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Y="9863"/>
        <w:tblOverlap w:val="never"/>
        <w:tblW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tblGrid>
      <w:tr w:rsidR="00B0264A" w14:paraId="64272E08" w14:textId="77777777" w:rsidTr="00BF1190">
        <w:trPr>
          <w:trHeight w:val="1863"/>
        </w:trPr>
        <w:tc>
          <w:tcPr>
            <w:tcW w:w="3652" w:type="dxa"/>
            <w:tcBorders>
              <w:top w:val="nil"/>
              <w:left w:val="nil"/>
              <w:bottom w:val="nil"/>
              <w:right w:val="nil"/>
            </w:tcBorders>
          </w:tcPr>
          <w:p w14:paraId="3CFA29ED" w14:textId="64A15EB8" w:rsidR="008E7846" w:rsidRPr="00E61EC7" w:rsidRDefault="0064609E" w:rsidP="00F931CE">
            <w:pPr>
              <w:pStyle w:val="Date"/>
              <w:framePr w:hSpace="0" w:wrap="auto" w:vAnchor="margin" w:hAnchor="text" w:yAlign="inline"/>
              <w:suppressOverlap w:val="0"/>
            </w:pPr>
            <w:r>
              <w:t>March</w:t>
            </w:r>
            <w:r w:rsidRPr="00E61EC7">
              <w:t xml:space="preserve"> </w:t>
            </w:r>
            <w:r w:rsidR="00610CCA" w:rsidRPr="00E61EC7">
              <w:t>202</w:t>
            </w:r>
            <w:r>
              <w:t>3</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B0264A" w14:paraId="6AD85C1C" w14:textId="77777777" w:rsidTr="0032583B">
        <w:trPr>
          <w:trHeight w:val="868"/>
        </w:trPr>
        <w:tc>
          <w:tcPr>
            <w:tcW w:w="9079" w:type="dxa"/>
          </w:tcPr>
          <w:p w14:paraId="4E1DDDF2" w14:textId="41FF1D48" w:rsidR="0032583B" w:rsidRPr="00E61EC7" w:rsidRDefault="002A2C48" w:rsidP="00F931CE">
            <w:pPr>
              <w:pStyle w:val="Title"/>
              <w:framePr w:hSpace="0" w:wrap="auto" w:vAnchor="margin" w:yAlign="inline"/>
            </w:pPr>
            <w:r w:rsidRPr="00E61EC7">
              <w:t>Australian Public Assessment Report for</w:t>
            </w:r>
            <w:r w:rsidR="00AF2313" w:rsidRPr="00E61EC7">
              <w:t xml:space="preserve"> </w:t>
            </w:r>
            <w:bookmarkStart w:id="0" w:name="_Hlk131056562"/>
            <w:proofErr w:type="spellStart"/>
            <w:r w:rsidR="00610CCA" w:rsidRPr="00E61EC7">
              <w:t>Vabysmo</w:t>
            </w:r>
            <w:bookmarkEnd w:id="0"/>
            <w:proofErr w:type="spellEnd"/>
          </w:p>
        </w:tc>
      </w:tr>
      <w:tr w:rsidR="00B0264A" w14:paraId="4189FAEF" w14:textId="77777777" w:rsidTr="0032583B">
        <w:tc>
          <w:tcPr>
            <w:tcW w:w="9079" w:type="dxa"/>
          </w:tcPr>
          <w:p w14:paraId="09529E27" w14:textId="3289A904" w:rsidR="0032583B" w:rsidRPr="00E61EC7" w:rsidRDefault="002A2C48" w:rsidP="00F931CE">
            <w:pPr>
              <w:pStyle w:val="Subtitle"/>
              <w:framePr w:hSpace="0" w:wrap="auto" w:vAnchor="margin" w:yAlign="inline"/>
            </w:pPr>
            <w:r w:rsidRPr="00E61EC7">
              <w:t xml:space="preserve">Active ingredient: </w:t>
            </w:r>
            <w:bookmarkStart w:id="1" w:name="_Hlk131056760"/>
            <w:proofErr w:type="spellStart"/>
            <w:r w:rsidR="00610CCA" w:rsidRPr="00E61EC7">
              <w:t>Faricimab</w:t>
            </w:r>
            <w:bookmarkEnd w:id="1"/>
            <w:proofErr w:type="spellEnd"/>
          </w:p>
        </w:tc>
      </w:tr>
      <w:tr w:rsidR="00B0264A" w14:paraId="0FC062DF" w14:textId="77777777" w:rsidTr="0032583B">
        <w:trPr>
          <w:trHeight w:val="486"/>
        </w:trPr>
        <w:tc>
          <w:tcPr>
            <w:tcW w:w="9079" w:type="dxa"/>
          </w:tcPr>
          <w:p w14:paraId="656C8893" w14:textId="2F9A1C1C" w:rsidR="0032583B" w:rsidRPr="00E61EC7" w:rsidRDefault="002A2C48" w:rsidP="009556D7">
            <w:pPr>
              <w:pStyle w:val="Subtitle"/>
              <w:framePr w:hSpace="0" w:wrap="auto" w:vAnchor="margin" w:yAlign="inline"/>
            </w:pPr>
            <w:r w:rsidRPr="00E61EC7">
              <w:t xml:space="preserve">Sponsor: </w:t>
            </w:r>
            <w:bookmarkStart w:id="2" w:name="_Hlk131056789"/>
            <w:r w:rsidR="00610CCA" w:rsidRPr="00E61EC7">
              <w:t>Roche Products Pty Limited</w:t>
            </w:r>
            <w:bookmarkEnd w:id="2"/>
          </w:p>
        </w:tc>
      </w:tr>
    </w:tbl>
    <w:p w14:paraId="629DB4F7" w14:textId="77777777" w:rsidR="008E7846" w:rsidRPr="00E61EC7" w:rsidRDefault="002A2C48" w:rsidP="0085156D">
      <w:r w:rsidRPr="00E61EC7">
        <w:br w:type="page"/>
      </w:r>
    </w:p>
    <w:p w14:paraId="57344B29" w14:textId="77777777" w:rsidR="008E7846" w:rsidRPr="00E61EC7" w:rsidRDefault="002A2C48" w:rsidP="008E7846">
      <w:pPr>
        <w:pStyle w:val="NonTOCHeading2"/>
      </w:pPr>
      <w:r w:rsidRPr="00E61EC7">
        <w:lastRenderedPageBreak/>
        <w:t>About the Therapeutic Goods Administration (TGA)</w:t>
      </w:r>
    </w:p>
    <w:p w14:paraId="0C343F29" w14:textId="77777777" w:rsidR="00AF2313" w:rsidRPr="00E61EC7" w:rsidRDefault="002A2C48" w:rsidP="00AF2313">
      <w:pPr>
        <w:pStyle w:val="ListBullet"/>
      </w:pPr>
      <w:r w:rsidRPr="00E61EC7">
        <w:t>The Therapeutic Goods Administration (TGA) is part of the Australian Government Department of Health and is responsible for regulating therapeutic goods, including medicines, medical devices, and biologicals.</w:t>
      </w:r>
    </w:p>
    <w:p w14:paraId="4B67C483" w14:textId="77777777" w:rsidR="00AF2313" w:rsidRPr="00E61EC7" w:rsidRDefault="002A2C48" w:rsidP="00AF2313">
      <w:pPr>
        <w:pStyle w:val="ListBullet"/>
      </w:pPr>
      <w:r w:rsidRPr="00E61EC7">
        <w:t xml:space="preserve">The TGA administers the </w:t>
      </w:r>
      <w:r w:rsidRPr="00E61EC7">
        <w:rPr>
          <w:i/>
          <w:iCs/>
        </w:rPr>
        <w:t>Therapeutic Goods Act 1989</w:t>
      </w:r>
      <w:r w:rsidRPr="00E61EC7">
        <w:t xml:space="preserve"> (the Act), applying a risk management approach designed to ensure therapeutic goods supplied in Australia meet acceptable standards of quality, </w:t>
      </w:r>
      <w:r w:rsidR="00CC5044" w:rsidRPr="00E61EC7">
        <w:t>safety,</w:t>
      </w:r>
      <w:r w:rsidRPr="00E61EC7">
        <w:t xml:space="preserve"> and efficacy.</w:t>
      </w:r>
    </w:p>
    <w:p w14:paraId="66EAAD67" w14:textId="77777777" w:rsidR="00AF2313" w:rsidRPr="00E61EC7" w:rsidRDefault="002A2C48" w:rsidP="00AF2313">
      <w:pPr>
        <w:pStyle w:val="ListBullet"/>
      </w:pPr>
      <w:r w:rsidRPr="00E61EC7">
        <w:t>The work of the TGA is based on applying scientific and clinical expertise to decision-making, to ensure that the benefits to the Australian public outweigh any risks associated with the use of therapeutic goods.</w:t>
      </w:r>
    </w:p>
    <w:p w14:paraId="540B4420" w14:textId="77777777" w:rsidR="00AF2313" w:rsidRPr="00E61EC7" w:rsidRDefault="002A2C48" w:rsidP="00AF2313">
      <w:pPr>
        <w:pStyle w:val="ListBullet"/>
      </w:pPr>
      <w:r w:rsidRPr="00E61EC7">
        <w:t>The TGA relies on the public, healthcare professionals and industry to report problems with therapeutic goods. The TGA investigates reports received to determine any necessary regulatory action.</w:t>
      </w:r>
    </w:p>
    <w:p w14:paraId="4F415531" w14:textId="5BC1310D" w:rsidR="00AF2313" w:rsidRPr="00E61EC7" w:rsidRDefault="002A2C48" w:rsidP="00AF2313">
      <w:pPr>
        <w:pStyle w:val="ListBullet"/>
      </w:pPr>
      <w:r w:rsidRPr="00E61EC7">
        <w:t xml:space="preserve">To report a problem with a therapeutic good, please see the information on the </w:t>
      </w:r>
      <w:hyperlink r:id="rId11" w:history="1">
        <w:r w:rsidRPr="00E61EC7">
          <w:rPr>
            <w:rStyle w:val="Hyperlink"/>
          </w:rPr>
          <w:t>TGA website</w:t>
        </w:r>
      </w:hyperlink>
      <w:r w:rsidRPr="00E61EC7">
        <w:t>.</w:t>
      </w:r>
    </w:p>
    <w:p w14:paraId="186E2347" w14:textId="77777777" w:rsidR="008E7846" w:rsidRPr="00E61EC7" w:rsidRDefault="002A2C48" w:rsidP="00875A6B">
      <w:pPr>
        <w:pStyle w:val="NonTOCHeading2"/>
      </w:pPr>
      <w:r w:rsidRPr="00E61EC7">
        <w:t>About AusPARs</w:t>
      </w:r>
    </w:p>
    <w:p w14:paraId="544C128A" w14:textId="1D839A04" w:rsidR="00AF2313" w:rsidRPr="00E61EC7" w:rsidRDefault="002A2C48" w:rsidP="00AF2313">
      <w:pPr>
        <w:pStyle w:val="ListBullet"/>
      </w:pPr>
      <w:r w:rsidRPr="00E61EC7">
        <w:t xml:space="preserve">The Australian Public Assessment Report (AusPAR) provides information about the evaluation of a prescription medicine and the considerations that led the TGA to approve or not approve a prescription medicine submission. Further information can be found in </w:t>
      </w:r>
      <w:hyperlink r:id="rId12" w:history="1">
        <w:r w:rsidRPr="00E61EC7">
          <w:rPr>
            <w:rStyle w:val="Hyperlink"/>
          </w:rPr>
          <w:t>Australian Public Assessment Report (AusPAR) guidance</w:t>
        </w:r>
      </w:hyperlink>
      <w:r w:rsidRPr="00E61EC7">
        <w:t>.</w:t>
      </w:r>
    </w:p>
    <w:p w14:paraId="0570175F" w14:textId="77777777" w:rsidR="00AF2313" w:rsidRPr="00E61EC7" w:rsidRDefault="002A2C48" w:rsidP="00AF2313">
      <w:pPr>
        <w:pStyle w:val="ListBullet"/>
      </w:pPr>
      <w:r w:rsidRPr="00E61EC7">
        <w:t>AusPARs are prepared and published by the TGA.</w:t>
      </w:r>
    </w:p>
    <w:p w14:paraId="383D45D1" w14:textId="77777777" w:rsidR="00AF2313" w:rsidRPr="00E61EC7" w:rsidRDefault="002A2C48" w:rsidP="00AF2313">
      <w:pPr>
        <w:pStyle w:val="ListBullet"/>
      </w:pPr>
      <w:r w:rsidRPr="00E61EC7">
        <w:t>AusPARs are static documents that provide information that relates to a submission at a particular point in time.</w:t>
      </w:r>
      <w:r w:rsidR="008110BC" w:rsidRPr="00E61EC7">
        <w:t xml:space="preserve"> The publication of an AusPAR is an important part of the transparency of the TGA’s decision-making process.</w:t>
      </w:r>
    </w:p>
    <w:p w14:paraId="21AC4682" w14:textId="77777777" w:rsidR="00AF2313" w:rsidRPr="00E61EC7" w:rsidRDefault="002A2C48" w:rsidP="00AF2313">
      <w:pPr>
        <w:pStyle w:val="ListBullet"/>
      </w:pPr>
      <w:r w:rsidRPr="00E61EC7">
        <w:t>A new AusPAR may be provided to reflect changes to indications or major variations to a prescription medicine subject to evaluation by the TGA.</w:t>
      </w:r>
    </w:p>
    <w:p w14:paraId="6919AC0F" w14:textId="77777777" w:rsidR="00924482" w:rsidRPr="00E61EC7" w:rsidRDefault="002A2C48" w:rsidP="00F54B65">
      <w:pPr>
        <w:pStyle w:val="LegalSubheading"/>
        <w:spacing w:before="3120"/>
      </w:pPr>
      <w:r w:rsidRPr="00E61EC7">
        <w:t>Copyright</w:t>
      </w:r>
    </w:p>
    <w:p w14:paraId="18EABC8E" w14:textId="5CB83A35" w:rsidR="00924482" w:rsidRPr="00E61EC7" w:rsidRDefault="002A2C48" w:rsidP="00924482">
      <w:pPr>
        <w:pStyle w:val="LegalCopy"/>
      </w:pPr>
      <w:r w:rsidRPr="00E61EC7">
        <w:rPr>
          <w:rFonts w:cs="Arial"/>
          <w:lang w:val="en-GB"/>
        </w:rPr>
        <w:t>© Commonwealth of Australia 20</w:t>
      </w:r>
      <w:r w:rsidR="00460036" w:rsidRPr="00E61EC7">
        <w:rPr>
          <w:rFonts w:cs="Arial"/>
          <w:lang w:val="en-GB"/>
        </w:rPr>
        <w:t>2</w:t>
      </w:r>
      <w:r w:rsidR="0064609E">
        <w:rPr>
          <w:rFonts w:cs="Arial"/>
          <w:lang w:val="en-GB"/>
        </w:rPr>
        <w:t>3</w:t>
      </w:r>
      <w:r w:rsidRPr="00E61EC7">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E61EC7">
        <w:rPr>
          <w:rFonts w:cs="Arial"/>
          <w:i/>
          <w:lang w:val="en-GB"/>
        </w:rPr>
        <w:t>Copyright Act 1968</w:t>
      </w:r>
      <w:r w:rsidRPr="00E61EC7">
        <w:rPr>
          <w:rFonts w:cs="Arial"/>
          <w:lang w:val="en-GB"/>
        </w:rPr>
        <w:t xml:space="preserve"> or allowed by this copyright notice, all other rights are </w:t>
      </w:r>
      <w:r w:rsidR="00EB36D6" w:rsidRPr="00E61EC7">
        <w:rPr>
          <w:rFonts w:cs="Arial"/>
          <w:lang w:val="en-GB"/>
        </w:rPr>
        <w:t>reserved,</w:t>
      </w:r>
      <w:r w:rsidRPr="00E61EC7">
        <w:rPr>
          <w:rFonts w:cs="Arial"/>
          <w:lang w:val="en-GB"/>
        </w:rPr>
        <w:t xml:space="preserve">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E61EC7">
        <w:rPr>
          <w:rFonts w:cs="Arial"/>
          <w:lang w:val="en-GB"/>
        </w:rPr>
        <w:t>Woden</w:t>
      </w:r>
      <w:proofErr w:type="spellEnd"/>
      <w:r w:rsidRPr="00E61EC7">
        <w:rPr>
          <w:rFonts w:cs="Arial"/>
          <w:lang w:val="en-GB"/>
        </w:rPr>
        <w:t xml:space="preserve"> ACT 2606 or emailed to &lt;</w:t>
      </w:r>
      <w:hyperlink r:id="rId13" w:history="1">
        <w:r w:rsidRPr="00E61EC7">
          <w:rPr>
            <w:rStyle w:val="Hyperlink"/>
            <w:rFonts w:cs="Arial"/>
            <w:lang w:val="en-GB"/>
          </w:rPr>
          <w:t>tga.copyright@tga.gov.au</w:t>
        </w:r>
      </w:hyperlink>
      <w:r w:rsidRPr="00E61EC7">
        <w:rPr>
          <w:rFonts w:cs="Arial"/>
        </w:rPr>
        <w:t>&gt;.</w:t>
      </w:r>
    </w:p>
    <w:p w14:paraId="005045CB" w14:textId="77777777" w:rsidR="00924482" w:rsidRPr="00E61EC7" w:rsidRDefault="00924482" w:rsidP="00924482">
      <w:pPr>
        <w:pStyle w:val="LegalCopy"/>
        <w:sectPr w:rsidR="00924482" w:rsidRPr="00E61EC7" w:rsidSect="003D1E62">
          <w:headerReference w:type="default" r:id="rId14"/>
          <w:footerReference w:type="default" r:id="rId15"/>
          <w:headerReference w:type="first" r:id="rId16"/>
          <w:pgSz w:w="11906" w:h="16838" w:code="9"/>
          <w:pgMar w:top="426" w:right="1701" w:bottom="0" w:left="1701" w:header="907" w:footer="142" w:gutter="0"/>
          <w:pgNumType w:fmt="lowerRoman" w:start="1"/>
          <w:cols w:space="708"/>
          <w:titlePg/>
          <w:docGrid w:linePitch="360"/>
        </w:sectPr>
      </w:pPr>
    </w:p>
    <w:bookmarkStart w:id="3" w:name="_Toc247691501" w:displacedByCustomXml="next"/>
    <w:bookmarkStart w:id="4" w:name="_Toc196046425" w:displacedByCustomXml="next"/>
    <w:sdt>
      <w:sdtPr>
        <w:rPr>
          <w:rFonts w:ascii="Cambria" w:hAnsi="Cambria"/>
          <w:b w:val="0"/>
          <w:bCs/>
          <w:sz w:val="22"/>
        </w:rPr>
        <w:id w:val="5618007"/>
        <w:docPartObj>
          <w:docPartGallery w:val="Table of Contents"/>
          <w:docPartUnique/>
        </w:docPartObj>
      </w:sdtPr>
      <w:sdtEndPr>
        <w:rPr>
          <w:bCs w:val="0"/>
        </w:rPr>
      </w:sdtEndPr>
      <w:sdtContent>
        <w:p w14:paraId="229224AF" w14:textId="77777777" w:rsidR="0089635C" w:rsidRPr="00E61EC7" w:rsidRDefault="002A2C48" w:rsidP="0010788A">
          <w:pPr>
            <w:pStyle w:val="Contents"/>
          </w:pPr>
          <w:r w:rsidRPr="00E61EC7">
            <w:t>Contents</w:t>
          </w:r>
        </w:p>
        <w:p w14:paraId="40F37762" w14:textId="67A9B7C2" w:rsidR="001E25B5" w:rsidRDefault="002A2C48">
          <w:pPr>
            <w:pStyle w:val="TOC1"/>
            <w:rPr>
              <w:rFonts w:asciiTheme="minorHAnsi" w:eastAsiaTheme="minorEastAsia" w:hAnsiTheme="minorHAnsi" w:cstheme="minorBidi"/>
              <w:b w:val="0"/>
              <w:noProof/>
              <w:sz w:val="22"/>
              <w:lang w:eastAsia="en-AU"/>
            </w:rPr>
          </w:pPr>
          <w:r w:rsidRPr="00E61EC7">
            <w:fldChar w:fldCharType="begin"/>
          </w:r>
          <w:r w:rsidRPr="00E61EC7">
            <w:instrText xml:space="preserve"> TOC \h \z \t "Heading 2,1,Heading 3,2" </w:instrText>
          </w:r>
          <w:r w:rsidRPr="00E61EC7">
            <w:fldChar w:fldCharType="separate"/>
          </w:r>
          <w:hyperlink w:anchor="_Toc129701766" w:history="1">
            <w:r w:rsidR="001E25B5" w:rsidRPr="00FD10DE">
              <w:rPr>
                <w:rStyle w:val="Hyperlink"/>
                <w:noProof/>
              </w:rPr>
              <w:t>List of abbreviations</w:t>
            </w:r>
            <w:r w:rsidR="001E25B5">
              <w:rPr>
                <w:noProof/>
                <w:webHidden/>
              </w:rPr>
              <w:tab/>
            </w:r>
            <w:r w:rsidR="001E25B5">
              <w:rPr>
                <w:noProof/>
                <w:webHidden/>
              </w:rPr>
              <w:fldChar w:fldCharType="begin"/>
            </w:r>
            <w:r w:rsidR="001E25B5">
              <w:rPr>
                <w:noProof/>
                <w:webHidden/>
              </w:rPr>
              <w:instrText xml:space="preserve"> PAGEREF _Toc129701766 \h </w:instrText>
            </w:r>
            <w:r w:rsidR="001E25B5">
              <w:rPr>
                <w:noProof/>
                <w:webHidden/>
              </w:rPr>
            </w:r>
            <w:r w:rsidR="001E25B5">
              <w:rPr>
                <w:noProof/>
                <w:webHidden/>
              </w:rPr>
              <w:fldChar w:fldCharType="separate"/>
            </w:r>
            <w:r w:rsidR="001E25B5">
              <w:rPr>
                <w:noProof/>
                <w:webHidden/>
              </w:rPr>
              <w:t>4</w:t>
            </w:r>
            <w:r w:rsidR="001E25B5">
              <w:rPr>
                <w:noProof/>
                <w:webHidden/>
              </w:rPr>
              <w:fldChar w:fldCharType="end"/>
            </w:r>
          </w:hyperlink>
        </w:p>
        <w:p w14:paraId="5737D200" w14:textId="5FAC3107" w:rsidR="001E25B5" w:rsidRDefault="003523E0">
          <w:pPr>
            <w:pStyle w:val="TOC1"/>
            <w:rPr>
              <w:rFonts w:asciiTheme="minorHAnsi" w:eastAsiaTheme="minorEastAsia" w:hAnsiTheme="minorHAnsi" w:cstheme="minorBidi"/>
              <w:b w:val="0"/>
              <w:noProof/>
              <w:sz w:val="22"/>
              <w:lang w:eastAsia="en-AU"/>
            </w:rPr>
          </w:pPr>
          <w:hyperlink w:anchor="_Toc129701767" w:history="1">
            <w:r w:rsidR="001E25B5" w:rsidRPr="00FD10DE">
              <w:rPr>
                <w:rStyle w:val="Hyperlink"/>
                <w:noProof/>
              </w:rPr>
              <w:t>Product submission</w:t>
            </w:r>
            <w:r w:rsidR="001E25B5">
              <w:rPr>
                <w:noProof/>
                <w:webHidden/>
              </w:rPr>
              <w:tab/>
            </w:r>
            <w:r w:rsidR="001E25B5">
              <w:rPr>
                <w:noProof/>
                <w:webHidden/>
              </w:rPr>
              <w:fldChar w:fldCharType="begin"/>
            </w:r>
            <w:r w:rsidR="001E25B5">
              <w:rPr>
                <w:noProof/>
                <w:webHidden/>
              </w:rPr>
              <w:instrText xml:space="preserve"> PAGEREF _Toc129701767 \h </w:instrText>
            </w:r>
            <w:r w:rsidR="001E25B5">
              <w:rPr>
                <w:noProof/>
                <w:webHidden/>
              </w:rPr>
            </w:r>
            <w:r w:rsidR="001E25B5">
              <w:rPr>
                <w:noProof/>
                <w:webHidden/>
              </w:rPr>
              <w:fldChar w:fldCharType="separate"/>
            </w:r>
            <w:r w:rsidR="001E25B5">
              <w:rPr>
                <w:noProof/>
                <w:webHidden/>
              </w:rPr>
              <w:t>6</w:t>
            </w:r>
            <w:r w:rsidR="001E25B5">
              <w:rPr>
                <w:noProof/>
                <w:webHidden/>
              </w:rPr>
              <w:fldChar w:fldCharType="end"/>
            </w:r>
          </w:hyperlink>
        </w:p>
        <w:p w14:paraId="13803D51" w14:textId="3FF4DB32" w:rsidR="001E25B5" w:rsidRDefault="003523E0">
          <w:pPr>
            <w:pStyle w:val="TOC2"/>
            <w:rPr>
              <w:rFonts w:asciiTheme="minorHAnsi" w:eastAsiaTheme="minorEastAsia" w:hAnsiTheme="minorHAnsi" w:cstheme="minorBidi"/>
              <w:b w:val="0"/>
              <w:noProof/>
              <w:sz w:val="22"/>
              <w:lang w:eastAsia="en-AU"/>
            </w:rPr>
          </w:pPr>
          <w:hyperlink w:anchor="_Toc129701768" w:history="1">
            <w:r w:rsidR="001E25B5" w:rsidRPr="00FD10DE">
              <w:rPr>
                <w:rStyle w:val="Hyperlink"/>
                <w:noProof/>
                <w:lang w:eastAsia="en-AU"/>
              </w:rPr>
              <w:t>Submission details</w:t>
            </w:r>
            <w:r w:rsidR="001E25B5">
              <w:rPr>
                <w:noProof/>
                <w:webHidden/>
              </w:rPr>
              <w:tab/>
            </w:r>
            <w:r w:rsidR="001E25B5">
              <w:rPr>
                <w:noProof/>
                <w:webHidden/>
              </w:rPr>
              <w:fldChar w:fldCharType="begin"/>
            </w:r>
            <w:r w:rsidR="001E25B5">
              <w:rPr>
                <w:noProof/>
                <w:webHidden/>
              </w:rPr>
              <w:instrText xml:space="preserve"> PAGEREF _Toc129701768 \h </w:instrText>
            </w:r>
            <w:r w:rsidR="001E25B5">
              <w:rPr>
                <w:noProof/>
                <w:webHidden/>
              </w:rPr>
            </w:r>
            <w:r w:rsidR="001E25B5">
              <w:rPr>
                <w:noProof/>
                <w:webHidden/>
              </w:rPr>
              <w:fldChar w:fldCharType="separate"/>
            </w:r>
            <w:r w:rsidR="001E25B5">
              <w:rPr>
                <w:noProof/>
                <w:webHidden/>
              </w:rPr>
              <w:t>6</w:t>
            </w:r>
            <w:r w:rsidR="001E25B5">
              <w:rPr>
                <w:noProof/>
                <w:webHidden/>
              </w:rPr>
              <w:fldChar w:fldCharType="end"/>
            </w:r>
          </w:hyperlink>
        </w:p>
        <w:p w14:paraId="39BD14CF" w14:textId="5F79AEBB" w:rsidR="001E25B5" w:rsidRDefault="003523E0">
          <w:pPr>
            <w:pStyle w:val="TOC2"/>
            <w:rPr>
              <w:rFonts w:asciiTheme="minorHAnsi" w:eastAsiaTheme="minorEastAsia" w:hAnsiTheme="minorHAnsi" w:cstheme="minorBidi"/>
              <w:b w:val="0"/>
              <w:noProof/>
              <w:sz w:val="22"/>
              <w:lang w:eastAsia="en-AU"/>
            </w:rPr>
          </w:pPr>
          <w:hyperlink w:anchor="_Toc129701769" w:history="1">
            <w:r w:rsidR="001E25B5" w:rsidRPr="00FD10DE">
              <w:rPr>
                <w:rStyle w:val="Hyperlink"/>
                <w:noProof/>
              </w:rPr>
              <w:t>Product background</w:t>
            </w:r>
            <w:r w:rsidR="001E25B5">
              <w:rPr>
                <w:noProof/>
                <w:webHidden/>
              </w:rPr>
              <w:tab/>
            </w:r>
            <w:r w:rsidR="001E25B5">
              <w:rPr>
                <w:noProof/>
                <w:webHidden/>
              </w:rPr>
              <w:fldChar w:fldCharType="begin"/>
            </w:r>
            <w:r w:rsidR="001E25B5">
              <w:rPr>
                <w:noProof/>
                <w:webHidden/>
              </w:rPr>
              <w:instrText xml:space="preserve"> PAGEREF _Toc129701769 \h </w:instrText>
            </w:r>
            <w:r w:rsidR="001E25B5">
              <w:rPr>
                <w:noProof/>
                <w:webHidden/>
              </w:rPr>
            </w:r>
            <w:r w:rsidR="001E25B5">
              <w:rPr>
                <w:noProof/>
                <w:webHidden/>
              </w:rPr>
              <w:fldChar w:fldCharType="separate"/>
            </w:r>
            <w:r w:rsidR="001E25B5">
              <w:rPr>
                <w:noProof/>
                <w:webHidden/>
              </w:rPr>
              <w:t>8</w:t>
            </w:r>
            <w:r w:rsidR="001E25B5">
              <w:rPr>
                <w:noProof/>
                <w:webHidden/>
              </w:rPr>
              <w:fldChar w:fldCharType="end"/>
            </w:r>
          </w:hyperlink>
        </w:p>
        <w:p w14:paraId="25D40E83" w14:textId="46104273" w:rsidR="001E25B5" w:rsidRDefault="003523E0">
          <w:pPr>
            <w:pStyle w:val="TOC2"/>
            <w:rPr>
              <w:rFonts w:asciiTheme="minorHAnsi" w:eastAsiaTheme="minorEastAsia" w:hAnsiTheme="minorHAnsi" w:cstheme="minorBidi"/>
              <w:b w:val="0"/>
              <w:noProof/>
              <w:sz w:val="22"/>
              <w:lang w:eastAsia="en-AU"/>
            </w:rPr>
          </w:pPr>
          <w:hyperlink w:anchor="_Toc129701770" w:history="1">
            <w:r w:rsidR="001E25B5" w:rsidRPr="00FD10DE">
              <w:rPr>
                <w:rStyle w:val="Hyperlink"/>
                <w:noProof/>
              </w:rPr>
              <w:t>Regulatory status</w:t>
            </w:r>
            <w:r w:rsidR="001E25B5">
              <w:rPr>
                <w:noProof/>
                <w:webHidden/>
              </w:rPr>
              <w:tab/>
            </w:r>
            <w:r w:rsidR="001E25B5">
              <w:rPr>
                <w:noProof/>
                <w:webHidden/>
              </w:rPr>
              <w:fldChar w:fldCharType="begin"/>
            </w:r>
            <w:r w:rsidR="001E25B5">
              <w:rPr>
                <w:noProof/>
                <w:webHidden/>
              </w:rPr>
              <w:instrText xml:space="preserve"> PAGEREF _Toc129701770 \h </w:instrText>
            </w:r>
            <w:r w:rsidR="001E25B5">
              <w:rPr>
                <w:noProof/>
                <w:webHidden/>
              </w:rPr>
            </w:r>
            <w:r w:rsidR="001E25B5">
              <w:rPr>
                <w:noProof/>
                <w:webHidden/>
              </w:rPr>
              <w:fldChar w:fldCharType="separate"/>
            </w:r>
            <w:r w:rsidR="001E25B5">
              <w:rPr>
                <w:noProof/>
                <w:webHidden/>
              </w:rPr>
              <w:t>9</w:t>
            </w:r>
            <w:r w:rsidR="001E25B5">
              <w:rPr>
                <w:noProof/>
                <w:webHidden/>
              </w:rPr>
              <w:fldChar w:fldCharType="end"/>
            </w:r>
          </w:hyperlink>
        </w:p>
        <w:p w14:paraId="533D6BBD" w14:textId="068CCA83" w:rsidR="001E25B5" w:rsidRDefault="003523E0">
          <w:pPr>
            <w:pStyle w:val="TOC2"/>
            <w:rPr>
              <w:rFonts w:asciiTheme="minorHAnsi" w:eastAsiaTheme="minorEastAsia" w:hAnsiTheme="minorHAnsi" w:cstheme="minorBidi"/>
              <w:b w:val="0"/>
              <w:noProof/>
              <w:sz w:val="22"/>
              <w:lang w:eastAsia="en-AU"/>
            </w:rPr>
          </w:pPr>
          <w:hyperlink w:anchor="_Toc129701771" w:history="1">
            <w:r w:rsidR="001E25B5" w:rsidRPr="00FD10DE">
              <w:rPr>
                <w:rStyle w:val="Hyperlink"/>
                <w:noProof/>
              </w:rPr>
              <w:t>Product Information</w:t>
            </w:r>
            <w:r w:rsidR="001E25B5">
              <w:rPr>
                <w:noProof/>
                <w:webHidden/>
              </w:rPr>
              <w:tab/>
            </w:r>
            <w:r w:rsidR="001E25B5">
              <w:rPr>
                <w:noProof/>
                <w:webHidden/>
              </w:rPr>
              <w:fldChar w:fldCharType="begin"/>
            </w:r>
            <w:r w:rsidR="001E25B5">
              <w:rPr>
                <w:noProof/>
                <w:webHidden/>
              </w:rPr>
              <w:instrText xml:space="preserve"> PAGEREF _Toc129701771 \h </w:instrText>
            </w:r>
            <w:r w:rsidR="001E25B5">
              <w:rPr>
                <w:noProof/>
                <w:webHidden/>
              </w:rPr>
            </w:r>
            <w:r w:rsidR="001E25B5">
              <w:rPr>
                <w:noProof/>
                <w:webHidden/>
              </w:rPr>
              <w:fldChar w:fldCharType="separate"/>
            </w:r>
            <w:r w:rsidR="001E25B5">
              <w:rPr>
                <w:noProof/>
                <w:webHidden/>
              </w:rPr>
              <w:t>11</w:t>
            </w:r>
            <w:r w:rsidR="001E25B5">
              <w:rPr>
                <w:noProof/>
                <w:webHidden/>
              </w:rPr>
              <w:fldChar w:fldCharType="end"/>
            </w:r>
          </w:hyperlink>
        </w:p>
        <w:p w14:paraId="765B1BAE" w14:textId="033AF053" w:rsidR="001E25B5" w:rsidRDefault="003523E0">
          <w:pPr>
            <w:pStyle w:val="TOC1"/>
            <w:rPr>
              <w:rFonts w:asciiTheme="minorHAnsi" w:eastAsiaTheme="minorEastAsia" w:hAnsiTheme="minorHAnsi" w:cstheme="minorBidi"/>
              <w:b w:val="0"/>
              <w:noProof/>
              <w:sz w:val="22"/>
              <w:lang w:eastAsia="en-AU"/>
            </w:rPr>
          </w:pPr>
          <w:hyperlink w:anchor="_Toc129701772" w:history="1">
            <w:r w:rsidR="001E25B5" w:rsidRPr="00FD10DE">
              <w:rPr>
                <w:rStyle w:val="Hyperlink"/>
                <w:noProof/>
              </w:rPr>
              <w:t>Registration timeline</w:t>
            </w:r>
            <w:r w:rsidR="001E25B5">
              <w:rPr>
                <w:noProof/>
                <w:webHidden/>
              </w:rPr>
              <w:tab/>
            </w:r>
            <w:r w:rsidR="001E25B5">
              <w:rPr>
                <w:noProof/>
                <w:webHidden/>
              </w:rPr>
              <w:fldChar w:fldCharType="begin"/>
            </w:r>
            <w:r w:rsidR="001E25B5">
              <w:rPr>
                <w:noProof/>
                <w:webHidden/>
              </w:rPr>
              <w:instrText xml:space="preserve"> PAGEREF _Toc129701772 \h </w:instrText>
            </w:r>
            <w:r w:rsidR="001E25B5">
              <w:rPr>
                <w:noProof/>
                <w:webHidden/>
              </w:rPr>
            </w:r>
            <w:r w:rsidR="001E25B5">
              <w:rPr>
                <w:noProof/>
                <w:webHidden/>
              </w:rPr>
              <w:fldChar w:fldCharType="separate"/>
            </w:r>
            <w:r w:rsidR="001E25B5">
              <w:rPr>
                <w:noProof/>
                <w:webHidden/>
              </w:rPr>
              <w:t>11</w:t>
            </w:r>
            <w:r w:rsidR="001E25B5">
              <w:rPr>
                <w:noProof/>
                <w:webHidden/>
              </w:rPr>
              <w:fldChar w:fldCharType="end"/>
            </w:r>
          </w:hyperlink>
        </w:p>
        <w:p w14:paraId="2041E33D" w14:textId="062FC925" w:rsidR="001E25B5" w:rsidRDefault="003523E0">
          <w:pPr>
            <w:pStyle w:val="TOC1"/>
            <w:rPr>
              <w:rFonts w:asciiTheme="minorHAnsi" w:eastAsiaTheme="minorEastAsia" w:hAnsiTheme="minorHAnsi" w:cstheme="minorBidi"/>
              <w:b w:val="0"/>
              <w:noProof/>
              <w:sz w:val="22"/>
              <w:lang w:eastAsia="en-AU"/>
            </w:rPr>
          </w:pPr>
          <w:hyperlink w:anchor="_Toc129701773" w:history="1">
            <w:r w:rsidR="001E25B5" w:rsidRPr="00FD10DE">
              <w:rPr>
                <w:rStyle w:val="Hyperlink"/>
                <w:noProof/>
              </w:rPr>
              <w:t>Submission overview and risk/benefit assessment</w:t>
            </w:r>
            <w:r w:rsidR="001E25B5">
              <w:rPr>
                <w:noProof/>
                <w:webHidden/>
              </w:rPr>
              <w:tab/>
            </w:r>
            <w:r w:rsidR="001E25B5">
              <w:rPr>
                <w:noProof/>
                <w:webHidden/>
              </w:rPr>
              <w:fldChar w:fldCharType="begin"/>
            </w:r>
            <w:r w:rsidR="001E25B5">
              <w:rPr>
                <w:noProof/>
                <w:webHidden/>
              </w:rPr>
              <w:instrText xml:space="preserve"> PAGEREF _Toc129701773 \h </w:instrText>
            </w:r>
            <w:r w:rsidR="001E25B5">
              <w:rPr>
                <w:noProof/>
                <w:webHidden/>
              </w:rPr>
            </w:r>
            <w:r w:rsidR="001E25B5">
              <w:rPr>
                <w:noProof/>
                <w:webHidden/>
              </w:rPr>
              <w:fldChar w:fldCharType="separate"/>
            </w:r>
            <w:r w:rsidR="001E25B5">
              <w:rPr>
                <w:noProof/>
                <w:webHidden/>
              </w:rPr>
              <w:t>12</w:t>
            </w:r>
            <w:r w:rsidR="001E25B5">
              <w:rPr>
                <w:noProof/>
                <w:webHidden/>
              </w:rPr>
              <w:fldChar w:fldCharType="end"/>
            </w:r>
          </w:hyperlink>
        </w:p>
        <w:p w14:paraId="1AB76CE9" w14:textId="2FED6EF6" w:rsidR="001E25B5" w:rsidRDefault="003523E0">
          <w:pPr>
            <w:pStyle w:val="TOC2"/>
            <w:rPr>
              <w:rFonts w:asciiTheme="minorHAnsi" w:eastAsiaTheme="minorEastAsia" w:hAnsiTheme="minorHAnsi" w:cstheme="minorBidi"/>
              <w:b w:val="0"/>
              <w:noProof/>
              <w:sz w:val="22"/>
              <w:lang w:eastAsia="en-AU"/>
            </w:rPr>
          </w:pPr>
          <w:hyperlink w:anchor="_Toc129701774" w:history="1">
            <w:r w:rsidR="001E25B5" w:rsidRPr="00FD10DE">
              <w:rPr>
                <w:rStyle w:val="Hyperlink"/>
                <w:noProof/>
              </w:rPr>
              <w:t>Quality</w:t>
            </w:r>
            <w:r w:rsidR="001E25B5">
              <w:rPr>
                <w:noProof/>
                <w:webHidden/>
              </w:rPr>
              <w:tab/>
            </w:r>
            <w:r w:rsidR="001E25B5">
              <w:rPr>
                <w:noProof/>
                <w:webHidden/>
              </w:rPr>
              <w:fldChar w:fldCharType="begin"/>
            </w:r>
            <w:r w:rsidR="001E25B5">
              <w:rPr>
                <w:noProof/>
                <w:webHidden/>
              </w:rPr>
              <w:instrText xml:space="preserve"> PAGEREF _Toc129701774 \h </w:instrText>
            </w:r>
            <w:r w:rsidR="001E25B5">
              <w:rPr>
                <w:noProof/>
                <w:webHidden/>
              </w:rPr>
            </w:r>
            <w:r w:rsidR="001E25B5">
              <w:rPr>
                <w:noProof/>
                <w:webHidden/>
              </w:rPr>
              <w:fldChar w:fldCharType="separate"/>
            </w:r>
            <w:r w:rsidR="001E25B5">
              <w:rPr>
                <w:noProof/>
                <w:webHidden/>
              </w:rPr>
              <w:t>12</w:t>
            </w:r>
            <w:r w:rsidR="001E25B5">
              <w:rPr>
                <w:noProof/>
                <w:webHidden/>
              </w:rPr>
              <w:fldChar w:fldCharType="end"/>
            </w:r>
          </w:hyperlink>
        </w:p>
        <w:p w14:paraId="09D9E0A5" w14:textId="0BCD4211" w:rsidR="001E25B5" w:rsidRDefault="003523E0">
          <w:pPr>
            <w:pStyle w:val="TOC2"/>
            <w:rPr>
              <w:rFonts w:asciiTheme="minorHAnsi" w:eastAsiaTheme="minorEastAsia" w:hAnsiTheme="minorHAnsi" w:cstheme="minorBidi"/>
              <w:b w:val="0"/>
              <w:noProof/>
              <w:sz w:val="22"/>
              <w:lang w:eastAsia="en-AU"/>
            </w:rPr>
          </w:pPr>
          <w:hyperlink w:anchor="_Toc129701775" w:history="1">
            <w:r w:rsidR="001E25B5" w:rsidRPr="00FD10DE">
              <w:rPr>
                <w:rStyle w:val="Hyperlink"/>
                <w:noProof/>
              </w:rPr>
              <w:t>Nonclinical</w:t>
            </w:r>
            <w:r w:rsidR="001E25B5">
              <w:rPr>
                <w:noProof/>
                <w:webHidden/>
              </w:rPr>
              <w:tab/>
            </w:r>
            <w:r w:rsidR="001E25B5">
              <w:rPr>
                <w:noProof/>
                <w:webHidden/>
              </w:rPr>
              <w:fldChar w:fldCharType="begin"/>
            </w:r>
            <w:r w:rsidR="001E25B5">
              <w:rPr>
                <w:noProof/>
                <w:webHidden/>
              </w:rPr>
              <w:instrText xml:space="preserve"> PAGEREF _Toc129701775 \h </w:instrText>
            </w:r>
            <w:r w:rsidR="001E25B5">
              <w:rPr>
                <w:noProof/>
                <w:webHidden/>
              </w:rPr>
            </w:r>
            <w:r w:rsidR="001E25B5">
              <w:rPr>
                <w:noProof/>
                <w:webHidden/>
              </w:rPr>
              <w:fldChar w:fldCharType="separate"/>
            </w:r>
            <w:r w:rsidR="001E25B5">
              <w:rPr>
                <w:noProof/>
                <w:webHidden/>
              </w:rPr>
              <w:t>13</w:t>
            </w:r>
            <w:r w:rsidR="001E25B5">
              <w:rPr>
                <w:noProof/>
                <w:webHidden/>
              </w:rPr>
              <w:fldChar w:fldCharType="end"/>
            </w:r>
          </w:hyperlink>
        </w:p>
        <w:p w14:paraId="068BBDB0" w14:textId="76B43B0B" w:rsidR="001E25B5" w:rsidRDefault="003523E0">
          <w:pPr>
            <w:pStyle w:val="TOC2"/>
            <w:rPr>
              <w:rFonts w:asciiTheme="minorHAnsi" w:eastAsiaTheme="minorEastAsia" w:hAnsiTheme="minorHAnsi" w:cstheme="minorBidi"/>
              <w:b w:val="0"/>
              <w:noProof/>
              <w:sz w:val="22"/>
              <w:lang w:eastAsia="en-AU"/>
            </w:rPr>
          </w:pPr>
          <w:hyperlink w:anchor="_Toc129701776" w:history="1">
            <w:r w:rsidR="001E25B5" w:rsidRPr="00FD10DE">
              <w:rPr>
                <w:rStyle w:val="Hyperlink"/>
                <w:noProof/>
              </w:rPr>
              <w:t>Clinical</w:t>
            </w:r>
            <w:r w:rsidR="001E25B5">
              <w:rPr>
                <w:noProof/>
                <w:webHidden/>
              </w:rPr>
              <w:tab/>
            </w:r>
            <w:r w:rsidR="001E25B5">
              <w:rPr>
                <w:noProof/>
                <w:webHidden/>
              </w:rPr>
              <w:fldChar w:fldCharType="begin"/>
            </w:r>
            <w:r w:rsidR="001E25B5">
              <w:rPr>
                <w:noProof/>
                <w:webHidden/>
              </w:rPr>
              <w:instrText xml:space="preserve"> PAGEREF _Toc129701776 \h </w:instrText>
            </w:r>
            <w:r w:rsidR="001E25B5">
              <w:rPr>
                <w:noProof/>
                <w:webHidden/>
              </w:rPr>
            </w:r>
            <w:r w:rsidR="001E25B5">
              <w:rPr>
                <w:noProof/>
                <w:webHidden/>
              </w:rPr>
              <w:fldChar w:fldCharType="separate"/>
            </w:r>
            <w:r w:rsidR="001E25B5">
              <w:rPr>
                <w:noProof/>
                <w:webHidden/>
              </w:rPr>
              <w:t>15</w:t>
            </w:r>
            <w:r w:rsidR="001E25B5">
              <w:rPr>
                <w:noProof/>
                <w:webHidden/>
              </w:rPr>
              <w:fldChar w:fldCharType="end"/>
            </w:r>
          </w:hyperlink>
        </w:p>
        <w:p w14:paraId="39F8AEB4" w14:textId="643F7DA5" w:rsidR="001E25B5" w:rsidRDefault="003523E0">
          <w:pPr>
            <w:pStyle w:val="TOC2"/>
            <w:rPr>
              <w:rFonts w:asciiTheme="minorHAnsi" w:eastAsiaTheme="minorEastAsia" w:hAnsiTheme="minorHAnsi" w:cstheme="minorBidi"/>
              <w:b w:val="0"/>
              <w:noProof/>
              <w:sz w:val="22"/>
              <w:lang w:eastAsia="en-AU"/>
            </w:rPr>
          </w:pPr>
          <w:hyperlink w:anchor="_Toc129701777" w:history="1">
            <w:r w:rsidR="001E25B5" w:rsidRPr="00FD10DE">
              <w:rPr>
                <w:rStyle w:val="Hyperlink"/>
                <w:noProof/>
                <w:lang w:eastAsia="en-AU"/>
              </w:rPr>
              <w:t>Risk management plan</w:t>
            </w:r>
            <w:r w:rsidR="001E25B5">
              <w:rPr>
                <w:noProof/>
                <w:webHidden/>
              </w:rPr>
              <w:tab/>
            </w:r>
            <w:r w:rsidR="001E25B5">
              <w:rPr>
                <w:noProof/>
                <w:webHidden/>
              </w:rPr>
              <w:fldChar w:fldCharType="begin"/>
            </w:r>
            <w:r w:rsidR="001E25B5">
              <w:rPr>
                <w:noProof/>
                <w:webHidden/>
              </w:rPr>
              <w:instrText xml:space="preserve"> PAGEREF _Toc129701777 \h </w:instrText>
            </w:r>
            <w:r w:rsidR="001E25B5">
              <w:rPr>
                <w:noProof/>
                <w:webHidden/>
              </w:rPr>
            </w:r>
            <w:r w:rsidR="001E25B5">
              <w:rPr>
                <w:noProof/>
                <w:webHidden/>
              </w:rPr>
              <w:fldChar w:fldCharType="separate"/>
            </w:r>
            <w:r w:rsidR="001E25B5">
              <w:rPr>
                <w:noProof/>
                <w:webHidden/>
              </w:rPr>
              <w:t>60</w:t>
            </w:r>
            <w:r w:rsidR="001E25B5">
              <w:rPr>
                <w:noProof/>
                <w:webHidden/>
              </w:rPr>
              <w:fldChar w:fldCharType="end"/>
            </w:r>
          </w:hyperlink>
        </w:p>
        <w:p w14:paraId="1452F7D9" w14:textId="3A5D863A" w:rsidR="001E25B5" w:rsidRDefault="003523E0">
          <w:pPr>
            <w:pStyle w:val="TOC2"/>
            <w:rPr>
              <w:rFonts w:asciiTheme="minorHAnsi" w:eastAsiaTheme="minorEastAsia" w:hAnsiTheme="minorHAnsi" w:cstheme="minorBidi"/>
              <w:b w:val="0"/>
              <w:noProof/>
              <w:sz w:val="22"/>
              <w:lang w:eastAsia="en-AU"/>
            </w:rPr>
          </w:pPr>
          <w:hyperlink w:anchor="_Toc129701778" w:history="1">
            <w:r w:rsidR="001E25B5" w:rsidRPr="00FD10DE">
              <w:rPr>
                <w:rStyle w:val="Hyperlink"/>
                <w:noProof/>
              </w:rPr>
              <w:t>Risk-benefit analysis</w:t>
            </w:r>
            <w:r w:rsidR="001E25B5">
              <w:rPr>
                <w:noProof/>
                <w:webHidden/>
              </w:rPr>
              <w:tab/>
            </w:r>
            <w:r w:rsidR="001E25B5">
              <w:rPr>
                <w:noProof/>
                <w:webHidden/>
              </w:rPr>
              <w:fldChar w:fldCharType="begin"/>
            </w:r>
            <w:r w:rsidR="001E25B5">
              <w:rPr>
                <w:noProof/>
                <w:webHidden/>
              </w:rPr>
              <w:instrText xml:space="preserve"> PAGEREF _Toc129701778 \h </w:instrText>
            </w:r>
            <w:r w:rsidR="001E25B5">
              <w:rPr>
                <w:noProof/>
                <w:webHidden/>
              </w:rPr>
            </w:r>
            <w:r w:rsidR="001E25B5">
              <w:rPr>
                <w:noProof/>
                <w:webHidden/>
              </w:rPr>
              <w:fldChar w:fldCharType="separate"/>
            </w:r>
            <w:r w:rsidR="001E25B5">
              <w:rPr>
                <w:noProof/>
                <w:webHidden/>
              </w:rPr>
              <w:t>62</w:t>
            </w:r>
            <w:r w:rsidR="001E25B5">
              <w:rPr>
                <w:noProof/>
                <w:webHidden/>
              </w:rPr>
              <w:fldChar w:fldCharType="end"/>
            </w:r>
          </w:hyperlink>
        </w:p>
        <w:p w14:paraId="4DFB0C1C" w14:textId="66C157AE" w:rsidR="001E25B5" w:rsidRDefault="003523E0">
          <w:pPr>
            <w:pStyle w:val="TOC1"/>
            <w:rPr>
              <w:rFonts w:asciiTheme="minorHAnsi" w:eastAsiaTheme="minorEastAsia" w:hAnsiTheme="minorHAnsi" w:cstheme="minorBidi"/>
              <w:b w:val="0"/>
              <w:noProof/>
              <w:sz w:val="22"/>
              <w:lang w:eastAsia="en-AU"/>
            </w:rPr>
          </w:pPr>
          <w:hyperlink w:anchor="_Toc129701779" w:history="1">
            <w:r w:rsidR="001E25B5" w:rsidRPr="00FD10DE">
              <w:rPr>
                <w:rStyle w:val="Hyperlink"/>
                <w:noProof/>
              </w:rPr>
              <w:t>Outcome</w:t>
            </w:r>
            <w:r w:rsidR="001E25B5">
              <w:rPr>
                <w:noProof/>
                <w:webHidden/>
              </w:rPr>
              <w:tab/>
            </w:r>
            <w:r w:rsidR="001E25B5">
              <w:rPr>
                <w:noProof/>
                <w:webHidden/>
              </w:rPr>
              <w:fldChar w:fldCharType="begin"/>
            </w:r>
            <w:r w:rsidR="001E25B5">
              <w:rPr>
                <w:noProof/>
                <w:webHidden/>
              </w:rPr>
              <w:instrText xml:space="preserve"> PAGEREF _Toc129701779 \h </w:instrText>
            </w:r>
            <w:r w:rsidR="001E25B5">
              <w:rPr>
                <w:noProof/>
                <w:webHidden/>
              </w:rPr>
            </w:r>
            <w:r w:rsidR="001E25B5">
              <w:rPr>
                <w:noProof/>
                <w:webHidden/>
              </w:rPr>
              <w:fldChar w:fldCharType="separate"/>
            </w:r>
            <w:r w:rsidR="001E25B5">
              <w:rPr>
                <w:noProof/>
                <w:webHidden/>
              </w:rPr>
              <w:t>69</w:t>
            </w:r>
            <w:r w:rsidR="001E25B5">
              <w:rPr>
                <w:noProof/>
                <w:webHidden/>
              </w:rPr>
              <w:fldChar w:fldCharType="end"/>
            </w:r>
          </w:hyperlink>
        </w:p>
        <w:p w14:paraId="330C6491" w14:textId="706D587E" w:rsidR="001E25B5" w:rsidRDefault="003523E0">
          <w:pPr>
            <w:pStyle w:val="TOC2"/>
            <w:rPr>
              <w:rFonts w:asciiTheme="minorHAnsi" w:eastAsiaTheme="minorEastAsia" w:hAnsiTheme="minorHAnsi" w:cstheme="minorBidi"/>
              <w:b w:val="0"/>
              <w:noProof/>
              <w:sz w:val="22"/>
              <w:lang w:eastAsia="en-AU"/>
            </w:rPr>
          </w:pPr>
          <w:hyperlink w:anchor="_Toc129701780" w:history="1">
            <w:r w:rsidR="001E25B5" w:rsidRPr="00FD10DE">
              <w:rPr>
                <w:rStyle w:val="Hyperlink"/>
                <w:noProof/>
              </w:rPr>
              <w:t>Specific conditions of registration applying to these goods</w:t>
            </w:r>
            <w:r w:rsidR="001E25B5">
              <w:rPr>
                <w:noProof/>
                <w:webHidden/>
              </w:rPr>
              <w:tab/>
            </w:r>
            <w:r w:rsidR="001E25B5">
              <w:rPr>
                <w:noProof/>
                <w:webHidden/>
              </w:rPr>
              <w:fldChar w:fldCharType="begin"/>
            </w:r>
            <w:r w:rsidR="001E25B5">
              <w:rPr>
                <w:noProof/>
                <w:webHidden/>
              </w:rPr>
              <w:instrText xml:space="preserve"> PAGEREF _Toc129701780 \h </w:instrText>
            </w:r>
            <w:r w:rsidR="001E25B5">
              <w:rPr>
                <w:noProof/>
                <w:webHidden/>
              </w:rPr>
            </w:r>
            <w:r w:rsidR="001E25B5">
              <w:rPr>
                <w:noProof/>
                <w:webHidden/>
              </w:rPr>
              <w:fldChar w:fldCharType="separate"/>
            </w:r>
            <w:r w:rsidR="001E25B5">
              <w:rPr>
                <w:noProof/>
                <w:webHidden/>
              </w:rPr>
              <w:t>69</w:t>
            </w:r>
            <w:r w:rsidR="001E25B5">
              <w:rPr>
                <w:noProof/>
                <w:webHidden/>
              </w:rPr>
              <w:fldChar w:fldCharType="end"/>
            </w:r>
          </w:hyperlink>
        </w:p>
        <w:p w14:paraId="7D7AD2B5" w14:textId="0CF17786" w:rsidR="001E25B5" w:rsidRDefault="003523E0">
          <w:pPr>
            <w:pStyle w:val="TOC1"/>
            <w:rPr>
              <w:rFonts w:asciiTheme="minorHAnsi" w:eastAsiaTheme="minorEastAsia" w:hAnsiTheme="minorHAnsi" w:cstheme="minorBidi"/>
              <w:b w:val="0"/>
              <w:noProof/>
              <w:sz w:val="22"/>
              <w:lang w:eastAsia="en-AU"/>
            </w:rPr>
          </w:pPr>
          <w:hyperlink w:anchor="_Toc129701781" w:history="1">
            <w:r w:rsidR="001E25B5" w:rsidRPr="00FD10DE">
              <w:rPr>
                <w:rStyle w:val="Hyperlink"/>
                <w:noProof/>
              </w:rPr>
              <w:t>Attachment 1. Product Information</w:t>
            </w:r>
            <w:r w:rsidR="001E25B5">
              <w:rPr>
                <w:noProof/>
                <w:webHidden/>
              </w:rPr>
              <w:tab/>
            </w:r>
            <w:r w:rsidR="001E25B5">
              <w:rPr>
                <w:noProof/>
                <w:webHidden/>
              </w:rPr>
              <w:fldChar w:fldCharType="begin"/>
            </w:r>
            <w:r w:rsidR="001E25B5">
              <w:rPr>
                <w:noProof/>
                <w:webHidden/>
              </w:rPr>
              <w:instrText xml:space="preserve"> PAGEREF _Toc129701781 \h </w:instrText>
            </w:r>
            <w:r w:rsidR="001E25B5">
              <w:rPr>
                <w:noProof/>
                <w:webHidden/>
              </w:rPr>
            </w:r>
            <w:r w:rsidR="001E25B5">
              <w:rPr>
                <w:noProof/>
                <w:webHidden/>
              </w:rPr>
              <w:fldChar w:fldCharType="separate"/>
            </w:r>
            <w:r w:rsidR="001E25B5">
              <w:rPr>
                <w:noProof/>
                <w:webHidden/>
              </w:rPr>
              <w:t>70</w:t>
            </w:r>
            <w:r w:rsidR="001E25B5">
              <w:rPr>
                <w:noProof/>
                <w:webHidden/>
              </w:rPr>
              <w:fldChar w:fldCharType="end"/>
            </w:r>
          </w:hyperlink>
        </w:p>
        <w:p w14:paraId="6482B2FF" w14:textId="6BF26742" w:rsidR="003A7F6C" w:rsidRPr="00E61EC7" w:rsidRDefault="002A2C48" w:rsidP="00EB36D6">
          <w:r w:rsidRPr="00E61EC7">
            <w:fldChar w:fldCharType="end"/>
          </w:r>
        </w:p>
      </w:sdtContent>
    </w:sdt>
    <w:bookmarkStart w:id="5" w:name="_Toc314842482" w:displacedByCustomXml="prev"/>
    <w:p w14:paraId="0519CB43" w14:textId="77777777" w:rsidR="00FD119B" w:rsidRPr="00E61EC7" w:rsidRDefault="002A2C48">
      <w:pPr>
        <w:spacing w:before="0" w:after="200" w:line="0" w:lineRule="auto"/>
      </w:pPr>
      <w:r w:rsidRPr="00E61EC7">
        <w:br w:type="page"/>
      </w:r>
    </w:p>
    <w:p w14:paraId="49978F06" w14:textId="77777777" w:rsidR="00AF2313" w:rsidRPr="00E61EC7" w:rsidRDefault="002A2C48" w:rsidP="00AF2313">
      <w:pPr>
        <w:pStyle w:val="Heading2"/>
      </w:pPr>
      <w:bookmarkStart w:id="6" w:name="_Toc98931917"/>
      <w:bookmarkStart w:id="7" w:name="_Toc129701766"/>
      <w:r w:rsidRPr="00E61EC7">
        <w:lastRenderedPageBreak/>
        <w:t>List of abbreviations</w:t>
      </w:r>
      <w:bookmarkEnd w:id="6"/>
      <w:bookmarkEnd w:id="7"/>
    </w:p>
    <w:tbl>
      <w:tblPr>
        <w:tblStyle w:val="TableTGAblue"/>
        <w:tblW w:w="5000" w:type="pct"/>
        <w:tblLook w:val="04A0" w:firstRow="1" w:lastRow="0" w:firstColumn="1" w:lastColumn="0" w:noHBand="0" w:noVBand="1"/>
      </w:tblPr>
      <w:tblGrid>
        <w:gridCol w:w="1830"/>
        <w:gridCol w:w="66"/>
        <w:gridCol w:w="6588"/>
      </w:tblGrid>
      <w:tr w:rsidR="00B0264A" w14:paraId="28D224FE" w14:textId="77777777" w:rsidTr="006E360B">
        <w:trPr>
          <w:cnfStyle w:val="100000000000" w:firstRow="1" w:lastRow="0" w:firstColumn="0" w:lastColumn="0" w:oddVBand="0" w:evenVBand="0" w:oddHBand="0" w:evenHBand="0" w:firstRowFirstColumn="0" w:firstRowLastColumn="0" w:lastRowFirstColumn="0" w:lastRowLastColumn="0"/>
          <w:cantSplit/>
        </w:trPr>
        <w:tc>
          <w:tcPr>
            <w:tcW w:w="1116" w:type="pct"/>
            <w:gridSpan w:val="2"/>
            <w:hideMark/>
          </w:tcPr>
          <w:p w14:paraId="20CFE1A6" w14:textId="77777777" w:rsidR="00AF2313" w:rsidRPr="00E61EC7" w:rsidRDefault="002A2C48">
            <w:pPr>
              <w:rPr>
                <w:color w:val="FFFFFF"/>
              </w:rPr>
            </w:pPr>
            <w:bookmarkStart w:id="8" w:name="_Hlk118320664"/>
            <w:r w:rsidRPr="00E61EC7">
              <w:t>Abbreviation</w:t>
            </w:r>
          </w:p>
        </w:tc>
        <w:tc>
          <w:tcPr>
            <w:tcW w:w="3884" w:type="pct"/>
            <w:hideMark/>
          </w:tcPr>
          <w:p w14:paraId="62105D24" w14:textId="77777777" w:rsidR="00AF2313" w:rsidRPr="00E61EC7" w:rsidRDefault="002A2C48">
            <w:r w:rsidRPr="00E61EC7">
              <w:t>Meaning</w:t>
            </w:r>
          </w:p>
        </w:tc>
      </w:tr>
      <w:tr w:rsidR="00B0264A" w14:paraId="42D189DD"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20E1E1DE" w14:textId="45C0E5E1" w:rsidR="003D5C82" w:rsidRPr="00E61EC7" w:rsidRDefault="002A2C48" w:rsidP="003D5C82">
            <w:r w:rsidRPr="00E61EC7">
              <w:t>ACM</w:t>
            </w:r>
          </w:p>
        </w:tc>
        <w:tc>
          <w:tcPr>
            <w:tcW w:w="3920" w:type="pct"/>
            <w:gridSpan w:val="2"/>
            <w:tcBorders>
              <w:top w:val="single" w:sz="8" w:space="0" w:color="002C47"/>
              <w:left w:val="single" w:sz="8" w:space="0" w:color="002C47"/>
              <w:bottom w:val="single" w:sz="8" w:space="0" w:color="002C47"/>
              <w:right w:val="single" w:sz="8" w:space="0" w:color="002C47"/>
            </w:tcBorders>
          </w:tcPr>
          <w:p w14:paraId="14A2C0F7" w14:textId="143FC534" w:rsidR="003D5C82" w:rsidRPr="00E61EC7" w:rsidRDefault="002A2C48" w:rsidP="003D5C82">
            <w:r w:rsidRPr="00E61EC7">
              <w:t>Advisory Committee on Medicines</w:t>
            </w:r>
          </w:p>
        </w:tc>
      </w:tr>
      <w:tr w:rsidR="00B0264A" w14:paraId="3B4EFA46"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BA2BDB8" w14:textId="6D7D14E9" w:rsidR="003D5C82" w:rsidRPr="00E61EC7" w:rsidRDefault="002A2C48" w:rsidP="003D5C82">
            <w:r w:rsidRPr="00E61EC7">
              <w:t>ADA</w:t>
            </w:r>
          </w:p>
        </w:tc>
        <w:tc>
          <w:tcPr>
            <w:tcW w:w="3920" w:type="pct"/>
            <w:gridSpan w:val="2"/>
            <w:tcBorders>
              <w:top w:val="single" w:sz="8" w:space="0" w:color="002C47"/>
              <w:left w:val="single" w:sz="8" w:space="0" w:color="002C47"/>
              <w:bottom w:val="single" w:sz="8" w:space="0" w:color="002C47"/>
              <w:right w:val="single" w:sz="8" w:space="0" w:color="002C47"/>
            </w:tcBorders>
          </w:tcPr>
          <w:p w14:paraId="2D554544" w14:textId="7298113F" w:rsidR="003D5C82" w:rsidRPr="00E61EC7" w:rsidRDefault="002A2C48" w:rsidP="003D5C82">
            <w:r w:rsidRPr="00E61EC7">
              <w:t>Anti-drug antibody</w:t>
            </w:r>
          </w:p>
        </w:tc>
      </w:tr>
      <w:tr w:rsidR="00B0264A" w14:paraId="4B734349"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5FE42E96" w14:textId="4EDA9F96" w:rsidR="003D5C82" w:rsidRPr="00E61EC7" w:rsidRDefault="002A2C48" w:rsidP="003D5C82">
            <w:r w:rsidRPr="00E61EC7">
              <w:t>ADR</w:t>
            </w:r>
          </w:p>
        </w:tc>
        <w:tc>
          <w:tcPr>
            <w:tcW w:w="3920" w:type="pct"/>
            <w:gridSpan w:val="2"/>
            <w:tcBorders>
              <w:top w:val="single" w:sz="8" w:space="0" w:color="002C47"/>
              <w:left w:val="single" w:sz="8" w:space="0" w:color="002C47"/>
              <w:bottom w:val="single" w:sz="8" w:space="0" w:color="002C47"/>
              <w:right w:val="single" w:sz="8" w:space="0" w:color="002C47"/>
            </w:tcBorders>
          </w:tcPr>
          <w:p w14:paraId="4FDC248E" w14:textId="7168B2B2" w:rsidR="003D5C82" w:rsidRPr="00E61EC7" w:rsidRDefault="002A2C48" w:rsidP="003D5C82">
            <w:r w:rsidRPr="00E61EC7">
              <w:t>Adverse drug reaction</w:t>
            </w:r>
          </w:p>
        </w:tc>
      </w:tr>
      <w:tr w:rsidR="00B0264A" w14:paraId="5827643D"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1FE93059" w14:textId="29DDCD9E" w:rsidR="003D5C82" w:rsidRPr="00E61EC7" w:rsidRDefault="002A2C48" w:rsidP="003D5C82">
            <w:r w:rsidRPr="00E61EC7">
              <w:t>AE</w:t>
            </w:r>
          </w:p>
        </w:tc>
        <w:tc>
          <w:tcPr>
            <w:tcW w:w="3920" w:type="pct"/>
            <w:gridSpan w:val="2"/>
            <w:tcBorders>
              <w:top w:val="single" w:sz="8" w:space="0" w:color="002C47"/>
              <w:left w:val="single" w:sz="8" w:space="0" w:color="002C47"/>
              <w:bottom w:val="single" w:sz="8" w:space="0" w:color="002C47"/>
              <w:right w:val="single" w:sz="8" w:space="0" w:color="002C47"/>
            </w:tcBorders>
          </w:tcPr>
          <w:p w14:paraId="4FF07E3A" w14:textId="3D25F7FF" w:rsidR="003D5C82" w:rsidRPr="00E61EC7" w:rsidRDefault="002A2C48" w:rsidP="003D5C82">
            <w:r w:rsidRPr="00E61EC7">
              <w:t>Adverse event</w:t>
            </w:r>
          </w:p>
        </w:tc>
      </w:tr>
      <w:tr w:rsidR="00B0264A" w14:paraId="351BAC8A"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A3D6AF2" w14:textId="74A7C40E" w:rsidR="003D5C82" w:rsidRPr="00E61EC7" w:rsidRDefault="002A2C48" w:rsidP="003D5C82">
            <w:r w:rsidRPr="00E61EC7">
              <w:t>AESI</w:t>
            </w:r>
          </w:p>
        </w:tc>
        <w:tc>
          <w:tcPr>
            <w:tcW w:w="3920" w:type="pct"/>
            <w:gridSpan w:val="2"/>
            <w:tcBorders>
              <w:top w:val="single" w:sz="8" w:space="0" w:color="002C47"/>
              <w:left w:val="single" w:sz="8" w:space="0" w:color="002C47"/>
              <w:bottom w:val="single" w:sz="8" w:space="0" w:color="002C47"/>
              <w:right w:val="single" w:sz="8" w:space="0" w:color="002C47"/>
            </w:tcBorders>
          </w:tcPr>
          <w:p w14:paraId="213CD09C" w14:textId="7C7EC547" w:rsidR="003D5C82" w:rsidRPr="00E61EC7" w:rsidRDefault="002A2C48" w:rsidP="003D5C82">
            <w:r w:rsidRPr="00E61EC7">
              <w:t>Adverse event of special interest</w:t>
            </w:r>
          </w:p>
        </w:tc>
      </w:tr>
      <w:tr w:rsidR="00B0264A" w14:paraId="7CAA370D"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01B708FF" w14:textId="5B976E90" w:rsidR="003D5C82" w:rsidRPr="00E61EC7" w:rsidRDefault="002A2C48" w:rsidP="003D5C82">
            <w:r w:rsidRPr="00E61EC7">
              <w:t>AMD</w:t>
            </w:r>
          </w:p>
        </w:tc>
        <w:tc>
          <w:tcPr>
            <w:tcW w:w="3920" w:type="pct"/>
            <w:gridSpan w:val="2"/>
            <w:tcBorders>
              <w:top w:val="single" w:sz="8" w:space="0" w:color="002C47"/>
              <w:left w:val="single" w:sz="8" w:space="0" w:color="002C47"/>
              <w:bottom w:val="single" w:sz="8" w:space="0" w:color="002C47"/>
              <w:right w:val="single" w:sz="8" w:space="0" w:color="002C47"/>
            </w:tcBorders>
          </w:tcPr>
          <w:p w14:paraId="65E0D076" w14:textId="5B7960C7" w:rsidR="003D5C82" w:rsidRPr="00E61EC7" w:rsidRDefault="002A2C48" w:rsidP="003D5C82">
            <w:r w:rsidRPr="00E61EC7">
              <w:t>Age-related macular degeneration</w:t>
            </w:r>
          </w:p>
        </w:tc>
      </w:tr>
      <w:tr w:rsidR="00B0264A" w14:paraId="782DBD6D"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290EEC0E" w14:textId="5A82A3A8" w:rsidR="003D5C82" w:rsidRPr="00E61EC7" w:rsidRDefault="002A2C48" w:rsidP="003D5C82">
            <w:r w:rsidRPr="00E61EC7">
              <w:t>Ang-2</w:t>
            </w:r>
          </w:p>
        </w:tc>
        <w:tc>
          <w:tcPr>
            <w:tcW w:w="3920" w:type="pct"/>
            <w:gridSpan w:val="2"/>
            <w:tcBorders>
              <w:top w:val="single" w:sz="8" w:space="0" w:color="002C47"/>
              <w:left w:val="single" w:sz="8" w:space="0" w:color="002C47"/>
              <w:bottom w:val="single" w:sz="8" w:space="0" w:color="002C47"/>
              <w:right w:val="single" w:sz="8" w:space="0" w:color="002C47"/>
            </w:tcBorders>
          </w:tcPr>
          <w:p w14:paraId="3C829227" w14:textId="45AA5B2E" w:rsidR="003D5C82" w:rsidRPr="00E61EC7" w:rsidRDefault="002A2C48" w:rsidP="003D5C82">
            <w:r w:rsidRPr="00E61EC7">
              <w:t>Angiopoietin-2</w:t>
            </w:r>
          </w:p>
        </w:tc>
      </w:tr>
      <w:tr w:rsidR="00B0264A" w14:paraId="36464B5D"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0DC907F2" w14:textId="41858F3D" w:rsidR="003D5C82" w:rsidRPr="00E61EC7" w:rsidRDefault="002A2C48" w:rsidP="003D5C82">
            <w:r w:rsidRPr="00E61EC7">
              <w:t>APTC</w:t>
            </w:r>
          </w:p>
        </w:tc>
        <w:tc>
          <w:tcPr>
            <w:tcW w:w="3920" w:type="pct"/>
            <w:gridSpan w:val="2"/>
            <w:tcBorders>
              <w:top w:val="single" w:sz="8" w:space="0" w:color="002C47"/>
              <w:left w:val="single" w:sz="8" w:space="0" w:color="002C47"/>
              <w:bottom w:val="single" w:sz="8" w:space="0" w:color="002C47"/>
              <w:right w:val="single" w:sz="8" w:space="0" w:color="002C47"/>
            </w:tcBorders>
          </w:tcPr>
          <w:p w14:paraId="74428070" w14:textId="3BD4E7EF" w:rsidR="003D5C82" w:rsidRPr="00E61EC7" w:rsidRDefault="002A2C48" w:rsidP="003D5C82">
            <w:r w:rsidRPr="00E61EC7">
              <w:t>Anti-platelet Trialists’ Collaboration</w:t>
            </w:r>
          </w:p>
        </w:tc>
      </w:tr>
      <w:tr w:rsidR="00B0264A" w14:paraId="7F411EBE"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41C6003C" w14:textId="71D28E51" w:rsidR="003D5C82" w:rsidRPr="00E61EC7" w:rsidRDefault="002A2C48" w:rsidP="003D5C82">
            <w:r w:rsidRPr="00E61EC7">
              <w:t>ARGPM</w:t>
            </w:r>
          </w:p>
        </w:tc>
        <w:tc>
          <w:tcPr>
            <w:tcW w:w="3920" w:type="pct"/>
            <w:gridSpan w:val="2"/>
            <w:tcBorders>
              <w:top w:val="single" w:sz="8" w:space="0" w:color="002C47"/>
              <w:left w:val="single" w:sz="8" w:space="0" w:color="002C47"/>
              <w:bottom w:val="single" w:sz="8" w:space="0" w:color="002C47"/>
              <w:right w:val="single" w:sz="8" w:space="0" w:color="002C47"/>
            </w:tcBorders>
          </w:tcPr>
          <w:p w14:paraId="6403C248" w14:textId="508BE7EC" w:rsidR="003D5C82" w:rsidRPr="00E61EC7" w:rsidRDefault="002A2C48" w:rsidP="003D5C82">
            <w:r w:rsidRPr="00E61EC7">
              <w:t>Australian Regulatory Guidelines for Prescription Medicines</w:t>
            </w:r>
          </w:p>
        </w:tc>
      </w:tr>
      <w:tr w:rsidR="00B0264A" w14:paraId="000A2B9D"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00455005" w14:textId="718C0810" w:rsidR="003D5C82" w:rsidRPr="00E61EC7" w:rsidRDefault="002A2C48" w:rsidP="003D5C82">
            <w:r w:rsidRPr="00E61EC7">
              <w:t>ARTG</w:t>
            </w:r>
          </w:p>
        </w:tc>
        <w:tc>
          <w:tcPr>
            <w:tcW w:w="3920" w:type="pct"/>
            <w:gridSpan w:val="2"/>
            <w:tcBorders>
              <w:top w:val="single" w:sz="8" w:space="0" w:color="002C47"/>
              <w:left w:val="single" w:sz="8" w:space="0" w:color="002C47"/>
              <w:bottom w:val="single" w:sz="8" w:space="0" w:color="002C47"/>
              <w:right w:val="single" w:sz="8" w:space="0" w:color="002C47"/>
            </w:tcBorders>
          </w:tcPr>
          <w:p w14:paraId="7E1B7FFE" w14:textId="241E440D" w:rsidR="003D5C82" w:rsidRPr="00E61EC7" w:rsidRDefault="002A2C48" w:rsidP="003D5C82">
            <w:r w:rsidRPr="00E61EC7">
              <w:t>Australian Register of Therapeutic Goods</w:t>
            </w:r>
          </w:p>
        </w:tc>
      </w:tr>
      <w:tr w:rsidR="00B0264A" w14:paraId="472B0C2A"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030687CA" w14:textId="3825727A" w:rsidR="003D5C82" w:rsidRPr="00E61EC7" w:rsidRDefault="002A2C48" w:rsidP="003D5C82">
            <w:r w:rsidRPr="00E61EC7">
              <w:t>ASA</w:t>
            </w:r>
          </w:p>
        </w:tc>
        <w:tc>
          <w:tcPr>
            <w:tcW w:w="3920" w:type="pct"/>
            <w:gridSpan w:val="2"/>
            <w:tcBorders>
              <w:top w:val="single" w:sz="8" w:space="0" w:color="002C47"/>
              <w:left w:val="single" w:sz="8" w:space="0" w:color="002C47"/>
              <w:bottom w:val="single" w:sz="8" w:space="0" w:color="002C47"/>
              <w:right w:val="single" w:sz="8" w:space="0" w:color="002C47"/>
            </w:tcBorders>
          </w:tcPr>
          <w:p w14:paraId="2C940FB3" w14:textId="0FA57E4D" w:rsidR="003D5C82" w:rsidRPr="00E61EC7" w:rsidRDefault="002A2C48" w:rsidP="003D5C82">
            <w:bookmarkStart w:id="9" w:name="_Hlk118406309"/>
            <w:r w:rsidRPr="00E61EC7">
              <w:t>Australia specific annex</w:t>
            </w:r>
            <w:bookmarkEnd w:id="9"/>
          </w:p>
        </w:tc>
      </w:tr>
      <w:tr w:rsidR="00B0264A" w14:paraId="67605F05"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0467077F" w14:textId="5AEB0A7E" w:rsidR="003D5C82" w:rsidRPr="00E61EC7" w:rsidRDefault="002A2C48" w:rsidP="003D5C82">
            <w:r w:rsidRPr="00E61EC7">
              <w:t>BCVA</w:t>
            </w:r>
          </w:p>
        </w:tc>
        <w:tc>
          <w:tcPr>
            <w:tcW w:w="3920" w:type="pct"/>
            <w:gridSpan w:val="2"/>
            <w:tcBorders>
              <w:top w:val="single" w:sz="8" w:space="0" w:color="002C47"/>
              <w:left w:val="single" w:sz="8" w:space="0" w:color="002C47"/>
              <w:bottom w:val="single" w:sz="8" w:space="0" w:color="002C47"/>
              <w:right w:val="single" w:sz="8" w:space="0" w:color="002C47"/>
            </w:tcBorders>
          </w:tcPr>
          <w:p w14:paraId="7F973886" w14:textId="3E697543" w:rsidR="003D5C82" w:rsidRPr="00E61EC7" w:rsidRDefault="002A2C48" w:rsidP="003D5C82">
            <w:bookmarkStart w:id="10" w:name="_Hlk118404453"/>
            <w:r w:rsidRPr="00E61EC7">
              <w:t>Best corrected visual acuity</w:t>
            </w:r>
            <w:bookmarkEnd w:id="10"/>
          </w:p>
        </w:tc>
      </w:tr>
      <w:tr w:rsidR="00B0264A" w14:paraId="0041DE6F"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5D1AE30F" w14:textId="098E0AE5" w:rsidR="003D5C82" w:rsidRPr="00E61EC7" w:rsidRDefault="002A2C48" w:rsidP="003D5C82">
            <w:r w:rsidRPr="00E61EC7">
              <w:t>CI</w:t>
            </w:r>
          </w:p>
        </w:tc>
        <w:tc>
          <w:tcPr>
            <w:tcW w:w="3920" w:type="pct"/>
            <w:gridSpan w:val="2"/>
            <w:tcBorders>
              <w:top w:val="single" w:sz="8" w:space="0" w:color="002C47"/>
              <w:left w:val="single" w:sz="8" w:space="0" w:color="002C47"/>
              <w:bottom w:val="single" w:sz="8" w:space="0" w:color="002C47"/>
              <w:right w:val="single" w:sz="8" w:space="0" w:color="002C47"/>
            </w:tcBorders>
          </w:tcPr>
          <w:p w14:paraId="6B859F6C" w14:textId="294497E8" w:rsidR="003D5C82" w:rsidRPr="00E61EC7" w:rsidRDefault="002A2C48" w:rsidP="003D5C82">
            <w:r w:rsidRPr="00E61EC7">
              <w:t>Confidence interval</w:t>
            </w:r>
          </w:p>
        </w:tc>
      </w:tr>
      <w:tr w:rsidR="00B0264A" w14:paraId="78D858BE"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1FF15CFF" w14:textId="1ED16085" w:rsidR="003D5C82" w:rsidRPr="00E61EC7" w:rsidRDefault="002A2C48" w:rsidP="003D5C82">
            <w:proofErr w:type="spellStart"/>
            <w:r w:rsidRPr="00E61EC7">
              <w:t>C</w:t>
            </w:r>
            <w:r w:rsidRPr="00E61EC7">
              <w:rPr>
                <w:vertAlign w:val="subscript"/>
              </w:rPr>
              <w:t>max</w:t>
            </w:r>
            <w:proofErr w:type="spellEnd"/>
          </w:p>
        </w:tc>
        <w:tc>
          <w:tcPr>
            <w:tcW w:w="3920" w:type="pct"/>
            <w:gridSpan w:val="2"/>
            <w:tcBorders>
              <w:top w:val="single" w:sz="8" w:space="0" w:color="002C47"/>
              <w:left w:val="single" w:sz="8" w:space="0" w:color="002C47"/>
              <w:bottom w:val="single" w:sz="8" w:space="0" w:color="002C47"/>
              <w:right w:val="single" w:sz="8" w:space="0" w:color="002C47"/>
            </w:tcBorders>
          </w:tcPr>
          <w:p w14:paraId="0989719D" w14:textId="00813AD8" w:rsidR="003D5C82" w:rsidRPr="00E61EC7" w:rsidRDefault="002A2C48" w:rsidP="003D5C82">
            <w:r w:rsidRPr="00E61EC7">
              <w:t>Maximum concentration</w:t>
            </w:r>
          </w:p>
        </w:tc>
      </w:tr>
      <w:tr w:rsidR="00B0264A" w14:paraId="2E54D48B"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C0479C3" w14:textId="076A9B30" w:rsidR="003D5C82" w:rsidRPr="00E61EC7" w:rsidRDefault="002A2C48" w:rsidP="003D5C82">
            <w:r w:rsidRPr="00E61EC7">
              <w:t>CMI</w:t>
            </w:r>
          </w:p>
        </w:tc>
        <w:tc>
          <w:tcPr>
            <w:tcW w:w="3920" w:type="pct"/>
            <w:gridSpan w:val="2"/>
            <w:tcBorders>
              <w:top w:val="single" w:sz="8" w:space="0" w:color="002C47"/>
              <w:left w:val="single" w:sz="8" w:space="0" w:color="002C47"/>
              <w:bottom w:val="single" w:sz="8" w:space="0" w:color="002C47"/>
              <w:right w:val="single" w:sz="8" w:space="0" w:color="002C47"/>
            </w:tcBorders>
          </w:tcPr>
          <w:p w14:paraId="52C01790" w14:textId="1FD026E1" w:rsidR="003D5C82" w:rsidRPr="00E61EC7" w:rsidRDefault="002A2C48" w:rsidP="003D5C82">
            <w:r w:rsidRPr="00E61EC7">
              <w:t>Consumer Medicines Information</w:t>
            </w:r>
          </w:p>
        </w:tc>
      </w:tr>
      <w:tr w:rsidR="00B0264A" w14:paraId="34C662EB"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21CC8BE4" w14:textId="39CD9F39" w:rsidR="003D5C82" w:rsidRPr="00E61EC7" w:rsidRDefault="002A2C48" w:rsidP="003D5C82">
            <w:r w:rsidRPr="00E61EC7">
              <w:t>COVID-19</w:t>
            </w:r>
          </w:p>
        </w:tc>
        <w:tc>
          <w:tcPr>
            <w:tcW w:w="3920" w:type="pct"/>
            <w:gridSpan w:val="2"/>
            <w:tcBorders>
              <w:top w:val="single" w:sz="8" w:space="0" w:color="002C47"/>
              <w:left w:val="single" w:sz="8" w:space="0" w:color="002C47"/>
              <w:bottom w:val="single" w:sz="8" w:space="0" w:color="002C47"/>
              <w:right w:val="single" w:sz="8" w:space="0" w:color="002C47"/>
            </w:tcBorders>
          </w:tcPr>
          <w:p w14:paraId="3F1F7488" w14:textId="3B45F366" w:rsidR="003D5C82" w:rsidRPr="00E61EC7" w:rsidRDefault="002A2C48" w:rsidP="003D5C82">
            <w:r w:rsidRPr="00E61EC7">
              <w:t>Coronavirus disease 2019</w:t>
            </w:r>
          </w:p>
        </w:tc>
      </w:tr>
      <w:tr w:rsidR="00B0264A" w14:paraId="7A1A87F4"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E5934BE" w14:textId="66DE8EE1" w:rsidR="003D5C82" w:rsidRPr="00E61EC7" w:rsidRDefault="002A2C48" w:rsidP="003D5C82">
            <w:r w:rsidRPr="00E61EC7">
              <w:t>CPD</w:t>
            </w:r>
          </w:p>
        </w:tc>
        <w:tc>
          <w:tcPr>
            <w:tcW w:w="3920" w:type="pct"/>
            <w:gridSpan w:val="2"/>
            <w:tcBorders>
              <w:top w:val="single" w:sz="8" w:space="0" w:color="002C47"/>
              <w:left w:val="single" w:sz="8" w:space="0" w:color="002C47"/>
              <w:bottom w:val="single" w:sz="8" w:space="0" w:color="002C47"/>
              <w:right w:val="single" w:sz="8" w:space="0" w:color="002C47"/>
            </w:tcBorders>
          </w:tcPr>
          <w:p w14:paraId="3F494CF7" w14:textId="031C35AB" w:rsidR="003D5C82" w:rsidRPr="00E61EC7" w:rsidRDefault="002A2C48" w:rsidP="003D5C82">
            <w:r w:rsidRPr="00E61EC7">
              <w:t>Certified Product Details</w:t>
            </w:r>
          </w:p>
        </w:tc>
      </w:tr>
      <w:tr w:rsidR="00B0264A" w14:paraId="4FA247BC"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5FAC9E9D" w14:textId="1FA6DB07" w:rsidR="003D5C82" w:rsidRPr="00E61EC7" w:rsidRDefault="002A2C48" w:rsidP="003D5C82">
            <w:r w:rsidRPr="00E61EC7">
              <w:t>CST</w:t>
            </w:r>
          </w:p>
        </w:tc>
        <w:tc>
          <w:tcPr>
            <w:tcW w:w="3920" w:type="pct"/>
            <w:gridSpan w:val="2"/>
            <w:tcBorders>
              <w:top w:val="single" w:sz="8" w:space="0" w:color="002C47"/>
              <w:left w:val="single" w:sz="8" w:space="0" w:color="002C47"/>
              <w:bottom w:val="single" w:sz="8" w:space="0" w:color="002C47"/>
              <w:right w:val="single" w:sz="8" w:space="0" w:color="002C47"/>
            </w:tcBorders>
          </w:tcPr>
          <w:p w14:paraId="7C4DCC44" w14:textId="42551DC1" w:rsidR="003D5C82" w:rsidRPr="00E61EC7" w:rsidRDefault="002A2C48" w:rsidP="003D5C82">
            <w:bookmarkStart w:id="11" w:name="_Hlk118404538"/>
            <w:r w:rsidRPr="00E61EC7">
              <w:t>Central subfield thickness</w:t>
            </w:r>
            <w:bookmarkEnd w:id="11"/>
          </w:p>
        </w:tc>
      </w:tr>
      <w:tr w:rsidR="00B0264A" w14:paraId="4EEED8FF"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E792DFA" w14:textId="3C0795E3" w:rsidR="003D5C82" w:rsidRPr="00E61EC7" w:rsidRDefault="002A2C48" w:rsidP="003D5C82">
            <w:r w:rsidRPr="00E61EC7">
              <w:t>CV</w:t>
            </w:r>
          </w:p>
        </w:tc>
        <w:tc>
          <w:tcPr>
            <w:tcW w:w="3920" w:type="pct"/>
            <w:gridSpan w:val="2"/>
            <w:tcBorders>
              <w:top w:val="single" w:sz="8" w:space="0" w:color="002C47"/>
              <w:left w:val="single" w:sz="8" w:space="0" w:color="002C47"/>
              <w:bottom w:val="single" w:sz="8" w:space="0" w:color="002C47"/>
              <w:right w:val="single" w:sz="8" w:space="0" w:color="002C47"/>
            </w:tcBorders>
          </w:tcPr>
          <w:p w14:paraId="09E5C623" w14:textId="486D72C4" w:rsidR="003D5C82" w:rsidRPr="00E61EC7" w:rsidRDefault="002A2C48" w:rsidP="003D5C82">
            <w:r w:rsidRPr="00E61EC7">
              <w:t>Coefficient of variation</w:t>
            </w:r>
          </w:p>
        </w:tc>
      </w:tr>
      <w:tr w:rsidR="00B0264A" w14:paraId="5656D7CE"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091A675A" w14:textId="5CA1EEA6" w:rsidR="003D5C82" w:rsidRPr="00E61EC7" w:rsidRDefault="002A2C48" w:rsidP="003D5C82">
            <w:r w:rsidRPr="00E61EC7">
              <w:t>DLP</w:t>
            </w:r>
          </w:p>
        </w:tc>
        <w:tc>
          <w:tcPr>
            <w:tcW w:w="3920" w:type="pct"/>
            <w:gridSpan w:val="2"/>
            <w:tcBorders>
              <w:top w:val="single" w:sz="8" w:space="0" w:color="002C47"/>
              <w:left w:val="single" w:sz="8" w:space="0" w:color="002C47"/>
              <w:bottom w:val="single" w:sz="8" w:space="0" w:color="002C47"/>
              <w:right w:val="single" w:sz="8" w:space="0" w:color="002C47"/>
            </w:tcBorders>
          </w:tcPr>
          <w:p w14:paraId="54FBAE34" w14:textId="4B4D36F6" w:rsidR="003D5C82" w:rsidRPr="00E61EC7" w:rsidRDefault="002A2C48" w:rsidP="003D5C82">
            <w:r w:rsidRPr="00E61EC7">
              <w:t>Data lock point</w:t>
            </w:r>
          </w:p>
        </w:tc>
      </w:tr>
      <w:tr w:rsidR="00B0264A" w:rsidRPr="00E15AD3" w14:paraId="1DAC7BBF"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32EB96C7" w14:textId="7D138FA2" w:rsidR="003D5C82" w:rsidRPr="00E61EC7" w:rsidRDefault="002A2C48" w:rsidP="0064609E">
            <w:r w:rsidRPr="00E61EC7">
              <w:t>DME</w:t>
            </w:r>
          </w:p>
        </w:tc>
        <w:tc>
          <w:tcPr>
            <w:tcW w:w="3920" w:type="pct"/>
            <w:gridSpan w:val="2"/>
            <w:tcBorders>
              <w:top w:val="single" w:sz="8" w:space="0" w:color="002C47"/>
              <w:left w:val="single" w:sz="8" w:space="0" w:color="002C47"/>
              <w:bottom w:val="single" w:sz="8" w:space="0" w:color="002C47"/>
              <w:right w:val="single" w:sz="8" w:space="0" w:color="002C47"/>
            </w:tcBorders>
          </w:tcPr>
          <w:p w14:paraId="13040E7D" w14:textId="727A4285" w:rsidR="003D5C82" w:rsidRPr="005B6E30" w:rsidRDefault="002A2C48" w:rsidP="0064609E">
            <w:pPr>
              <w:rPr>
                <w:lang w:val="pt-BR"/>
              </w:rPr>
            </w:pPr>
            <w:bookmarkStart w:id="12" w:name="_Hlk118406472"/>
            <w:r w:rsidRPr="005B6E30">
              <w:rPr>
                <w:lang w:val="pt-BR"/>
              </w:rPr>
              <w:t xml:space="preserve">Diabetic macular edema </w:t>
            </w:r>
            <w:bookmarkEnd w:id="12"/>
            <w:r w:rsidR="0064609E">
              <w:rPr>
                <w:lang w:val="pt-BR"/>
              </w:rPr>
              <w:t>(US English)</w:t>
            </w:r>
          </w:p>
        </w:tc>
      </w:tr>
      <w:tr w:rsidR="0064609E" w:rsidRPr="00E15AD3" w14:paraId="18175CCC"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433A440A" w14:textId="3E203FC9" w:rsidR="0064609E" w:rsidRPr="00E61EC7" w:rsidRDefault="0064609E" w:rsidP="003D5C82">
            <w:r>
              <w:t>DMO</w:t>
            </w:r>
          </w:p>
        </w:tc>
        <w:tc>
          <w:tcPr>
            <w:tcW w:w="3920" w:type="pct"/>
            <w:gridSpan w:val="2"/>
            <w:tcBorders>
              <w:top w:val="single" w:sz="8" w:space="0" w:color="002C47"/>
              <w:left w:val="single" w:sz="8" w:space="0" w:color="002C47"/>
              <w:bottom w:val="single" w:sz="8" w:space="0" w:color="002C47"/>
              <w:right w:val="single" w:sz="8" w:space="0" w:color="002C47"/>
            </w:tcBorders>
          </w:tcPr>
          <w:p w14:paraId="2D51041B" w14:textId="272337F1" w:rsidR="0064609E" w:rsidRPr="005B6E30" w:rsidRDefault="0064609E" w:rsidP="003D5C82">
            <w:pPr>
              <w:rPr>
                <w:lang w:val="pt-BR"/>
              </w:rPr>
            </w:pPr>
            <w:r>
              <w:rPr>
                <w:lang w:val="pt-BR"/>
              </w:rPr>
              <w:t>Diabetic macular oedema (Australian English)</w:t>
            </w:r>
          </w:p>
        </w:tc>
      </w:tr>
      <w:tr w:rsidR="00B0264A" w14:paraId="13C46FA7"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6A7E3676" w14:textId="71FC08A5" w:rsidR="003D5C82" w:rsidRPr="00E61EC7" w:rsidRDefault="002A2C48" w:rsidP="003D5C82">
            <w:r w:rsidRPr="00E61EC7">
              <w:t>DNA</w:t>
            </w:r>
          </w:p>
        </w:tc>
        <w:tc>
          <w:tcPr>
            <w:tcW w:w="3920" w:type="pct"/>
            <w:gridSpan w:val="2"/>
            <w:tcBorders>
              <w:top w:val="single" w:sz="8" w:space="0" w:color="002C47"/>
              <w:left w:val="single" w:sz="8" w:space="0" w:color="002C47"/>
              <w:bottom w:val="single" w:sz="8" w:space="0" w:color="002C47"/>
              <w:right w:val="single" w:sz="8" w:space="0" w:color="002C47"/>
            </w:tcBorders>
          </w:tcPr>
          <w:p w14:paraId="06FC2FDA" w14:textId="7846DF68" w:rsidR="003D5C82" w:rsidRPr="00E61EC7" w:rsidRDefault="002A2C48" w:rsidP="003D5C82">
            <w:r w:rsidRPr="00E61EC7">
              <w:t>Deoxyribonucleic acid</w:t>
            </w:r>
          </w:p>
        </w:tc>
      </w:tr>
      <w:tr w:rsidR="00B0264A" w14:paraId="20085689"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1662266C" w14:textId="7AEC823C" w:rsidR="003D5C82" w:rsidRPr="00E61EC7" w:rsidRDefault="002A2C48" w:rsidP="003D5C82">
            <w:r w:rsidRPr="00E61EC7">
              <w:t>ETDRS</w:t>
            </w:r>
          </w:p>
        </w:tc>
        <w:tc>
          <w:tcPr>
            <w:tcW w:w="3920" w:type="pct"/>
            <w:gridSpan w:val="2"/>
            <w:tcBorders>
              <w:top w:val="single" w:sz="8" w:space="0" w:color="002C47"/>
              <w:left w:val="single" w:sz="8" w:space="0" w:color="002C47"/>
              <w:bottom w:val="single" w:sz="8" w:space="0" w:color="002C47"/>
              <w:right w:val="single" w:sz="8" w:space="0" w:color="002C47"/>
            </w:tcBorders>
          </w:tcPr>
          <w:p w14:paraId="4E68A82B" w14:textId="5E4D280A" w:rsidR="003D5C82" w:rsidRPr="00E61EC7" w:rsidRDefault="002A2C48" w:rsidP="003D5C82">
            <w:r w:rsidRPr="00E61EC7">
              <w:t>Early treatment diabetic retinopathy study</w:t>
            </w:r>
          </w:p>
        </w:tc>
      </w:tr>
      <w:tr w:rsidR="00B0264A" w14:paraId="4024D0AC"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477D6C31" w14:textId="5F662528" w:rsidR="003D5C82" w:rsidRPr="00E61EC7" w:rsidRDefault="002A2C48" w:rsidP="003D5C82">
            <w:r w:rsidRPr="00E61EC7">
              <w:t>EU</w:t>
            </w:r>
          </w:p>
        </w:tc>
        <w:tc>
          <w:tcPr>
            <w:tcW w:w="3920" w:type="pct"/>
            <w:gridSpan w:val="2"/>
            <w:tcBorders>
              <w:top w:val="single" w:sz="8" w:space="0" w:color="002C47"/>
              <w:left w:val="single" w:sz="8" w:space="0" w:color="002C47"/>
              <w:bottom w:val="single" w:sz="8" w:space="0" w:color="002C47"/>
              <w:right w:val="single" w:sz="8" w:space="0" w:color="002C47"/>
            </w:tcBorders>
          </w:tcPr>
          <w:p w14:paraId="31AC7582" w14:textId="6CAC6517" w:rsidR="003D5C82" w:rsidRPr="00E61EC7" w:rsidRDefault="002A2C48" w:rsidP="003D5C82">
            <w:r w:rsidRPr="00E61EC7">
              <w:t>European Union</w:t>
            </w:r>
          </w:p>
        </w:tc>
      </w:tr>
      <w:tr w:rsidR="00B0264A" w14:paraId="201C5957"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4075CD7B" w14:textId="7A9C1BAC" w:rsidR="003D5C82" w:rsidRPr="00E61EC7" w:rsidRDefault="002A2C48" w:rsidP="003D5C82">
            <w:r w:rsidRPr="00E61EC7">
              <w:lastRenderedPageBreak/>
              <w:t>Fc</w:t>
            </w:r>
          </w:p>
        </w:tc>
        <w:tc>
          <w:tcPr>
            <w:tcW w:w="3920" w:type="pct"/>
            <w:gridSpan w:val="2"/>
            <w:tcBorders>
              <w:top w:val="single" w:sz="8" w:space="0" w:color="002C47"/>
              <w:left w:val="single" w:sz="8" w:space="0" w:color="002C47"/>
              <w:bottom w:val="single" w:sz="8" w:space="0" w:color="002C47"/>
              <w:right w:val="single" w:sz="8" w:space="0" w:color="002C47"/>
            </w:tcBorders>
          </w:tcPr>
          <w:p w14:paraId="0258B4CA" w14:textId="5206FAD1" w:rsidR="003D5C82" w:rsidRPr="00E61EC7" w:rsidRDefault="002A2C48" w:rsidP="003D5C82">
            <w:r w:rsidRPr="00E61EC7">
              <w:t>Fragment crystallisable</w:t>
            </w:r>
          </w:p>
        </w:tc>
      </w:tr>
      <w:tr w:rsidR="00B0264A" w14:paraId="7850E3A8"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D5BCC36" w14:textId="523A965F" w:rsidR="003D5C82" w:rsidRPr="00E61EC7" w:rsidRDefault="002A2C48" w:rsidP="003D5C82">
            <w:proofErr w:type="spellStart"/>
            <w:r w:rsidRPr="00E61EC7">
              <w:t>FcRn</w:t>
            </w:r>
            <w:proofErr w:type="spellEnd"/>
          </w:p>
        </w:tc>
        <w:tc>
          <w:tcPr>
            <w:tcW w:w="3920" w:type="pct"/>
            <w:gridSpan w:val="2"/>
            <w:tcBorders>
              <w:top w:val="single" w:sz="8" w:space="0" w:color="002C47"/>
              <w:left w:val="single" w:sz="8" w:space="0" w:color="002C47"/>
              <w:bottom w:val="single" w:sz="8" w:space="0" w:color="002C47"/>
              <w:right w:val="single" w:sz="8" w:space="0" w:color="002C47"/>
            </w:tcBorders>
          </w:tcPr>
          <w:p w14:paraId="45B62908" w14:textId="0B635E7A" w:rsidR="003D5C82" w:rsidRPr="00E61EC7" w:rsidRDefault="002A2C48" w:rsidP="003D5C82">
            <w:r w:rsidRPr="00E61EC7">
              <w:t>Neonatal fragment crystallisable receptor</w:t>
            </w:r>
          </w:p>
        </w:tc>
      </w:tr>
      <w:tr w:rsidR="00B0264A" w14:paraId="1AF77B59"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5C2584D2" w14:textId="2343B3DD" w:rsidR="003D5C82" w:rsidRPr="00E61EC7" w:rsidRDefault="002A2C48" w:rsidP="003D5C82">
            <w:proofErr w:type="spellStart"/>
            <w:r w:rsidRPr="00E61EC7">
              <w:t>FcγR</w:t>
            </w:r>
            <w:proofErr w:type="spellEnd"/>
          </w:p>
        </w:tc>
        <w:tc>
          <w:tcPr>
            <w:tcW w:w="3920" w:type="pct"/>
            <w:gridSpan w:val="2"/>
            <w:tcBorders>
              <w:top w:val="single" w:sz="8" w:space="0" w:color="002C47"/>
              <w:left w:val="single" w:sz="8" w:space="0" w:color="002C47"/>
              <w:bottom w:val="single" w:sz="8" w:space="0" w:color="002C47"/>
              <w:right w:val="single" w:sz="8" w:space="0" w:color="002C47"/>
            </w:tcBorders>
          </w:tcPr>
          <w:p w14:paraId="2665659A" w14:textId="001EC982" w:rsidR="003D5C82" w:rsidRPr="00E61EC7" w:rsidRDefault="002A2C48" w:rsidP="003D5C82">
            <w:r w:rsidRPr="00E61EC7">
              <w:t>Fragment crystallisable gamma receptor</w:t>
            </w:r>
          </w:p>
        </w:tc>
      </w:tr>
      <w:tr w:rsidR="00B0264A" w14:paraId="63160A78"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5DE4D236" w14:textId="5F9C79D4" w:rsidR="003D5C82" w:rsidRPr="00E61EC7" w:rsidRDefault="002A2C48" w:rsidP="003D5C82">
            <w:r w:rsidRPr="00E61EC7">
              <w:t>GVP</w:t>
            </w:r>
          </w:p>
        </w:tc>
        <w:tc>
          <w:tcPr>
            <w:tcW w:w="3920" w:type="pct"/>
            <w:gridSpan w:val="2"/>
            <w:tcBorders>
              <w:top w:val="single" w:sz="8" w:space="0" w:color="002C47"/>
              <w:left w:val="single" w:sz="8" w:space="0" w:color="002C47"/>
              <w:bottom w:val="single" w:sz="8" w:space="0" w:color="002C47"/>
              <w:right w:val="single" w:sz="8" w:space="0" w:color="002C47"/>
            </w:tcBorders>
          </w:tcPr>
          <w:p w14:paraId="2E613AB5" w14:textId="01D35850" w:rsidR="003D5C82" w:rsidRPr="00E61EC7" w:rsidRDefault="002A2C48" w:rsidP="003D5C82">
            <w:r w:rsidRPr="00E61EC7">
              <w:t>Good Pharmacovigilance Practice</w:t>
            </w:r>
          </w:p>
        </w:tc>
      </w:tr>
      <w:tr w:rsidR="00B0264A" w14:paraId="066AC6E7"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049A6521" w14:textId="495D41F1" w:rsidR="003D5C82" w:rsidRPr="00E61EC7" w:rsidRDefault="002A2C48" w:rsidP="003D5C82">
            <w:r w:rsidRPr="00E61EC7">
              <w:t>HbA1c</w:t>
            </w:r>
          </w:p>
        </w:tc>
        <w:tc>
          <w:tcPr>
            <w:tcW w:w="3920" w:type="pct"/>
            <w:gridSpan w:val="2"/>
            <w:tcBorders>
              <w:top w:val="single" w:sz="8" w:space="0" w:color="002C47"/>
              <w:left w:val="single" w:sz="8" w:space="0" w:color="002C47"/>
              <w:bottom w:val="single" w:sz="8" w:space="0" w:color="002C47"/>
              <w:right w:val="single" w:sz="8" w:space="0" w:color="002C47"/>
            </w:tcBorders>
          </w:tcPr>
          <w:p w14:paraId="322667D9" w14:textId="044368D4" w:rsidR="003D5C82" w:rsidRPr="00E61EC7" w:rsidRDefault="002A2C48" w:rsidP="003D5C82">
            <w:r w:rsidRPr="00E61EC7">
              <w:t>Haemoglobin A1c</w:t>
            </w:r>
          </w:p>
        </w:tc>
      </w:tr>
      <w:tr w:rsidR="00B0264A" w14:paraId="5DAACE5C"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02734DB4" w14:textId="7CBB9A13" w:rsidR="003D5C82" w:rsidRPr="00E61EC7" w:rsidRDefault="002A2C48" w:rsidP="003D5C82">
            <w:r w:rsidRPr="00E61EC7">
              <w:t>IgG</w:t>
            </w:r>
          </w:p>
        </w:tc>
        <w:tc>
          <w:tcPr>
            <w:tcW w:w="3920" w:type="pct"/>
            <w:gridSpan w:val="2"/>
            <w:tcBorders>
              <w:top w:val="single" w:sz="8" w:space="0" w:color="002C47"/>
              <w:left w:val="single" w:sz="8" w:space="0" w:color="002C47"/>
              <w:bottom w:val="single" w:sz="8" w:space="0" w:color="002C47"/>
              <w:right w:val="single" w:sz="8" w:space="0" w:color="002C47"/>
            </w:tcBorders>
          </w:tcPr>
          <w:p w14:paraId="1C78B454" w14:textId="4A58A199" w:rsidR="003D5C82" w:rsidRPr="00E61EC7" w:rsidRDefault="002A2C48" w:rsidP="003D5C82">
            <w:r w:rsidRPr="00E61EC7">
              <w:t>Immunoglobulin G</w:t>
            </w:r>
          </w:p>
        </w:tc>
      </w:tr>
      <w:tr w:rsidR="00B0264A" w14:paraId="25FAF350"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4C3CBF04" w14:textId="2755131D" w:rsidR="003D5C82" w:rsidRPr="00E61EC7" w:rsidRDefault="002A2C48" w:rsidP="003D5C82">
            <w:r w:rsidRPr="00E61EC7">
              <w:t>ITT</w:t>
            </w:r>
          </w:p>
        </w:tc>
        <w:tc>
          <w:tcPr>
            <w:tcW w:w="3920" w:type="pct"/>
            <w:gridSpan w:val="2"/>
            <w:tcBorders>
              <w:top w:val="single" w:sz="8" w:space="0" w:color="002C47"/>
              <w:left w:val="single" w:sz="8" w:space="0" w:color="002C47"/>
              <w:bottom w:val="single" w:sz="8" w:space="0" w:color="002C47"/>
              <w:right w:val="single" w:sz="8" w:space="0" w:color="002C47"/>
            </w:tcBorders>
          </w:tcPr>
          <w:p w14:paraId="5178E521" w14:textId="05CB0B37" w:rsidR="003D5C82" w:rsidRPr="00E61EC7" w:rsidRDefault="002A2C48" w:rsidP="003D5C82">
            <w:r w:rsidRPr="00E61EC7">
              <w:t>Intent(ion)-to-treat</w:t>
            </w:r>
          </w:p>
        </w:tc>
      </w:tr>
      <w:tr w:rsidR="00B0264A" w14:paraId="0CC58D91"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19C08428" w14:textId="2AD9468A" w:rsidR="003D5C82" w:rsidRPr="00E61EC7" w:rsidRDefault="002A2C48" w:rsidP="0064609E">
            <w:proofErr w:type="spellStart"/>
            <w:r w:rsidRPr="00E61EC7">
              <w:t>nAMD</w:t>
            </w:r>
            <w:proofErr w:type="spellEnd"/>
          </w:p>
        </w:tc>
        <w:tc>
          <w:tcPr>
            <w:tcW w:w="3920" w:type="pct"/>
            <w:gridSpan w:val="2"/>
            <w:tcBorders>
              <w:top w:val="single" w:sz="8" w:space="0" w:color="002C47"/>
              <w:left w:val="single" w:sz="8" w:space="0" w:color="002C47"/>
              <w:bottom w:val="single" w:sz="8" w:space="0" w:color="002C47"/>
              <w:right w:val="single" w:sz="8" w:space="0" w:color="002C47"/>
            </w:tcBorders>
          </w:tcPr>
          <w:p w14:paraId="099AA556" w14:textId="6C73EC27" w:rsidR="003D5C82" w:rsidRPr="00E61EC7" w:rsidRDefault="002A2C48" w:rsidP="0064609E">
            <w:bookmarkStart w:id="13" w:name="_Hlk118406389"/>
            <w:r w:rsidRPr="00E61EC7">
              <w:t>Neovascular age-related macular degeneration</w:t>
            </w:r>
            <w:bookmarkEnd w:id="13"/>
            <w:r w:rsidR="0064609E">
              <w:t xml:space="preserve"> (also known as ‘wet’ age-related macular degeneration)</w:t>
            </w:r>
          </w:p>
        </w:tc>
      </w:tr>
      <w:tr w:rsidR="00B0264A" w14:paraId="387B7CCC"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C6262B0" w14:textId="746F6A15" w:rsidR="003D5C82" w:rsidRPr="00E61EC7" w:rsidRDefault="002A2C48" w:rsidP="003D5C82">
            <w:r w:rsidRPr="00E61EC7">
              <w:t>PD</w:t>
            </w:r>
          </w:p>
        </w:tc>
        <w:tc>
          <w:tcPr>
            <w:tcW w:w="3920" w:type="pct"/>
            <w:gridSpan w:val="2"/>
            <w:tcBorders>
              <w:top w:val="single" w:sz="8" w:space="0" w:color="002C47"/>
              <w:left w:val="single" w:sz="8" w:space="0" w:color="002C47"/>
              <w:bottom w:val="single" w:sz="8" w:space="0" w:color="002C47"/>
              <w:right w:val="single" w:sz="8" w:space="0" w:color="002C47"/>
            </w:tcBorders>
          </w:tcPr>
          <w:p w14:paraId="6570EE86" w14:textId="7145AEDF" w:rsidR="003D5C82" w:rsidRPr="00E61EC7" w:rsidRDefault="002A2C48" w:rsidP="003D5C82">
            <w:r w:rsidRPr="00E61EC7">
              <w:t>Pharmacodynamic(s)</w:t>
            </w:r>
          </w:p>
        </w:tc>
      </w:tr>
      <w:tr w:rsidR="00B0264A" w14:paraId="29587A0D"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6C85A794" w14:textId="424F04B6" w:rsidR="003D5C82" w:rsidRPr="00E61EC7" w:rsidRDefault="002A2C48" w:rsidP="003D5C82">
            <w:r w:rsidRPr="00E61EC7">
              <w:t>PDF</w:t>
            </w:r>
          </w:p>
        </w:tc>
        <w:tc>
          <w:tcPr>
            <w:tcW w:w="3920" w:type="pct"/>
            <w:gridSpan w:val="2"/>
            <w:tcBorders>
              <w:top w:val="single" w:sz="8" w:space="0" w:color="002C47"/>
              <w:left w:val="single" w:sz="8" w:space="0" w:color="002C47"/>
              <w:bottom w:val="single" w:sz="8" w:space="0" w:color="002C47"/>
              <w:right w:val="single" w:sz="8" w:space="0" w:color="002C47"/>
            </w:tcBorders>
          </w:tcPr>
          <w:p w14:paraId="5E7AD55F" w14:textId="6C749899" w:rsidR="003D5C82" w:rsidRPr="00E61EC7" w:rsidRDefault="002A2C48" w:rsidP="003D5C82">
            <w:r w:rsidRPr="00E61EC7">
              <w:t>Portable Document Format</w:t>
            </w:r>
          </w:p>
        </w:tc>
      </w:tr>
      <w:tr w:rsidR="00B0264A" w14:paraId="3040CEC3"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4375F3F5" w14:textId="4148E887" w:rsidR="003D5C82" w:rsidRPr="00E61EC7" w:rsidRDefault="002A2C48" w:rsidP="003D5C82">
            <w:r w:rsidRPr="00E61EC7">
              <w:t>PI</w:t>
            </w:r>
          </w:p>
        </w:tc>
        <w:tc>
          <w:tcPr>
            <w:tcW w:w="3920" w:type="pct"/>
            <w:gridSpan w:val="2"/>
            <w:tcBorders>
              <w:top w:val="single" w:sz="8" w:space="0" w:color="002C47"/>
              <w:left w:val="single" w:sz="8" w:space="0" w:color="002C47"/>
              <w:bottom w:val="single" w:sz="8" w:space="0" w:color="002C47"/>
              <w:right w:val="single" w:sz="8" w:space="0" w:color="002C47"/>
            </w:tcBorders>
          </w:tcPr>
          <w:p w14:paraId="1F1CD5BF" w14:textId="250D6D25" w:rsidR="003D5C82" w:rsidRPr="00E61EC7" w:rsidRDefault="002A2C48" w:rsidP="003D5C82">
            <w:r w:rsidRPr="00E61EC7">
              <w:t>Product Information</w:t>
            </w:r>
          </w:p>
        </w:tc>
      </w:tr>
      <w:tr w:rsidR="00B0264A" w14:paraId="5D3E80DF"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1F69803" w14:textId="41E2E598" w:rsidR="003D5C82" w:rsidRPr="00E61EC7" w:rsidRDefault="002A2C48" w:rsidP="003D5C82">
            <w:r w:rsidRPr="00E61EC7">
              <w:t>PK</w:t>
            </w:r>
          </w:p>
        </w:tc>
        <w:tc>
          <w:tcPr>
            <w:tcW w:w="3920" w:type="pct"/>
            <w:gridSpan w:val="2"/>
            <w:tcBorders>
              <w:top w:val="single" w:sz="8" w:space="0" w:color="002C47"/>
              <w:left w:val="single" w:sz="8" w:space="0" w:color="002C47"/>
              <w:bottom w:val="single" w:sz="8" w:space="0" w:color="002C47"/>
              <w:right w:val="single" w:sz="8" w:space="0" w:color="002C47"/>
            </w:tcBorders>
          </w:tcPr>
          <w:p w14:paraId="1C32A05B" w14:textId="388ED85A" w:rsidR="003D5C82" w:rsidRPr="00E61EC7" w:rsidRDefault="002A2C48" w:rsidP="003D5C82">
            <w:r w:rsidRPr="00E61EC7">
              <w:t>Pharmacokinetic(s)</w:t>
            </w:r>
          </w:p>
        </w:tc>
      </w:tr>
      <w:tr w:rsidR="00B0264A" w14:paraId="7297651B"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07A5EEC" w14:textId="350EA88E" w:rsidR="003D5C82" w:rsidRPr="00E61EC7" w:rsidRDefault="002A2C48" w:rsidP="003D5C82">
            <w:proofErr w:type="spellStart"/>
            <w:r w:rsidRPr="00E61EC7">
              <w:t>PopPK</w:t>
            </w:r>
            <w:proofErr w:type="spellEnd"/>
          </w:p>
        </w:tc>
        <w:tc>
          <w:tcPr>
            <w:tcW w:w="3920" w:type="pct"/>
            <w:gridSpan w:val="2"/>
            <w:tcBorders>
              <w:top w:val="single" w:sz="8" w:space="0" w:color="002C47"/>
              <w:left w:val="single" w:sz="8" w:space="0" w:color="002C47"/>
              <w:bottom w:val="single" w:sz="8" w:space="0" w:color="002C47"/>
              <w:right w:val="single" w:sz="8" w:space="0" w:color="002C47"/>
            </w:tcBorders>
          </w:tcPr>
          <w:p w14:paraId="219880F1" w14:textId="675C9121" w:rsidR="003D5C82" w:rsidRPr="00E61EC7" w:rsidRDefault="002A2C48" w:rsidP="003D5C82">
            <w:bookmarkStart w:id="14" w:name="_Hlk118403243"/>
            <w:r w:rsidRPr="00E61EC7">
              <w:t>Population pharmacokinetic(s)</w:t>
            </w:r>
            <w:bookmarkEnd w:id="14"/>
          </w:p>
        </w:tc>
      </w:tr>
      <w:tr w:rsidR="00B0264A" w14:paraId="3A10892F"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3E5BC7D1" w14:textId="276BB3F5" w:rsidR="003D5C82" w:rsidRPr="00E61EC7" w:rsidRDefault="002A2C48" w:rsidP="003D5C82">
            <w:r w:rsidRPr="00E61EC7">
              <w:t>PSUR</w:t>
            </w:r>
          </w:p>
        </w:tc>
        <w:tc>
          <w:tcPr>
            <w:tcW w:w="3920" w:type="pct"/>
            <w:gridSpan w:val="2"/>
            <w:tcBorders>
              <w:top w:val="single" w:sz="8" w:space="0" w:color="002C47"/>
              <w:left w:val="single" w:sz="8" w:space="0" w:color="002C47"/>
              <w:bottom w:val="single" w:sz="8" w:space="0" w:color="002C47"/>
              <w:right w:val="single" w:sz="8" w:space="0" w:color="002C47"/>
            </w:tcBorders>
          </w:tcPr>
          <w:p w14:paraId="620D7A0F" w14:textId="44299B8C" w:rsidR="003D5C82" w:rsidRPr="00E61EC7" w:rsidRDefault="002A2C48" w:rsidP="003D5C82">
            <w:r w:rsidRPr="00E61EC7">
              <w:t>Periodic safety update report</w:t>
            </w:r>
          </w:p>
        </w:tc>
      </w:tr>
      <w:tr w:rsidR="00B0264A" w14:paraId="2AD634AB"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3B07E82F" w14:textId="76AF412F" w:rsidR="003D5C82" w:rsidRPr="00E61EC7" w:rsidRDefault="002A2C48" w:rsidP="003D5C82">
            <w:r w:rsidRPr="00E61EC7">
              <w:t>PTI</w:t>
            </w:r>
          </w:p>
        </w:tc>
        <w:tc>
          <w:tcPr>
            <w:tcW w:w="3920" w:type="pct"/>
            <w:gridSpan w:val="2"/>
            <w:tcBorders>
              <w:top w:val="single" w:sz="8" w:space="0" w:color="002C47"/>
              <w:left w:val="single" w:sz="8" w:space="0" w:color="002C47"/>
              <w:bottom w:val="single" w:sz="8" w:space="0" w:color="002C47"/>
              <w:right w:val="single" w:sz="8" w:space="0" w:color="002C47"/>
            </w:tcBorders>
          </w:tcPr>
          <w:p w14:paraId="3963202D" w14:textId="5D8795C0" w:rsidR="003D5C82" w:rsidRPr="00E61EC7" w:rsidRDefault="002A2C48" w:rsidP="003D5C82">
            <w:r w:rsidRPr="00E61EC7">
              <w:t>Personalised treatment interval</w:t>
            </w:r>
          </w:p>
        </w:tc>
      </w:tr>
      <w:tr w:rsidR="00B0264A" w14:paraId="62C75C7A"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4957C4C5" w14:textId="15339056" w:rsidR="003D5C82" w:rsidRPr="00E61EC7" w:rsidRDefault="002A2C48" w:rsidP="003D5C82">
            <w:r w:rsidRPr="00E61EC7">
              <w:t>QTc</w:t>
            </w:r>
          </w:p>
        </w:tc>
        <w:tc>
          <w:tcPr>
            <w:tcW w:w="3920" w:type="pct"/>
            <w:gridSpan w:val="2"/>
            <w:tcBorders>
              <w:top w:val="single" w:sz="8" w:space="0" w:color="002C47"/>
              <w:left w:val="single" w:sz="8" w:space="0" w:color="002C47"/>
              <w:bottom w:val="single" w:sz="8" w:space="0" w:color="002C47"/>
              <w:right w:val="single" w:sz="8" w:space="0" w:color="002C47"/>
            </w:tcBorders>
          </w:tcPr>
          <w:p w14:paraId="47249DD2" w14:textId="57EB7B6A" w:rsidR="003D5C82" w:rsidRPr="00E61EC7" w:rsidRDefault="002A2C48" w:rsidP="003D5C82">
            <w:r w:rsidRPr="00E61EC7">
              <w:t>Corrected QT interval</w:t>
            </w:r>
          </w:p>
        </w:tc>
      </w:tr>
      <w:tr w:rsidR="00B0264A" w14:paraId="20A25EE1"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1F7C029D" w14:textId="101E9736" w:rsidR="003D5C82" w:rsidRPr="00E61EC7" w:rsidRDefault="002A2C48" w:rsidP="003D5C82">
            <w:r w:rsidRPr="00E61EC7">
              <w:t>RMP</w:t>
            </w:r>
          </w:p>
        </w:tc>
        <w:tc>
          <w:tcPr>
            <w:tcW w:w="3920" w:type="pct"/>
            <w:gridSpan w:val="2"/>
            <w:tcBorders>
              <w:top w:val="single" w:sz="8" w:space="0" w:color="002C47"/>
              <w:left w:val="single" w:sz="8" w:space="0" w:color="002C47"/>
              <w:bottom w:val="single" w:sz="8" w:space="0" w:color="002C47"/>
              <w:right w:val="single" w:sz="8" w:space="0" w:color="002C47"/>
            </w:tcBorders>
          </w:tcPr>
          <w:p w14:paraId="737D152D" w14:textId="009BB24F" w:rsidR="003D5C82" w:rsidRPr="00E61EC7" w:rsidRDefault="002A2C48" w:rsidP="003D5C82">
            <w:r w:rsidRPr="00E61EC7">
              <w:t>Risk management plan</w:t>
            </w:r>
          </w:p>
        </w:tc>
      </w:tr>
      <w:tr w:rsidR="00B0264A" w14:paraId="2736A623"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125956A9" w14:textId="769058FD" w:rsidR="003D5C82" w:rsidRPr="00E61EC7" w:rsidRDefault="002A2C48" w:rsidP="003D5C82">
            <w:r w:rsidRPr="00E61EC7">
              <w:t>SAE</w:t>
            </w:r>
          </w:p>
        </w:tc>
        <w:tc>
          <w:tcPr>
            <w:tcW w:w="3920" w:type="pct"/>
            <w:gridSpan w:val="2"/>
            <w:tcBorders>
              <w:top w:val="single" w:sz="8" w:space="0" w:color="002C47"/>
              <w:left w:val="single" w:sz="8" w:space="0" w:color="002C47"/>
              <w:bottom w:val="single" w:sz="8" w:space="0" w:color="002C47"/>
              <w:right w:val="single" w:sz="8" w:space="0" w:color="002C47"/>
            </w:tcBorders>
          </w:tcPr>
          <w:p w14:paraId="085E5D87" w14:textId="619D6A8D" w:rsidR="003D5C82" w:rsidRPr="00E61EC7" w:rsidRDefault="002A2C48" w:rsidP="003D5C82">
            <w:r w:rsidRPr="00E61EC7">
              <w:t>Serious adverse event</w:t>
            </w:r>
          </w:p>
        </w:tc>
      </w:tr>
      <w:tr w:rsidR="00B0264A" w14:paraId="03FB6787"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2CC94EBB" w14:textId="5EBF68E1" w:rsidR="003D5C82" w:rsidRPr="00E61EC7" w:rsidRDefault="002A2C48" w:rsidP="003D5C82">
            <w:r w:rsidRPr="00E61EC7">
              <w:t>SmPC</w:t>
            </w:r>
          </w:p>
        </w:tc>
        <w:tc>
          <w:tcPr>
            <w:tcW w:w="3920" w:type="pct"/>
            <w:gridSpan w:val="2"/>
            <w:tcBorders>
              <w:top w:val="single" w:sz="8" w:space="0" w:color="002C47"/>
              <w:left w:val="single" w:sz="8" w:space="0" w:color="002C47"/>
              <w:bottom w:val="single" w:sz="8" w:space="0" w:color="002C47"/>
              <w:right w:val="single" w:sz="8" w:space="0" w:color="002C47"/>
            </w:tcBorders>
          </w:tcPr>
          <w:p w14:paraId="41DE309A" w14:textId="5BEB6996" w:rsidR="003D5C82" w:rsidRPr="00E61EC7" w:rsidRDefault="002A2C48" w:rsidP="003D5C82">
            <w:r w:rsidRPr="00E61EC7">
              <w:t>Summary of product characteristics</w:t>
            </w:r>
            <w:r w:rsidR="0064609E">
              <w:t xml:space="preserve"> (European Union)</w:t>
            </w:r>
          </w:p>
        </w:tc>
      </w:tr>
      <w:tr w:rsidR="00B0264A" w14:paraId="798E564D"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31831DAB" w14:textId="6491B84A" w:rsidR="003D5C82" w:rsidRPr="00E61EC7" w:rsidRDefault="002A2C48" w:rsidP="003D5C82">
            <w:r w:rsidRPr="00E61EC7">
              <w:t>TGA</w:t>
            </w:r>
          </w:p>
        </w:tc>
        <w:tc>
          <w:tcPr>
            <w:tcW w:w="3920" w:type="pct"/>
            <w:gridSpan w:val="2"/>
            <w:tcBorders>
              <w:top w:val="single" w:sz="8" w:space="0" w:color="002C47"/>
              <w:left w:val="single" w:sz="8" w:space="0" w:color="002C47"/>
              <w:bottom w:val="single" w:sz="8" w:space="0" w:color="002C47"/>
              <w:right w:val="single" w:sz="8" w:space="0" w:color="002C47"/>
            </w:tcBorders>
          </w:tcPr>
          <w:p w14:paraId="0E15E8BD" w14:textId="4557D383" w:rsidR="003D5C82" w:rsidRPr="00E61EC7" w:rsidRDefault="002A2C48" w:rsidP="003D5C82">
            <w:r w:rsidRPr="00E61EC7">
              <w:t>Therapeutic Goods Administration</w:t>
            </w:r>
          </w:p>
        </w:tc>
      </w:tr>
      <w:tr w:rsidR="00B0264A" w14:paraId="274C46CE"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3D1CCC6A" w14:textId="3445088E" w:rsidR="003D5C82" w:rsidRPr="00E61EC7" w:rsidRDefault="002A2C48" w:rsidP="003D5C82">
            <w:r w:rsidRPr="00E61EC7">
              <w:t>US(A)</w:t>
            </w:r>
          </w:p>
        </w:tc>
        <w:tc>
          <w:tcPr>
            <w:tcW w:w="3920" w:type="pct"/>
            <w:gridSpan w:val="2"/>
            <w:tcBorders>
              <w:top w:val="single" w:sz="8" w:space="0" w:color="002C47"/>
              <w:left w:val="single" w:sz="8" w:space="0" w:color="002C47"/>
              <w:bottom w:val="single" w:sz="8" w:space="0" w:color="002C47"/>
              <w:right w:val="single" w:sz="8" w:space="0" w:color="002C47"/>
            </w:tcBorders>
          </w:tcPr>
          <w:p w14:paraId="14DAC1DF" w14:textId="57660082" w:rsidR="003D5C82" w:rsidRPr="00E61EC7" w:rsidRDefault="002A2C48" w:rsidP="003D5C82">
            <w:r w:rsidRPr="00E61EC7">
              <w:t>United States (of America)</w:t>
            </w:r>
          </w:p>
        </w:tc>
      </w:tr>
      <w:tr w:rsidR="00B0264A" w14:paraId="0BDFDEC2" w14:textId="77777777" w:rsidTr="006E360B">
        <w:trPr>
          <w:cantSplit/>
        </w:trPr>
        <w:tc>
          <w:tcPr>
            <w:tcW w:w="1080" w:type="pct"/>
            <w:tcBorders>
              <w:top w:val="single" w:sz="8" w:space="0" w:color="002C47"/>
              <w:left w:val="single" w:sz="8" w:space="0" w:color="002C47"/>
              <w:bottom w:val="single" w:sz="8" w:space="0" w:color="002C47"/>
              <w:right w:val="single" w:sz="8" w:space="0" w:color="002C47"/>
            </w:tcBorders>
          </w:tcPr>
          <w:p w14:paraId="716899A8" w14:textId="267163C9" w:rsidR="003D5C82" w:rsidRPr="00E61EC7" w:rsidRDefault="002A2C48" w:rsidP="003D5C82">
            <w:r w:rsidRPr="00E61EC7">
              <w:t>VEGF</w:t>
            </w:r>
          </w:p>
        </w:tc>
        <w:tc>
          <w:tcPr>
            <w:tcW w:w="3920" w:type="pct"/>
            <w:gridSpan w:val="2"/>
            <w:tcBorders>
              <w:top w:val="single" w:sz="8" w:space="0" w:color="002C47"/>
              <w:left w:val="single" w:sz="8" w:space="0" w:color="002C47"/>
              <w:bottom w:val="single" w:sz="8" w:space="0" w:color="002C47"/>
              <w:right w:val="single" w:sz="8" w:space="0" w:color="002C47"/>
            </w:tcBorders>
          </w:tcPr>
          <w:p w14:paraId="54DBB5F2" w14:textId="399A2ABC" w:rsidR="003D5C82" w:rsidRPr="00E61EC7" w:rsidRDefault="002A2C48" w:rsidP="003D5C82">
            <w:bookmarkStart w:id="15" w:name="_Hlk118406169"/>
            <w:r w:rsidRPr="00E61EC7">
              <w:t>Vascular endothelial growth factor</w:t>
            </w:r>
            <w:bookmarkEnd w:id="15"/>
          </w:p>
        </w:tc>
      </w:tr>
      <w:bookmarkEnd w:id="8"/>
    </w:tbl>
    <w:p w14:paraId="2137DCF6" w14:textId="77777777" w:rsidR="00FD119B" w:rsidRPr="00E61EC7" w:rsidRDefault="002A2C48" w:rsidP="00FD119B">
      <w:pPr>
        <w:spacing w:before="0" w:after="200" w:line="0" w:lineRule="auto"/>
        <w:rPr>
          <w:b/>
          <w:i/>
          <w:sz w:val="24"/>
          <w:szCs w:val="24"/>
        </w:rPr>
      </w:pPr>
      <w:r w:rsidRPr="00E61EC7">
        <w:rPr>
          <w:b/>
          <w:i/>
          <w:sz w:val="24"/>
          <w:szCs w:val="24"/>
        </w:rPr>
        <w:br w:type="page"/>
      </w:r>
    </w:p>
    <w:p w14:paraId="22ED6507" w14:textId="77777777" w:rsidR="008E7846" w:rsidRPr="00E61EC7" w:rsidRDefault="002A2C48" w:rsidP="008E7846">
      <w:pPr>
        <w:pStyle w:val="Heading2"/>
      </w:pPr>
      <w:bookmarkStart w:id="16" w:name="_Toc129701767"/>
      <w:r w:rsidRPr="00E61EC7">
        <w:lastRenderedPageBreak/>
        <w:t>Product submission</w:t>
      </w:r>
      <w:bookmarkEnd w:id="16"/>
      <w:bookmarkEnd w:id="5"/>
      <w:bookmarkEnd w:id="3"/>
    </w:p>
    <w:p w14:paraId="04BDFBC7" w14:textId="77777777" w:rsidR="008E7846" w:rsidRPr="00E61EC7" w:rsidRDefault="002A2C48" w:rsidP="009E5A87">
      <w:pPr>
        <w:pStyle w:val="Heading3"/>
        <w:rPr>
          <w:lang w:eastAsia="en-AU"/>
        </w:rPr>
      </w:pPr>
      <w:bookmarkStart w:id="17" w:name="_Toc247691502"/>
      <w:bookmarkStart w:id="18" w:name="_Toc314842483"/>
      <w:bookmarkStart w:id="19" w:name="_Toc129701768"/>
      <w:r w:rsidRPr="00E61EC7">
        <w:rPr>
          <w:lang w:eastAsia="en-AU"/>
        </w:rPr>
        <w:t>Submission details</w:t>
      </w:r>
      <w:bookmarkEnd w:id="17"/>
      <w:bookmarkEnd w:id="18"/>
      <w:bookmarkEnd w:id="19"/>
    </w:p>
    <w:tbl>
      <w:tblPr>
        <w:tblW w:w="5000" w:type="pct"/>
        <w:tblLook w:val="01E0" w:firstRow="1" w:lastRow="1" w:firstColumn="1" w:lastColumn="1" w:noHBand="0" w:noVBand="0"/>
      </w:tblPr>
      <w:tblGrid>
        <w:gridCol w:w="2663"/>
        <w:gridCol w:w="5841"/>
      </w:tblGrid>
      <w:tr w:rsidR="00B0264A" w14:paraId="17144188" w14:textId="77777777" w:rsidTr="00F809EE">
        <w:tc>
          <w:tcPr>
            <w:tcW w:w="1550" w:type="pct"/>
          </w:tcPr>
          <w:p w14:paraId="0770AA82" w14:textId="77777777" w:rsidR="009F2673" w:rsidRPr="00E61EC7" w:rsidRDefault="002A2C48" w:rsidP="009E5A87">
            <w:pPr>
              <w:rPr>
                <w:i/>
              </w:rPr>
            </w:pPr>
            <w:r w:rsidRPr="00E61EC7">
              <w:rPr>
                <w:i/>
              </w:rPr>
              <w:t>Type of submission:</w:t>
            </w:r>
          </w:p>
        </w:tc>
        <w:tc>
          <w:tcPr>
            <w:tcW w:w="3400" w:type="pct"/>
          </w:tcPr>
          <w:p w14:paraId="0849ECF6" w14:textId="02C0BB37" w:rsidR="009F2673" w:rsidRPr="00E61EC7" w:rsidRDefault="002A2C48" w:rsidP="00F809EE">
            <w:r w:rsidRPr="00E61EC7">
              <w:t>New biological entity</w:t>
            </w:r>
          </w:p>
        </w:tc>
      </w:tr>
      <w:tr w:rsidR="00B0264A" w14:paraId="29A02D5A" w14:textId="77777777" w:rsidTr="00F809EE">
        <w:tc>
          <w:tcPr>
            <w:tcW w:w="1550" w:type="pct"/>
          </w:tcPr>
          <w:p w14:paraId="7F22BFAA" w14:textId="6488F6B6" w:rsidR="009F2673" w:rsidRPr="00E61EC7" w:rsidRDefault="002A2C48" w:rsidP="009E5A87">
            <w:pPr>
              <w:rPr>
                <w:i/>
              </w:rPr>
            </w:pPr>
            <w:r w:rsidRPr="00E61EC7">
              <w:rPr>
                <w:i/>
              </w:rPr>
              <w:t>Product name:</w:t>
            </w:r>
          </w:p>
        </w:tc>
        <w:tc>
          <w:tcPr>
            <w:tcW w:w="3400" w:type="pct"/>
          </w:tcPr>
          <w:p w14:paraId="731FE4FA" w14:textId="5807038B" w:rsidR="009F2673" w:rsidRPr="00E61EC7" w:rsidRDefault="002A2C48" w:rsidP="009E5A87">
            <w:proofErr w:type="spellStart"/>
            <w:r w:rsidRPr="00E61EC7">
              <w:t>Vabysmo</w:t>
            </w:r>
            <w:proofErr w:type="spellEnd"/>
          </w:p>
        </w:tc>
      </w:tr>
      <w:tr w:rsidR="00B0264A" w14:paraId="5317BC50" w14:textId="77777777" w:rsidTr="00F809EE">
        <w:tc>
          <w:tcPr>
            <w:tcW w:w="1550" w:type="pct"/>
          </w:tcPr>
          <w:p w14:paraId="00F8AA25" w14:textId="426F3514" w:rsidR="009F2673" w:rsidRPr="00E61EC7" w:rsidRDefault="002A2C48" w:rsidP="009E5A87">
            <w:pPr>
              <w:rPr>
                <w:i/>
              </w:rPr>
            </w:pPr>
            <w:r w:rsidRPr="00E61EC7">
              <w:rPr>
                <w:i/>
              </w:rPr>
              <w:t>Active ingredient:</w:t>
            </w:r>
          </w:p>
        </w:tc>
        <w:tc>
          <w:tcPr>
            <w:tcW w:w="3400" w:type="pct"/>
          </w:tcPr>
          <w:p w14:paraId="5EA3F5C0" w14:textId="76EA7812" w:rsidR="009F2673" w:rsidRPr="00E61EC7" w:rsidRDefault="002A2C48" w:rsidP="009E5A87">
            <w:proofErr w:type="spellStart"/>
            <w:r w:rsidRPr="00E61EC7">
              <w:t>Faricimab</w:t>
            </w:r>
            <w:proofErr w:type="spellEnd"/>
          </w:p>
        </w:tc>
      </w:tr>
      <w:tr w:rsidR="00B0264A" w14:paraId="07EF8AD9" w14:textId="77777777" w:rsidTr="00F809EE">
        <w:tc>
          <w:tcPr>
            <w:tcW w:w="1550" w:type="pct"/>
          </w:tcPr>
          <w:p w14:paraId="50A02E24" w14:textId="77777777" w:rsidR="009F2673" w:rsidRPr="00E61EC7" w:rsidRDefault="002A2C48" w:rsidP="009E5A87">
            <w:pPr>
              <w:rPr>
                <w:i/>
              </w:rPr>
            </w:pPr>
            <w:r w:rsidRPr="00E61EC7">
              <w:rPr>
                <w:i/>
              </w:rPr>
              <w:t>Decision:</w:t>
            </w:r>
          </w:p>
        </w:tc>
        <w:tc>
          <w:tcPr>
            <w:tcW w:w="3400" w:type="pct"/>
          </w:tcPr>
          <w:p w14:paraId="2C16F631" w14:textId="10B845F2" w:rsidR="009F2673" w:rsidRPr="00E61EC7" w:rsidRDefault="002A2C48" w:rsidP="009E5A87">
            <w:r w:rsidRPr="00E61EC7">
              <w:t>Approved</w:t>
            </w:r>
          </w:p>
        </w:tc>
      </w:tr>
      <w:tr w:rsidR="00B0264A" w14:paraId="672B1CD3" w14:textId="77777777" w:rsidTr="00F809EE">
        <w:tc>
          <w:tcPr>
            <w:tcW w:w="1550" w:type="pct"/>
          </w:tcPr>
          <w:p w14:paraId="0BAE6088" w14:textId="77777777" w:rsidR="009F2673" w:rsidRPr="00E61EC7" w:rsidRDefault="002A2C48" w:rsidP="009E5A87">
            <w:pPr>
              <w:rPr>
                <w:i/>
              </w:rPr>
            </w:pPr>
            <w:r w:rsidRPr="00E61EC7">
              <w:rPr>
                <w:i/>
              </w:rPr>
              <w:t>Date of decision:</w:t>
            </w:r>
          </w:p>
        </w:tc>
        <w:tc>
          <w:tcPr>
            <w:tcW w:w="3400" w:type="pct"/>
          </w:tcPr>
          <w:p w14:paraId="3BB9EFA3" w14:textId="4819A664" w:rsidR="009F2673" w:rsidRPr="00E61EC7" w:rsidRDefault="002A2C48" w:rsidP="009E5A87">
            <w:r w:rsidRPr="00E61EC7">
              <w:t>4 August 2022</w:t>
            </w:r>
          </w:p>
        </w:tc>
      </w:tr>
      <w:tr w:rsidR="00B0264A" w14:paraId="21F14587" w14:textId="77777777" w:rsidTr="00F809EE">
        <w:tc>
          <w:tcPr>
            <w:tcW w:w="1550" w:type="pct"/>
          </w:tcPr>
          <w:p w14:paraId="7BFDB7F8" w14:textId="77777777" w:rsidR="009F2673" w:rsidRPr="00E61EC7" w:rsidRDefault="002A2C48" w:rsidP="009E5A87">
            <w:pPr>
              <w:rPr>
                <w:i/>
              </w:rPr>
            </w:pPr>
            <w:r w:rsidRPr="00E61EC7">
              <w:rPr>
                <w:i/>
              </w:rPr>
              <w:t>Date of entry onto ARTG:</w:t>
            </w:r>
          </w:p>
        </w:tc>
        <w:tc>
          <w:tcPr>
            <w:tcW w:w="3400" w:type="pct"/>
          </w:tcPr>
          <w:p w14:paraId="4F87A5D2" w14:textId="02D72E9F" w:rsidR="009F2673" w:rsidRPr="00E61EC7" w:rsidRDefault="002A2C48" w:rsidP="009E5A87">
            <w:r w:rsidRPr="00E61EC7">
              <w:t>8 August 2022</w:t>
            </w:r>
          </w:p>
        </w:tc>
      </w:tr>
      <w:tr w:rsidR="00B0264A" w14:paraId="461259BC" w14:textId="77777777" w:rsidTr="00F809EE">
        <w:tc>
          <w:tcPr>
            <w:tcW w:w="1550" w:type="pct"/>
          </w:tcPr>
          <w:p w14:paraId="40051686" w14:textId="224057FB" w:rsidR="009F2673" w:rsidRPr="00E61EC7" w:rsidRDefault="002A2C48" w:rsidP="009E5A87">
            <w:pPr>
              <w:rPr>
                <w:i/>
              </w:rPr>
            </w:pPr>
            <w:r w:rsidRPr="00E61EC7">
              <w:rPr>
                <w:i/>
              </w:rPr>
              <w:t>ARTG number:</w:t>
            </w:r>
          </w:p>
        </w:tc>
        <w:tc>
          <w:tcPr>
            <w:tcW w:w="3400" w:type="pct"/>
          </w:tcPr>
          <w:p w14:paraId="1E3DDB4A" w14:textId="676AA365" w:rsidR="009F2673" w:rsidRPr="00E61EC7" w:rsidRDefault="002A2C48" w:rsidP="009E5A87">
            <w:r w:rsidRPr="00E61EC7">
              <w:t>369935</w:t>
            </w:r>
          </w:p>
        </w:tc>
      </w:tr>
      <w:tr w:rsidR="00B0264A" w14:paraId="106C4301" w14:textId="77777777" w:rsidTr="00F809EE">
        <w:tc>
          <w:tcPr>
            <w:tcW w:w="1550" w:type="pct"/>
          </w:tcPr>
          <w:p w14:paraId="49094F72" w14:textId="26831956" w:rsidR="009F2673" w:rsidRPr="00E61EC7" w:rsidRDefault="002A2C48" w:rsidP="009E5A87">
            <w:pPr>
              <w:rPr>
                <w:i/>
              </w:rPr>
            </w:pPr>
            <w:r w:rsidRPr="00E61EC7">
              <w:rPr>
                <w:rFonts w:ascii="Wingdings 3" w:hAnsi="Wingdings 3"/>
                <w:sz w:val="34"/>
                <w:szCs w:val="34"/>
                <w:lang w:eastAsia="en-AU"/>
              </w:rPr>
              <w:sym w:font="Wingdings 3" w:char="F082"/>
            </w:r>
            <w:hyperlink r:id="rId17" w:history="1">
              <w:r w:rsidRPr="00E61EC7">
                <w:rPr>
                  <w:rStyle w:val="Hyperlink"/>
                  <w:i/>
                </w:rPr>
                <w:t>Black Triangle Scheme</w:t>
              </w:r>
            </w:hyperlink>
            <w:r w:rsidRPr="00E61EC7">
              <w:rPr>
                <w:i/>
              </w:rPr>
              <w:t>:</w:t>
            </w:r>
          </w:p>
        </w:tc>
        <w:tc>
          <w:tcPr>
            <w:tcW w:w="3400" w:type="pct"/>
          </w:tcPr>
          <w:p w14:paraId="0539B391" w14:textId="1CBD5620" w:rsidR="009F2673" w:rsidRPr="00E61EC7" w:rsidRDefault="002A2C48" w:rsidP="009E5A87">
            <w:r w:rsidRPr="00E61EC7">
              <w:t>Yes</w:t>
            </w:r>
            <w:r w:rsidR="000C6670" w:rsidRPr="00E61EC7">
              <w:t>.</w:t>
            </w:r>
          </w:p>
          <w:p w14:paraId="387F8DB6" w14:textId="04B95C50" w:rsidR="009F2673" w:rsidRPr="00E61EC7" w:rsidRDefault="002A2C48" w:rsidP="009E5A87">
            <w:r w:rsidRPr="00E61EC7">
              <w:t>This product will remain in the scheme for 5 years, starting on the date the product is first supplied in Australia</w:t>
            </w:r>
            <w:r w:rsidR="00F809EE" w:rsidRPr="00E61EC7">
              <w:t>.</w:t>
            </w:r>
          </w:p>
        </w:tc>
      </w:tr>
      <w:tr w:rsidR="00B0264A" w14:paraId="556194F9" w14:textId="77777777" w:rsidTr="00F809EE">
        <w:tc>
          <w:tcPr>
            <w:tcW w:w="1550" w:type="pct"/>
          </w:tcPr>
          <w:p w14:paraId="24534692" w14:textId="77777777" w:rsidR="009F2673" w:rsidRPr="00E61EC7" w:rsidRDefault="002A2C48" w:rsidP="009E5A87">
            <w:pPr>
              <w:rPr>
                <w:i/>
              </w:rPr>
            </w:pPr>
            <w:r w:rsidRPr="00E61EC7">
              <w:rPr>
                <w:i/>
              </w:rPr>
              <w:t>Sponsor’s name and address:</w:t>
            </w:r>
          </w:p>
        </w:tc>
        <w:tc>
          <w:tcPr>
            <w:tcW w:w="3400" w:type="pct"/>
          </w:tcPr>
          <w:p w14:paraId="25D00A06" w14:textId="77777777" w:rsidR="009F2673" w:rsidRPr="00E61EC7" w:rsidRDefault="002A2C48" w:rsidP="009E5A87">
            <w:r w:rsidRPr="00E61EC7">
              <w:t>Roche Products Pty Limited</w:t>
            </w:r>
          </w:p>
          <w:p w14:paraId="358DAB7F" w14:textId="676CBF3E" w:rsidR="000C6670" w:rsidRPr="00E61EC7" w:rsidRDefault="002A2C48" w:rsidP="000C6670">
            <w:r w:rsidRPr="00E61EC7">
              <w:t>Level 8, 30-34 Hickson Road</w:t>
            </w:r>
          </w:p>
          <w:p w14:paraId="29C71446" w14:textId="16F90912" w:rsidR="000C6670" w:rsidRPr="00E61EC7" w:rsidRDefault="002A2C48" w:rsidP="000C6670">
            <w:r w:rsidRPr="00E61EC7">
              <w:t>Sydney NSW 2000</w:t>
            </w:r>
          </w:p>
        </w:tc>
      </w:tr>
      <w:tr w:rsidR="00B0264A" w14:paraId="6337DAEA" w14:textId="77777777" w:rsidTr="00F809EE">
        <w:tc>
          <w:tcPr>
            <w:tcW w:w="1550" w:type="pct"/>
          </w:tcPr>
          <w:p w14:paraId="1B9D029B" w14:textId="155B258D" w:rsidR="009F2673" w:rsidRPr="00E61EC7" w:rsidRDefault="002A2C48" w:rsidP="009E5A87">
            <w:pPr>
              <w:rPr>
                <w:i/>
              </w:rPr>
            </w:pPr>
            <w:r w:rsidRPr="00E61EC7">
              <w:rPr>
                <w:i/>
              </w:rPr>
              <w:t>Dose form:</w:t>
            </w:r>
          </w:p>
        </w:tc>
        <w:tc>
          <w:tcPr>
            <w:tcW w:w="3400" w:type="pct"/>
          </w:tcPr>
          <w:p w14:paraId="7179A83B" w14:textId="4E58773A" w:rsidR="009F2673" w:rsidRPr="00E61EC7" w:rsidRDefault="002A2C48" w:rsidP="009E5A87">
            <w:r w:rsidRPr="00E61EC7">
              <w:t>Solution for injection</w:t>
            </w:r>
          </w:p>
        </w:tc>
      </w:tr>
      <w:tr w:rsidR="00B0264A" w14:paraId="148D352A" w14:textId="77777777" w:rsidTr="00F809EE">
        <w:tc>
          <w:tcPr>
            <w:tcW w:w="1550" w:type="pct"/>
          </w:tcPr>
          <w:p w14:paraId="70D62A08" w14:textId="0475070B" w:rsidR="009F2673" w:rsidRPr="00E61EC7" w:rsidRDefault="002A2C48" w:rsidP="009E5A87">
            <w:pPr>
              <w:rPr>
                <w:i/>
              </w:rPr>
            </w:pPr>
            <w:r w:rsidRPr="00E61EC7">
              <w:rPr>
                <w:i/>
              </w:rPr>
              <w:t>Strength:</w:t>
            </w:r>
          </w:p>
        </w:tc>
        <w:tc>
          <w:tcPr>
            <w:tcW w:w="3400" w:type="pct"/>
          </w:tcPr>
          <w:p w14:paraId="63176BBE" w14:textId="6FA033B8" w:rsidR="009F2673" w:rsidRPr="00E61EC7" w:rsidRDefault="002A2C48" w:rsidP="009E5A87">
            <w:r w:rsidRPr="00E61EC7">
              <w:t>120 mg/mL</w:t>
            </w:r>
          </w:p>
        </w:tc>
      </w:tr>
      <w:tr w:rsidR="00B0264A" w14:paraId="1228A5D7" w14:textId="77777777" w:rsidTr="00F809EE">
        <w:tc>
          <w:tcPr>
            <w:tcW w:w="1550" w:type="pct"/>
          </w:tcPr>
          <w:p w14:paraId="083D3745" w14:textId="525AEFF4" w:rsidR="009F2673" w:rsidRPr="00E61EC7" w:rsidRDefault="002A2C48" w:rsidP="009E5A87">
            <w:pPr>
              <w:rPr>
                <w:i/>
              </w:rPr>
            </w:pPr>
            <w:r w:rsidRPr="00E61EC7">
              <w:rPr>
                <w:i/>
              </w:rPr>
              <w:t>Container:</w:t>
            </w:r>
          </w:p>
        </w:tc>
        <w:tc>
          <w:tcPr>
            <w:tcW w:w="3400" w:type="pct"/>
          </w:tcPr>
          <w:p w14:paraId="2F7E0F95" w14:textId="4C25198C" w:rsidR="009F2673" w:rsidRPr="00E61EC7" w:rsidRDefault="002A2C48" w:rsidP="009E5A87">
            <w:r w:rsidRPr="00E61EC7">
              <w:t>Vial</w:t>
            </w:r>
          </w:p>
        </w:tc>
      </w:tr>
      <w:tr w:rsidR="00B0264A" w14:paraId="11827DA0" w14:textId="77777777" w:rsidTr="00F809EE">
        <w:tc>
          <w:tcPr>
            <w:tcW w:w="1550" w:type="pct"/>
          </w:tcPr>
          <w:p w14:paraId="3C6EF35C" w14:textId="2B8DA3CB" w:rsidR="009F2673" w:rsidRPr="00E61EC7" w:rsidRDefault="002A2C48" w:rsidP="009E5A87">
            <w:pPr>
              <w:rPr>
                <w:i/>
              </w:rPr>
            </w:pPr>
            <w:r w:rsidRPr="00E61EC7">
              <w:rPr>
                <w:i/>
              </w:rPr>
              <w:t>Pack size:</w:t>
            </w:r>
          </w:p>
        </w:tc>
        <w:tc>
          <w:tcPr>
            <w:tcW w:w="3400" w:type="pct"/>
          </w:tcPr>
          <w:p w14:paraId="077AEA7D" w14:textId="6CAEECDB" w:rsidR="009F2673" w:rsidRPr="00E61EC7" w:rsidRDefault="002A2C48" w:rsidP="009E5A87">
            <w:r w:rsidRPr="00E61EC7">
              <w:t>One</w:t>
            </w:r>
          </w:p>
        </w:tc>
      </w:tr>
      <w:tr w:rsidR="00B0264A" w14:paraId="75B10A80" w14:textId="77777777" w:rsidTr="00F809EE">
        <w:tc>
          <w:tcPr>
            <w:tcW w:w="1550" w:type="pct"/>
          </w:tcPr>
          <w:p w14:paraId="561A3026" w14:textId="77777777" w:rsidR="009F2673" w:rsidRPr="00E61EC7" w:rsidRDefault="002A2C48" w:rsidP="009E5A87">
            <w:pPr>
              <w:rPr>
                <w:i/>
              </w:rPr>
            </w:pPr>
            <w:r w:rsidRPr="00E61EC7">
              <w:rPr>
                <w:i/>
              </w:rPr>
              <w:t>Approved therapeutic use:</w:t>
            </w:r>
          </w:p>
        </w:tc>
        <w:tc>
          <w:tcPr>
            <w:tcW w:w="3400" w:type="pct"/>
          </w:tcPr>
          <w:p w14:paraId="381A83B6" w14:textId="77777777" w:rsidR="000C6670" w:rsidRPr="00E61EC7" w:rsidRDefault="002A2C48" w:rsidP="000C6670">
            <w:pPr>
              <w:rPr>
                <w:i/>
                <w:iCs/>
              </w:rPr>
            </w:pPr>
            <w:proofErr w:type="spellStart"/>
            <w:r w:rsidRPr="00E61EC7">
              <w:rPr>
                <w:i/>
                <w:iCs/>
              </w:rPr>
              <w:t>Vabysmo</w:t>
            </w:r>
            <w:proofErr w:type="spellEnd"/>
            <w:r w:rsidRPr="00E61EC7">
              <w:rPr>
                <w:i/>
                <w:iCs/>
              </w:rPr>
              <w:t xml:space="preserve"> is indicated for the treatment of:</w:t>
            </w:r>
          </w:p>
          <w:p w14:paraId="6C3BB5C1" w14:textId="7ABAB3B8" w:rsidR="000C6670" w:rsidRPr="00E61EC7" w:rsidRDefault="002A2C48" w:rsidP="000C6670">
            <w:pPr>
              <w:pStyle w:val="ListBullet"/>
              <w:rPr>
                <w:i/>
                <w:iCs/>
              </w:rPr>
            </w:pPr>
            <w:r w:rsidRPr="00E61EC7">
              <w:rPr>
                <w:i/>
                <w:iCs/>
              </w:rPr>
              <w:t>Neovascular (wet) age-related macular degeneration (</w:t>
            </w:r>
            <w:proofErr w:type="spellStart"/>
            <w:r w:rsidRPr="00E61EC7">
              <w:rPr>
                <w:i/>
                <w:iCs/>
              </w:rPr>
              <w:t>nAMD</w:t>
            </w:r>
            <w:proofErr w:type="spellEnd"/>
            <w:r w:rsidRPr="00E61EC7">
              <w:rPr>
                <w:i/>
                <w:iCs/>
              </w:rPr>
              <w:t>)</w:t>
            </w:r>
          </w:p>
          <w:p w14:paraId="45B61784" w14:textId="3F9D819F" w:rsidR="009F2673" w:rsidRPr="00E61EC7" w:rsidRDefault="002A2C48" w:rsidP="000C6670">
            <w:pPr>
              <w:pStyle w:val="ListBullet"/>
            </w:pPr>
            <w:r w:rsidRPr="00E61EC7">
              <w:rPr>
                <w:i/>
                <w:iCs/>
              </w:rPr>
              <w:t>Diabetic macular oedema (DMO).</w:t>
            </w:r>
          </w:p>
        </w:tc>
      </w:tr>
      <w:tr w:rsidR="00B0264A" w14:paraId="2301F88B" w14:textId="77777777" w:rsidTr="00F809EE">
        <w:tc>
          <w:tcPr>
            <w:tcW w:w="1550" w:type="pct"/>
          </w:tcPr>
          <w:p w14:paraId="23ECD1C1" w14:textId="76288A67" w:rsidR="009F2673" w:rsidRPr="00E61EC7" w:rsidRDefault="002A2C48" w:rsidP="009E5A87">
            <w:pPr>
              <w:rPr>
                <w:i/>
              </w:rPr>
            </w:pPr>
            <w:r w:rsidRPr="00E61EC7">
              <w:rPr>
                <w:i/>
              </w:rPr>
              <w:t>Route of administration:</w:t>
            </w:r>
          </w:p>
        </w:tc>
        <w:tc>
          <w:tcPr>
            <w:tcW w:w="3400" w:type="pct"/>
          </w:tcPr>
          <w:p w14:paraId="4F379954" w14:textId="77E34208" w:rsidR="009F2673" w:rsidRPr="00E61EC7" w:rsidRDefault="002A2C48" w:rsidP="009E5A87">
            <w:r w:rsidRPr="00E61EC7">
              <w:t xml:space="preserve">Intravitreal </w:t>
            </w:r>
            <w:r w:rsidR="0064609E">
              <w:t xml:space="preserve">injection </w:t>
            </w:r>
            <w:r w:rsidRPr="00E61EC7">
              <w:t>(within the vitreous cavity of the eye)</w:t>
            </w:r>
          </w:p>
        </w:tc>
      </w:tr>
      <w:tr w:rsidR="00B0264A" w14:paraId="78926EF7" w14:textId="77777777" w:rsidTr="00F809EE">
        <w:tc>
          <w:tcPr>
            <w:tcW w:w="1550" w:type="pct"/>
          </w:tcPr>
          <w:p w14:paraId="1DA8BBD9" w14:textId="77777777" w:rsidR="009F2673" w:rsidRPr="00E61EC7" w:rsidRDefault="002A2C48" w:rsidP="009E5A87">
            <w:pPr>
              <w:rPr>
                <w:i/>
              </w:rPr>
            </w:pPr>
            <w:r w:rsidRPr="00E61EC7">
              <w:rPr>
                <w:i/>
              </w:rPr>
              <w:t>Dosage:</w:t>
            </w:r>
          </w:p>
        </w:tc>
        <w:tc>
          <w:tcPr>
            <w:tcW w:w="3400" w:type="pct"/>
          </w:tcPr>
          <w:p w14:paraId="6D3B3504" w14:textId="0BABE921" w:rsidR="009F2673" w:rsidRPr="00E61EC7" w:rsidRDefault="002A2C48" w:rsidP="00610CCA">
            <w:proofErr w:type="spellStart"/>
            <w:r w:rsidRPr="00E61EC7">
              <w:t>Vabysmo</w:t>
            </w:r>
            <w:proofErr w:type="spellEnd"/>
            <w:r w:rsidRPr="00E61EC7">
              <w:t xml:space="preserve"> must be administered by a qualified physician experienced in intravitreal injections. Each vial should only be used for the treatment of a single eye.</w:t>
            </w:r>
          </w:p>
          <w:p w14:paraId="30ABF71E" w14:textId="77777777" w:rsidR="00610CCA" w:rsidRPr="00E61EC7" w:rsidRDefault="002A2C48" w:rsidP="00610CCA">
            <w:pPr>
              <w:rPr>
                <w:b/>
                <w:bCs/>
              </w:rPr>
            </w:pPr>
            <w:r w:rsidRPr="00E61EC7">
              <w:rPr>
                <w:b/>
                <w:bCs/>
              </w:rPr>
              <w:t>Neovascular (wet) age-related macular degeneration (</w:t>
            </w:r>
            <w:proofErr w:type="spellStart"/>
            <w:r w:rsidRPr="00E61EC7">
              <w:rPr>
                <w:b/>
                <w:bCs/>
              </w:rPr>
              <w:t>nAMD</w:t>
            </w:r>
            <w:proofErr w:type="spellEnd"/>
            <w:r w:rsidRPr="00E61EC7">
              <w:rPr>
                <w:b/>
                <w:bCs/>
              </w:rPr>
              <w:t>)</w:t>
            </w:r>
          </w:p>
          <w:p w14:paraId="610246EF" w14:textId="1B11BE6E" w:rsidR="00610CCA" w:rsidRPr="00E61EC7" w:rsidRDefault="002A2C48" w:rsidP="00610CCA">
            <w:r w:rsidRPr="00E61EC7">
              <w:t xml:space="preserve">The recommended dose for </w:t>
            </w:r>
            <w:proofErr w:type="spellStart"/>
            <w:r w:rsidRPr="00E61EC7">
              <w:t>Vabysmo</w:t>
            </w:r>
            <w:proofErr w:type="spellEnd"/>
            <w:r w:rsidRPr="00E61EC7">
              <w:t xml:space="preserve"> is 6 mg (0.05</w:t>
            </w:r>
            <w:r w:rsidR="00AA2E84" w:rsidRPr="00E61EC7">
              <w:t> </w:t>
            </w:r>
            <w:r w:rsidRPr="00E61EC7">
              <w:t xml:space="preserve">mL) administered by intravitreal injection every 4 weeks for the first 4 doses. Thereafter, an assessment of disease activity based on anatomic and/or visual outcomes is recommended 20 </w:t>
            </w:r>
            <w:r w:rsidR="00AA2E84" w:rsidRPr="00E61EC7">
              <w:t>to</w:t>
            </w:r>
            <w:r w:rsidRPr="00E61EC7">
              <w:t xml:space="preserve"> 24 weeks after treatment initiation so </w:t>
            </w:r>
            <w:r w:rsidRPr="00E61EC7">
              <w:lastRenderedPageBreak/>
              <w:t xml:space="preserve">treatment can be individualised. Based on this assessment, in patients without disease activity, administration of </w:t>
            </w:r>
            <w:proofErr w:type="spellStart"/>
            <w:r w:rsidRPr="00E61EC7">
              <w:t>Vabysmo</w:t>
            </w:r>
            <w:proofErr w:type="spellEnd"/>
            <w:r w:rsidRPr="00E61EC7">
              <w:t xml:space="preserve"> every 16 weeks should be considered. Based on this assessment, in patients with disease activity, treatment every 8 weeks or 12 weeks should be considered (see </w:t>
            </w:r>
            <w:r w:rsidR="00AA2E84" w:rsidRPr="00E61EC7">
              <w:t>S</w:t>
            </w:r>
            <w:r w:rsidRPr="00E61EC7">
              <w:t>ection 5.1</w:t>
            </w:r>
            <w:r w:rsidR="00AA2E84" w:rsidRPr="00E61EC7">
              <w:t xml:space="preserve"> of the Product Information</w:t>
            </w:r>
            <w:r w:rsidRPr="00E61EC7">
              <w:t>).</w:t>
            </w:r>
          </w:p>
          <w:p w14:paraId="20770A34" w14:textId="77777777" w:rsidR="00610CCA" w:rsidRPr="00E61EC7" w:rsidRDefault="002A2C48" w:rsidP="00610CCA">
            <w:pPr>
              <w:rPr>
                <w:b/>
                <w:bCs/>
              </w:rPr>
            </w:pPr>
            <w:r w:rsidRPr="00E61EC7">
              <w:rPr>
                <w:b/>
                <w:bCs/>
              </w:rPr>
              <w:t>Diabetic macular oedema (DMO)</w:t>
            </w:r>
          </w:p>
          <w:p w14:paraId="7066D37C" w14:textId="6277F210" w:rsidR="0016153C" w:rsidRPr="00E61EC7" w:rsidRDefault="002A2C48" w:rsidP="00610CCA">
            <w:r w:rsidRPr="00E61EC7">
              <w:t xml:space="preserve">The recommended dose for </w:t>
            </w:r>
            <w:proofErr w:type="spellStart"/>
            <w:r w:rsidRPr="00E61EC7">
              <w:t>Vabysmo</w:t>
            </w:r>
            <w:proofErr w:type="spellEnd"/>
            <w:r w:rsidRPr="00E61EC7">
              <w:t xml:space="preserve"> is 6 mg (0.05 mL) administered by intravitreal injection every 4 weeks for the first 4 doses. Thereafter, treatment may be individualised using a treat-and-extend approach following an assessment of the individual patient's anatomic and/or visual outcomes. Following the outcome of this assessment, the dosing interval may remain at every 4 weeks, or may be extended in 4 week increments up to every 16 weeks. If anatomic or visual outcomes change, the treatment interval should be adjusted accordingly (see Section 5.1 of the Product Information).</w:t>
            </w:r>
          </w:p>
          <w:p w14:paraId="337F50F4" w14:textId="2AF7683E" w:rsidR="0016153C" w:rsidRPr="00E61EC7" w:rsidRDefault="002A2C48" w:rsidP="00610CCA">
            <w:r w:rsidRPr="00E61EC7">
              <w:t>Continued monitoring of disease activity and individualisation of dosing is recommended. Monitoring between the dosing visits should be scheduled based on the patient's status and at the physician's clinical judgement.</w:t>
            </w:r>
          </w:p>
          <w:p w14:paraId="750500D2" w14:textId="6A412F6F" w:rsidR="00610CCA" w:rsidRPr="00E61EC7" w:rsidRDefault="002A2C48" w:rsidP="00610CCA">
            <w:pPr>
              <w:rPr>
                <w:b/>
                <w:bCs/>
              </w:rPr>
            </w:pPr>
            <w:r w:rsidRPr="00E61EC7">
              <w:rPr>
                <w:b/>
                <w:bCs/>
              </w:rPr>
              <w:t xml:space="preserve">Duration of </w:t>
            </w:r>
            <w:r w:rsidR="00AA2E84" w:rsidRPr="00E61EC7">
              <w:rPr>
                <w:b/>
                <w:bCs/>
              </w:rPr>
              <w:t>treatment</w:t>
            </w:r>
          </w:p>
          <w:p w14:paraId="5AC789C0" w14:textId="43A22F87" w:rsidR="00610CCA" w:rsidRPr="00E61EC7" w:rsidRDefault="002A2C48" w:rsidP="00610CCA">
            <w:proofErr w:type="spellStart"/>
            <w:r w:rsidRPr="00E61EC7">
              <w:t>Vabysmo</w:t>
            </w:r>
            <w:proofErr w:type="spellEnd"/>
            <w:r w:rsidRPr="00E61EC7">
              <w:t xml:space="preserve"> is intended for long-term treatment. The duration of treatment for DMO is adjusted accordingly to clinical response. The duration of treatment for </w:t>
            </w:r>
            <w:proofErr w:type="spellStart"/>
            <w:r w:rsidRPr="00E61EC7">
              <w:t>nAMD</w:t>
            </w:r>
            <w:proofErr w:type="spellEnd"/>
            <w:r w:rsidRPr="00E61EC7">
              <w:t xml:space="preserve"> is likely to be long</w:t>
            </w:r>
            <w:r w:rsidR="00CC16D0" w:rsidRPr="00E61EC7">
              <w:t>-</w:t>
            </w:r>
            <w:r w:rsidRPr="00E61EC7">
              <w:t>term treatment.</w:t>
            </w:r>
          </w:p>
          <w:p w14:paraId="103B7868" w14:textId="475E6740" w:rsidR="00610CCA" w:rsidRPr="00E61EC7" w:rsidRDefault="002A2C48" w:rsidP="00610CCA">
            <w:r w:rsidRPr="00E61EC7">
              <w:t xml:space="preserve">If visual and/or anatomic outcomes indicate that the patient is not benefitting from continued treatment, </w:t>
            </w:r>
            <w:proofErr w:type="spellStart"/>
            <w:r w:rsidRPr="00E61EC7">
              <w:t>Vabysmo</w:t>
            </w:r>
            <w:proofErr w:type="spellEnd"/>
            <w:r w:rsidRPr="00E61EC7">
              <w:t xml:space="preserve"> should be discontinued.</w:t>
            </w:r>
          </w:p>
          <w:p w14:paraId="136DDBB5" w14:textId="77777777" w:rsidR="009F2673" w:rsidRPr="00E61EC7" w:rsidRDefault="002A2C48" w:rsidP="00610CCA">
            <w:r w:rsidRPr="00E61EC7">
              <w:t>For further information regarding dosage, refer to the Product Information.</w:t>
            </w:r>
          </w:p>
        </w:tc>
      </w:tr>
      <w:tr w:rsidR="00B0264A" w14:paraId="4171B010" w14:textId="77777777" w:rsidTr="00F809EE">
        <w:tc>
          <w:tcPr>
            <w:tcW w:w="1550" w:type="pct"/>
          </w:tcPr>
          <w:p w14:paraId="24B7ED1F" w14:textId="77777777" w:rsidR="009F2673" w:rsidRPr="00E61EC7" w:rsidRDefault="002A2C48" w:rsidP="009E5A87">
            <w:pPr>
              <w:rPr>
                <w:i/>
              </w:rPr>
            </w:pPr>
            <w:r w:rsidRPr="00E61EC7">
              <w:rPr>
                <w:i/>
              </w:rPr>
              <w:lastRenderedPageBreak/>
              <w:t>Pregnancy category:</w:t>
            </w:r>
          </w:p>
        </w:tc>
        <w:tc>
          <w:tcPr>
            <w:tcW w:w="3400" w:type="pct"/>
          </w:tcPr>
          <w:p w14:paraId="3D4DE59C" w14:textId="5F198F9F" w:rsidR="004D04E2" w:rsidRPr="00E61EC7" w:rsidRDefault="002A2C48" w:rsidP="004D04E2">
            <w:r w:rsidRPr="00E61EC7">
              <w:t>D</w:t>
            </w:r>
          </w:p>
          <w:p w14:paraId="61C54AAB" w14:textId="1A782464" w:rsidR="004D04E2" w:rsidRPr="00E61EC7" w:rsidRDefault="002A2C48" w:rsidP="004D04E2">
            <w:r w:rsidRPr="00E61EC7">
              <w:t>Drugs which have caused, are suspected to have caused or may be expected to cause, an increased incidence of human fetal malformations or irreversible damage. These drugs may also have adverse pharmacological effects. Accompanying texts should be consulted for further details.</w:t>
            </w:r>
          </w:p>
          <w:p w14:paraId="2A600A23" w14:textId="25BCBE90" w:rsidR="009F2673" w:rsidRPr="00E61EC7" w:rsidRDefault="002A2C48" w:rsidP="004D04E2">
            <w:r w:rsidRPr="00E61EC7">
              <w:t>The use of any medicine during pregnancy requires careful consideration of both risks and benefits by the treating health professional. This must not be used as the sole basis of decision making in the use of medicines during pregnancy. The TGA does not provide advice on the use of medicines in pregnancy for specific cases. More information is available from obstetric drug information services in your State or Territory.</w:t>
            </w:r>
          </w:p>
        </w:tc>
      </w:tr>
    </w:tbl>
    <w:p w14:paraId="417C3D5D" w14:textId="77777777" w:rsidR="008E7846" w:rsidRPr="00E61EC7" w:rsidRDefault="002A2C48" w:rsidP="008E7846">
      <w:pPr>
        <w:pStyle w:val="Heading3"/>
      </w:pPr>
      <w:bookmarkStart w:id="20" w:name="_Toc247691503"/>
      <w:bookmarkStart w:id="21" w:name="_Toc314842484"/>
      <w:bookmarkStart w:id="22" w:name="_Toc129701769"/>
      <w:r w:rsidRPr="00E61EC7">
        <w:lastRenderedPageBreak/>
        <w:t>Product background</w:t>
      </w:r>
      <w:bookmarkEnd w:id="20"/>
      <w:bookmarkEnd w:id="21"/>
      <w:bookmarkEnd w:id="22"/>
    </w:p>
    <w:p w14:paraId="564AF3AC" w14:textId="3035FF1E" w:rsidR="009F2673" w:rsidRPr="00E61EC7" w:rsidRDefault="002A2C48" w:rsidP="009F2673">
      <w:r w:rsidRPr="00E61EC7">
        <w:t xml:space="preserve">This AusPAR describes the </w:t>
      </w:r>
      <w:r w:rsidR="001E359E" w:rsidRPr="00E61EC7">
        <w:t>submission</w:t>
      </w:r>
      <w:r w:rsidRPr="00E61EC7">
        <w:t xml:space="preserve"> by </w:t>
      </w:r>
      <w:r w:rsidR="00610CCA" w:rsidRPr="00E61EC7">
        <w:t>Roche Products Pty Limited</w:t>
      </w:r>
      <w:r w:rsidRPr="00E61EC7">
        <w:t xml:space="preserve"> (the sponsor) to register </w:t>
      </w:r>
      <w:proofErr w:type="spellStart"/>
      <w:r w:rsidR="00610CCA" w:rsidRPr="00E61EC7">
        <w:t>Vabysmo</w:t>
      </w:r>
      <w:proofErr w:type="spellEnd"/>
      <w:r w:rsidRPr="00E61EC7">
        <w:t xml:space="preserve"> (</w:t>
      </w:r>
      <w:proofErr w:type="spellStart"/>
      <w:r w:rsidR="00610CCA" w:rsidRPr="00E61EC7">
        <w:t>faricimab</w:t>
      </w:r>
      <w:proofErr w:type="spellEnd"/>
      <w:r w:rsidRPr="00E61EC7">
        <w:t xml:space="preserve">) </w:t>
      </w:r>
      <w:r w:rsidR="004D04E2" w:rsidRPr="00E61EC7">
        <w:t>120 mg/mL</w:t>
      </w:r>
      <w:r w:rsidRPr="00E61EC7">
        <w:t xml:space="preserve">, </w:t>
      </w:r>
      <w:r w:rsidR="004D04E2" w:rsidRPr="00E61EC7">
        <w:t>solution for injection</w:t>
      </w:r>
      <w:r w:rsidRPr="00E61EC7">
        <w:t xml:space="preserve"> for the following proposed indication:</w:t>
      </w:r>
    </w:p>
    <w:p w14:paraId="56C8E550" w14:textId="0792CDB4" w:rsidR="000C6670" w:rsidRPr="00E61EC7" w:rsidRDefault="002A2C48" w:rsidP="000C6670">
      <w:pPr>
        <w:ind w:left="360"/>
        <w:rPr>
          <w:i/>
          <w:iCs/>
        </w:rPr>
      </w:pPr>
      <w:proofErr w:type="spellStart"/>
      <w:r w:rsidRPr="00E61EC7">
        <w:rPr>
          <w:i/>
          <w:iCs/>
        </w:rPr>
        <w:t>Vabysmo</w:t>
      </w:r>
      <w:proofErr w:type="spellEnd"/>
      <w:r w:rsidRPr="00E61EC7">
        <w:rPr>
          <w:i/>
          <w:iCs/>
        </w:rPr>
        <w:t xml:space="preserve"> is a bispecific angiopoietin-2 (Ang-2) and vascular endothelial growth factor (VEGF) inhibitor indicated for the treatment of:</w:t>
      </w:r>
    </w:p>
    <w:p w14:paraId="74120367" w14:textId="77777777" w:rsidR="000C6670" w:rsidRPr="00E61EC7" w:rsidRDefault="002A2C48" w:rsidP="000C6670">
      <w:pPr>
        <w:pStyle w:val="ListBullet"/>
        <w:ind w:left="720"/>
        <w:rPr>
          <w:i/>
          <w:iCs/>
        </w:rPr>
      </w:pPr>
      <w:r w:rsidRPr="00E61EC7">
        <w:rPr>
          <w:i/>
          <w:iCs/>
        </w:rPr>
        <w:t>Neovascular (wet) age-related macular degeneration (</w:t>
      </w:r>
      <w:proofErr w:type="spellStart"/>
      <w:r w:rsidRPr="00E61EC7">
        <w:rPr>
          <w:i/>
          <w:iCs/>
        </w:rPr>
        <w:t>nAMD</w:t>
      </w:r>
      <w:proofErr w:type="spellEnd"/>
      <w:r w:rsidRPr="00E61EC7">
        <w:rPr>
          <w:i/>
          <w:iCs/>
        </w:rPr>
        <w:t>)</w:t>
      </w:r>
    </w:p>
    <w:p w14:paraId="0C3E8D8C" w14:textId="0F9A4A70" w:rsidR="000C6670" w:rsidRPr="00E61EC7" w:rsidRDefault="002A2C48" w:rsidP="000C6670">
      <w:pPr>
        <w:pStyle w:val="ListBullet"/>
        <w:ind w:left="720"/>
        <w:rPr>
          <w:i/>
          <w:iCs/>
        </w:rPr>
      </w:pPr>
      <w:r w:rsidRPr="00E61EC7">
        <w:rPr>
          <w:i/>
          <w:iCs/>
        </w:rPr>
        <w:t>Diabetic macular oedema (DME).</w:t>
      </w:r>
    </w:p>
    <w:p w14:paraId="4E024E0C" w14:textId="2D4BC29B" w:rsidR="00C470FC" w:rsidRPr="00E61EC7" w:rsidRDefault="002A2C48" w:rsidP="00C470FC">
      <w:bookmarkStart w:id="23" w:name="_Toc314842485"/>
      <w:bookmarkStart w:id="24" w:name="_Toc247691504"/>
      <w:r w:rsidRPr="00E61EC7">
        <w:t>Age-related macular degeneration (AMD) is a chronic eye disease characterised by progressive degeneration in the central retina (macula). It is one of the most common eye diseases to cause vision loss after age 60.</w:t>
      </w:r>
      <w:r w:rsidR="00AA2E84" w:rsidRPr="00E61EC7">
        <w:t xml:space="preserve"> </w:t>
      </w:r>
      <w:r w:rsidRPr="00E61EC7">
        <w:t xml:space="preserve">AMD can be categorised using the Age-Related Eye Disease Study </w:t>
      </w:r>
      <w:r w:rsidR="00F0310F" w:rsidRPr="00E61EC7">
        <w:t>Scale</w:t>
      </w:r>
      <w:r w:rsidRPr="00E61EC7">
        <w:t>:</w:t>
      </w:r>
      <w:r w:rsidR="00F17930">
        <w:rPr>
          <w:rStyle w:val="FootnoteReference"/>
        </w:rPr>
        <w:footnoteReference w:id="2"/>
      </w:r>
      <w:r w:rsidRPr="00E61EC7">
        <w:t xml:space="preserve"> no AMD, early AMD, intermediate </w:t>
      </w:r>
      <w:proofErr w:type="gramStart"/>
      <w:r w:rsidRPr="00E61EC7">
        <w:t>AMD</w:t>
      </w:r>
      <w:proofErr w:type="gramEnd"/>
      <w:r w:rsidRPr="00E61EC7">
        <w:t xml:space="preserve"> and advanced AMD which includes neovascular AMD (wet AMD or </w:t>
      </w:r>
      <w:proofErr w:type="spellStart"/>
      <w:r w:rsidRPr="00E61EC7">
        <w:t>nAMD</w:t>
      </w:r>
      <w:proofErr w:type="spellEnd"/>
      <w:r w:rsidRPr="00E61EC7">
        <w:t>) or advanced dry AMD (geographic atrophy involving the macula). The neovascular form of the disease is present in about 10% of all AMD cases, but it accounted for approximately 90% of the severe vision loss from AMD. Without treatment, most affected eyes will develop poor central vision (20</w:t>
      </w:r>
      <w:r w:rsidR="00EC71F6" w:rsidRPr="00E61EC7">
        <w:t xml:space="preserve"> of </w:t>
      </w:r>
      <w:r w:rsidRPr="00E61EC7">
        <w:t>200</w:t>
      </w:r>
      <w:r w:rsidR="00EC71F6" w:rsidRPr="00E61EC7">
        <w:t xml:space="preserve"> or less</w:t>
      </w:r>
      <w:r w:rsidRPr="00E61EC7">
        <w:t>) within 12 months.</w:t>
      </w:r>
    </w:p>
    <w:p w14:paraId="4978F874" w14:textId="07B8C082" w:rsidR="00C470FC" w:rsidRPr="00E61EC7" w:rsidRDefault="002A2C48" w:rsidP="00C470FC">
      <w:r w:rsidRPr="00E61EC7">
        <w:t>Neovascular AMD (</w:t>
      </w:r>
      <w:proofErr w:type="spellStart"/>
      <w:r w:rsidRPr="00E61EC7">
        <w:t>nAMD</w:t>
      </w:r>
      <w:proofErr w:type="spellEnd"/>
      <w:r w:rsidRPr="00E61EC7">
        <w:t xml:space="preserve">) is characterised by neovascularisation from the subjacent choroid into the sub-retinal pigment epithelium space and the subretinal space, </w:t>
      </w:r>
      <w:r w:rsidR="00E94AE0">
        <w:t xml:space="preserve">a process </w:t>
      </w:r>
      <w:r w:rsidRPr="00E61EC7">
        <w:t xml:space="preserve">termed choroidal neovascularisation. These newly formed vessels have an increased likelihood to leak blood and serum, causing separation of Bruch’s membrane, </w:t>
      </w:r>
      <w:r w:rsidR="00F0310F" w:rsidRPr="00E61EC7">
        <w:t>retinal pigment epithelium</w:t>
      </w:r>
      <w:r w:rsidRPr="00E61EC7">
        <w:t xml:space="preserve"> and retina from each other and resulting in the accumulation of sub-</w:t>
      </w:r>
      <w:r w:rsidR="00F0310F" w:rsidRPr="00E61EC7">
        <w:t xml:space="preserve"> retinal pigment epithelium</w:t>
      </w:r>
      <w:r w:rsidRPr="00E61EC7">
        <w:t>, sub-retinal or intra-retinal fluid. Fluid accumulation leads to a generalised thickening of the retina and/or the formation of cystic spaces. These pathological manifestations of the retina cause the photoreceptors to become misaligned and eventually degenerative changes occur with cell loss and eventual fibrosis and scar tissue formation. This damage to the retina results in progressive, severe, and irreversible central vision loss.</w:t>
      </w:r>
    </w:p>
    <w:p w14:paraId="34E953CA" w14:textId="29ABE95F" w:rsidR="00E869FD" w:rsidRPr="00E61EC7" w:rsidRDefault="002A2C48" w:rsidP="00C470FC">
      <w:r w:rsidRPr="00E61EC7">
        <w:t xml:space="preserve">Current treatment options for </w:t>
      </w:r>
      <w:proofErr w:type="spellStart"/>
      <w:r w:rsidRPr="00E61EC7">
        <w:t>nAMD</w:t>
      </w:r>
      <w:proofErr w:type="spellEnd"/>
      <w:r w:rsidRPr="00E61EC7">
        <w:t xml:space="preserve"> include intravitreal injection of anti-vascular endothelial growth factor (</w:t>
      </w:r>
      <w:r w:rsidR="0039584C" w:rsidRPr="00E61EC7">
        <w:t>anti-</w:t>
      </w:r>
      <w:r w:rsidRPr="00E61EC7">
        <w:t>VEGF) agents, for example, Lucentis (ranibizumab),</w:t>
      </w:r>
      <w:r>
        <w:rPr>
          <w:rStyle w:val="FootnoteReference"/>
        </w:rPr>
        <w:footnoteReference w:id="3"/>
      </w:r>
      <w:r w:rsidRPr="00E61EC7">
        <w:t xml:space="preserve"> Eylea (aflibercept)</w:t>
      </w:r>
      <w:r>
        <w:rPr>
          <w:rStyle w:val="FootnoteReference"/>
        </w:rPr>
        <w:footnoteReference w:id="4"/>
      </w:r>
      <w:r w:rsidRPr="00E61EC7">
        <w:t xml:space="preserve"> and </w:t>
      </w:r>
      <w:proofErr w:type="spellStart"/>
      <w:r w:rsidRPr="00E61EC7">
        <w:t>Beovu</w:t>
      </w:r>
      <w:proofErr w:type="spellEnd"/>
      <w:r w:rsidRPr="00E61EC7">
        <w:t xml:space="preserve"> (brolucizumab).</w:t>
      </w:r>
      <w:r>
        <w:rPr>
          <w:rStyle w:val="FootnoteReference"/>
        </w:rPr>
        <w:footnoteReference w:id="5"/>
      </w:r>
      <w:r w:rsidRPr="00E61EC7">
        <w:t xml:space="preserve"> Previous therapy approaches such as photodynamic therapy, thermal laser photocoagulation and surgery are not frequently or no longer recommended.</w:t>
      </w:r>
    </w:p>
    <w:p w14:paraId="67B35675" w14:textId="1719D499" w:rsidR="00C470FC" w:rsidRPr="00E61EC7" w:rsidRDefault="002A2C48" w:rsidP="00C470FC">
      <w:r w:rsidRPr="00E61EC7">
        <w:t>Diabetic macular oedema (DM</w:t>
      </w:r>
      <w:r w:rsidR="00E94AE0">
        <w:t xml:space="preserve">O), alternatively, diabetic macular </w:t>
      </w:r>
      <w:proofErr w:type="spellStart"/>
      <w:r w:rsidR="00E94AE0">
        <w:t>edema</w:t>
      </w:r>
      <w:proofErr w:type="spellEnd"/>
      <w:r w:rsidRPr="00E61EC7">
        <w:t xml:space="preserve"> </w:t>
      </w:r>
      <w:r w:rsidR="00E94AE0">
        <w:t xml:space="preserve">(DME) </w:t>
      </w:r>
      <w:r w:rsidRPr="00E61EC7">
        <w:t>is a common complication of both Type</w:t>
      </w:r>
      <w:r w:rsidR="00F86CD2" w:rsidRPr="00E61EC7">
        <w:t> </w:t>
      </w:r>
      <w:r w:rsidRPr="00E61EC7">
        <w:t>1 and 2 diabetes as well as a leading cause of central vision loss in patients with diabetic retinopathy.</w:t>
      </w:r>
      <w:r w:rsidR="00475997" w:rsidRPr="00E61EC7">
        <w:t xml:space="preserve"> </w:t>
      </w:r>
      <w:r w:rsidRPr="00E61EC7">
        <w:t xml:space="preserve">Both </w:t>
      </w:r>
      <w:r w:rsidR="0039584C" w:rsidRPr="00E61EC7">
        <w:t>DMO</w:t>
      </w:r>
      <w:r w:rsidRPr="00E61EC7">
        <w:t xml:space="preserve"> and </w:t>
      </w:r>
      <w:r w:rsidR="00F86CD2" w:rsidRPr="00E61EC7">
        <w:t>diabetic retinopathy</w:t>
      </w:r>
      <w:r w:rsidRPr="00E61EC7">
        <w:t xml:space="preserve"> share the same underlying pathophysiological processes. Hyperglycaemia may lead to </w:t>
      </w:r>
      <w:proofErr w:type="spellStart"/>
      <w:r w:rsidRPr="00E61EC7">
        <w:t>microvasculopathy</w:t>
      </w:r>
      <w:proofErr w:type="spellEnd"/>
      <w:r w:rsidRPr="00E61EC7">
        <w:t xml:space="preserve">. The loss of pericytes, retinal micro-aneurysms, dilated </w:t>
      </w:r>
      <w:r w:rsidR="00CE6184" w:rsidRPr="00E61EC7">
        <w:t>capillaries,</w:t>
      </w:r>
      <w:r w:rsidRPr="00E61EC7">
        <w:t xml:space="preserve"> and vascular inflammation lead to the destabilisation of retinal vasculature, breakdown of the inner blood</w:t>
      </w:r>
      <w:r w:rsidR="00475997" w:rsidRPr="00E61EC7">
        <w:t xml:space="preserve"> </w:t>
      </w:r>
      <w:r w:rsidRPr="00E61EC7">
        <w:t xml:space="preserve">retinal barrier, and pathological increase in vascular permeability. Fluid and macromolecules leak from the intraretinal vasculature into the interstitial spaces of the surrounding retina. The underlying </w:t>
      </w:r>
      <w:r w:rsidR="00F86CD2" w:rsidRPr="00E61EC7">
        <w:t>diabetic retinopathy</w:t>
      </w:r>
      <w:r w:rsidRPr="00E61EC7">
        <w:t xml:space="preserve"> in </w:t>
      </w:r>
      <w:r w:rsidR="0039584C" w:rsidRPr="00E61EC7">
        <w:t>DMO</w:t>
      </w:r>
      <w:r w:rsidRPr="00E61EC7">
        <w:t xml:space="preserve"> patients slowly and insidiously progresses from early non-proliferative </w:t>
      </w:r>
      <w:r w:rsidR="00F86CD2" w:rsidRPr="00E61EC7">
        <w:t>diabetic retinopathy</w:t>
      </w:r>
      <w:r w:rsidRPr="00E61EC7">
        <w:t xml:space="preserve"> to the advanced stages of proliferative </w:t>
      </w:r>
      <w:r w:rsidR="00F86CD2" w:rsidRPr="00E61EC7">
        <w:t>diabetic retinopathy</w:t>
      </w:r>
      <w:r w:rsidRPr="00E61EC7">
        <w:t xml:space="preserve"> characterised by neovascularisation. The </w:t>
      </w:r>
      <w:r w:rsidRPr="00E61EC7">
        <w:lastRenderedPageBreak/>
        <w:t xml:space="preserve">accumulation of intraretinal fluid within the macula causes </w:t>
      </w:r>
      <w:r w:rsidR="0039584C" w:rsidRPr="00E61EC7">
        <w:t>DMO</w:t>
      </w:r>
      <w:r w:rsidRPr="00E61EC7">
        <w:t>, with or without cystoid changes, resulting in photoreceptor degeneration, which can lead to irreversible loss of central vision.</w:t>
      </w:r>
    </w:p>
    <w:p w14:paraId="19D83F3A" w14:textId="59FED1E0" w:rsidR="00C470FC" w:rsidRPr="00E61EC7" w:rsidRDefault="002A2C48" w:rsidP="00475997">
      <w:r w:rsidRPr="00E61EC7">
        <w:t xml:space="preserve">The primary treatment goals </w:t>
      </w:r>
      <w:r w:rsidR="00475997" w:rsidRPr="00E61EC7">
        <w:t xml:space="preserve">for DMO </w:t>
      </w:r>
      <w:r w:rsidRPr="00E61EC7">
        <w:t xml:space="preserve">are improving or maintaining visual acuity, reducing retinal fluid, improving the underlying diabetic </w:t>
      </w:r>
      <w:proofErr w:type="gramStart"/>
      <w:r w:rsidRPr="00E61EC7">
        <w:t>retinopathy</w:t>
      </w:r>
      <w:proofErr w:type="gramEnd"/>
      <w:r w:rsidRPr="00E61EC7">
        <w:t xml:space="preserve"> and preventing irreversible damage to the macula. Treatment options include (some off-label)</w:t>
      </w:r>
      <w:r w:rsidR="00475997" w:rsidRPr="00E61EC7">
        <w:t xml:space="preserve"> p</w:t>
      </w:r>
      <w:r w:rsidRPr="00E61EC7">
        <w:t>hotocoagulation</w:t>
      </w:r>
      <w:r w:rsidR="00475997" w:rsidRPr="00E61EC7">
        <w:t xml:space="preserve"> (</w:t>
      </w:r>
      <w:r w:rsidRPr="00E61EC7">
        <w:t>macular laser</w:t>
      </w:r>
      <w:r w:rsidR="00475997" w:rsidRPr="00E61EC7">
        <w:t>); s</w:t>
      </w:r>
      <w:r w:rsidRPr="00E61EC7">
        <w:t>teroids</w:t>
      </w:r>
      <w:r w:rsidR="00475997" w:rsidRPr="00E61EC7">
        <w:t xml:space="preserve"> (</w:t>
      </w:r>
      <w:r w:rsidRPr="00E61EC7">
        <w:t>periocular or intravitreal steroids and steroid implants (limitations of severe side effects such as cataract and glaucoma)</w:t>
      </w:r>
      <w:r w:rsidR="00475997" w:rsidRPr="00E61EC7">
        <w:t>); a</w:t>
      </w:r>
      <w:r w:rsidRPr="00E61EC7">
        <w:t>nti-VEGF treatments</w:t>
      </w:r>
      <w:r w:rsidR="00475997" w:rsidRPr="00E61EC7">
        <w:t xml:space="preserve"> (</w:t>
      </w:r>
      <w:r w:rsidRPr="00E61EC7">
        <w:t>intravitreal administration of ranibizumab (Lucentis) or aflibercept (Eylea)</w:t>
      </w:r>
      <w:r w:rsidR="00475997" w:rsidRPr="00E61EC7">
        <w:t>)</w:t>
      </w:r>
      <w:r w:rsidRPr="00E61EC7">
        <w:t>.</w:t>
      </w:r>
    </w:p>
    <w:p w14:paraId="3277D1C9" w14:textId="54FDBC6F" w:rsidR="001C3B24" w:rsidRPr="00E61EC7" w:rsidRDefault="002A2C48" w:rsidP="001C3B24">
      <w:proofErr w:type="spellStart"/>
      <w:r w:rsidRPr="00E61EC7">
        <w:t>Vabysmo</w:t>
      </w:r>
      <w:proofErr w:type="spellEnd"/>
      <w:r w:rsidRPr="00E61EC7">
        <w:t xml:space="preserve"> (</w:t>
      </w:r>
      <w:proofErr w:type="spellStart"/>
      <w:r w:rsidRPr="00E61EC7">
        <w:t>faricimab</w:t>
      </w:r>
      <w:proofErr w:type="spellEnd"/>
      <w:r w:rsidRPr="00E61EC7">
        <w:t>)</w:t>
      </w:r>
      <w:r w:rsidR="00C470FC" w:rsidRPr="00E61EC7">
        <w:t xml:space="preserve"> is a humanised bispecific immunoglobulin G1 (IgG1) antibody </w:t>
      </w:r>
      <w:r w:rsidR="00386B48" w:rsidRPr="00E61EC7">
        <w:t xml:space="preserve">that selectively binds </w:t>
      </w:r>
      <w:r w:rsidRPr="00E61EC7">
        <w:t xml:space="preserve">and neutralises </w:t>
      </w:r>
      <w:r w:rsidR="00386B48" w:rsidRPr="00E61EC7">
        <w:t>VEGF-A and angiopoietin-2 (Ang-2).</w:t>
      </w:r>
      <w:r w:rsidRPr="00E61EC7">
        <w:t xml:space="preserve"> Ang-2 and VEGF are two key mediators in the pathogenesis of the proposed indications. Ang-2 causes vascular instability by promoting endothelial destabilisation, pericyte loss, and pathological angiogenesis, thus potentiating vascular leakage and inflammation. It also sensitises blood vessels to the activity of VEGF-A resulting in further vascular destabilisation. Ang-2 and VEGF-A synergistically increase vascular permeability and stimulate neovascularisation.</w:t>
      </w:r>
      <w:r w:rsidR="00C6685D" w:rsidRPr="00E61EC7">
        <w:t xml:space="preserve"> </w:t>
      </w:r>
      <w:r w:rsidRPr="00E61EC7">
        <w:t xml:space="preserve">The dual inhibition of Ang-2 and VEGF-A with </w:t>
      </w:r>
      <w:proofErr w:type="spellStart"/>
      <w:r w:rsidRPr="00E61EC7">
        <w:t>faricimab</w:t>
      </w:r>
      <w:proofErr w:type="spellEnd"/>
      <w:r w:rsidRPr="00E61EC7">
        <w:t xml:space="preserve"> is expected to reduce vascular permeability and inflammation, inhibit pathological angiogenesis, and restore vascular stability. </w:t>
      </w:r>
      <w:r w:rsidR="00C6685D" w:rsidRPr="00E61EC7">
        <w:t xml:space="preserve">It could potentially </w:t>
      </w:r>
      <w:r w:rsidRPr="00E61EC7">
        <w:t xml:space="preserve">translate into improved durability and/or efficacy in </w:t>
      </w:r>
      <w:proofErr w:type="spellStart"/>
      <w:r w:rsidRPr="00E61EC7">
        <w:t>nAMD</w:t>
      </w:r>
      <w:proofErr w:type="spellEnd"/>
      <w:r w:rsidRPr="00E61EC7">
        <w:t xml:space="preserve"> and DM</w:t>
      </w:r>
      <w:r w:rsidR="00E94AE0">
        <w:t>O</w:t>
      </w:r>
      <w:r w:rsidRPr="00E61EC7">
        <w:t xml:space="preserve"> when compared to anti-VEGF therapy</w:t>
      </w:r>
      <w:r w:rsidR="00C6685D" w:rsidRPr="00E61EC7">
        <w:t xml:space="preserve"> alone</w:t>
      </w:r>
      <w:r w:rsidRPr="00E61EC7">
        <w:t>.</w:t>
      </w:r>
    </w:p>
    <w:p w14:paraId="797D8C8B" w14:textId="0E6FC0ED" w:rsidR="009F2673" w:rsidRPr="00E61EC7" w:rsidRDefault="002A2C48" w:rsidP="009F2673">
      <w:r w:rsidRPr="00E61EC7">
        <w:t xml:space="preserve">This </w:t>
      </w:r>
      <w:r w:rsidR="00BB0B78" w:rsidRPr="00E61EC7">
        <w:t>submission</w:t>
      </w:r>
      <w:r w:rsidRPr="00E61EC7">
        <w:t xml:space="preserve"> was evaluated as part of the </w:t>
      </w:r>
      <w:hyperlink r:id="rId18" w:history="1">
        <w:r w:rsidRPr="00E61EC7">
          <w:rPr>
            <w:rStyle w:val="Hyperlink"/>
          </w:rPr>
          <w:t xml:space="preserve">Australia-Canada-Singapore-Switzerland-United Kingdom (ACCESS) </w:t>
        </w:r>
      </w:hyperlink>
      <w:r w:rsidR="009523C4" w:rsidRPr="00E61EC7">
        <w:t xml:space="preserve">New Active-Substance Work-Sharing Initiative (NASWSI) </w:t>
      </w:r>
      <w:r w:rsidRPr="00E61EC7">
        <w:t xml:space="preserve">with work-sharing between the TGA, Health Canada, Health Sciences Authority Singapore, </w:t>
      </w:r>
      <w:proofErr w:type="spellStart"/>
      <w:r w:rsidRPr="00E61EC7">
        <w:t>Swissmedic</w:t>
      </w:r>
      <w:proofErr w:type="spellEnd"/>
      <w:r w:rsidRPr="00E61EC7">
        <w:t xml:space="preserve"> and the Medicines and Healthcare Products Regulatory Agency. Each regulator made independent decisions regarding approval (market authorisation) of the new medicine.</w:t>
      </w:r>
    </w:p>
    <w:p w14:paraId="1C3009DF" w14:textId="77777777" w:rsidR="008E7846" w:rsidRPr="00E61EC7" w:rsidRDefault="002A2C48" w:rsidP="008E7846">
      <w:pPr>
        <w:pStyle w:val="Heading3"/>
      </w:pPr>
      <w:bookmarkStart w:id="25" w:name="_Toc129701770"/>
      <w:r w:rsidRPr="00E61EC7">
        <w:t>Regulatory status</w:t>
      </w:r>
      <w:bookmarkEnd w:id="23"/>
      <w:bookmarkEnd w:id="24"/>
      <w:bookmarkEnd w:id="25"/>
    </w:p>
    <w:p w14:paraId="79F75EB0" w14:textId="5D6AABA4" w:rsidR="00332715" w:rsidRPr="00E61EC7" w:rsidRDefault="002A2C48" w:rsidP="00332715">
      <w:bookmarkStart w:id="26" w:name="_Toc247691505"/>
      <w:bookmarkStart w:id="27" w:name="_Toc314842486"/>
      <w:r w:rsidRPr="00E61EC7">
        <w:t>This product is considered a new biological entity for Australian regulatory purposes.</w:t>
      </w:r>
    </w:p>
    <w:p w14:paraId="29D3F44F" w14:textId="58FFDF0B" w:rsidR="00332715" w:rsidRPr="00E61EC7" w:rsidRDefault="002A2C48" w:rsidP="00332715">
      <w:r w:rsidRPr="00E61EC7">
        <w:t xml:space="preserve">At the time the TGA considered this </w:t>
      </w:r>
      <w:r w:rsidR="00BB0B78" w:rsidRPr="00E61EC7">
        <w:t>submission</w:t>
      </w:r>
      <w:r w:rsidRPr="00E61EC7">
        <w:t xml:space="preserve">, similar </w:t>
      </w:r>
      <w:r w:rsidR="00BB0B78" w:rsidRPr="00E61EC7">
        <w:t>submission</w:t>
      </w:r>
      <w:r w:rsidR="00ED6B6F" w:rsidRPr="00E61EC7">
        <w:t>s</w:t>
      </w:r>
      <w:r w:rsidRPr="00E61EC7">
        <w:t xml:space="preserve"> had been approved in </w:t>
      </w:r>
      <w:r w:rsidR="00AD2139" w:rsidRPr="00E61EC7">
        <w:t>the United States of America (USA) on 28 January 2022, the United Kingdom</w:t>
      </w:r>
      <w:r w:rsidR="00AA0EF4" w:rsidRPr="00E61EC7">
        <w:t xml:space="preserve"> on 16</w:t>
      </w:r>
      <w:r w:rsidR="00C646FB" w:rsidRPr="00E61EC7">
        <w:t> </w:t>
      </w:r>
      <w:r w:rsidR="00AA0EF4" w:rsidRPr="00E61EC7">
        <w:t>May</w:t>
      </w:r>
      <w:r w:rsidR="00C646FB" w:rsidRPr="00E61EC7">
        <w:t> </w:t>
      </w:r>
      <w:r w:rsidR="00AA0EF4" w:rsidRPr="00E61EC7">
        <w:t>2022, Canada on 30 May 2022, Singapore on 16 June 2022, Switzerland on 25</w:t>
      </w:r>
      <w:r w:rsidR="00C646FB" w:rsidRPr="00E61EC7">
        <w:t> </w:t>
      </w:r>
      <w:r w:rsidR="00AA0EF4" w:rsidRPr="00E61EC7">
        <w:t>May</w:t>
      </w:r>
      <w:r w:rsidR="00C646FB" w:rsidRPr="00E61EC7">
        <w:t> </w:t>
      </w:r>
      <w:r w:rsidR="00AA0EF4" w:rsidRPr="00E61EC7">
        <w:t xml:space="preserve">2022, and Japan on 28 March 2022. </w:t>
      </w:r>
      <w:r w:rsidR="00ED6B6F" w:rsidRPr="00E61EC7">
        <w:t>S</w:t>
      </w:r>
      <w:r w:rsidRPr="00E61EC7">
        <w:t xml:space="preserve">imilar </w:t>
      </w:r>
      <w:r w:rsidR="00BB0B78" w:rsidRPr="00E61EC7">
        <w:t>submission</w:t>
      </w:r>
      <w:r w:rsidR="00ED6B6F" w:rsidRPr="00E61EC7">
        <w:t>s were</w:t>
      </w:r>
      <w:r w:rsidRPr="00E61EC7">
        <w:t xml:space="preserve"> under consideration in </w:t>
      </w:r>
      <w:r w:rsidR="00AA0EF4" w:rsidRPr="00E61EC7">
        <w:t>the European Union (EU) (submitted on 28 May 2021), and New Zealand (submitted on 20 July 2022)</w:t>
      </w:r>
    </w:p>
    <w:p w14:paraId="76F6DB48" w14:textId="40CC92E8" w:rsidR="00332715" w:rsidRDefault="002A2C48" w:rsidP="00332715">
      <w:r w:rsidRPr="00E61EC7">
        <w:t xml:space="preserve">The following table summarises these </w:t>
      </w:r>
      <w:r w:rsidR="00BB0B78" w:rsidRPr="00E61EC7">
        <w:t>submissions</w:t>
      </w:r>
      <w:r w:rsidRPr="00E61EC7">
        <w:t xml:space="preserve"> and provides the indications where approved.</w:t>
      </w:r>
    </w:p>
    <w:p w14:paraId="70C8A1DC" w14:textId="791B6BBA" w:rsidR="00E94AE0" w:rsidRPr="00E61EC7" w:rsidRDefault="00E94AE0" w:rsidP="00332715">
      <w:r>
        <w:br w:type="page"/>
      </w:r>
    </w:p>
    <w:p w14:paraId="77475C21" w14:textId="3E649D58" w:rsidR="00324E45" w:rsidRPr="00E61EC7" w:rsidRDefault="002A2C48" w:rsidP="00202A6D">
      <w:pPr>
        <w:pStyle w:val="TableTitle"/>
      </w:pPr>
      <w:bookmarkStart w:id="28" w:name="_Ref99705479"/>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1</w:t>
      </w:r>
      <w:r w:rsidR="00C22604" w:rsidRPr="00E61EC7">
        <w:rPr>
          <w:noProof/>
        </w:rPr>
        <w:fldChar w:fldCharType="end"/>
      </w:r>
      <w:bookmarkEnd w:id="28"/>
      <w:r w:rsidRPr="00E61EC7">
        <w:t>: International regulatory status</w:t>
      </w:r>
    </w:p>
    <w:tbl>
      <w:tblPr>
        <w:tblStyle w:val="TableTGAblue"/>
        <w:tblW w:w="8725" w:type="dxa"/>
        <w:tblLook w:val="04A0" w:firstRow="1" w:lastRow="0" w:firstColumn="1" w:lastColumn="0" w:noHBand="0" w:noVBand="1"/>
      </w:tblPr>
      <w:tblGrid>
        <w:gridCol w:w="1512"/>
        <w:gridCol w:w="1633"/>
        <w:gridCol w:w="1943"/>
        <w:gridCol w:w="3637"/>
      </w:tblGrid>
      <w:tr w:rsidR="00B0264A" w14:paraId="42A53AEB" w14:textId="77777777" w:rsidTr="00CD49E0">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auto"/>
              <w:left w:val="single" w:sz="4" w:space="0" w:color="auto"/>
              <w:bottom w:val="single" w:sz="4" w:space="0" w:color="auto"/>
              <w:right w:val="single" w:sz="4" w:space="0" w:color="auto"/>
            </w:tcBorders>
          </w:tcPr>
          <w:p w14:paraId="07A64B50" w14:textId="77777777" w:rsidR="00006FAB" w:rsidRPr="00E61EC7" w:rsidRDefault="002A2C48" w:rsidP="00006FAB">
            <w:pPr>
              <w:ind w:left="0" w:right="0"/>
            </w:pPr>
            <w:r w:rsidRPr="00E61EC7">
              <w:t>Region</w:t>
            </w:r>
          </w:p>
        </w:tc>
        <w:tc>
          <w:tcPr>
            <w:tcW w:w="0" w:type="dxa"/>
            <w:tcBorders>
              <w:top w:val="single" w:sz="4" w:space="0" w:color="auto"/>
              <w:left w:val="single" w:sz="4" w:space="0" w:color="auto"/>
              <w:bottom w:val="single" w:sz="4" w:space="0" w:color="auto"/>
              <w:right w:val="single" w:sz="4" w:space="0" w:color="auto"/>
            </w:tcBorders>
          </w:tcPr>
          <w:p w14:paraId="11A3F024" w14:textId="77777777" w:rsidR="00006FAB" w:rsidRPr="00E61EC7" w:rsidRDefault="002A2C48" w:rsidP="00006FAB">
            <w:pPr>
              <w:ind w:left="0" w:right="0"/>
            </w:pPr>
            <w:r w:rsidRPr="00E61EC7">
              <w:t>Submission date</w:t>
            </w:r>
          </w:p>
        </w:tc>
        <w:tc>
          <w:tcPr>
            <w:tcW w:w="1943" w:type="dxa"/>
            <w:tcBorders>
              <w:top w:val="single" w:sz="4" w:space="0" w:color="auto"/>
              <w:left w:val="single" w:sz="4" w:space="0" w:color="auto"/>
              <w:bottom w:val="single" w:sz="4" w:space="0" w:color="auto"/>
              <w:right w:val="single" w:sz="4" w:space="0" w:color="auto"/>
            </w:tcBorders>
          </w:tcPr>
          <w:p w14:paraId="594051C5" w14:textId="77777777" w:rsidR="00006FAB" w:rsidRPr="00E61EC7" w:rsidRDefault="002A2C48" w:rsidP="00006FAB">
            <w:pPr>
              <w:ind w:left="0" w:right="0"/>
            </w:pPr>
            <w:r w:rsidRPr="00E61EC7">
              <w:t>Status</w:t>
            </w:r>
          </w:p>
        </w:tc>
        <w:tc>
          <w:tcPr>
            <w:tcW w:w="3637" w:type="dxa"/>
            <w:tcBorders>
              <w:top w:val="single" w:sz="4" w:space="0" w:color="auto"/>
              <w:left w:val="single" w:sz="4" w:space="0" w:color="auto"/>
              <w:bottom w:val="single" w:sz="4" w:space="0" w:color="auto"/>
              <w:right w:val="single" w:sz="4" w:space="0" w:color="auto"/>
            </w:tcBorders>
          </w:tcPr>
          <w:p w14:paraId="138DD15B" w14:textId="77777777" w:rsidR="00006FAB" w:rsidRPr="00E61EC7" w:rsidRDefault="002A2C48" w:rsidP="00006FAB">
            <w:pPr>
              <w:ind w:left="0" w:right="0"/>
            </w:pPr>
            <w:r w:rsidRPr="00E61EC7">
              <w:t>Approved indications</w:t>
            </w:r>
          </w:p>
        </w:tc>
      </w:tr>
      <w:tr w:rsidR="00B0264A" w14:paraId="73CAE074" w14:textId="77777777" w:rsidTr="00CD49E0">
        <w:tc>
          <w:tcPr>
            <w:tcW w:w="0" w:type="dxa"/>
            <w:tcBorders>
              <w:top w:val="single" w:sz="4" w:space="0" w:color="auto"/>
            </w:tcBorders>
          </w:tcPr>
          <w:p w14:paraId="72F5750D" w14:textId="70E8F938" w:rsidR="00ED6B6F" w:rsidRPr="00E61EC7" w:rsidRDefault="002A2C48" w:rsidP="00ED6B6F">
            <w:pPr>
              <w:ind w:left="0"/>
            </w:pPr>
            <w:r w:rsidRPr="00E61EC7">
              <w:t>United States of America</w:t>
            </w:r>
          </w:p>
        </w:tc>
        <w:tc>
          <w:tcPr>
            <w:tcW w:w="0" w:type="dxa"/>
            <w:tcBorders>
              <w:top w:val="single" w:sz="4" w:space="0" w:color="auto"/>
            </w:tcBorders>
          </w:tcPr>
          <w:p w14:paraId="4D9861F1" w14:textId="02DF0B62" w:rsidR="00ED6B6F" w:rsidRPr="00E61EC7" w:rsidRDefault="002A2C48" w:rsidP="00ED6B6F">
            <w:pPr>
              <w:ind w:left="0"/>
            </w:pPr>
            <w:r w:rsidRPr="00E61EC7">
              <w:t>28 May 2021</w:t>
            </w:r>
          </w:p>
        </w:tc>
        <w:tc>
          <w:tcPr>
            <w:tcW w:w="1943" w:type="dxa"/>
            <w:tcBorders>
              <w:top w:val="single" w:sz="4" w:space="0" w:color="auto"/>
            </w:tcBorders>
          </w:tcPr>
          <w:p w14:paraId="69F23BE1" w14:textId="5C210E79" w:rsidR="00ED6B6F" w:rsidRPr="00E61EC7" w:rsidRDefault="002A2C48" w:rsidP="00826ACF">
            <w:pPr>
              <w:ind w:left="0"/>
            </w:pPr>
            <w:r w:rsidRPr="00E61EC7">
              <w:t>Approved on 28</w:t>
            </w:r>
            <w:r w:rsidR="000F70B9" w:rsidRPr="00E61EC7">
              <w:t> </w:t>
            </w:r>
            <w:r w:rsidRPr="00E61EC7">
              <w:t>January</w:t>
            </w:r>
            <w:r w:rsidR="000F70B9" w:rsidRPr="00E61EC7">
              <w:t> </w:t>
            </w:r>
            <w:r w:rsidRPr="00E61EC7">
              <w:t>2022</w:t>
            </w:r>
          </w:p>
        </w:tc>
        <w:tc>
          <w:tcPr>
            <w:tcW w:w="3637" w:type="dxa"/>
            <w:tcBorders>
              <w:top w:val="single" w:sz="4" w:space="0" w:color="auto"/>
            </w:tcBorders>
          </w:tcPr>
          <w:p w14:paraId="2548D282" w14:textId="5CE9AE69" w:rsidR="00826ACF" w:rsidRPr="00E61EC7" w:rsidRDefault="002A2C48" w:rsidP="00826ACF">
            <w:pPr>
              <w:ind w:left="0"/>
              <w:rPr>
                <w:i/>
                <w:iCs/>
              </w:rPr>
            </w:pPr>
            <w:proofErr w:type="spellStart"/>
            <w:r w:rsidRPr="00E61EC7">
              <w:rPr>
                <w:i/>
                <w:iCs/>
              </w:rPr>
              <w:t>Vabysmo</w:t>
            </w:r>
            <w:proofErr w:type="spellEnd"/>
            <w:r w:rsidRPr="00E61EC7">
              <w:rPr>
                <w:i/>
                <w:iCs/>
              </w:rPr>
              <w:t xml:space="preserve"> is a vascular endothelial growth factor (VEGF) and angiopoietin-2 (Ang-2) inhibitor indicated for the treatment of patients with:</w:t>
            </w:r>
          </w:p>
          <w:p w14:paraId="77F1145F" w14:textId="7CF8BBD8" w:rsidR="00826ACF" w:rsidRPr="00E61EC7" w:rsidRDefault="002A2C48" w:rsidP="00826ACF">
            <w:pPr>
              <w:pStyle w:val="ListBullet"/>
              <w:rPr>
                <w:i/>
                <w:iCs/>
              </w:rPr>
            </w:pPr>
            <w:r w:rsidRPr="00E61EC7">
              <w:rPr>
                <w:i/>
                <w:iCs/>
              </w:rPr>
              <w:t>neovascular (wet) age-related macular degeneration (</w:t>
            </w:r>
            <w:proofErr w:type="spellStart"/>
            <w:r w:rsidRPr="00E61EC7">
              <w:rPr>
                <w:i/>
                <w:iCs/>
              </w:rPr>
              <w:t>nAMD</w:t>
            </w:r>
            <w:proofErr w:type="spellEnd"/>
            <w:r w:rsidRPr="00E61EC7">
              <w:rPr>
                <w:i/>
                <w:iCs/>
              </w:rPr>
              <w:t>)</w:t>
            </w:r>
          </w:p>
          <w:p w14:paraId="0CF02512" w14:textId="6570258C" w:rsidR="00ED6B6F" w:rsidRPr="00E61EC7" w:rsidRDefault="002A2C48" w:rsidP="00826ACF">
            <w:pPr>
              <w:pStyle w:val="ListBullet"/>
            </w:pPr>
            <w:r w:rsidRPr="00E61EC7">
              <w:rPr>
                <w:i/>
                <w:iCs/>
              </w:rPr>
              <w:t xml:space="preserve">diabetic macular </w:t>
            </w:r>
            <w:proofErr w:type="spellStart"/>
            <w:r w:rsidRPr="00E61EC7">
              <w:rPr>
                <w:i/>
                <w:iCs/>
              </w:rPr>
              <w:t>edema</w:t>
            </w:r>
            <w:proofErr w:type="spellEnd"/>
            <w:r w:rsidRPr="00E61EC7">
              <w:rPr>
                <w:i/>
                <w:iCs/>
              </w:rPr>
              <w:t xml:space="preserve"> </w:t>
            </w:r>
            <w:r w:rsidR="00826ACF" w:rsidRPr="00E61EC7">
              <w:rPr>
                <w:i/>
                <w:iCs/>
              </w:rPr>
              <w:t>(DME)</w:t>
            </w:r>
          </w:p>
        </w:tc>
      </w:tr>
      <w:tr w:rsidR="00B0264A" w14:paraId="18220899" w14:textId="77777777" w:rsidTr="00CD49E0">
        <w:tc>
          <w:tcPr>
            <w:tcW w:w="0" w:type="dxa"/>
            <w:tcBorders>
              <w:top w:val="single" w:sz="4" w:space="0" w:color="auto"/>
            </w:tcBorders>
          </w:tcPr>
          <w:p w14:paraId="57D21F50" w14:textId="77777777" w:rsidR="00ED6B6F" w:rsidRPr="00E61EC7" w:rsidRDefault="002A2C48" w:rsidP="00826ACF">
            <w:pPr>
              <w:ind w:left="0"/>
            </w:pPr>
            <w:r w:rsidRPr="00E61EC7">
              <w:t>European Union</w:t>
            </w:r>
          </w:p>
        </w:tc>
        <w:tc>
          <w:tcPr>
            <w:tcW w:w="0" w:type="dxa"/>
            <w:tcBorders>
              <w:top w:val="single" w:sz="4" w:space="0" w:color="auto"/>
            </w:tcBorders>
          </w:tcPr>
          <w:p w14:paraId="33082704" w14:textId="4A887C4C" w:rsidR="00ED6B6F" w:rsidRPr="00E61EC7" w:rsidRDefault="002A2C48" w:rsidP="00ED6B6F">
            <w:pPr>
              <w:ind w:left="0" w:right="0"/>
            </w:pPr>
            <w:r w:rsidRPr="00E61EC7">
              <w:t>28 May 2021</w:t>
            </w:r>
          </w:p>
        </w:tc>
        <w:tc>
          <w:tcPr>
            <w:tcW w:w="1943" w:type="dxa"/>
            <w:tcBorders>
              <w:top w:val="single" w:sz="4" w:space="0" w:color="auto"/>
            </w:tcBorders>
          </w:tcPr>
          <w:p w14:paraId="5ACD8DF5" w14:textId="422E9CD7" w:rsidR="00ED6B6F" w:rsidRPr="00E61EC7" w:rsidRDefault="002A2C48" w:rsidP="00ED6B6F">
            <w:pPr>
              <w:ind w:left="0" w:right="0"/>
            </w:pPr>
            <w:r w:rsidRPr="00E61EC7">
              <w:t>Under consideration</w:t>
            </w:r>
          </w:p>
        </w:tc>
        <w:tc>
          <w:tcPr>
            <w:tcW w:w="3637" w:type="dxa"/>
            <w:tcBorders>
              <w:top w:val="single" w:sz="4" w:space="0" w:color="auto"/>
            </w:tcBorders>
          </w:tcPr>
          <w:p w14:paraId="1ACBD11D" w14:textId="1143B0AF" w:rsidR="00ED6B6F" w:rsidRPr="00E61EC7" w:rsidRDefault="002A2C48" w:rsidP="00ED6B6F">
            <w:pPr>
              <w:ind w:left="0"/>
            </w:pPr>
            <w:r w:rsidRPr="00E61EC7">
              <w:t>Under consideration</w:t>
            </w:r>
          </w:p>
        </w:tc>
      </w:tr>
      <w:tr w:rsidR="00B0264A" w:rsidRPr="00E15AD3" w14:paraId="6C147736" w14:textId="77777777" w:rsidTr="00CD49E0">
        <w:tc>
          <w:tcPr>
            <w:tcW w:w="0" w:type="dxa"/>
          </w:tcPr>
          <w:p w14:paraId="6CB09EDC" w14:textId="45D7877B" w:rsidR="00ED6B6F" w:rsidRPr="00E61EC7" w:rsidRDefault="002A2C48" w:rsidP="00E04A37">
            <w:pPr>
              <w:ind w:left="0"/>
            </w:pPr>
            <w:r w:rsidRPr="00E61EC7">
              <w:t>United</w:t>
            </w:r>
            <w:r w:rsidR="00E04A37" w:rsidRPr="00E61EC7">
              <w:t xml:space="preserve"> </w:t>
            </w:r>
            <w:r w:rsidRPr="00E61EC7">
              <w:t>Kingdom</w:t>
            </w:r>
          </w:p>
        </w:tc>
        <w:tc>
          <w:tcPr>
            <w:tcW w:w="0" w:type="dxa"/>
          </w:tcPr>
          <w:p w14:paraId="4ECB507D" w14:textId="3307C8A8" w:rsidR="00ED6B6F" w:rsidRPr="00E61EC7" w:rsidRDefault="002A2C48" w:rsidP="00ED6B6F">
            <w:pPr>
              <w:ind w:left="0" w:right="0"/>
            </w:pPr>
            <w:r w:rsidRPr="00E61EC7">
              <w:t>21 June 202</w:t>
            </w:r>
            <w:r w:rsidR="000F70B9" w:rsidRPr="00E61EC7">
              <w:t>1</w:t>
            </w:r>
          </w:p>
        </w:tc>
        <w:tc>
          <w:tcPr>
            <w:tcW w:w="1943" w:type="dxa"/>
          </w:tcPr>
          <w:p w14:paraId="68DB9AE8" w14:textId="6B644F1F" w:rsidR="00ED6B6F" w:rsidRPr="00E61EC7" w:rsidRDefault="002A2C48" w:rsidP="00ED6B6F">
            <w:pPr>
              <w:ind w:left="0" w:right="0"/>
            </w:pPr>
            <w:r w:rsidRPr="00E61EC7">
              <w:t xml:space="preserve">Approved on </w:t>
            </w:r>
            <w:r w:rsidR="00826ACF" w:rsidRPr="00E61EC7">
              <w:t>16</w:t>
            </w:r>
            <w:r w:rsidR="00C646FB" w:rsidRPr="00E61EC7">
              <w:t> </w:t>
            </w:r>
            <w:r w:rsidR="00826ACF" w:rsidRPr="00E61EC7">
              <w:t>May</w:t>
            </w:r>
            <w:r w:rsidR="00C646FB" w:rsidRPr="00E61EC7">
              <w:t> </w:t>
            </w:r>
            <w:r w:rsidR="00826ACF" w:rsidRPr="00E61EC7">
              <w:t>2022</w:t>
            </w:r>
          </w:p>
        </w:tc>
        <w:tc>
          <w:tcPr>
            <w:tcW w:w="3637" w:type="dxa"/>
          </w:tcPr>
          <w:p w14:paraId="14AB41CE" w14:textId="3DC51BF4" w:rsidR="00826ACF" w:rsidRPr="00E61EC7" w:rsidRDefault="002A2C48" w:rsidP="00826ACF">
            <w:pPr>
              <w:ind w:left="0"/>
              <w:rPr>
                <w:i/>
                <w:iCs/>
              </w:rPr>
            </w:pPr>
            <w:proofErr w:type="spellStart"/>
            <w:r w:rsidRPr="00E61EC7">
              <w:rPr>
                <w:i/>
                <w:iCs/>
              </w:rPr>
              <w:t>Vabysmo</w:t>
            </w:r>
            <w:proofErr w:type="spellEnd"/>
            <w:r w:rsidRPr="00E61EC7">
              <w:rPr>
                <w:i/>
                <w:iCs/>
              </w:rPr>
              <w:t xml:space="preserve"> is indicated for the treatment of adult patients with:</w:t>
            </w:r>
          </w:p>
          <w:p w14:paraId="1D957001" w14:textId="286E4413" w:rsidR="00826ACF" w:rsidRPr="00E61EC7" w:rsidRDefault="002A2C48" w:rsidP="00826ACF">
            <w:pPr>
              <w:pStyle w:val="ListBullet"/>
              <w:rPr>
                <w:i/>
                <w:iCs/>
              </w:rPr>
            </w:pPr>
            <w:r w:rsidRPr="00E61EC7">
              <w:rPr>
                <w:i/>
                <w:iCs/>
              </w:rPr>
              <w:t>neovascular (wet) age-related macular degeneration (</w:t>
            </w:r>
            <w:proofErr w:type="spellStart"/>
            <w:r w:rsidRPr="00E61EC7">
              <w:rPr>
                <w:i/>
                <w:iCs/>
              </w:rPr>
              <w:t>nAMD</w:t>
            </w:r>
            <w:proofErr w:type="spellEnd"/>
            <w:r w:rsidRPr="00E61EC7">
              <w:rPr>
                <w:i/>
                <w:iCs/>
              </w:rPr>
              <w:t>)</w:t>
            </w:r>
          </w:p>
          <w:p w14:paraId="4BD2ABC5" w14:textId="2430B48F" w:rsidR="00ED6B6F" w:rsidRPr="005B6E30" w:rsidRDefault="002A2C48" w:rsidP="00826ACF">
            <w:pPr>
              <w:pStyle w:val="ListBullet"/>
              <w:rPr>
                <w:i/>
                <w:iCs/>
                <w:lang w:val="pt-BR"/>
              </w:rPr>
            </w:pPr>
            <w:r w:rsidRPr="005B6E30">
              <w:rPr>
                <w:i/>
                <w:iCs/>
                <w:lang w:val="pt-BR"/>
              </w:rPr>
              <w:t>visual impairment due to diabetic macular oedema (DMO)</w:t>
            </w:r>
          </w:p>
        </w:tc>
      </w:tr>
      <w:tr w:rsidR="00B0264A" w14:paraId="0E806CA4" w14:textId="77777777" w:rsidTr="00CD49E0">
        <w:tc>
          <w:tcPr>
            <w:tcW w:w="0" w:type="dxa"/>
          </w:tcPr>
          <w:p w14:paraId="7181CF7C" w14:textId="6E12AF39" w:rsidR="00ED6B6F" w:rsidRPr="00E61EC7" w:rsidRDefault="002A2C48" w:rsidP="00ED6B6F">
            <w:pPr>
              <w:ind w:left="0"/>
            </w:pPr>
            <w:r w:rsidRPr="00E61EC7">
              <w:t>Canada</w:t>
            </w:r>
          </w:p>
        </w:tc>
        <w:tc>
          <w:tcPr>
            <w:tcW w:w="0" w:type="dxa"/>
          </w:tcPr>
          <w:p w14:paraId="1C01AFD3" w14:textId="204B24DD" w:rsidR="00ED6B6F" w:rsidRPr="00E61EC7" w:rsidRDefault="002A2C48" w:rsidP="00ED6B6F">
            <w:pPr>
              <w:ind w:left="0"/>
            </w:pPr>
            <w:r w:rsidRPr="00E61EC7">
              <w:t>21</w:t>
            </w:r>
            <w:r w:rsidR="00C646FB" w:rsidRPr="00E61EC7">
              <w:t> </w:t>
            </w:r>
            <w:r w:rsidRPr="00E61EC7">
              <w:t>June</w:t>
            </w:r>
            <w:r w:rsidR="00C646FB" w:rsidRPr="00E61EC7">
              <w:t> </w:t>
            </w:r>
            <w:r w:rsidRPr="00E61EC7">
              <w:t>202</w:t>
            </w:r>
            <w:r w:rsidR="000F70B9" w:rsidRPr="00E61EC7">
              <w:t>1</w:t>
            </w:r>
          </w:p>
        </w:tc>
        <w:tc>
          <w:tcPr>
            <w:tcW w:w="1943" w:type="dxa"/>
          </w:tcPr>
          <w:p w14:paraId="07C2FB29" w14:textId="4AA10E78" w:rsidR="00ED6B6F" w:rsidRPr="00E61EC7" w:rsidRDefault="002A2C48" w:rsidP="00ED6B6F">
            <w:pPr>
              <w:ind w:left="0"/>
            </w:pPr>
            <w:r w:rsidRPr="00E61EC7">
              <w:t xml:space="preserve">Approved on </w:t>
            </w:r>
            <w:r w:rsidR="00E04A37" w:rsidRPr="00E61EC7">
              <w:t>30</w:t>
            </w:r>
            <w:r w:rsidR="00C646FB" w:rsidRPr="00E61EC7">
              <w:t> </w:t>
            </w:r>
            <w:r w:rsidR="00E04A37" w:rsidRPr="00E61EC7">
              <w:t>May</w:t>
            </w:r>
            <w:r w:rsidR="007C075B" w:rsidRPr="00E61EC7">
              <w:t> </w:t>
            </w:r>
            <w:r w:rsidR="00E04A37" w:rsidRPr="00E61EC7">
              <w:t>2022</w:t>
            </w:r>
          </w:p>
        </w:tc>
        <w:tc>
          <w:tcPr>
            <w:tcW w:w="3637" w:type="dxa"/>
          </w:tcPr>
          <w:p w14:paraId="28DA13AA" w14:textId="6ACB86A8" w:rsidR="00E04A37" w:rsidRPr="00E61EC7" w:rsidRDefault="002A2C48" w:rsidP="00E04A37">
            <w:pPr>
              <w:ind w:left="0"/>
              <w:rPr>
                <w:i/>
                <w:iCs/>
              </w:rPr>
            </w:pPr>
            <w:proofErr w:type="spellStart"/>
            <w:r w:rsidRPr="00E61EC7">
              <w:rPr>
                <w:i/>
                <w:iCs/>
              </w:rPr>
              <w:t>Vabysmo</w:t>
            </w:r>
            <w:proofErr w:type="spellEnd"/>
            <w:r w:rsidRPr="00E61EC7">
              <w:rPr>
                <w:i/>
                <w:iCs/>
              </w:rPr>
              <w:t xml:space="preserve"> (</w:t>
            </w:r>
            <w:proofErr w:type="spellStart"/>
            <w:r w:rsidRPr="00E61EC7">
              <w:rPr>
                <w:i/>
                <w:iCs/>
              </w:rPr>
              <w:t>faricimab</w:t>
            </w:r>
            <w:proofErr w:type="spellEnd"/>
            <w:r w:rsidRPr="00E61EC7">
              <w:rPr>
                <w:i/>
                <w:iCs/>
              </w:rPr>
              <w:t xml:space="preserve"> injection) is indicated for the treatment of:</w:t>
            </w:r>
          </w:p>
          <w:p w14:paraId="4DAFFACC" w14:textId="4FFF200F" w:rsidR="00E04A37" w:rsidRPr="00E61EC7" w:rsidRDefault="002A2C48" w:rsidP="00E04A37">
            <w:pPr>
              <w:pStyle w:val="ListBullet"/>
              <w:rPr>
                <w:i/>
                <w:iCs/>
              </w:rPr>
            </w:pPr>
            <w:r w:rsidRPr="00E61EC7">
              <w:rPr>
                <w:i/>
                <w:iCs/>
              </w:rPr>
              <w:t>neovascular (wet) age-related macular degeneration (</w:t>
            </w:r>
            <w:proofErr w:type="spellStart"/>
            <w:r w:rsidRPr="00E61EC7">
              <w:rPr>
                <w:i/>
                <w:iCs/>
              </w:rPr>
              <w:t>nAMD</w:t>
            </w:r>
            <w:proofErr w:type="spellEnd"/>
            <w:r w:rsidRPr="00E61EC7">
              <w:rPr>
                <w:i/>
                <w:iCs/>
              </w:rPr>
              <w:t>)</w:t>
            </w:r>
          </w:p>
          <w:p w14:paraId="5E2A0EA3" w14:textId="35E9CCB0" w:rsidR="00ED6B6F" w:rsidRPr="00E61EC7" w:rsidRDefault="002A2C48" w:rsidP="00E04A37">
            <w:pPr>
              <w:pStyle w:val="ListBullet"/>
              <w:rPr>
                <w:i/>
                <w:iCs/>
              </w:rPr>
            </w:pPr>
            <w:r w:rsidRPr="00E61EC7">
              <w:rPr>
                <w:i/>
                <w:iCs/>
              </w:rPr>
              <w:t xml:space="preserve">diabetic macular </w:t>
            </w:r>
            <w:proofErr w:type="spellStart"/>
            <w:r w:rsidRPr="00E61EC7">
              <w:rPr>
                <w:i/>
                <w:iCs/>
              </w:rPr>
              <w:t>edema</w:t>
            </w:r>
            <w:proofErr w:type="spellEnd"/>
            <w:r w:rsidRPr="00E61EC7">
              <w:rPr>
                <w:i/>
                <w:iCs/>
              </w:rPr>
              <w:t xml:space="preserve"> (DME).</w:t>
            </w:r>
          </w:p>
        </w:tc>
      </w:tr>
      <w:tr w:rsidR="00B0264A" w14:paraId="728E493E" w14:textId="77777777" w:rsidTr="00CD49E0">
        <w:tc>
          <w:tcPr>
            <w:tcW w:w="0" w:type="dxa"/>
          </w:tcPr>
          <w:p w14:paraId="39DEAFF5" w14:textId="053D81B5" w:rsidR="00E04A37" w:rsidRPr="00E61EC7" w:rsidRDefault="002A2C48" w:rsidP="00E04A37">
            <w:pPr>
              <w:ind w:left="0"/>
            </w:pPr>
            <w:r w:rsidRPr="00E61EC7">
              <w:t>Singapore</w:t>
            </w:r>
          </w:p>
        </w:tc>
        <w:tc>
          <w:tcPr>
            <w:tcW w:w="0" w:type="dxa"/>
          </w:tcPr>
          <w:p w14:paraId="2F112904" w14:textId="7C3F4F47" w:rsidR="00E04A37" w:rsidRPr="00E61EC7" w:rsidRDefault="002A2C48" w:rsidP="00E04A37">
            <w:pPr>
              <w:ind w:left="0"/>
            </w:pPr>
            <w:r w:rsidRPr="00E61EC7">
              <w:t>21</w:t>
            </w:r>
            <w:r w:rsidR="007C075B" w:rsidRPr="00E61EC7">
              <w:t> </w:t>
            </w:r>
            <w:r w:rsidRPr="00E61EC7">
              <w:t>June</w:t>
            </w:r>
            <w:r w:rsidR="007C075B" w:rsidRPr="00E61EC7">
              <w:t> </w:t>
            </w:r>
            <w:r w:rsidRPr="00E61EC7">
              <w:t>202</w:t>
            </w:r>
            <w:r w:rsidR="000F70B9" w:rsidRPr="00E61EC7">
              <w:t>1</w:t>
            </w:r>
          </w:p>
        </w:tc>
        <w:tc>
          <w:tcPr>
            <w:tcW w:w="1943" w:type="dxa"/>
          </w:tcPr>
          <w:p w14:paraId="405F5538" w14:textId="726FABA4" w:rsidR="00E04A37" w:rsidRPr="00E61EC7" w:rsidRDefault="002A2C48" w:rsidP="00E04A37">
            <w:pPr>
              <w:ind w:left="0"/>
            </w:pPr>
            <w:r w:rsidRPr="00E61EC7">
              <w:t>Approved on 16</w:t>
            </w:r>
            <w:r w:rsidR="007C075B" w:rsidRPr="00E61EC7">
              <w:t> </w:t>
            </w:r>
            <w:r w:rsidRPr="00E61EC7">
              <w:t>June</w:t>
            </w:r>
            <w:r w:rsidR="007C075B" w:rsidRPr="00E61EC7">
              <w:t> </w:t>
            </w:r>
            <w:r w:rsidRPr="00E61EC7">
              <w:t>2022</w:t>
            </w:r>
          </w:p>
        </w:tc>
        <w:tc>
          <w:tcPr>
            <w:tcW w:w="3637" w:type="dxa"/>
          </w:tcPr>
          <w:p w14:paraId="02C8783B" w14:textId="72E7EE33" w:rsidR="00E04A37" w:rsidRPr="00E61EC7" w:rsidRDefault="002A2C48" w:rsidP="00E04A37">
            <w:pPr>
              <w:ind w:left="0"/>
              <w:rPr>
                <w:i/>
                <w:iCs/>
              </w:rPr>
            </w:pPr>
            <w:proofErr w:type="spellStart"/>
            <w:r w:rsidRPr="00E61EC7">
              <w:rPr>
                <w:i/>
                <w:iCs/>
              </w:rPr>
              <w:t>Vabysmo</w:t>
            </w:r>
            <w:proofErr w:type="spellEnd"/>
            <w:r w:rsidRPr="00E61EC7">
              <w:rPr>
                <w:i/>
                <w:iCs/>
              </w:rPr>
              <w:t xml:space="preserve"> is indicated for the treatment of adult patients with:</w:t>
            </w:r>
          </w:p>
          <w:p w14:paraId="5BDC1D8F" w14:textId="13B95D38" w:rsidR="00E04A37" w:rsidRPr="00E61EC7" w:rsidRDefault="002A2C48" w:rsidP="00E04A37">
            <w:pPr>
              <w:pStyle w:val="ListBullet"/>
              <w:rPr>
                <w:i/>
                <w:iCs/>
              </w:rPr>
            </w:pPr>
            <w:r w:rsidRPr="00E61EC7">
              <w:rPr>
                <w:i/>
                <w:iCs/>
              </w:rPr>
              <w:t>neovascular (wet) age-related macular degeneration (</w:t>
            </w:r>
            <w:proofErr w:type="spellStart"/>
            <w:r w:rsidRPr="00E61EC7">
              <w:rPr>
                <w:i/>
                <w:iCs/>
              </w:rPr>
              <w:t>nAMD</w:t>
            </w:r>
            <w:proofErr w:type="spellEnd"/>
            <w:r w:rsidRPr="00E61EC7">
              <w:rPr>
                <w:i/>
                <w:iCs/>
              </w:rPr>
              <w:t>)</w:t>
            </w:r>
          </w:p>
          <w:p w14:paraId="24552C39" w14:textId="7531F3D4" w:rsidR="00E04A37" w:rsidRPr="00E61EC7" w:rsidRDefault="002A2C48" w:rsidP="00E04A37">
            <w:pPr>
              <w:pStyle w:val="ListBullet"/>
              <w:rPr>
                <w:i/>
                <w:iCs/>
              </w:rPr>
            </w:pPr>
            <w:r w:rsidRPr="00E61EC7">
              <w:rPr>
                <w:i/>
                <w:iCs/>
              </w:rPr>
              <w:t xml:space="preserve">visual impairment due to diabetic macular </w:t>
            </w:r>
            <w:proofErr w:type="spellStart"/>
            <w:r w:rsidRPr="00E61EC7">
              <w:rPr>
                <w:i/>
                <w:iCs/>
              </w:rPr>
              <w:t>edema</w:t>
            </w:r>
            <w:proofErr w:type="spellEnd"/>
            <w:r w:rsidRPr="00E61EC7">
              <w:rPr>
                <w:i/>
                <w:iCs/>
              </w:rPr>
              <w:t xml:space="preserve"> (DME).</w:t>
            </w:r>
          </w:p>
        </w:tc>
      </w:tr>
      <w:tr w:rsidR="00B0264A" w14:paraId="285A6049" w14:textId="77777777" w:rsidTr="00CD49E0">
        <w:tc>
          <w:tcPr>
            <w:tcW w:w="0" w:type="dxa"/>
          </w:tcPr>
          <w:p w14:paraId="3AA22E25" w14:textId="38A2DC29" w:rsidR="00E04A37" w:rsidRPr="00E61EC7" w:rsidRDefault="002A2C48" w:rsidP="00E04A37">
            <w:pPr>
              <w:ind w:left="0"/>
            </w:pPr>
            <w:r w:rsidRPr="00E61EC7">
              <w:t>Switzerland</w:t>
            </w:r>
          </w:p>
        </w:tc>
        <w:tc>
          <w:tcPr>
            <w:tcW w:w="0" w:type="dxa"/>
          </w:tcPr>
          <w:p w14:paraId="7AD10240" w14:textId="327335D5" w:rsidR="00E04A37" w:rsidRPr="00E61EC7" w:rsidRDefault="002A2C48" w:rsidP="00E04A37">
            <w:pPr>
              <w:ind w:left="0"/>
            </w:pPr>
            <w:r w:rsidRPr="00E61EC7">
              <w:t>21</w:t>
            </w:r>
            <w:r w:rsidR="007C075B" w:rsidRPr="00E61EC7">
              <w:t> </w:t>
            </w:r>
            <w:r w:rsidRPr="00E61EC7">
              <w:t>June</w:t>
            </w:r>
            <w:r w:rsidR="007C075B" w:rsidRPr="00E61EC7">
              <w:t> </w:t>
            </w:r>
            <w:r w:rsidRPr="00E61EC7">
              <w:t>202</w:t>
            </w:r>
            <w:r w:rsidR="000F70B9" w:rsidRPr="00E61EC7">
              <w:t>1</w:t>
            </w:r>
          </w:p>
        </w:tc>
        <w:tc>
          <w:tcPr>
            <w:tcW w:w="1943" w:type="dxa"/>
          </w:tcPr>
          <w:p w14:paraId="3F505606" w14:textId="32A470CF" w:rsidR="00E04A37" w:rsidRPr="00E61EC7" w:rsidRDefault="002A2C48" w:rsidP="00E04A37">
            <w:pPr>
              <w:ind w:left="0"/>
            </w:pPr>
            <w:r w:rsidRPr="00E61EC7">
              <w:t>Approved on 25</w:t>
            </w:r>
            <w:r w:rsidR="007C075B" w:rsidRPr="00E61EC7">
              <w:t> </w:t>
            </w:r>
            <w:r w:rsidRPr="00E61EC7">
              <w:t>May</w:t>
            </w:r>
            <w:r w:rsidR="007C075B" w:rsidRPr="00E61EC7">
              <w:t> </w:t>
            </w:r>
            <w:r w:rsidRPr="00E61EC7">
              <w:t>2022</w:t>
            </w:r>
          </w:p>
        </w:tc>
        <w:tc>
          <w:tcPr>
            <w:tcW w:w="3637" w:type="dxa"/>
          </w:tcPr>
          <w:p w14:paraId="09DCCF01" w14:textId="65039A6D" w:rsidR="00E04A37" w:rsidRPr="00E61EC7" w:rsidRDefault="002A2C48" w:rsidP="00E04A37">
            <w:pPr>
              <w:ind w:left="0"/>
              <w:rPr>
                <w:i/>
                <w:iCs/>
              </w:rPr>
            </w:pPr>
            <w:r w:rsidRPr="00E61EC7">
              <w:rPr>
                <w:i/>
                <w:iCs/>
              </w:rPr>
              <w:t>Treatment of neovascular (wet) age-related macular degeneration (</w:t>
            </w:r>
            <w:proofErr w:type="spellStart"/>
            <w:r w:rsidRPr="00E61EC7">
              <w:rPr>
                <w:i/>
                <w:iCs/>
              </w:rPr>
              <w:t>nAMD</w:t>
            </w:r>
            <w:proofErr w:type="spellEnd"/>
            <w:r w:rsidRPr="00E61EC7">
              <w:rPr>
                <w:i/>
                <w:iCs/>
              </w:rPr>
              <w:t>).</w:t>
            </w:r>
          </w:p>
          <w:p w14:paraId="0800F8ED" w14:textId="76FE0D10" w:rsidR="00E04A37" w:rsidRPr="00E61EC7" w:rsidRDefault="002A2C48" w:rsidP="00E04A37">
            <w:pPr>
              <w:ind w:left="0"/>
              <w:rPr>
                <w:i/>
                <w:iCs/>
              </w:rPr>
            </w:pPr>
            <w:r w:rsidRPr="00E61EC7">
              <w:rPr>
                <w:i/>
                <w:iCs/>
              </w:rPr>
              <w:t xml:space="preserve">Treatment of diabetic macular </w:t>
            </w:r>
            <w:proofErr w:type="spellStart"/>
            <w:r w:rsidRPr="00E61EC7">
              <w:rPr>
                <w:i/>
                <w:iCs/>
              </w:rPr>
              <w:t>edema</w:t>
            </w:r>
            <w:proofErr w:type="spellEnd"/>
            <w:r w:rsidRPr="00E61EC7">
              <w:rPr>
                <w:i/>
                <w:iCs/>
              </w:rPr>
              <w:t xml:space="preserve"> (DME).</w:t>
            </w:r>
          </w:p>
        </w:tc>
      </w:tr>
      <w:tr w:rsidR="00B0264A" w14:paraId="7E4BB3D9" w14:textId="77777777" w:rsidTr="00CD49E0">
        <w:tc>
          <w:tcPr>
            <w:tcW w:w="0" w:type="dxa"/>
          </w:tcPr>
          <w:p w14:paraId="06D2DDB9" w14:textId="355AD3C3" w:rsidR="00E04A37" w:rsidRPr="00E61EC7" w:rsidRDefault="002A2C48" w:rsidP="00E04A37">
            <w:pPr>
              <w:ind w:left="0"/>
            </w:pPr>
            <w:r w:rsidRPr="00E61EC7">
              <w:t>New Zealand</w:t>
            </w:r>
          </w:p>
        </w:tc>
        <w:tc>
          <w:tcPr>
            <w:tcW w:w="0" w:type="dxa"/>
          </w:tcPr>
          <w:p w14:paraId="6290B12F" w14:textId="687BE6F1" w:rsidR="00E04A37" w:rsidRPr="00E61EC7" w:rsidRDefault="002A2C48" w:rsidP="00E04A37">
            <w:pPr>
              <w:ind w:left="0"/>
            </w:pPr>
            <w:r w:rsidRPr="00E61EC7">
              <w:t>20</w:t>
            </w:r>
            <w:r w:rsidR="007C075B" w:rsidRPr="00E61EC7">
              <w:t> </w:t>
            </w:r>
            <w:r w:rsidRPr="00E61EC7">
              <w:t>July</w:t>
            </w:r>
            <w:r w:rsidR="007C075B" w:rsidRPr="00E61EC7">
              <w:t> </w:t>
            </w:r>
            <w:r w:rsidRPr="00E61EC7">
              <w:t>2022</w:t>
            </w:r>
          </w:p>
        </w:tc>
        <w:tc>
          <w:tcPr>
            <w:tcW w:w="1943" w:type="dxa"/>
          </w:tcPr>
          <w:p w14:paraId="63EA5401" w14:textId="4F3A2123" w:rsidR="00E04A37" w:rsidRPr="00E61EC7" w:rsidRDefault="002A2C48" w:rsidP="00E04A37">
            <w:pPr>
              <w:ind w:left="0"/>
            </w:pPr>
            <w:r w:rsidRPr="00E61EC7">
              <w:t>Under consideration</w:t>
            </w:r>
          </w:p>
        </w:tc>
        <w:tc>
          <w:tcPr>
            <w:tcW w:w="3637" w:type="dxa"/>
          </w:tcPr>
          <w:p w14:paraId="2FA594D6" w14:textId="24829F86" w:rsidR="00E04A37" w:rsidRPr="00E61EC7" w:rsidRDefault="002A2C48" w:rsidP="00E04A37">
            <w:pPr>
              <w:ind w:left="0"/>
            </w:pPr>
            <w:r w:rsidRPr="00E61EC7">
              <w:t>Under consideration</w:t>
            </w:r>
          </w:p>
        </w:tc>
      </w:tr>
      <w:tr w:rsidR="00B0264A" w14:paraId="4407C569" w14:textId="77777777" w:rsidTr="00CD49E0">
        <w:trPr>
          <w:cantSplit/>
        </w:trPr>
        <w:tc>
          <w:tcPr>
            <w:tcW w:w="0" w:type="dxa"/>
          </w:tcPr>
          <w:p w14:paraId="0D9D08E4" w14:textId="06C33B82" w:rsidR="00E04A37" w:rsidRPr="00E61EC7" w:rsidRDefault="002A2C48" w:rsidP="00E04A37">
            <w:pPr>
              <w:ind w:left="0"/>
            </w:pPr>
            <w:r w:rsidRPr="00E61EC7">
              <w:lastRenderedPageBreak/>
              <w:t>Japan</w:t>
            </w:r>
          </w:p>
        </w:tc>
        <w:tc>
          <w:tcPr>
            <w:tcW w:w="0" w:type="dxa"/>
          </w:tcPr>
          <w:p w14:paraId="5C6AB85E" w14:textId="12DA551E" w:rsidR="00E04A37" w:rsidRPr="00E61EC7" w:rsidRDefault="002A2C48" w:rsidP="00E04A37">
            <w:pPr>
              <w:ind w:left="0"/>
            </w:pPr>
            <w:r w:rsidRPr="00E61EC7">
              <w:t>11</w:t>
            </w:r>
            <w:r w:rsidR="007C075B" w:rsidRPr="00E61EC7">
              <w:t> </w:t>
            </w:r>
            <w:r w:rsidRPr="00E61EC7">
              <w:t>June</w:t>
            </w:r>
            <w:r w:rsidR="007C075B" w:rsidRPr="00E61EC7">
              <w:t> </w:t>
            </w:r>
            <w:r w:rsidRPr="00E61EC7">
              <w:t>2021</w:t>
            </w:r>
          </w:p>
        </w:tc>
        <w:tc>
          <w:tcPr>
            <w:tcW w:w="1943" w:type="dxa"/>
          </w:tcPr>
          <w:p w14:paraId="052FC811" w14:textId="3F632CBC" w:rsidR="00E04A37" w:rsidRPr="00E61EC7" w:rsidRDefault="002A2C48" w:rsidP="00E04A37">
            <w:pPr>
              <w:ind w:left="0"/>
            </w:pPr>
            <w:r w:rsidRPr="00E61EC7">
              <w:t>Approved on 28</w:t>
            </w:r>
            <w:r w:rsidR="007C075B" w:rsidRPr="00E61EC7">
              <w:t> </w:t>
            </w:r>
            <w:r w:rsidRPr="00E61EC7">
              <w:t>March</w:t>
            </w:r>
            <w:r w:rsidR="007C075B" w:rsidRPr="00E61EC7">
              <w:t> </w:t>
            </w:r>
            <w:r w:rsidRPr="00E61EC7">
              <w:t>2022</w:t>
            </w:r>
          </w:p>
        </w:tc>
        <w:tc>
          <w:tcPr>
            <w:tcW w:w="3637" w:type="dxa"/>
          </w:tcPr>
          <w:p w14:paraId="0478B7E2" w14:textId="58D98937" w:rsidR="00E04A37" w:rsidRPr="00E61EC7" w:rsidRDefault="002A2C48" w:rsidP="00E04A37">
            <w:pPr>
              <w:pStyle w:val="ListBullet"/>
              <w:rPr>
                <w:i/>
                <w:iCs/>
              </w:rPr>
            </w:pPr>
            <w:r w:rsidRPr="00E61EC7">
              <w:rPr>
                <w:i/>
                <w:iCs/>
              </w:rPr>
              <w:t xml:space="preserve">Age-related macular degeneration associated with </w:t>
            </w:r>
            <w:proofErr w:type="spellStart"/>
            <w:r w:rsidRPr="00E61EC7">
              <w:rPr>
                <w:i/>
                <w:iCs/>
              </w:rPr>
              <w:t>subfoveal</w:t>
            </w:r>
            <w:proofErr w:type="spellEnd"/>
            <w:r w:rsidRPr="00E61EC7">
              <w:rPr>
                <w:i/>
                <w:iCs/>
              </w:rPr>
              <w:t xml:space="preserve"> choroidal neovascularization</w:t>
            </w:r>
          </w:p>
          <w:p w14:paraId="151AE675" w14:textId="28BB043F" w:rsidR="00E04A37" w:rsidRPr="00E61EC7" w:rsidRDefault="002A2C48" w:rsidP="00E04A37">
            <w:pPr>
              <w:pStyle w:val="ListBullet"/>
            </w:pPr>
            <w:r w:rsidRPr="00E61EC7">
              <w:rPr>
                <w:i/>
                <w:iCs/>
              </w:rPr>
              <w:t xml:space="preserve">Diabetic macular </w:t>
            </w:r>
            <w:proofErr w:type="spellStart"/>
            <w:r w:rsidRPr="00E61EC7">
              <w:rPr>
                <w:i/>
                <w:iCs/>
              </w:rPr>
              <w:t>edema</w:t>
            </w:r>
            <w:proofErr w:type="spellEnd"/>
          </w:p>
        </w:tc>
      </w:tr>
    </w:tbl>
    <w:p w14:paraId="682E39DE" w14:textId="77777777" w:rsidR="008E7846" w:rsidRPr="00E61EC7" w:rsidRDefault="002A2C48" w:rsidP="00940A89">
      <w:pPr>
        <w:pStyle w:val="Heading3"/>
      </w:pPr>
      <w:bookmarkStart w:id="29" w:name="_Toc129701771"/>
      <w:r w:rsidRPr="00E61EC7">
        <w:t>Product Information</w:t>
      </w:r>
      <w:bookmarkEnd w:id="26"/>
      <w:bookmarkEnd w:id="27"/>
      <w:bookmarkEnd w:id="29"/>
    </w:p>
    <w:p w14:paraId="48749FE8" w14:textId="34F504DF" w:rsidR="00332715" w:rsidRPr="00E61EC7" w:rsidRDefault="002A2C48" w:rsidP="00F809EE">
      <w:bookmarkStart w:id="30" w:name="_Toc504480011"/>
      <w:bookmarkStart w:id="31" w:name="_Toc247691506"/>
      <w:bookmarkStart w:id="32" w:name="_Toc314842487"/>
      <w:r w:rsidRPr="00E61EC7">
        <w:t xml:space="preserve">The Product Information (PI) approved with the submission which is described in this AusPAR can be found as Attachment 1. For the most recent PI, please refer to the TGA </w:t>
      </w:r>
      <w:hyperlink r:id="rId19" w:history="1">
        <w:r w:rsidRPr="00E61EC7">
          <w:rPr>
            <w:rStyle w:val="Hyperlink"/>
          </w:rPr>
          <w:t>PI/CMI search facility</w:t>
        </w:r>
        <w:r w:rsidRPr="00E61EC7">
          <w:rPr>
            <w:rStyle w:val="Hyperlink"/>
            <w:color w:val="auto"/>
            <w:u w:val="none"/>
          </w:rPr>
          <w:t>.</w:t>
        </w:r>
      </w:hyperlink>
    </w:p>
    <w:p w14:paraId="3D2769F6" w14:textId="77777777" w:rsidR="00500337" w:rsidRPr="00E61EC7" w:rsidRDefault="002A2C48" w:rsidP="00500337">
      <w:pPr>
        <w:pStyle w:val="Heading2"/>
      </w:pPr>
      <w:bookmarkStart w:id="33" w:name="_Toc129701772"/>
      <w:r w:rsidRPr="00E61EC7">
        <w:t>Registration timeline</w:t>
      </w:r>
      <w:bookmarkEnd w:id="30"/>
      <w:bookmarkEnd w:id="33"/>
    </w:p>
    <w:p w14:paraId="2C18E4AD" w14:textId="77777777" w:rsidR="0074163C" w:rsidRPr="00E61EC7" w:rsidRDefault="002A2C48" w:rsidP="0074163C">
      <w:r w:rsidRPr="00E61EC7">
        <w:t xml:space="preserve">The following table captures the key steps and dates for this </w:t>
      </w:r>
      <w:r w:rsidR="00804D99" w:rsidRPr="00E61EC7">
        <w:t>submission</w:t>
      </w:r>
      <w:r w:rsidRPr="00E61EC7">
        <w:t>.</w:t>
      </w:r>
    </w:p>
    <w:p w14:paraId="275879AA" w14:textId="4F7D780F" w:rsidR="0074163C" w:rsidRPr="00E61EC7" w:rsidRDefault="002A2C48" w:rsidP="00202A6D">
      <w:pPr>
        <w:pStyle w:val="TableTitle"/>
      </w:pPr>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2</w:t>
      </w:r>
      <w:r w:rsidR="00C22604" w:rsidRPr="00E61EC7">
        <w:rPr>
          <w:noProof/>
        </w:rPr>
        <w:fldChar w:fldCharType="end"/>
      </w:r>
      <w:r w:rsidRPr="00E61EC7">
        <w:t xml:space="preserve">: Timeline for Submission </w:t>
      </w:r>
      <w:r w:rsidR="00610CCA" w:rsidRPr="00E61EC7">
        <w:t>PM-2021-02671-1-5</w:t>
      </w:r>
    </w:p>
    <w:tbl>
      <w:tblPr>
        <w:tblStyle w:val="TableTGAblue"/>
        <w:tblW w:w="8725" w:type="dxa"/>
        <w:tblLook w:val="04A0" w:firstRow="1" w:lastRow="0" w:firstColumn="1" w:lastColumn="0" w:noHBand="0" w:noVBand="1"/>
      </w:tblPr>
      <w:tblGrid>
        <w:gridCol w:w="5949"/>
        <w:gridCol w:w="2776"/>
      </w:tblGrid>
      <w:tr w:rsidR="00B0264A" w14:paraId="5DE868E9" w14:textId="77777777" w:rsidTr="006E360B">
        <w:trPr>
          <w:cnfStyle w:val="100000000000" w:firstRow="1" w:lastRow="0" w:firstColumn="0" w:lastColumn="0" w:oddVBand="0" w:evenVBand="0" w:oddHBand="0" w:evenHBand="0" w:firstRowFirstColumn="0" w:firstRowLastColumn="0" w:lastRowFirstColumn="0" w:lastRowLastColumn="0"/>
        </w:trPr>
        <w:tc>
          <w:tcPr>
            <w:tcW w:w="5949" w:type="dxa"/>
            <w:tcBorders>
              <w:top w:val="single" w:sz="4" w:space="0" w:color="auto"/>
              <w:left w:val="single" w:sz="4" w:space="0" w:color="auto"/>
              <w:bottom w:val="single" w:sz="4" w:space="0" w:color="auto"/>
              <w:right w:val="single" w:sz="4" w:space="0" w:color="auto"/>
            </w:tcBorders>
          </w:tcPr>
          <w:p w14:paraId="24DD6AE1" w14:textId="77777777" w:rsidR="0074163C" w:rsidRPr="00E61EC7" w:rsidRDefault="002A2C48" w:rsidP="009E5A87">
            <w:r w:rsidRPr="00E61EC7">
              <w:t>Description</w:t>
            </w:r>
          </w:p>
        </w:tc>
        <w:tc>
          <w:tcPr>
            <w:tcW w:w="2776" w:type="dxa"/>
            <w:tcBorders>
              <w:top w:val="single" w:sz="4" w:space="0" w:color="auto"/>
              <w:left w:val="single" w:sz="4" w:space="0" w:color="auto"/>
              <w:bottom w:val="single" w:sz="4" w:space="0" w:color="auto"/>
              <w:right w:val="single" w:sz="4" w:space="0" w:color="auto"/>
            </w:tcBorders>
          </w:tcPr>
          <w:p w14:paraId="5D59ED10" w14:textId="77777777" w:rsidR="0074163C" w:rsidRPr="00E61EC7" w:rsidRDefault="002A2C48" w:rsidP="009E5A87">
            <w:r w:rsidRPr="00E61EC7">
              <w:t>Date</w:t>
            </w:r>
          </w:p>
        </w:tc>
      </w:tr>
      <w:tr w:rsidR="00B0264A" w14:paraId="624E6ADC" w14:textId="77777777" w:rsidTr="006E360B">
        <w:tc>
          <w:tcPr>
            <w:tcW w:w="5949" w:type="dxa"/>
            <w:tcBorders>
              <w:top w:val="single" w:sz="4" w:space="0" w:color="auto"/>
            </w:tcBorders>
          </w:tcPr>
          <w:p w14:paraId="380D9447" w14:textId="77777777" w:rsidR="009523C4" w:rsidRPr="00E61EC7" w:rsidRDefault="002A2C48" w:rsidP="009523C4">
            <w:r w:rsidRPr="00E61EC7">
              <w:t>Submission dossier accepted and first round evaluation commenced</w:t>
            </w:r>
          </w:p>
        </w:tc>
        <w:tc>
          <w:tcPr>
            <w:tcW w:w="2776" w:type="dxa"/>
            <w:tcBorders>
              <w:top w:val="single" w:sz="4" w:space="0" w:color="auto"/>
            </w:tcBorders>
          </w:tcPr>
          <w:p w14:paraId="7BFE3544" w14:textId="6135EEA0" w:rsidR="009523C4" w:rsidRPr="00E61EC7" w:rsidRDefault="002A2C48" w:rsidP="009523C4">
            <w:r w:rsidRPr="00E61EC7">
              <w:t>4 August 2021</w:t>
            </w:r>
          </w:p>
        </w:tc>
      </w:tr>
      <w:tr w:rsidR="00B0264A" w14:paraId="052BABF7" w14:textId="77777777" w:rsidTr="006E360B">
        <w:tc>
          <w:tcPr>
            <w:tcW w:w="5949" w:type="dxa"/>
          </w:tcPr>
          <w:p w14:paraId="75666F2F" w14:textId="77777777" w:rsidR="009523C4" w:rsidRPr="00E61EC7" w:rsidRDefault="002A2C48" w:rsidP="009523C4">
            <w:r w:rsidRPr="00E61EC7">
              <w:t>First round evaluation completed</w:t>
            </w:r>
          </w:p>
        </w:tc>
        <w:tc>
          <w:tcPr>
            <w:tcW w:w="2776" w:type="dxa"/>
          </w:tcPr>
          <w:p w14:paraId="75C4422D" w14:textId="69C9D478" w:rsidR="009523C4" w:rsidRPr="00E61EC7" w:rsidRDefault="002A2C48" w:rsidP="009523C4">
            <w:r w:rsidRPr="00E61EC7">
              <w:t>2 December 2021</w:t>
            </w:r>
          </w:p>
        </w:tc>
      </w:tr>
      <w:tr w:rsidR="00B0264A" w14:paraId="149EC655" w14:textId="77777777" w:rsidTr="006E360B">
        <w:tc>
          <w:tcPr>
            <w:tcW w:w="5949" w:type="dxa"/>
          </w:tcPr>
          <w:p w14:paraId="7770E0B1" w14:textId="77777777" w:rsidR="009523C4" w:rsidRPr="00E61EC7" w:rsidRDefault="002A2C48" w:rsidP="009523C4">
            <w:r w:rsidRPr="00E61EC7">
              <w:t>Sponsor provides responses on questions raised in first round evaluation</w:t>
            </w:r>
          </w:p>
        </w:tc>
        <w:tc>
          <w:tcPr>
            <w:tcW w:w="2776" w:type="dxa"/>
          </w:tcPr>
          <w:p w14:paraId="4068EED2" w14:textId="25D02DFF" w:rsidR="009523C4" w:rsidRPr="00E61EC7" w:rsidRDefault="002A2C48" w:rsidP="009523C4">
            <w:r w:rsidRPr="00E61EC7">
              <w:t>28 January 202</w:t>
            </w:r>
            <w:r w:rsidR="00870F41" w:rsidRPr="00E61EC7">
              <w:t>2</w:t>
            </w:r>
          </w:p>
        </w:tc>
      </w:tr>
      <w:tr w:rsidR="00B0264A" w14:paraId="79AC6760" w14:textId="77777777" w:rsidTr="006E360B">
        <w:tc>
          <w:tcPr>
            <w:tcW w:w="5949" w:type="dxa"/>
          </w:tcPr>
          <w:p w14:paraId="2A2B6EC4" w14:textId="77777777" w:rsidR="009523C4" w:rsidRPr="00E61EC7" w:rsidRDefault="002A2C48" w:rsidP="009523C4">
            <w:r w:rsidRPr="00E61EC7">
              <w:t>Second round evaluation completed</w:t>
            </w:r>
          </w:p>
        </w:tc>
        <w:tc>
          <w:tcPr>
            <w:tcW w:w="2776" w:type="dxa"/>
          </w:tcPr>
          <w:p w14:paraId="5F451E68" w14:textId="47267AC5" w:rsidR="009523C4" w:rsidRPr="00E61EC7" w:rsidRDefault="002A2C48" w:rsidP="009523C4">
            <w:r w:rsidRPr="00E61EC7">
              <w:t>28 April 2022</w:t>
            </w:r>
          </w:p>
        </w:tc>
      </w:tr>
      <w:tr w:rsidR="00B0264A" w14:paraId="6D253FA1" w14:textId="77777777" w:rsidTr="006E360B">
        <w:tc>
          <w:tcPr>
            <w:tcW w:w="5949" w:type="dxa"/>
          </w:tcPr>
          <w:p w14:paraId="6606C7C8" w14:textId="3B1921D9" w:rsidR="009523C4" w:rsidRPr="00E61EC7" w:rsidRDefault="002A2C48" w:rsidP="009523C4">
            <w:r w:rsidRPr="00E61EC7">
              <w:t>Delegate’s Overall benefit-risk assessment and request for Advisory Committee advice</w:t>
            </w:r>
          </w:p>
        </w:tc>
        <w:tc>
          <w:tcPr>
            <w:tcW w:w="2776" w:type="dxa"/>
          </w:tcPr>
          <w:p w14:paraId="2D2B31E1" w14:textId="2A40B800" w:rsidR="009523C4" w:rsidRPr="00E61EC7" w:rsidRDefault="002A2C48" w:rsidP="009523C4">
            <w:r w:rsidRPr="00E61EC7">
              <w:t>3 May 2022</w:t>
            </w:r>
          </w:p>
        </w:tc>
      </w:tr>
      <w:tr w:rsidR="00B0264A" w14:paraId="3BAD309F" w14:textId="77777777" w:rsidTr="006E360B">
        <w:tc>
          <w:tcPr>
            <w:tcW w:w="5949" w:type="dxa"/>
          </w:tcPr>
          <w:p w14:paraId="4906FAD9" w14:textId="77777777" w:rsidR="009523C4" w:rsidRPr="00E61EC7" w:rsidRDefault="002A2C48" w:rsidP="009523C4">
            <w:r w:rsidRPr="00E61EC7">
              <w:t>Sponsor’s pre-Advisory Committee response</w:t>
            </w:r>
          </w:p>
        </w:tc>
        <w:tc>
          <w:tcPr>
            <w:tcW w:w="2776" w:type="dxa"/>
          </w:tcPr>
          <w:p w14:paraId="2BD23E4F" w14:textId="0FDFA913" w:rsidR="009523C4" w:rsidRPr="00E61EC7" w:rsidRDefault="002A2C48" w:rsidP="009523C4">
            <w:r w:rsidRPr="00E61EC7">
              <w:t>18 May 2022</w:t>
            </w:r>
          </w:p>
        </w:tc>
      </w:tr>
      <w:tr w:rsidR="00B0264A" w14:paraId="3A5C5C6D" w14:textId="77777777" w:rsidTr="006E360B">
        <w:tc>
          <w:tcPr>
            <w:tcW w:w="5949" w:type="dxa"/>
          </w:tcPr>
          <w:p w14:paraId="7E2F0805" w14:textId="77777777" w:rsidR="009523C4" w:rsidRPr="00E61EC7" w:rsidRDefault="002A2C48" w:rsidP="009523C4">
            <w:r w:rsidRPr="00E61EC7">
              <w:t>Advisory Committee meeting</w:t>
            </w:r>
          </w:p>
        </w:tc>
        <w:tc>
          <w:tcPr>
            <w:tcW w:w="2776" w:type="dxa"/>
          </w:tcPr>
          <w:p w14:paraId="6D5393DC" w14:textId="126605E9" w:rsidR="009523C4" w:rsidRPr="00E61EC7" w:rsidRDefault="002A2C48" w:rsidP="009523C4">
            <w:r w:rsidRPr="00E61EC7">
              <w:t>2 and 3 June 2022</w:t>
            </w:r>
          </w:p>
        </w:tc>
      </w:tr>
      <w:tr w:rsidR="00B0264A" w14:paraId="033739D2" w14:textId="77777777" w:rsidTr="006E360B">
        <w:tc>
          <w:tcPr>
            <w:tcW w:w="5949" w:type="dxa"/>
          </w:tcPr>
          <w:p w14:paraId="0452A508" w14:textId="77777777" w:rsidR="009523C4" w:rsidRPr="00E61EC7" w:rsidRDefault="002A2C48" w:rsidP="009523C4">
            <w:r w:rsidRPr="00E61EC7">
              <w:t>Registration decision (Outcome)</w:t>
            </w:r>
          </w:p>
        </w:tc>
        <w:tc>
          <w:tcPr>
            <w:tcW w:w="2776" w:type="dxa"/>
          </w:tcPr>
          <w:p w14:paraId="7191D8CE" w14:textId="6EFD8479" w:rsidR="009523C4" w:rsidRPr="00E61EC7" w:rsidRDefault="002A2C48" w:rsidP="009523C4">
            <w:r w:rsidRPr="00E61EC7">
              <w:t>4 August 2022</w:t>
            </w:r>
          </w:p>
        </w:tc>
      </w:tr>
      <w:tr w:rsidR="00B0264A" w14:paraId="3F8410AF" w14:textId="77777777" w:rsidTr="006E360B">
        <w:tc>
          <w:tcPr>
            <w:tcW w:w="5949" w:type="dxa"/>
          </w:tcPr>
          <w:p w14:paraId="78B1DED0" w14:textId="77777777" w:rsidR="009523C4" w:rsidRPr="00E61EC7" w:rsidRDefault="002A2C48" w:rsidP="009523C4">
            <w:r w:rsidRPr="00E61EC7">
              <w:t>Completion of administrative activities and registration on the ARTG</w:t>
            </w:r>
          </w:p>
        </w:tc>
        <w:tc>
          <w:tcPr>
            <w:tcW w:w="2776" w:type="dxa"/>
          </w:tcPr>
          <w:p w14:paraId="5ABDD43D" w14:textId="0ED00514" w:rsidR="009523C4" w:rsidRPr="00E61EC7" w:rsidRDefault="002A2C48" w:rsidP="009523C4">
            <w:r w:rsidRPr="00E61EC7">
              <w:t>8 August 2022</w:t>
            </w:r>
          </w:p>
        </w:tc>
      </w:tr>
      <w:tr w:rsidR="00B0264A" w14:paraId="61BEAD57" w14:textId="77777777" w:rsidTr="006E360B">
        <w:tc>
          <w:tcPr>
            <w:tcW w:w="5949" w:type="dxa"/>
          </w:tcPr>
          <w:p w14:paraId="4880F253" w14:textId="77777777" w:rsidR="009523C4" w:rsidRPr="00E61EC7" w:rsidRDefault="002A2C48" w:rsidP="009523C4">
            <w:r w:rsidRPr="00E61EC7">
              <w:t>Number of working days from submission dossier acceptance to registration decision*</w:t>
            </w:r>
          </w:p>
        </w:tc>
        <w:tc>
          <w:tcPr>
            <w:tcW w:w="2776" w:type="dxa"/>
          </w:tcPr>
          <w:p w14:paraId="15DD3172" w14:textId="5D5F9220" w:rsidR="009523C4" w:rsidRPr="00E61EC7" w:rsidRDefault="002A2C48" w:rsidP="009523C4">
            <w:r w:rsidRPr="00E61EC7">
              <w:t>188</w:t>
            </w:r>
          </w:p>
        </w:tc>
      </w:tr>
    </w:tbl>
    <w:p w14:paraId="6B0CD505" w14:textId="77777777" w:rsidR="0074163C" w:rsidRPr="00E61EC7" w:rsidRDefault="002A2C48" w:rsidP="00202A6D">
      <w:pPr>
        <w:pStyle w:val="TableDescription"/>
      </w:pPr>
      <w:r w:rsidRPr="00E61EC7">
        <w:t xml:space="preserve">*Statutory timeframe for standard </w:t>
      </w:r>
      <w:r w:rsidR="00BB0B78" w:rsidRPr="00E61EC7">
        <w:t>submission</w:t>
      </w:r>
      <w:r w:rsidRPr="00E61EC7">
        <w:t>s is 255 working days</w:t>
      </w:r>
    </w:p>
    <w:p w14:paraId="0B9F6914" w14:textId="77777777" w:rsidR="008E7846" w:rsidRPr="00E61EC7" w:rsidRDefault="002A2C48" w:rsidP="008E7846">
      <w:pPr>
        <w:pStyle w:val="Heading2"/>
      </w:pPr>
      <w:bookmarkStart w:id="34" w:name="_Toc196046504"/>
      <w:bookmarkStart w:id="35" w:name="_Toc247691527"/>
      <w:bookmarkStart w:id="36" w:name="_Toc314842510"/>
      <w:bookmarkStart w:id="37" w:name="_Toc129701773"/>
      <w:bookmarkStart w:id="38" w:name="_Toc163441390"/>
      <w:bookmarkEnd w:id="31"/>
      <w:bookmarkEnd w:id="32"/>
      <w:bookmarkEnd w:id="4"/>
      <w:r w:rsidRPr="00E61EC7">
        <w:lastRenderedPageBreak/>
        <w:t>Submission overview and risk/benefit assessment</w:t>
      </w:r>
      <w:bookmarkEnd w:id="34"/>
      <w:bookmarkEnd w:id="35"/>
      <w:bookmarkEnd w:id="36"/>
      <w:bookmarkEnd w:id="37"/>
    </w:p>
    <w:p w14:paraId="7D8ECD66" w14:textId="77777777" w:rsidR="005A79F5" w:rsidRPr="00E61EC7" w:rsidRDefault="002A2C48" w:rsidP="0074163C">
      <w:pPr>
        <w:pStyle w:val="Instructions"/>
        <w:rPr>
          <w:i w:val="0"/>
          <w:color w:val="auto"/>
        </w:rPr>
      </w:pPr>
      <w:bookmarkStart w:id="39" w:name="_Toc247691528"/>
      <w:bookmarkStart w:id="40" w:name="_Toc314842511"/>
      <w:r w:rsidRPr="00E61EC7">
        <w:rPr>
          <w:i w:val="0"/>
          <w:color w:val="auto"/>
        </w:rPr>
        <w:t>A summary of the TGA’s assessment for this submission is provided below.</w:t>
      </w:r>
    </w:p>
    <w:p w14:paraId="1B102225" w14:textId="36D39B3B" w:rsidR="0074163C" w:rsidRPr="00E61EC7" w:rsidRDefault="002A2C48" w:rsidP="0074163C">
      <w:r w:rsidRPr="00E61EC7">
        <w:t>This section is a TGA summary of wording used in TGA’s evaluation report, which discussed numerous aspects of overseas evaluation reports and included some information that was commercial-in-confidence.</w:t>
      </w:r>
    </w:p>
    <w:p w14:paraId="66ACEC60" w14:textId="41F85546" w:rsidR="005F0A71" w:rsidRPr="00E61EC7" w:rsidRDefault="002A2C48" w:rsidP="005F0A71">
      <w:r w:rsidRPr="00E61EC7">
        <w:t>The following guideline was referred to by the Delegate as being relevant to this submission:</w:t>
      </w:r>
    </w:p>
    <w:p w14:paraId="6EEC3B0A" w14:textId="1B73C60C" w:rsidR="005F0A71" w:rsidRPr="00E61EC7" w:rsidRDefault="002A2C48" w:rsidP="005F0A71">
      <w:pPr>
        <w:pStyle w:val="ListBullet"/>
      </w:pPr>
      <w:r w:rsidRPr="00E61EC7">
        <w:t xml:space="preserve">European Medicines Agency (EMA), Committee for medicinal products for human use </w:t>
      </w:r>
      <w:r w:rsidR="00263448" w:rsidRPr="00E61EC7">
        <w:t>(</w:t>
      </w:r>
      <w:r w:rsidRPr="00E61EC7">
        <w:t>CHMP</w:t>
      </w:r>
      <w:r w:rsidR="00263448" w:rsidRPr="00E61EC7">
        <w:t>)</w:t>
      </w:r>
      <w:r w:rsidRPr="00E61EC7">
        <w:t xml:space="preserve">, </w:t>
      </w:r>
      <w:hyperlink r:id="rId20" w:history="1">
        <w:r w:rsidRPr="00E94AE0">
          <w:rPr>
            <w:rStyle w:val="Hyperlink"/>
          </w:rPr>
          <w:t xml:space="preserve">ICH </w:t>
        </w:r>
        <w:r w:rsidR="00463201" w:rsidRPr="00E94AE0">
          <w:rPr>
            <w:rStyle w:val="Hyperlink"/>
          </w:rPr>
          <w:t xml:space="preserve">Guideline </w:t>
        </w:r>
        <w:r w:rsidRPr="00E94AE0">
          <w:rPr>
            <w:rStyle w:val="Hyperlink"/>
          </w:rPr>
          <w:t xml:space="preserve">S6 (R1) </w:t>
        </w:r>
        <w:r w:rsidR="00263448" w:rsidRPr="00E94AE0">
          <w:rPr>
            <w:rStyle w:val="Hyperlink"/>
          </w:rPr>
          <w:t>-</w:t>
        </w:r>
        <w:r w:rsidRPr="00E94AE0">
          <w:rPr>
            <w:rStyle w:val="Hyperlink"/>
          </w:rPr>
          <w:t xml:space="preserve"> </w:t>
        </w:r>
        <w:r w:rsidR="00463201" w:rsidRPr="00E94AE0">
          <w:rPr>
            <w:rStyle w:val="Hyperlink"/>
          </w:rPr>
          <w:t xml:space="preserve">Preclinical Safety Evaluation </w:t>
        </w:r>
        <w:r w:rsidR="00463201">
          <w:rPr>
            <w:rStyle w:val="Hyperlink"/>
          </w:rPr>
          <w:t>o</w:t>
        </w:r>
        <w:r w:rsidR="00463201" w:rsidRPr="00E94AE0">
          <w:rPr>
            <w:rStyle w:val="Hyperlink"/>
          </w:rPr>
          <w:t>f Biotechnology-Derived Pharmaceuticals</w:t>
        </w:r>
      </w:hyperlink>
      <w:r w:rsidRPr="00E61EC7">
        <w:t>, EMA/CHMP/ICH/731268/1998, June 2011.</w:t>
      </w:r>
    </w:p>
    <w:p w14:paraId="11C84A9B" w14:textId="52F280B5" w:rsidR="008E7846" w:rsidRPr="00E61EC7" w:rsidRDefault="002A2C48" w:rsidP="008E7846">
      <w:pPr>
        <w:pStyle w:val="Heading3"/>
      </w:pPr>
      <w:bookmarkStart w:id="41" w:name="_Toc129701774"/>
      <w:r w:rsidRPr="00E61EC7">
        <w:t>Quality</w:t>
      </w:r>
      <w:bookmarkEnd w:id="39"/>
      <w:bookmarkEnd w:id="40"/>
      <w:bookmarkEnd w:id="41"/>
    </w:p>
    <w:p w14:paraId="2C3A0D1F" w14:textId="6BD251E6" w:rsidR="00386B48" w:rsidRPr="00E61EC7" w:rsidRDefault="002A2C48" w:rsidP="005B01D2">
      <w:proofErr w:type="spellStart"/>
      <w:r w:rsidRPr="00E61EC7">
        <w:t>F</w:t>
      </w:r>
      <w:r w:rsidR="00263448" w:rsidRPr="00E61EC7">
        <w:t>aricimab</w:t>
      </w:r>
      <w:proofErr w:type="spellEnd"/>
      <w:r w:rsidR="00263448" w:rsidRPr="00E61EC7">
        <w:t xml:space="preserve"> is a humani</w:t>
      </w:r>
      <w:r w:rsidR="00AA2E84" w:rsidRPr="00E61EC7">
        <w:t>s</w:t>
      </w:r>
      <w:r w:rsidR="00263448" w:rsidRPr="00E61EC7">
        <w:t>ed bispecific antibody</w:t>
      </w:r>
      <w:r w:rsidRPr="00E61EC7">
        <w:t xml:space="preserve">, which </w:t>
      </w:r>
      <w:r w:rsidR="00263448" w:rsidRPr="00E61EC7">
        <w:t xml:space="preserve">composed of two different heavy chains and two different light chains. One arm of the antibody binds </w:t>
      </w:r>
      <w:r w:rsidRPr="00E61EC7">
        <w:t xml:space="preserve">vascular endothelial growth factor A (VEGF-A) </w:t>
      </w:r>
      <w:r w:rsidR="00263448" w:rsidRPr="00E61EC7">
        <w:t xml:space="preserve">and the other arm </w:t>
      </w:r>
      <w:r w:rsidRPr="00E61EC7">
        <w:t>binds angiopoietin-2 (Ang-2)</w:t>
      </w:r>
      <w:r w:rsidR="00263448" w:rsidRPr="00E61EC7">
        <w:t xml:space="preserve">. The bispecific antibody is </w:t>
      </w:r>
      <w:r w:rsidRPr="00E61EC7">
        <w:t>produced in Chinese hamster ovary cell culture by recombinant deoxyribonucleic acid (DNA) technology.</w:t>
      </w:r>
    </w:p>
    <w:p w14:paraId="1709DE2A" w14:textId="77EBBECF" w:rsidR="00263448" w:rsidRPr="00E61EC7" w:rsidRDefault="002A2C48" w:rsidP="00A340C8">
      <w:r w:rsidRPr="00E61EC7">
        <w:t xml:space="preserve">Based upon </w:t>
      </w:r>
      <w:r w:rsidR="00344F6E" w:rsidRPr="00E61EC7">
        <w:t xml:space="preserve">the </w:t>
      </w:r>
      <w:r w:rsidRPr="00E61EC7">
        <w:t xml:space="preserve">stability data submitted by the </w:t>
      </w:r>
      <w:r w:rsidR="00344F6E" w:rsidRPr="00E61EC7">
        <w:t xml:space="preserve">sponsor, it is recommended to store the drug substance at </w:t>
      </w:r>
      <w:bookmarkStart w:id="42" w:name="_Hlk87445371"/>
      <w:r w:rsidR="00344F6E" w:rsidRPr="00E61EC7">
        <w:t>-40°C</w:t>
      </w:r>
      <w:bookmarkEnd w:id="42"/>
      <w:r w:rsidR="00344F6E" w:rsidRPr="00E61EC7">
        <w:t xml:space="preserve"> for no longer than 36 months; </w:t>
      </w:r>
      <w:r w:rsidR="00A340C8" w:rsidRPr="00E61EC7">
        <w:t>to store the d</w:t>
      </w:r>
      <w:r w:rsidRPr="00E61EC7">
        <w:t>rug product</w:t>
      </w:r>
      <w:r w:rsidR="00A340C8" w:rsidRPr="00E61EC7">
        <w:t xml:space="preserve"> at 2</w:t>
      </w:r>
      <w:r w:rsidR="003A3E05" w:rsidRPr="00E61EC7">
        <w:t>°C</w:t>
      </w:r>
      <w:r w:rsidR="00A340C8" w:rsidRPr="00E61EC7">
        <w:t xml:space="preserve"> to 8°C for no longer than </w:t>
      </w:r>
      <w:r w:rsidRPr="00E61EC7">
        <w:t>30 months</w:t>
      </w:r>
      <w:r w:rsidR="00A340C8" w:rsidRPr="00E61EC7">
        <w:t xml:space="preserve"> and </w:t>
      </w:r>
      <w:bookmarkStart w:id="43" w:name="_Hlk95205343"/>
      <w:r w:rsidRPr="00E61EC7">
        <w:t>protected from light</w:t>
      </w:r>
      <w:bookmarkEnd w:id="43"/>
      <w:r w:rsidR="00A340C8" w:rsidRPr="00E61EC7">
        <w:t xml:space="preserve">; to store the </w:t>
      </w:r>
      <w:r w:rsidRPr="00E61EC7">
        <w:t xml:space="preserve">opened product </w:t>
      </w:r>
      <w:r w:rsidR="00A340C8" w:rsidRPr="00E61EC7">
        <w:t>at 2</w:t>
      </w:r>
      <w:r w:rsidR="003A3E05" w:rsidRPr="00E61EC7">
        <w:t>°C</w:t>
      </w:r>
      <w:r w:rsidR="00A340C8" w:rsidRPr="00E61EC7">
        <w:t xml:space="preserve"> to 8°C for no longer than </w:t>
      </w:r>
      <w:r w:rsidRPr="00E61EC7">
        <w:t>24 hours</w:t>
      </w:r>
      <w:r w:rsidR="00A340C8" w:rsidRPr="00E61EC7">
        <w:t xml:space="preserve"> and </w:t>
      </w:r>
      <w:r w:rsidRPr="00E61EC7">
        <w:t>protected from light. No temperature excursion was requested.</w:t>
      </w:r>
    </w:p>
    <w:p w14:paraId="6CD121ED" w14:textId="3D3BB95E" w:rsidR="00A340C8" w:rsidRPr="00E61EC7" w:rsidRDefault="002A2C48" w:rsidP="00A340C8">
      <w:proofErr w:type="spellStart"/>
      <w:r w:rsidRPr="00E61EC7">
        <w:t>Vabysmo</w:t>
      </w:r>
      <w:proofErr w:type="spellEnd"/>
      <w:r w:rsidRPr="00E61EC7">
        <w:t xml:space="preserve"> (</w:t>
      </w:r>
      <w:proofErr w:type="spellStart"/>
      <w:r w:rsidRPr="00E61EC7">
        <w:t>faricimab</w:t>
      </w:r>
      <w:proofErr w:type="spellEnd"/>
      <w:r w:rsidRPr="00E61EC7">
        <w:t xml:space="preserve">) is administered as an intravitreal injection. The product is available in type I glass vial with a rubber stopper, an aluminium </w:t>
      </w:r>
      <w:proofErr w:type="gramStart"/>
      <w:r w:rsidRPr="00E61EC7">
        <w:t>seal</w:t>
      </w:r>
      <w:proofErr w:type="gramEnd"/>
      <w:r w:rsidRPr="00E61EC7">
        <w:t xml:space="preserve"> and a plastic flip-off cap. It is presented as a single 2 mL vial containing 28.8 mg </w:t>
      </w:r>
      <w:proofErr w:type="spellStart"/>
      <w:r w:rsidRPr="00E61EC7">
        <w:t>faricimab</w:t>
      </w:r>
      <w:proofErr w:type="spellEnd"/>
      <w:r w:rsidRPr="00E61EC7">
        <w:t xml:space="preserve"> in 0.24 mL solution. This provides a usable amount to deliver a single dose of 0.05 mL solution containing 6 mg of </w:t>
      </w:r>
      <w:proofErr w:type="spellStart"/>
      <w:r w:rsidRPr="00E61EC7">
        <w:t>faricimab</w:t>
      </w:r>
      <w:proofErr w:type="spellEnd"/>
      <w:r w:rsidRPr="00E61EC7">
        <w:t>.</w:t>
      </w:r>
    </w:p>
    <w:p w14:paraId="01C12E9B" w14:textId="4AEEEAA2" w:rsidR="00263448" w:rsidRPr="00E61EC7" w:rsidRDefault="002A2C48" w:rsidP="005B01D2">
      <w:r w:rsidRPr="00E61EC7">
        <w:t xml:space="preserve">There are no objections on quality grounds to the approval of </w:t>
      </w:r>
      <w:proofErr w:type="spellStart"/>
      <w:r w:rsidRPr="00E61EC7">
        <w:t>Vabysmo</w:t>
      </w:r>
      <w:proofErr w:type="spellEnd"/>
      <w:r w:rsidRPr="00E61EC7">
        <w:t xml:space="preserve"> (</w:t>
      </w:r>
      <w:proofErr w:type="spellStart"/>
      <w:r w:rsidRPr="00E61EC7">
        <w:t>faricimab</w:t>
      </w:r>
      <w:proofErr w:type="spellEnd"/>
      <w:r w:rsidRPr="00E61EC7">
        <w:t xml:space="preserve">) 120 mg/mL solution for injection vial. </w:t>
      </w:r>
      <w:r w:rsidR="005B01D2" w:rsidRPr="00E61EC7">
        <w:t xml:space="preserve">The quality of this product </w:t>
      </w:r>
      <w:proofErr w:type="gramStart"/>
      <w:r w:rsidR="005B01D2" w:rsidRPr="00E61EC7">
        <w:t>is considered to be</w:t>
      </w:r>
      <w:proofErr w:type="gramEnd"/>
      <w:r w:rsidR="005B01D2" w:rsidRPr="00E61EC7">
        <w:t xml:space="preserve"> acceptable when used in accordance with the conditions defined in the </w:t>
      </w:r>
      <w:r w:rsidR="007F2B30" w:rsidRPr="00E61EC7">
        <w:t>Product Information</w:t>
      </w:r>
      <w:r w:rsidR="005B01D2" w:rsidRPr="00E61EC7">
        <w:t xml:space="preserve">, labels, </w:t>
      </w:r>
      <w:r w:rsidRPr="00E61EC7">
        <w:t>Consumer Medicines Information (CMI)</w:t>
      </w:r>
      <w:r w:rsidR="005B01D2" w:rsidRPr="00E61EC7">
        <w:t xml:space="preserve"> and the Australian Register of Therapeutic Goods (ARTG).</w:t>
      </w:r>
    </w:p>
    <w:p w14:paraId="11E94006" w14:textId="77777777" w:rsidR="00EC165B" w:rsidRPr="00E61EC7" w:rsidRDefault="002A2C48" w:rsidP="00C76523">
      <w:pPr>
        <w:pStyle w:val="Heading4"/>
      </w:pPr>
      <w:r w:rsidRPr="00E61EC7">
        <w:t>Proposed conditions of registration</w:t>
      </w:r>
    </w:p>
    <w:p w14:paraId="63D40F01" w14:textId="1D772D02" w:rsidR="00EC165B" w:rsidRPr="00E61EC7" w:rsidRDefault="002A2C48" w:rsidP="00C76523">
      <w:pPr>
        <w:pStyle w:val="ListBullet"/>
        <w:rPr>
          <w:lang w:eastAsia="ja-JP"/>
        </w:rPr>
      </w:pPr>
      <w:r w:rsidRPr="00E61EC7">
        <w:rPr>
          <w:lang w:eastAsia="ja-JP"/>
        </w:rPr>
        <w:t xml:space="preserve">Laboratory testing </w:t>
      </w:r>
      <w:r w:rsidR="00A340C8" w:rsidRPr="00E61EC7">
        <w:rPr>
          <w:lang w:eastAsia="ja-JP"/>
        </w:rPr>
        <w:t>and</w:t>
      </w:r>
      <w:r w:rsidRPr="00E61EC7">
        <w:rPr>
          <w:lang w:eastAsia="ja-JP"/>
        </w:rPr>
        <w:t xml:space="preserve"> compliance with Certified Product Details (CPD)</w:t>
      </w:r>
    </w:p>
    <w:p w14:paraId="59507B4B" w14:textId="64B43E1C" w:rsidR="00EC165B" w:rsidRPr="00E61EC7" w:rsidRDefault="002A2C48" w:rsidP="00C76523">
      <w:pPr>
        <w:pStyle w:val="ListBullet"/>
        <w:numPr>
          <w:ilvl w:val="0"/>
          <w:numId w:val="0"/>
        </w:numPr>
        <w:ind w:left="360"/>
      </w:pPr>
      <w:r w:rsidRPr="00E61EC7">
        <w:t xml:space="preserve">All batches of </w:t>
      </w:r>
      <w:proofErr w:type="spellStart"/>
      <w:r w:rsidR="00533A7C" w:rsidRPr="00E61EC7">
        <w:t>Vabysmo</w:t>
      </w:r>
      <w:proofErr w:type="spellEnd"/>
      <w:r w:rsidRPr="00E61EC7">
        <w:t xml:space="preserve"> </w:t>
      </w:r>
      <w:proofErr w:type="spellStart"/>
      <w:r w:rsidRPr="00E61EC7">
        <w:t>faricimab</w:t>
      </w:r>
      <w:proofErr w:type="spellEnd"/>
      <w:r w:rsidRPr="00E61EC7">
        <w:t xml:space="preserve"> supplied in Australia must comply with the product details and specifications approved during evaluation and detailed in the Certified Product Details (CPD).</w:t>
      </w:r>
    </w:p>
    <w:p w14:paraId="7F96D597" w14:textId="438171BB" w:rsidR="00EC165B" w:rsidRPr="00E61EC7" w:rsidRDefault="002A2C48" w:rsidP="00C76523">
      <w:pPr>
        <w:pStyle w:val="ListBullet"/>
        <w:numPr>
          <w:ilvl w:val="0"/>
          <w:numId w:val="0"/>
        </w:numPr>
        <w:ind w:left="360"/>
      </w:pPr>
      <w:r w:rsidRPr="00E61EC7">
        <w:t xml:space="preserve">When requested by the TGA, the </w:t>
      </w:r>
      <w:r w:rsidR="00344F6E" w:rsidRPr="00E61EC7">
        <w:t>sponsor</w:t>
      </w:r>
      <w:r w:rsidRPr="00E61EC7">
        <w:t xml:space="preserve"> should be prepared to provide product samples, specified reference materials and documentary evidence to enable the TGA to conduct laboratory testing on the </w:t>
      </w:r>
      <w:r w:rsidR="00A340C8" w:rsidRPr="00E61EC7">
        <w:t>product</w:t>
      </w:r>
      <w:r w:rsidRPr="00E61EC7">
        <w:t xml:space="preserve">. Outcomes of laboratory testing are published biannually in the TGA Database of Laboratory Testing Results </w:t>
      </w:r>
      <w:hyperlink r:id="rId21" w:history="1">
        <w:r w:rsidR="00A340C8" w:rsidRPr="00E61EC7">
          <w:rPr>
            <w:rStyle w:val="Hyperlink"/>
          </w:rPr>
          <w:t>http://www.tga.gov.au/ws-labs-index</w:t>
        </w:r>
      </w:hyperlink>
      <w:r w:rsidR="00A340C8" w:rsidRPr="00E61EC7">
        <w:t xml:space="preserve"> </w:t>
      </w:r>
      <w:r w:rsidRPr="00E61EC7">
        <w:t>and periodically in testing reports on the TGA website.</w:t>
      </w:r>
    </w:p>
    <w:p w14:paraId="588D10E4" w14:textId="77777777" w:rsidR="00EC165B" w:rsidRPr="00E61EC7" w:rsidRDefault="002A2C48" w:rsidP="00C76523">
      <w:pPr>
        <w:pStyle w:val="ListBullet"/>
        <w:rPr>
          <w:lang w:eastAsia="ja-JP"/>
        </w:rPr>
      </w:pPr>
      <w:r w:rsidRPr="00E61EC7">
        <w:rPr>
          <w:lang w:eastAsia="ja-JP"/>
        </w:rPr>
        <w:t>Certified Product Details</w:t>
      </w:r>
    </w:p>
    <w:p w14:paraId="4A9F9D0D" w14:textId="57F4F5B0" w:rsidR="00EC165B" w:rsidRPr="00E61EC7" w:rsidRDefault="002A2C48" w:rsidP="00C76523">
      <w:pPr>
        <w:pStyle w:val="ListBullet"/>
        <w:numPr>
          <w:ilvl w:val="0"/>
          <w:numId w:val="0"/>
        </w:numPr>
        <w:ind w:left="360"/>
      </w:pPr>
      <w:r w:rsidRPr="00E61EC7">
        <w:rPr>
          <w:lang w:eastAsia="ja-JP"/>
        </w:rPr>
        <w:lastRenderedPageBreak/>
        <w:t xml:space="preserve">The Certified Product Details (CPD), as described in Guidance 7: Certified Product Details of the Australian Regulatory Guidelines for Prescription Medicines (ARGPM) </w:t>
      </w:r>
      <w:hyperlink r:id="rId22" w:history="1">
        <w:r w:rsidR="00A340C8" w:rsidRPr="00E61EC7">
          <w:rPr>
            <w:rStyle w:val="Hyperlink"/>
            <w:lang w:eastAsia="ja-JP"/>
          </w:rPr>
          <w:t>http://www.tga.gov.au/industry/pm-argpm-guidance-7.htm</w:t>
        </w:r>
      </w:hyperlink>
      <w:r w:rsidRPr="00E61EC7">
        <w:rPr>
          <w:lang w:eastAsia="ja-JP"/>
        </w:rPr>
        <w:t xml:space="preserve">, in </w:t>
      </w:r>
      <w:r w:rsidR="00306183" w:rsidRPr="00E61EC7">
        <w:rPr>
          <w:lang w:eastAsia="ja-JP"/>
        </w:rPr>
        <w:t>Portable Document Format (</w:t>
      </w:r>
      <w:r w:rsidRPr="00E61EC7">
        <w:rPr>
          <w:lang w:eastAsia="ja-JP"/>
        </w:rPr>
        <w:t>PDF</w:t>
      </w:r>
      <w:r w:rsidR="00306183" w:rsidRPr="00E61EC7">
        <w:rPr>
          <w:lang w:eastAsia="ja-JP"/>
        </w:rPr>
        <w:t>)</w:t>
      </w:r>
      <w:r w:rsidRPr="00E61EC7">
        <w:rPr>
          <w:lang w:eastAsia="ja-JP"/>
        </w:rPr>
        <w:t>, for the above products should be provided upon registration of these therapeutic goods. In addition, an updated CPD should be provided when changes to finished product specifications and test methods are approved in a Category 3</w:t>
      </w:r>
      <w:r w:rsidR="00306183" w:rsidRPr="00E61EC7">
        <w:rPr>
          <w:lang w:eastAsia="ja-JP"/>
        </w:rPr>
        <w:t>;</w:t>
      </w:r>
      <w:r>
        <w:rPr>
          <w:rStyle w:val="FootnoteReference"/>
          <w:lang w:eastAsia="ja-JP"/>
        </w:rPr>
        <w:footnoteReference w:id="6"/>
      </w:r>
      <w:r w:rsidRPr="00E61EC7">
        <w:rPr>
          <w:lang w:eastAsia="ja-JP"/>
        </w:rPr>
        <w:t xml:space="preserve"> application or notified through a self-assessable change.</w:t>
      </w:r>
    </w:p>
    <w:p w14:paraId="7852E607" w14:textId="77777777" w:rsidR="008E7846" w:rsidRPr="00E61EC7" w:rsidRDefault="002A2C48" w:rsidP="008E7846">
      <w:pPr>
        <w:pStyle w:val="Heading3"/>
      </w:pPr>
      <w:bookmarkStart w:id="44" w:name="_Toc314842512"/>
      <w:bookmarkStart w:id="45" w:name="_Toc129701775"/>
      <w:r w:rsidRPr="00E61EC7">
        <w:t>Nonclinical</w:t>
      </w:r>
      <w:bookmarkEnd w:id="44"/>
      <w:bookmarkEnd w:id="45"/>
    </w:p>
    <w:p w14:paraId="56D087BD" w14:textId="105E5E58" w:rsidR="00EC165B" w:rsidRPr="00E61EC7" w:rsidRDefault="002A2C48" w:rsidP="00C76523">
      <w:r w:rsidRPr="00E61EC7">
        <w:t xml:space="preserve">The submitted </w:t>
      </w:r>
      <w:r w:rsidR="00A340C8" w:rsidRPr="00E61EC7">
        <w:t>nonclinical</w:t>
      </w:r>
      <w:r w:rsidRPr="00E61EC7">
        <w:t xml:space="preserve"> dossier was in accordance with the relevant </w:t>
      </w:r>
      <w:r w:rsidR="009F6CA9" w:rsidRPr="00E61EC7">
        <w:t>TGA-adopted guideline</w:t>
      </w:r>
      <w:r w:rsidRPr="00E61EC7">
        <w:t>.</w:t>
      </w:r>
      <w:r>
        <w:rPr>
          <w:rStyle w:val="FootnoteReference"/>
        </w:rPr>
        <w:footnoteReference w:id="7"/>
      </w:r>
      <w:r w:rsidRPr="00E61EC7">
        <w:t xml:space="preserve"> The overall quality of the nonclinical dossier was satisfactory. Pivotal safety</w:t>
      </w:r>
      <w:r w:rsidR="009F6CA9" w:rsidRPr="00E61EC7">
        <w:noBreakHyphen/>
      </w:r>
      <w:r w:rsidRPr="00E61EC7">
        <w:t xml:space="preserve">related studies were </w:t>
      </w:r>
      <w:r w:rsidR="00306183" w:rsidRPr="00E61EC7">
        <w:t>Good Laboratory Practice;</w:t>
      </w:r>
      <w:r>
        <w:rPr>
          <w:rStyle w:val="FootnoteReference"/>
        </w:rPr>
        <w:footnoteReference w:id="8"/>
      </w:r>
      <w:r w:rsidRPr="00E61EC7">
        <w:t xml:space="preserve"> compliant.</w:t>
      </w:r>
    </w:p>
    <w:p w14:paraId="18F451CD" w14:textId="1D631701" w:rsidR="00EC165B" w:rsidRPr="00E61EC7" w:rsidRDefault="002A2C48" w:rsidP="00C76523">
      <w:r w:rsidRPr="00E61EC7">
        <w:rPr>
          <w:i/>
          <w:iCs/>
        </w:rPr>
        <w:t>In vitro</w:t>
      </w:r>
      <w:r w:rsidRPr="00E61EC7">
        <w:t xml:space="preserve">, </w:t>
      </w:r>
      <w:proofErr w:type="spellStart"/>
      <w:r w:rsidRPr="00E61EC7">
        <w:t>faricimab</w:t>
      </w:r>
      <w:proofErr w:type="spellEnd"/>
      <w:r w:rsidRPr="00E61EC7">
        <w:t xml:space="preserve"> bound to </w:t>
      </w:r>
      <w:r w:rsidR="0039584C" w:rsidRPr="00E61EC7">
        <w:t>vascular endothelial growth factor A (</w:t>
      </w:r>
      <w:r w:rsidRPr="00E61EC7">
        <w:t>VEGF-A</w:t>
      </w:r>
      <w:r w:rsidR="0039584C" w:rsidRPr="00E61EC7">
        <w:t>)</w:t>
      </w:r>
      <w:r w:rsidRPr="00E61EC7">
        <w:t xml:space="preserve"> and </w:t>
      </w:r>
      <w:r w:rsidR="005C538E" w:rsidRPr="00E61EC7">
        <w:t>angiopoietin-2 (</w:t>
      </w:r>
      <w:r w:rsidRPr="00E61EC7">
        <w:t>Ang</w:t>
      </w:r>
      <w:r w:rsidR="00CC16D0" w:rsidRPr="00E61EC7">
        <w:t>-</w:t>
      </w:r>
      <w:r w:rsidRPr="00E61EC7">
        <w:t>2</w:t>
      </w:r>
      <w:r w:rsidR="005C538E" w:rsidRPr="00E61EC7">
        <w:t>)</w:t>
      </w:r>
      <w:r w:rsidRPr="00E61EC7">
        <w:t xml:space="preserve"> with nanomolar affinity (binding to VEGF-A was comparable to anti-VEGF antibody ranibizumab). </w:t>
      </w:r>
      <w:proofErr w:type="spellStart"/>
      <w:r w:rsidRPr="00E61EC7">
        <w:t>Faricimab</w:t>
      </w:r>
      <w:proofErr w:type="spellEnd"/>
      <w:r w:rsidRPr="00E61EC7">
        <w:t xml:space="preserve"> had no affinity for </w:t>
      </w:r>
      <w:r w:rsidR="00306183" w:rsidRPr="00E61EC7">
        <w:t>fragment crystallisable gamma receptors (</w:t>
      </w:r>
      <w:proofErr w:type="spellStart"/>
      <w:r w:rsidRPr="00E61EC7">
        <w:t>FcγRs</w:t>
      </w:r>
      <w:proofErr w:type="spellEnd"/>
      <w:r w:rsidR="00306183" w:rsidRPr="00E61EC7">
        <w:t>)</w:t>
      </w:r>
      <w:r w:rsidRPr="00E61EC7">
        <w:t xml:space="preserve"> or </w:t>
      </w:r>
      <w:r w:rsidR="00306183" w:rsidRPr="00E61EC7">
        <w:t>neonatal fragment crystallisable receptor (</w:t>
      </w:r>
      <w:proofErr w:type="spellStart"/>
      <w:r w:rsidRPr="00E61EC7">
        <w:t>FcRn</w:t>
      </w:r>
      <w:proofErr w:type="spellEnd"/>
      <w:r w:rsidR="00306183" w:rsidRPr="00E61EC7">
        <w:t>)</w:t>
      </w:r>
      <w:r w:rsidRPr="00E61EC7">
        <w:t xml:space="preserve">. In a </w:t>
      </w:r>
      <w:r w:rsidR="00A340C8" w:rsidRPr="00E61EC7">
        <w:t xml:space="preserve">cynomolgus monkey </w:t>
      </w:r>
      <w:r w:rsidRPr="00E61EC7">
        <w:t xml:space="preserve">model of </w:t>
      </w:r>
      <w:r w:rsidR="00306183" w:rsidRPr="00E61EC7">
        <w:t>neovascular age-related macular degeneration (</w:t>
      </w:r>
      <w:proofErr w:type="spellStart"/>
      <w:r w:rsidRPr="00E61EC7">
        <w:t>nAMD</w:t>
      </w:r>
      <w:proofErr w:type="spellEnd"/>
      <w:r w:rsidR="00306183" w:rsidRPr="00E61EC7">
        <w:t>)</w:t>
      </w:r>
      <w:r w:rsidRPr="00E61EC7">
        <w:t xml:space="preserve">, </w:t>
      </w:r>
      <w:proofErr w:type="spellStart"/>
      <w:r w:rsidRPr="00E61EC7">
        <w:t>faricimab</w:t>
      </w:r>
      <w:proofErr w:type="spellEnd"/>
      <w:r w:rsidRPr="00E61EC7">
        <w:t xml:space="preserve"> reduced the severity of laser</w:t>
      </w:r>
      <w:r w:rsidR="00CC16D0" w:rsidRPr="00E61EC7">
        <w:noBreakHyphen/>
      </w:r>
      <w:r w:rsidRPr="00E61EC7">
        <w:t>induced choroidal neovascularisation lesions to levels that were comparable to ranibizumab, providing nonclinical demonstration of efficacy for the proposed clinical indications.</w:t>
      </w:r>
    </w:p>
    <w:p w14:paraId="6FF2EDC7" w14:textId="56613639" w:rsidR="00EC165B" w:rsidRPr="00E61EC7" w:rsidRDefault="002A2C48" w:rsidP="00C76523">
      <w:proofErr w:type="spellStart"/>
      <w:r w:rsidRPr="00E61EC7">
        <w:t>Faricimab</w:t>
      </w:r>
      <w:proofErr w:type="spellEnd"/>
      <w:r w:rsidRPr="00E61EC7">
        <w:t xml:space="preserve">-positive staining correlated with cells associated with vascularisation and function, with high cytoplasmic staining in vascular endothelial cells, reticular cells, haematopoietic cells, mononuclear </w:t>
      </w:r>
      <w:proofErr w:type="gramStart"/>
      <w:r w:rsidRPr="00E61EC7">
        <w:t>leukocytes</w:t>
      </w:r>
      <w:proofErr w:type="gramEnd"/>
      <w:r w:rsidRPr="00E61EC7">
        <w:t xml:space="preserve"> and vascular smooth muscle. </w:t>
      </w:r>
      <w:proofErr w:type="spellStart"/>
      <w:r w:rsidRPr="00E61EC7">
        <w:t>Faricimab</w:t>
      </w:r>
      <w:proofErr w:type="spellEnd"/>
      <w:r w:rsidRPr="00E61EC7">
        <w:t xml:space="preserve"> is not expected to induce complement</w:t>
      </w:r>
      <w:r w:rsidR="00CC16D0" w:rsidRPr="00E61EC7">
        <w:t>-</w:t>
      </w:r>
      <w:r w:rsidRPr="00E61EC7">
        <w:t>dependent cytotoxicity or antibody</w:t>
      </w:r>
      <w:r w:rsidR="00CC16D0" w:rsidRPr="00E61EC7">
        <w:t>-</w:t>
      </w:r>
      <w:r w:rsidRPr="00E61EC7">
        <w:t xml:space="preserve">dependent cellular cytotoxicity due to modifications made to its </w:t>
      </w:r>
      <w:r w:rsidR="00306183" w:rsidRPr="00E61EC7">
        <w:t>fragment crystallisable (</w:t>
      </w:r>
      <w:r w:rsidRPr="00E61EC7">
        <w:t>Fc</w:t>
      </w:r>
      <w:r w:rsidR="00306183" w:rsidRPr="00E61EC7">
        <w:t>)</w:t>
      </w:r>
      <w:r w:rsidRPr="00E61EC7">
        <w:t>-region that reduces its affinity for Fc</w:t>
      </w:r>
      <w:r w:rsidR="00CC16D0" w:rsidRPr="00E61EC7">
        <w:noBreakHyphen/>
      </w:r>
      <w:r w:rsidRPr="00E61EC7">
        <w:t>receptors.</w:t>
      </w:r>
    </w:p>
    <w:p w14:paraId="5598CFFF" w14:textId="3DBBF6A4" w:rsidR="00EC165B" w:rsidRPr="00E61EC7" w:rsidRDefault="002A2C48" w:rsidP="00C76523">
      <w:r w:rsidRPr="00E61EC7">
        <w:t>Examination of safety pharmacology (incorporated into general repeat</w:t>
      </w:r>
      <w:r w:rsidR="00CC16D0" w:rsidRPr="00E61EC7">
        <w:t xml:space="preserve"> </w:t>
      </w:r>
      <w:r w:rsidRPr="00E61EC7">
        <w:t xml:space="preserve">dose toxicity studies) did not reveal any effects of </w:t>
      </w:r>
      <w:proofErr w:type="spellStart"/>
      <w:r w:rsidRPr="00E61EC7">
        <w:t>faricimab</w:t>
      </w:r>
      <w:proofErr w:type="spellEnd"/>
      <w:r w:rsidRPr="00E61EC7">
        <w:t xml:space="preserve"> on </w:t>
      </w:r>
      <w:r w:rsidR="00CC16D0" w:rsidRPr="00E61EC7">
        <w:t xml:space="preserve">central nervous system </w:t>
      </w:r>
      <w:r w:rsidRPr="00E61EC7">
        <w:t xml:space="preserve">or respiratory function, or on </w:t>
      </w:r>
      <w:r w:rsidR="00CC16D0" w:rsidRPr="00E61EC7">
        <w:t>electrocardiogram</w:t>
      </w:r>
      <w:r w:rsidRPr="00E61EC7">
        <w:t xml:space="preserve"> in monkeys dosed by either the intravitreal or intravenous route.</w:t>
      </w:r>
    </w:p>
    <w:p w14:paraId="62704845" w14:textId="7E241568" w:rsidR="00EC165B" w:rsidRPr="00E61EC7" w:rsidRDefault="002A2C48" w:rsidP="00C76523">
      <w:r w:rsidRPr="00E61EC7">
        <w:t>The pharmacokinetics</w:t>
      </w:r>
      <w:r w:rsidR="00306183" w:rsidRPr="00E61EC7">
        <w:t xml:space="preserve"> (PK)</w:t>
      </w:r>
      <w:r w:rsidRPr="00E61EC7">
        <w:t xml:space="preserve"> of </w:t>
      </w:r>
      <w:proofErr w:type="spellStart"/>
      <w:r w:rsidRPr="00E61EC7">
        <w:t>faricimab</w:t>
      </w:r>
      <w:proofErr w:type="spellEnd"/>
      <w:r w:rsidRPr="00E61EC7">
        <w:t xml:space="preserve"> in monkeys and human subjects was generally consistent with the protein nature of the drug</w:t>
      </w:r>
      <w:r w:rsidR="00CC16D0" w:rsidRPr="00E61EC7">
        <w:t xml:space="preserve"> (</w:t>
      </w:r>
      <w:r w:rsidRPr="00E61EC7">
        <w:t>long half-lives and limited distribution</w:t>
      </w:r>
      <w:r w:rsidR="00CC16D0" w:rsidRPr="00E61EC7">
        <w:t>)</w:t>
      </w:r>
      <w:r w:rsidRPr="00E61EC7">
        <w:t xml:space="preserve">. The long half-life of </w:t>
      </w:r>
      <w:proofErr w:type="spellStart"/>
      <w:r w:rsidRPr="00E61EC7">
        <w:t>faricimab</w:t>
      </w:r>
      <w:proofErr w:type="spellEnd"/>
      <w:r w:rsidRPr="00E61EC7">
        <w:t xml:space="preserve"> is a function of slow distribution from the vitreous humour into the systemic circulation, where it then undergoes elimination through normal protein degradation pathways for </w:t>
      </w:r>
      <w:r w:rsidR="00F86CD2" w:rsidRPr="00E61EC7">
        <w:t>immunoglobulin G (</w:t>
      </w:r>
      <w:r w:rsidRPr="00E61EC7">
        <w:t>IgG</w:t>
      </w:r>
      <w:r w:rsidR="00F86CD2" w:rsidRPr="00E61EC7">
        <w:t>)</w:t>
      </w:r>
      <w:r w:rsidRPr="00E61EC7">
        <w:t xml:space="preserve"> molecules.</w:t>
      </w:r>
    </w:p>
    <w:p w14:paraId="089168B8" w14:textId="35C85A83" w:rsidR="00EC165B" w:rsidRPr="00E61EC7" w:rsidRDefault="002A2C48" w:rsidP="00C76523">
      <w:proofErr w:type="spellStart"/>
      <w:r w:rsidRPr="00E61EC7">
        <w:t>Faricimab</w:t>
      </w:r>
      <w:proofErr w:type="spellEnd"/>
      <w:r w:rsidR="001D19C5">
        <w:t xml:space="preserve"> </w:t>
      </w:r>
      <w:r w:rsidR="00923693">
        <w:t xml:space="preserve">showed a low </w:t>
      </w:r>
      <w:r w:rsidR="00FC6582">
        <w:t>order</w:t>
      </w:r>
      <w:r w:rsidR="00923693">
        <w:t xml:space="preserve"> of acute toxicity </w:t>
      </w:r>
      <w:r w:rsidRPr="00E61EC7">
        <w:t xml:space="preserve">in monkeys with either the </w:t>
      </w:r>
      <w:r w:rsidR="00CC16D0" w:rsidRPr="00E61EC7">
        <w:t>intravenous</w:t>
      </w:r>
      <w:r w:rsidRPr="00E61EC7">
        <w:t xml:space="preserve"> route or the clinical route (intravitreal route).</w:t>
      </w:r>
    </w:p>
    <w:p w14:paraId="4D6B12AA" w14:textId="1BE9E3AB" w:rsidR="00EC165B" w:rsidRPr="00E61EC7" w:rsidRDefault="002A2C48" w:rsidP="00C76523">
      <w:r w:rsidRPr="00E61EC7">
        <w:t xml:space="preserve">Repeat dose toxicity studies using the clinical route (intravitreal dosing) were conducted in </w:t>
      </w:r>
      <w:r w:rsidR="00CC16D0" w:rsidRPr="00E61EC7">
        <w:t xml:space="preserve">cynomolgus </w:t>
      </w:r>
      <w:r w:rsidRPr="00E61EC7">
        <w:t xml:space="preserve">monkeys (up to 26 weeks). Severe inflammation in rabbit caused by development of </w:t>
      </w:r>
      <w:r w:rsidR="00B0762E" w:rsidRPr="00E61EC7">
        <w:t>anti-drug antibody (</w:t>
      </w:r>
      <w:r w:rsidRPr="00E61EC7">
        <w:t>ADA</w:t>
      </w:r>
      <w:r w:rsidR="00B0762E" w:rsidRPr="00E61EC7">
        <w:t>)</w:t>
      </w:r>
      <w:r w:rsidRPr="00E61EC7">
        <w:t xml:space="preserve">-related immune complexes, precluded their further use for toxicity assessments. Monkeys had better tolerability to </w:t>
      </w:r>
      <w:proofErr w:type="spellStart"/>
      <w:r w:rsidRPr="00E61EC7">
        <w:t>faricimab</w:t>
      </w:r>
      <w:proofErr w:type="spellEnd"/>
      <w:r w:rsidRPr="00E61EC7">
        <w:t xml:space="preserve"> and achieved systemic exposures that achieved sufficiently high multiples of clinical </w:t>
      </w:r>
      <w:r w:rsidRPr="00E61EC7">
        <w:lastRenderedPageBreak/>
        <w:t xml:space="preserve">exposures. </w:t>
      </w:r>
      <w:proofErr w:type="spellStart"/>
      <w:r w:rsidRPr="00E61EC7">
        <w:t>Vitreal</w:t>
      </w:r>
      <w:proofErr w:type="spellEnd"/>
      <w:r w:rsidRPr="00E61EC7">
        <w:t xml:space="preserve"> concentrations of </w:t>
      </w:r>
      <w:proofErr w:type="spellStart"/>
      <w:r w:rsidRPr="00E61EC7">
        <w:t>faricimab</w:t>
      </w:r>
      <w:proofErr w:type="spellEnd"/>
      <w:r w:rsidRPr="00E61EC7">
        <w:t xml:space="preserve"> achieved in monkeys were </w:t>
      </w:r>
      <w:proofErr w:type="gramStart"/>
      <w:r w:rsidRPr="00E61EC7">
        <w:t>similar to</w:t>
      </w:r>
      <w:proofErr w:type="gramEnd"/>
      <w:r w:rsidRPr="00E61EC7">
        <w:t xml:space="preserve"> those proposed for patients. </w:t>
      </w:r>
      <w:r w:rsidR="00923693">
        <w:t>I</w:t>
      </w:r>
      <w:r w:rsidRPr="00E61EC7">
        <w:t>mmune-mediated ocular inflammation</w:t>
      </w:r>
      <w:r w:rsidR="00923693">
        <w:t xml:space="preserve"> of dose</w:t>
      </w:r>
      <w:r w:rsidR="003A3E05">
        <w:t>-</w:t>
      </w:r>
      <w:r w:rsidR="00923693">
        <w:t>dependent severity was</w:t>
      </w:r>
      <w:r w:rsidR="002C76F5">
        <w:t xml:space="preserve"> </w:t>
      </w:r>
      <w:r w:rsidRPr="00E61EC7">
        <w:t>seen in most treated</w:t>
      </w:r>
      <w:r w:rsidR="002C76F5">
        <w:t xml:space="preserve"> animals</w:t>
      </w:r>
      <w:r w:rsidR="00D661BF">
        <w:t>.</w:t>
      </w:r>
      <w:r w:rsidR="00923693">
        <w:t xml:space="preserve"> F</w:t>
      </w:r>
      <w:r w:rsidRPr="00E61EC7">
        <w:t xml:space="preserve">ew ocular findings of note in recovery groups. Consistent with relatively low systemic exposures and faster systemic clearance, there was </w:t>
      </w:r>
      <w:r w:rsidR="00923693">
        <w:t>little</w:t>
      </w:r>
      <w:r w:rsidR="00D661BF">
        <w:t xml:space="preserve"> </w:t>
      </w:r>
      <w:r w:rsidRPr="00E61EC7">
        <w:t>evidence of systemic toxicities by either the intravitreal or the intravenous route.</w:t>
      </w:r>
    </w:p>
    <w:p w14:paraId="1FB7E9F6" w14:textId="0E840915" w:rsidR="00EC165B" w:rsidRPr="00E61EC7" w:rsidRDefault="002A2C48" w:rsidP="00C76523">
      <w:r w:rsidRPr="00E61EC7">
        <w:t>No genotoxicity studies were conducted. Given the protein nature of the drug this is acceptable. No carcinogenicity studies were conducted. There was no evidence of proliferative lesions in the repeat</w:t>
      </w:r>
      <w:r w:rsidR="00CC16D0" w:rsidRPr="00E61EC7">
        <w:t xml:space="preserve"> </w:t>
      </w:r>
      <w:r w:rsidRPr="00E61EC7">
        <w:t>dose toxicity study.</w:t>
      </w:r>
    </w:p>
    <w:p w14:paraId="6D9752EA" w14:textId="17783E9A" w:rsidR="00EC165B" w:rsidRPr="00E61EC7" w:rsidRDefault="002A2C48" w:rsidP="00C76523">
      <w:r w:rsidRPr="00E61EC7">
        <w:t xml:space="preserve">Effects of </w:t>
      </w:r>
      <w:proofErr w:type="spellStart"/>
      <w:r w:rsidRPr="00E61EC7">
        <w:t>faricimab</w:t>
      </w:r>
      <w:proofErr w:type="spellEnd"/>
      <w:r w:rsidRPr="00E61EC7">
        <w:t xml:space="preserve"> on reproduction function and development were assessed in monkeys, as the responsive species, and based on observations from repeat dose toxicity studies and an embryofetal development study. </w:t>
      </w:r>
      <w:proofErr w:type="spellStart"/>
      <w:r w:rsidRPr="00E61EC7">
        <w:t>Faricimab</w:t>
      </w:r>
      <w:proofErr w:type="spellEnd"/>
      <w:r w:rsidRPr="00E61EC7">
        <w:t xml:space="preserve"> did not induce any changes in male and female reproductive organs that would indicate adverse effects on fertility. No treatment</w:t>
      </w:r>
      <w:r w:rsidR="00CC16D0" w:rsidRPr="00E61EC7">
        <w:noBreakHyphen/>
      </w:r>
      <w:r w:rsidRPr="00E61EC7">
        <w:t xml:space="preserve">related effects on embryofetal development were observed in monkeys that were dosed intravenously. Whilst maternal systemic exposures were sufficiently high (based on comparisons to clinical </w:t>
      </w:r>
      <w:r w:rsidR="006C157D" w:rsidRPr="00E61EC7">
        <w:t>maximum concentration (</w:t>
      </w:r>
      <w:proofErr w:type="spellStart"/>
      <w:r w:rsidRPr="00E61EC7">
        <w:t>C</w:t>
      </w:r>
      <w:r w:rsidRPr="00E61EC7">
        <w:rPr>
          <w:vertAlign w:val="subscript"/>
        </w:rPr>
        <w:t>max</w:t>
      </w:r>
      <w:proofErr w:type="spellEnd"/>
      <w:r w:rsidRPr="00E61EC7">
        <w:t>)</w:t>
      </w:r>
      <w:r w:rsidR="006C157D" w:rsidRPr="00E61EC7">
        <w:t>)</w:t>
      </w:r>
      <w:r w:rsidRPr="00E61EC7">
        <w:t xml:space="preserve">, </w:t>
      </w:r>
      <w:proofErr w:type="spellStart"/>
      <w:r w:rsidRPr="00E61EC7">
        <w:t>faricimab</w:t>
      </w:r>
      <w:proofErr w:type="spellEnd"/>
      <w:r w:rsidRPr="00E61EC7">
        <w:t xml:space="preserve"> was below detectable levels in fetal samples, likely due to low affinity of </w:t>
      </w:r>
      <w:proofErr w:type="spellStart"/>
      <w:r w:rsidRPr="00E61EC7">
        <w:t>faricimab</w:t>
      </w:r>
      <w:proofErr w:type="spellEnd"/>
      <w:r w:rsidRPr="00E61EC7">
        <w:t xml:space="preserve"> for </w:t>
      </w:r>
      <w:proofErr w:type="spellStart"/>
      <w:r w:rsidRPr="00E61EC7">
        <w:t>FcRn</w:t>
      </w:r>
      <w:proofErr w:type="spellEnd"/>
      <w:r w:rsidRPr="00E61EC7">
        <w:t xml:space="preserve">, which is required for placental transfer of maternal antibodies to the </w:t>
      </w:r>
      <w:proofErr w:type="spellStart"/>
      <w:r w:rsidRPr="00E61EC7">
        <w:t>fetus</w:t>
      </w:r>
      <w:proofErr w:type="spellEnd"/>
      <w:r w:rsidRPr="00E61EC7">
        <w:t xml:space="preserve">. As an anti-VEGF, anti-angiogenic agent, </w:t>
      </w:r>
      <w:proofErr w:type="spellStart"/>
      <w:r w:rsidRPr="00E61EC7">
        <w:t>faricimab</w:t>
      </w:r>
      <w:proofErr w:type="spellEnd"/>
      <w:r w:rsidRPr="00E61EC7">
        <w:t xml:space="preserve"> may be potentially teratogenic.</w:t>
      </w:r>
      <w:r w:rsidR="003A3E05">
        <w:t xml:space="preserve"> See discussion of pregnancy category under the </w:t>
      </w:r>
      <w:r w:rsidR="00D661BF">
        <w:t>n</w:t>
      </w:r>
      <w:r w:rsidR="003A3E05" w:rsidRPr="00D661BF">
        <w:t>onclinical</w:t>
      </w:r>
      <w:r w:rsidR="003A3E05" w:rsidRPr="00D661BF">
        <w:rPr>
          <w:i/>
          <w:iCs/>
        </w:rPr>
        <w:t xml:space="preserve"> </w:t>
      </w:r>
      <w:r w:rsidR="00D661BF">
        <w:rPr>
          <w:i/>
          <w:iCs/>
        </w:rPr>
        <w:t>C</w:t>
      </w:r>
      <w:r w:rsidR="003A3E05" w:rsidRPr="00D661BF">
        <w:rPr>
          <w:i/>
          <w:iCs/>
        </w:rPr>
        <w:t>onclusion</w:t>
      </w:r>
      <w:r w:rsidR="00D661BF">
        <w:rPr>
          <w:i/>
          <w:iCs/>
        </w:rPr>
        <w:t>s</w:t>
      </w:r>
      <w:r w:rsidR="003A3E05" w:rsidRPr="00D661BF">
        <w:rPr>
          <w:i/>
          <w:iCs/>
        </w:rPr>
        <w:t xml:space="preserve"> and </w:t>
      </w:r>
      <w:r w:rsidR="00D661BF">
        <w:rPr>
          <w:i/>
          <w:iCs/>
        </w:rPr>
        <w:t>R</w:t>
      </w:r>
      <w:r w:rsidR="003A3E05" w:rsidRPr="00D661BF">
        <w:rPr>
          <w:i/>
          <w:iCs/>
        </w:rPr>
        <w:t>ecommendations</w:t>
      </w:r>
      <w:r w:rsidR="00D661BF">
        <w:rPr>
          <w:i/>
          <w:iCs/>
        </w:rPr>
        <w:t xml:space="preserve"> </w:t>
      </w:r>
      <w:r w:rsidR="00D661BF" w:rsidRPr="00D661BF">
        <w:t>section</w:t>
      </w:r>
      <w:r w:rsidR="003A3E05">
        <w:t>, below.</w:t>
      </w:r>
    </w:p>
    <w:p w14:paraId="6154BEF6" w14:textId="4ACD166C" w:rsidR="00EC165B" w:rsidRPr="00E61EC7" w:rsidRDefault="002A2C48" w:rsidP="00C76523">
      <w:proofErr w:type="spellStart"/>
      <w:r w:rsidRPr="00E61EC7">
        <w:t>Faricimab</w:t>
      </w:r>
      <w:proofErr w:type="spellEnd"/>
      <w:r w:rsidR="00CC16D0" w:rsidRPr="00E61EC7">
        <w:t>-</w:t>
      </w:r>
      <w:r w:rsidRPr="00E61EC7">
        <w:t>induced immunogenicity in monkeys (as well as rabbits in the 2</w:t>
      </w:r>
      <w:r w:rsidR="00CC16D0" w:rsidRPr="00E61EC7">
        <w:noBreakHyphen/>
      </w:r>
      <w:r w:rsidRPr="00E61EC7">
        <w:t>week tolerance study) had a variable influence on local and systemic exposures. Although inflammation observed in the animal studies was ascribed to ADA-mediated, immune</w:t>
      </w:r>
      <w:r w:rsidR="00CC16D0" w:rsidRPr="00E61EC7">
        <w:noBreakHyphen/>
      </w:r>
      <w:r w:rsidRPr="00E61EC7">
        <w:t xml:space="preserve">related responses with low relevance to patients, </w:t>
      </w:r>
      <w:r w:rsidR="007D085F" w:rsidRPr="00E61EC7">
        <w:t>intraocular inflammation</w:t>
      </w:r>
      <w:r w:rsidRPr="00E61EC7">
        <w:t xml:space="preserve"> is an identified risk in the </w:t>
      </w:r>
      <w:r w:rsidR="009F6CA9" w:rsidRPr="00E61EC7">
        <w:t>risk management plan (</w:t>
      </w:r>
      <w:r w:rsidRPr="00E61EC7">
        <w:t>RMP</w:t>
      </w:r>
      <w:r w:rsidR="009F6CA9" w:rsidRPr="00E61EC7">
        <w:t>)</w:t>
      </w:r>
      <w:r w:rsidRPr="00E61EC7">
        <w:t>.</w:t>
      </w:r>
    </w:p>
    <w:p w14:paraId="0B2EC933" w14:textId="77777777" w:rsidR="00EC165B" w:rsidRPr="00E61EC7" w:rsidRDefault="002A2C48" w:rsidP="00C76523">
      <w:pPr>
        <w:pStyle w:val="Heading4"/>
      </w:pPr>
      <w:bookmarkStart w:id="46" w:name="_Toc294861479"/>
      <w:bookmarkStart w:id="47" w:name="_Toc295290862"/>
      <w:bookmarkStart w:id="48" w:name="_Toc84411251"/>
      <w:r w:rsidRPr="00E61EC7">
        <w:t>Conclusions and recommendation</w:t>
      </w:r>
      <w:bookmarkEnd w:id="46"/>
      <w:bookmarkEnd w:id="47"/>
      <w:bookmarkEnd w:id="48"/>
      <w:r w:rsidRPr="00E61EC7">
        <w:t>s</w:t>
      </w:r>
    </w:p>
    <w:p w14:paraId="1CE9573C" w14:textId="54AD31B1" w:rsidR="00EC165B" w:rsidRPr="00E61EC7" w:rsidRDefault="002A2C48" w:rsidP="00C76523">
      <w:r w:rsidRPr="00E61EC7">
        <w:t xml:space="preserve">Primary pharmacology studies demonstrated affinity of </w:t>
      </w:r>
      <w:proofErr w:type="spellStart"/>
      <w:r w:rsidRPr="00E61EC7">
        <w:t>faricimab</w:t>
      </w:r>
      <w:proofErr w:type="spellEnd"/>
      <w:r w:rsidRPr="00E61EC7">
        <w:t xml:space="preserve"> for the intended pharmacological targets, VEGF-A and Ang</w:t>
      </w:r>
      <w:r w:rsidR="00CC16D0" w:rsidRPr="00E61EC7">
        <w:t>-</w:t>
      </w:r>
      <w:r w:rsidRPr="00E61EC7">
        <w:t xml:space="preserve">2, and adequately demonstrated efficacy in an animal model of </w:t>
      </w:r>
      <w:proofErr w:type="spellStart"/>
      <w:r w:rsidRPr="00E61EC7">
        <w:t>nAMD</w:t>
      </w:r>
      <w:proofErr w:type="spellEnd"/>
      <w:r w:rsidRPr="00E61EC7">
        <w:t>.</w:t>
      </w:r>
    </w:p>
    <w:p w14:paraId="3EC46AFE" w14:textId="2CE1C7F5" w:rsidR="00EC165B" w:rsidRPr="00E61EC7" w:rsidRDefault="002A2C48" w:rsidP="00C76523">
      <w:r w:rsidRPr="00E61EC7">
        <w:t>Modification of the Fc</w:t>
      </w:r>
      <w:r w:rsidR="00306183" w:rsidRPr="00E61EC7">
        <w:t>-</w:t>
      </w:r>
      <w:r w:rsidRPr="00E61EC7">
        <w:t xml:space="preserve">region of </w:t>
      </w:r>
      <w:proofErr w:type="spellStart"/>
      <w:r w:rsidRPr="00E61EC7">
        <w:t>faricimab</w:t>
      </w:r>
      <w:proofErr w:type="spellEnd"/>
      <w:r w:rsidRPr="00E61EC7">
        <w:t xml:space="preserve"> reduces interactions with </w:t>
      </w:r>
      <w:proofErr w:type="spellStart"/>
      <w:r w:rsidRPr="00E61EC7">
        <w:t>FcγRI</w:t>
      </w:r>
      <w:proofErr w:type="spellEnd"/>
      <w:r w:rsidRPr="00E61EC7">
        <w:t xml:space="preserve">, </w:t>
      </w:r>
      <w:proofErr w:type="spellStart"/>
      <w:r w:rsidRPr="00E61EC7">
        <w:t>FcγRII</w:t>
      </w:r>
      <w:proofErr w:type="spellEnd"/>
      <w:r w:rsidRPr="00E61EC7">
        <w:t xml:space="preserve">, </w:t>
      </w:r>
      <w:proofErr w:type="spellStart"/>
      <w:r w:rsidRPr="00E61EC7">
        <w:t>FcγRIII</w:t>
      </w:r>
      <w:proofErr w:type="spellEnd"/>
      <w:r w:rsidRPr="00E61EC7">
        <w:t xml:space="preserve"> and </w:t>
      </w:r>
      <w:proofErr w:type="spellStart"/>
      <w:r w:rsidRPr="00E61EC7">
        <w:t>FcRn</w:t>
      </w:r>
      <w:proofErr w:type="spellEnd"/>
      <w:r w:rsidRPr="00E61EC7">
        <w:t xml:space="preserve">, preventing antibody-dependent effector responses such as </w:t>
      </w:r>
      <w:r w:rsidR="00CC16D0" w:rsidRPr="00E61EC7">
        <w:t>antibody-dependent cellular cytotoxicity</w:t>
      </w:r>
      <w:r w:rsidRPr="00E61EC7">
        <w:t xml:space="preserve"> and </w:t>
      </w:r>
      <w:r w:rsidR="00CC16D0" w:rsidRPr="00E61EC7">
        <w:t>complement-dependent cytotoxicity</w:t>
      </w:r>
      <w:r w:rsidRPr="00E61EC7">
        <w:t>.</w:t>
      </w:r>
    </w:p>
    <w:p w14:paraId="10497615" w14:textId="29BDD289" w:rsidR="00EC165B" w:rsidRPr="00E61EC7" w:rsidRDefault="002A2C48" w:rsidP="00C76523">
      <w:proofErr w:type="spellStart"/>
      <w:r w:rsidRPr="00E61EC7">
        <w:t>Faricimab</w:t>
      </w:r>
      <w:proofErr w:type="spellEnd"/>
      <w:r w:rsidRPr="00E61EC7">
        <w:t>-induced ocular inflammation was due to ADA development and immune complex formation and deposition in non-human species exposed to a humanised antibody. This response is unlikely to be relevant to humans.</w:t>
      </w:r>
    </w:p>
    <w:p w14:paraId="6D43B501" w14:textId="77777777" w:rsidR="00EC165B" w:rsidRPr="00E61EC7" w:rsidRDefault="002A2C48" w:rsidP="00C76523">
      <w:pPr>
        <w:pStyle w:val="Heading6"/>
      </w:pPr>
      <w:bookmarkStart w:id="49" w:name="_Pregnancy_category"/>
      <w:bookmarkEnd w:id="49"/>
      <w:r w:rsidRPr="00E61EC7">
        <w:t>Pregnancy category</w:t>
      </w:r>
    </w:p>
    <w:p w14:paraId="5983DC1A" w14:textId="33A3C41D" w:rsidR="00EC165B" w:rsidRPr="00E61EC7" w:rsidRDefault="002A2C48" w:rsidP="00C76523">
      <w:r w:rsidRPr="00E61EC7">
        <w:t xml:space="preserve">The proposed </w:t>
      </w:r>
      <w:r w:rsidR="009F6CA9" w:rsidRPr="00E61EC7">
        <w:t>Pregnancy Category</w:t>
      </w:r>
      <w:r w:rsidRPr="00E61EC7">
        <w:t xml:space="preserve"> </w:t>
      </w:r>
      <w:proofErr w:type="gramStart"/>
      <w:r w:rsidRPr="00E61EC7">
        <w:t>C</w:t>
      </w:r>
      <w:r w:rsidR="009F6CA9" w:rsidRPr="00E61EC7">
        <w:t>;</w:t>
      </w:r>
      <w:proofErr w:type="gramEnd"/>
      <w:r>
        <w:rPr>
          <w:rStyle w:val="FootnoteReference"/>
        </w:rPr>
        <w:footnoteReference w:id="9"/>
      </w:r>
      <w:r w:rsidRPr="00E61EC7">
        <w:t xml:space="preserve"> is not acceptable and should be revised to Category D,</w:t>
      </w:r>
      <w:r>
        <w:rPr>
          <w:rStyle w:val="FootnoteReference"/>
        </w:rPr>
        <w:footnoteReference w:id="10"/>
      </w:r>
      <w:r w:rsidRPr="00E61EC7">
        <w:t xml:space="preserve"> based on mechanism of action as an anti-VEGF, anti-angiogenic agent which is potentially teratogenic.</w:t>
      </w:r>
    </w:p>
    <w:p w14:paraId="329FAB49" w14:textId="5197084D" w:rsidR="00EC165B" w:rsidRPr="00E61EC7" w:rsidRDefault="002A2C48" w:rsidP="00C76523">
      <w:proofErr w:type="spellStart"/>
      <w:r w:rsidRPr="00E61EC7">
        <w:t>Faricimab</w:t>
      </w:r>
      <w:proofErr w:type="spellEnd"/>
      <w:r w:rsidRPr="00E61EC7">
        <w:t xml:space="preserve"> immunogenicity had variable effects on systemic exposures; however, ADA</w:t>
      </w:r>
      <w:r w:rsidR="00215143" w:rsidRPr="00E61EC7">
        <w:noBreakHyphen/>
      </w:r>
      <w:r w:rsidRPr="00E61EC7">
        <w:t xml:space="preserve">mediated development of immune complexes underpinned the ocular inflammation, which was seen in dosed animals. </w:t>
      </w:r>
      <w:r w:rsidR="007D085F" w:rsidRPr="00E61EC7">
        <w:t>Intraocular inflammation</w:t>
      </w:r>
      <w:r w:rsidRPr="00E61EC7">
        <w:t xml:space="preserve"> has been noted in some clinical studies.</w:t>
      </w:r>
    </w:p>
    <w:p w14:paraId="327AE131" w14:textId="40498E74" w:rsidR="00EC165B" w:rsidRPr="00E61EC7" w:rsidRDefault="002A2C48" w:rsidP="00C76523">
      <w:r w:rsidRPr="00E61EC7">
        <w:lastRenderedPageBreak/>
        <w:t>There are no nonclinical objections to</w:t>
      </w:r>
      <w:r w:rsidR="00215143" w:rsidRPr="00E61EC7">
        <w:t xml:space="preserve"> the</w:t>
      </w:r>
      <w:r w:rsidRPr="00E61EC7">
        <w:t xml:space="preserve"> registration, noting that intraocular inflammation was seen in all nonclinical species and has also been observed in patients.</w:t>
      </w:r>
    </w:p>
    <w:p w14:paraId="0EFE3C42" w14:textId="77777777" w:rsidR="008E7846" w:rsidRPr="00E61EC7" w:rsidRDefault="002A2C48" w:rsidP="008E7846">
      <w:pPr>
        <w:pStyle w:val="Heading3"/>
      </w:pPr>
      <w:bookmarkStart w:id="50" w:name="_Toc247691530"/>
      <w:bookmarkStart w:id="51" w:name="_Toc314842513"/>
      <w:bookmarkStart w:id="52" w:name="_Toc129701776"/>
      <w:r w:rsidRPr="00E61EC7">
        <w:t>Clinical</w:t>
      </w:r>
      <w:bookmarkEnd w:id="50"/>
      <w:bookmarkEnd w:id="51"/>
      <w:bookmarkEnd w:id="52"/>
    </w:p>
    <w:p w14:paraId="0755D9F3" w14:textId="77777777" w:rsidR="0074163C" w:rsidRPr="00E61EC7" w:rsidRDefault="002A2C48" w:rsidP="0074163C">
      <w:pPr>
        <w:pStyle w:val="Heading4"/>
      </w:pPr>
      <w:bookmarkStart w:id="53" w:name="_Toc98931928"/>
      <w:r w:rsidRPr="00E61EC7">
        <w:t>Summary of clinical studies</w:t>
      </w:r>
      <w:bookmarkEnd w:id="53"/>
    </w:p>
    <w:p w14:paraId="0396E1C0" w14:textId="77777777" w:rsidR="0074163C" w:rsidRPr="00E61EC7" w:rsidRDefault="002A2C48" w:rsidP="0074163C">
      <w:r w:rsidRPr="00E61EC7">
        <w:t>The clinical dossier consisted of</w:t>
      </w:r>
      <w:r w:rsidR="00EB36D6" w:rsidRPr="00E61EC7">
        <w:t>:</w:t>
      </w:r>
    </w:p>
    <w:p w14:paraId="08559C63" w14:textId="760965E8" w:rsidR="00215143" w:rsidRPr="00E61EC7" w:rsidRDefault="002A2C48" w:rsidP="0097259D">
      <w:pPr>
        <w:pStyle w:val="ListBullet"/>
      </w:pPr>
      <w:r w:rsidRPr="00E61EC7">
        <w:t xml:space="preserve">2 </w:t>
      </w:r>
      <w:r w:rsidR="0074163C" w:rsidRPr="00E61EC7">
        <w:t xml:space="preserve">Phase I </w:t>
      </w:r>
      <w:r w:rsidR="00306183" w:rsidRPr="00E61EC7">
        <w:t xml:space="preserve">pharmacokinetic (PK) </w:t>
      </w:r>
      <w:r w:rsidR="0074163C" w:rsidRPr="00E61EC7">
        <w:t>stud</w:t>
      </w:r>
      <w:r w:rsidRPr="00E61EC7">
        <w:t xml:space="preserve">y: Study BP28936 and Study </w:t>
      </w:r>
      <w:proofErr w:type="gramStart"/>
      <w:r w:rsidRPr="00E61EC7">
        <w:t>JP39844</w:t>
      </w:r>
      <w:r w:rsidR="009F6CA9" w:rsidRPr="00E61EC7">
        <w:t>;</w:t>
      </w:r>
      <w:proofErr w:type="gramEnd"/>
    </w:p>
    <w:p w14:paraId="6B32C9D2" w14:textId="5A685E99" w:rsidR="00215143" w:rsidRPr="00E61EC7" w:rsidRDefault="002A2C48" w:rsidP="0097259D">
      <w:pPr>
        <w:pStyle w:val="ListBullet"/>
      </w:pPr>
      <w:r w:rsidRPr="00E61EC7">
        <w:t>3</w:t>
      </w:r>
      <w:r w:rsidR="0074163C" w:rsidRPr="00E61EC7">
        <w:t xml:space="preserve"> Phase II </w:t>
      </w:r>
      <w:r w:rsidRPr="00E61EC7">
        <w:t xml:space="preserve">supportive </w:t>
      </w:r>
      <w:r w:rsidR="0074163C" w:rsidRPr="00E61EC7">
        <w:t>studies</w:t>
      </w:r>
      <w:r w:rsidRPr="00E61EC7">
        <w:t>:</w:t>
      </w:r>
    </w:p>
    <w:p w14:paraId="20002822" w14:textId="066C96DF" w:rsidR="00215143" w:rsidRPr="00E61EC7" w:rsidRDefault="002A2C48" w:rsidP="00215143">
      <w:pPr>
        <w:pStyle w:val="ListBullet2"/>
      </w:pPr>
      <w:r w:rsidRPr="00E61EC7">
        <w:t>neovascular age-related macular degeneration (</w:t>
      </w:r>
      <w:proofErr w:type="spellStart"/>
      <w:r w:rsidRPr="00E61EC7">
        <w:t>nAMD</w:t>
      </w:r>
      <w:proofErr w:type="spellEnd"/>
      <w:r w:rsidRPr="00E61EC7">
        <w:t>) studies: Study CR39521 (STAIRWAY trial) and Study BP29647 (AVENUE trial),</w:t>
      </w:r>
    </w:p>
    <w:p w14:paraId="3320BE3B" w14:textId="7368F4B8" w:rsidR="0074163C" w:rsidRPr="00E61EC7" w:rsidRDefault="002A2C48" w:rsidP="00215143">
      <w:pPr>
        <w:pStyle w:val="ListBullet2"/>
      </w:pPr>
      <w:r w:rsidRPr="00E61EC7">
        <w:t xml:space="preserve">diabetic </w:t>
      </w:r>
      <w:r w:rsidR="00F86CD2" w:rsidRPr="00E61EC7">
        <w:t>macular oedema (</w:t>
      </w:r>
      <w:r w:rsidR="0039584C" w:rsidRPr="00E61EC7">
        <w:t>DMO</w:t>
      </w:r>
      <w:r w:rsidR="00F86CD2" w:rsidRPr="00E61EC7">
        <w:t>)</w:t>
      </w:r>
      <w:r w:rsidR="00215143" w:rsidRPr="00E61EC7">
        <w:t xml:space="preserve"> study: Study BP30099 (BOULEVARD trial</w:t>
      </w:r>
      <w:proofErr w:type="gramStart"/>
      <w:r w:rsidR="00215143" w:rsidRPr="00E61EC7">
        <w:t>)</w:t>
      </w:r>
      <w:r w:rsidRPr="00E61EC7">
        <w:t>;</w:t>
      </w:r>
      <w:proofErr w:type="gramEnd"/>
    </w:p>
    <w:p w14:paraId="0D4B1FD1" w14:textId="592EA2B8" w:rsidR="00215143" w:rsidRPr="00E61EC7" w:rsidRDefault="002A2C48" w:rsidP="0074163C">
      <w:pPr>
        <w:pStyle w:val="ListBullet"/>
      </w:pPr>
      <w:r w:rsidRPr="00E61EC7">
        <w:t>Phase III efficacy and safety studies:</w:t>
      </w:r>
    </w:p>
    <w:p w14:paraId="0AB7898A" w14:textId="5C5C7E3A" w:rsidR="00215143" w:rsidRPr="00E61EC7" w:rsidRDefault="002A2C48" w:rsidP="00B41B65">
      <w:pPr>
        <w:pStyle w:val="ListBullet2"/>
      </w:pPr>
      <w:proofErr w:type="spellStart"/>
      <w:r w:rsidRPr="00E61EC7">
        <w:t>nAMD</w:t>
      </w:r>
      <w:proofErr w:type="spellEnd"/>
      <w:r w:rsidRPr="00E61EC7">
        <w:t xml:space="preserve"> pivotal studies: Study GR40306 (TENAYA trial) and Study GR40844 (LUCERNE trial)</w:t>
      </w:r>
      <w:r w:rsidR="009F6CA9" w:rsidRPr="00E61EC7">
        <w:t>,</w:t>
      </w:r>
    </w:p>
    <w:p w14:paraId="023A5334" w14:textId="4953FE7F" w:rsidR="00042FC8" w:rsidRDefault="002A2C48" w:rsidP="00B41B65">
      <w:pPr>
        <w:pStyle w:val="ListBullet2"/>
      </w:pPr>
      <w:r w:rsidRPr="00E61EC7">
        <w:t xml:space="preserve">DMO pivotal </w:t>
      </w:r>
      <w:r w:rsidR="00215143" w:rsidRPr="00E61EC7">
        <w:t>s</w:t>
      </w:r>
      <w:r w:rsidRPr="00E61EC7">
        <w:t>tudies</w:t>
      </w:r>
      <w:r w:rsidR="00215143" w:rsidRPr="00E61EC7">
        <w:t>: Study</w:t>
      </w:r>
      <w:r w:rsidRPr="00E61EC7">
        <w:t xml:space="preserve"> GR40349 (YOSEMITE</w:t>
      </w:r>
      <w:r w:rsidR="00215143" w:rsidRPr="00E61EC7">
        <w:t xml:space="preserve"> trial</w:t>
      </w:r>
      <w:r w:rsidRPr="00E61EC7">
        <w:t xml:space="preserve">) </w:t>
      </w:r>
      <w:r w:rsidR="00215143" w:rsidRPr="00E61EC7">
        <w:t>and</w:t>
      </w:r>
      <w:r w:rsidRPr="00E61EC7">
        <w:t xml:space="preserve"> </w:t>
      </w:r>
      <w:r w:rsidR="00215143" w:rsidRPr="00E61EC7">
        <w:t xml:space="preserve">Study </w:t>
      </w:r>
      <w:r w:rsidRPr="00E61EC7">
        <w:t>GR40398 (RHINE</w:t>
      </w:r>
      <w:r w:rsidR="00215143" w:rsidRPr="00E61EC7">
        <w:t xml:space="preserve"> trial</w:t>
      </w:r>
      <w:r w:rsidRPr="00E61EC7">
        <w:t>).</w:t>
      </w:r>
    </w:p>
    <w:p w14:paraId="36571924" w14:textId="53EF8830" w:rsidR="00000353" w:rsidRPr="00E61EC7" w:rsidRDefault="00000353" w:rsidP="00463201">
      <w:pPr>
        <w:pStyle w:val="ListBullet"/>
      </w:pPr>
      <w:r>
        <w:t>In addition, the sponsor submitted one population pharmacokinetic (</w:t>
      </w:r>
      <w:proofErr w:type="spellStart"/>
      <w:r>
        <w:t>popPK</w:t>
      </w:r>
      <w:proofErr w:type="spellEnd"/>
      <w:r>
        <w:t>) analysis of the 9 Phase I, II and III clinical studies.</w:t>
      </w:r>
    </w:p>
    <w:p w14:paraId="71339511" w14:textId="14E4E841" w:rsidR="00042FC8" w:rsidRPr="00E61EC7" w:rsidRDefault="002A2C48" w:rsidP="00042FC8">
      <w:r w:rsidRPr="00E61EC7">
        <w:t>An overview of all</w:t>
      </w:r>
      <w:r w:rsidR="003E5F35" w:rsidRPr="00E61EC7">
        <w:t xml:space="preserve"> clinical</w:t>
      </w:r>
      <w:r w:rsidRPr="00E61EC7">
        <w:t xml:space="preserve"> studies is</w:t>
      </w:r>
      <w:r w:rsidR="003E5F35" w:rsidRPr="00E61EC7">
        <w:t xml:space="preserve"> shown</w:t>
      </w:r>
      <w:r w:rsidRPr="00E61EC7">
        <w:t xml:space="preserve"> in </w:t>
      </w:r>
      <w:r w:rsidR="003E5F35" w:rsidRPr="00E61EC7">
        <w:fldChar w:fldCharType="begin"/>
      </w:r>
      <w:r w:rsidR="003E5F35" w:rsidRPr="00E61EC7">
        <w:instrText xml:space="preserve"> REF _Ref118145581 \h </w:instrText>
      </w:r>
      <w:r w:rsidR="00E0115A" w:rsidRPr="00E61EC7">
        <w:instrText xml:space="preserve"> \* MERGEFORMAT </w:instrText>
      </w:r>
      <w:r w:rsidR="003E5F35" w:rsidRPr="00E61EC7">
        <w:fldChar w:fldCharType="separate"/>
      </w:r>
      <w:r w:rsidR="001E25B5" w:rsidRPr="009136ED">
        <w:t xml:space="preserve">Table </w:t>
      </w:r>
      <w:r w:rsidR="001E25B5">
        <w:rPr>
          <w:noProof/>
        </w:rPr>
        <w:t>3</w:t>
      </w:r>
      <w:r w:rsidR="003E5F35" w:rsidRPr="00E61EC7">
        <w:fldChar w:fldCharType="end"/>
      </w:r>
      <w:r w:rsidR="003E5F35" w:rsidRPr="00E61EC7">
        <w:t xml:space="preserve"> below</w:t>
      </w:r>
      <w:r w:rsidRPr="00E61EC7">
        <w:t>.</w:t>
      </w:r>
    </w:p>
    <w:p w14:paraId="6068CCA6" w14:textId="1B116343" w:rsidR="003E5F35" w:rsidRPr="009136ED" w:rsidRDefault="002A2C48" w:rsidP="009136ED">
      <w:pPr>
        <w:pStyle w:val="TableTitle"/>
      </w:pPr>
      <w:bookmarkStart w:id="54" w:name="_Ref118145581"/>
      <w:r w:rsidRPr="009136ED">
        <w:lastRenderedPageBreak/>
        <w:t xml:space="preserve">Table </w:t>
      </w:r>
      <w:r w:rsidR="00C22604" w:rsidRPr="009136ED">
        <w:fldChar w:fldCharType="begin"/>
      </w:r>
      <w:r w:rsidRPr="009136ED">
        <w:instrText xml:space="preserve"> SEQ Table \* ARABIC </w:instrText>
      </w:r>
      <w:r w:rsidR="00C22604" w:rsidRPr="009136ED">
        <w:fldChar w:fldCharType="separate"/>
      </w:r>
      <w:r w:rsidR="001E25B5">
        <w:rPr>
          <w:noProof/>
        </w:rPr>
        <w:t>3</w:t>
      </w:r>
      <w:r w:rsidR="00C22604" w:rsidRPr="009136ED">
        <w:fldChar w:fldCharType="end"/>
      </w:r>
      <w:bookmarkEnd w:id="54"/>
      <w:r w:rsidRPr="009136ED">
        <w:t>: Overview of clinical studies</w:t>
      </w:r>
    </w:p>
    <w:p w14:paraId="78BF7641" w14:textId="6A56FD3C" w:rsidR="003E5F35" w:rsidRPr="00E61EC7" w:rsidRDefault="002A2C48" w:rsidP="009136ED">
      <w:pPr>
        <w:rPr>
          <w:lang w:eastAsia="ja-JP"/>
        </w:rPr>
      </w:pPr>
      <w:r w:rsidRPr="00E61EC7">
        <w:rPr>
          <w:noProof/>
          <w:lang w:val="en-GB" w:eastAsia="en-GB"/>
        </w:rPr>
        <w:drawing>
          <wp:inline distT="0" distB="0" distL="0" distR="0" wp14:anchorId="4B7B993A" wp14:editId="5FB212B8">
            <wp:extent cx="5400040" cy="5643880"/>
            <wp:effectExtent l="0" t="0" r="0" b="0"/>
            <wp:docPr id="29" name="Picture 29" descr="Table 3: Overview of clinic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 3: Overview of clinical studies"/>
                    <pic:cNvPicPr/>
                  </pic:nvPicPr>
                  <pic:blipFill>
                    <a:blip r:embed="rId23"/>
                    <a:stretch>
                      <a:fillRect/>
                    </a:stretch>
                  </pic:blipFill>
                  <pic:spPr>
                    <a:xfrm>
                      <a:off x="0" y="0"/>
                      <a:ext cx="5400040" cy="5643880"/>
                    </a:xfrm>
                    <a:prstGeom prst="rect">
                      <a:avLst/>
                    </a:prstGeom>
                    <a:ln w="3175">
                      <a:noFill/>
                    </a:ln>
                  </pic:spPr>
                </pic:pic>
              </a:graphicData>
            </a:graphic>
          </wp:inline>
        </w:drawing>
      </w:r>
    </w:p>
    <w:p w14:paraId="263DCDD3" w14:textId="67BA10A7" w:rsidR="00C85C54" w:rsidRPr="009136ED" w:rsidRDefault="002A2C48" w:rsidP="009136ED">
      <w:pPr>
        <w:pStyle w:val="TableTitle"/>
      </w:pPr>
      <w:r w:rsidRPr="009136ED">
        <w:lastRenderedPageBreak/>
        <w:fldChar w:fldCharType="begin"/>
      </w:r>
      <w:r w:rsidRPr="009136ED">
        <w:instrText xml:space="preserve"> REF _Ref118145581 \h  \* MERGEFORMAT </w:instrText>
      </w:r>
      <w:r w:rsidRPr="009136ED">
        <w:fldChar w:fldCharType="separate"/>
      </w:r>
      <w:r w:rsidR="001E25B5" w:rsidRPr="009136ED">
        <w:t xml:space="preserve">Table </w:t>
      </w:r>
      <w:r w:rsidR="001E25B5">
        <w:t>3</w:t>
      </w:r>
      <w:r w:rsidRPr="009136ED">
        <w:fldChar w:fldCharType="end"/>
      </w:r>
      <w:r w:rsidRPr="009136ED">
        <w:t xml:space="preserve"> continued: Overview of clinical studies</w:t>
      </w:r>
    </w:p>
    <w:p w14:paraId="018D39AE" w14:textId="4BEFAA1C" w:rsidR="003E5F35" w:rsidRPr="00E61EC7" w:rsidRDefault="002A2C48" w:rsidP="009136ED">
      <w:pPr>
        <w:rPr>
          <w:lang w:eastAsia="ja-JP"/>
        </w:rPr>
      </w:pPr>
      <w:r w:rsidRPr="00E61EC7">
        <w:rPr>
          <w:noProof/>
          <w:lang w:val="en-GB" w:eastAsia="en-GB"/>
        </w:rPr>
        <w:drawing>
          <wp:inline distT="0" distB="0" distL="0" distR="0" wp14:anchorId="4D851614" wp14:editId="05ACD310">
            <wp:extent cx="5400040" cy="4400550"/>
            <wp:effectExtent l="0" t="0" r="0" b="0"/>
            <wp:docPr id="30" name="Picture 30" descr="Table 3 continued: Overview of clinic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 3 continued: Overview of clinical studies"/>
                    <pic:cNvPicPr/>
                  </pic:nvPicPr>
                  <pic:blipFill>
                    <a:blip r:embed="rId24"/>
                    <a:stretch>
                      <a:fillRect/>
                    </a:stretch>
                  </pic:blipFill>
                  <pic:spPr>
                    <a:xfrm>
                      <a:off x="0" y="0"/>
                      <a:ext cx="5400040" cy="4400550"/>
                    </a:xfrm>
                    <a:prstGeom prst="rect">
                      <a:avLst/>
                    </a:prstGeom>
                  </pic:spPr>
                </pic:pic>
              </a:graphicData>
            </a:graphic>
          </wp:inline>
        </w:drawing>
      </w:r>
    </w:p>
    <w:p w14:paraId="7A5D1E55" w14:textId="56A41F3C" w:rsidR="009F37C3" w:rsidRPr="009136ED" w:rsidRDefault="002A2C48" w:rsidP="009136ED">
      <w:pPr>
        <w:pStyle w:val="TableDescription"/>
      </w:pPr>
      <w:r w:rsidRPr="009136ED">
        <w:t>Abbreviations: CCOD = clinical cut</w:t>
      </w:r>
      <w:r w:rsidR="00C85C54" w:rsidRPr="009136ED">
        <w:t>-</w:t>
      </w:r>
      <w:r w:rsidRPr="009136ED">
        <w:t xml:space="preserve">off date; DME = diabetic macular </w:t>
      </w:r>
      <w:r w:rsidR="000F511C" w:rsidRPr="009136ED">
        <w:t>o</w:t>
      </w:r>
      <w:r w:rsidRPr="009136ED">
        <w:t>edema; ITT = intent</w:t>
      </w:r>
      <w:r w:rsidR="000F511C" w:rsidRPr="009136ED">
        <w:t>-</w:t>
      </w:r>
      <w:r w:rsidRPr="009136ED">
        <w:t>to</w:t>
      </w:r>
      <w:r w:rsidR="000F511C" w:rsidRPr="009136ED">
        <w:t>-</w:t>
      </w:r>
      <w:r w:rsidRPr="009136ED">
        <w:t xml:space="preserve">treat; </w:t>
      </w:r>
      <w:proofErr w:type="spellStart"/>
      <w:r w:rsidRPr="009136ED">
        <w:t>nAMD</w:t>
      </w:r>
      <w:proofErr w:type="spellEnd"/>
      <w:r w:rsidR="000F511C" w:rsidRPr="009136ED">
        <w:t> </w:t>
      </w:r>
      <w:r w:rsidRPr="009136ED">
        <w:t>= neovascular age-related macular degeneration; PD = pharmacodynamic</w:t>
      </w:r>
      <w:r w:rsidR="000F511C" w:rsidRPr="009136ED">
        <w:t>(s)</w:t>
      </w:r>
      <w:r w:rsidRPr="009136ED">
        <w:t>; PK = pharmacokinetic</w:t>
      </w:r>
      <w:r w:rsidR="000F511C" w:rsidRPr="009136ED">
        <w:t>(s)</w:t>
      </w:r>
      <w:r w:rsidRPr="009136ED">
        <w:t xml:space="preserve">; PTI = personalised treatment interval (up to every 16 weeks adjustable dosing in </w:t>
      </w:r>
      <w:r w:rsidR="000F511C" w:rsidRPr="009136ED">
        <w:t>diabetic macular oedema</w:t>
      </w:r>
      <w:r w:rsidRPr="009136ED">
        <w:t>); Q4W = every 4</w:t>
      </w:r>
      <w:r w:rsidR="00C85C54" w:rsidRPr="009136ED">
        <w:t> </w:t>
      </w:r>
      <w:r w:rsidRPr="009136ED">
        <w:t>weeks; Q8W = every 8 weeks; Q12W = every 12 weeks; Q16W</w:t>
      </w:r>
      <w:r w:rsidR="008D45DF" w:rsidRPr="009136ED">
        <w:t> </w:t>
      </w:r>
      <w:r w:rsidRPr="009136ED">
        <w:t xml:space="preserve">= every 16 weeks; </w:t>
      </w:r>
      <w:r w:rsidR="000F511C" w:rsidRPr="009136ED">
        <w:t xml:space="preserve">U.K. = United Kingdom; U.S. = United States; </w:t>
      </w:r>
      <w:r w:rsidRPr="009136ED">
        <w:t>VEGF = vascular endothelial growth factor.</w:t>
      </w:r>
    </w:p>
    <w:p w14:paraId="616199F0" w14:textId="4F51B29B" w:rsidR="009F37C3" w:rsidRPr="009136ED" w:rsidRDefault="002A2C48" w:rsidP="009136ED">
      <w:pPr>
        <w:pStyle w:val="TableDescription"/>
      </w:pPr>
      <w:r w:rsidRPr="009136ED">
        <w:t>a</w:t>
      </w:r>
      <w:r w:rsidR="008D45DF" w:rsidRPr="009136ED">
        <w:t>.</w:t>
      </w:r>
      <w:r w:rsidRPr="009136ED">
        <w:t xml:space="preserve"> The primary endpoint, change from </w:t>
      </w:r>
      <w:r w:rsidR="008D45DF" w:rsidRPr="009136ED">
        <w:t xml:space="preserve">Baseline </w:t>
      </w:r>
      <w:r w:rsidRPr="009136ED">
        <w:t xml:space="preserve">in </w:t>
      </w:r>
      <w:r w:rsidR="008D45DF" w:rsidRPr="009136ED">
        <w:t>best corrected visual acuity (</w:t>
      </w:r>
      <w:r w:rsidRPr="009136ED">
        <w:t>BCVA</w:t>
      </w:r>
      <w:r w:rsidR="008D45DF" w:rsidRPr="009136ED">
        <w:t>)</w:t>
      </w:r>
      <w:r w:rsidRPr="009136ED">
        <w:t>, was averaged over Weeks 40, 44, and 48.</w:t>
      </w:r>
    </w:p>
    <w:p w14:paraId="69038292" w14:textId="39A8B2F9" w:rsidR="009F37C3" w:rsidRPr="009136ED" w:rsidRDefault="002A2C48" w:rsidP="009136ED">
      <w:pPr>
        <w:pStyle w:val="TableDescription"/>
      </w:pPr>
      <w:r w:rsidRPr="009136ED">
        <w:t>b</w:t>
      </w:r>
      <w:r w:rsidR="008D45DF" w:rsidRPr="009136ED">
        <w:t>.</w:t>
      </w:r>
      <w:r w:rsidRPr="009136ED">
        <w:t xml:space="preserve"> Study drug dosing for patients on the PTI is extended, </w:t>
      </w:r>
      <w:r w:rsidR="008D45DF" w:rsidRPr="009136ED">
        <w:t>reduced,</w:t>
      </w:r>
      <w:r w:rsidRPr="009136ED">
        <w:t xml:space="preserve"> or maintained at study drug dosing visits using 4-week increments to a maximum of every 16 weeks or a minimum of every 4 weeks based on the relative change of the central subfield thickness (CST) and BCVA compared with the patient’s reference CST and reference BCVA.</w:t>
      </w:r>
    </w:p>
    <w:p w14:paraId="46B5042A" w14:textId="593975DD" w:rsidR="009F37C3" w:rsidRPr="009136ED" w:rsidRDefault="002A2C48" w:rsidP="009136ED">
      <w:pPr>
        <w:pStyle w:val="TableDescription"/>
      </w:pPr>
      <w:r w:rsidRPr="009136ED">
        <w:t>c</w:t>
      </w:r>
      <w:r w:rsidR="008D45DF" w:rsidRPr="009136ED">
        <w:t>.</w:t>
      </w:r>
      <w:r w:rsidRPr="009136ED">
        <w:t xml:space="preserve"> The primary endpoint, defined as the change from </w:t>
      </w:r>
      <w:r w:rsidR="00731F00" w:rsidRPr="009136ED">
        <w:t xml:space="preserve">Baseline </w:t>
      </w:r>
      <w:r w:rsidRPr="009136ED">
        <w:t>in BCVA, was averaged over Weeks 48, 52, and 56.</w:t>
      </w:r>
    </w:p>
    <w:p w14:paraId="0B00723F" w14:textId="54699C3A" w:rsidR="009F37C3" w:rsidRPr="009136ED" w:rsidRDefault="002A2C48" w:rsidP="009136ED">
      <w:pPr>
        <w:pStyle w:val="TableDescription"/>
      </w:pPr>
      <w:r w:rsidRPr="009136ED">
        <w:t>d</w:t>
      </w:r>
      <w:r w:rsidR="008D45DF" w:rsidRPr="009136ED">
        <w:t>.</w:t>
      </w:r>
      <w:r w:rsidRPr="009136ED">
        <w:t xml:space="preserve"> Study JP39844, sponsored by Japanese co-development partner Chugai Pharmaceutical Co., Ltd., enrolled</w:t>
      </w:r>
      <w:r w:rsidR="00CF4A4C" w:rsidRPr="009136ED">
        <w:t xml:space="preserve"> 4 </w:t>
      </w:r>
      <w:r w:rsidRPr="009136ED">
        <w:t xml:space="preserve">patients with </w:t>
      </w:r>
      <w:proofErr w:type="spellStart"/>
      <w:r w:rsidRPr="009136ED">
        <w:t>nAMD</w:t>
      </w:r>
      <w:proofErr w:type="spellEnd"/>
      <w:r w:rsidRPr="009136ED">
        <w:t>. and 8 patients with DME.</w:t>
      </w:r>
    </w:p>
    <w:p w14:paraId="62EA9B78" w14:textId="77777777" w:rsidR="00042FC8" w:rsidRPr="00E61EC7" w:rsidRDefault="002A2C48" w:rsidP="00042FC8">
      <w:pPr>
        <w:pStyle w:val="Heading4"/>
      </w:pPr>
      <w:r w:rsidRPr="00E61EC7">
        <w:t>Pharmacology</w:t>
      </w:r>
    </w:p>
    <w:p w14:paraId="5D5B32D1" w14:textId="749CCFBE" w:rsidR="00042FC8" w:rsidRPr="00E61EC7" w:rsidRDefault="002A2C48" w:rsidP="00042FC8">
      <w:pPr>
        <w:pStyle w:val="Heading5"/>
      </w:pPr>
      <w:r w:rsidRPr="00E61EC7">
        <w:t>Pharmacokinetics</w:t>
      </w:r>
    </w:p>
    <w:p w14:paraId="0EB96F2B" w14:textId="77777777" w:rsidR="00042FC8" w:rsidRPr="00E61EC7" w:rsidRDefault="002A2C48" w:rsidP="00042FC8">
      <w:pPr>
        <w:pStyle w:val="Heading6"/>
      </w:pPr>
      <w:r w:rsidRPr="00E61EC7">
        <w:t>Absorption</w:t>
      </w:r>
    </w:p>
    <w:p w14:paraId="7AEA8608" w14:textId="729B345C" w:rsidR="00042FC8" w:rsidRPr="00E61EC7" w:rsidRDefault="002A2C48" w:rsidP="00042FC8">
      <w:proofErr w:type="spellStart"/>
      <w:r w:rsidRPr="00E61EC7">
        <w:t>Faricimab</w:t>
      </w:r>
      <w:proofErr w:type="spellEnd"/>
      <w:r w:rsidRPr="00E61EC7">
        <w:t xml:space="preserve"> is administered intravitreally. Following administration of </w:t>
      </w:r>
      <w:proofErr w:type="spellStart"/>
      <w:r w:rsidRPr="00E61EC7">
        <w:t>faricimab</w:t>
      </w:r>
      <w:proofErr w:type="spellEnd"/>
      <w:r w:rsidRPr="00E61EC7">
        <w:t xml:space="preserve"> 6</w:t>
      </w:r>
      <w:r w:rsidR="003E5F35" w:rsidRPr="00E61EC7">
        <w:t> </w:t>
      </w:r>
      <w:r w:rsidRPr="00E61EC7">
        <w:t xml:space="preserve">mg </w:t>
      </w:r>
      <w:r w:rsidR="003E5F35" w:rsidRPr="00E61EC7">
        <w:t>every 4 weeks</w:t>
      </w:r>
      <w:r w:rsidRPr="00E61EC7">
        <w:t xml:space="preserve"> followed by </w:t>
      </w:r>
      <w:r w:rsidR="003E5F35" w:rsidRPr="00E61EC7">
        <w:t>every 8 weeks</w:t>
      </w:r>
      <w:r w:rsidRPr="00E61EC7">
        <w:t xml:space="preserve">, maximum concentrations in the vitreous are reached immediately upon administration with an estimated median </w:t>
      </w:r>
      <w:r w:rsidR="006C157D" w:rsidRPr="00E61EC7">
        <w:t>maximum concentration (</w:t>
      </w:r>
      <w:proofErr w:type="spellStart"/>
      <w:r w:rsidRPr="00E61EC7">
        <w:t>C</w:t>
      </w:r>
      <w:r w:rsidRPr="00E61EC7">
        <w:rPr>
          <w:vertAlign w:val="subscript"/>
        </w:rPr>
        <w:t>max</w:t>
      </w:r>
      <w:proofErr w:type="spellEnd"/>
      <w:r w:rsidR="006C157D" w:rsidRPr="00E61EC7">
        <w:t xml:space="preserve">) </w:t>
      </w:r>
      <w:r w:rsidRPr="00E61EC7">
        <w:t xml:space="preserve">of 1340 </w:t>
      </w:r>
      <w:proofErr w:type="spellStart"/>
      <w:r w:rsidRPr="00E61EC7">
        <w:t>μg</w:t>
      </w:r>
      <w:proofErr w:type="spellEnd"/>
      <w:r w:rsidRPr="00E61EC7">
        <w:t xml:space="preserve">/mL in both </w:t>
      </w:r>
      <w:proofErr w:type="spellStart"/>
      <w:r w:rsidRPr="00E61EC7">
        <w:t>nAMD</w:t>
      </w:r>
      <w:proofErr w:type="spellEnd"/>
      <w:r w:rsidRPr="00E61EC7">
        <w:t xml:space="preserve"> and </w:t>
      </w:r>
      <w:r w:rsidR="0039584C" w:rsidRPr="00E61EC7">
        <w:t>DMO</w:t>
      </w:r>
      <w:r w:rsidRPr="00E61EC7">
        <w:t xml:space="preserve"> populations. </w:t>
      </w:r>
      <w:proofErr w:type="spellStart"/>
      <w:r w:rsidRPr="00E61EC7">
        <w:t>Faricimab</w:t>
      </w:r>
      <w:proofErr w:type="spellEnd"/>
      <w:r w:rsidRPr="00E61EC7">
        <w:t xml:space="preserve"> is cleared from the </w:t>
      </w:r>
      <w:r w:rsidRPr="00E61EC7">
        <w:lastRenderedPageBreak/>
        <w:t xml:space="preserve">vitreous through the </w:t>
      </w:r>
      <w:r w:rsidR="003E5F35" w:rsidRPr="00E61EC7">
        <w:t>aqueous humour</w:t>
      </w:r>
      <w:r w:rsidRPr="00E61EC7">
        <w:t xml:space="preserve">, then </w:t>
      </w:r>
      <w:r w:rsidR="00210F68">
        <w:t xml:space="preserve">via </w:t>
      </w:r>
      <w:r w:rsidRPr="00E61EC7">
        <w:t xml:space="preserve">plasma. In plasma, </w:t>
      </w:r>
      <w:r w:rsidR="00210F68">
        <w:t xml:space="preserve">a </w:t>
      </w:r>
      <w:r w:rsidRPr="00E61EC7">
        <w:t xml:space="preserve">median </w:t>
      </w:r>
      <w:proofErr w:type="spellStart"/>
      <w:r w:rsidRPr="00E61EC7">
        <w:t>C</w:t>
      </w:r>
      <w:r w:rsidRPr="00E61EC7">
        <w:rPr>
          <w:vertAlign w:val="subscript"/>
        </w:rPr>
        <w:t>max</w:t>
      </w:r>
      <w:proofErr w:type="spellEnd"/>
      <w:r w:rsidRPr="00E61EC7">
        <w:t xml:space="preserve"> of 0.22</w:t>
      </w:r>
      <w:r w:rsidR="00210F68">
        <w:t> </w:t>
      </w:r>
      <w:r w:rsidRPr="00E61EC7">
        <w:t xml:space="preserve">µg/mL in the </w:t>
      </w:r>
      <w:proofErr w:type="spellStart"/>
      <w:r w:rsidRPr="00E61EC7">
        <w:t>nAMD</w:t>
      </w:r>
      <w:proofErr w:type="spellEnd"/>
      <w:r w:rsidRPr="00E61EC7">
        <w:t xml:space="preserve"> population and 0.21</w:t>
      </w:r>
      <w:r w:rsidR="003E5F35" w:rsidRPr="00E61EC7">
        <w:t> </w:t>
      </w:r>
      <w:r w:rsidRPr="00E61EC7">
        <w:t xml:space="preserve">µg/mL in the </w:t>
      </w:r>
      <w:r w:rsidR="0039584C" w:rsidRPr="00E61EC7">
        <w:t>DMO</w:t>
      </w:r>
      <w:r w:rsidRPr="00E61EC7">
        <w:t xml:space="preserve"> population are reached after </w:t>
      </w:r>
      <w:r w:rsidR="00AA2E84" w:rsidRPr="00E61EC7">
        <w:t xml:space="preserve">approximately </w:t>
      </w:r>
      <w:r w:rsidRPr="00E61EC7">
        <w:t>2</w:t>
      </w:r>
      <w:r w:rsidR="003E5F35" w:rsidRPr="00E61EC7">
        <w:t xml:space="preserve"> to </w:t>
      </w:r>
      <w:r w:rsidRPr="00E61EC7">
        <w:t xml:space="preserve">3 days. Maximum free </w:t>
      </w:r>
      <w:proofErr w:type="spellStart"/>
      <w:r w:rsidRPr="00E61EC7">
        <w:t>faricimab</w:t>
      </w:r>
      <w:proofErr w:type="spellEnd"/>
      <w:r w:rsidRPr="00E61EC7">
        <w:t xml:space="preserve"> concentrations in plasma are predicted to be approximately 600 and 6000</w:t>
      </w:r>
      <w:r w:rsidR="003E5F35" w:rsidRPr="00E61EC7">
        <w:noBreakHyphen/>
      </w:r>
      <w:r w:rsidRPr="00E61EC7">
        <w:t xml:space="preserve">fold lower than in </w:t>
      </w:r>
      <w:r w:rsidR="003E5F35" w:rsidRPr="00E61EC7">
        <w:t>aqueous humour</w:t>
      </w:r>
      <w:r w:rsidRPr="00E61EC7">
        <w:t xml:space="preserve"> and vitreous, respectively. Absolute bioavailability was not determined due to lack of intravenous studies.</w:t>
      </w:r>
    </w:p>
    <w:p w14:paraId="1224D0B4" w14:textId="77777777" w:rsidR="00042FC8" w:rsidRPr="00E61EC7" w:rsidRDefault="002A2C48" w:rsidP="00042FC8">
      <w:pPr>
        <w:pStyle w:val="Heading6"/>
      </w:pPr>
      <w:r w:rsidRPr="00E61EC7">
        <w:t>Distribution</w:t>
      </w:r>
    </w:p>
    <w:p w14:paraId="29673D2B" w14:textId="60367B33" w:rsidR="00042FC8" w:rsidRPr="00E61EC7" w:rsidRDefault="002A2C48" w:rsidP="00042FC8">
      <w:r w:rsidRPr="00E61EC7">
        <w:t>The apparent volume of distribution</w:t>
      </w:r>
      <w:r w:rsidR="00C87795" w:rsidRPr="00E61EC7">
        <w:t xml:space="preserve"> </w:t>
      </w:r>
      <w:r w:rsidRPr="00E61EC7">
        <w:t xml:space="preserve">in aqueous humour was 0.253 mL, and in plasma compartment was 1.48 L (derived from the </w:t>
      </w:r>
      <w:r w:rsidR="005B2ABC" w:rsidRPr="00E61EC7">
        <w:t xml:space="preserve">final </w:t>
      </w:r>
      <w:r w:rsidR="00306183" w:rsidRPr="00E61EC7">
        <w:t xml:space="preserve">pharmacokinetics (PK) </w:t>
      </w:r>
      <w:r w:rsidRPr="00E61EC7">
        <w:t xml:space="preserve">model). Maximum free </w:t>
      </w:r>
      <w:proofErr w:type="spellStart"/>
      <w:r w:rsidRPr="00E61EC7">
        <w:t>faricimab</w:t>
      </w:r>
      <w:proofErr w:type="spellEnd"/>
      <w:r w:rsidRPr="00E61EC7">
        <w:t xml:space="preserve"> concentrations in plasma are predicted to be approximately 600 and 6000</w:t>
      </w:r>
      <w:r w:rsidR="005B2ABC" w:rsidRPr="00E61EC7">
        <w:noBreakHyphen/>
      </w:r>
      <w:r w:rsidRPr="00E61EC7">
        <w:t>fold lower than in aqueous humour and vitreous humour, respectively. The systemic volume of distribution of 1.48</w:t>
      </w:r>
      <w:r w:rsidR="005B2ABC" w:rsidRPr="00E61EC7">
        <w:t xml:space="preserve"> </w:t>
      </w:r>
      <w:r w:rsidRPr="00E61EC7">
        <w:t>L, is consistent with a limited distribution.</w:t>
      </w:r>
    </w:p>
    <w:p w14:paraId="78A261CD" w14:textId="77777777" w:rsidR="00042FC8" w:rsidRPr="00E61EC7" w:rsidRDefault="002A2C48" w:rsidP="00042FC8">
      <w:pPr>
        <w:pStyle w:val="Heading6"/>
      </w:pPr>
      <w:r w:rsidRPr="00E61EC7">
        <w:t>Metabolism</w:t>
      </w:r>
    </w:p>
    <w:p w14:paraId="088EE4BF" w14:textId="61CEBE2F" w:rsidR="00042FC8" w:rsidRPr="00E61EC7" w:rsidRDefault="002A2C48" w:rsidP="00042FC8">
      <w:proofErr w:type="spellStart"/>
      <w:r w:rsidRPr="00E61EC7">
        <w:t>Faricimab</w:t>
      </w:r>
      <w:proofErr w:type="spellEnd"/>
      <w:r w:rsidRPr="00E61EC7">
        <w:t xml:space="preserve"> was engineered to abolish binding to </w:t>
      </w:r>
      <w:r w:rsidR="00306183" w:rsidRPr="00E61EC7">
        <w:t>neonatal fragment crystallisable receptor (</w:t>
      </w:r>
      <w:proofErr w:type="spellStart"/>
      <w:r w:rsidRPr="00E61EC7">
        <w:t>FcRn</w:t>
      </w:r>
      <w:proofErr w:type="spellEnd"/>
      <w:r w:rsidR="00306183" w:rsidRPr="00E61EC7">
        <w:t>)</w:t>
      </w:r>
      <w:r w:rsidRPr="00E61EC7">
        <w:t xml:space="preserve">, which is responsible for the recycling of immunoglobulin G (IgG) and the long terminal </w:t>
      </w:r>
      <w:r w:rsidR="00F95A22" w:rsidRPr="00E61EC7">
        <w:t>half-life</w:t>
      </w:r>
      <w:r w:rsidRPr="00E61EC7">
        <w:t xml:space="preserve"> of normal IgG of </w:t>
      </w:r>
      <w:r w:rsidR="00AA2E84" w:rsidRPr="00E61EC7">
        <w:t xml:space="preserve">approximately </w:t>
      </w:r>
      <w:r w:rsidRPr="00E61EC7">
        <w:t xml:space="preserve">21 days. Therefore, </w:t>
      </w:r>
      <w:proofErr w:type="spellStart"/>
      <w:r w:rsidRPr="00E61EC7">
        <w:t>faricimab</w:t>
      </w:r>
      <w:proofErr w:type="spellEnd"/>
      <w:r w:rsidRPr="00E61EC7">
        <w:t xml:space="preserve"> metabolism is through IgG proteolysis, without recycling, leading to rapid systemic elimination.</w:t>
      </w:r>
    </w:p>
    <w:p w14:paraId="6CEA1CD2" w14:textId="77777777" w:rsidR="00042FC8" w:rsidRPr="00E61EC7" w:rsidRDefault="002A2C48" w:rsidP="00042FC8">
      <w:pPr>
        <w:pStyle w:val="Heading6"/>
      </w:pPr>
      <w:r w:rsidRPr="00E61EC7">
        <w:t>Excretion and elimination</w:t>
      </w:r>
    </w:p>
    <w:p w14:paraId="6C608F49" w14:textId="77777777" w:rsidR="00042FC8" w:rsidRPr="00E61EC7" w:rsidRDefault="002A2C48" w:rsidP="00042FC8">
      <w:proofErr w:type="spellStart"/>
      <w:r w:rsidRPr="00E61EC7">
        <w:t>Faricimab</w:t>
      </w:r>
      <w:proofErr w:type="spellEnd"/>
      <w:r w:rsidRPr="00E61EC7">
        <w:t xml:space="preserve"> is expected to be catabolised in lysosomes to small peptides and amino acids, which may be excreted renally, in a similar manner to the elimination of endogenous IgG.</w:t>
      </w:r>
    </w:p>
    <w:p w14:paraId="4F65CC0B" w14:textId="1403AF43" w:rsidR="00042FC8" w:rsidRPr="00E61EC7" w:rsidRDefault="002A2C48" w:rsidP="00042FC8">
      <w:proofErr w:type="spellStart"/>
      <w:r w:rsidRPr="00E61EC7">
        <w:t>Faricimab</w:t>
      </w:r>
      <w:proofErr w:type="spellEnd"/>
      <w:r w:rsidRPr="00E61EC7">
        <w:t xml:space="preserve"> </w:t>
      </w:r>
      <w:r w:rsidR="003E5F35" w:rsidRPr="00E61EC7">
        <w:t>vitreous humour</w:t>
      </w:r>
      <w:r w:rsidRPr="00E61EC7">
        <w:t xml:space="preserve"> elimination was slow, with an estimated </w:t>
      </w:r>
      <w:r w:rsidR="00F95A22" w:rsidRPr="00E61EC7">
        <w:t>half-life</w:t>
      </w:r>
      <w:r w:rsidRPr="00E61EC7">
        <w:t xml:space="preserve"> of 7.46 days based on the </w:t>
      </w:r>
      <w:r w:rsidR="00F95A22" w:rsidRPr="00E61EC7">
        <w:t>population pharmacokinetic (</w:t>
      </w:r>
      <w:proofErr w:type="spellStart"/>
      <w:r w:rsidR="00F95A22" w:rsidRPr="00E61EC7">
        <w:t>P</w:t>
      </w:r>
      <w:r w:rsidRPr="00E61EC7">
        <w:t>opPK</w:t>
      </w:r>
      <w:proofErr w:type="spellEnd"/>
      <w:r w:rsidR="00F95A22" w:rsidRPr="00E61EC7">
        <w:t>)</w:t>
      </w:r>
      <w:r w:rsidRPr="00E61EC7">
        <w:t xml:space="preserve"> analysis. Due to </w:t>
      </w:r>
      <w:r w:rsidR="00210F68" w:rsidRPr="00E61EC7">
        <w:t>flip-flop</w:t>
      </w:r>
      <w:r w:rsidRPr="00E61EC7">
        <w:t xml:space="preserve"> kinetics, the apparent decline in </w:t>
      </w:r>
      <w:r w:rsidR="003E5F35" w:rsidRPr="00E61EC7">
        <w:t>aqueous humour</w:t>
      </w:r>
      <w:r w:rsidRPr="00E61EC7">
        <w:t xml:space="preserve"> and plasma concentration is parallel to the vitreous concentrations.</w:t>
      </w:r>
    </w:p>
    <w:p w14:paraId="0F51AAD3" w14:textId="1FB57D5E" w:rsidR="00042FC8" w:rsidRPr="00E61EC7" w:rsidRDefault="002A2C48" w:rsidP="00042FC8">
      <w:r w:rsidRPr="00E61EC7">
        <w:t xml:space="preserve">The apparent </w:t>
      </w:r>
      <w:r w:rsidR="003E5F35" w:rsidRPr="00E61EC7">
        <w:t>aqueous humour</w:t>
      </w:r>
      <w:r w:rsidRPr="00E61EC7">
        <w:t xml:space="preserve"> </w:t>
      </w:r>
      <w:r w:rsidR="00F95A22" w:rsidRPr="00E61EC7">
        <w:t>half-life</w:t>
      </w:r>
      <w:r w:rsidRPr="00E61EC7">
        <w:t xml:space="preserve"> and apparent plasma </w:t>
      </w:r>
      <w:r w:rsidR="00F95A22" w:rsidRPr="00E61EC7">
        <w:t>half-life</w:t>
      </w:r>
      <w:r w:rsidRPr="00E61EC7">
        <w:t xml:space="preserve"> in Study BP28936 ranged from 6</w:t>
      </w:r>
      <w:r w:rsidR="00F95A22" w:rsidRPr="00E61EC7">
        <w:t xml:space="preserve"> to </w:t>
      </w:r>
      <w:r w:rsidRPr="00E61EC7">
        <w:t xml:space="preserve">8 days for patients receiving </w:t>
      </w:r>
      <w:proofErr w:type="spellStart"/>
      <w:r w:rsidRPr="00E61EC7">
        <w:t>faricimab</w:t>
      </w:r>
      <w:proofErr w:type="spellEnd"/>
      <w:r w:rsidRPr="00E61EC7">
        <w:t xml:space="preserve"> 6 mg, consistent with the vitreous and </w:t>
      </w:r>
      <w:r w:rsidR="003E5F35" w:rsidRPr="00E61EC7">
        <w:t>aqueous humour</w:t>
      </w:r>
      <w:r w:rsidRPr="00E61EC7">
        <w:t xml:space="preserve"> </w:t>
      </w:r>
      <w:r w:rsidR="00F95A22" w:rsidRPr="00E61EC7">
        <w:t>half-life</w:t>
      </w:r>
      <w:r w:rsidRPr="00E61EC7">
        <w:t xml:space="preserve"> from the </w:t>
      </w:r>
      <w:proofErr w:type="spellStart"/>
      <w:r w:rsidR="00F95A22" w:rsidRPr="00E61EC7">
        <w:t>P</w:t>
      </w:r>
      <w:r w:rsidRPr="00E61EC7">
        <w:t>opPK</w:t>
      </w:r>
      <w:proofErr w:type="spellEnd"/>
      <w:r w:rsidRPr="00E61EC7">
        <w:t xml:space="preserve"> analysis</w:t>
      </w:r>
      <w:r w:rsidR="00210F68">
        <w:t xml:space="preserve"> (see section: </w:t>
      </w:r>
      <w:r w:rsidR="00210F68" w:rsidRPr="00463201">
        <w:rPr>
          <w:i/>
        </w:rPr>
        <w:fldChar w:fldCharType="begin"/>
      </w:r>
      <w:r w:rsidR="00210F68" w:rsidRPr="00463201">
        <w:rPr>
          <w:i/>
        </w:rPr>
        <w:instrText xml:space="preserve"> REF _Ref128474890 \h </w:instrText>
      </w:r>
      <w:r w:rsidR="00210F68">
        <w:rPr>
          <w:i/>
        </w:rPr>
        <w:instrText xml:space="preserve"> \* MERGEFORMAT </w:instrText>
      </w:r>
      <w:r w:rsidR="00210F68" w:rsidRPr="00463201">
        <w:rPr>
          <w:i/>
        </w:rPr>
      </w:r>
      <w:r w:rsidR="00210F68" w:rsidRPr="00463201">
        <w:rPr>
          <w:i/>
        </w:rPr>
        <w:fldChar w:fldCharType="separate"/>
      </w:r>
      <w:r w:rsidR="001E25B5" w:rsidRPr="001E25B5">
        <w:rPr>
          <w:i/>
        </w:rPr>
        <w:t>Population pharmacokinetic data</w:t>
      </w:r>
      <w:r w:rsidR="00210F68" w:rsidRPr="00463201">
        <w:rPr>
          <w:i/>
        </w:rPr>
        <w:fldChar w:fldCharType="end"/>
      </w:r>
      <w:r w:rsidR="00210F68">
        <w:t>, below).</w:t>
      </w:r>
    </w:p>
    <w:p w14:paraId="4B13188C" w14:textId="400A8444" w:rsidR="00042FC8" w:rsidRPr="00E61EC7" w:rsidRDefault="002A2C48" w:rsidP="00042FC8">
      <w:r w:rsidRPr="00E61EC7">
        <w:t>The estimate of the plasma apparent clearance was 2.33</w:t>
      </w:r>
      <w:r w:rsidR="005B2ABC" w:rsidRPr="00E61EC7">
        <w:t> </w:t>
      </w:r>
      <w:r w:rsidRPr="00E61EC7">
        <w:t xml:space="preserve">L/day, corresponding to a rapid </w:t>
      </w:r>
      <w:r w:rsidR="00F95A22" w:rsidRPr="00E61EC7">
        <w:t>half-life</w:t>
      </w:r>
      <w:r w:rsidRPr="00E61EC7">
        <w:t xml:space="preserve"> of approximately 0.44 days.</w:t>
      </w:r>
    </w:p>
    <w:p w14:paraId="36A1A008" w14:textId="77777777" w:rsidR="00042FC8" w:rsidRPr="00E61EC7" w:rsidRDefault="002A2C48" w:rsidP="00042FC8">
      <w:pPr>
        <w:pStyle w:val="Heading6"/>
      </w:pPr>
      <w:r w:rsidRPr="00E61EC7">
        <w:t>Dose proportionality</w:t>
      </w:r>
    </w:p>
    <w:p w14:paraId="71851F55" w14:textId="2C0891A3" w:rsidR="00042FC8" w:rsidRPr="00E61EC7" w:rsidRDefault="00210F68" w:rsidP="00042FC8">
      <w:bookmarkStart w:id="55" w:name="_Hlk88558917"/>
      <w:r>
        <w:t xml:space="preserve">The </w:t>
      </w:r>
      <w:r w:rsidR="002A2C48" w:rsidRPr="00E61EC7">
        <w:t xml:space="preserve">Phase I Study BP28936 tested doses ranging from 0.5 mg </w:t>
      </w:r>
      <w:r w:rsidR="003E5F35" w:rsidRPr="00E61EC7">
        <w:t>every 4 weeks</w:t>
      </w:r>
      <w:r w:rsidR="002A2C48" w:rsidRPr="00E61EC7">
        <w:t xml:space="preserve"> to 6 mg </w:t>
      </w:r>
      <w:r w:rsidR="003E5F35" w:rsidRPr="00E61EC7">
        <w:t>every 4</w:t>
      </w:r>
      <w:r w:rsidR="005B2ABC" w:rsidRPr="00E61EC7">
        <w:t> </w:t>
      </w:r>
      <w:r w:rsidR="003E5F35" w:rsidRPr="00E61EC7">
        <w:t>weeks</w:t>
      </w:r>
      <w:r w:rsidR="002A2C48" w:rsidRPr="00E61EC7">
        <w:t xml:space="preserve">. Plasma </w:t>
      </w:r>
      <w:proofErr w:type="spellStart"/>
      <w:r w:rsidR="002A2C48" w:rsidRPr="00E61EC7">
        <w:t>faricimab</w:t>
      </w:r>
      <w:proofErr w:type="spellEnd"/>
      <w:r w:rsidR="002A2C48" w:rsidRPr="00E61EC7">
        <w:t xml:space="preserve"> exposure increased approximately dose</w:t>
      </w:r>
      <w:r w:rsidR="005B2ABC" w:rsidRPr="00E61EC7">
        <w:t xml:space="preserve"> </w:t>
      </w:r>
      <w:r w:rsidR="002A2C48" w:rsidRPr="00E61EC7">
        <w:t>proportionally up to 3</w:t>
      </w:r>
      <w:r w:rsidR="005B2ABC" w:rsidRPr="00E61EC7">
        <w:t> </w:t>
      </w:r>
      <w:r w:rsidR="002A2C48" w:rsidRPr="00E61EC7">
        <w:t xml:space="preserve">mg </w:t>
      </w:r>
      <w:proofErr w:type="spellStart"/>
      <w:r w:rsidR="002A2C48" w:rsidRPr="00E61EC7">
        <w:t>faricimab</w:t>
      </w:r>
      <w:proofErr w:type="spellEnd"/>
      <w:r w:rsidR="002A2C48" w:rsidRPr="00E61EC7">
        <w:t xml:space="preserve"> without an apparent increase in systemic exposure for the 6</w:t>
      </w:r>
      <w:r w:rsidR="005B2ABC" w:rsidRPr="00E61EC7">
        <w:t> </w:t>
      </w:r>
      <w:r w:rsidR="002A2C48" w:rsidRPr="00E61EC7">
        <w:t>mg dose (compared to 3 mg).</w:t>
      </w:r>
    </w:p>
    <w:p w14:paraId="1B0FE436" w14:textId="3BF006CF" w:rsidR="00042FC8" w:rsidRPr="00E61EC7" w:rsidRDefault="00210F68" w:rsidP="00042FC8">
      <w:r>
        <w:t xml:space="preserve">The </w:t>
      </w:r>
      <w:r w:rsidR="002A2C48" w:rsidRPr="00E61EC7">
        <w:t xml:space="preserve">Phase II </w:t>
      </w:r>
      <w:r w:rsidRPr="00E61EC7">
        <w:t xml:space="preserve">Study BP29647 </w:t>
      </w:r>
      <w:r>
        <w:t xml:space="preserve">(also known as the </w:t>
      </w:r>
      <w:r w:rsidR="002A2C48" w:rsidRPr="00E61EC7">
        <w:t>AVENUE</w:t>
      </w:r>
      <w:r w:rsidR="0075642C" w:rsidRPr="00E61EC7">
        <w:t xml:space="preserve"> trial</w:t>
      </w:r>
      <w:r>
        <w:t>)</w:t>
      </w:r>
      <w:r w:rsidR="002A2C48" w:rsidRPr="00E61EC7">
        <w:t xml:space="preserve"> compared </w:t>
      </w:r>
      <w:proofErr w:type="spellStart"/>
      <w:r w:rsidR="002A2C48" w:rsidRPr="00E61EC7">
        <w:t>faricimab</w:t>
      </w:r>
      <w:proofErr w:type="spellEnd"/>
      <w:r w:rsidR="002A2C48" w:rsidRPr="00E61EC7">
        <w:t xml:space="preserve"> 6 mg </w:t>
      </w:r>
      <w:r w:rsidR="003E5F35" w:rsidRPr="00E61EC7">
        <w:t>every 4 weeks</w:t>
      </w:r>
      <w:r w:rsidR="002A2C48" w:rsidRPr="00E61EC7">
        <w:t xml:space="preserve"> to 1.5 mg </w:t>
      </w:r>
      <w:r w:rsidR="003E5F35" w:rsidRPr="00E61EC7">
        <w:t>every 4</w:t>
      </w:r>
      <w:r w:rsidR="005B2ABC" w:rsidRPr="00E61EC7">
        <w:t> </w:t>
      </w:r>
      <w:r w:rsidR="003E5F35" w:rsidRPr="00E61EC7">
        <w:t>weeks</w:t>
      </w:r>
      <w:r w:rsidR="002A2C48" w:rsidRPr="00E61EC7">
        <w:t xml:space="preserve"> treatment arm at 4 weeks and 12 weeks post</w:t>
      </w:r>
      <w:r w:rsidR="00DE45C7">
        <w:noBreakHyphen/>
      </w:r>
      <w:proofErr w:type="gramStart"/>
      <w:r w:rsidR="002A2C48" w:rsidRPr="00E61EC7">
        <w:t>dose, and</w:t>
      </w:r>
      <w:proofErr w:type="gramEnd"/>
      <w:r w:rsidR="002A2C48" w:rsidRPr="00E61EC7">
        <w:t xml:space="preserve"> found an approx</w:t>
      </w:r>
      <w:r w:rsidR="005B2ABC" w:rsidRPr="00E61EC7">
        <w:t>imately</w:t>
      </w:r>
      <w:r w:rsidR="002A2C48" w:rsidRPr="00E61EC7">
        <w:t xml:space="preserve"> 4</w:t>
      </w:r>
      <w:r w:rsidR="005B2ABC" w:rsidRPr="00E61EC7">
        <w:noBreakHyphen/>
      </w:r>
      <w:r w:rsidR="002A2C48" w:rsidRPr="00E61EC7">
        <w:t>fold higher and 3-fold higher plasma concentration, respectively. This suggests dose</w:t>
      </w:r>
      <w:r w:rsidR="005B2ABC" w:rsidRPr="00E61EC7">
        <w:t xml:space="preserve"> </w:t>
      </w:r>
      <w:r w:rsidR="002A2C48" w:rsidRPr="00E61EC7">
        <w:t xml:space="preserve">proportionality up to 6 mg </w:t>
      </w:r>
      <w:r w:rsidR="003E5F35" w:rsidRPr="00E61EC7">
        <w:t>every 4 weeks</w:t>
      </w:r>
      <w:r w:rsidR="002A2C48" w:rsidRPr="00E61EC7">
        <w:t>.</w:t>
      </w:r>
      <w:bookmarkEnd w:id="55"/>
    </w:p>
    <w:p w14:paraId="4BB2A77C" w14:textId="77777777" w:rsidR="00042FC8" w:rsidRPr="00E61EC7" w:rsidRDefault="002A2C48" w:rsidP="00042FC8">
      <w:pPr>
        <w:pStyle w:val="Heading6"/>
      </w:pPr>
      <w:r w:rsidRPr="00E61EC7">
        <w:t>Accumulation</w:t>
      </w:r>
    </w:p>
    <w:p w14:paraId="1FD01EE9" w14:textId="5BF607D8" w:rsidR="00042FC8" w:rsidRPr="00E61EC7" w:rsidRDefault="002A2C48" w:rsidP="00042FC8">
      <w:r w:rsidRPr="00E61EC7">
        <w:t xml:space="preserve">No </w:t>
      </w:r>
      <w:proofErr w:type="spellStart"/>
      <w:r w:rsidRPr="00E61EC7">
        <w:t>faricimab</w:t>
      </w:r>
      <w:proofErr w:type="spellEnd"/>
      <w:r w:rsidRPr="00E61EC7">
        <w:t xml:space="preserve"> accumulation in the ocular or plasma compartments was observed, with steady state reached by the end of </w:t>
      </w:r>
      <w:proofErr w:type="gramStart"/>
      <w:r w:rsidRPr="00E61EC7">
        <w:t xml:space="preserve">the </w:t>
      </w:r>
      <w:r w:rsidR="003E5F35" w:rsidRPr="00E61EC7">
        <w:t>every</w:t>
      </w:r>
      <w:proofErr w:type="gramEnd"/>
      <w:r w:rsidR="003E5F35" w:rsidRPr="00E61EC7">
        <w:t xml:space="preserve"> 4 weeks</w:t>
      </w:r>
      <w:r w:rsidRPr="00E61EC7">
        <w:t xml:space="preserve"> dosing.</w:t>
      </w:r>
    </w:p>
    <w:p w14:paraId="0E3E827A" w14:textId="5F0EFC8A" w:rsidR="00042FC8" w:rsidRPr="00E61EC7" w:rsidRDefault="002A2C48" w:rsidP="00042FC8">
      <w:pPr>
        <w:pStyle w:val="Heading6"/>
      </w:pPr>
      <w:r w:rsidRPr="00E61EC7">
        <w:t>Immunogenicity (</w:t>
      </w:r>
      <w:r w:rsidR="000E4FBF" w:rsidRPr="00E61EC7">
        <w:t xml:space="preserve">population pharmacokinetic </w:t>
      </w:r>
      <w:r w:rsidRPr="00E61EC7">
        <w:t>report)</w:t>
      </w:r>
    </w:p>
    <w:p w14:paraId="0F202DC8" w14:textId="6C67475F" w:rsidR="00042FC8" w:rsidRPr="00E61EC7" w:rsidRDefault="002A2C48" w:rsidP="00042FC8">
      <w:r w:rsidRPr="00E61EC7">
        <w:t xml:space="preserve">Anti-drug antibodies (ADAs) were detected at least once after the start of </w:t>
      </w:r>
      <w:proofErr w:type="spellStart"/>
      <w:r w:rsidRPr="00E61EC7">
        <w:t>faricimab</w:t>
      </w:r>
      <w:proofErr w:type="spellEnd"/>
      <w:r w:rsidRPr="00E61EC7">
        <w:t xml:space="preserve"> administration in 218 (9.7%) patients, with ADA incidence rate similar for </w:t>
      </w:r>
      <w:r w:rsidR="00533A7C" w:rsidRPr="00E61EC7">
        <w:t>Phase I</w:t>
      </w:r>
      <w:r w:rsidR="00860DD8" w:rsidRPr="00E61EC7">
        <w:t xml:space="preserve"> and </w:t>
      </w:r>
      <w:r w:rsidR="005B2ABC" w:rsidRPr="00E61EC7">
        <w:t>II</w:t>
      </w:r>
      <w:r w:rsidR="00860DD8" w:rsidRPr="00E61EC7">
        <w:t>,</w:t>
      </w:r>
      <w:r w:rsidRPr="00E61EC7">
        <w:t xml:space="preserve"> and </w:t>
      </w:r>
      <w:r w:rsidR="00533A7C" w:rsidRPr="00E61EC7">
        <w:t>Phase III</w:t>
      </w:r>
      <w:r w:rsidRPr="00E61EC7">
        <w:t xml:space="preserve"> studies, and for patients with </w:t>
      </w:r>
      <w:proofErr w:type="spellStart"/>
      <w:r w:rsidRPr="00E61EC7">
        <w:t>nAMD</w:t>
      </w:r>
      <w:proofErr w:type="spellEnd"/>
      <w:r w:rsidRPr="00E61EC7">
        <w:t xml:space="preserve"> and </w:t>
      </w:r>
      <w:r w:rsidR="0039584C" w:rsidRPr="00E61EC7">
        <w:t>DMO</w:t>
      </w:r>
      <w:r w:rsidRPr="00E61EC7">
        <w:t xml:space="preserve">. ADAs were included in the </w:t>
      </w:r>
      <w:r w:rsidRPr="00E61EC7">
        <w:lastRenderedPageBreak/>
        <w:t>model as a time-varying covariate. In some patients, they appeared after start of dosing but then disappeared. The ADA detection rate was below 1.5% for the first 12 weeks, increased to about 7% by Week</w:t>
      </w:r>
      <w:r w:rsidR="005B2ABC" w:rsidRPr="00E61EC7">
        <w:t> </w:t>
      </w:r>
      <w:r w:rsidRPr="00E61EC7">
        <w:t xml:space="preserve">24, and then fluctuated between 7 and 8%. Patients with ADAs </w:t>
      </w:r>
      <w:r w:rsidR="00210F68">
        <w:t xml:space="preserve">detected </w:t>
      </w:r>
      <w:r w:rsidRPr="00E61EC7">
        <w:t>had a 30.4% greater vitreous elimination rate (</w:t>
      </w:r>
      <w:r w:rsidR="00210F68">
        <w:t xml:space="preserve">a finding </w:t>
      </w:r>
      <w:r w:rsidRPr="00E61EC7">
        <w:t>not considered to be clinically meaningful).</w:t>
      </w:r>
    </w:p>
    <w:p w14:paraId="6089129E" w14:textId="77777777" w:rsidR="00042FC8" w:rsidRPr="00E61EC7" w:rsidRDefault="002A2C48" w:rsidP="00042FC8">
      <w:pPr>
        <w:pStyle w:val="Heading6"/>
      </w:pPr>
      <w:r w:rsidRPr="00E61EC7">
        <w:t>Intra- and inter-individual variability</w:t>
      </w:r>
    </w:p>
    <w:p w14:paraId="059C23C0" w14:textId="27F306D9" w:rsidR="00042FC8" w:rsidRPr="00E61EC7" w:rsidRDefault="002A2C48" w:rsidP="00042FC8">
      <w:r w:rsidRPr="00E61EC7">
        <w:t xml:space="preserve">For the individual clinical studies, high inter-patient variability was observed in </w:t>
      </w:r>
      <w:r w:rsidR="003E5F35" w:rsidRPr="00E61EC7">
        <w:t>aqueous humour</w:t>
      </w:r>
      <w:r w:rsidRPr="00E61EC7">
        <w:t xml:space="preserve"> (coefficient of variation </w:t>
      </w:r>
      <w:r w:rsidR="005B01D2" w:rsidRPr="00E61EC7">
        <w:t>(</w:t>
      </w:r>
      <w:r w:rsidRPr="00E61EC7">
        <w:t>CV</w:t>
      </w:r>
      <w:r w:rsidR="005B01D2" w:rsidRPr="00E61EC7">
        <w:t>)</w:t>
      </w:r>
      <w:r w:rsidRPr="00E61EC7">
        <w:t>: 40%</w:t>
      </w:r>
      <w:r w:rsidR="005B2ABC" w:rsidRPr="00E61EC7">
        <w:t xml:space="preserve"> to </w:t>
      </w:r>
      <w:r w:rsidRPr="00E61EC7">
        <w:t>394%) and plasma (CV: 44%</w:t>
      </w:r>
      <w:r w:rsidR="005B2ABC" w:rsidRPr="00E61EC7">
        <w:t xml:space="preserve"> to </w:t>
      </w:r>
      <w:r w:rsidRPr="00E61EC7">
        <w:t xml:space="preserve">144%)) </w:t>
      </w:r>
      <w:proofErr w:type="spellStart"/>
      <w:r w:rsidRPr="00E61EC7">
        <w:t>faricimab</w:t>
      </w:r>
      <w:proofErr w:type="spellEnd"/>
      <w:r w:rsidRPr="00E61EC7">
        <w:t xml:space="preserve"> concentrations. </w:t>
      </w:r>
      <w:r w:rsidR="003E5F35" w:rsidRPr="00E61EC7">
        <w:t>Vitreous humour</w:t>
      </w:r>
      <w:r w:rsidRPr="00E61EC7">
        <w:t xml:space="preserve"> data appears not to be available.</w:t>
      </w:r>
    </w:p>
    <w:p w14:paraId="521422E3" w14:textId="729D31B2" w:rsidR="00042FC8" w:rsidRPr="00E61EC7" w:rsidRDefault="002A2C48" w:rsidP="00042FC8">
      <w:pPr>
        <w:pStyle w:val="Heading5"/>
      </w:pPr>
      <w:bookmarkStart w:id="56" w:name="_Ref128474890"/>
      <w:r w:rsidRPr="00E61EC7">
        <w:t xml:space="preserve">Population </w:t>
      </w:r>
      <w:r w:rsidR="000E4FBF" w:rsidRPr="00E61EC7">
        <w:t xml:space="preserve">pharmacokinetic </w:t>
      </w:r>
      <w:r w:rsidRPr="00E61EC7">
        <w:t>data</w:t>
      </w:r>
      <w:bookmarkEnd w:id="56"/>
    </w:p>
    <w:p w14:paraId="698B49C3" w14:textId="77777777" w:rsidR="00042FC8" w:rsidRPr="00E61EC7" w:rsidRDefault="002A2C48" w:rsidP="00042FC8">
      <w:pPr>
        <w:pStyle w:val="Heading6"/>
      </w:pPr>
      <w:r w:rsidRPr="00E61EC7">
        <w:t>Methods</w:t>
      </w:r>
    </w:p>
    <w:p w14:paraId="68CDC19A" w14:textId="4E2B470E" w:rsidR="00042FC8" w:rsidRPr="00E61EC7" w:rsidRDefault="002A2C48" w:rsidP="00042FC8">
      <w:pPr>
        <w:pStyle w:val="Heading7"/>
        <w:rPr>
          <w:sz w:val="22"/>
          <w:szCs w:val="28"/>
        </w:rPr>
      </w:pPr>
      <w:r w:rsidRPr="00E61EC7">
        <w:rPr>
          <w:sz w:val="22"/>
          <w:szCs w:val="28"/>
        </w:rPr>
        <w:t>Pharmacokinetic clinical data source</w:t>
      </w:r>
    </w:p>
    <w:p w14:paraId="1F999BE1" w14:textId="319D811A" w:rsidR="00042FC8" w:rsidRPr="00E61EC7" w:rsidRDefault="002A2C48" w:rsidP="00042FC8">
      <w:r w:rsidRPr="00E61EC7">
        <w:t>Studies BP28936, JP39844, BP29647, CR39521, BP30099, GR40306, GR40844, GR40349, and GR40398. The exposure</w:t>
      </w:r>
      <w:r w:rsidR="005B2ABC" w:rsidRPr="00E61EC7">
        <w:t>-</w:t>
      </w:r>
      <w:r w:rsidRPr="00E61EC7">
        <w:t xml:space="preserve">response analyses were performed using only the </w:t>
      </w:r>
      <w:r w:rsidR="00533A7C" w:rsidRPr="00E61EC7">
        <w:t>Phase</w:t>
      </w:r>
      <w:r w:rsidR="005B2ABC" w:rsidRPr="00E61EC7">
        <w:t> </w:t>
      </w:r>
      <w:r w:rsidR="00533A7C" w:rsidRPr="00E61EC7">
        <w:t>III</w:t>
      </w:r>
      <w:r w:rsidRPr="00E61EC7">
        <w:t xml:space="preserve"> data from </w:t>
      </w:r>
      <w:r w:rsidR="005B2ABC" w:rsidRPr="00E61EC7">
        <w:t xml:space="preserve">Studies </w:t>
      </w:r>
      <w:r w:rsidRPr="00E61EC7">
        <w:t xml:space="preserve">GR40306 and GR40844 for </w:t>
      </w:r>
      <w:proofErr w:type="spellStart"/>
      <w:r w:rsidRPr="00E61EC7">
        <w:t>nAMD</w:t>
      </w:r>
      <w:proofErr w:type="spellEnd"/>
      <w:r w:rsidRPr="00E61EC7">
        <w:t xml:space="preserve"> and </w:t>
      </w:r>
      <w:r w:rsidR="005B2ABC" w:rsidRPr="00E61EC7">
        <w:t xml:space="preserve">Studies </w:t>
      </w:r>
      <w:r w:rsidRPr="00E61EC7">
        <w:t xml:space="preserve">GR40349 and GR40398 for </w:t>
      </w:r>
      <w:r w:rsidR="0039584C" w:rsidRPr="00E61EC7">
        <w:t>DMO</w:t>
      </w:r>
      <w:r w:rsidRPr="00E61EC7">
        <w:t>. Exposure</w:t>
      </w:r>
      <w:r w:rsidR="005B2ABC" w:rsidRPr="00E61EC7">
        <w:t>-</w:t>
      </w:r>
      <w:r w:rsidRPr="00E61EC7">
        <w:t xml:space="preserve">safety relationships, for intra-ocular inflammation, were performed by indication, using the </w:t>
      </w:r>
      <w:r w:rsidR="00533A7C" w:rsidRPr="00E61EC7">
        <w:t>Phase III</w:t>
      </w:r>
      <w:r w:rsidRPr="00E61EC7">
        <w:t xml:space="preserve"> study data.</w:t>
      </w:r>
    </w:p>
    <w:p w14:paraId="10059811" w14:textId="41A77D0C" w:rsidR="00042FC8" w:rsidRPr="00E61EC7" w:rsidRDefault="002A2C48" w:rsidP="00042FC8">
      <w:pPr>
        <w:pStyle w:val="Heading7"/>
        <w:rPr>
          <w:sz w:val="22"/>
          <w:szCs w:val="28"/>
        </w:rPr>
      </w:pPr>
      <w:r w:rsidRPr="00E61EC7">
        <w:rPr>
          <w:sz w:val="22"/>
          <w:szCs w:val="28"/>
        </w:rPr>
        <w:t>Model</w:t>
      </w:r>
    </w:p>
    <w:p w14:paraId="62FDB8A4" w14:textId="34E24E39" w:rsidR="00042FC8" w:rsidRPr="00E61EC7" w:rsidRDefault="002A2C48" w:rsidP="00042FC8">
      <w:r w:rsidRPr="00E61EC7">
        <w:t xml:space="preserve">The </w:t>
      </w:r>
      <w:proofErr w:type="spellStart"/>
      <w:r w:rsidR="00F95A22" w:rsidRPr="00E61EC7">
        <w:t>Pop</w:t>
      </w:r>
      <w:r w:rsidRPr="00E61EC7">
        <w:t>PK</w:t>
      </w:r>
      <w:proofErr w:type="spellEnd"/>
      <w:r w:rsidRPr="00E61EC7">
        <w:t xml:space="preserve"> analysis was conducted via nonlinear </w:t>
      </w:r>
      <w:proofErr w:type="gramStart"/>
      <w:r w:rsidRPr="00E61EC7">
        <w:t>mixed-effects</w:t>
      </w:r>
      <w:proofErr w:type="gramEnd"/>
      <w:r w:rsidRPr="00E61EC7">
        <w:t xml:space="preserve"> modelling with the NONMEM software and R.</w:t>
      </w:r>
    </w:p>
    <w:p w14:paraId="3AA1445E" w14:textId="77777777" w:rsidR="00042FC8" w:rsidRPr="00E61EC7" w:rsidRDefault="002A2C48" w:rsidP="00042FC8">
      <w:pPr>
        <w:pStyle w:val="Heading6"/>
      </w:pPr>
      <w:r w:rsidRPr="00E61EC7">
        <w:t>Results and conclusions</w:t>
      </w:r>
    </w:p>
    <w:p w14:paraId="57D29734" w14:textId="44FF86A9" w:rsidR="00042FC8" w:rsidRPr="00E61EC7" w:rsidRDefault="002A2C48" w:rsidP="00042FC8">
      <w:pPr>
        <w:pStyle w:val="Heading7"/>
        <w:rPr>
          <w:sz w:val="22"/>
          <w:szCs w:val="28"/>
        </w:rPr>
      </w:pPr>
      <w:r w:rsidRPr="00E61EC7">
        <w:rPr>
          <w:sz w:val="22"/>
          <w:szCs w:val="28"/>
        </w:rPr>
        <w:t>Model</w:t>
      </w:r>
    </w:p>
    <w:p w14:paraId="57C8AD5A" w14:textId="7AF7AC48" w:rsidR="00042FC8" w:rsidRPr="00E61EC7" w:rsidRDefault="002A2C48" w:rsidP="00042FC8">
      <w:r w:rsidRPr="00E61EC7">
        <w:t xml:space="preserve">The model parameters were estimated with a good precision. </w:t>
      </w:r>
      <w:r w:rsidR="006C157D" w:rsidRPr="00E61EC7">
        <w:t>Visual predictive check</w:t>
      </w:r>
      <w:r w:rsidRPr="00E61EC7">
        <w:t xml:space="preserve">, </w:t>
      </w:r>
      <w:r w:rsidR="006C157D" w:rsidRPr="00E61EC7">
        <w:t>prediction-corrected visual predictive check</w:t>
      </w:r>
      <w:r w:rsidRPr="00E61EC7">
        <w:t xml:space="preserve">, and </w:t>
      </w:r>
      <w:r w:rsidR="006C157D" w:rsidRPr="00E61EC7">
        <w:t xml:space="preserve">normalised prediction distribution errors </w:t>
      </w:r>
      <w:r w:rsidRPr="00E61EC7">
        <w:t>plots showed that the model reflects that PK data adequately.</w:t>
      </w:r>
    </w:p>
    <w:p w14:paraId="48AF426B" w14:textId="0845B86D" w:rsidR="00042FC8" w:rsidRPr="00E61EC7" w:rsidRDefault="002A2C48" w:rsidP="00042FC8">
      <w:r w:rsidRPr="00E61EC7">
        <w:t xml:space="preserve">The PK of </w:t>
      </w:r>
      <w:r w:rsidR="00475997" w:rsidRPr="00E61EC7">
        <w:t xml:space="preserve">intravitreal </w:t>
      </w:r>
      <w:r w:rsidRPr="00E61EC7">
        <w:t xml:space="preserve">administered </w:t>
      </w:r>
      <w:proofErr w:type="spellStart"/>
      <w:r w:rsidRPr="00E61EC7">
        <w:t>faricimab</w:t>
      </w:r>
      <w:proofErr w:type="spellEnd"/>
      <w:r w:rsidRPr="00E61EC7">
        <w:t xml:space="preserve"> in plasma and </w:t>
      </w:r>
      <w:r w:rsidR="003E5F35" w:rsidRPr="00E61EC7">
        <w:t>aqueous humour</w:t>
      </w:r>
      <w:r w:rsidRPr="00E61EC7">
        <w:t xml:space="preserve"> was best described by a linear 3-compartment catenary model, composed of the </w:t>
      </w:r>
      <w:r w:rsidR="003E5F35" w:rsidRPr="00E61EC7">
        <w:t>vitreous humour</w:t>
      </w:r>
      <w:r w:rsidRPr="00E61EC7">
        <w:t xml:space="preserve"> compartment, where the drug is injected, </w:t>
      </w:r>
      <w:r w:rsidR="003E5F35" w:rsidRPr="00E61EC7">
        <w:t>aqueous humour</w:t>
      </w:r>
      <w:r w:rsidRPr="00E61EC7">
        <w:t xml:space="preserve"> compartment, and the plasma compartment with clearance and volume. Due the absence of </w:t>
      </w:r>
      <w:r w:rsidR="00CC16D0" w:rsidRPr="00E61EC7">
        <w:t>intravenous</w:t>
      </w:r>
      <w:r w:rsidRPr="00E61EC7">
        <w:t xml:space="preserve"> administration data, only apparent </w:t>
      </w:r>
      <w:r w:rsidR="00F95A22" w:rsidRPr="00E61EC7">
        <w:t>clearance,</w:t>
      </w:r>
      <w:r w:rsidRPr="00E61EC7">
        <w:t xml:space="preserve"> and apparent volume </w:t>
      </w:r>
      <w:r w:rsidR="00C87795" w:rsidRPr="00E61EC7">
        <w:t>of distribution</w:t>
      </w:r>
      <w:r w:rsidRPr="00E61EC7">
        <w:t xml:space="preserve"> were estimated. Assumptions </w:t>
      </w:r>
      <w:proofErr w:type="gramStart"/>
      <w:r w:rsidRPr="00E61EC7">
        <w:t>were:</w:t>
      </w:r>
      <w:proofErr w:type="gramEnd"/>
      <w:r w:rsidRPr="00E61EC7">
        <w:t xml:space="preserve"> F = 1; volume of </w:t>
      </w:r>
      <w:r w:rsidR="003E5F35" w:rsidRPr="00E61EC7">
        <w:t>vitreous humour</w:t>
      </w:r>
      <w:r w:rsidRPr="00E61EC7">
        <w:t xml:space="preserve"> compartment</w:t>
      </w:r>
      <w:r w:rsidR="00CB0331" w:rsidRPr="00E61EC7">
        <w:t> </w:t>
      </w:r>
      <w:r w:rsidRPr="00E61EC7">
        <w:t>=</w:t>
      </w:r>
      <w:r w:rsidR="00CB0331" w:rsidRPr="00E61EC7">
        <w:t> </w:t>
      </w:r>
      <w:r w:rsidRPr="00E61EC7">
        <w:t>0.0045</w:t>
      </w:r>
      <w:r w:rsidR="00CB0331" w:rsidRPr="00E61EC7">
        <w:t> </w:t>
      </w:r>
      <w:r w:rsidRPr="00E61EC7">
        <w:t>L (literature value).</w:t>
      </w:r>
    </w:p>
    <w:p w14:paraId="0693CBDB" w14:textId="2D41FDA3" w:rsidR="00042FC8" w:rsidRPr="00E61EC7" w:rsidRDefault="002A2C48" w:rsidP="00042FC8">
      <w:r w:rsidRPr="00E61EC7">
        <w:t xml:space="preserve">The model was characterised by a slow release from </w:t>
      </w:r>
      <w:r w:rsidR="003E5F35" w:rsidRPr="00E61EC7">
        <w:t>vitreous humour</w:t>
      </w:r>
      <w:r w:rsidRPr="00E61EC7">
        <w:t xml:space="preserve"> with a </w:t>
      </w:r>
      <w:r w:rsidR="00F95A22" w:rsidRPr="00E61EC7">
        <w:t>half-life</w:t>
      </w:r>
      <w:r w:rsidRPr="00E61EC7">
        <w:t xml:space="preserve"> of 7.5</w:t>
      </w:r>
      <w:r w:rsidR="00E66E49" w:rsidRPr="00E61EC7">
        <w:t> </w:t>
      </w:r>
      <w:r w:rsidRPr="00E61EC7">
        <w:t xml:space="preserve">days and a rapid plasma clearance of 2.33 L/day. Due to flip-flop kinetics, the plasma concentrations declined in parallel with those in the </w:t>
      </w:r>
      <w:r w:rsidR="003E5F35" w:rsidRPr="00E61EC7">
        <w:t>aqueous humour</w:t>
      </w:r>
      <w:r w:rsidRPr="00E61EC7">
        <w:t>. The disease indication (</w:t>
      </w:r>
      <w:proofErr w:type="spellStart"/>
      <w:r w:rsidRPr="00E61EC7">
        <w:t>nAMD</w:t>
      </w:r>
      <w:proofErr w:type="spellEnd"/>
      <w:r w:rsidRPr="00E61EC7">
        <w:t xml:space="preserve"> or </w:t>
      </w:r>
      <w:r w:rsidR="0039584C" w:rsidRPr="00E61EC7">
        <w:t>DMO</w:t>
      </w:r>
      <w:r w:rsidRPr="00E61EC7">
        <w:t xml:space="preserve">) did not affect the PK of </w:t>
      </w:r>
      <w:proofErr w:type="spellStart"/>
      <w:r w:rsidRPr="00E61EC7">
        <w:t>faricimab</w:t>
      </w:r>
      <w:proofErr w:type="spellEnd"/>
      <w:r w:rsidRPr="00E61EC7">
        <w:t xml:space="preserve">. Maximum free </w:t>
      </w:r>
      <w:proofErr w:type="spellStart"/>
      <w:r w:rsidRPr="00E61EC7">
        <w:t>faricimab</w:t>
      </w:r>
      <w:proofErr w:type="spellEnd"/>
      <w:r w:rsidRPr="00E61EC7">
        <w:t xml:space="preserve"> concentrations in plasma were predicted to be approximately 600- and 6000</w:t>
      </w:r>
      <w:r w:rsidR="00E66E49" w:rsidRPr="00E61EC7">
        <w:noBreakHyphen/>
      </w:r>
      <w:r w:rsidRPr="00E61EC7">
        <w:t xml:space="preserve">fold lower than in </w:t>
      </w:r>
      <w:r w:rsidR="003E5F35" w:rsidRPr="00E61EC7">
        <w:t>aqueous humour</w:t>
      </w:r>
      <w:r w:rsidRPr="00E61EC7">
        <w:t xml:space="preserve"> and vitreous, respectively</w:t>
      </w:r>
    </w:p>
    <w:p w14:paraId="36F26413" w14:textId="77777777" w:rsidR="00042FC8" w:rsidRPr="00E61EC7" w:rsidRDefault="002A2C48" w:rsidP="00042FC8">
      <w:pPr>
        <w:pStyle w:val="Heading7"/>
        <w:rPr>
          <w:sz w:val="22"/>
          <w:szCs w:val="28"/>
        </w:rPr>
      </w:pPr>
      <w:r w:rsidRPr="00E61EC7">
        <w:rPr>
          <w:sz w:val="22"/>
          <w:szCs w:val="28"/>
        </w:rPr>
        <w:t>Covariates</w:t>
      </w:r>
    </w:p>
    <w:p w14:paraId="6F0040E3" w14:textId="66F5ED8E" w:rsidR="00042FC8" w:rsidRPr="00E61EC7" w:rsidRDefault="002A2C48" w:rsidP="00042FC8">
      <w:r w:rsidRPr="00E61EC7">
        <w:t xml:space="preserve">The covariate effects of this model are shown in </w:t>
      </w:r>
      <w:r w:rsidRPr="00E61EC7">
        <w:fldChar w:fldCharType="begin"/>
      </w:r>
      <w:r w:rsidRPr="00E61EC7">
        <w:instrText xml:space="preserve"> REF _Ref102404791 \h  \* MERGEFORMAT </w:instrText>
      </w:r>
      <w:r w:rsidRPr="00E61EC7">
        <w:fldChar w:fldCharType="separate"/>
      </w:r>
      <w:r w:rsidR="001E25B5" w:rsidRPr="009136ED">
        <w:t xml:space="preserve">Table </w:t>
      </w:r>
      <w:r w:rsidR="001E25B5">
        <w:t>4</w:t>
      </w:r>
      <w:r w:rsidRPr="00E61EC7">
        <w:fldChar w:fldCharType="end"/>
      </w:r>
      <w:r w:rsidR="00210F68">
        <w:t xml:space="preserve"> (see below)</w:t>
      </w:r>
      <w:r w:rsidRPr="00E61EC7">
        <w:t xml:space="preserve">, and results </w:t>
      </w:r>
      <w:r w:rsidR="00E66E49" w:rsidRPr="00E61EC7">
        <w:t xml:space="preserve">are </w:t>
      </w:r>
      <w:r w:rsidRPr="00E61EC7">
        <w:t xml:space="preserve">summarised </w:t>
      </w:r>
      <w:r w:rsidR="00210F68">
        <w:t>here.</w:t>
      </w:r>
    </w:p>
    <w:p w14:paraId="77C6245F" w14:textId="77777777" w:rsidR="00042FC8" w:rsidRPr="00E61EC7" w:rsidRDefault="002A2C48" w:rsidP="00042FC8">
      <w:r w:rsidRPr="00E61EC7">
        <w:t>The covariates affecting ocular disposition were:</w:t>
      </w:r>
    </w:p>
    <w:p w14:paraId="076E3D89" w14:textId="22EAC43D" w:rsidR="00042FC8" w:rsidRPr="00E61EC7" w:rsidRDefault="002A2C48" w:rsidP="00042FC8">
      <w:pPr>
        <w:pStyle w:val="ListBullet"/>
      </w:pPr>
      <w:r w:rsidRPr="005F453B">
        <w:rPr>
          <w:i/>
        </w:rPr>
        <w:t>Anti-drug antibodies</w:t>
      </w:r>
      <w:r w:rsidR="00210F68">
        <w:rPr>
          <w:i/>
        </w:rPr>
        <w:t xml:space="preserve"> (ADA)</w:t>
      </w:r>
      <w:r w:rsidRPr="00E61EC7">
        <w:t xml:space="preserve">: The presence of plasma ADA resulted in a shorter </w:t>
      </w:r>
      <w:r w:rsidR="003E5F35" w:rsidRPr="00E61EC7">
        <w:t>vitreous humour</w:t>
      </w:r>
      <w:r w:rsidRPr="00E61EC7">
        <w:t xml:space="preserve"> </w:t>
      </w:r>
      <w:r w:rsidR="00F95A22" w:rsidRPr="00E61EC7">
        <w:t>half-life</w:t>
      </w:r>
      <w:r w:rsidRPr="00E61EC7">
        <w:t>.</w:t>
      </w:r>
    </w:p>
    <w:p w14:paraId="2B3B6F56" w14:textId="242668D6" w:rsidR="00042FC8" w:rsidRPr="00E61EC7" w:rsidRDefault="002A2C48" w:rsidP="00042FC8">
      <w:pPr>
        <w:pStyle w:val="ListBullet"/>
      </w:pPr>
      <w:r w:rsidRPr="005F453B">
        <w:rPr>
          <w:i/>
        </w:rPr>
        <w:t>Age</w:t>
      </w:r>
      <w:r w:rsidRPr="00E61EC7">
        <w:t xml:space="preserve">: longer </w:t>
      </w:r>
      <w:r w:rsidR="003E5F35" w:rsidRPr="00E61EC7">
        <w:t>vitreous humour</w:t>
      </w:r>
      <w:r w:rsidRPr="00E61EC7">
        <w:t xml:space="preserve"> </w:t>
      </w:r>
      <w:r w:rsidR="00F95A22" w:rsidRPr="00E61EC7">
        <w:t>half-life</w:t>
      </w:r>
      <w:r w:rsidRPr="00E61EC7">
        <w:t xml:space="preserve"> in older patients.</w:t>
      </w:r>
    </w:p>
    <w:p w14:paraId="222B036C" w14:textId="48F7398E" w:rsidR="00042FC8" w:rsidRPr="00E61EC7" w:rsidRDefault="002A2C48" w:rsidP="00042FC8">
      <w:pPr>
        <w:pStyle w:val="ListBullet"/>
      </w:pPr>
      <w:r w:rsidRPr="005F453B">
        <w:rPr>
          <w:i/>
        </w:rPr>
        <w:lastRenderedPageBreak/>
        <w:t>Formulation</w:t>
      </w:r>
      <w:r w:rsidRPr="00E61EC7">
        <w:t xml:space="preserve">: shorter </w:t>
      </w:r>
      <w:r w:rsidR="003E5F35" w:rsidRPr="00E61EC7">
        <w:t>aqueous humour</w:t>
      </w:r>
      <w:r w:rsidRPr="00E61EC7">
        <w:t xml:space="preserve"> </w:t>
      </w:r>
      <w:r w:rsidR="00F95A22" w:rsidRPr="00E61EC7">
        <w:t>half-life</w:t>
      </w:r>
      <w:r w:rsidRPr="00E61EC7">
        <w:t xml:space="preserve"> with the </w:t>
      </w:r>
      <w:r w:rsidR="00533A7C" w:rsidRPr="00E61EC7">
        <w:t>Phase III</w:t>
      </w:r>
      <w:r w:rsidRPr="00E61EC7">
        <w:t xml:space="preserve"> formulation (compared to </w:t>
      </w:r>
      <w:r w:rsidR="00210F68">
        <w:t xml:space="preserve">the </w:t>
      </w:r>
      <w:r w:rsidR="00533A7C" w:rsidRPr="00E61EC7">
        <w:t>Phase I/II</w:t>
      </w:r>
      <w:r w:rsidR="00210F68">
        <w:t xml:space="preserve"> formulation(s)</w:t>
      </w:r>
      <w:r w:rsidRPr="00E61EC7">
        <w:t>).</w:t>
      </w:r>
    </w:p>
    <w:p w14:paraId="672EFD28" w14:textId="77777777" w:rsidR="00042FC8" w:rsidRPr="00E61EC7" w:rsidRDefault="002A2C48" w:rsidP="00042FC8">
      <w:r w:rsidRPr="00E61EC7">
        <w:t>The covariates affecting plasma disposition were:</w:t>
      </w:r>
    </w:p>
    <w:p w14:paraId="10B2C6D8" w14:textId="161AA2BC" w:rsidR="00042FC8" w:rsidRPr="00E61EC7" w:rsidRDefault="002A2C48" w:rsidP="00042FC8">
      <w:pPr>
        <w:pStyle w:val="ListBullet"/>
      </w:pPr>
      <w:r w:rsidRPr="005F453B">
        <w:rPr>
          <w:i/>
        </w:rPr>
        <w:t>Body weight</w:t>
      </w:r>
      <w:r w:rsidRPr="00E61EC7">
        <w:t xml:space="preserve">: </w:t>
      </w:r>
      <w:r w:rsidR="00F95A22" w:rsidRPr="00E61EC7">
        <w:t>apparent clearance</w:t>
      </w:r>
      <w:r w:rsidRPr="00E61EC7">
        <w:t xml:space="preserve"> and </w:t>
      </w:r>
      <w:r w:rsidR="00C87795" w:rsidRPr="00E61EC7">
        <w:t>apparent volume of distribution</w:t>
      </w:r>
      <w:r w:rsidRPr="00E61EC7">
        <w:t xml:space="preserve"> both increasing with body weight.</w:t>
      </w:r>
    </w:p>
    <w:p w14:paraId="358301BE" w14:textId="4C7D703E" w:rsidR="00042FC8" w:rsidRPr="00E61EC7" w:rsidRDefault="002A2C48" w:rsidP="00042FC8">
      <w:pPr>
        <w:pStyle w:val="ListBullet"/>
      </w:pPr>
      <w:r w:rsidRPr="005F453B">
        <w:rPr>
          <w:i/>
        </w:rPr>
        <w:t>Biological sex</w:t>
      </w:r>
      <w:r w:rsidRPr="00E61EC7">
        <w:t xml:space="preserve">: lower clearance </w:t>
      </w:r>
      <w:r w:rsidR="00F95A22" w:rsidRPr="00E61EC7">
        <w:t>apparent clearance</w:t>
      </w:r>
      <w:r w:rsidRPr="00E61EC7">
        <w:t xml:space="preserve"> in women compared with men.</w:t>
      </w:r>
    </w:p>
    <w:p w14:paraId="7DE6B57B" w14:textId="52598D00" w:rsidR="00042FC8" w:rsidRPr="00E61EC7" w:rsidRDefault="002A2C48" w:rsidP="00042FC8">
      <w:pPr>
        <w:pStyle w:val="ListBullet"/>
      </w:pPr>
      <w:r w:rsidRPr="005F453B">
        <w:rPr>
          <w:i/>
        </w:rPr>
        <w:t>Formulation</w:t>
      </w:r>
      <w:r w:rsidRPr="00E61EC7">
        <w:t xml:space="preserve">: effect on </w:t>
      </w:r>
      <w:r w:rsidR="00F95A22" w:rsidRPr="00E61EC7">
        <w:t>apparent clearance</w:t>
      </w:r>
      <w:r w:rsidRPr="00E61EC7">
        <w:t xml:space="preserve"> leading to lower plasma exposure with the </w:t>
      </w:r>
      <w:r w:rsidR="00533A7C" w:rsidRPr="00E61EC7">
        <w:t>Phase</w:t>
      </w:r>
      <w:r w:rsidR="00E66E49" w:rsidRPr="00E61EC7">
        <w:t> </w:t>
      </w:r>
      <w:r w:rsidR="00533A7C" w:rsidRPr="00E61EC7">
        <w:t>III</w:t>
      </w:r>
      <w:r w:rsidRPr="00E61EC7">
        <w:t xml:space="preserve"> formulation (compared to </w:t>
      </w:r>
      <w:r w:rsidR="00210F68">
        <w:t xml:space="preserve">the </w:t>
      </w:r>
      <w:r w:rsidR="00533A7C" w:rsidRPr="00E61EC7">
        <w:t>Phase I/II</w:t>
      </w:r>
      <w:r w:rsidR="00210F68">
        <w:t xml:space="preserve"> formulation(s)</w:t>
      </w:r>
      <w:r w:rsidRPr="00E61EC7">
        <w:t>).</w:t>
      </w:r>
    </w:p>
    <w:p w14:paraId="16CD1943" w14:textId="3BB75998" w:rsidR="00042FC8" w:rsidRPr="00E61EC7" w:rsidRDefault="002A2C48" w:rsidP="00042FC8">
      <w:r w:rsidRPr="00E61EC7">
        <w:t xml:space="preserve">No other covariates (including ethnicity and race, patient disease characteristics at </w:t>
      </w:r>
      <w:r w:rsidR="005B01D2" w:rsidRPr="00E61EC7">
        <w:t>Baseline</w:t>
      </w:r>
      <w:r w:rsidRPr="00E61EC7">
        <w:t xml:space="preserve"> and the effect of disease (</w:t>
      </w:r>
      <w:r w:rsidR="00533A7C" w:rsidRPr="00E61EC7">
        <w:t>that is,</w:t>
      </w:r>
      <w:r w:rsidRPr="00E61EC7">
        <w:t xml:space="preserve"> </w:t>
      </w:r>
      <w:proofErr w:type="spellStart"/>
      <w:r w:rsidRPr="00E61EC7">
        <w:t>nAMD</w:t>
      </w:r>
      <w:proofErr w:type="spellEnd"/>
      <w:r w:rsidRPr="00E61EC7">
        <w:t xml:space="preserve"> </w:t>
      </w:r>
      <w:r w:rsidR="005B01D2" w:rsidRPr="00E61EC7">
        <w:t>versus</w:t>
      </w:r>
      <w:r w:rsidRPr="00E61EC7">
        <w:t xml:space="preserve"> </w:t>
      </w:r>
      <w:r w:rsidR="0039584C" w:rsidRPr="00E61EC7">
        <w:t>DMO</w:t>
      </w:r>
      <w:r w:rsidRPr="00E61EC7">
        <w:t xml:space="preserve">), prior medication or treatment, fellow eye treatment, concomitant use of </w:t>
      </w:r>
      <w:r w:rsidR="00C87795" w:rsidRPr="00E61EC7">
        <w:t xml:space="preserve">intraocular pressure </w:t>
      </w:r>
      <w:r w:rsidRPr="00E61EC7">
        <w:t xml:space="preserve">lowering agents, </w:t>
      </w:r>
      <w:proofErr w:type="gramStart"/>
      <w:r w:rsidRPr="00E61EC7">
        <w:t>hepatic</w:t>
      </w:r>
      <w:proofErr w:type="gramEnd"/>
      <w:r w:rsidRPr="00E61EC7">
        <w:t xml:space="preserve"> or renal function) affected the </w:t>
      </w:r>
      <w:proofErr w:type="spellStart"/>
      <w:r w:rsidRPr="00E61EC7">
        <w:t>faricimab</w:t>
      </w:r>
      <w:proofErr w:type="spellEnd"/>
      <w:r w:rsidRPr="00E61EC7">
        <w:t xml:space="preserve"> PK parameters.</w:t>
      </w:r>
    </w:p>
    <w:p w14:paraId="554ED044" w14:textId="10459EFD" w:rsidR="00042FC8" w:rsidRPr="00E61EC7" w:rsidRDefault="002A2C48" w:rsidP="00042FC8">
      <w:r w:rsidRPr="00E61EC7">
        <w:t xml:space="preserve">Patients with longer vitreous </w:t>
      </w:r>
      <w:r w:rsidR="00F95A22" w:rsidRPr="00E61EC7">
        <w:t>half-life</w:t>
      </w:r>
      <w:r w:rsidRPr="00E61EC7">
        <w:t xml:space="preserve"> have a higher probability of needing less frequent dosing. Patients with higher exposure tended to have longer duration of ocular target suppression.</w:t>
      </w:r>
    </w:p>
    <w:p w14:paraId="4B98B1FF" w14:textId="47C7DF13" w:rsidR="00042FC8" w:rsidRPr="00E61EC7" w:rsidRDefault="002A2C48" w:rsidP="00042FC8">
      <w:r w:rsidRPr="00E61EC7">
        <w:t xml:space="preserve">There was a flat relationship between vitreous exposure and </w:t>
      </w:r>
      <w:r w:rsidR="000E4FBF" w:rsidRPr="00E61EC7">
        <w:t>central subfield thickness (</w:t>
      </w:r>
      <w:r w:rsidRPr="00E61EC7">
        <w:t>CST</w:t>
      </w:r>
      <w:r w:rsidR="000E4FBF" w:rsidRPr="00E61EC7">
        <w:t>)</w:t>
      </w:r>
      <w:r w:rsidRPr="00E61EC7">
        <w:t xml:space="preserve"> and </w:t>
      </w:r>
      <w:r w:rsidR="000E4FBF" w:rsidRPr="00E61EC7">
        <w:t>best corrected visual acuity (</w:t>
      </w:r>
      <w:r w:rsidRPr="00E61EC7">
        <w:t>BCVA</w:t>
      </w:r>
      <w:r w:rsidR="000E4FBF" w:rsidRPr="00E61EC7">
        <w:t>)</w:t>
      </w:r>
      <w:r w:rsidRPr="00E61EC7">
        <w:t>.</w:t>
      </w:r>
    </w:p>
    <w:p w14:paraId="1E758C81" w14:textId="13886DA8" w:rsidR="00042FC8" w:rsidRPr="00E61EC7" w:rsidRDefault="002A2C48" w:rsidP="00042FC8">
      <w:pPr>
        <w:pStyle w:val="Heading7"/>
        <w:rPr>
          <w:sz w:val="22"/>
          <w:szCs w:val="28"/>
        </w:rPr>
      </w:pPr>
      <w:r w:rsidRPr="00E61EC7">
        <w:rPr>
          <w:sz w:val="22"/>
          <w:szCs w:val="28"/>
        </w:rPr>
        <w:t xml:space="preserve">Target population </w:t>
      </w:r>
      <w:bookmarkStart w:id="57" w:name="_Hlk118282980"/>
      <w:r w:rsidR="000E4FBF" w:rsidRPr="00E61EC7">
        <w:rPr>
          <w:sz w:val="22"/>
          <w:szCs w:val="28"/>
        </w:rPr>
        <w:t xml:space="preserve">pharmacokinetic </w:t>
      </w:r>
      <w:bookmarkEnd w:id="57"/>
      <w:r w:rsidRPr="00E61EC7">
        <w:rPr>
          <w:sz w:val="22"/>
          <w:szCs w:val="28"/>
        </w:rPr>
        <w:t>estimates</w:t>
      </w:r>
    </w:p>
    <w:p w14:paraId="3BF14FB1" w14:textId="140CDB1D" w:rsidR="00042FC8" w:rsidRPr="00E61EC7" w:rsidRDefault="002A2C48" w:rsidP="00042FC8">
      <w:r w:rsidRPr="00E61EC7">
        <w:t xml:space="preserve">For a reference male patient with </w:t>
      </w:r>
      <w:r w:rsidR="0039584C" w:rsidRPr="00E61EC7">
        <w:t>DMO</w:t>
      </w:r>
      <w:r w:rsidRPr="00E61EC7">
        <w:t xml:space="preserve"> or </w:t>
      </w:r>
      <w:proofErr w:type="spellStart"/>
      <w:r w:rsidRPr="00E61EC7">
        <w:t>nAMD</w:t>
      </w:r>
      <w:proofErr w:type="spellEnd"/>
      <w:r w:rsidRPr="00E61EC7">
        <w:t xml:space="preserve"> (80 kg body weight, 65 years old, treated with the Phase III formulation and without ADAs): the </w:t>
      </w:r>
      <w:r w:rsidR="003E5F35" w:rsidRPr="00E61EC7">
        <w:t>vitreous humour</w:t>
      </w:r>
      <w:r w:rsidRPr="00E61EC7">
        <w:t xml:space="preserve"> elimination rate constant equals 0.0929/day. The </w:t>
      </w:r>
      <w:r w:rsidR="003E5F35" w:rsidRPr="00E61EC7">
        <w:t>aqueous humour</w:t>
      </w:r>
      <w:r w:rsidRPr="00E61EC7">
        <w:t xml:space="preserve"> elimination rate constant equals 15.6/day, the volume of plasma compartment equals 1.48 L, and plasma clearance equals 2.33 L/day.</w:t>
      </w:r>
    </w:p>
    <w:p w14:paraId="338AFACA" w14:textId="4845CC3A" w:rsidR="00042FC8" w:rsidRPr="009136ED" w:rsidRDefault="002A2C48" w:rsidP="009136ED">
      <w:pPr>
        <w:pStyle w:val="TableTitle"/>
      </w:pPr>
      <w:bookmarkStart w:id="58" w:name="_Ref102404791"/>
      <w:r w:rsidRPr="009136ED">
        <w:lastRenderedPageBreak/>
        <w:t xml:space="preserve">Table </w:t>
      </w:r>
      <w:r w:rsidR="00C22604" w:rsidRPr="009136ED">
        <w:fldChar w:fldCharType="begin"/>
      </w:r>
      <w:r w:rsidRPr="009136ED">
        <w:instrText xml:space="preserve"> SEQ Table \* ARABIC </w:instrText>
      </w:r>
      <w:r w:rsidR="00C22604" w:rsidRPr="009136ED">
        <w:fldChar w:fldCharType="separate"/>
      </w:r>
      <w:r w:rsidR="001E25B5">
        <w:rPr>
          <w:noProof/>
        </w:rPr>
        <w:t>4</w:t>
      </w:r>
      <w:r w:rsidR="00C22604" w:rsidRPr="009136ED">
        <w:fldChar w:fldCharType="end"/>
      </w:r>
      <w:bookmarkEnd w:id="58"/>
      <w:r w:rsidR="000E4FBF" w:rsidRPr="009136ED">
        <w:t>:</w:t>
      </w:r>
      <w:r w:rsidRPr="009136ED">
        <w:t xml:space="preserve"> </w:t>
      </w:r>
      <w:r w:rsidR="000E4FBF" w:rsidRPr="009136ED">
        <w:t xml:space="preserve">Population </w:t>
      </w:r>
      <w:r w:rsidR="002843D5" w:rsidRPr="009136ED">
        <w:t xml:space="preserve">pharmacokinetic </w:t>
      </w:r>
      <w:r w:rsidR="00D544B5" w:rsidRPr="009136ED">
        <w:t xml:space="preserve">analysis </w:t>
      </w:r>
      <w:r w:rsidR="00054A12">
        <w:t>c</w:t>
      </w:r>
      <w:r w:rsidR="000E4FBF" w:rsidRPr="009136ED">
        <w:t xml:space="preserve">ovariate effects of </w:t>
      </w:r>
      <w:proofErr w:type="spellStart"/>
      <w:r w:rsidR="000E4FBF" w:rsidRPr="009136ED">
        <w:t>faricimab</w:t>
      </w:r>
      <w:proofErr w:type="spellEnd"/>
      <w:r w:rsidR="000E4FBF" w:rsidRPr="009136ED">
        <w:t xml:space="preserve"> estimated by the population pharmacokinetic</w:t>
      </w:r>
      <w:r w:rsidR="002843D5" w:rsidRPr="009136ED">
        <w:t>s</w:t>
      </w:r>
      <w:r w:rsidR="000E4FBF" w:rsidRPr="009136ED">
        <w:t xml:space="preserve"> </w:t>
      </w:r>
      <w:r w:rsidR="00CA2462" w:rsidRPr="009136ED">
        <w:t>(</w:t>
      </w:r>
      <w:r w:rsidR="00D108E7" w:rsidRPr="009136ED">
        <w:t>f</w:t>
      </w:r>
      <w:r w:rsidR="00CA2462" w:rsidRPr="009136ED">
        <w:t xml:space="preserve">inal </w:t>
      </w:r>
      <w:r w:rsidR="00D544B5" w:rsidRPr="009136ED">
        <w:t>m</w:t>
      </w:r>
      <w:r w:rsidR="000E4FBF" w:rsidRPr="009136ED">
        <w:t>odel</w:t>
      </w:r>
      <w:r w:rsidR="00CA2462" w:rsidRPr="009136ED">
        <w:t>)</w:t>
      </w:r>
    </w:p>
    <w:p w14:paraId="62101E4F" w14:textId="3C9F2733" w:rsidR="00CA2462" w:rsidRPr="00E61EC7" w:rsidRDefault="002A2C48" w:rsidP="009136ED">
      <w:r w:rsidRPr="00E61EC7">
        <w:rPr>
          <w:noProof/>
          <w:lang w:val="en-GB" w:eastAsia="en-GB"/>
        </w:rPr>
        <w:drawing>
          <wp:inline distT="0" distB="0" distL="0" distR="0" wp14:anchorId="5229BF77" wp14:editId="5636CC8C">
            <wp:extent cx="5122893" cy="4361447"/>
            <wp:effectExtent l="0" t="0" r="1905" b="1270"/>
            <wp:docPr id="2" name="Picture 2" descr="Table 4: Population pharmacokinetic analysis covariate effects of faricimab estimated by the population pharmacokinetics (fin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 4: Population pharmacokinetic analysis covariate effects of faricimab estimated by the population pharmacokinetics (final model)"/>
                    <pic:cNvPicPr/>
                  </pic:nvPicPr>
                  <pic:blipFill>
                    <a:blip r:embed="rId25"/>
                    <a:stretch>
                      <a:fillRect/>
                    </a:stretch>
                  </pic:blipFill>
                  <pic:spPr>
                    <a:xfrm>
                      <a:off x="0" y="0"/>
                      <a:ext cx="5124943" cy="4363192"/>
                    </a:xfrm>
                    <a:prstGeom prst="rect">
                      <a:avLst/>
                    </a:prstGeom>
                  </pic:spPr>
                </pic:pic>
              </a:graphicData>
            </a:graphic>
          </wp:inline>
        </w:drawing>
      </w:r>
    </w:p>
    <w:p w14:paraId="595CA4E6" w14:textId="462ABDAA" w:rsidR="00CA2462" w:rsidRPr="00E61EC7" w:rsidRDefault="002A2C48" w:rsidP="00202A6D">
      <w:pPr>
        <w:pStyle w:val="TableDescription"/>
      </w:pPr>
      <w:r w:rsidRPr="00E61EC7">
        <w:t xml:space="preserve">Abbreviations: ADA = antidrug antibodies; AH = aqueous </w:t>
      </w:r>
      <w:r w:rsidR="00D108E7" w:rsidRPr="00E61EC7">
        <w:t>humour</w:t>
      </w:r>
      <w:r w:rsidRPr="00E61EC7">
        <w:t xml:space="preserve">; AUC = area under the </w:t>
      </w:r>
      <w:r w:rsidR="00D108E7" w:rsidRPr="00E61EC7">
        <w:t>concentration</w:t>
      </w:r>
      <w:r w:rsidR="00A15BD0" w:rsidRPr="00E61EC7">
        <w:t>-</w:t>
      </w:r>
      <w:r w:rsidR="00D108E7" w:rsidRPr="00E61EC7">
        <w:t xml:space="preserve">time </w:t>
      </w:r>
      <w:r w:rsidRPr="00E61EC7">
        <w:t xml:space="preserve">curve; CI = confidence interval; CL = clearance; </w:t>
      </w:r>
      <w:proofErr w:type="spellStart"/>
      <w:r w:rsidRPr="00E61EC7">
        <w:t>k</w:t>
      </w:r>
      <w:r w:rsidRPr="00E61EC7">
        <w:rPr>
          <w:vertAlign w:val="subscript"/>
        </w:rPr>
        <w:t>AH</w:t>
      </w:r>
      <w:proofErr w:type="spellEnd"/>
      <w:r w:rsidRPr="00E61EC7">
        <w:t xml:space="preserve"> = aqueous </w:t>
      </w:r>
      <w:r w:rsidR="00D108E7" w:rsidRPr="00E61EC7">
        <w:t>humour</w:t>
      </w:r>
      <w:r w:rsidRPr="00E61EC7">
        <w:t xml:space="preserve"> elimination rate constant; </w:t>
      </w:r>
      <w:proofErr w:type="spellStart"/>
      <w:r w:rsidRPr="00E61EC7">
        <w:t>k</w:t>
      </w:r>
      <w:r w:rsidRPr="00E61EC7">
        <w:rPr>
          <w:vertAlign w:val="subscript"/>
        </w:rPr>
        <w:t>VH</w:t>
      </w:r>
      <w:proofErr w:type="spellEnd"/>
      <w:r w:rsidR="00202A6D" w:rsidRPr="00E61EC7">
        <w:t> </w:t>
      </w:r>
      <w:r w:rsidRPr="00E61EC7">
        <w:t>= ocular elimination rate constant</w:t>
      </w:r>
      <w:r w:rsidR="00D108E7" w:rsidRPr="00E61EC7">
        <w:t>; V</w:t>
      </w:r>
      <w:r w:rsidR="00D108E7" w:rsidRPr="00E61EC7">
        <w:rPr>
          <w:vertAlign w:val="subscript"/>
        </w:rPr>
        <w:t>C</w:t>
      </w:r>
      <w:r w:rsidR="00D108E7" w:rsidRPr="00E61EC7">
        <w:t xml:space="preserve"> = central volume.</w:t>
      </w:r>
    </w:p>
    <w:p w14:paraId="779FB9AC" w14:textId="5886E7BC" w:rsidR="00042FC8" w:rsidRPr="00E61EC7" w:rsidRDefault="002A2C48" w:rsidP="00042FC8">
      <w:pPr>
        <w:pStyle w:val="Heading7"/>
        <w:rPr>
          <w:sz w:val="22"/>
          <w:szCs w:val="28"/>
        </w:rPr>
      </w:pPr>
      <w:r w:rsidRPr="00E61EC7">
        <w:rPr>
          <w:sz w:val="22"/>
          <w:szCs w:val="28"/>
        </w:rPr>
        <w:t>Pharmacokinetic parameter results based on dosing regimen</w:t>
      </w:r>
    </w:p>
    <w:p w14:paraId="45A2E967" w14:textId="3425ADD3" w:rsidR="00042FC8" w:rsidRPr="00E61EC7" w:rsidRDefault="002A2C48" w:rsidP="00042FC8">
      <w:r w:rsidRPr="00E61EC7">
        <w:t xml:space="preserve">The model was also used to predict PK parameters for the different dosing regimens used in the clinical trial program, including up to </w:t>
      </w:r>
      <w:r w:rsidR="000E4FBF" w:rsidRPr="00E61EC7">
        <w:t>every 16 weeks</w:t>
      </w:r>
      <w:r w:rsidRPr="00E61EC7">
        <w:t xml:space="preserve"> maintenance dosing (</w:t>
      </w:r>
      <w:r w:rsidR="00000353">
        <w:t xml:space="preserve">see </w:t>
      </w:r>
      <w:r w:rsidRPr="00E61EC7">
        <w:fldChar w:fldCharType="begin"/>
      </w:r>
      <w:r w:rsidRPr="00E61EC7">
        <w:instrText xml:space="preserve"> REF _Ref102552693 \h  \* MERGEFORMAT </w:instrText>
      </w:r>
      <w:r w:rsidRPr="00E61EC7">
        <w:fldChar w:fldCharType="separate"/>
      </w:r>
      <w:r w:rsidR="001E25B5" w:rsidRPr="009136ED">
        <w:t xml:space="preserve">Table </w:t>
      </w:r>
      <w:r w:rsidR="001E25B5">
        <w:t>5</w:t>
      </w:r>
      <w:r w:rsidRPr="00E61EC7">
        <w:fldChar w:fldCharType="end"/>
      </w:r>
      <w:r w:rsidR="00000353">
        <w:t xml:space="preserve"> (below)</w:t>
      </w:r>
      <w:r w:rsidRPr="00E61EC7">
        <w:t xml:space="preserve"> and </w:t>
      </w:r>
      <w:r w:rsidR="00000353">
        <w:t xml:space="preserve">results of the analysis </w:t>
      </w:r>
      <w:r w:rsidRPr="00E61EC7">
        <w:t xml:space="preserve">graphically represented by indication in </w:t>
      </w:r>
      <w:r w:rsidR="00000353" w:rsidRPr="00E61EC7">
        <w:fldChar w:fldCharType="begin"/>
      </w:r>
      <w:r w:rsidR="00000353" w:rsidRPr="00E61EC7">
        <w:instrText xml:space="preserve"> REF _Ref118319022 \h </w:instrText>
      </w:r>
      <w:r w:rsidR="00000353">
        <w:instrText xml:space="preserve"> \* MERGEFORMAT </w:instrText>
      </w:r>
      <w:r w:rsidR="00000353" w:rsidRPr="00E61EC7">
        <w:fldChar w:fldCharType="separate"/>
      </w:r>
      <w:r w:rsidR="001E25B5" w:rsidRPr="00E61EC7">
        <w:t xml:space="preserve">Figure </w:t>
      </w:r>
      <w:r w:rsidR="001E25B5">
        <w:rPr>
          <w:noProof/>
        </w:rPr>
        <w:t>1</w:t>
      </w:r>
      <w:r w:rsidR="00000353" w:rsidRPr="00E61EC7">
        <w:fldChar w:fldCharType="end"/>
      </w:r>
      <w:r w:rsidR="00F71B72" w:rsidRPr="00E61EC7">
        <w:t xml:space="preserve"> and </w:t>
      </w:r>
      <w:r w:rsidR="00F71B72" w:rsidRPr="00E61EC7">
        <w:fldChar w:fldCharType="begin"/>
      </w:r>
      <w:r w:rsidR="00F71B72" w:rsidRPr="00E61EC7">
        <w:instrText xml:space="preserve"> REF _Ref118486773 \h </w:instrText>
      </w:r>
      <w:r w:rsidR="00E61EC7">
        <w:instrText xml:space="preserve"> \* MERGEFORMAT </w:instrText>
      </w:r>
      <w:r w:rsidR="00F71B72" w:rsidRPr="00E61EC7">
        <w:fldChar w:fldCharType="separate"/>
      </w:r>
      <w:r w:rsidR="001E25B5" w:rsidRPr="00E61EC7">
        <w:t xml:space="preserve">Figure </w:t>
      </w:r>
      <w:r w:rsidR="001E25B5">
        <w:rPr>
          <w:noProof/>
        </w:rPr>
        <w:t>2</w:t>
      </w:r>
      <w:r w:rsidR="00F71B72" w:rsidRPr="00E61EC7">
        <w:fldChar w:fldCharType="end"/>
      </w:r>
      <w:r w:rsidR="00AB2343" w:rsidRPr="00E61EC7">
        <w:t xml:space="preserve"> below</w:t>
      </w:r>
      <w:r w:rsidRPr="00E61EC7">
        <w:t>).</w:t>
      </w:r>
    </w:p>
    <w:p w14:paraId="15E1003E" w14:textId="703C9176" w:rsidR="00042FC8" w:rsidRPr="009136ED" w:rsidRDefault="002A2C48" w:rsidP="009136ED">
      <w:pPr>
        <w:pStyle w:val="TableTitle"/>
      </w:pPr>
      <w:bookmarkStart w:id="59" w:name="_Ref102552693"/>
      <w:r w:rsidRPr="009136ED">
        <w:lastRenderedPageBreak/>
        <w:t xml:space="preserve">Table </w:t>
      </w:r>
      <w:r w:rsidR="00C22604" w:rsidRPr="009136ED">
        <w:fldChar w:fldCharType="begin"/>
      </w:r>
      <w:r w:rsidRPr="009136ED">
        <w:instrText xml:space="preserve"> SEQ Table \* ARABIC </w:instrText>
      </w:r>
      <w:r w:rsidR="00C22604" w:rsidRPr="009136ED">
        <w:fldChar w:fldCharType="separate"/>
      </w:r>
      <w:r w:rsidR="001E25B5">
        <w:rPr>
          <w:noProof/>
        </w:rPr>
        <w:t>5</w:t>
      </w:r>
      <w:r w:rsidR="00C22604" w:rsidRPr="009136ED">
        <w:fldChar w:fldCharType="end"/>
      </w:r>
      <w:bookmarkEnd w:id="59"/>
      <w:r w:rsidR="00FB2BF6" w:rsidRPr="009136ED">
        <w:t>:</w:t>
      </w:r>
      <w:r w:rsidRPr="009136ED">
        <w:t xml:space="preserve"> Population </w:t>
      </w:r>
      <w:r w:rsidR="009A6D16" w:rsidRPr="009136ED">
        <w:t>p</w:t>
      </w:r>
      <w:r w:rsidR="005F3D4A" w:rsidRPr="009136ED">
        <w:t xml:space="preserve">harmacokinetic </w:t>
      </w:r>
      <w:r w:rsidR="00D544B5" w:rsidRPr="009136ED">
        <w:t xml:space="preserve">analysis </w:t>
      </w:r>
      <w:r w:rsidR="005F453B" w:rsidRPr="009136ED">
        <w:t>s</w:t>
      </w:r>
      <w:r w:rsidRPr="009136ED">
        <w:t xml:space="preserve">ummary of individual estimates of </w:t>
      </w:r>
      <w:proofErr w:type="spellStart"/>
      <w:r w:rsidRPr="009136ED">
        <w:t>faricimab</w:t>
      </w:r>
      <w:proofErr w:type="spellEnd"/>
      <w:r w:rsidRPr="009136ED">
        <w:t xml:space="preserve"> steady</w:t>
      </w:r>
      <w:r w:rsidR="000F511C" w:rsidRPr="009136ED">
        <w:t xml:space="preserve"> </w:t>
      </w:r>
      <w:r w:rsidRPr="009136ED">
        <w:t xml:space="preserve">state exposures by </w:t>
      </w:r>
      <w:r w:rsidR="00F71B72" w:rsidRPr="009136ED">
        <w:t xml:space="preserve">final </w:t>
      </w:r>
      <w:r w:rsidRPr="009136ED">
        <w:t>dosing regimen (</w:t>
      </w:r>
      <w:r w:rsidR="005F3D4A" w:rsidRPr="009136ED">
        <w:t xml:space="preserve">patients </w:t>
      </w:r>
      <w:r w:rsidRPr="009136ED">
        <w:t xml:space="preserve">from </w:t>
      </w:r>
      <w:r w:rsidR="00533A7C" w:rsidRPr="009136ED">
        <w:t>Phase</w:t>
      </w:r>
      <w:r w:rsidR="000F511C" w:rsidRPr="009136ED">
        <w:t> </w:t>
      </w:r>
      <w:r w:rsidR="00533A7C" w:rsidRPr="009136ED">
        <w:t>III</w:t>
      </w:r>
      <w:r w:rsidRPr="009136ED">
        <w:t xml:space="preserve"> </w:t>
      </w:r>
      <w:r w:rsidR="005F3D4A" w:rsidRPr="009136ED">
        <w:t>studies): mean (standard deviation)</w:t>
      </w:r>
    </w:p>
    <w:p w14:paraId="163D79FD" w14:textId="12BE5209" w:rsidR="00FB2BF6" w:rsidRPr="00E61EC7" w:rsidRDefault="002A2C48" w:rsidP="009136ED">
      <w:r w:rsidRPr="00E61EC7">
        <w:rPr>
          <w:noProof/>
          <w:lang w:val="en-GB" w:eastAsia="en-GB"/>
        </w:rPr>
        <w:drawing>
          <wp:inline distT="0" distB="0" distL="0" distR="0" wp14:anchorId="57C29C2D" wp14:editId="6D69685C">
            <wp:extent cx="5081157" cy="4281102"/>
            <wp:effectExtent l="19050" t="19050" r="24765" b="24765"/>
            <wp:docPr id="7" name="Picture 7" descr="Table 5: Population pharmacokinetic analysis summary of individual estimates of faricimab steady state exposures by final dosing regimen (patients from Phase III studies): mean (standard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 5: Population pharmacokinetic analysis summary of individual estimates of faricimab steady state exposures by final dosing regimen (patients from Phase III studies): mean (standard deviation)"/>
                    <pic:cNvPicPr/>
                  </pic:nvPicPr>
                  <pic:blipFill>
                    <a:blip r:embed="rId26"/>
                    <a:stretch>
                      <a:fillRect/>
                    </a:stretch>
                  </pic:blipFill>
                  <pic:spPr>
                    <a:xfrm>
                      <a:off x="0" y="0"/>
                      <a:ext cx="5090945" cy="4289349"/>
                    </a:xfrm>
                    <a:prstGeom prst="rect">
                      <a:avLst/>
                    </a:prstGeom>
                    <a:ln>
                      <a:solidFill>
                        <a:schemeClr val="tx1"/>
                      </a:solidFill>
                    </a:ln>
                  </pic:spPr>
                </pic:pic>
              </a:graphicData>
            </a:graphic>
          </wp:inline>
        </w:drawing>
      </w:r>
      <w:bookmarkStart w:id="60" w:name="_Ref102561056"/>
    </w:p>
    <w:p w14:paraId="74D4860B" w14:textId="3BA4A2AD" w:rsidR="00DE45C7" w:rsidRDefault="002A2C48" w:rsidP="00F71B72">
      <w:pPr>
        <w:pStyle w:val="TableDescription"/>
      </w:pPr>
      <w:r w:rsidRPr="00E61EC7">
        <w:t>Abbreviations: AH = aqueous humour, AUC</w:t>
      </w:r>
      <w:r w:rsidRPr="00E61EC7">
        <w:rPr>
          <w:vertAlign w:val="subscript"/>
        </w:rPr>
        <w:t>tau</w:t>
      </w:r>
      <w:r w:rsidRPr="00E61EC7">
        <w:t xml:space="preserve"> = area under the concentration-time curve over inter-dose period; </w:t>
      </w:r>
      <w:proofErr w:type="spellStart"/>
      <w:r w:rsidRPr="00E61EC7">
        <w:t>C</w:t>
      </w:r>
      <w:r w:rsidRPr="00E61EC7">
        <w:rPr>
          <w:vertAlign w:val="subscript"/>
        </w:rPr>
        <w:t>max</w:t>
      </w:r>
      <w:proofErr w:type="spellEnd"/>
      <w:r w:rsidRPr="00E61EC7">
        <w:t xml:space="preserve"> = maximum plasma concentration; </w:t>
      </w:r>
      <w:proofErr w:type="spellStart"/>
      <w:proofErr w:type="gramStart"/>
      <w:r w:rsidRPr="00E61EC7">
        <w:t>C</w:t>
      </w:r>
      <w:r w:rsidRPr="00E61EC7">
        <w:rPr>
          <w:vertAlign w:val="subscript"/>
        </w:rPr>
        <w:t>trough,ss</w:t>
      </w:r>
      <w:proofErr w:type="spellEnd"/>
      <w:proofErr w:type="gramEnd"/>
      <w:r w:rsidRPr="00E61EC7">
        <w:t xml:space="preserve"> = steady</w:t>
      </w:r>
      <w:r w:rsidR="000F511C" w:rsidRPr="00E61EC7">
        <w:t xml:space="preserve"> </w:t>
      </w:r>
      <w:r w:rsidRPr="00E61EC7">
        <w:t xml:space="preserve">state trough concentration; DME = diabetic macular </w:t>
      </w:r>
      <w:r w:rsidR="000F511C" w:rsidRPr="00E61EC7">
        <w:t>o</w:t>
      </w:r>
      <w:r w:rsidRPr="00E61EC7">
        <w:t xml:space="preserve">edema; N = number of subjects; </w:t>
      </w:r>
      <w:proofErr w:type="spellStart"/>
      <w:r w:rsidRPr="00E61EC7">
        <w:t>nAMD</w:t>
      </w:r>
      <w:proofErr w:type="spellEnd"/>
      <w:r w:rsidRPr="00E61EC7">
        <w:t xml:space="preserve"> = neovascular age-related macular degeneration; Q4W = every 4 weeks; Q8W = every 8 weeks; Q12W = every 12 weeks; Q16W = every 16 weeks; </w:t>
      </w:r>
      <w:proofErr w:type="spellStart"/>
      <w:r w:rsidRPr="00E61EC7">
        <w:t>T</w:t>
      </w:r>
      <w:r w:rsidRPr="00E61EC7">
        <w:rPr>
          <w:vertAlign w:val="subscript"/>
        </w:rPr>
        <w:t>max</w:t>
      </w:r>
      <w:proofErr w:type="spellEnd"/>
      <w:r w:rsidRPr="00E61EC7">
        <w:t xml:space="preserve"> = time to achieve maximum plasma concentration; VH = vitreous humour.</w:t>
      </w:r>
      <w:r w:rsidR="00DE45C7">
        <w:br w:type="page"/>
      </w:r>
    </w:p>
    <w:p w14:paraId="73D30C9B" w14:textId="3B75E347" w:rsidR="00042FC8" w:rsidRPr="00E61EC7" w:rsidRDefault="002A2C48" w:rsidP="00202A6D">
      <w:pPr>
        <w:pStyle w:val="FigureTitle"/>
      </w:pPr>
      <w:bookmarkStart w:id="61" w:name="_Ref118319022"/>
      <w:r w:rsidRPr="00E61EC7">
        <w:lastRenderedPageBreak/>
        <w:t xml:space="preserve">Figure </w:t>
      </w:r>
      <w:r w:rsidR="00C22604" w:rsidRPr="00E61EC7">
        <w:fldChar w:fldCharType="begin"/>
      </w:r>
      <w:r>
        <w:instrText xml:space="preserve"> SEQ Figure \* ARABIC </w:instrText>
      </w:r>
      <w:r w:rsidR="00C22604" w:rsidRPr="00E61EC7">
        <w:fldChar w:fldCharType="separate"/>
      </w:r>
      <w:r w:rsidR="001E25B5">
        <w:rPr>
          <w:noProof/>
        </w:rPr>
        <w:t>1</w:t>
      </w:r>
      <w:r w:rsidR="00C22604" w:rsidRPr="00E61EC7">
        <w:rPr>
          <w:noProof/>
        </w:rPr>
        <w:fldChar w:fldCharType="end"/>
      </w:r>
      <w:bookmarkEnd w:id="60"/>
      <w:bookmarkEnd w:id="61"/>
      <w:r w:rsidRPr="00E61EC7">
        <w:t xml:space="preserve">: Population </w:t>
      </w:r>
      <w:r w:rsidR="009A6D16" w:rsidRPr="00E61EC7">
        <w:t>p</w:t>
      </w:r>
      <w:r w:rsidR="00D108E7" w:rsidRPr="00E61EC7">
        <w:t xml:space="preserve">harmacokinetic </w:t>
      </w:r>
      <w:r w:rsidR="00D544B5">
        <w:t>analysis</w:t>
      </w:r>
      <w:r w:rsidR="00D544B5" w:rsidRPr="00E61EC7">
        <w:t xml:space="preserve"> </w:t>
      </w:r>
      <w:r w:rsidRPr="00E61EC7">
        <w:t>Steady</w:t>
      </w:r>
      <w:r w:rsidR="000F511C" w:rsidRPr="00E61EC7">
        <w:t xml:space="preserve"> </w:t>
      </w:r>
      <w:r w:rsidRPr="00E61EC7">
        <w:t xml:space="preserve">state median </w:t>
      </w:r>
      <w:proofErr w:type="spellStart"/>
      <w:r w:rsidRPr="00E61EC7">
        <w:t>faricimab</w:t>
      </w:r>
      <w:proofErr w:type="spellEnd"/>
      <w:r w:rsidRPr="00E61EC7">
        <w:t xml:space="preserve"> concentration-time graphs by dosing regimen</w:t>
      </w:r>
      <w:r w:rsidR="00D108E7" w:rsidRPr="00E61EC7">
        <w:t xml:space="preserve"> - predictions of final </w:t>
      </w:r>
      <w:r w:rsidR="00D544B5">
        <w:t>model</w:t>
      </w:r>
      <w:r w:rsidR="00D108E7" w:rsidRPr="00E61EC7">
        <w:t xml:space="preserve">, following 6 mg doses administered to patients with </w:t>
      </w:r>
      <w:r w:rsidR="00A15BD0" w:rsidRPr="00E61EC7">
        <w:t xml:space="preserve">neovascular age-related macular degeneration </w:t>
      </w:r>
      <w:r w:rsidR="00D108E7" w:rsidRPr="00E61EC7">
        <w:t xml:space="preserve">from Phase III </w:t>
      </w:r>
      <w:r w:rsidR="00A15BD0" w:rsidRPr="00E61EC7">
        <w:t>studies</w:t>
      </w:r>
    </w:p>
    <w:p w14:paraId="0BF910EC" w14:textId="2892F5CB" w:rsidR="00D108E7" w:rsidRPr="00E61EC7" w:rsidRDefault="002A2C48" w:rsidP="00202A6D">
      <w:r w:rsidRPr="00E61EC7">
        <w:rPr>
          <w:noProof/>
          <w:lang w:val="en-GB" w:eastAsia="en-GB"/>
        </w:rPr>
        <w:drawing>
          <wp:inline distT="0" distB="0" distL="0" distR="0" wp14:anchorId="561ED00D" wp14:editId="1A70C40C">
            <wp:extent cx="4670854" cy="5197588"/>
            <wp:effectExtent l="0" t="0" r="0" b="3175"/>
            <wp:docPr id="5" name="Picture 5" descr="Figure 1: Population pharmacokinetic analysis Steady state median faricimab concentration-time graphs by dosing regimen - predictions of final model, following 6 mg doses administered to patients with neovascular age-related macular degeneration from Phase III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1: Population pharmacokinetic analysis Steady state median faricimab concentration-time graphs by dosing regimen - predictions of final model, following 6 mg doses administered to patients with neovascular age-related macular degeneration from Phase III studies"/>
                    <pic:cNvPicPr/>
                  </pic:nvPicPr>
                  <pic:blipFill>
                    <a:blip r:embed="rId27"/>
                    <a:stretch>
                      <a:fillRect/>
                    </a:stretch>
                  </pic:blipFill>
                  <pic:spPr>
                    <a:xfrm>
                      <a:off x="0" y="0"/>
                      <a:ext cx="4678044" cy="5205588"/>
                    </a:xfrm>
                    <a:prstGeom prst="rect">
                      <a:avLst/>
                    </a:prstGeom>
                  </pic:spPr>
                </pic:pic>
              </a:graphicData>
            </a:graphic>
          </wp:inline>
        </w:drawing>
      </w:r>
    </w:p>
    <w:p w14:paraId="49A149C5" w14:textId="462C2DA2" w:rsidR="00D108E7" w:rsidRPr="00E61EC7" w:rsidRDefault="002A2C48" w:rsidP="00202A6D">
      <w:pPr>
        <w:pStyle w:val="FigureDescription"/>
      </w:pPr>
      <w:r w:rsidRPr="00E61EC7">
        <w:t>Abbreviations: AH = aqueous humour, Q4W = every 4 weeks; Q8W = every 8 weeks; Q12W = every 12</w:t>
      </w:r>
      <w:r w:rsidR="00944C26" w:rsidRPr="00E61EC7">
        <w:t> </w:t>
      </w:r>
      <w:r w:rsidRPr="00E61EC7">
        <w:t>weeks; Q16W = every 16 weeks; VH = vitreous humour.</w:t>
      </w:r>
    </w:p>
    <w:p w14:paraId="28EC2ACA" w14:textId="77BA4C3D" w:rsidR="00BC78D3" w:rsidRPr="00E61EC7" w:rsidRDefault="002A2C48" w:rsidP="00202A6D">
      <w:pPr>
        <w:pStyle w:val="FigureDescription"/>
      </w:pPr>
      <w:r w:rsidRPr="00E61EC7">
        <w:t>Solid lines: medians of individual predictions</w:t>
      </w:r>
      <w:r w:rsidR="00A15BD0" w:rsidRPr="00E61EC7">
        <w:t>.</w:t>
      </w:r>
      <w:r w:rsidRPr="00E61EC7">
        <w:br w:type="page"/>
      </w:r>
    </w:p>
    <w:p w14:paraId="1FA37E3A" w14:textId="3C9332F5" w:rsidR="00A15BD0" w:rsidRPr="00E61EC7" w:rsidRDefault="002A2C48" w:rsidP="00202A6D">
      <w:pPr>
        <w:pStyle w:val="FigureTitle"/>
      </w:pPr>
      <w:bookmarkStart w:id="62" w:name="_Ref118486773"/>
      <w:r w:rsidRPr="00E61EC7">
        <w:lastRenderedPageBreak/>
        <w:t xml:space="preserve">Figure </w:t>
      </w:r>
      <w:r w:rsidR="00C22604" w:rsidRPr="00E61EC7">
        <w:fldChar w:fldCharType="begin"/>
      </w:r>
      <w:r>
        <w:instrText xml:space="preserve"> SEQ Figure \* ARABIC </w:instrText>
      </w:r>
      <w:r w:rsidR="00C22604" w:rsidRPr="00E61EC7">
        <w:fldChar w:fldCharType="separate"/>
      </w:r>
      <w:r w:rsidR="001E25B5">
        <w:rPr>
          <w:noProof/>
        </w:rPr>
        <w:t>2</w:t>
      </w:r>
      <w:r w:rsidR="00C22604" w:rsidRPr="00E61EC7">
        <w:rPr>
          <w:noProof/>
        </w:rPr>
        <w:fldChar w:fldCharType="end"/>
      </w:r>
      <w:bookmarkEnd w:id="62"/>
      <w:r w:rsidRPr="00E61EC7">
        <w:t xml:space="preserve">: Population </w:t>
      </w:r>
      <w:r w:rsidR="009A6D16" w:rsidRPr="00E61EC7">
        <w:t>p</w:t>
      </w:r>
      <w:r w:rsidRPr="00E61EC7">
        <w:t xml:space="preserve">harmacokinetic </w:t>
      </w:r>
      <w:r w:rsidR="00D544B5">
        <w:t>analysis</w:t>
      </w:r>
      <w:r w:rsidR="00D544B5" w:rsidRPr="00E61EC7">
        <w:t xml:space="preserve"> </w:t>
      </w:r>
      <w:r w:rsidRPr="00E61EC7">
        <w:t>Steady</w:t>
      </w:r>
      <w:r w:rsidR="000F511C" w:rsidRPr="00E61EC7">
        <w:t xml:space="preserve"> </w:t>
      </w:r>
      <w:r w:rsidRPr="00E61EC7">
        <w:t xml:space="preserve">state median </w:t>
      </w:r>
      <w:proofErr w:type="spellStart"/>
      <w:r w:rsidRPr="00E61EC7">
        <w:t>faricimab</w:t>
      </w:r>
      <w:proofErr w:type="spellEnd"/>
      <w:r w:rsidRPr="00E61EC7">
        <w:t xml:space="preserve"> concentration-time graphs by dosing regimen - predictions of final </w:t>
      </w:r>
      <w:r w:rsidR="00D544B5">
        <w:t>model</w:t>
      </w:r>
      <w:r w:rsidRPr="00E61EC7">
        <w:t>, following 6</w:t>
      </w:r>
      <w:r w:rsidR="00334A53">
        <w:t> </w:t>
      </w:r>
      <w:r w:rsidRPr="00E61EC7">
        <w:t>mg doses administered to patients with diabetic macular oedema from Phase</w:t>
      </w:r>
      <w:r w:rsidR="00334A53">
        <w:t> </w:t>
      </w:r>
      <w:r w:rsidRPr="00E61EC7">
        <w:t>III studies</w:t>
      </w:r>
    </w:p>
    <w:p w14:paraId="7F132808" w14:textId="3736BA63" w:rsidR="00A15BD0" w:rsidRPr="00E61EC7" w:rsidRDefault="002A2C48" w:rsidP="00202A6D">
      <w:r w:rsidRPr="00E61EC7">
        <w:rPr>
          <w:noProof/>
          <w:lang w:val="en-GB" w:eastAsia="en-GB"/>
        </w:rPr>
        <w:drawing>
          <wp:inline distT="0" distB="0" distL="0" distR="0" wp14:anchorId="32B0ADC6" wp14:editId="1D185AA4">
            <wp:extent cx="4679306" cy="4853734"/>
            <wp:effectExtent l="0" t="0" r="7620" b="4445"/>
            <wp:docPr id="6" name="Picture 6" descr="Figure 2: Population pharmacokinetic analysis Steady state median faricimab concentration-time graphs by dosing regimen - predictions of final model, following 6 mg doses administered to patients with diabetic macular oedema from Phase III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2: Population pharmacokinetic analysis Steady state median faricimab concentration-time graphs by dosing regimen - predictions of final model, following 6 mg doses administered to patients with diabetic macular oedema from Phase III studies"/>
                    <pic:cNvPicPr/>
                  </pic:nvPicPr>
                  <pic:blipFill>
                    <a:blip r:embed="rId28"/>
                    <a:stretch>
                      <a:fillRect/>
                    </a:stretch>
                  </pic:blipFill>
                  <pic:spPr>
                    <a:xfrm>
                      <a:off x="0" y="0"/>
                      <a:ext cx="4684375" cy="4858992"/>
                    </a:xfrm>
                    <a:prstGeom prst="rect">
                      <a:avLst/>
                    </a:prstGeom>
                  </pic:spPr>
                </pic:pic>
              </a:graphicData>
            </a:graphic>
          </wp:inline>
        </w:drawing>
      </w:r>
    </w:p>
    <w:p w14:paraId="3FF73D60" w14:textId="411EA610" w:rsidR="00A15BD0" w:rsidRPr="00E61EC7" w:rsidRDefault="002A2C48" w:rsidP="00202A6D">
      <w:pPr>
        <w:pStyle w:val="FigureDescription"/>
      </w:pPr>
      <w:r w:rsidRPr="00E61EC7">
        <w:t>Abbreviations: AH = aqueous humour, Q4W = every 4 weeks; Q8W = every 8 weeks; Q12W = every 12</w:t>
      </w:r>
      <w:r w:rsidR="00944C26" w:rsidRPr="00E61EC7">
        <w:t> </w:t>
      </w:r>
      <w:r w:rsidRPr="00E61EC7">
        <w:t>weeks; Q16W = every 16 weeks; VH = vitreous humour.</w:t>
      </w:r>
    </w:p>
    <w:p w14:paraId="49992F4C" w14:textId="0AFA6C50" w:rsidR="00A15BD0" w:rsidRPr="00E61EC7" w:rsidRDefault="002A2C48" w:rsidP="00202A6D">
      <w:pPr>
        <w:pStyle w:val="FigureDescription"/>
      </w:pPr>
      <w:r w:rsidRPr="00E61EC7">
        <w:t>Solid lines: medians of individual predictions.</w:t>
      </w:r>
    </w:p>
    <w:p w14:paraId="65AE082A" w14:textId="342F8F91" w:rsidR="00042FC8" w:rsidRPr="00E61EC7" w:rsidRDefault="002A2C48" w:rsidP="00042FC8">
      <w:pPr>
        <w:pStyle w:val="Heading5"/>
      </w:pPr>
      <w:r w:rsidRPr="00E61EC7">
        <w:t>Pharmacodynamics</w:t>
      </w:r>
    </w:p>
    <w:p w14:paraId="607C2C91" w14:textId="77777777" w:rsidR="00042FC8" w:rsidRPr="00E61EC7" w:rsidRDefault="002A2C48" w:rsidP="00042FC8">
      <w:r w:rsidRPr="00E61EC7">
        <w:t xml:space="preserve">The pharmacodynamic profile of </w:t>
      </w:r>
      <w:proofErr w:type="spellStart"/>
      <w:r w:rsidRPr="00E61EC7">
        <w:t>faricimab</w:t>
      </w:r>
      <w:proofErr w:type="spellEnd"/>
      <w:r w:rsidRPr="00E61EC7">
        <w:t xml:space="preserve"> has been reasonably well characterised.</w:t>
      </w:r>
    </w:p>
    <w:p w14:paraId="16C69371" w14:textId="77777777" w:rsidR="00042FC8" w:rsidRPr="00E61EC7" w:rsidRDefault="002A2C48" w:rsidP="00042FC8">
      <w:pPr>
        <w:pStyle w:val="Heading6"/>
      </w:pPr>
      <w:r w:rsidRPr="00E61EC7">
        <w:t>Mechanism of action</w:t>
      </w:r>
    </w:p>
    <w:p w14:paraId="5B130494" w14:textId="610627EC" w:rsidR="00042FC8" w:rsidRPr="00E61EC7" w:rsidRDefault="002A2C48" w:rsidP="00042FC8">
      <w:proofErr w:type="spellStart"/>
      <w:r w:rsidRPr="00E61EC7">
        <w:t>Faricimab</w:t>
      </w:r>
      <w:proofErr w:type="spellEnd"/>
      <w:r w:rsidRPr="00E61EC7">
        <w:t xml:space="preserve"> acts through inhibition of two distinct pathways by dual selective inhibition and neutralisation of both </w:t>
      </w:r>
      <w:r w:rsidR="005C538E" w:rsidRPr="00E61EC7">
        <w:t>angiopoietin-2 (</w:t>
      </w:r>
      <w:r w:rsidRPr="00E61EC7">
        <w:t>Ang-2</w:t>
      </w:r>
      <w:r w:rsidR="005C538E" w:rsidRPr="00E61EC7">
        <w:t>)</w:t>
      </w:r>
      <w:r w:rsidRPr="00E61EC7">
        <w:t xml:space="preserve"> and </w:t>
      </w:r>
      <w:r w:rsidR="0039584C" w:rsidRPr="00E61EC7">
        <w:t>vascular endothelial growth factor A (</w:t>
      </w:r>
      <w:r w:rsidRPr="00E61EC7">
        <w:t>VEGF-A</w:t>
      </w:r>
      <w:r w:rsidR="0039584C" w:rsidRPr="00E61EC7">
        <w:t>)</w:t>
      </w:r>
      <w:r w:rsidRPr="00E61EC7">
        <w:t>. This appears to reduce vascular permeability and inflammation, inhibit pathological angiogenesis, and restore vascular stability.</w:t>
      </w:r>
    </w:p>
    <w:p w14:paraId="03A39A41" w14:textId="240BAE8E" w:rsidR="00042FC8" w:rsidRPr="00E61EC7" w:rsidRDefault="002A2C48" w:rsidP="00042FC8">
      <w:pPr>
        <w:pStyle w:val="Heading6"/>
      </w:pPr>
      <w:r w:rsidRPr="00E61EC7">
        <w:t>Pharmacodynamic variables</w:t>
      </w:r>
    </w:p>
    <w:p w14:paraId="3C5DDF4D" w14:textId="43D19BE0" w:rsidR="00042FC8" w:rsidRPr="00E61EC7" w:rsidRDefault="002A2C48" w:rsidP="00042FC8">
      <w:pPr>
        <w:pStyle w:val="Heading7"/>
        <w:rPr>
          <w:sz w:val="22"/>
          <w:szCs w:val="28"/>
        </w:rPr>
      </w:pPr>
      <w:r w:rsidRPr="00E61EC7">
        <w:rPr>
          <w:sz w:val="22"/>
          <w:szCs w:val="28"/>
        </w:rPr>
        <w:t>Exposure</w:t>
      </w:r>
      <w:r w:rsidR="005F3D4A" w:rsidRPr="00E61EC7">
        <w:rPr>
          <w:sz w:val="22"/>
          <w:szCs w:val="28"/>
        </w:rPr>
        <w:t xml:space="preserve"> </w:t>
      </w:r>
      <w:r w:rsidRPr="00E61EC7">
        <w:rPr>
          <w:sz w:val="22"/>
          <w:szCs w:val="28"/>
        </w:rPr>
        <w:t>efficacy analyses</w:t>
      </w:r>
    </w:p>
    <w:p w14:paraId="36616616" w14:textId="6FD833E5" w:rsidR="00042FC8" w:rsidRPr="00E61EC7" w:rsidRDefault="002A2C48" w:rsidP="00042FC8">
      <w:r w:rsidRPr="00E61EC7">
        <w:t>Pharmacodynamic</w:t>
      </w:r>
      <w:r w:rsidR="00C87795" w:rsidRPr="00E61EC7">
        <w:t xml:space="preserve"> (PD)</w:t>
      </w:r>
      <w:r w:rsidRPr="00E61EC7">
        <w:t xml:space="preserve"> assessments in the clinical studies showed that </w:t>
      </w:r>
      <w:proofErr w:type="spellStart"/>
      <w:r w:rsidRPr="00E61EC7">
        <w:t>faricimab</w:t>
      </w:r>
      <w:proofErr w:type="spellEnd"/>
      <w:r w:rsidRPr="00E61EC7">
        <w:t xml:space="preserve"> caused a significant reduction in the targets (Ang-2 and VEGF-A) in the aqueous humour without any notable suppression of those targets in the systemic circulation. A robust effect in the anatomical and functional effects of reducing the targets was shown by the robust </w:t>
      </w:r>
      <w:r w:rsidRPr="00E61EC7">
        <w:lastRenderedPageBreak/>
        <w:t xml:space="preserve">reduction in the </w:t>
      </w:r>
      <w:r w:rsidR="00D544B5">
        <w:t>c</w:t>
      </w:r>
      <w:r w:rsidR="00D544B5" w:rsidRPr="00E61EC7">
        <w:t>entral subfield thickness</w:t>
      </w:r>
      <w:r w:rsidR="00D544B5" w:rsidRPr="00E61EC7" w:rsidDel="00D544B5">
        <w:t xml:space="preserve"> </w:t>
      </w:r>
      <w:r w:rsidR="00D544B5">
        <w:t xml:space="preserve">(CST) </w:t>
      </w:r>
      <w:r w:rsidRPr="00E61EC7">
        <w:t xml:space="preserve">and gain in </w:t>
      </w:r>
      <w:r w:rsidR="00D544B5">
        <w:t>b</w:t>
      </w:r>
      <w:r w:rsidR="00D544B5" w:rsidRPr="00E61EC7">
        <w:t xml:space="preserve">est corrected visual acuity </w:t>
      </w:r>
      <w:r w:rsidR="00D544B5">
        <w:t>(</w:t>
      </w:r>
      <w:r w:rsidRPr="00E61EC7">
        <w:t>BCVA</w:t>
      </w:r>
      <w:r w:rsidR="00D544B5">
        <w:t>) from Baseline</w:t>
      </w:r>
      <w:r w:rsidRPr="00E61EC7">
        <w:t>.</w:t>
      </w:r>
    </w:p>
    <w:p w14:paraId="7CB6507F" w14:textId="4B9CA72A" w:rsidR="00042FC8" w:rsidRPr="00E61EC7" w:rsidRDefault="002A2C48" w:rsidP="00042FC8">
      <w:pPr>
        <w:pStyle w:val="Heading7"/>
        <w:rPr>
          <w:sz w:val="22"/>
          <w:szCs w:val="28"/>
        </w:rPr>
      </w:pPr>
      <w:r w:rsidRPr="00E61EC7">
        <w:rPr>
          <w:sz w:val="22"/>
          <w:szCs w:val="28"/>
        </w:rPr>
        <w:t>Exposure</w:t>
      </w:r>
      <w:r w:rsidR="005F3D4A" w:rsidRPr="00E61EC7">
        <w:rPr>
          <w:sz w:val="22"/>
          <w:szCs w:val="28"/>
        </w:rPr>
        <w:t xml:space="preserve"> </w:t>
      </w:r>
      <w:r w:rsidRPr="00E61EC7">
        <w:rPr>
          <w:sz w:val="22"/>
          <w:szCs w:val="28"/>
        </w:rPr>
        <w:t>safety analyses</w:t>
      </w:r>
    </w:p>
    <w:p w14:paraId="519635DB" w14:textId="4436626C" w:rsidR="00042FC8" w:rsidRPr="00E61EC7" w:rsidRDefault="002A2C48" w:rsidP="00042FC8">
      <w:r w:rsidRPr="00E61EC7">
        <w:t xml:space="preserve">The incidence rate of </w:t>
      </w:r>
      <w:bookmarkStart w:id="63" w:name="_Hlk118404950"/>
      <w:r w:rsidR="007D085F" w:rsidRPr="00E61EC7">
        <w:t>intraocular inflammation</w:t>
      </w:r>
      <w:r w:rsidRPr="00E61EC7">
        <w:t xml:space="preserve"> </w:t>
      </w:r>
      <w:bookmarkEnd w:id="63"/>
      <w:r w:rsidRPr="00E61EC7">
        <w:t xml:space="preserve">(assessed with logistic regression models) was low and less than 2% in each of the disease indications. It appeared not to increase with </w:t>
      </w:r>
      <w:proofErr w:type="spellStart"/>
      <w:r w:rsidRPr="00E61EC7">
        <w:t>faricimab</w:t>
      </w:r>
      <w:proofErr w:type="spellEnd"/>
      <w:r w:rsidRPr="00E61EC7">
        <w:t xml:space="preserve"> vitreous humour exposure.</w:t>
      </w:r>
    </w:p>
    <w:p w14:paraId="0A9CE090" w14:textId="68DE08F5" w:rsidR="00042FC8" w:rsidRPr="00E61EC7" w:rsidRDefault="002A2C48" w:rsidP="00042FC8">
      <w:pPr>
        <w:pStyle w:val="Heading6"/>
      </w:pPr>
      <w:r w:rsidRPr="00E61EC7">
        <w:t>Exposure response analysis</w:t>
      </w:r>
    </w:p>
    <w:p w14:paraId="3F5FAB29" w14:textId="0BA908A6" w:rsidR="00042FC8" w:rsidRPr="00E61EC7" w:rsidRDefault="002A2C48" w:rsidP="00042FC8">
      <w:pPr>
        <w:spacing w:line="240" w:lineRule="auto"/>
      </w:pPr>
      <w:r w:rsidRPr="00E61EC7">
        <w:t>The exposure</w:t>
      </w:r>
      <w:r w:rsidR="005F3D4A" w:rsidRPr="00E61EC7">
        <w:t xml:space="preserve"> </w:t>
      </w:r>
      <w:r w:rsidRPr="00E61EC7">
        <w:t>response analyses could not establish a clear increase in response with increasing exposure. This may be partly due to the data on the range for exposure being based on individual variability in exposure at the 6 mg dose level rather than a comparison of the PD difference across different doses. However, it appeared that with increasing exposure the need for a more frequent dosing was reduced due to longer duration of effects</w:t>
      </w:r>
      <w:r w:rsidR="005F3D4A" w:rsidRPr="00E61EC7">
        <w:t xml:space="preserve"> or </w:t>
      </w:r>
      <w:r w:rsidRPr="00E61EC7">
        <w:t>half-life.</w:t>
      </w:r>
    </w:p>
    <w:p w14:paraId="54361C3C" w14:textId="77777777" w:rsidR="00042FC8" w:rsidRPr="00E61EC7" w:rsidRDefault="002A2C48" w:rsidP="00042FC8">
      <w:pPr>
        <w:pStyle w:val="Heading6"/>
      </w:pPr>
      <w:r w:rsidRPr="00E61EC7">
        <w:t>Limitations</w:t>
      </w:r>
    </w:p>
    <w:p w14:paraId="3AE6098E" w14:textId="781FDB61" w:rsidR="00042FC8" w:rsidRPr="00E61EC7" w:rsidRDefault="002A2C48" w:rsidP="00042FC8">
      <w:r w:rsidRPr="00E61EC7">
        <w:t>Limitations include:</w:t>
      </w:r>
    </w:p>
    <w:p w14:paraId="26096BAC" w14:textId="6957250C" w:rsidR="00042FC8" w:rsidRPr="00E61EC7" w:rsidRDefault="002A2C48" w:rsidP="00042FC8">
      <w:pPr>
        <w:pStyle w:val="ListBullet"/>
      </w:pPr>
      <w:r w:rsidRPr="00E61EC7">
        <w:t xml:space="preserve">No specific secondary </w:t>
      </w:r>
      <w:r w:rsidR="007D085F" w:rsidRPr="00E61EC7">
        <w:t>PD</w:t>
      </w:r>
      <w:r w:rsidRPr="00E61EC7">
        <w:t xml:space="preserve"> studies were conducted.</w:t>
      </w:r>
    </w:p>
    <w:p w14:paraId="52746C37" w14:textId="77777777" w:rsidR="00042FC8" w:rsidRPr="00E61EC7" w:rsidRDefault="002A2C48" w:rsidP="00042FC8">
      <w:pPr>
        <w:pStyle w:val="ListBullet"/>
      </w:pPr>
      <w:r w:rsidRPr="00E61EC7">
        <w:t>The potential for PD interactions has not been specifically investigated.</w:t>
      </w:r>
    </w:p>
    <w:p w14:paraId="576865CD" w14:textId="624D10A8" w:rsidR="00042FC8" w:rsidRPr="00E61EC7" w:rsidRDefault="002A2C48" w:rsidP="00042FC8">
      <w:pPr>
        <w:pStyle w:val="ListBullet"/>
      </w:pPr>
      <w:r w:rsidRPr="00E61EC7">
        <w:t xml:space="preserve">No dedicated </w:t>
      </w:r>
      <w:r w:rsidR="0075642C" w:rsidRPr="00E61EC7">
        <w:t>corrected QT interval (QTc);</w:t>
      </w:r>
      <w:r>
        <w:rPr>
          <w:rStyle w:val="FootnoteReference"/>
        </w:rPr>
        <w:footnoteReference w:id="11"/>
      </w:r>
      <w:r w:rsidRPr="00E61EC7">
        <w:t xml:space="preserve"> study has been performed</w:t>
      </w:r>
      <w:r w:rsidR="005F3D4A" w:rsidRPr="00E61EC7">
        <w:t xml:space="preserve"> because </w:t>
      </w:r>
      <w:r w:rsidR="0075642C" w:rsidRPr="00E61EC7">
        <w:t xml:space="preserve">monoclonal antibodies </w:t>
      </w:r>
      <w:r w:rsidRPr="00E61EC7">
        <w:t xml:space="preserve">are unlikely to cause QT prolongation; plasma concentrations were relatively low; clinical study </w:t>
      </w:r>
      <w:r w:rsidR="00CC16D0" w:rsidRPr="00E61EC7">
        <w:t>electrocardiogram</w:t>
      </w:r>
      <w:r w:rsidRPr="00E61EC7">
        <w:t>s did not suggest cardiac safety signals.</w:t>
      </w:r>
    </w:p>
    <w:p w14:paraId="5B1651EC" w14:textId="73C8A3B2" w:rsidR="00042FC8" w:rsidRPr="00E61EC7" w:rsidRDefault="002A2C48" w:rsidP="00042FC8">
      <w:pPr>
        <w:pStyle w:val="Heading4"/>
      </w:pPr>
      <w:r w:rsidRPr="00E61EC7">
        <w:t>Efficacy</w:t>
      </w:r>
      <w:r w:rsidR="005A61F8" w:rsidRPr="00E61EC7">
        <w:t xml:space="preserve"> for</w:t>
      </w:r>
      <w:r w:rsidRPr="00E61EC7">
        <w:t xml:space="preserve"> neovascular age-related macular degeneration</w:t>
      </w:r>
      <w:r w:rsidR="005A61F8" w:rsidRPr="00E61EC7">
        <w:t xml:space="preserve"> indication</w:t>
      </w:r>
    </w:p>
    <w:p w14:paraId="0251AC85" w14:textId="6024C59A" w:rsidR="00042FC8" w:rsidRPr="00E61EC7" w:rsidRDefault="002A2C48" w:rsidP="00042FC8">
      <w:r w:rsidRPr="00E61EC7">
        <w:t xml:space="preserve">This </w:t>
      </w:r>
      <w:r w:rsidR="005A61F8" w:rsidRPr="00E61EC7">
        <w:t>submission</w:t>
      </w:r>
      <w:r w:rsidRPr="00E61EC7">
        <w:t xml:space="preserve"> provides analyses at the primary endpoint (Week 48) and up to the Week</w:t>
      </w:r>
      <w:r w:rsidR="005F3D4A" w:rsidRPr="00E61EC7">
        <w:t> </w:t>
      </w:r>
      <w:r w:rsidRPr="00E61EC7">
        <w:t xml:space="preserve">60 study visit from the pivotal </w:t>
      </w:r>
      <w:r w:rsidR="00533A7C" w:rsidRPr="00E61EC7">
        <w:t>Phase III</w:t>
      </w:r>
      <w:r w:rsidRPr="00E61EC7">
        <w:t xml:space="preserve"> studies</w:t>
      </w:r>
      <w:r w:rsidR="005F3D4A" w:rsidRPr="00E61EC7">
        <w:t xml:space="preserve"> (</w:t>
      </w:r>
      <w:r w:rsidR="00D544B5">
        <w:t xml:space="preserve">Studies GR40306 and GR40844; also known as the </w:t>
      </w:r>
      <w:r w:rsidRPr="00E61EC7">
        <w:t>TENAYA and LUCERNE</w:t>
      </w:r>
      <w:r w:rsidR="00D544B5">
        <w:t xml:space="preserve"> </w:t>
      </w:r>
      <w:r w:rsidR="005F3D4A" w:rsidRPr="00E61EC7">
        <w:t>trials),</w:t>
      </w:r>
      <w:r w:rsidR="00AE27B0" w:rsidRPr="00E61EC7">
        <w:t xml:space="preserve"> </w:t>
      </w:r>
      <w:r w:rsidRPr="00E61EC7">
        <w:t>to support a fixed dosing regimen.</w:t>
      </w:r>
    </w:p>
    <w:p w14:paraId="12541F5E" w14:textId="648FAC34" w:rsidR="00042FC8" w:rsidRDefault="002A2C48" w:rsidP="00042FC8">
      <w:pPr>
        <w:pStyle w:val="Heading5"/>
      </w:pPr>
      <w:r w:rsidRPr="00E61EC7">
        <w:t xml:space="preserve">Pivotal </w:t>
      </w:r>
      <w:r w:rsidR="00533A7C" w:rsidRPr="00E61EC7">
        <w:t>Phase III</w:t>
      </w:r>
      <w:r w:rsidRPr="00E61EC7">
        <w:t xml:space="preserve"> studie</w:t>
      </w:r>
      <w:r w:rsidR="00C10358" w:rsidRPr="00E61EC7">
        <w:t>s</w:t>
      </w:r>
    </w:p>
    <w:p w14:paraId="76CE3EB3" w14:textId="66D2801A" w:rsidR="00090A22" w:rsidRPr="00090A22" w:rsidRDefault="00090A22" w:rsidP="00463201">
      <w:r>
        <w:t>The pivotal Phase III studies were Study GR40306 (known as the TENAYA trial) and Study GR40844 (known as the LUCERNE trial). Due to the similarity of these studies, they are discussed together</w:t>
      </w:r>
      <w:r w:rsidR="003C7AB1">
        <w:t xml:space="preserve"> below</w:t>
      </w:r>
      <w:r>
        <w:t>.</w:t>
      </w:r>
    </w:p>
    <w:p w14:paraId="3B7B2CFB" w14:textId="13C84E65" w:rsidR="00042FC8" w:rsidRPr="00E61EC7" w:rsidRDefault="002A2C48" w:rsidP="00463201">
      <w:pPr>
        <w:pStyle w:val="Heading6"/>
      </w:pPr>
      <w:r w:rsidRPr="00E61EC7">
        <w:t xml:space="preserve">Study </w:t>
      </w:r>
      <w:r w:rsidR="005F3D4A" w:rsidRPr="00E61EC7">
        <w:t xml:space="preserve">GR40306 </w:t>
      </w:r>
      <w:r w:rsidRPr="00E61EC7">
        <w:t>(TENAYA trial)</w:t>
      </w:r>
    </w:p>
    <w:p w14:paraId="111A96F8" w14:textId="75D2920B" w:rsidR="00042FC8" w:rsidRPr="00E61EC7" w:rsidRDefault="002A2C48" w:rsidP="00042FC8">
      <w:r w:rsidRPr="00E61EC7">
        <w:rPr>
          <w:szCs w:val="28"/>
        </w:rPr>
        <w:t>The TENAYA trial</w:t>
      </w:r>
      <w:r w:rsidRPr="00E61EC7">
        <w:t xml:space="preserve"> </w:t>
      </w:r>
      <w:r w:rsidR="00C10358" w:rsidRPr="00E61EC7">
        <w:t>is a</w:t>
      </w:r>
      <w:r w:rsidRPr="00E61EC7">
        <w:t xml:space="preserve"> pivotal, ongoing, 112-week, </w:t>
      </w:r>
      <w:r w:rsidR="00533A7C" w:rsidRPr="00E61EC7">
        <w:t>Phase III</w:t>
      </w:r>
      <w:r w:rsidRPr="00E61EC7">
        <w:t>, randomised, double</w:t>
      </w:r>
      <w:r w:rsidR="00C10358" w:rsidRPr="00E61EC7">
        <w:t xml:space="preserve"> </w:t>
      </w:r>
      <w:r w:rsidRPr="00E61EC7">
        <w:t>masked, multicentre (149 centres in 15 countries), 2-arm parallel</w:t>
      </w:r>
      <w:r w:rsidR="00C10358" w:rsidRPr="00E61EC7">
        <w:t xml:space="preserve"> </w:t>
      </w:r>
      <w:r w:rsidRPr="00E61EC7">
        <w:t xml:space="preserve">group (1:1), actively controlled study to assess the efficacy and safety of </w:t>
      </w:r>
      <w:proofErr w:type="spellStart"/>
      <w:r w:rsidRPr="00E61EC7">
        <w:t>faricimab</w:t>
      </w:r>
      <w:proofErr w:type="spellEnd"/>
      <w:r w:rsidRPr="00E61EC7">
        <w:t xml:space="preserve"> in 671 adult patients 50 years of age</w:t>
      </w:r>
      <w:r w:rsidR="00C10358" w:rsidRPr="00E61EC7">
        <w:t xml:space="preserve"> and older</w:t>
      </w:r>
      <w:r w:rsidRPr="00E61EC7">
        <w:t xml:space="preserve"> with neovascular age-related macular degeneration (</w:t>
      </w:r>
      <w:proofErr w:type="spellStart"/>
      <w:r w:rsidRPr="00E61EC7">
        <w:t>nAMD</w:t>
      </w:r>
      <w:proofErr w:type="spellEnd"/>
      <w:r w:rsidRPr="00E61EC7">
        <w:t>) between 19</w:t>
      </w:r>
      <w:r w:rsidR="00C10358" w:rsidRPr="00E61EC7">
        <w:t> </w:t>
      </w:r>
      <w:r w:rsidRPr="00E61EC7">
        <w:t>February 2019 and 26 October 2020.</w:t>
      </w:r>
    </w:p>
    <w:p w14:paraId="36569981" w14:textId="1DD219D1" w:rsidR="00042FC8" w:rsidRPr="00E61EC7" w:rsidRDefault="002A2C48" w:rsidP="00463201">
      <w:pPr>
        <w:pStyle w:val="Heading6"/>
      </w:pPr>
      <w:r w:rsidRPr="00E61EC7">
        <w:t>Study GR40844 (LUCERNE trial)</w:t>
      </w:r>
    </w:p>
    <w:p w14:paraId="441E751F" w14:textId="042FADA3" w:rsidR="00042FC8" w:rsidRPr="00E61EC7" w:rsidRDefault="002A2C48" w:rsidP="00042FC8">
      <w:r w:rsidRPr="00E61EC7">
        <w:rPr>
          <w:szCs w:val="28"/>
        </w:rPr>
        <w:t xml:space="preserve">The LUCERNE trial </w:t>
      </w:r>
      <w:r w:rsidR="00C10358" w:rsidRPr="00E61EC7">
        <w:rPr>
          <w:szCs w:val="28"/>
        </w:rPr>
        <w:t xml:space="preserve">is a </w:t>
      </w:r>
      <w:r w:rsidRPr="00E61EC7">
        <w:t xml:space="preserve">pivotal, ongoing, 112-week, </w:t>
      </w:r>
      <w:r w:rsidR="00533A7C" w:rsidRPr="00E61EC7">
        <w:t>Phase III</w:t>
      </w:r>
      <w:r w:rsidRPr="00E61EC7">
        <w:t>, randomised, double</w:t>
      </w:r>
      <w:r w:rsidR="00C10358" w:rsidRPr="00E61EC7">
        <w:t xml:space="preserve"> </w:t>
      </w:r>
      <w:r w:rsidRPr="00E61EC7">
        <w:t>masked, multicentre (</w:t>
      </w:r>
      <w:r w:rsidR="008B0E22">
        <w:t>122</w:t>
      </w:r>
      <w:r w:rsidR="008B0E22" w:rsidRPr="00E61EC7">
        <w:t xml:space="preserve"> </w:t>
      </w:r>
      <w:r w:rsidRPr="00E61EC7">
        <w:t xml:space="preserve">centres in </w:t>
      </w:r>
      <w:r w:rsidR="008B0E22" w:rsidRPr="00E61EC7">
        <w:t>2</w:t>
      </w:r>
      <w:r w:rsidR="008B0E22">
        <w:t>0</w:t>
      </w:r>
      <w:r w:rsidR="008B0E22" w:rsidRPr="00E61EC7">
        <w:t xml:space="preserve"> </w:t>
      </w:r>
      <w:r w:rsidRPr="00E61EC7">
        <w:t>countries), 2-arm parallel</w:t>
      </w:r>
      <w:r w:rsidR="00C10358" w:rsidRPr="00E61EC7">
        <w:t xml:space="preserve"> </w:t>
      </w:r>
      <w:r w:rsidRPr="00E61EC7">
        <w:t xml:space="preserve">group (1:1), actively controlled </w:t>
      </w:r>
      <w:r w:rsidRPr="00E61EC7">
        <w:lastRenderedPageBreak/>
        <w:t xml:space="preserve">study to assess the efficacy and safety of </w:t>
      </w:r>
      <w:proofErr w:type="spellStart"/>
      <w:r w:rsidRPr="00E61EC7">
        <w:t>faricimab</w:t>
      </w:r>
      <w:proofErr w:type="spellEnd"/>
      <w:r w:rsidRPr="00E61EC7">
        <w:t xml:space="preserve"> in 658 adult patients 50</w:t>
      </w:r>
      <w:r w:rsidR="00D544B5">
        <w:t> </w:t>
      </w:r>
      <w:r w:rsidRPr="00E61EC7">
        <w:t>years of age</w:t>
      </w:r>
      <w:r w:rsidR="00C10358" w:rsidRPr="00E61EC7">
        <w:t xml:space="preserve"> and older</w:t>
      </w:r>
      <w:r w:rsidRPr="00E61EC7">
        <w:t xml:space="preserve"> with </w:t>
      </w:r>
      <w:proofErr w:type="spellStart"/>
      <w:r w:rsidRPr="00E61EC7">
        <w:t>nAMD</w:t>
      </w:r>
      <w:proofErr w:type="spellEnd"/>
      <w:r w:rsidRPr="00E61EC7">
        <w:t xml:space="preserve"> between 11 March 2019 and 5 October 2020.</w:t>
      </w:r>
    </w:p>
    <w:p w14:paraId="00622C2F" w14:textId="33258BB4" w:rsidR="00042FC8" w:rsidRPr="00E61EC7" w:rsidRDefault="002A2C48" w:rsidP="00463201">
      <w:pPr>
        <w:pStyle w:val="Heading6"/>
      </w:pPr>
      <w:r w:rsidRPr="00E61EC7">
        <w:t>Efficacy objectives</w:t>
      </w:r>
    </w:p>
    <w:p w14:paraId="5F7FF59C" w14:textId="0C30E5D5" w:rsidR="00042FC8" w:rsidRPr="00E61EC7" w:rsidRDefault="002A2C48" w:rsidP="00C10358">
      <w:r w:rsidRPr="00E61EC7">
        <w:t xml:space="preserve">The primary efficacy objective is to evaluate the efficacy of intravitreal injections of the 6 mg dose of </w:t>
      </w:r>
      <w:proofErr w:type="spellStart"/>
      <w:r w:rsidRPr="00E61EC7">
        <w:t>faricimab</w:t>
      </w:r>
      <w:proofErr w:type="spellEnd"/>
      <w:r w:rsidRPr="00E61EC7">
        <w:t xml:space="preserve"> on </w:t>
      </w:r>
      <w:r w:rsidR="00C87795" w:rsidRPr="00E61EC7">
        <w:t>best corrected visual acuity (</w:t>
      </w:r>
      <w:r w:rsidRPr="00E61EC7">
        <w:t>BCVA</w:t>
      </w:r>
      <w:r w:rsidR="00C87795" w:rsidRPr="00E61EC7">
        <w:t>)</w:t>
      </w:r>
      <w:r w:rsidRPr="00E61EC7">
        <w:t xml:space="preserve"> outcomes compared with aflibercept.</w:t>
      </w:r>
    </w:p>
    <w:p w14:paraId="5B61F7D8" w14:textId="1D99CC62" w:rsidR="00C10358" w:rsidRPr="00E61EC7" w:rsidRDefault="002A2C48" w:rsidP="00C10358">
      <w:r w:rsidRPr="00E61EC7">
        <w:t>The key secondary efficacy objectives are:</w:t>
      </w:r>
    </w:p>
    <w:p w14:paraId="184BEA99" w14:textId="4053233B" w:rsidR="00042FC8" w:rsidRPr="00E61EC7" w:rsidRDefault="002A2C48" w:rsidP="00042FC8">
      <w:pPr>
        <w:pStyle w:val="ListBullet"/>
      </w:pPr>
      <w:r w:rsidRPr="00E61EC7">
        <w:t xml:space="preserve">to evaluate the efficacy of </w:t>
      </w:r>
      <w:proofErr w:type="spellStart"/>
      <w:r w:rsidRPr="00E61EC7">
        <w:t>faricimab</w:t>
      </w:r>
      <w:proofErr w:type="spellEnd"/>
      <w:r w:rsidRPr="00E61EC7">
        <w:t xml:space="preserve"> on additional BCVA </w:t>
      </w:r>
      <w:proofErr w:type="gramStart"/>
      <w:r w:rsidRPr="00E61EC7">
        <w:t>outcomes;</w:t>
      </w:r>
      <w:proofErr w:type="gramEnd"/>
    </w:p>
    <w:p w14:paraId="3373AFB9" w14:textId="51A1C122" w:rsidR="00042FC8" w:rsidRPr="00E61EC7" w:rsidRDefault="002A2C48" w:rsidP="00042FC8">
      <w:pPr>
        <w:pStyle w:val="ListBullet"/>
      </w:pPr>
      <w:r w:rsidRPr="00E61EC7">
        <w:t xml:space="preserve">to evaluate the frequency of study drug </w:t>
      </w:r>
      <w:proofErr w:type="gramStart"/>
      <w:r w:rsidRPr="00E61EC7">
        <w:t>administration;</w:t>
      </w:r>
      <w:proofErr w:type="gramEnd"/>
    </w:p>
    <w:p w14:paraId="2BFC438F" w14:textId="7DBD86CC" w:rsidR="00D544B5" w:rsidRPr="00E61EC7" w:rsidRDefault="002A2C48" w:rsidP="00042FC8">
      <w:pPr>
        <w:pStyle w:val="ListBullet"/>
      </w:pPr>
      <w:r w:rsidRPr="00E61EC7">
        <w:t xml:space="preserve">to evaluate the efficacy of </w:t>
      </w:r>
      <w:proofErr w:type="spellStart"/>
      <w:r w:rsidRPr="00E61EC7">
        <w:t>faricimab</w:t>
      </w:r>
      <w:proofErr w:type="spellEnd"/>
      <w:r w:rsidRPr="00E61EC7">
        <w:t xml:space="preserve"> on anatomic outcome measures using optical coherence tomography; and</w:t>
      </w:r>
    </w:p>
    <w:p w14:paraId="295F3816" w14:textId="54EB9472" w:rsidR="00C10358" w:rsidRPr="00E61EC7" w:rsidRDefault="002A2C48" w:rsidP="005F453B">
      <w:pPr>
        <w:pStyle w:val="ListBullet"/>
      </w:pPr>
      <w:r w:rsidRPr="00E61EC7">
        <w:t xml:space="preserve">to </w:t>
      </w:r>
      <w:r w:rsidR="00042FC8" w:rsidRPr="00E61EC7">
        <w:t xml:space="preserve">evaluate the efficacy of </w:t>
      </w:r>
      <w:proofErr w:type="spellStart"/>
      <w:r w:rsidR="00042FC8" w:rsidRPr="00E61EC7">
        <w:t>faricimab</w:t>
      </w:r>
      <w:proofErr w:type="spellEnd"/>
      <w:r w:rsidR="00042FC8" w:rsidRPr="00E61EC7">
        <w:t xml:space="preserve"> on anatomic outcome measures using fundus fluorescein angiography</w:t>
      </w:r>
      <w:r w:rsidRPr="00E61EC7">
        <w:t>.</w:t>
      </w:r>
    </w:p>
    <w:p w14:paraId="5AAE8E2C" w14:textId="6C035686" w:rsidR="00042FC8" w:rsidRPr="00E61EC7" w:rsidRDefault="002A2C48" w:rsidP="00202A6D">
      <w:pPr>
        <w:pStyle w:val="FigureTitle"/>
      </w:pPr>
      <w:r w:rsidRPr="00E61EC7">
        <w:t xml:space="preserve">Figure </w:t>
      </w:r>
      <w:r w:rsidR="00C22604" w:rsidRPr="00E61EC7">
        <w:fldChar w:fldCharType="begin"/>
      </w:r>
      <w:r>
        <w:instrText xml:space="preserve"> SEQ Figure \* ARABIC </w:instrText>
      </w:r>
      <w:r w:rsidR="00C22604" w:rsidRPr="00E61EC7">
        <w:fldChar w:fldCharType="separate"/>
      </w:r>
      <w:r w:rsidR="001E25B5">
        <w:rPr>
          <w:noProof/>
        </w:rPr>
        <w:t>3</w:t>
      </w:r>
      <w:r w:rsidR="00C22604" w:rsidRPr="00E61EC7">
        <w:rPr>
          <w:noProof/>
        </w:rPr>
        <w:fldChar w:fldCharType="end"/>
      </w:r>
      <w:r w:rsidRPr="00E61EC7">
        <w:t>: Studies GR40306 and GR40844 (</w:t>
      </w:r>
      <w:r w:rsidR="00D544B5">
        <w:t xml:space="preserve">TENAYA and </w:t>
      </w:r>
      <w:r w:rsidRPr="00E61EC7">
        <w:t>LUCERNE trial</w:t>
      </w:r>
      <w:r w:rsidR="00D544B5">
        <w:t>s</w:t>
      </w:r>
      <w:r w:rsidRPr="00E61EC7">
        <w:t>) Study design</w:t>
      </w:r>
    </w:p>
    <w:p w14:paraId="4ED3C279" w14:textId="6C515FEC" w:rsidR="00BC78D3" w:rsidRPr="00E61EC7" w:rsidRDefault="002A2C48" w:rsidP="00202A6D">
      <w:r w:rsidRPr="00E61EC7">
        <w:rPr>
          <w:noProof/>
          <w:lang w:val="en-GB" w:eastAsia="en-GB"/>
        </w:rPr>
        <w:drawing>
          <wp:inline distT="0" distB="0" distL="0" distR="0" wp14:anchorId="184D02EE" wp14:editId="42C35671">
            <wp:extent cx="5210827" cy="2908300"/>
            <wp:effectExtent l="0" t="0" r="8890" b="6350"/>
            <wp:docPr id="8" name="Picture 8" descr="Figure 3: Studies GR40306 and GR40844 (TENAYA and LUCERNE trials) Study design&#10;&#10;The TENAYA and LUCERNE trials are ongoing identically designed Phase III studies. Each study is a global, multicenter, randomised, active comparator controlled, double masked, parallel group, 112 week study to investigate the efficacy, safety, durability, and pharmacokinetics of faricimab administered at up to 16 week intervals to treatment naive patients with neovascular age related macular degeneration.&#10;&#10;Approximately 640 patients were planned to be enrolled globally and randomised in a 1:1 ratio to one of two treatment arms:&#10;&#10;A total of 320 participants were enrolled in Arm A: faricimab up to every 16 weeks: 6 mg of intravitreal faricimab every 4 weeks up to Week 12 (4 injections). At Week 20, following a protocol defined assessment of disease activity, patients with active disease received faricimab at that visit and continued on a fixed every 8 weeks dosing regimen. At Week 24, following a second protocol defined assessment of disease activity, patients with active disease (excluding those with active disease at Week 20) received faricimab at that visit, and continued on a fixed every 12 weeks dosing regimen. Patients who did not have active disease at Week 20 and Week 24 according to the protocol defined criteria were treated with a fixed every 16 weeks dosing regimen of faricimab. These fixed regimens of faricimab dosing continued until Week 60, and no supplementary therapy was allowed. From Week 60 (when all patients in this treatment arm are scheduled to receive faricimab) onward, all patients are treated according to a personalised treatment interval dosing regimen up to Week 108.&#10;&#10;A total of 320 participants were enrolled in Arm B: aflibercept every 8 weeks (comparator arm): 2 mg of intravitreal aflibercept every 4 weeks up to Week 8 (3 injections), followed by 2 mg of intravitreal aflibercept every 8 weeks up to We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 Studies GR40306 and GR40844 (TENAYA and LUCERNE trials) Study design&#10;&#10;The TENAYA and LUCERNE trials are ongoing identically designed Phase III studies. Each study is a global, multicenter, randomised, active comparator controlled, double masked, parallel group, 112 week study to investigate the efficacy, safety, durability, and pharmacokinetics of faricimab administered at up to 16 week intervals to treatment naive patients with neovascular age related macular degeneration.&#10;&#10;Approximately 640 patients were planned to be enrolled globally and randomised in a 1:1 ratio to one of two treatment arms:&#10;&#10;A total of 320 participants were enrolled in Arm A: faricimab up to every 16 weeks: 6 mg of intravitreal faricimab every 4 weeks up to Week 12 (4 injections). At Week 20, following a protocol defined assessment of disease activity, patients with active disease received faricimab at that visit and continued on a fixed every 8 weeks dosing regimen. At Week 24, following a second protocol defined assessment of disease activity, patients with active disease (excluding those with active disease at Week 20) received faricimab at that visit, and continued on a fixed every 12 weeks dosing regimen. Patients who did not have active disease at Week 20 and Week 24 according to the protocol defined criteria were treated with a fixed every 16 weeks dosing regimen of faricimab. These fixed regimens of faricimab dosing continued until Week 60, and no supplementary therapy was allowed. From Week 60 (when all patients in this treatment arm are scheduled to receive faricimab) onward, all patients are treated according to a personalised treatment interval dosing regimen up to Week 108.&#10;&#10;A total of 320 participants were enrolled in Arm B: aflibercept every 8 weeks (comparator arm): 2 mg of intravitreal aflibercept every 4 weeks up to Week 8 (3 injections), followed by 2 mg of intravitreal aflibercept every 8 weeks up to Week 108."/>
                    <pic:cNvPicPr/>
                  </pic:nvPicPr>
                  <pic:blipFill>
                    <a:blip r:embed="rId29"/>
                    <a:stretch>
                      <a:fillRect/>
                    </a:stretch>
                  </pic:blipFill>
                  <pic:spPr>
                    <a:xfrm>
                      <a:off x="0" y="0"/>
                      <a:ext cx="5211929" cy="2908915"/>
                    </a:xfrm>
                    <a:prstGeom prst="rect">
                      <a:avLst/>
                    </a:prstGeom>
                  </pic:spPr>
                </pic:pic>
              </a:graphicData>
            </a:graphic>
          </wp:inline>
        </w:drawing>
      </w:r>
    </w:p>
    <w:p w14:paraId="79229FD8" w14:textId="7DC2FE10" w:rsidR="00BC78D3" w:rsidRPr="00E61EC7" w:rsidRDefault="002A2C48" w:rsidP="00202A6D">
      <w:pPr>
        <w:pStyle w:val="FigureDescription"/>
      </w:pPr>
      <w:r w:rsidRPr="00E61EC7">
        <w:t>Abbreviations: BCVA = best</w:t>
      </w:r>
      <w:r w:rsidR="002828EF" w:rsidRPr="00E61EC7">
        <w:t xml:space="preserve"> </w:t>
      </w:r>
      <w:r w:rsidRPr="00E61EC7">
        <w:t>corrected visual acuity; ETDRS = Early Treatment Diabetic Retinopathy Study; IVT = intravitreal; PTI = personalised treatment interval; Q8W =every 8 weeks; Q16W = every 16 weeks; W = Week.</w:t>
      </w:r>
    </w:p>
    <w:p w14:paraId="3A255980" w14:textId="32509784" w:rsidR="00BC78D3" w:rsidRPr="00E61EC7" w:rsidRDefault="002A2C48" w:rsidP="00202A6D">
      <w:pPr>
        <w:pStyle w:val="FigureDescription"/>
      </w:pPr>
      <w:r w:rsidRPr="00E61EC7">
        <w:t>a</w:t>
      </w:r>
      <w:r w:rsidR="00944C26" w:rsidRPr="00E61EC7">
        <w:t>.</w:t>
      </w:r>
      <w:r w:rsidRPr="00E61EC7">
        <w:t xml:space="preserve"> At Weeks 20 and 24, patients underwent a disease activity assessment. Patients with anatomic or functional signs of disease activity at these time points received every </w:t>
      </w:r>
      <w:proofErr w:type="gramStart"/>
      <w:r w:rsidRPr="00E61EC7">
        <w:t>8 or 12 weeks</w:t>
      </w:r>
      <w:proofErr w:type="gramEnd"/>
      <w:r w:rsidRPr="00E61EC7">
        <w:t xml:space="preserve"> dosing, respectively, up until Week 60. Patients with no disease activity at these two time points received every 16 weeks dosing up until Week 60.</w:t>
      </w:r>
    </w:p>
    <w:p w14:paraId="56F206EB" w14:textId="58D16171" w:rsidR="00BC78D3" w:rsidRPr="00E61EC7" w:rsidRDefault="002A2C48" w:rsidP="00202A6D">
      <w:pPr>
        <w:pStyle w:val="FigureDescription"/>
      </w:pPr>
      <w:r w:rsidRPr="00E61EC7">
        <w:t>b</w:t>
      </w:r>
      <w:r w:rsidR="00944C26" w:rsidRPr="00E61EC7">
        <w:t>.</w:t>
      </w:r>
      <w:r w:rsidRPr="00E61EC7">
        <w:t xml:space="preserve"> The primary endpoint is the change from </w:t>
      </w:r>
      <w:r w:rsidR="00944C26" w:rsidRPr="00E61EC7">
        <w:t xml:space="preserve">Baseline </w:t>
      </w:r>
      <w:r w:rsidRPr="00E61EC7">
        <w:t>in BCVA (as assessed on the ETDRS chart at a starting distance of 4 meters) based on an average at Weeks 40, 44, and 48.</w:t>
      </w:r>
    </w:p>
    <w:p w14:paraId="59EB640B" w14:textId="7394189E" w:rsidR="00042FC8" w:rsidRPr="00E61EC7" w:rsidRDefault="002A2C48" w:rsidP="00202A6D">
      <w:pPr>
        <w:pStyle w:val="FigureDescription"/>
      </w:pPr>
      <w:r w:rsidRPr="00E61EC7">
        <w:t>c</w:t>
      </w:r>
      <w:r w:rsidR="00944C26" w:rsidRPr="00E61EC7">
        <w:t>.</w:t>
      </w:r>
      <w:r w:rsidRPr="00E61EC7">
        <w:t xml:space="preserve"> From Week 60 onward, patients in the </w:t>
      </w:r>
      <w:proofErr w:type="spellStart"/>
      <w:r w:rsidRPr="00E61EC7">
        <w:t>faricimab</w:t>
      </w:r>
      <w:proofErr w:type="spellEnd"/>
      <w:r w:rsidRPr="00E61EC7">
        <w:t xml:space="preserve"> up to every 16 weeks arm are treated according to a PTI dosing regimen (between every 8 and 16 weeks).</w:t>
      </w:r>
    </w:p>
    <w:p w14:paraId="7FE3DA1B" w14:textId="131CB686" w:rsidR="00042FC8" w:rsidRPr="005B6E30" w:rsidRDefault="002A2C48" w:rsidP="005F453B">
      <w:pPr>
        <w:pStyle w:val="Heading6"/>
        <w:rPr>
          <w:lang w:val="it-IT"/>
        </w:rPr>
      </w:pPr>
      <w:r w:rsidRPr="005B6E30">
        <w:rPr>
          <w:lang w:val="it-IT"/>
        </w:rPr>
        <w:t>Inclusion criteria</w:t>
      </w:r>
    </w:p>
    <w:p w14:paraId="6793B4BD" w14:textId="129CC012" w:rsidR="00D36B71" w:rsidRPr="005B6E30" w:rsidRDefault="008B0E22" w:rsidP="00D36B71">
      <w:pPr>
        <w:rPr>
          <w:lang w:val="it-IT"/>
        </w:rPr>
      </w:pPr>
      <w:r w:rsidRPr="005B6E30">
        <w:rPr>
          <w:lang w:val="it-IT"/>
        </w:rPr>
        <w:t xml:space="preserve">Main </w:t>
      </w:r>
      <w:r w:rsidR="002A2C48" w:rsidRPr="005B6E30">
        <w:rPr>
          <w:lang w:val="it-IT"/>
        </w:rPr>
        <w:t>inclusion criteria include:</w:t>
      </w:r>
    </w:p>
    <w:p w14:paraId="466835F5" w14:textId="29970D4A" w:rsidR="00D36B71" w:rsidRPr="00E61EC7" w:rsidRDefault="002A2C48" w:rsidP="00D36B71">
      <w:pPr>
        <w:pStyle w:val="ListBullet"/>
      </w:pPr>
      <w:r w:rsidRPr="00E61EC7">
        <w:t xml:space="preserve">patients </w:t>
      </w:r>
      <w:r w:rsidR="00042FC8" w:rsidRPr="00E61EC7">
        <w:t>aged 50 years</w:t>
      </w:r>
      <w:r w:rsidR="00C10358" w:rsidRPr="00E61EC7">
        <w:t xml:space="preserve"> and older</w:t>
      </w:r>
      <w:r w:rsidR="00042FC8" w:rsidRPr="00E61EC7">
        <w:t xml:space="preserve"> with treatment-naïve </w:t>
      </w:r>
      <w:r w:rsidR="00F0310F" w:rsidRPr="00E61EC7">
        <w:t>choroidal neovascularisation</w:t>
      </w:r>
      <w:r w:rsidR="00042FC8" w:rsidRPr="00E61EC7">
        <w:t xml:space="preserve"> secondary to </w:t>
      </w:r>
      <w:proofErr w:type="spellStart"/>
      <w:proofErr w:type="gramStart"/>
      <w:r w:rsidR="00042FC8" w:rsidRPr="00E61EC7">
        <w:t>nAMD</w:t>
      </w:r>
      <w:proofErr w:type="spellEnd"/>
      <w:r w:rsidR="00042FC8" w:rsidRPr="00E61EC7">
        <w:t>;</w:t>
      </w:r>
      <w:proofErr w:type="gramEnd"/>
    </w:p>
    <w:p w14:paraId="0EBE3973" w14:textId="3B4B24D8" w:rsidR="00D36B71" w:rsidRPr="00E61EC7" w:rsidRDefault="002A2C48" w:rsidP="00D36B71">
      <w:pPr>
        <w:pStyle w:val="ListBullet"/>
      </w:pPr>
      <w:proofErr w:type="spellStart"/>
      <w:r w:rsidRPr="00E61EC7">
        <w:lastRenderedPageBreak/>
        <w:t>Subfoveal</w:t>
      </w:r>
      <w:proofErr w:type="spellEnd"/>
      <w:r w:rsidRPr="00E61EC7">
        <w:t xml:space="preserve"> </w:t>
      </w:r>
      <w:r w:rsidR="00F0310F" w:rsidRPr="00E61EC7">
        <w:t>choroidal neovascularisation</w:t>
      </w:r>
      <w:r w:rsidRPr="00E61EC7">
        <w:t xml:space="preserve"> or </w:t>
      </w:r>
      <w:proofErr w:type="spellStart"/>
      <w:r w:rsidRPr="00E61EC7">
        <w:t>juxtafoveal</w:t>
      </w:r>
      <w:proofErr w:type="spellEnd"/>
      <w:r w:rsidRPr="00E61EC7">
        <w:t xml:space="preserve">/extrafoveal </w:t>
      </w:r>
      <w:r w:rsidR="00F0310F" w:rsidRPr="00E61EC7">
        <w:t>choroidal neovascularisation</w:t>
      </w:r>
      <w:r w:rsidRPr="00E61EC7">
        <w:t xml:space="preserve"> with a </w:t>
      </w:r>
      <w:proofErr w:type="spellStart"/>
      <w:r w:rsidRPr="00E61EC7">
        <w:t>subfoveal</w:t>
      </w:r>
      <w:proofErr w:type="spellEnd"/>
      <w:r w:rsidRPr="00E61EC7">
        <w:t xml:space="preserve"> component related to the </w:t>
      </w:r>
      <w:r w:rsidR="00F0310F" w:rsidRPr="00E61EC7">
        <w:t>choroidal neovascularisation</w:t>
      </w:r>
      <w:r w:rsidRPr="00E61EC7">
        <w:t xml:space="preserve"> activity identified by </w:t>
      </w:r>
      <w:r w:rsidR="0075642C" w:rsidRPr="00E61EC7">
        <w:t>fundus fluorescein angiography</w:t>
      </w:r>
      <w:r w:rsidRPr="00E61EC7">
        <w:t xml:space="preserve"> or </w:t>
      </w:r>
      <w:r w:rsidR="001654B4" w:rsidRPr="00E61EC7">
        <w:t xml:space="preserve">optical coherence </w:t>
      </w:r>
      <w:proofErr w:type="gramStart"/>
      <w:r w:rsidR="001654B4" w:rsidRPr="00E61EC7">
        <w:t>tomography</w:t>
      </w:r>
      <w:r w:rsidRPr="00E61EC7">
        <w:t>;</w:t>
      </w:r>
      <w:proofErr w:type="gramEnd"/>
    </w:p>
    <w:p w14:paraId="1EBD0DB5" w14:textId="7F020AAD" w:rsidR="00D36B71" w:rsidRPr="00E61EC7" w:rsidRDefault="002A2C48" w:rsidP="00D36B71">
      <w:pPr>
        <w:pStyle w:val="ListBullet"/>
      </w:pPr>
      <w:r w:rsidRPr="00E61EC7">
        <w:t>choroidal neovascularisation</w:t>
      </w:r>
      <w:r w:rsidR="00042FC8" w:rsidRPr="00E61EC7">
        <w:t xml:space="preserve"> lesion of any type with defined </w:t>
      </w:r>
      <w:proofErr w:type="gramStart"/>
      <w:r w:rsidR="00042FC8" w:rsidRPr="00E61EC7">
        <w:t>characteristics;</w:t>
      </w:r>
      <w:proofErr w:type="gramEnd"/>
    </w:p>
    <w:p w14:paraId="4B3CA127" w14:textId="4F2EFE0A" w:rsidR="00D36B71" w:rsidRPr="00E61EC7" w:rsidRDefault="002A2C48" w:rsidP="00D36B71">
      <w:pPr>
        <w:pStyle w:val="ListBullet"/>
      </w:pPr>
      <w:r w:rsidRPr="00E61EC7">
        <w:t xml:space="preserve">best corrected visual acuity </w:t>
      </w:r>
      <w:r w:rsidR="00042FC8" w:rsidRPr="00E61EC7">
        <w:t>of 78</w:t>
      </w:r>
      <w:r w:rsidRPr="00E61EC7">
        <w:t xml:space="preserve"> to </w:t>
      </w:r>
      <w:r w:rsidR="00042FC8" w:rsidRPr="00E61EC7">
        <w:t xml:space="preserve">24 letters using the </w:t>
      </w:r>
      <w:r w:rsidRPr="00E61EC7">
        <w:t>early treatment diabetic retinopathy study (</w:t>
      </w:r>
      <w:r w:rsidR="00042FC8" w:rsidRPr="00E61EC7">
        <w:t>ETDRS</w:t>
      </w:r>
      <w:r w:rsidRPr="00E61EC7">
        <w:t>)</w:t>
      </w:r>
      <w:r w:rsidR="00042FC8" w:rsidRPr="00E61EC7">
        <w:t xml:space="preserve"> protocol and assessed at the initial testing distance of 4</w:t>
      </w:r>
      <w:r w:rsidR="00D544B5">
        <w:t> </w:t>
      </w:r>
      <w:r w:rsidR="00042FC8" w:rsidRPr="00E61EC7">
        <w:t>metr</w:t>
      </w:r>
      <w:r w:rsidR="00D544B5">
        <w:t>e</w:t>
      </w:r>
      <w:r w:rsidR="00042FC8" w:rsidRPr="00E61EC7">
        <w:t xml:space="preserve">s on Day </w:t>
      </w:r>
      <w:proofErr w:type="gramStart"/>
      <w:r w:rsidR="00042FC8" w:rsidRPr="00E61EC7">
        <w:t>1;</w:t>
      </w:r>
      <w:proofErr w:type="gramEnd"/>
    </w:p>
    <w:p w14:paraId="18B65EF7" w14:textId="1F5E0CEC" w:rsidR="00042FC8" w:rsidRPr="00E61EC7" w:rsidRDefault="002A2C48" w:rsidP="00D36B71">
      <w:pPr>
        <w:pStyle w:val="ListBullet"/>
      </w:pPr>
      <w:r w:rsidRPr="00E61EC7">
        <w:t>sufficiently clear ocular media and adequate pupillary dilation to allow acquisition of good quality retinal images to confirmed diagnosis.</w:t>
      </w:r>
    </w:p>
    <w:p w14:paraId="17ECEDD6" w14:textId="2667ACE1" w:rsidR="00042FC8" w:rsidRPr="00E61EC7" w:rsidRDefault="002A2C48" w:rsidP="005F453B">
      <w:pPr>
        <w:pStyle w:val="Heading6"/>
      </w:pPr>
      <w:r w:rsidRPr="00E61EC7">
        <w:t>Exclusion criteria</w:t>
      </w:r>
    </w:p>
    <w:p w14:paraId="725FFF30" w14:textId="58D4A22B" w:rsidR="00D36B71" w:rsidRPr="00E61EC7" w:rsidRDefault="008B0E22" w:rsidP="00D36B71">
      <w:r>
        <w:t>Main</w:t>
      </w:r>
      <w:r w:rsidRPr="00E61EC7">
        <w:t xml:space="preserve"> </w:t>
      </w:r>
      <w:r w:rsidR="002A2C48" w:rsidRPr="00E61EC7">
        <w:t>exclusion criteria include:</w:t>
      </w:r>
    </w:p>
    <w:p w14:paraId="6672E233" w14:textId="35D098F7" w:rsidR="00D36B71" w:rsidRPr="00E61EC7" w:rsidRDefault="002A2C48" w:rsidP="00AE27B0">
      <w:pPr>
        <w:pStyle w:val="ListBullet"/>
      </w:pPr>
      <w:r w:rsidRPr="00E61EC7">
        <w:t xml:space="preserve">active </w:t>
      </w:r>
      <w:r w:rsidR="00042FC8" w:rsidRPr="00E61EC7">
        <w:t xml:space="preserve">ocular inflammation or suspected or active ocular or periocular infection in either eye; retinal pigment epithelial tear involving the </w:t>
      </w:r>
      <w:proofErr w:type="gramStart"/>
      <w:r w:rsidR="00042FC8" w:rsidRPr="00E61EC7">
        <w:t>macula;</w:t>
      </w:r>
      <w:proofErr w:type="gramEnd"/>
    </w:p>
    <w:p w14:paraId="732D6E7F" w14:textId="77777777" w:rsidR="00D36B71" w:rsidRPr="00E61EC7" w:rsidRDefault="002A2C48" w:rsidP="00AE27B0">
      <w:pPr>
        <w:pStyle w:val="ListBullet"/>
      </w:pPr>
      <w:r w:rsidRPr="00E61EC7">
        <w:t xml:space="preserve">subretinal haemorrhage or fibrosis or atrophy of &gt; 50% of the total lesion area and/or that involves the </w:t>
      </w:r>
      <w:proofErr w:type="gramStart"/>
      <w:r w:rsidRPr="00E61EC7">
        <w:t>fovea;</w:t>
      </w:r>
      <w:proofErr w:type="gramEnd"/>
    </w:p>
    <w:p w14:paraId="2765D929" w14:textId="5E8BA13D" w:rsidR="00042FC8" w:rsidRPr="00E61EC7" w:rsidRDefault="002A2C48" w:rsidP="00F0168C">
      <w:pPr>
        <w:pStyle w:val="ListBullet"/>
      </w:pPr>
      <w:r w:rsidRPr="00E61EC7">
        <w:t xml:space="preserve">any prior or concomitant treatment for </w:t>
      </w:r>
      <w:r w:rsidR="00F0310F" w:rsidRPr="00E61EC7">
        <w:t>choroidal neovascularisation</w:t>
      </w:r>
      <w:r w:rsidRPr="00E61EC7">
        <w:t xml:space="preserve"> or vitreomacular-interface abnormalities,</w:t>
      </w:r>
      <w:r w:rsidR="00AE27B0" w:rsidRPr="00E61EC7">
        <w:t xml:space="preserve"> </w:t>
      </w:r>
      <w:r w:rsidRPr="00E61EC7">
        <w:t xml:space="preserve">or ocular surgical intervention for the study eye; prior periocular pharmacological or </w:t>
      </w:r>
      <w:r w:rsidR="00475997" w:rsidRPr="00E61EC7">
        <w:t>intravitreal</w:t>
      </w:r>
      <w:r w:rsidRPr="00E61EC7">
        <w:t xml:space="preserve"> treatment (including anti-</w:t>
      </w:r>
      <w:r w:rsidR="0039584C" w:rsidRPr="00E61EC7">
        <w:t>vascular endothelial growth factor (anti-</w:t>
      </w:r>
      <w:r w:rsidRPr="00E61EC7">
        <w:t>VEGF</w:t>
      </w:r>
      <w:r w:rsidR="0039584C" w:rsidRPr="00E61EC7">
        <w:t>)</w:t>
      </w:r>
      <w:r w:rsidRPr="00E61EC7">
        <w:t xml:space="preserve"> medication) for other retinal diseases for the study eye; stroke (cerebral vascular accident) or myocardial infarction within 6</w:t>
      </w:r>
      <w:r w:rsidR="00AE27B0" w:rsidRPr="00E61EC7">
        <w:t> </w:t>
      </w:r>
      <w:r w:rsidRPr="00E61EC7">
        <w:t>months prior.</w:t>
      </w:r>
    </w:p>
    <w:p w14:paraId="0948D2EA" w14:textId="1042F2C2" w:rsidR="00042FC8" w:rsidRPr="00E61EC7" w:rsidRDefault="002A2C48" w:rsidP="00463201">
      <w:pPr>
        <w:pStyle w:val="Heading6"/>
      </w:pPr>
      <w:r w:rsidRPr="00E61EC7">
        <w:t>Treatments</w:t>
      </w:r>
    </w:p>
    <w:p w14:paraId="49D00664" w14:textId="7F73F55E" w:rsidR="00042FC8" w:rsidRPr="00E61EC7" w:rsidRDefault="002A2C48" w:rsidP="00463201">
      <w:pPr>
        <w:pStyle w:val="ListBullet"/>
      </w:pPr>
      <w:proofErr w:type="spellStart"/>
      <w:r w:rsidRPr="00463201">
        <w:rPr>
          <w:i/>
        </w:rPr>
        <w:t>Faricimab</w:t>
      </w:r>
      <w:proofErr w:type="spellEnd"/>
      <w:r w:rsidRPr="00463201">
        <w:rPr>
          <w:i/>
        </w:rPr>
        <w:t xml:space="preserve"> </w:t>
      </w:r>
      <w:r w:rsidR="00090A22" w:rsidRPr="00463201">
        <w:rPr>
          <w:i/>
        </w:rPr>
        <w:t>arm</w:t>
      </w:r>
      <w:r w:rsidR="00090A22">
        <w:t xml:space="preserve">: </w:t>
      </w:r>
      <w:proofErr w:type="spellStart"/>
      <w:r w:rsidR="00090A22">
        <w:t>faricimab</w:t>
      </w:r>
      <w:proofErr w:type="spellEnd"/>
      <w:r w:rsidR="00090A22">
        <w:t xml:space="preserve"> </w:t>
      </w:r>
      <w:r w:rsidRPr="00E61EC7">
        <w:t xml:space="preserve">up to </w:t>
      </w:r>
      <w:r w:rsidR="000E4FBF" w:rsidRPr="00E61EC7">
        <w:t>every 16 weeks</w:t>
      </w:r>
      <w:r w:rsidRPr="00E61EC7">
        <w:t xml:space="preserve"> (n</w:t>
      </w:r>
      <w:r w:rsidR="00215642" w:rsidRPr="00E61EC7">
        <w:t xml:space="preserve"> </w:t>
      </w:r>
      <w:r w:rsidRPr="00E61EC7">
        <w:t>=</w:t>
      </w:r>
      <w:r w:rsidR="00215642" w:rsidRPr="00E61EC7">
        <w:t xml:space="preserve"> </w:t>
      </w:r>
      <w:r w:rsidRPr="00E61EC7">
        <w:t xml:space="preserve">334 in </w:t>
      </w:r>
      <w:r w:rsidR="00215642" w:rsidRPr="00E61EC7">
        <w:t xml:space="preserve">the </w:t>
      </w:r>
      <w:r w:rsidRPr="00E61EC7">
        <w:t>TEN</w:t>
      </w:r>
      <w:r w:rsidR="00215642" w:rsidRPr="00E61EC7">
        <w:t>A</w:t>
      </w:r>
      <w:r w:rsidRPr="00E61EC7">
        <w:t>YA</w:t>
      </w:r>
      <w:r w:rsidR="00215642" w:rsidRPr="00E61EC7">
        <w:t xml:space="preserve"> trial</w:t>
      </w:r>
      <w:r w:rsidRPr="00E61EC7">
        <w:t>, n</w:t>
      </w:r>
      <w:r w:rsidR="00215642" w:rsidRPr="00E61EC7">
        <w:t xml:space="preserve"> </w:t>
      </w:r>
      <w:r w:rsidRPr="00E61EC7">
        <w:t>=</w:t>
      </w:r>
      <w:r w:rsidR="00215642" w:rsidRPr="00E61EC7">
        <w:t xml:space="preserve"> </w:t>
      </w:r>
      <w:r w:rsidRPr="00E61EC7">
        <w:t xml:space="preserve">331 in </w:t>
      </w:r>
      <w:r w:rsidR="00215642" w:rsidRPr="00E61EC7">
        <w:t xml:space="preserve">the </w:t>
      </w:r>
      <w:r w:rsidRPr="00E61EC7">
        <w:t>LUCERNE</w:t>
      </w:r>
      <w:r w:rsidR="00215642" w:rsidRPr="00E61EC7">
        <w:t xml:space="preserve"> trial</w:t>
      </w:r>
      <w:r w:rsidRPr="00E61EC7">
        <w:t>) arm:</w:t>
      </w:r>
    </w:p>
    <w:p w14:paraId="4C920AAF" w14:textId="40D08382" w:rsidR="00042FC8" w:rsidRPr="00E61EC7" w:rsidRDefault="002A2C48" w:rsidP="00463201">
      <w:pPr>
        <w:pStyle w:val="ListBullet2"/>
      </w:pPr>
      <w:r w:rsidRPr="00E61EC7">
        <w:t xml:space="preserve">6 mg of </w:t>
      </w:r>
      <w:r w:rsidR="00475997" w:rsidRPr="00E61EC7">
        <w:t>intravitreal</w:t>
      </w:r>
      <w:r w:rsidRPr="00E61EC7">
        <w:t xml:space="preserve"> </w:t>
      </w:r>
      <w:proofErr w:type="spellStart"/>
      <w:r w:rsidRPr="00E61EC7">
        <w:t>faricimab</w:t>
      </w:r>
      <w:proofErr w:type="spellEnd"/>
      <w:r w:rsidRPr="00E61EC7">
        <w:t xml:space="preserve"> </w:t>
      </w:r>
      <w:r w:rsidR="003E5F35" w:rsidRPr="00E61EC7">
        <w:t>every 4 weeks</w:t>
      </w:r>
      <w:r w:rsidRPr="00E61EC7">
        <w:t xml:space="preserve"> up to Week 12 (4 injections).</w:t>
      </w:r>
    </w:p>
    <w:p w14:paraId="19B0CC0B" w14:textId="0B38EDC9" w:rsidR="00042FC8" w:rsidRPr="00E61EC7" w:rsidRDefault="002A2C48" w:rsidP="00463201">
      <w:pPr>
        <w:pStyle w:val="ListBullet2"/>
      </w:pPr>
      <w:r w:rsidRPr="00E61EC7">
        <w:t>At Week 20, following a protocol</w:t>
      </w:r>
      <w:r w:rsidR="00215642" w:rsidRPr="00E61EC7">
        <w:t xml:space="preserve"> </w:t>
      </w:r>
      <w:r w:rsidRPr="00E61EC7">
        <w:t xml:space="preserve">defined assessment of disease activity, patients with active disease received </w:t>
      </w:r>
      <w:proofErr w:type="spellStart"/>
      <w:r w:rsidRPr="00E61EC7">
        <w:t>faricimab</w:t>
      </w:r>
      <w:proofErr w:type="spellEnd"/>
      <w:r w:rsidRPr="00E61EC7">
        <w:t xml:space="preserve"> at that visit and </w:t>
      </w:r>
      <w:proofErr w:type="gramStart"/>
      <w:r w:rsidRPr="00E61EC7">
        <w:t>continued on</w:t>
      </w:r>
      <w:proofErr w:type="gramEnd"/>
      <w:r w:rsidRPr="00E61EC7">
        <w:t xml:space="preserve"> a fixed </w:t>
      </w:r>
      <w:r w:rsidR="003E5F35" w:rsidRPr="00E61EC7">
        <w:t>every 8</w:t>
      </w:r>
      <w:r w:rsidR="00215642" w:rsidRPr="00E61EC7">
        <w:t> </w:t>
      </w:r>
      <w:r w:rsidR="003E5F35" w:rsidRPr="00E61EC7">
        <w:t>weeks</w:t>
      </w:r>
      <w:r w:rsidRPr="00E61EC7">
        <w:t xml:space="preserve"> dosing regimen (injections at Weeks 20, 28, 36, 44, 52, and 60).</w:t>
      </w:r>
    </w:p>
    <w:p w14:paraId="2E908E20" w14:textId="6F9C170C" w:rsidR="00042FC8" w:rsidRPr="00E61EC7" w:rsidRDefault="002A2C48" w:rsidP="00463201">
      <w:pPr>
        <w:pStyle w:val="ListBullet2"/>
      </w:pPr>
      <w:r w:rsidRPr="00E61EC7">
        <w:t xml:space="preserve">At Week 24, following a second protocol-defined assessment of disease activity, patients with active disease (excluding those with active disease at Week 20) received </w:t>
      </w:r>
      <w:proofErr w:type="spellStart"/>
      <w:r w:rsidRPr="00E61EC7">
        <w:t>faricimab</w:t>
      </w:r>
      <w:proofErr w:type="spellEnd"/>
      <w:r w:rsidRPr="00E61EC7">
        <w:t xml:space="preserve"> at that visit, and </w:t>
      </w:r>
      <w:proofErr w:type="gramStart"/>
      <w:r w:rsidRPr="00E61EC7">
        <w:t>continued on</w:t>
      </w:r>
      <w:proofErr w:type="gramEnd"/>
      <w:r w:rsidRPr="00E61EC7">
        <w:t xml:space="preserve"> a fixed every 12 weeks dosing regimen (injections at Weeks 24, 36, 48, and 60).</w:t>
      </w:r>
    </w:p>
    <w:p w14:paraId="7AA92A14" w14:textId="7F1D91F3" w:rsidR="00042FC8" w:rsidRPr="00E61EC7" w:rsidRDefault="002A2C48" w:rsidP="00463201">
      <w:pPr>
        <w:pStyle w:val="ListBullet2"/>
      </w:pPr>
      <w:r w:rsidRPr="00E61EC7">
        <w:t xml:space="preserve">Patients without active disease at Week 20 and Week 24 were treated with a fixed </w:t>
      </w:r>
      <w:r w:rsidR="000E4FBF" w:rsidRPr="00E61EC7">
        <w:t>every 16 weeks</w:t>
      </w:r>
      <w:r w:rsidRPr="00E61EC7">
        <w:t xml:space="preserve"> dosing regimen of </w:t>
      </w:r>
      <w:proofErr w:type="spellStart"/>
      <w:r w:rsidRPr="00E61EC7">
        <w:t>faricimab</w:t>
      </w:r>
      <w:proofErr w:type="spellEnd"/>
      <w:r w:rsidRPr="00E61EC7">
        <w:t xml:space="preserve"> until Week 60 (</w:t>
      </w:r>
      <w:r w:rsidR="00533A7C" w:rsidRPr="00E61EC7">
        <w:t>that is</w:t>
      </w:r>
      <w:r w:rsidRPr="00E61EC7">
        <w:t>, injections at Weeks</w:t>
      </w:r>
      <w:r w:rsidR="00215642" w:rsidRPr="00E61EC7">
        <w:t> </w:t>
      </w:r>
      <w:r w:rsidRPr="00E61EC7">
        <w:t>28, 44, and 60).</w:t>
      </w:r>
    </w:p>
    <w:p w14:paraId="46C033E8" w14:textId="77777777" w:rsidR="00042FC8" w:rsidRPr="00E61EC7" w:rsidRDefault="002A2C48" w:rsidP="00463201">
      <w:pPr>
        <w:pStyle w:val="ListBullet2"/>
      </w:pPr>
      <w:r w:rsidRPr="00E61EC7">
        <w:t>The fixed regimens continued until Week 60 with no supplementary therapy allowed.</w:t>
      </w:r>
    </w:p>
    <w:p w14:paraId="569421D3" w14:textId="705E31F8" w:rsidR="00042FC8" w:rsidRPr="00E61EC7" w:rsidRDefault="002A2C48" w:rsidP="00463201">
      <w:pPr>
        <w:pStyle w:val="ListBullet2"/>
      </w:pPr>
      <w:r w:rsidRPr="00E61EC7">
        <w:t xml:space="preserve">From Week 60 onwards: personalised treatment interval (PTI) dosing regimen (between </w:t>
      </w:r>
      <w:r w:rsidR="003E5F35" w:rsidRPr="00E61EC7">
        <w:t>every 8 weeks</w:t>
      </w:r>
      <w:r w:rsidRPr="00E61EC7">
        <w:t xml:space="preserve"> and </w:t>
      </w:r>
      <w:r w:rsidR="000E4FBF" w:rsidRPr="00E61EC7">
        <w:t>every 16 weeks</w:t>
      </w:r>
      <w:r w:rsidRPr="00E61EC7">
        <w:t xml:space="preserve">) up to Week 108. The dosing interval could be extended, reduced, or maintained based on </w:t>
      </w:r>
      <w:r w:rsidR="001654B4" w:rsidRPr="00E61EC7">
        <w:t>optical coherence tomography</w:t>
      </w:r>
      <w:r w:rsidRPr="00E61EC7">
        <w:t>, BCVA, and clinical assessment made at study drug dosing visits.</w:t>
      </w:r>
    </w:p>
    <w:p w14:paraId="0BE26DA1" w14:textId="68AFFBF1" w:rsidR="00042FC8" w:rsidRPr="00E61EC7" w:rsidRDefault="002A2C48" w:rsidP="00463201">
      <w:pPr>
        <w:pStyle w:val="ListBullet"/>
      </w:pPr>
      <w:r w:rsidRPr="00463201">
        <w:rPr>
          <w:i/>
        </w:rPr>
        <w:t xml:space="preserve">Aflibercept </w:t>
      </w:r>
      <w:r w:rsidR="00090A22" w:rsidRPr="00463201">
        <w:rPr>
          <w:i/>
        </w:rPr>
        <w:t>arm</w:t>
      </w:r>
      <w:r w:rsidR="00090A22">
        <w:t xml:space="preserve">: aflibercept </w:t>
      </w:r>
      <w:r w:rsidR="003E5F35" w:rsidRPr="00E61EC7">
        <w:t>every 8 weeks</w:t>
      </w:r>
      <w:r w:rsidRPr="00E61EC7">
        <w:t xml:space="preserve"> (comparator arm, n</w:t>
      </w:r>
      <w:r w:rsidR="00215642" w:rsidRPr="00E61EC7">
        <w:t xml:space="preserve"> </w:t>
      </w:r>
      <w:r w:rsidRPr="00E61EC7">
        <w:t>=</w:t>
      </w:r>
      <w:r w:rsidR="00215642" w:rsidRPr="00E61EC7">
        <w:t xml:space="preserve"> </w:t>
      </w:r>
      <w:r w:rsidRPr="00E61EC7">
        <w:t xml:space="preserve">337 in </w:t>
      </w:r>
      <w:r w:rsidR="00215642" w:rsidRPr="00E61EC7">
        <w:t xml:space="preserve">the </w:t>
      </w:r>
      <w:r w:rsidRPr="00E61EC7">
        <w:t>TEN</w:t>
      </w:r>
      <w:r w:rsidR="00215642" w:rsidRPr="00E61EC7">
        <w:t>A</w:t>
      </w:r>
      <w:r w:rsidRPr="00E61EC7">
        <w:t>YA</w:t>
      </w:r>
      <w:r w:rsidR="00215642" w:rsidRPr="00E61EC7">
        <w:t xml:space="preserve"> trial</w:t>
      </w:r>
      <w:r w:rsidRPr="00E61EC7">
        <w:t>, n</w:t>
      </w:r>
      <w:r w:rsidR="00215642" w:rsidRPr="00E61EC7">
        <w:t xml:space="preserve"> </w:t>
      </w:r>
      <w:r w:rsidRPr="00E61EC7">
        <w:t>=</w:t>
      </w:r>
      <w:r w:rsidR="00215642" w:rsidRPr="00E61EC7">
        <w:t xml:space="preserve"> </w:t>
      </w:r>
      <w:r w:rsidRPr="00E61EC7">
        <w:t xml:space="preserve">327 in </w:t>
      </w:r>
      <w:r w:rsidR="00215642" w:rsidRPr="00E61EC7">
        <w:t xml:space="preserve">the </w:t>
      </w:r>
      <w:r w:rsidRPr="00E61EC7">
        <w:t>LUCERNE</w:t>
      </w:r>
      <w:r w:rsidR="00215642" w:rsidRPr="00E61EC7">
        <w:t xml:space="preserve"> trial</w:t>
      </w:r>
      <w:r w:rsidRPr="00E61EC7">
        <w:t xml:space="preserve">): 2 mg </w:t>
      </w:r>
      <w:r w:rsidR="003E5F35" w:rsidRPr="00E61EC7">
        <w:t>every 4 weeks</w:t>
      </w:r>
      <w:r w:rsidRPr="00E61EC7">
        <w:t xml:space="preserve"> up to Week 8, followed by 2</w:t>
      </w:r>
      <w:r w:rsidR="00090A22">
        <w:t> </w:t>
      </w:r>
      <w:r w:rsidRPr="00E61EC7">
        <w:t xml:space="preserve">mg </w:t>
      </w:r>
      <w:r w:rsidR="003E5F35" w:rsidRPr="00E61EC7">
        <w:t>every 8 weeks</w:t>
      </w:r>
      <w:r w:rsidRPr="00E61EC7">
        <w:t xml:space="preserve"> until Week</w:t>
      </w:r>
      <w:r w:rsidR="00215642" w:rsidRPr="00E61EC7">
        <w:t> </w:t>
      </w:r>
      <w:r w:rsidRPr="00E61EC7">
        <w:t>108.</w:t>
      </w:r>
    </w:p>
    <w:p w14:paraId="3276BC86" w14:textId="5C11DEED" w:rsidR="00042FC8" w:rsidRPr="00E61EC7" w:rsidRDefault="002A2C48" w:rsidP="005F453B">
      <w:pPr>
        <w:pStyle w:val="Heading6"/>
      </w:pPr>
      <w:r w:rsidRPr="00E61EC7">
        <w:lastRenderedPageBreak/>
        <w:t>Randomisation</w:t>
      </w:r>
    </w:p>
    <w:p w14:paraId="08946207" w14:textId="0E273C1B" w:rsidR="00042FC8" w:rsidRPr="00E61EC7" w:rsidRDefault="002A2C48" w:rsidP="00042FC8">
      <w:r w:rsidRPr="00E61EC7">
        <w:t>Randomisation was conducted using a stratified permuted</w:t>
      </w:r>
      <w:r w:rsidR="00215642" w:rsidRPr="00E61EC7">
        <w:t xml:space="preserve"> </w:t>
      </w:r>
      <w:r w:rsidRPr="00E61EC7">
        <w:t>block randomisation scheme.</w:t>
      </w:r>
    </w:p>
    <w:p w14:paraId="4AEA6CE8" w14:textId="25CE220C" w:rsidR="00042FC8" w:rsidRPr="00E61EC7" w:rsidRDefault="002A2C48" w:rsidP="005F453B">
      <w:pPr>
        <w:pStyle w:val="Heading6"/>
      </w:pPr>
      <w:r w:rsidRPr="00E61EC7">
        <w:t>Primary efficacy endpoint</w:t>
      </w:r>
    </w:p>
    <w:p w14:paraId="3F816449" w14:textId="234CB9BA" w:rsidR="00042FC8" w:rsidRPr="00E61EC7" w:rsidRDefault="002A2C48" w:rsidP="00042FC8">
      <w:r w:rsidRPr="00E61EC7">
        <w:t>The primary efficacy endpoint was the c</w:t>
      </w:r>
      <w:r w:rsidR="00215642" w:rsidRPr="00E61EC7">
        <w:t xml:space="preserve">hange </w:t>
      </w:r>
      <w:r w:rsidRPr="00E61EC7">
        <w:t xml:space="preserve">from </w:t>
      </w:r>
      <w:r w:rsidR="005B01D2" w:rsidRPr="00E61EC7">
        <w:t>Baseline</w:t>
      </w:r>
      <w:r w:rsidRPr="00E61EC7">
        <w:t xml:space="preserve"> in BCVA (as measured on the ETDRS chart) averaged over Weeks</w:t>
      </w:r>
      <w:r w:rsidR="00215642" w:rsidRPr="00E61EC7">
        <w:t> </w:t>
      </w:r>
      <w:r w:rsidRPr="00E61EC7">
        <w:t>40, 44, and 48.</w:t>
      </w:r>
    </w:p>
    <w:p w14:paraId="21AA497B" w14:textId="77777777" w:rsidR="00042FC8" w:rsidRPr="00E61EC7" w:rsidRDefault="002A2C48" w:rsidP="005F453B">
      <w:pPr>
        <w:pStyle w:val="Heading6"/>
      </w:pPr>
      <w:r w:rsidRPr="00E61EC7">
        <w:t>Baseline characteristics</w:t>
      </w:r>
    </w:p>
    <w:p w14:paraId="784396D1" w14:textId="30416717" w:rsidR="00042FC8" w:rsidRPr="00E61EC7" w:rsidRDefault="002A2C48" w:rsidP="00042FC8">
      <w:r w:rsidRPr="00E61EC7">
        <w:t xml:space="preserve">In </w:t>
      </w:r>
      <w:r w:rsidR="00215642" w:rsidRPr="00E61EC7">
        <w:t xml:space="preserve">the </w:t>
      </w:r>
      <w:r w:rsidRPr="00E61EC7">
        <w:t>TENAYA and LUCERNE</w:t>
      </w:r>
      <w:r w:rsidR="00215642" w:rsidRPr="00E61EC7">
        <w:t xml:space="preserve"> trials</w:t>
      </w:r>
      <w:r w:rsidRPr="00E61EC7">
        <w:t xml:space="preserve">, patient demographics were comparable between treatment arms in the </w:t>
      </w:r>
      <w:r w:rsidR="00FC46B4" w:rsidRPr="00E61EC7">
        <w:t>intent-to-treat (</w:t>
      </w:r>
      <w:r w:rsidRPr="00E61EC7">
        <w:t>ITT</w:t>
      </w:r>
      <w:r w:rsidR="00FC46B4" w:rsidRPr="00E61EC7">
        <w:t>)</w:t>
      </w:r>
      <w:r>
        <w:rPr>
          <w:rStyle w:val="FootnoteReference"/>
        </w:rPr>
        <w:footnoteReference w:id="12"/>
      </w:r>
      <w:r w:rsidRPr="00E61EC7">
        <w:t xml:space="preserve"> and </w:t>
      </w:r>
      <w:r w:rsidR="00FC46B4" w:rsidRPr="00E61EC7">
        <w:t>per-protocol (</w:t>
      </w:r>
      <w:r w:rsidRPr="00E61EC7">
        <w:t>PP</w:t>
      </w:r>
      <w:r w:rsidR="00FC46B4" w:rsidRPr="00E61EC7">
        <w:t>)</w:t>
      </w:r>
      <w:r>
        <w:rPr>
          <w:rStyle w:val="FootnoteReference"/>
        </w:rPr>
        <w:footnoteReference w:id="13"/>
      </w:r>
      <w:r w:rsidRPr="00E61EC7">
        <w:t xml:space="preserve"> populations (</w:t>
      </w:r>
      <w:r w:rsidR="00215642" w:rsidRPr="00E61EC7">
        <w:t xml:space="preserve">see </w:t>
      </w:r>
      <w:r w:rsidR="00625A52" w:rsidRPr="00E61EC7">
        <w:fldChar w:fldCharType="begin"/>
      </w:r>
      <w:r w:rsidR="00625A52" w:rsidRPr="00E61EC7">
        <w:instrText xml:space="preserve"> REF _Ref118488268 \h </w:instrText>
      </w:r>
      <w:r w:rsidR="00E61EC7">
        <w:instrText xml:space="preserve"> \* MERGEFORMAT </w:instrText>
      </w:r>
      <w:r w:rsidR="00625A52" w:rsidRPr="00E61EC7">
        <w:fldChar w:fldCharType="separate"/>
      </w:r>
      <w:r w:rsidR="001E25B5" w:rsidRPr="009136ED">
        <w:t xml:space="preserve">Table </w:t>
      </w:r>
      <w:r w:rsidR="001E25B5">
        <w:rPr>
          <w:noProof/>
        </w:rPr>
        <w:t>6</w:t>
      </w:r>
      <w:r w:rsidR="00625A52" w:rsidRPr="00E61EC7">
        <w:fldChar w:fldCharType="end"/>
      </w:r>
      <w:r w:rsidR="00625A52" w:rsidRPr="00E61EC7">
        <w:t xml:space="preserve"> below</w:t>
      </w:r>
      <w:r w:rsidRPr="00E61EC7">
        <w:t>).</w:t>
      </w:r>
    </w:p>
    <w:p w14:paraId="65DA84EF" w14:textId="09960141" w:rsidR="006F78F9" w:rsidRPr="009136ED" w:rsidRDefault="002A2C48" w:rsidP="009136ED">
      <w:pPr>
        <w:pStyle w:val="TableTitle"/>
      </w:pPr>
      <w:bookmarkStart w:id="64" w:name="_Ref118488268"/>
      <w:bookmarkStart w:id="65" w:name="_Hlk102122472"/>
      <w:r w:rsidRPr="009136ED">
        <w:t xml:space="preserve">Table </w:t>
      </w:r>
      <w:r w:rsidR="00C22604" w:rsidRPr="009136ED">
        <w:fldChar w:fldCharType="begin"/>
      </w:r>
      <w:r w:rsidRPr="009136ED">
        <w:instrText xml:space="preserve"> SEQ Table \* ARABIC </w:instrText>
      </w:r>
      <w:r w:rsidR="00C22604" w:rsidRPr="009136ED">
        <w:fldChar w:fldCharType="separate"/>
      </w:r>
      <w:r w:rsidR="001E25B5">
        <w:rPr>
          <w:noProof/>
        </w:rPr>
        <w:t>6</w:t>
      </w:r>
      <w:r w:rsidR="00C22604" w:rsidRPr="009136ED">
        <w:fldChar w:fldCharType="end"/>
      </w:r>
      <w:bookmarkEnd w:id="64"/>
      <w:r w:rsidRPr="009136ED">
        <w:t xml:space="preserve">: Studies GR40306 </w:t>
      </w:r>
      <w:r w:rsidR="00090A22" w:rsidRPr="009136ED">
        <w:t xml:space="preserve">and GR40844 </w:t>
      </w:r>
      <w:r w:rsidRPr="009136ED">
        <w:t xml:space="preserve">(TENAYA </w:t>
      </w:r>
      <w:r w:rsidR="00090A22" w:rsidRPr="009136ED">
        <w:t xml:space="preserve">and </w:t>
      </w:r>
      <w:r w:rsidR="005F453B" w:rsidRPr="009136ED">
        <w:t xml:space="preserve">LUCERNE </w:t>
      </w:r>
      <w:r w:rsidRPr="009136ED">
        <w:t>trial</w:t>
      </w:r>
      <w:r w:rsidR="00090A22" w:rsidRPr="009136ED">
        <w:t>s</w:t>
      </w:r>
      <w:r w:rsidRPr="009136ED">
        <w:t xml:space="preserve">) Baseline demographics </w:t>
      </w:r>
      <w:r w:rsidR="00625A52" w:rsidRPr="009136ED">
        <w:t xml:space="preserve">in </w:t>
      </w:r>
      <w:r w:rsidRPr="009136ED">
        <w:t>individual and pooled</w:t>
      </w:r>
      <w:r w:rsidR="00625A52" w:rsidRPr="009136ED">
        <w:t xml:space="preserve"> Phase III neovascular age-related macular degeneration studies (</w:t>
      </w:r>
      <w:r w:rsidRPr="009136ED">
        <w:t>intent-to-treat population)</w:t>
      </w:r>
      <w:bookmarkEnd w:id="65"/>
    </w:p>
    <w:p w14:paraId="703A178A" w14:textId="22C6C10F" w:rsidR="00B0436A" w:rsidRPr="00E61EC7" w:rsidRDefault="002A2C48" w:rsidP="009136ED">
      <w:pPr>
        <w:rPr>
          <w:lang w:eastAsia="ja-JP"/>
        </w:rPr>
      </w:pPr>
      <w:r w:rsidRPr="00E61EC7">
        <w:rPr>
          <w:noProof/>
          <w:lang w:val="en-GB" w:eastAsia="en-GB"/>
        </w:rPr>
        <w:drawing>
          <wp:inline distT="0" distB="0" distL="0" distR="0" wp14:anchorId="1A9D3487" wp14:editId="4C6305E3">
            <wp:extent cx="5265569" cy="4764024"/>
            <wp:effectExtent l="0" t="0" r="5080" b="0"/>
            <wp:docPr id="10" name="Picture 10" descr="Table 6: Studies GR40306 and GR40844 (TENAYA and LUCERNE trials) Baseline demographics in individual and pooled Phase III neovascular age-related macular degeneration studies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6: Studies GR40306 and GR40844 (TENAYA and LUCERNE trials) Baseline demographics in individual and pooled Phase III neovascular age-related macular degeneration studies (intent-to-treat population)"/>
                    <pic:cNvPicPr/>
                  </pic:nvPicPr>
                  <pic:blipFill>
                    <a:blip r:embed="rId30"/>
                    <a:stretch>
                      <a:fillRect/>
                    </a:stretch>
                  </pic:blipFill>
                  <pic:spPr>
                    <a:xfrm>
                      <a:off x="0" y="0"/>
                      <a:ext cx="5265569" cy="4764024"/>
                    </a:xfrm>
                    <a:prstGeom prst="rect">
                      <a:avLst/>
                    </a:prstGeom>
                  </pic:spPr>
                </pic:pic>
              </a:graphicData>
            </a:graphic>
          </wp:inline>
        </w:drawing>
      </w:r>
    </w:p>
    <w:p w14:paraId="0B2AB1C6" w14:textId="7C443B96" w:rsidR="006F78F9" w:rsidRPr="00E61EC7" w:rsidRDefault="002A2C48" w:rsidP="00202A6D">
      <w:pPr>
        <w:pStyle w:val="TableDescription"/>
      </w:pPr>
      <w:r w:rsidRPr="00E61EC7">
        <w:t xml:space="preserve">Abbreviations: </w:t>
      </w:r>
      <w:r w:rsidR="00944C26" w:rsidRPr="00E61EC7">
        <w:t xml:space="preserve">Max = maximum; Min = minimum; </w:t>
      </w:r>
      <w:r w:rsidRPr="00E61EC7">
        <w:t>N = number of subjects; n = number of subjects in group</w:t>
      </w:r>
      <w:r w:rsidR="002828EF" w:rsidRPr="00E61EC7">
        <w:t>; SD = standard deviation</w:t>
      </w:r>
      <w:r w:rsidRPr="00E61EC7">
        <w:t>.</w:t>
      </w:r>
    </w:p>
    <w:p w14:paraId="4B4309C4" w14:textId="6523882C" w:rsidR="006F78F9" w:rsidRPr="00E61EC7" w:rsidRDefault="002A2C48" w:rsidP="00202A6D">
      <w:pPr>
        <w:pStyle w:val="TableDescription"/>
      </w:pPr>
      <w:r w:rsidRPr="00E61EC7">
        <w:lastRenderedPageBreak/>
        <w:t>Age is at randomisation.</w:t>
      </w:r>
    </w:p>
    <w:p w14:paraId="53FDD17A" w14:textId="32BCDE41" w:rsidR="00042FC8" w:rsidRPr="00E61EC7" w:rsidRDefault="002A2C48" w:rsidP="00042FC8">
      <w:r w:rsidRPr="00E61EC7">
        <w:t>In the pooled ITT population, the mean patient age was 75.9 years (ranged 50 to 99</w:t>
      </w:r>
      <w:r w:rsidR="00215642" w:rsidRPr="00E61EC7">
        <w:t> </w:t>
      </w:r>
      <w:r w:rsidRPr="00E61EC7">
        <w:t xml:space="preserve">years). Patient demographics were comparable between treatment arms. </w:t>
      </w:r>
      <w:proofErr w:type="gramStart"/>
      <w:r w:rsidRPr="00E61EC7">
        <w:t>The majority of</w:t>
      </w:r>
      <w:proofErr w:type="gramEnd"/>
      <w:r w:rsidRPr="00E61EC7">
        <w:t xml:space="preserve"> patients in the </w:t>
      </w:r>
      <w:proofErr w:type="spellStart"/>
      <w:r w:rsidRPr="00E61EC7">
        <w:t>faricimab</w:t>
      </w:r>
      <w:proofErr w:type="spellEnd"/>
      <w:r w:rsidRPr="00E61EC7">
        <w:t xml:space="preserve"> arm and aflibercept arm were female (59.2% </w:t>
      </w:r>
      <w:r w:rsidR="005B01D2" w:rsidRPr="00E61EC7">
        <w:t>versus</w:t>
      </w:r>
      <w:r w:rsidRPr="00E61EC7">
        <w:t xml:space="preserve"> 60.1%), 75</w:t>
      </w:r>
      <w:r w:rsidR="00215642" w:rsidRPr="00E61EC7">
        <w:t> </w:t>
      </w:r>
      <w:r w:rsidRPr="00E61EC7">
        <w:t>years of age</w:t>
      </w:r>
      <w:r w:rsidR="00D77AD8">
        <w:t xml:space="preserve"> or older</w:t>
      </w:r>
      <w:r w:rsidRPr="00E61EC7">
        <w:t xml:space="preserve"> (57.0% </w:t>
      </w:r>
      <w:r w:rsidR="005B01D2" w:rsidRPr="00E61EC7">
        <w:t>versus</w:t>
      </w:r>
      <w:r w:rsidRPr="00E61EC7">
        <w:t xml:space="preserve"> 61.6%), and White (87.4% </w:t>
      </w:r>
      <w:r w:rsidR="005B01D2" w:rsidRPr="00E61EC7">
        <w:t>versus</w:t>
      </w:r>
      <w:r w:rsidRPr="00E61EC7">
        <w:t xml:space="preserve"> 86.1%).</w:t>
      </w:r>
    </w:p>
    <w:p w14:paraId="4B5A1168" w14:textId="44767592" w:rsidR="00042FC8" w:rsidRPr="00E61EC7" w:rsidRDefault="002A2C48" w:rsidP="00042FC8">
      <w:r w:rsidRPr="00E61EC7">
        <w:t>At the time of screening, patient</w:t>
      </w:r>
      <w:r w:rsidR="00215642" w:rsidRPr="00E61EC7">
        <w:t xml:space="preserve"> </w:t>
      </w:r>
      <w:r w:rsidRPr="00E61EC7">
        <w:t xml:space="preserve">reported time since AMD diagnosis was comparable between treatment arms in </w:t>
      </w:r>
      <w:r w:rsidR="00215642" w:rsidRPr="00E61EC7">
        <w:t xml:space="preserve">the </w:t>
      </w:r>
      <w:r w:rsidRPr="00E61EC7">
        <w:t>TENAYA and LUCERNE</w:t>
      </w:r>
      <w:r w:rsidR="00215642" w:rsidRPr="00E61EC7">
        <w:t xml:space="preserve"> trials</w:t>
      </w:r>
      <w:r w:rsidRPr="00E61EC7">
        <w:t xml:space="preserve">, and in the pooled ITT population: the mean (median </w:t>
      </w:r>
      <w:r w:rsidR="005B01D2" w:rsidRPr="00E61EC7">
        <w:t>(</w:t>
      </w:r>
      <w:r w:rsidRPr="00E61EC7">
        <w:t>range</w:t>
      </w:r>
      <w:r w:rsidR="005B01D2" w:rsidRPr="00E61EC7">
        <w:t>)</w:t>
      </w:r>
      <w:r w:rsidRPr="00E61EC7">
        <w:t xml:space="preserve">) time since </w:t>
      </w:r>
      <w:proofErr w:type="spellStart"/>
      <w:r w:rsidRPr="00E61EC7">
        <w:t>nAMD</w:t>
      </w:r>
      <w:proofErr w:type="spellEnd"/>
      <w:r w:rsidRPr="00E61EC7">
        <w:t xml:space="preserve"> diagnosis was 2.4 (0.6 </w:t>
      </w:r>
      <w:r w:rsidR="005B01D2" w:rsidRPr="00E61EC7">
        <w:t>(</w:t>
      </w:r>
      <w:r w:rsidRPr="00E61EC7">
        <w:t>0</w:t>
      </w:r>
      <w:r w:rsidR="006F78F9" w:rsidRPr="00E61EC7">
        <w:t xml:space="preserve"> to </w:t>
      </w:r>
      <w:r w:rsidRPr="00E61EC7">
        <w:t>187</w:t>
      </w:r>
      <w:r w:rsidR="005B01D2" w:rsidRPr="00E61EC7">
        <w:t>)</w:t>
      </w:r>
      <w:r w:rsidRPr="00E61EC7">
        <w:t xml:space="preserve">) months in the </w:t>
      </w:r>
      <w:proofErr w:type="spellStart"/>
      <w:r w:rsidRPr="00E61EC7">
        <w:t>faricimab</w:t>
      </w:r>
      <w:proofErr w:type="spellEnd"/>
      <w:r w:rsidRPr="00E61EC7">
        <w:t xml:space="preserve"> arm and 1.4 (0.7 </w:t>
      </w:r>
      <w:r w:rsidR="005B01D2" w:rsidRPr="00E61EC7">
        <w:t>(</w:t>
      </w:r>
      <w:r w:rsidRPr="00E61EC7">
        <w:t>0</w:t>
      </w:r>
      <w:r w:rsidR="006F78F9" w:rsidRPr="00E61EC7">
        <w:t xml:space="preserve"> to </w:t>
      </w:r>
      <w:r w:rsidRPr="00E61EC7">
        <w:t>51</w:t>
      </w:r>
      <w:r w:rsidR="005B01D2" w:rsidRPr="00E61EC7">
        <w:t>)</w:t>
      </w:r>
      <w:r w:rsidRPr="00E61EC7">
        <w:t>) months in the aflibercept arm.</w:t>
      </w:r>
    </w:p>
    <w:p w14:paraId="595AA5AF" w14:textId="4314F369" w:rsidR="00042FC8" w:rsidRPr="00E61EC7" w:rsidRDefault="002A2C48" w:rsidP="00042FC8">
      <w:r w:rsidRPr="00E61EC7">
        <w:t xml:space="preserve">At </w:t>
      </w:r>
      <w:r w:rsidR="005B01D2" w:rsidRPr="00E61EC7">
        <w:t>Baseline</w:t>
      </w:r>
      <w:r w:rsidRPr="00E61EC7">
        <w:t xml:space="preserve">, ocular characteristics were generally comparable between arms and comparable across studies. In the pooled ITT population, for the </w:t>
      </w:r>
      <w:proofErr w:type="spellStart"/>
      <w:r w:rsidRPr="00E61EC7">
        <w:t>faricimab</w:t>
      </w:r>
      <w:proofErr w:type="spellEnd"/>
      <w:r w:rsidRPr="00E61EC7">
        <w:t xml:space="preserve"> and aflibercept arms respectively, mean BCVA values were 60.0 </w:t>
      </w:r>
      <w:r w:rsidR="005B01D2" w:rsidRPr="00E61EC7">
        <w:t>versus</w:t>
      </w:r>
      <w:r w:rsidRPr="00E61EC7">
        <w:t xml:space="preserve"> 60.2 letters; mean </w:t>
      </w:r>
      <w:r w:rsidR="006F78F9" w:rsidRPr="00E61EC7">
        <w:t>low luminance deficit</w:t>
      </w:r>
      <w:r w:rsidRPr="00E61EC7">
        <w:t xml:space="preserve"> values were 25.1 </w:t>
      </w:r>
      <w:r w:rsidR="005B01D2" w:rsidRPr="00E61EC7">
        <w:t>versus</w:t>
      </w:r>
      <w:r w:rsidRPr="00E61EC7">
        <w:t xml:space="preserve"> 25.9 letters; mean baseline </w:t>
      </w:r>
      <w:r w:rsidR="00C87795" w:rsidRPr="00E61EC7">
        <w:t>central subfield thickness (</w:t>
      </w:r>
      <w:r w:rsidRPr="00E61EC7">
        <w:t>CST</w:t>
      </w:r>
      <w:r w:rsidR="00C87795" w:rsidRPr="00E61EC7">
        <w:t>)</w:t>
      </w:r>
      <w:r w:rsidRPr="00E61EC7">
        <w:t xml:space="preserve"> was 356.8 µm </w:t>
      </w:r>
      <w:r w:rsidR="005B01D2" w:rsidRPr="00E61EC7">
        <w:t>versus</w:t>
      </w:r>
      <w:r w:rsidRPr="00E61EC7">
        <w:t xml:space="preserve"> 357.5</w:t>
      </w:r>
      <w:r w:rsidR="006F78F9" w:rsidRPr="00E61EC7">
        <w:t> </w:t>
      </w:r>
      <w:r w:rsidRPr="00E61EC7">
        <w:t xml:space="preserve">µm; and the mean total area of </w:t>
      </w:r>
      <w:r w:rsidR="00F0310F" w:rsidRPr="00E61EC7">
        <w:t>choroidal neovascularisation</w:t>
      </w:r>
      <w:r w:rsidRPr="00E61EC7">
        <w:t xml:space="preserve"> lesion was 4.7 mm</w:t>
      </w:r>
      <w:r w:rsidRPr="00E61EC7">
        <w:rPr>
          <w:vertAlign w:val="superscript"/>
        </w:rPr>
        <w:t>2</w:t>
      </w:r>
      <w:r w:rsidRPr="00E61EC7">
        <w:t xml:space="preserve"> </w:t>
      </w:r>
      <w:r w:rsidR="005B01D2" w:rsidRPr="00E61EC7">
        <w:t>versus</w:t>
      </w:r>
      <w:r w:rsidRPr="00E61EC7">
        <w:t xml:space="preserve"> 4.4 mm</w:t>
      </w:r>
      <w:r w:rsidRPr="00E61EC7">
        <w:rPr>
          <w:vertAlign w:val="superscript"/>
        </w:rPr>
        <w:t>2</w:t>
      </w:r>
      <w:r w:rsidRPr="00E61EC7">
        <w:t xml:space="preserve">. 56.6% of patients had a lens status of phakic and 43.4% were </w:t>
      </w:r>
      <w:proofErr w:type="spellStart"/>
      <w:r w:rsidRPr="00E61EC7">
        <w:t>pseudophakic</w:t>
      </w:r>
      <w:proofErr w:type="spellEnd"/>
      <w:r w:rsidRPr="00E61EC7">
        <w:t xml:space="preserve">. </w:t>
      </w:r>
      <w:r w:rsidR="00475997" w:rsidRPr="00E61EC7">
        <w:t>Intraretinal fluid</w:t>
      </w:r>
      <w:r w:rsidRPr="00E61EC7">
        <w:t xml:space="preserve"> was absent in 53.6% of patients, </w:t>
      </w:r>
      <w:r w:rsidR="006F78F9" w:rsidRPr="00E61EC7">
        <w:t xml:space="preserve">subretinal fluid </w:t>
      </w:r>
      <w:r w:rsidRPr="00E61EC7">
        <w:t xml:space="preserve">was absent in 32.4%, and </w:t>
      </w:r>
      <w:r w:rsidR="00DB7EAB" w:rsidRPr="00E61EC7">
        <w:t xml:space="preserve">pigment epithelial detachment </w:t>
      </w:r>
      <w:r w:rsidRPr="00E61EC7">
        <w:t>was absent in 7.9%.</w:t>
      </w:r>
    </w:p>
    <w:p w14:paraId="059321CA" w14:textId="3C0D5000" w:rsidR="00042FC8" w:rsidRPr="00E61EC7" w:rsidRDefault="002A2C48" w:rsidP="00042FC8">
      <w:r w:rsidRPr="00E61EC7">
        <w:t xml:space="preserve">The </w:t>
      </w:r>
      <w:r w:rsidR="00F0310F" w:rsidRPr="00E61EC7">
        <w:t>choroidal neovascularisation</w:t>
      </w:r>
      <w:r w:rsidRPr="00E61EC7">
        <w:t xml:space="preserve"> lesion location was most commonly </w:t>
      </w:r>
      <w:proofErr w:type="spellStart"/>
      <w:r w:rsidRPr="00E61EC7">
        <w:t>subfoveal</w:t>
      </w:r>
      <w:proofErr w:type="spellEnd"/>
      <w:r w:rsidRPr="00E61EC7">
        <w:t xml:space="preserve"> (59.2%), followed by </w:t>
      </w:r>
      <w:proofErr w:type="spellStart"/>
      <w:r w:rsidRPr="00E61EC7">
        <w:t>juxtafoveal</w:t>
      </w:r>
      <w:proofErr w:type="spellEnd"/>
      <w:r w:rsidRPr="00E61EC7">
        <w:t xml:space="preserve"> (25.1%) and extrafoveal (13.7%). The most common </w:t>
      </w:r>
      <w:r w:rsidR="00F0310F" w:rsidRPr="00E61EC7">
        <w:t>choroidal neovascularisation</w:t>
      </w:r>
      <w:r w:rsidRPr="00E61EC7">
        <w:t xml:space="preserve"> lesion types were occult (49.8%), classic (27.4%), and minimally classic (9.3%).</w:t>
      </w:r>
    </w:p>
    <w:p w14:paraId="7883F57B" w14:textId="77777777" w:rsidR="00042FC8" w:rsidRPr="00E61EC7" w:rsidRDefault="002A2C48" w:rsidP="00042FC8">
      <w:pPr>
        <w:pStyle w:val="Heading6"/>
      </w:pPr>
      <w:r w:rsidRPr="00E61EC7">
        <w:t>Magnitude of the treatment effect and its clinical significance</w:t>
      </w:r>
    </w:p>
    <w:p w14:paraId="796D6B3D" w14:textId="52EE33E9" w:rsidR="00042FC8" w:rsidRPr="00E61EC7" w:rsidRDefault="002A2C48" w:rsidP="00211011">
      <w:r w:rsidRPr="00E61EC7">
        <w:t xml:space="preserve">The </w:t>
      </w:r>
      <w:proofErr w:type="gramStart"/>
      <w:r w:rsidRPr="00E61EC7">
        <w:t>final results</w:t>
      </w:r>
      <w:proofErr w:type="gramEnd"/>
      <w:r w:rsidRPr="00E61EC7">
        <w:t xml:space="preserve"> </w:t>
      </w:r>
      <w:r w:rsidR="006F78F9" w:rsidRPr="00E61EC7">
        <w:t xml:space="preserve">at </w:t>
      </w:r>
      <w:r w:rsidRPr="00E61EC7">
        <w:t>Week 112 are not available (not provided by the sponsor).</w:t>
      </w:r>
    </w:p>
    <w:p w14:paraId="073E4A65" w14:textId="70908B24" w:rsidR="00042FC8" w:rsidRPr="00E61EC7" w:rsidRDefault="002A2C48" w:rsidP="006A2CD9">
      <w:pPr>
        <w:pStyle w:val="Heading7"/>
        <w:rPr>
          <w:sz w:val="22"/>
          <w:szCs w:val="28"/>
        </w:rPr>
      </w:pPr>
      <w:r w:rsidRPr="00E61EC7">
        <w:rPr>
          <w:sz w:val="22"/>
          <w:szCs w:val="28"/>
        </w:rPr>
        <w:t>Study GR40306 (TENAYA</w:t>
      </w:r>
      <w:r w:rsidR="00215642" w:rsidRPr="00E61EC7">
        <w:rPr>
          <w:sz w:val="22"/>
          <w:szCs w:val="28"/>
        </w:rPr>
        <w:t xml:space="preserve"> trial</w:t>
      </w:r>
      <w:r w:rsidRPr="00E61EC7">
        <w:rPr>
          <w:sz w:val="22"/>
          <w:szCs w:val="28"/>
        </w:rPr>
        <w:t>)</w:t>
      </w:r>
    </w:p>
    <w:p w14:paraId="4C1F88B9" w14:textId="643F11DC" w:rsidR="002828EF" w:rsidRPr="00E61EC7" w:rsidRDefault="002A2C48" w:rsidP="006A2CD9">
      <w:pPr>
        <w:rPr>
          <w:szCs w:val="28"/>
        </w:rPr>
      </w:pPr>
      <w:r w:rsidRPr="00E61EC7">
        <w:t>For the ITT population, at Week</w:t>
      </w:r>
      <w:r w:rsidR="006F78F9" w:rsidRPr="00E61EC7">
        <w:t>s</w:t>
      </w:r>
      <w:r w:rsidRPr="00E61EC7">
        <w:t xml:space="preserve"> 40</w:t>
      </w:r>
      <w:r w:rsidR="006F78F9" w:rsidRPr="00E61EC7">
        <w:t xml:space="preserve">, </w:t>
      </w:r>
      <w:r w:rsidRPr="00E61EC7">
        <w:t>44</w:t>
      </w:r>
      <w:r w:rsidR="006F78F9" w:rsidRPr="00E61EC7">
        <w:t xml:space="preserve"> and </w:t>
      </w:r>
      <w:r w:rsidRPr="00E61EC7">
        <w:t xml:space="preserve">48, the adjusted mean change from </w:t>
      </w:r>
      <w:r w:rsidR="005B01D2" w:rsidRPr="00E61EC7">
        <w:t>Baseline</w:t>
      </w:r>
      <w:r w:rsidRPr="00E61EC7">
        <w:t xml:space="preserve"> in BCVA was 5.8 and 5.1 letters in the </w:t>
      </w:r>
      <w:proofErr w:type="spellStart"/>
      <w:r w:rsidRPr="00E61EC7">
        <w:t>faricimab</w:t>
      </w:r>
      <w:proofErr w:type="spellEnd"/>
      <w:r w:rsidRPr="00E61EC7">
        <w:t xml:space="preserve"> and aflibercept arms, respectively; the difference between the </w:t>
      </w:r>
      <w:proofErr w:type="spellStart"/>
      <w:r w:rsidRPr="00E61EC7">
        <w:t>faricimab</w:t>
      </w:r>
      <w:proofErr w:type="spellEnd"/>
      <w:r w:rsidRPr="00E61EC7">
        <w:t xml:space="preserve"> arm and the aflibercept arm was 0.7 letters (95%</w:t>
      </w:r>
      <w:r w:rsidR="006A2CD9" w:rsidRPr="00E61EC7">
        <w:t> </w:t>
      </w:r>
      <w:r w:rsidR="006C157D" w:rsidRPr="00E61EC7">
        <w:t>confidence interval (</w:t>
      </w:r>
      <w:r w:rsidRPr="00E61EC7">
        <w:t>CI</w:t>
      </w:r>
      <w:r w:rsidR="006C157D" w:rsidRPr="00E61EC7">
        <w:t>)</w:t>
      </w:r>
      <w:r w:rsidRPr="00E61EC7">
        <w:t xml:space="preserve">: </w:t>
      </w:r>
      <w:r w:rsidR="006F78F9" w:rsidRPr="00E61EC7">
        <w:noBreakHyphen/>
      </w:r>
      <w:r w:rsidRPr="00E61EC7">
        <w:t>1.1, 2.5)</w:t>
      </w:r>
      <w:r w:rsidR="006F78F9" w:rsidRPr="00E61EC7">
        <w:t xml:space="preserve"> (see </w:t>
      </w:r>
      <w:r w:rsidR="006C157D" w:rsidRPr="00E61EC7">
        <w:fldChar w:fldCharType="begin"/>
      </w:r>
      <w:r w:rsidR="006C157D" w:rsidRPr="00E61EC7">
        <w:instrText xml:space="preserve"> REF _Ref118403526 \h </w:instrText>
      </w:r>
      <w:r w:rsidR="00E0115A" w:rsidRPr="00E61EC7">
        <w:instrText xml:space="preserve"> \* MERGEFORMAT </w:instrText>
      </w:r>
      <w:r w:rsidR="006C157D" w:rsidRPr="00E61EC7">
        <w:fldChar w:fldCharType="separate"/>
      </w:r>
      <w:r w:rsidR="001E25B5" w:rsidRPr="00E61EC7">
        <w:t xml:space="preserve">Table </w:t>
      </w:r>
      <w:r w:rsidR="001E25B5">
        <w:rPr>
          <w:noProof/>
        </w:rPr>
        <w:t>7</w:t>
      </w:r>
      <w:r w:rsidR="006C157D" w:rsidRPr="00E61EC7">
        <w:fldChar w:fldCharType="end"/>
      </w:r>
      <w:r w:rsidR="006F78F9" w:rsidRPr="00E61EC7">
        <w:rPr>
          <w:szCs w:val="28"/>
        </w:rPr>
        <w:t xml:space="preserve"> below).</w:t>
      </w:r>
      <w:bookmarkStart w:id="66" w:name="_Ref102565266"/>
      <w:r w:rsidRPr="00E61EC7">
        <w:rPr>
          <w:szCs w:val="28"/>
        </w:rPr>
        <w:br w:type="page"/>
      </w:r>
    </w:p>
    <w:p w14:paraId="70D7594B" w14:textId="41DEDF81" w:rsidR="00202A6D" w:rsidRPr="00E61EC7" w:rsidRDefault="002A2C48" w:rsidP="00202A6D">
      <w:pPr>
        <w:pStyle w:val="TableTitle"/>
      </w:pPr>
      <w:bookmarkStart w:id="67" w:name="_Ref118403526"/>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7</w:t>
      </w:r>
      <w:r w:rsidR="00C22604" w:rsidRPr="00E61EC7">
        <w:rPr>
          <w:noProof/>
        </w:rPr>
        <w:fldChar w:fldCharType="end"/>
      </w:r>
      <w:bookmarkEnd w:id="66"/>
      <w:bookmarkEnd w:id="67"/>
      <w:r w:rsidRPr="00E61EC7">
        <w:t xml:space="preserve">: Study GR40306 (TENAYA trial) </w:t>
      </w:r>
      <w:r w:rsidR="009A6D16" w:rsidRPr="00E61EC7">
        <w:t>Overview of primary and select efficacy endpoints (intent-to-treat population) and supplementary analysis (per-protocol population)</w:t>
      </w:r>
    </w:p>
    <w:p w14:paraId="28B0A930" w14:textId="04169178" w:rsidR="009A6D16" w:rsidRPr="00E61EC7" w:rsidRDefault="002A2C48" w:rsidP="00202A6D">
      <w:r w:rsidRPr="00E61EC7">
        <w:rPr>
          <w:noProof/>
          <w:lang w:val="en-GB" w:eastAsia="en-GB"/>
        </w:rPr>
        <w:drawing>
          <wp:inline distT="0" distB="0" distL="0" distR="0" wp14:anchorId="1E19DD81" wp14:editId="117C7AB3">
            <wp:extent cx="5189220" cy="5516238"/>
            <wp:effectExtent l="0" t="0" r="0" b="8890"/>
            <wp:docPr id="14" name="Picture 14" descr="Table 7: Study GR40306 (TENAYA trial) Overview of primary and select efficacy endpoints (intent-to-treat population) and supplementary analysis (per-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 7: Study GR40306 (TENAYA trial) Overview of primary and select efficacy endpoints (intent-to-treat population) and supplementary analysis (per-protocol population)"/>
                    <pic:cNvPicPr/>
                  </pic:nvPicPr>
                  <pic:blipFill>
                    <a:blip r:embed="rId31"/>
                    <a:stretch>
                      <a:fillRect/>
                    </a:stretch>
                  </pic:blipFill>
                  <pic:spPr>
                    <a:xfrm>
                      <a:off x="0" y="0"/>
                      <a:ext cx="5196859" cy="5524358"/>
                    </a:xfrm>
                    <a:prstGeom prst="rect">
                      <a:avLst/>
                    </a:prstGeom>
                  </pic:spPr>
                </pic:pic>
              </a:graphicData>
            </a:graphic>
          </wp:inline>
        </w:drawing>
      </w:r>
    </w:p>
    <w:p w14:paraId="2D36EB1B" w14:textId="50512C95" w:rsidR="009A6D16" w:rsidRPr="00E61EC7" w:rsidRDefault="002A2C48" w:rsidP="00202A6D">
      <w:pPr>
        <w:pStyle w:val="TableDescription"/>
      </w:pPr>
      <w:r w:rsidRPr="00E61EC7">
        <w:t>Abbreviations: BCVA = best corrected visual acuity; CI = confidence interval; CMH = Cochran-Mantel-Haenszel; ETDRS = Early Treatment Diabetic Retinopathy Study; MMRM = mixed model for repeated measures; N = number of subjects; NEI VFQ-25 = National Eye Institute 25-Item Visual Function Questionnaire; PP = per</w:t>
      </w:r>
      <w:r w:rsidRPr="00E61EC7">
        <w:noBreakHyphen/>
        <w:t>protocol; Q8W = every 8 weeks; Q12W = every 12 weeks; Q16W = every 16 weeks.</w:t>
      </w:r>
    </w:p>
    <w:p w14:paraId="44C14BB5" w14:textId="7567436B" w:rsidR="009A6D16" w:rsidRPr="00E61EC7" w:rsidRDefault="002A2C48" w:rsidP="00202A6D">
      <w:pPr>
        <w:pStyle w:val="TableDescription"/>
      </w:pPr>
      <w:r w:rsidRPr="00E61EC7">
        <w:t>For the MMRM analysis, the model is adjusted for treatment arm, visit, visit-by-treatment arm interaction,</w:t>
      </w:r>
      <w:r w:rsidR="002828EF" w:rsidRPr="00E61EC7">
        <w:t xml:space="preserve"> </w:t>
      </w:r>
      <w:r w:rsidRPr="00E61EC7">
        <w:t>baseline BCVA (continuous), baseline BCVA score (</w:t>
      </w:r>
      <w:r w:rsidR="002828EF" w:rsidRPr="00E61EC7">
        <w:t>≥</w:t>
      </w:r>
      <w:r w:rsidR="00D831F3" w:rsidRPr="00E61EC7">
        <w:t xml:space="preserve"> </w:t>
      </w:r>
      <w:r w:rsidRPr="00E61EC7">
        <w:t>74 letters, 73</w:t>
      </w:r>
      <w:r w:rsidR="002828EF" w:rsidRPr="00E61EC7">
        <w:t xml:space="preserve"> to </w:t>
      </w:r>
      <w:r w:rsidRPr="00E61EC7">
        <w:t xml:space="preserve">55 letters, and </w:t>
      </w:r>
      <w:r w:rsidR="002828EF" w:rsidRPr="00E61EC7">
        <w:t>≤ </w:t>
      </w:r>
      <w:r w:rsidRPr="00E61EC7">
        <w:t>54</w:t>
      </w:r>
      <w:r w:rsidR="002828EF" w:rsidRPr="00E61EC7">
        <w:t> </w:t>
      </w:r>
      <w:r w:rsidRPr="00E61EC7">
        <w:t>letters), LLD</w:t>
      </w:r>
      <w:r w:rsidR="002828EF" w:rsidRPr="00E61EC7">
        <w:t xml:space="preserve"> </w:t>
      </w:r>
      <w:r w:rsidRPr="00E61EC7">
        <w:t>(</w:t>
      </w:r>
      <w:r w:rsidR="002828EF" w:rsidRPr="00E61EC7">
        <w:t>&lt;</w:t>
      </w:r>
      <w:r w:rsidRPr="00E61EC7">
        <w:t xml:space="preserve"> 33 letters and v</w:t>
      </w:r>
      <w:r w:rsidR="002828EF" w:rsidRPr="00E61EC7">
        <w:t>ersus</w:t>
      </w:r>
      <w:r w:rsidRPr="00E61EC7">
        <w:t xml:space="preserve"> </w:t>
      </w:r>
      <w:r w:rsidR="002828EF" w:rsidRPr="00E61EC7">
        <w:t>≥</w:t>
      </w:r>
      <w:r w:rsidRPr="00E61EC7">
        <w:t xml:space="preserve"> 33 letters), and region (United States and Canada, Asia, and the rest of the world).</w:t>
      </w:r>
    </w:p>
    <w:p w14:paraId="46822F60" w14:textId="77777777" w:rsidR="009A6D16" w:rsidRPr="00E61EC7" w:rsidRDefault="002A2C48" w:rsidP="00202A6D">
      <w:pPr>
        <w:pStyle w:val="TableDescription"/>
      </w:pPr>
      <w:r w:rsidRPr="00E61EC7">
        <w:t>An unstructured covariance structure is used. 95% CI is a rounding of 95.03% CI.</w:t>
      </w:r>
    </w:p>
    <w:p w14:paraId="658DA455" w14:textId="0858BF44" w:rsidR="009A6D16" w:rsidRPr="00E61EC7" w:rsidRDefault="002A2C48" w:rsidP="00202A6D">
      <w:pPr>
        <w:pStyle w:val="TableDescription"/>
      </w:pPr>
      <w:r w:rsidRPr="00E61EC7">
        <w:t>For the CMH analysis, the weighted estimate is based on CMH test stratified by baseline BCVA</w:t>
      </w:r>
      <w:r w:rsidR="002828EF" w:rsidRPr="00E61EC7">
        <w:t xml:space="preserve"> </w:t>
      </w:r>
      <w:r w:rsidRPr="00E61EC7">
        <w:t>(</w:t>
      </w:r>
      <w:r w:rsidR="002828EF" w:rsidRPr="00E61EC7">
        <w:t>≥ </w:t>
      </w:r>
      <w:r w:rsidRPr="00E61EC7">
        <w:t>74</w:t>
      </w:r>
      <w:r w:rsidR="002828EF" w:rsidRPr="00E61EC7">
        <w:t> </w:t>
      </w:r>
      <w:r w:rsidRPr="00E61EC7">
        <w:t>letters, 73</w:t>
      </w:r>
      <w:r w:rsidR="002828EF" w:rsidRPr="00E61EC7">
        <w:t xml:space="preserve"> to </w:t>
      </w:r>
      <w:r w:rsidRPr="00E61EC7">
        <w:t xml:space="preserve">55 letters, and </w:t>
      </w:r>
      <w:r w:rsidR="002828EF" w:rsidRPr="00E61EC7">
        <w:t>≤</w:t>
      </w:r>
      <w:r w:rsidRPr="00E61EC7">
        <w:t xml:space="preserve"> 54 letters), baseline LLD (</w:t>
      </w:r>
      <w:r w:rsidR="002828EF" w:rsidRPr="00E61EC7">
        <w:t>&lt;</w:t>
      </w:r>
      <w:r w:rsidRPr="00E61EC7">
        <w:t xml:space="preserve"> 33 letters and </w:t>
      </w:r>
      <w:r w:rsidR="002828EF" w:rsidRPr="00E61EC7">
        <w:t>≥</w:t>
      </w:r>
      <w:r w:rsidRPr="00E61EC7">
        <w:t xml:space="preserve"> 33 letters), and region</w:t>
      </w:r>
      <w:r w:rsidR="002828EF" w:rsidRPr="00E61EC7">
        <w:t xml:space="preserve"> </w:t>
      </w:r>
      <w:r w:rsidRPr="00E61EC7">
        <w:t>(</w:t>
      </w:r>
      <w:r w:rsidR="002828EF" w:rsidRPr="00E61EC7">
        <w:t>United States</w:t>
      </w:r>
      <w:r w:rsidRPr="00E61EC7">
        <w:t xml:space="preserve"> and Canada </w:t>
      </w:r>
      <w:r w:rsidR="00D831F3" w:rsidRPr="00E61EC7">
        <w:t>versus</w:t>
      </w:r>
      <w:r w:rsidRPr="00E61EC7">
        <w:t xml:space="preserve"> the rest of the world). Asia and rest of the world regions are combined due to a</w:t>
      </w:r>
      <w:r w:rsidR="002828EF" w:rsidRPr="00E61EC7">
        <w:t xml:space="preserve"> </w:t>
      </w:r>
      <w:r w:rsidRPr="00E61EC7">
        <w:t>small number of enrolled patients. Treatment policy strategy and hypothetical strategy were applied to</w:t>
      </w:r>
      <w:r w:rsidR="002828EF" w:rsidRPr="00E61EC7">
        <w:t xml:space="preserve"> </w:t>
      </w:r>
      <w:r w:rsidRPr="00E61EC7">
        <w:t>non-</w:t>
      </w:r>
      <w:r w:rsidR="00D831F3" w:rsidRPr="00E61EC7">
        <w:t>coronavirus disease 2019 (non-</w:t>
      </w:r>
      <w:r w:rsidRPr="00E61EC7">
        <w:t>COVID-19</w:t>
      </w:r>
      <w:r w:rsidR="00D831F3" w:rsidRPr="00E61EC7">
        <w:t>)</w:t>
      </w:r>
      <w:r w:rsidR="009E3920" w:rsidRPr="00E61EC7">
        <w:t>-</w:t>
      </w:r>
      <w:r w:rsidRPr="00E61EC7">
        <w:t>related and COVID-19</w:t>
      </w:r>
      <w:r w:rsidR="009E3920" w:rsidRPr="00E61EC7">
        <w:t>-</w:t>
      </w:r>
      <w:r w:rsidRPr="00E61EC7">
        <w:t>related intercurrent events, respectively. Missing data were not</w:t>
      </w:r>
      <w:r w:rsidR="00D831F3" w:rsidRPr="00E61EC7">
        <w:t xml:space="preserve"> </w:t>
      </w:r>
      <w:r w:rsidRPr="00E61EC7">
        <w:t>imputed. Invalid BCVA values are excluded from analysis. 95% CI is a rounding of 95.03% CI and</w:t>
      </w:r>
      <w:r w:rsidR="002828EF" w:rsidRPr="00E61EC7">
        <w:t xml:space="preserve"> </w:t>
      </w:r>
      <w:r w:rsidRPr="00E61EC7">
        <w:t>estimates below 0% or above 100% are imputed as 0% or 100% respectively.</w:t>
      </w:r>
    </w:p>
    <w:p w14:paraId="75B7F13A" w14:textId="60AEF096" w:rsidR="00042FC8" w:rsidRPr="00E61EC7" w:rsidRDefault="002A2C48" w:rsidP="00202A6D">
      <w:pPr>
        <w:pStyle w:val="TableDescription"/>
      </w:pPr>
      <w:r w:rsidRPr="00E61EC7">
        <w:lastRenderedPageBreak/>
        <w:t>a</w:t>
      </w:r>
      <w:r w:rsidR="00944C26" w:rsidRPr="00E61EC7">
        <w:t>.</w:t>
      </w:r>
      <w:r w:rsidRPr="00E61EC7">
        <w:t xml:space="preserve"> For the primary analysis, if the lower bound of a two-sided 95.03% CI for the difference in adjusted</w:t>
      </w:r>
      <w:r w:rsidR="002828EF" w:rsidRPr="00E61EC7">
        <w:t xml:space="preserve"> </w:t>
      </w:r>
      <w:r w:rsidRPr="00E61EC7">
        <w:t xml:space="preserve">means of the two treatments is greater than </w:t>
      </w:r>
      <w:r w:rsidR="00D831F3" w:rsidRPr="00E61EC7">
        <w:t>-</w:t>
      </w:r>
      <w:r w:rsidRPr="00E61EC7">
        <w:t xml:space="preserve">4 letters (the non-inferiority margin), then </w:t>
      </w:r>
      <w:proofErr w:type="spellStart"/>
      <w:r w:rsidRPr="00E61EC7">
        <w:t>faricimab</w:t>
      </w:r>
      <w:proofErr w:type="spellEnd"/>
      <w:r w:rsidR="002828EF" w:rsidRPr="00E61EC7">
        <w:t xml:space="preserve"> </w:t>
      </w:r>
      <w:r w:rsidRPr="00E61EC7">
        <w:t>is considered non-inferior to aflibercept.</w:t>
      </w:r>
    </w:p>
    <w:p w14:paraId="14D4054C" w14:textId="7FD6F5DC" w:rsidR="00042FC8" w:rsidRPr="00E61EC7" w:rsidRDefault="002A2C48" w:rsidP="006A2CD9">
      <w:pPr>
        <w:pStyle w:val="Heading7"/>
        <w:rPr>
          <w:sz w:val="22"/>
          <w:szCs w:val="28"/>
        </w:rPr>
      </w:pPr>
      <w:r w:rsidRPr="00E61EC7">
        <w:rPr>
          <w:sz w:val="22"/>
          <w:szCs w:val="28"/>
        </w:rPr>
        <w:t>Study GR40844 (LUCERNE</w:t>
      </w:r>
      <w:r w:rsidR="006F78F9" w:rsidRPr="00E61EC7">
        <w:rPr>
          <w:sz w:val="22"/>
          <w:szCs w:val="28"/>
        </w:rPr>
        <w:t xml:space="preserve"> trial</w:t>
      </w:r>
      <w:r w:rsidRPr="00E61EC7">
        <w:rPr>
          <w:sz w:val="22"/>
          <w:szCs w:val="28"/>
        </w:rPr>
        <w:t>)</w:t>
      </w:r>
    </w:p>
    <w:p w14:paraId="2CAE37D5" w14:textId="4AEAA192" w:rsidR="00042FC8" w:rsidRPr="00E61EC7" w:rsidRDefault="002A2C48" w:rsidP="00211011">
      <w:r w:rsidRPr="00E61EC7">
        <w:t>For the ITT population, at Week</w:t>
      </w:r>
      <w:r w:rsidR="006F78F9" w:rsidRPr="00E61EC7">
        <w:t>s</w:t>
      </w:r>
      <w:r w:rsidRPr="00E61EC7">
        <w:t xml:space="preserve"> 40</w:t>
      </w:r>
      <w:r w:rsidR="006F78F9" w:rsidRPr="00E61EC7">
        <w:t xml:space="preserve">, </w:t>
      </w:r>
      <w:r w:rsidRPr="00E61EC7">
        <w:t>44</w:t>
      </w:r>
      <w:r w:rsidR="006F78F9" w:rsidRPr="00E61EC7">
        <w:t xml:space="preserve"> and </w:t>
      </w:r>
      <w:r w:rsidRPr="00E61EC7">
        <w:t xml:space="preserve">48, the adjusted mean change from </w:t>
      </w:r>
      <w:r w:rsidR="005B01D2" w:rsidRPr="00E61EC7">
        <w:t>Baseline</w:t>
      </w:r>
      <w:r w:rsidRPr="00E61EC7">
        <w:t xml:space="preserve"> in BCVA was 6.6 and 6.6 letters in the </w:t>
      </w:r>
      <w:proofErr w:type="spellStart"/>
      <w:r w:rsidRPr="00E61EC7">
        <w:t>faricimab</w:t>
      </w:r>
      <w:proofErr w:type="spellEnd"/>
      <w:r w:rsidRPr="00E61EC7">
        <w:t xml:space="preserve"> and aflibercept arms, respectively; the difference between the </w:t>
      </w:r>
      <w:proofErr w:type="spellStart"/>
      <w:r w:rsidRPr="00E61EC7">
        <w:t>faricimab</w:t>
      </w:r>
      <w:proofErr w:type="spellEnd"/>
      <w:r w:rsidRPr="00E61EC7">
        <w:t xml:space="preserve"> arm and the aflibercept arm was 0.0 letters (95%</w:t>
      </w:r>
      <w:r w:rsidR="006A2CD9" w:rsidRPr="00E61EC7">
        <w:t> </w:t>
      </w:r>
      <w:r w:rsidRPr="00E61EC7">
        <w:t xml:space="preserve">CI: </w:t>
      </w:r>
      <w:r w:rsidR="006F78F9" w:rsidRPr="00E61EC7">
        <w:noBreakHyphen/>
      </w:r>
      <w:r w:rsidRPr="00E61EC7">
        <w:t>1.7, 1.8)</w:t>
      </w:r>
      <w:r w:rsidR="006F78F9" w:rsidRPr="00E61EC7">
        <w:rPr>
          <w:szCs w:val="28"/>
        </w:rPr>
        <w:t xml:space="preserve"> (see </w:t>
      </w:r>
      <w:r w:rsidR="00FB2BF6" w:rsidRPr="00E61EC7">
        <w:rPr>
          <w:szCs w:val="28"/>
        </w:rPr>
        <w:fldChar w:fldCharType="begin"/>
      </w:r>
      <w:r w:rsidR="00FB2BF6" w:rsidRPr="00E61EC7">
        <w:rPr>
          <w:szCs w:val="28"/>
        </w:rPr>
        <w:instrText xml:space="preserve"> REF _Ref118318207 \h </w:instrText>
      </w:r>
      <w:r w:rsidR="00E0115A" w:rsidRPr="00E61EC7">
        <w:rPr>
          <w:szCs w:val="28"/>
        </w:rPr>
        <w:instrText xml:space="preserve"> \* MERGEFORMAT </w:instrText>
      </w:r>
      <w:r w:rsidR="00FB2BF6" w:rsidRPr="00E61EC7">
        <w:rPr>
          <w:szCs w:val="28"/>
        </w:rPr>
      </w:r>
      <w:r w:rsidR="00FB2BF6" w:rsidRPr="00E61EC7">
        <w:rPr>
          <w:szCs w:val="28"/>
        </w:rPr>
        <w:fldChar w:fldCharType="separate"/>
      </w:r>
      <w:r w:rsidR="001E25B5" w:rsidRPr="00E61EC7">
        <w:t xml:space="preserve">Table </w:t>
      </w:r>
      <w:r w:rsidR="001E25B5">
        <w:rPr>
          <w:noProof/>
        </w:rPr>
        <w:t>8</w:t>
      </w:r>
      <w:r w:rsidR="00FB2BF6" w:rsidRPr="00E61EC7">
        <w:rPr>
          <w:szCs w:val="28"/>
        </w:rPr>
        <w:fldChar w:fldCharType="end"/>
      </w:r>
      <w:r w:rsidR="006F78F9" w:rsidRPr="00E61EC7">
        <w:rPr>
          <w:szCs w:val="28"/>
        </w:rPr>
        <w:t xml:space="preserve"> below).</w:t>
      </w:r>
    </w:p>
    <w:p w14:paraId="32A0A04D" w14:textId="2C6709F9" w:rsidR="00042FC8" w:rsidRPr="00E61EC7" w:rsidRDefault="002A2C48" w:rsidP="00211011">
      <w:r w:rsidRPr="00E61EC7">
        <w:t xml:space="preserve">The primary results are consistent with non-inferiority, as the lower bound of the 95% CIs for the adjusted mean difference between the </w:t>
      </w:r>
      <w:proofErr w:type="spellStart"/>
      <w:r w:rsidRPr="00E61EC7">
        <w:t>faricimab</w:t>
      </w:r>
      <w:proofErr w:type="spellEnd"/>
      <w:r w:rsidRPr="00E61EC7">
        <w:t xml:space="preserve"> and aflibercept arms was greater than </w:t>
      </w:r>
      <w:r w:rsidR="00263448" w:rsidRPr="00E61EC7">
        <w:t>-</w:t>
      </w:r>
      <w:r w:rsidRPr="00E61EC7">
        <w:t>4 letters.</w:t>
      </w:r>
    </w:p>
    <w:p w14:paraId="57326D1B" w14:textId="77777777" w:rsidR="00042FC8" w:rsidRPr="00E61EC7" w:rsidRDefault="002A2C48" w:rsidP="00211011">
      <w:r w:rsidRPr="00E61EC7">
        <w:t>Results from the primary endpoint analysis was consistent between the ITT and PP populations and were generally supported by sensitivity and supplementary analyses.</w:t>
      </w:r>
      <w:bookmarkStart w:id="68" w:name="_Ref102125016"/>
    </w:p>
    <w:p w14:paraId="0D7D0E02" w14:textId="7056C448" w:rsidR="006A2CD9" w:rsidRDefault="002A2C48" w:rsidP="006A2CD9">
      <w:r w:rsidRPr="00E61EC7">
        <w:t xml:space="preserve">The mean change from </w:t>
      </w:r>
      <w:r w:rsidR="005B01D2" w:rsidRPr="00E61EC7">
        <w:t>Baseline</w:t>
      </w:r>
      <w:r w:rsidRPr="00E61EC7">
        <w:t xml:space="preserve"> in BCVA were generally maintained over 60 weeks.</w:t>
      </w:r>
      <w:bookmarkStart w:id="69" w:name="_Ref102565270"/>
    </w:p>
    <w:p w14:paraId="58618791" w14:textId="3BBD242F" w:rsidR="003B265A" w:rsidRPr="00E61EC7" w:rsidRDefault="003B265A" w:rsidP="005F453B">
      <w:pPr>
        <w:spacing w:before="0" w:after="200" w:line="0" w:lineRule="auto"/>
      </w:pPr>
      <w:r>
        <w:br w:type="page"/>
      </w:r>
    </w:p>
    <w:p w14:paraId="387FF3AA" w14:textId="59678217" w:rsidR="00D831F3" w:rsidRPr="00E61EC7" w:rsidRDefault="002A2C48" w:rsidP="00202A6D">
      <w:pPr>
        <w:pStyle w:val="TableTitle"/>
      </w:pPr>
      <w:bookmarkStart w:id="70" w:name="_Ref118318207"/>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8</w:t>
      </w:r>
      <w:r w:rsidR="00C22604" w:rsidRPr="00E61EC7">
        <w:rPr>
          <w:noProof/>
        </w:rPr>
        <w:fldChar w:fldCharType="end"/>
      </w:r>
      <w:bookmarkEnd w:id="69"/>
      <w:bookmarkEnd w:id="70"/>
      <w:r w:rsidRPr="00E61EC7">
        <w:t>: Study GR40844 (LUCERNE trial) Overview of primary and select efficacy endpoints (intent-to-treat population) and supplementary analysis (per</w:t>
      </w:r>
      <w:r w:rsidRPr="00E61EC7">
        <w:noBreakHyphen/>
        <w:t>protocol population)</w:t>
      </w:r>
    </w:p>
    <w:p w14:paraId="327769AB" w14:textId="77777777" w:rsidR="00DE45C7" w:rsidRPr="00E61EC7" w:rsidRDefault="002A2C48" w:rsidP="00202A6D">
      <w:pPr>
        <w:rPr>
          <w:noProof/>
          <w:color w:val="FF0000"/>
        </w:rPr>
      </w:pPr>
      <w:r w:rsidRPr="00E61EC7">
        <w:rPr>
          <w:noProof/>
          <w:lang w:val="en-GB" w:eastAsia="en-GB"/>
        </w:rPr>
        <w:drawing>
          <wp:inline distT="0" distB="0" distL="0" distR="0" wp14:anchorId="549805F3" wp14:editId="651FE01C">
            <wp:extent cx="5301227" cy="4994695"/>
            <wp:effectExtent l="0" t="0" r="0" b="0"/>
            <wp:docPr id="26" name="Picture 26" descr="Table 8: Study GR40844 (LUCERNE trial) Overview of primary and select efficacy endpoints (intent-to-treat population) and supplementary analysis (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 8: Study GR40844 (LUCERNE trial) Overview of primary and select efficacy endpoints (intent-to-treat population) and supplementary analysis (per protocol population)"/>
                    <pic:cNvPicPr/>
                  </pic:nvPicPr>
                  <pic:blipFill>
                    <a:blip r:embed="rId32"/>
                    <a:stretch>
                      <a:fillRect/>
                    </a:stretch>
                  </pic:blipFill>
                  <pic:spPr>
                    <a:xfrm>
                      <a:off x="0" y="0"/>
                      <a:ext cx="5350692" cy="5041300"/>
                    </a:xfrm>
                    <a:prstGeom prst="rect">
                      <a:avLst/>
                    </a:prstGeom>
                  </pic:spPr>
                </pic:pic>
              </a:graphicData>
            </a:graphic>
          </wp:inline>
        </w:drawing>
      </w:r>
    </w:p>
    <w:p w14:paraId="52477582" w14:textId="681ACDF5" w:rsidR="00D831F3" w:rsidRPr="00E61EC7" w:rsidRDefault="002A2C48" w:rsidP="00202A6D">
      <w:pPr>
        <w:pStyle w:val="TableDescription"/>
      </w:pPr>
      <w:r w:rsidRPr="00E61EC7">
        <w:t>Abbreviations: BCVA = best</w:t>
      </w:r>
      <w:r w:rsidR="00EC0073" w:rsidRPr="00E61EC7">
        <w:t xml:space="preserve"> </w:t>
      </w:r>
      <w:r w:rsidRPr="00E61EC7">
        <w:t>corrected visual acuity; CI = confidence interval; CMH = Cochran-Mantel-Haenszel; ETDRS = Early Treatment Diabetic Retinopathy Study; MMRM = mixed model for repeated measures; N= number of subjects; NEI VFQ-25 = National Eye Institute 25-Item Visual Function Questionnaire; PP = per-protocol; Q8W = every 8 weeks; Q12W = every 12 weeks; Q16W = every 16</w:t>
      </w:r>
      <w:r w:rsidR="00BA434B" w:rsidRPr="00E61EC7">
        <w:t> </w:t>
      </w:r>
      <w:r w:rsidRPr="00E61EC7">
        <w:t>weeks.</w:t>
      </w:r>
    </w:p>
    <w:p w14:paraId="7E0F1841" w14:textId="48926705" w:rsidR="00D831F3" w:rsidRPr="00E61EC7" w:rsidRDefault="002A2C48" w:rsidP="00202A6D">
      <w:pPr>
        <w:pStyle w:val="TableDescription"/>
      </w:pPr>
      <w:r w:rsidRPr="00E61EC7">
        <w:t>For the MMRM analysis, the model is adjusted for treatment arm, visit, visit-by-treatment arm interaction, baseline BCVA (continuous), baseline BCVA score (</w:t>
      </w:r>
      <w:r w:rsidR="00BA434B" w:rsidRPr="00E61EC7">
        <w:t>≥</w:t>
      </w:r>
      <w:r w:rsidRPr="00E61EC7">
        <w:t xml:space="preserve"> 74 letters, 73</w:t>
      </w:r>
      <w:r w:rsidR="00BA434B" w:rsidRPr="00E61EC7">
        <w:t xml:space="preserve"> to </w:t>
      </w:r>
      <w:r w:rsidRPr="00E61EC7">
        <w:t xml:space="preserve">55 letters, and </w:t>
      </w:r>
      <w:r w:rsidR="00BA434B" w:rsidRPr="00E61EC7">
        <w:t>≤ </w:t>
      </w:r>
      <w:r w:rsidRPr="00E61EC7">
        <w:t>54</w:t>
      </w:r>
      <w:r w:rsidR="00BA434B" w:rsidRPr="00E61EC7">
        <w:t> </w:t>
      </w:r>
      <w:r w:rsidRPr="00E61EC7">
        <w:t>letters), LLD (</w:t>
      </w:r>
      <w:r w:rsidR="00BA434B" w:rsidRPr="00E61EC7">
        <w:t>&lt;</w:t>
      </w:r>
      <w:r w:rsidRPr="00E61EC7">
        <w:t xml:space="preserve"> 33 letters and </w:t>
      </w:r>
      <w:r w:rsidR="00BA434B" w:rsidRPr="00E61EC7">
        <w:t>versus</w:t>
      </w:r>
      <w:r w:rsidRPr="00E61EC7">
        <w:t xml:space="preserve"> </w:t>
      </w:r>
      <w:r w:rsidR="00BA434B" w:rsidRPr="00E61EC7">
        <w:t>≥</w:t>
      </w:r>
      <w:r w:rsidRPr="00E61EC7">
        <w:t xml:space="preserve"> 33 letters), and region (United States and Canada, Asia, and the rest of the world).</w:t>
      </w:r>
    </w:p>
    <w:p w14:paraId="068C8E6B" w14:textId="24226290" w:rsidR="00D831F3" w:rsidRPr="00E61EC7" w:rsidRDefault="002A2C48" w:rsidP="00202A6D">
      <w:pPr>
        <w:pStyle w:val="TableDescription"/>
      </w:pPr>
      <w:r w:rsidRPr="00E61EC7">
        <w:t>An unstructured covariance structure is used. 95% CI is a rounding of 95.03% CI.</w:t>
      </w:r>
    </w:p>
    <w:p w14:paraId="445DFADD" w14:textId="72E470CA" w:rsidR="00D831F3" w:rsidRPr="00E61EC7" w:rsidRDefault="002A2C48" w:rsidP="00202A6D">
      <w:pPr>
        <w:pStyle w:val="TableDescription"/>
      </w:pPr>
      <w:r w:rsidRPr="00E61EC7">
        <w:t>For the CMH analysis, the weighted estimate is based on CMH test stratified by baseline BCVA (</w:t>
      </w:r>
      <w:r w:rsidR="00BA434B" w:rsidRPr="00E61EC7">
        <w:t>≥ </w:t>
      </w:r>
      <w:r w:rsidRPr="00E61EC7">
        <w:t>74</w:t>
      </w:r>
      <w:r w:rsidR="00BA434B" w:rsidRPr="00E61EC7">
        <w:t> </w:t>
      </w:r>
      <w:r w:rsidRPr="00E61EC7">
        <w:t>letters, 73</w:t>
      </w:r>
      <w:r w:rsidR="00BA434B" w:rsidRPr="00E61EC7">
        <w:t xml:space="preserve"> to</w:t>
      </w:r>
      <w:r w:rsidRPr="00E61EC7">
        <w:t xml:space="preserve"> 55 letters, and </w:t>
      </w:r>
      <w:r w:rsidR="00BA434B" w:rsidRPr="00E61EC7">
        <w:t>≤</w:t>
      </w:r>
      <w:r w:rsidRPr="00E61EC7">
        <w:t xml:space="preserve"> 54 letters), baseline LLD (</w:t>
      </w:r>
      <w:r w:rsidR="00BA434B" w:rsidRPr="00E61EC7">
        <w:t>&lt;</w:t>
      </w:r>
      <w:r w:rsidRPr="00E61EC7">
        <w:t xml:space="preserve"> 33 letters and </w:t>
      </w:r>
      <w:r w:rsidR="00BA434B" w:rsidRPr="00E61EC7">
        <w:t>≥</w:t>
      </w:r>
      <w:r w:rsidRPr="00E61EC7">
        <w:t xml:space="preserve"> 33 letters), and region (</w:t>
      </w:r>
      <w:r w:rsidR="00BA434B" w:rsidRPr="00E61EC7">
        <w:t>United States</w:t>
      </w:r>
      <w:r w:rsidRPr="00E61EC7">
        <w:t xml:space="preserve"> and Canada </w:t>
      </w:r>
      <w:r w:rsidR="00BA434B" w:rsidRPr="00E61EC7">
        <w:t>versus</w:t>
      </w:r>
      <w:r w:rsidRPr="00E61EC7">
        <w:t xml:space="preserve"> the rest of the world). Asia and rest of the world regions are combined due to a small number of enrolled patients. Treatment policy strategy and hypothetical strategy were applied to non-</w:t>
      </w:r>
      <w:r w:rsidR="00BA434B" w:rsidRPr="00E61EC7">
        <w:t>coronavirus 2019 (non-</w:t>
      </w:r>
      <w:r w:rsidRPr="00E61EC7">
        <w:t>COVID-19</w:t>
      </w:r>
      <w:r w:rsidR="00BA434B" w:rsidRPr="00E61EC7">
        <w:t>)</w:t>
      </w:r>
      <w:r w:rsidR="009E3920" w:rsidRPr="00E61EC7">
        <w:t>-</w:t>
      </w:r>
      <w:r w:rsidRPr="00E61EC7">
        <w:t>related and COVID-19</w:t>
      </w:r>
      <w:r w:rsidR="009E3920" w:rsidRPr="00E61EC7">
        <w:t>-</w:t>
      </w:r>
      <w:r w:rsidRPr="00E61EC7">
        <w:t>related intercurrent events, respectively. Missing data were not imputed. Invalid BCVA values are excluded from analysis. 95% CI is a rounding of 95.03% CI and estimates below 0% or above 100% are imputed as 0% or 100% respectively.</w:t>
      </w:r>
    </w:p>
    <w:p w14:paraId="44127289" w14:textId="50058389" w:rsidR="006A2CD9" w:rsidRPr="00E61EC7" w:rsidRDefault="002A2C48" w:rsidP="00202A6D">
      <w:pPr>
        <w:pStyle w:val="TableDescription"/>
      </w:pPr>
      <w:r w:rsidRPr="00E61EC7">
        <w:t>a</w:t>
      </w:r>
      <w:r w:rsidR="00E6620E" w:rsidRPr="00E61EC7">
        <w:t>.</w:t>
      </w:r>
      <w:r w:rsidRPr="00E61EC7">
        <w:t xml:space="preserve"> For the primary analysis, if the lower bound of a two-sided 95.03% CI for the difference in adjusted means of the two treatments is greater than </w:t>
      </w:r>
      <w:r w:rsidR="00BA434B" w:rsidRPr="00E61EC7">
        <w:t>-</w:t>
      </w:r>
      <w:r w:rsidRPr="00E61EC7">
        <w:t xml:space="preserve">4 letters (the non-inferiority margin), then </w:t>
      </w:r>
      <w:proofErr w:type="spellStart"/>
      <w:r w:rsidRPr="00E61EC7">
        <w:t>faricimab</w:t>
      </w:r>
      <w:proofErr w:type="spellEnd"/>
      <w:r w:rsidRPr="00E61EC7">
        <w:t xml:space="preserve"> is considered non-inferior to aflibercept.</w:t>
      </w:r>
    </w:p>
    <w:p w14:paraId="18975B3E" w14:textId="77777777" w:rsidR="00211011" w:rsidRPr="00E61EC7" w:rsidRDefault="002A2C48" w:rsidP="005F453B">
      <w:pPr>
        <w:pStyle w:val="Heading6"/>
      </w:pPr>
      <w:r w:rsidRPr="00E61EC7">
        <w:lastRenderedPageBreak/>
        <w:t>Key secondary endpoints</w:t>
      </w:r>
    </w:p>
    <w:p w14:paraId="7AA74650" w14:textId="283AC979" w:rsidR="00042FC8" w:rsidRPr="00E61EC7" w:rsidRDefault="002A2C48" w:rsidP="00211011">
      <w:r w:rsidRPr="00E61EC7">
        <w:t>The proportions of patients with 15</w:t>
      </w:r>
      <w:r w:rsidR="006A2CD9" w:rsidRPr="00E61EC7">
        <w:t xml:space="preserve"> letter or more</w:t>
      </w:r>
      <w:r w:rsidRPr="00E61EC7">
        <w:t xml:space="preserve"> gain and avoiding 15 </w:t>
      </w:r>
      <w:r w:rsidR="006A2CD9" w:rsidRPr="00E61EC7">
        <w:t>letter or more</w:t>
      </w:r>
      <w:r w:rsidRPr="00E61EC7">
        <w:t xml:space="preserve"> loss from </w:t>
      </w:r>
      <w:r w:rsidR="005B01D2" w:rsidRPr="00E61EC7">
        <w:t>Baseline</w:t>
      </w:r>
      <w:r w:rsidRPr="00E61EC7">
        <w:t xml:space="preserve"> at Week</w:t>
      </w:r>
      <w:r w:rsidR="006A2CD9" w:rsidRPr="00E61EC7">
        <w:t>s</w:t>
      </w:r>
      <w:r w:rsidRPr="00E61EC7">
        <w:t xml:space="preserve"> 40</w:t>
      </w:r>
      <w:r w:rsidR="006A2CD9" w:rsidRPr="00E61EC7">
        <w:t xml:space="preserve">, </w:t>
      </w:r>
      <w:r w:rsidRPr="00E61EC7">
        <w:t>44</w:t>
      </w:r>
      <w:r w:rsidR="006A2CD9" w:rsidRPr="00E61EC7">
        <w:t xml:space="preserve"> and </w:t>
      </w:r>
      <w:r w:rsidRPr="00E61EC7">
        <w:t>48 and at Week</w:t>
      </w:r>
      <w:r w:rsidR="006A2CD9" w:rsidRPr="00E61EC7">
        <w:t>s</w:t>
      </w:r>
      <w:r w:rsidRPr="00E61EC7">
        <w:t xml:space="preserve"> 52</w:t>
      </w:r>
      <w:r w:rsidR="006A2CD9" w:rsidRPr="00E61EC7">
        <w:t xml:space="preserve">, </w:t>
      </w:r>
      <w:r w:rsidRPr="00E61EC7">
        <w:t>56</w:t>
      </w:r>
      <w:r w:rsidR="006A2CD9" w:rsidRPr="00E61EC7">
        <w:t xml:space="preserve"> and </w:t>
      </w:r>
      <w:r w:rsidRPr="00E61EC7">
        <w:t xml:space="preserve">60 were similar between </w:t>
      </w:r>
      <w:proofErr w:type="spellStart"/>
      <w:r w:rsidRPr="00E61EC7">
        <w:t>faricimab</w:t>
      </w:r>
      <w:proofErr w:type="spellEnd"/>
      <w:r w:rsidRPr="00E61EC7">
        <w:t xml:space="preserve"> and aflibercept arms in each study and supported the primary efficacy outcomes (pooled TENAYA and LUCERNE</w:t>
      </w:r>
      <w:r w:rsidR="00215642" w:rsidRPr="00E61EC7">
        <w:t xml:space="preserve"> trials</w:t>
      </w:r>
      <w:r w:rsidRPr="00E61EC7">
        <w:t xml:space="preserve">, </w:t>
      </w:r>
      <w:proofErr w:type="spellStart"/>
      <w:r w:rsidRPr="00E61EC7">
        <w:t>faricimab</w:t>
      </w:r>
      <w:proofErr w:type="spellEnd"/>
      <w:r w:rsidRPr="00E61EC7">
        <w:t xml:space="preserve"> </w:t>
      </w:r>
      <w:r w:rsidR="005B01D2" w:rsidRPr="00E61EC7">
        <w:t>versus</w:t>
      </w:r>
      <w:r w:rsidRPr="00E61EC7">
        <w:t xml:space="preserve"> aflibercept):</w:t>
      </w:r>
    </w:p>
    <w:p w14:paraId="7E416139" w14:textId="4D642D4D" w:rsidR="00042FC8" w:rsidRPr="00E61EC7" w:rsidRDefault="002A2C48" w:rsidP="00211011">
      <w:pPr>
        <w:pStyle w:val="ListBullet"/>
      </w:pPr>
      <w:r w:rsidRPr="005F453B">
        <w:rPr>
          <w:i/>
        </w:rPr>
        <w:t xml:space="preserve">Gain of 15 letter or more: </w:t>
      </w:r>
      <w:r w:rsidRPr="00E61EC7">
        <w:t xml:space="preserve">20% </w:t>
      </w:r>
      <w:r w:rsidR="005B01D2" w:rsidRPr="00E61EC7">
        <w:t>versus</w:t>
      </w:r>
      <w:r w:rsidRPr="00E61EC7">
        <w:t xml:space="preserve"> 19% (Weeks 40, 44 and 48); 21% </w:t>
      </w:r>
      <w:r w:rsidR="005B01D2" w:rsidRPr="00E61EC7">
        <w:t>versus</w:t>
      </w:r>
      <w:r w:rsidRPr="00E61EC7">
        <w:t xml:space="preserve"> 20% (Weeks 52, 56 and 60).</w:t>
      </w:r>
    </w:p>
    <w:p w14:paraId="2D3BB2C8" w14:textId="00D08EA4" w:rsidR="00042FC8" w:rsidRPr="00E61EC7" w:rsidRDefault="002A2C48" w:rsidP="00211011">
      <w:pPr>
        <w:pStyle w:val="ListBullet"/>
      </w:pPr>
      <w:r w:rsidRPr="005F453B">
        <w:rPr>
          <w:i/>
        </w:rPr>
        <w:t xml:space="preserve">Avoiding 15 </w:t>
      </w:r>
      <w:r w:rsidR="006A2CD9" w:rsidRPr="005F453B">
        <w:rPr>
          <w:i/>
        </w:rPr>
        <w:t>letter or more</w:t>
      </w:r>
      <w:r w:rsidRPr="005F453B">
        <w:rPr>
          <w:i/>
        </w:rPr>
        <w:t xml:space="preserve"> loss</w:t>
      </w:r>
      <w:r w:rsidRPr="00E61EC7">
        <w:t xml:space="preserve">: 96% </w:t>
      </w:r>
      <w:r w:rsidR="005B01D2" w:rsidRPr="00E61EC7">
        <w:t>versus</w:t>
      </w:r>
      <w:r w:rsidRPr="00E61EC7">
        <w:t xml:space="preserve"> 96% (Weeks 40</w:t>
      </w:r>
      <w:r w:rsidR="006A2CD9" w:rsidRPr="00E61EC7">
        <w:t xml:space="preserve">, </w:t>
      </w:r>
      <w:r w:rsidRPr="00E61EC7">
        <w:t>44</w:t>
      </w:r>
      <w:r w:rsidR="006A2CD9" w:rsidRPr="00E61EC7">
        <w:t xml:space="preserve"> and </w:t>
      </w:r>
      <w:r w:rsidRPr="00E61EC7">
        <w:t xml:space="preserve">48); 95% </w:t>
      </w:r>
      <w:r w:rsidR="005B01D2" w:rsidRPr="00E61EC7">
        <w:t>versus</w:t>
      </w:r>
      <w:r w:rsidRPr="00E61EC7">
        <w:t xml:space="preserve"> 95% (Weeks 52</w:t>
      </w:r>
      <w:r w:rsidR="006A2CD9" w:rsidRPr="00E61EC7">
        <w:t xml:space="preserve">, </w:t>
      </w:r>
      <w:r w:rsidRPr="00E61EC7">
        <w:t>56</w:t>
      </w:r>
      <w:r w:rsidR="006A2CD9" w:rsidRPr="00E61EC7">
        <w:t xml:space="preserve"> and </w:t>
      </w:r>
      <w:r w:rsidRPr="00E61EC7">
        <w:t>60).</w:t>
      </w:r>
    </w:p>
    <w:p w14:paraId="4201F12D" w14:textId="01EDE6A6" w:rsidR="00042FC8" w:rsidRPr="00E61EC7" w:rsidRDefault="002A2C48" w:rsidP="006A2CD9">
      <w:r w:rsidRPr="00E61EC7">
        <w:t xml:space="preserve">Patients in the </w:t>
      </w:r>
      <w:proofErr w:type="spellStart"/>
      <w:r w:rsidRPr="00E61EC7">
        <w:t>faricimab</w:t>
      </w:r>
      <w:proofErr w:type="spellEnd"/>
      <w:r w:rsidRPr="00E61EC7">
        <w:t xml:space="preserve"> and aflibercept arms had similar reductions in CST from </w:t>
      </w:r>
      <w:r w:rsidR="005B01D2" w:rsidRPr="00E61EC7">
        <w:t>Baseline</w:t>
      </w:r>
      <w:r w:rsidRPr="00E61EC7">
        <w:t xml:space="preserve"> at Week</w:t>
      </w:r>
      <w:r w:rsidR="006A2CD9" w:rsidRPr="00E61EC7">
        <w:t>s</w:t>
      </w:r>
      <w:r w:rsidRPr="00E61EC7">
        <w:t xml:space="preserve"> 40</w:t>
      </w:r>
      <w:r w:rsidR="006A2CD9" w:rsidRPr="00E61EC7">
        <w:t xml:space="preserve">, </w:t>
      </w:r>
      <w:r w:rsidRPr="00E61EC7">
        <w:t>44</w:t>
      </w:r>
      <w:r w:rsidR="006A2CD9" w:rsidRPr="00E61EC7">
        <w:t xml:space="preserve"> and </w:t>
      </w:r>
      <w:r w:rsidRPr="00E61EC7">
        <w:t>48 and at Week</w:t>
      </w:r>
      <w:r w:rsidR="006A2CD9" w:rsidRPr="00E61EC7">
        <w:t>s</w:t>
      </w:r>
      <w:r w:rsidRPr="00E61EC7">
        <w:t xml:space="preserve"> 52</w:t>
      </w:r>
      <w:r w:rsidR="006A2CD9" w:rsidRPr="00E61EC7">
        <w:t xml:space="preserve">, </w:t>
      </w:r>
      <w:r w:rsidRPr="00E61EC7">
        <w:t>56</w:t>
      </w:r>
      <w:r w:rsidR="006A2CD9" w:rsidRPr="00E61EC7">
        <w:t xml:space="preserve"> and </w:t>
      </w:r>
      <w:r w:rsidRPr="00E61EC7">
        <w:t>60 in each study (pooled TENAYA and LUCERNE</w:t>
      </w:r>
      <w:r w:rsidR="00215642" w:rsidRPr="00E61EC7">
        <w:t xml:space="preserve"> trials</w:t>
      </w:r>
      <w:r w:rsidRPr="00E61EC7">
        <w:t xml:space="preserve">, </w:t>
      </w:r>
      <w:proofErr w:type="spellStart"/>
      <w:r w:rsidRPr="00E61EC7">
        <w:t>faricimab</w:t>
      </w:r>
      <w:proofErr w:type="spellEnd"/>
      <w:r w:rsidRPr="00E61EC7">
        <w:t xml:space="preserve"> </w:t>
      </w:r>
      <w:r w:rsidR="005B01D2" w:rsidRPr="00E61EC7">
        <w:t>versus</w:t>
      </w:r>
      <w:r w:rsidRPr="00E61EC7">
        <w:t xml:space="preserve"> aflibercept): -137 µm </w:t>
      </w:r>
      <w:r w:rsidR="005B01D2" w:rsidRPr="00E61EC7">
        <w:t>versus</w:t>
      </w:r>
      <w:r w:rsidRPr="00E61EC7">
        <w:t xml:space="preserve"> -130 µm (Weeks</w:t>
      </w:r>
      <w:r w:rsidR="006A2CD9" w:rsidRPr="00E61EC7">
        <w:t> </w:t>
      </w:r>
      <w:r w:rsidRPr="00E61EC7">
        <w:t>40</w:t>
      </w:r>
      <w:r w:rsidR="006A2CD9" w:rsidRPr="00E61EC7">
        <w:t xml:space="preserve">, </w:t>
      </w:r>
      <w:r w:rsidRPr="00E61EC7">
        <w:t>44</w:t>
      </w:r>
      <w:r w:rsidR="006A2CD9" w:rsidRPr="00E61EC7">
        <w:t xml:space="preserve"> and </w:t>
      </w:r>
      <w:r w:rsidRPr="00E61EC7">
        <w:t xml:space="preserve">48) and -135 µm </w:t>
      </w:r>
      <w:r w:rsidR="005B01D2" w:rsidRPr="00E61EC7">
        <w:t>versus</w:t>
      </w:r>
      <w:r w:rsidRPr="00E61EC7">
        <w:t xml:space="preserve"> -136 µm (Week</w:t>
      </w:r>
      <w:r w:rsidR="006A2CD9" w:rsidRPr="00E61EC7">
        <w:t>s</w:t>
      </w:r>
      <w:r w:rsidRPr="00E61EC7">
        <w:t xml:space="preserve"> 52</w:t>
      </w:r>
      <w:r w:rsidR="006A2CD9" w:rsidRPr="00E61EC7">
        <w:t xml:space="preserve">, </w:t>
      </w:r>
      <w:r w:rsidRPr="00E61EC7">
        <w:t>56</w:t>
      </w:r>
      <w:r w:rsidR="006A2CD9" w:rsidRPr="00E61EC7">
        <w:t xml:space="preserve"> and </w:t>
      </w:r>
      <w:r w:rsidRPr="00E61EC7">
        <w:t xml:space="preserve">60). The reductions in CST from </w:t>
      </w:r>
      <w:r w:rsidR="005B01D2" w:rsidRPr="00E61EC7">
        <w:t>Baseline</w:t>
      </w:r>
      <w:r w:rsidRPr="00E61EC7">
        <w:t xml:space="preserve"> were generally maintained over 60 weeks.</w:t>
      </w:r>
      <w:bookmarkEnd w:id="68"/>
    </w:p>
    <w:p w14:paraId="491EE1B0" w14:textId="72431F79" w:rsidR="006A2CD9" w:rsidRPr="00E61EC7" w:rsidRDefault="002A2C48" w:rsidP="00211011">
      <w:pPr>
        <w:pStyle w:val="Heading5"/>
      </w:pPr>
      <w:r w:rsidRPr="00E61EC7">
        <w:t xml:space="preserve">Supportive </w:t>
      </w:r>
      <w:r w:rsidR="00533A7C" w:rsidRPr="00E61EC7">
        <w:t>Phase II</w:t>
      </w:r>
      <w:r w:rsidRPr="00E61EC7">
        <w:t xml:space="preserve"> </w:t>
      </w:r>
      <w:bookmarkStart w:id="71" w:name="_Hlk102138629"/>
      <w:r w:rsidRPr="00E61EC7">
        <w:t>stud</w:t>
      </w:r>
      <w:r w:rsidR="00371CFE" w:rsidRPr="00E61EC7">
        <w:t>ies</w:t>
      </w:r>
    </w:p>
    <w:p w14:paraId="2B90B42A" w14:textId="1D97D46F" w:rsidR="00042FC8" w:rsidRPr="00E61EC7" w:rsidRDefault="002A2C48" w:rsidP="006A2CD9">
      <w:pPr>
        <w:pStyle w:val="Heading6"/>
      </w:pPr>
      <w:r w:rsidRPr="00E61EC7">
        <w:t>Study CR39521</w:t>
      </w:r>
      <w:r w:rsidR="003B265A">
        <w:t xml:space="preserve"> </w:t>
      </w:r>
      <w:r w:rsidR="00371CFE" w:rsidRPr="00E61EC7">
        <w:t>(</w:t>
      </w:r>
      <w:r w:rsidRPr="00E61EC7">
        <w:t>STAIRWAY trial</w:t>
      </w:r>
      <w:bookmarkEnd w:id="71"/>
      <w:r w:rsidR="00371CFE" w:rsidRPr="00E61EC7">
        <w:t>)</w:t>
      </w:r>
    </w:p>
    <w:p w14:paraId="695C8101" w14:textId="4F871466" w:rsidR="00042FC8" w:rsidRPr="00E61EC7" w:rsidRDefault="002A2C48" w:rsidP="00211011">
      <w:r w:rsidRPr="00E61EC7">
        <w:t xml:space="preserve">The STAIRWAY trial </w:t>
      </w:r>
      <w:r w:rsidR="00EC71F6" w:rsidRPr="00E61EC7">
        <w:t>is</w:t>
      </w:r>
      <w:r w:rsidRPr="00E61EC7">
        <w:t xml:space="preserve"> a multicentre, randomised, active comparator</w:t>
      </w:r>
      <w:r w:rsidR="00371CFE" w:rsidRPr="00E61EC7">
        <w:t xml:space="preserve"> </w:t>
      </w:r>
      <w:r w:rsidRPr="00E61EC7">
        <w:t xml:space="preserve">controlled, subject and outcome-assessor masked, 3-arm parallel group (2:2:1), 52-week study investigating the efficacy, safety, and </w:t>
      </w:r>
      <w:r w:rsidR="00306183" w:rsidRPr="00E61EC7">
        <w:t xml:space="preserve">pharmacokinetics (PK) </w:t>
      </w:r>
      <w:r w:rsidRPr="00E61EC7">
        <w:t xml:space="preserve">of </w:t>
      </w:r>
      <w:proofErr w:type="spellStart"/>
      <w:r w:rsidRPr="00E61EC7">
        <w:t>faricimab</w:t>
      </w:r>
      <w:proofErr w:type="spellEnd"/>
      <w:r w:rsidRPr="00E61EC7">
        <w:t xml:space="preserve"> in patients with </w:t>
      </w:r>
      <w:proofErr w:type="spellStart"/>
      <w:r w:rsidRPr="00E61EC7">
        <w:t>nAMD</w:t>
      </w:r>
      <w:proofErr w:type="spellEnd"/>
      <w:r w:rsidRPr="00E61EC7">
        <w:t xml:space="preserve">. Its primary objective was to evaluate the efficacy of </w:t>
      </w:r>
      <w:proofErr w:type="spellStart"/>
      <w:r w:rsidRPr="00E61EC7">
        <w:t>faricimab</w:t>
      </w:r>
      <w:proofErr w:type="spellEnd"/>
      <w:r w:rsidRPr="00E61EC7">
        <w:t xml:space="preserve"> on visual acuity when administered at 12</w:t>
      </w:r>
      <w:r w:rsidR="00371CFE" w:rsidRPr="00E61EC7">
        <w:noBreakHyphen/>
      </w:r>
      <w:r w:rsidRPr="00E61EC7">
        <w:t xml:space="preserve"> and 16</w:t>
      </w:r>
      <w:r w:rsidR="00AB2343" w:rsidRPr="00E61EC7">
        <w:noBreakHyphen/>
      </w:r>
      <w:r w:rsidRPr="00E61EC7">
        <w:t>week intervals.</w:t>
      </w:r>
    </w:p>
    <w:p w14:paraId="1CCDE3B9" w14:textId="77777777" w:rsidR="00042FC8" w:rsidRPr="00E61EC7" w:rsidRDefault="002A2C48" w:rsidP="00211011">
      <w:r w:rsidRPr="00E61EC7">
        <w:t>Eligible patients were randomised in a 2:2:1 ratio to one of three intravitreal treatment arms:</w:t>
      </w:r>
    </w:p>
    <w:p w14:paraId="21A5FA50" w14:textId="33828930" w:rsidR="00042FC8" w:rsidRPr="00E61EC7" w:rsidRDefault="002A2C48" w:rsidP="00211011">
      <w:pPr>
        <w:pStyle w:val="ListBullet"/>
      </w:pPr>
      <w:proofErr w:type="spellStart"/>
      <w:r w:rsidRPr="005F453B">
        <w:rPr>
          <w:i/>
        </w:rPr>
        <w:t>Faricimab</w:t>
      </w:r>
      <w:proofErr w:type="spellEnd"/>
      <w:r w:rsidRPr="005F453B">
        <w:rPr>
          <w:i/>
        </w:rPr>
        <w:t xml:space="preserve"> </w:t>
      </w:r>
      <w:r w:rsidR="000E4FBF" w:rsidRPr="005F453B">
        <w:rPr>
          <w:i/>
        </w:rPr>
        <w:t>every 12 weeks</w:t>
      </w:r>
      <w:r w:rsidRPr="00E61EC7">
        <w:t xml:space="preserve">: 6 mg </w:t>
      </w:r>
      <w:r w:rsidR="003E5F35" w:rsidRPr="00E61EC7">
        <w:t>every 4 weeks</w:t>
      </w:r>
      <w:r w:rsidRPr="00E61EC7">
        <w:t xml:space="preserve"> up to Week 12, then 6 mg </w:t>
      </w:r>
      <w:r w:rsidR="000E4FBF" w:rsidRPr="00E61EC7">
        <w:t>every 12</w:t>
      </w:r>
      <w:r w:rsidR="00371CFE" w:rsidRPr="00E61EC7">
        <w:t> </w:t>
      </w:r>
      <w:r w:rsidR="000E4FBF" w:rsidRPr="00E61EC7">
        <w:t>weeks</w:t>
      </w:r>
      <w:r w:rsidRPr="00E61EC7">
        <w:t xml:space="preserve"> up to Week 48</w:t>
      </w:r>
      <w:r w:rsidR="00371CFE" w:rsidRPr="00E61EC7">
        <w:t>.</w:t>
      </w:r>
    </w:p>
    <w:p w14:paraId="77809B30" w14:textId="00F5F825" w:rsidR="00042FC8" w:rsidRPr="00E61EC7" w:rsidRDefault="002A2C48" w:rsidP="00211011">
      <w:pPr>
        <w:pStyle w:val="ListBullet"/>
      </w:pPr>
      <w:proofErr w:type="spellStart"/>
      <w:r w:rsidRPr="005F453B">
        <w:rPr>
          <w:i/>
        </w:rPr>
        <w:t>Faricimab</w:t>
      </w:r>
      <w:proofErr w:type="spellEnd"/>
      <w:r w:rsidRPr="005F453B">
        <w:rPr>
          <w:i/>
        </w:rPr>
        <w:t xml:space="preserve"> </w:t>
      </w:r>
      <w:r w:rsidR="000E4FBF" w:rsidRPr="005F453B">
        <w:rPr>
          <w:i/>
        </w:rPr>
        <w:t>every 16 weeks</w:t>
      </w:r>
      <w:r w:rsidRPr="00E61EC7">
        <w:t xml:space="preserve">: 6 mg </w:t>
      </w:r>
      <w:r w:rsidR="003E5F35" w:rsidRPr="00E61EC7">
        <w:t>every 4 weeks</w:t>
      </w:r>
      <w:r w:rsidRPr="00E61EC7">
        <w:t xml:space="preserve"> up to Week 12, then 6 mg </w:t>
      </w:r>
      <w:r w:rsidR="000E4FBF" w:rsidRPr="00E61EC7">
        <w:t>every 16</w:t>
      </w:r>
      <w:r w:rsidR="00371CFE" w:rsidRPr="00E61EC7">
        <w:t> </w:t>
      </w:r>
      <w:r w:rsidR="000E4FBF" w:rsidRPr="00E61EC7">
        <w:t>weeks</w:t>
      </w:r>
      <w:r w:rsidRPr="00E61EC7">
        <w:t xml:space="preserve"> up to Week 48. At Week 24, patients with active disease received a 6</w:t>
      </w:r>
      <w:r w:rsidR="00371CFE" w:rsidRPr="00E61EC7">
        <w:t> </w:t>
      </w:r>
      <w:r w:rsidRPr="00E61EC7">
        <w:t xml:space="preserve">mg </w:t>
      </w:r>
      <w:r w:rsidR="000E4FBF" w:rsidRPr="00E61EC7">
        <w:t>every 12 weeks</w:t>
      </w:r>
      <w:r w:rsidRPr="00E61EC7">
        <w:t xml:space="preserve"> dosing interval until the end of study.</w:t>
      </w:r>
    </w:p>
    <w:p w14:paraId="1BCE6F42" w14:textId="52D785A4" w:rsidR="00042FC8" w:rsidRPr="00E61EC7" w:rsidRDefault="002A2C48" w:rsidP="00211011">
      <w:pPr>
        <w:pStyle w:val="ListBullet"/>
      </w:pPr>
      <w:r w:rsidRPr="005F453B">
        <w:rPr>
          <w:i/>
        </w:rPr>
        <w:t xml:space="preserve">Ranibizumab </w:t>
      </w:r>
      <w:r w:rsidR="003E5F35" w:rsidRPr="005F453B">
        <w:rPr>
          <w:i/>
        </w:rPr>
        <w:t>every 4 weeks</w:t>
      </w:r>
      <w:r w:rsidRPr="005F453B">
        <w:rPr>
          <w:i/>
        </w:rPr>
        <w:t xml:space="preserve"> (comparator)</w:t>
      </w:r>
      <w:r w:rsidRPr="00E61EC7">
        <w:t xml:space="preserve">: 0.5 mg ranibizumab </w:t>
      </w:r>
      <w:r w:rsidR="003E5F35" w:rsidRPr="00E61EC7">
        <w:t>every 4 weeks</w:t>
      </w:r>
      <w:r w:rsidRPr="00E61EC7">
        <w:t xml:space="preserve"> for 48</w:t>
      </w:r>
      <w:r w:rsidR="00371CFE" w:rsidRPr="00E61EC7">
        <w:t> </w:t>
      </w:r>
      <w:r w:rsidRPr="00E61EC7">
        <w:t>weeks.</w:t>
      </w:r>
    </w:p>
    <w:p w14:paraId="750AAA0C" w14:textId="62BC954C" w:rsidR="00371CFE" w:rsidRPr="00E61EC7" w:rsidRDefault="002A2C48" w:rsidP="00202A6D">
      <w:pPr>
        <w:pStyle w:val="FigureTitle"/>
      </w:pPr>
      <w:r w:rsidRPr="00E61EC7">
        <w:t xml:space="preserve">Figure </w:t>
      </w:r>
      <w:r w:rsidR="00C22604" w:rsidRPr="00E61EC7">
        <w:fldChar w:fldCharType="begin"/>
      </w:r>
      <w:r>
        <w:instrText xml:space="preserve"> SEQ Figure \* ARABIC </w:instrText>
      </w:r>
      <w:r w:rsidR="00C22604" w:rsidRPr="00E61EC7">
        <w:fldChar w:fldCharType="separate"/>
      </w:r>
      <w:r w:rsidR="001E25B5">
        <w:rPr>
          <w:noProof/>
        </w:rPr>
        <w:t>4</w:t>
      </w:r>
      <w:r w:rsidR="00C22604" w:rsidRPr="00E61EC7">
        <w:rPr>
          <w:noProof/>
        </w:rPr>
        <w:fldChar w:fldCharType="end"/>
      </w:r>
      <w:r w:rsidR="00FB2BF6" w:rsidRPr="00E61EC7">
        <w:t>:</w:t>
      </w:r>
      <w:r w:rsidRPr="00E61EC7">
        <w:t xml:space="preserve"> Study CR39521 (STAIRWAY trial) Study design</w:t>
      </w:r>
    </w:p>
    <w:p w14:paraId="55BBBBEC" w14:textId="4C15AC5B" w:rsidR="00BA434B" w:rsidRPr="00E61EC7" w:rsidRDefault="002A2C48" w:rsidP="00202A6D">
      <w:r w:rsidRPr="00E61EC7">
        <w:rPr>
          <w:noProof/>
          <w:lang w:val="en-GB" w:eastAsia="en-GB"/>
        </w:rPr>
        <w:drawing>
          <wp:inline distT="0" distB="0" distL="0" distR="0" wp14:anchorId="2E6C6DF3" wp14:editId="0B3F4E86">
            <wp:extent cx="5400040" cy="1908175"/>
            <wp:effectExtent l="0" t="0" r="0" b="0"/>
            <wp:docPr id="27" name="Picture 27" descr="Figure 4: Study CR39521 (STAIRWAY trial) Study design&#10;&#10;The STAIRWAY trial is a completed multicenter, randomised, active comparator controlled, subject and outcome assessor masked, parallel group (three treatment arms), 52 week study to investigate the efficacy, safety, and pharmacokinetics of faricimab administered at 12 and 16 week intervals in treatment naive patients with neovascular age related macular degeneration.&#10;&#10;Eligible patients were randomised in a 2:2:1 ratio to one of three intravitreal treatment arms:&#10;&#10;Arm A faricimab every 12 weeks: 6 mg faricimab every 4 weeks up to Week 12 (4 injections), followed by 6 mg faricimab every 12 weeks up to Week 48 (injections at Weeks 24, 36, and 48; 3 injections).&#10;&#10;Arm B faricimab every 16 weeks: 6 mg faricimab every 4 weeks up to Week 12 (4 injections), followed by 6 mg faricimab every 16 weeks up to Week 48 (injections at Weeks 28 and 44; 2 injections) A protocol defined assessment of disease activity at Week 24 required patients with active disease to then receive an every 12 weeks dosing interval of 6 mg faricimab for the remainder of the study, with injections commencing at Week 24 and repeated at Weeks 36 and 48.&#10;&#10;Arm C ranibizumab every 4 weeks (comparator arm): 0.5 mg ranibizumab every 4 weeks for 48 weeks (13 injections) In order to maintain masking throughout the study period, a sham procedure was delivered to patients randomised to both faricimab arms a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4: Study CR39521 (STAIRWAY trial) Study design&#10;&#10;The STAIRWAY trial is a completed multicenter, randomised, active comparator controlled, subject and outcome assessor masked, parallel group (three treatment arms), 52 week study to investigate the efficacy, safety, and pharmacokinetics of faricimab administered at 12 and 16 week intervals in treatment naive patients with neovascular age related macular degeneration.&#10;&#10;Eligible patients were randomised in a 2:2:1 ratio to one of three intravitreal treatment arms:&#10;&#10;Arm A faricimab every 12 weeks: 6 mg faricimab every 4 weeks up to Week 12 (4 injections), followed by 6 mg faricimab every 12 weeks up to Week 48 (injections at Weeks 24, 36, and 48; 3 injections).&#10;&#10;Arm B faricimab every 16 weeks: 6 mg faricimab every 4 weeks up to Week 12 (4 injections), followed by 6 mg faricimab every 16 weeks up to Week 48 (injections at Weeks 28 and 44; 2 injections) A protocol defined assessment of disease activity at Week 24 required patients with active disease to then receive an every 12 weeks dosing interval of 6 mg faricimab for the remainder of the study, with injections commencing at Week 24 and repeated at Weeks 36 and 48.&#10;&#10;Arm C ranibizumab every 4 weeks (comparator arm): 0.5 mg ranibizumab every 4 weeks for 48 weeks (13 injections) In order to maintain masking throughout the study period, a sham procedure was delivered to patients randomised to both faricimab arms as required."/>
                    <pic:cNvPicPr/>
                  </pic:nvPicPr>
                  <pic:blipFill>
                    <a:blip r:embed="rId33"/>
                    <a:stretch>
                      <a:fillRect/>
                    </a:stretch>
                  </pic:blipFill>
                  <pic:spPr>
                    <a:xfrm>
                      <a:off x="0" y="0"/>
                      <a:ext cx="5400040" cy="1908175"/>
                    </a:xfrm>
                    <a:prstGeom prst="rect">
                      <a:avLst/>
                    </a:prstGeom>
                  </pic:spPr>
                </pic:pic>
              </a:graphicData>
            </a:graphic>
          </wp:inline>
        </w:drawing>
      </w:r>
    </w:p>
    <w:p w14:paraId="63964A32" w14:textId="0C7F5D97" w:rsidR="00BA434B" w:rsidRPr="00E61EC7" w:rsidRDefault="002A2C48" w:rsidP="00202A6D">
      <w:pPr>
        <w:pStyle w:val="FigureDescription"/>
      </w:pPr>
      <w:r w:rsidRPr="00E61EC7">
        <w:t>Abbreviations: IVT = intravitreal; Q4W = every 4 weeks; Q12W = every 12 weeks; Q16W = every 16 weeks; W = week.</w:t>
      </w:r>
    </w:p>
    <w:p w14:paraId="7681EF14" w14:textId="147B0F45" w:rsidR="00BA434B" w:rsidRPr="00E61EC7" w:rsidRDefault="002A2C48" w:rsidP="00202A6D">
      <w:pPr>
        <w:pStyle w:val="FigureDescription"/>
      </w:pPr>
      <w:r w:rsidRPr="00E61EC7">
        <w:t>a</w:t>
      </w:r>
      <w:r w:rsidR="00E6620E" w:rsidRPr="00E61EC7">
        <w:t>.</w:t>
      </w:r>
      <w:r w:rsidRPr="00E61EC7">
        <w:t xml:space="preserve"> All patients were assessed for disease activity at Week 24. Patients in </w:t>
      </w:r>
      <w:proofErr w:type="spellStart"/>
      <w:r w:rsidRPr="00E61EC7">
        <w:t>faricimab</w:t>
      </w:r>
      <w:proofErr w:type="spellEnd"/>
      <w:r w:rsidRPr="00E61EC7">
        <w:t xml:space="preserve"> every 16 weeks arm who were assessed with active disease at Week 24 then received a </w:t>
      </w:r>
      <w:proofErr w:type="spellStart"/>
      <w:r w:rsidRPr="00E61EC7">
        <w:t>faricimab</w:t>
      </w:r>
      <w:proofErr w:type="spellEnd"/>
      <w:r w:rsidRPr="00E61EC7">
        <w:t xml:space="preserve"> every 12 weeks dosing interval for the remainder of the study.</w:t>
      </w:r>
    </w:p>
    <w:p w14:paraId="5DFF99A7" w14:textId="47CF80B6" w:rsidR="00042FC8" w:rsidRPr="00E61EC7" w:rsidRDefault="002A2C48" w:rsidP="00211011">
      <w:r w:rsidRPr="00E61EC7">
        <w:lastRenderedPageBreak/>
        <w:t xml:space="preserve">A total of 76 treatment-naïve patients with </w:t>
      </w:r>
      <w:proofErr w:type="spellStart"/>
      <w:r w:rsidRPr="00E61EC7">
        <w:t>nAMD</w:t>
      </w:r>
      <w:proofErr w:type="spellEnd"/>
      <w:r w:rsidRPr="00E61EC7">
        <w:t xml:space="preserve"> were enrolled in the study at 25 sites in the </w:t>
      </w:r>
      <w:r w:rsidR="007272A5" w:rsidRPr="00E61EC7">
        <w:t>US</w:t>
      </w:r>
      <w:r w:rsidR="003B265A">
        <w:t>A</w:t>
      </w:r>
      <w:r w:rsidRPr="00E61EC7">
        <w:t xml:space="preserve">. Five patients in the </w:t>
      </w:r>
      <w:proofErr w:type="spellStart"/>
      <w:r w:rsidRPr="00E61EC7">
        <w:t>faricimab</w:t>
      </w:r>
      <w:proofErr w:type="spellEnd"/>
      <w:r w:rsidRPr="00E61EC7">
        <w:t xml:space="preserve"> </w:t>
      </w:r>
      <w:r w:rsidR="000E4FBF" w:rsidRPr="00E61EC7">
        <w:t>every 12 weeks</w:t>
      </w:r>
      <w:r w:rsidRPr="00E61EC7">
        <w:t xml:space="preserve"> arm were excluded from the analysis due to </w:t>
      </w:r>
      <w:r w:rsidR="00DB7EAB" w:rsidRPr="00E61EC7">
        <w:t xml:space="preserve">Good Clinical </w:t>
      </w:r>
      <w:proofErr w:type="gramStart"/>
      <w:r w:rsidR="00DB7EAB" w:rsidRPr="00E61EC7">
        <w:t>Practice;</w:t>
      </w:r>
      <w:bookmarkStart w:id="72" w:name="_Ref118408817"/>
      <w:proofErr w:type="gramEnd"/>
      <w:r>
        <w:rPr>
          <w:rStyle w:val="FootnoteReference"/>
        </w:rPr>
        <w:footnoteReference w:id="14"/>
      </w:r>
      <w:bookmarkEnd w:id="72"/>
      <w:r w:rsidRPr="00E61EC7">
        <w:t xml:space="preserve"> violations. Thus, efficacy results are based on 71 patients (n = 24, 31, and 16 for the </w:t>
      </w:r>
      <w:proofErr w:type="spellStart"/>
      <w:r w:rsidRPr="00E61EC7">
        <w:t>faricimab</w:t>
      </w:r>
      <w:proofErr w:type="spellEnd"/>
      <w:r w:rsidRPr="00E61EC7">
        <w:t xml:space="preserve"> 6 mg </w:t>
      </w:r>
      <w:r w:rsidR="000E4FBF" w:rsidRPr="00E61EC7">
        <w:t>every 12 weeks</w:t>
      </w:r>
      <w:r w:rsidRPr="00E61EC7">
        <w:t xml:space="preserve">, </w:t>
      </w:r>
      <w:proofErr w:type="spellStart"/>
      <w:r w:rsidRPr="00E61EC7">
        <w:t>faricimab</w:t>
      </w:r>
      <w:proofErr w:type="spellEnd"/>
      <w:r w:rsidRPr="00E61EC7">
        <w:t xml:space="preserve"> 6 mg </w:t>
      </w:r>
      <w:r w:rsidR="000E4FBF" w:rsidRPr="00E61EC7">
        <w:t>every 16 weeks</w:t>
      </w:r>
      <w:r w:rsidRPr="00E61EC7">
        <w:t xml:space="preserve">, and ranibizumab 0.5 mg </w:t>
      </w:r>
      <w:r w:rsidR="003E5F35" w:rsidRPr="00E61EC7">
        <w:t>every 4 weeks</w:t>
      </w:r>
      <w:r w:rsidRPr="00E61EC7">
        <w:t xml:space="preserve"> treatment arms, respectively). </w:t>
      </w:r>
      <w:proofErr w:type="gramStart"/>
      <w:r w:rsidRPr="00E61EC7">
        <w:t>The majority of</w:t>
      </w:r>
      <w:proofErr w:type="gramEnd"/>
      <w:r w:rsidRPr="00E61EC7">
        <w:t xml:space="preserve"> patients (64 of 71, 90.1%) completed the Week 40 visit and were assessed for efficacy for the primary endpoint.</w:t>
      </w:r>
    </w:p>
    <w:p w14:paraId="31B6732F" w14:textId="4D0D5A18" w:rsidR="00042FC8" w:rsidRPr="00E61EC7" w:rsidRDefault="002A2C48" w:rsidP="00211011">
      <w:r w:rsidRPr="00E61EC7">
        <w:t>The mean age of patients was 80.3, 77.7 and 77.3</w:t>
      </w:r>
      <w:r w:rsidR="00371CFE" w:rsidRPr="00E61EC7">
        <w:t xml:space="preserve"> years</w:t>
      </w:r>
      <w:r w:rsidRPr="00E61EC7">
        <w:t xml:space="preserve">; baseline BCVA was 57.8, 60.4, and 55.3 letters for the </w:t>
      </w:r>
      <w:proofErr w:type="spellStart"/>
      <w:r w:rsidRPr="00E61EC7">
        <w:t>faricimab</w:t>
      </w:r>
      <w:proofErr w:type="spellEnd"/>
      <w:r w:rsidRPr="00E61EC7">
        <w:t xml:space="preserve"> 6 mg </w:t>
      </w:r>
      <w:r w:rsidR="000E4FBF" w:rsidRPr="00E61EC7">
        <w:t>every 12 weeks</w:t>
      </w:r>
      <w:r w:rsidRPr="00E61EC7">
        <w:t xml:space="preserve">, </w:t>
      </w:r>
      <w:proofErr w:type="spellStart"/>
      <w:r w:rsidRPr="00E61EC7">
        <w:t>faricimab</w:t>
      </w:r>
      <w:proofErr w:type="spellEnd"/>
      <w:r w:rsidRPr="00E61EC7">
        <w:t xml:space="preserve"> 6 mg </w:t>
      </w:r>
      <w:r w:rsidR="000E4FBF" w:rsidRPr="00E61EC7">
        <w:t>every 16 weeks</w:t>
      </w:r>
      <w:r w:rsidRPr="00E61EC7">
        <w:t xml:space="preserve">, and ranibizumab 0.5 mg </w:t>
      </w:r>
      <w:r w:rsidR="003E5F35" w:rsidRPr="00E61EC7">
        <w:t>every 4 weeks</w:t>
      </w:r>
      <w:r w:rsidRPr="00E61EC7">
        <w:t xml:space="preserve"> treatment arms, respectively.</w:t>
      </w:r>
    </w:p>
    <w:p w14:paraId="3F6DB1E8" w14:textId="6037C7AA" w:rsidR="00042FC8" w:rsidRPr="00E61EC7" w:rsidRDefault="002A2C48" w:rsidP="00211011">
      <w:r w:rsidRPr="00E61EC7">
        <w:t xml:space="preserve">The primary efficacy endpoint was the mean change from </w:t>
      </w:r>
      <w:r w:rsidR="005B01D2" w:rsidRPr="00E61EC7">
        <w:t>Baseline</w:t>
      </w:r>
      <w:r w:rsidRPr="00E61EC7">
        <w:t xml:space="preserve"> in BCVA at Week</w:t>
      </w:r>
      <w:r w:rsidR="00371CFE" w:rsidRPr="00E61EC7">
        <w:t> </w:t>
      </w:r>
      <w:r w:rsidRPr="00E61EC7">
        <w:t>40. There was no formal correction of type I error for multiple testing.</w:t>
      </w:r>
    </w:p>
    <w:p w14:paraId="205B147C" w14:textId="77777777" w:rsidR="00211011" w:rsidRPr="00E61EC7" w:rsidRDefault="002A2C48" w:rsidP="00371CFE">
      <w:pPr>
        <w:pStyle w:val="Heading7"/>
        <w:rPr>
          <w:sz w:val="22"/>
          <w:szCs w:val="28"/>
        </w:rPr>
      </w:pPr>
      <w:r w:rsidRPr="00E61EC7">
        <w:rPr>
          <w:sz w:val="22"/>
          <w:szCs w:val="28"/>
        </w:rPr>
        <w:t>Key efficacy results</w:t>
      </w:r>
    </w:p>
    <w:p w14:paraId="6E4EF755" w14:textId="0F049C05" w:rsidR="00042FC8" w:rsidRPr="00E61EC7" w:rsidRDefault="002A2C48" w:rsidP="00211011">
      <w:r w:rsidRPr="00E61EC7">
        <w:t xml:space="preserve">The </w:t>
      </w:r>
      <w:r w:rsidR="00DB7EAB" w:rsidRPr="00E61EC7">
        <w:t xml:space="preserve">least squares </w:t>
      </w:r>
      <w:r w:rsidRPr="00E61EC7">
        <w:t xml:space="preserve">mean change from </w:t>
      </w:r>
      <w:r w:rsidR="005B01D2" w:rsidRPr="00E61EC7">
        <w:t>Baseline</w:t>
      </w:r>
      <w:r w:rsidRPr="00E61EC7">
        <w:t xml:space="preserve"> in BCVA at Week 40 resulted in a -2.1 ETDRS letter difference in the 6 mg </w:t>
      </w:r>
      <w:proofErr w:type="spellStart"/>
      <w:r w:rsidRPr="00E61EC7">
        <w:t>faricimab</w:t>
      </w:r>
      <w:proofErr w:type="spellEnd"/>
      <w:r w:rsidRPr="00E61EC7">
        <w:t xml:space="preserve"> </w:t>
      </w:r>
      <w:r w:rsidR="000E4FBF" w:rsidRPr="00E61EC7">
        <w:t>every 12 weeks</w:t>
      </w:r>
      <w:r w:rsidRPr="00E61EC7">
        <w:t xml:space="preserve"> arm compared with the ranibizumab </w:t>
      </w:r>
      <w:r w:rsidR="003E5F35" w:rsidRPr="00E61EC7">
        <w:t>every 4 weeks</w:t>
      </w:r>
      <w:r w:rsidRPr="00E61EC7">
        <w:t xml:space="preserve"> arm (80% CI: -6.8, 2.6). The difference between the </w:t>
      </w:r>
      <w:proofErr w:type="spellStart"/>
      <w:r w:rsidRPr="00E61EC7">
        <w:t>faricimab</w:t>
      </w:r>
      <w:proofErr w:type="spellEnd"/>
      <w:r w:rsidRPr="00E61EC7">
        <w:t xml:space="preserve"> </w:t>
      </w:r>
      <w:r w:rsidR="000E4FBF" w:rsidRPr="00E61EC7">
        <w:t>every 16</w:t>
      </w:r>
      <w:r w:rsidR="00371CFE" w:rsidRPr="00E61EC7">
        <w:t> </w:t>
      </w:r>
      <w:r w:rsidR="000E4FBF" w:rsidRPr="00E61EC7">
        <w:t>weeks</w:t>
      </w:r>
      <w:r w:rsidRPr="00E61EC7">
        <w:t xml:space="preserve"> arm and the ranibizumab </w:t>
      </w:r>
      <w:r w:rsidR="003E5F35" w:rsidRPr="00E61EC7">
        <w:t>every 4 weeks</w:t>
      </w:r>
      <w:r w:rsidRPr="00E61EC7">
        <w:t xml:space="preserve"> arm was 1.1 letters (80% CI: </w:t>
      </w:r>
      <w:r w:rsidR="00A47751" w:rsidRPr="00E61EC7">
        <w:noBreakHyphen/>
      </w:r>
      <w:r w:rsidRPr="00E61EC7">
        <w:t>3.4, 5.5).</w:t>
      </w:r>
    </w:p>
    <w:p w14:paraId="667360DA" w14:textId="2C6E7C81" w:rsidR="00042FC8" w:rsidRPr="00E61EC7" w:rsidRDefault="002A2C48" w:rsidP="00211011">
      <w:r w:rsidRPr="00E61EC7">
        <w:t xml:space="preserve">An overview of the primary and selected secondary endpoints is in </w:t>
      </w:r>
      <w:r w:rsidR="00371CFE" w:rsidRPr="00E61EC7">
        <w:fldChar w:fldCharType="begin"/>
      </w:r>
      <w:r w:rsidR="00371CFE" w:rsidRPr="00E61EC7">
        <w:instrText xml:space="preserve"> REF _Ref118291105 \h </w:instrText>
      </w:r>
      <w:r w:rsidR="00E0115A" w:rsidRPr="00E61EC7">
        <w:instrText xml:space="preserve"> \* MERGEFORMAT </w:instrText>
      </w:r>
      <w:r w:rsidR="00371CFE" w:rsidRPr="00E61EC7">
        <w:fldChar w:fldCharType="separate"/>
      </w:r>
      <w:r w:rsidR="001E25B5" w:rsidRPr="00E61EC7">
        <w:t xml:space="preserve">Table </w:t>
      </w:r>
      <w:r w:rsidR="001E25B5">
        <w:rPr>
          <w:noProof/>
        </w:rPr>
        <w:t>9</w:t>
      </w:r>
      <w:r w:rsidR="00371CFE" w:rsidRPr="00E61EC7">
        <w:fldChar w:fldCharType="end"/>
      </w:r>
      <w:r w:rsidR="00371CFE" w:rsidRPr="00E61EC7">
        <w:t xml:space="preserve"> below</w:t>
      </w:r>
      <w:r w:rsidRPr="00E61EC7">
        <w:t>.</w:t>
      </w:r>
    </w:p>
    <w:p w14:paraId="38624B6C" w14:textId="771B3B5E" w:rsidR="00371CFE" w:rsidRPr="00E61EC7" w:rsidRDefault="002A2C48" w:rsidP="00202A6D">
      <w:pPr>
        <w:pStyle w:val="TableTitle"/>
      </w:pPr>
      <w:bookmarkStart w:id="73" w:name="_Ref118291105"/>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9</w:t>
      </w:r>
      <w:r w:rsidR="00C22604" w:rsidRPr="00E61EC7">
        <w:rPr>
          <w:noProof/>
        </w:rPr>
        <w:fldChar w:fldCharType="end"/>
      </w:r>
      <w:bookmarkEnd w:id="73"/>
      <w:r w:rsidRPr="00E61EC7">
        <w:t xml:space="preserve">: Study CR39521 (STAIRWAY trial) </w:t>
      </w:r>
      <w:r w:rsidR="00BA434B" w:rsidRPr="00E61EC7">
        <w:t>Overview of primary and selected secondary efficacy endpoints at Week 40 or 52 (intent-to-treat population)</w:t>
      </w:r>
    </w:p>
    <w:p w14:paraId="4E31D0E3" w14:textId="276BC256" w:rsidR="009F0C3F" w:rsidRPr="00E61EC7" w:rsidRDefault="002A2C48" w:rsidP="00202A6D">
      <w:r w:rsidRPr="00E61EC7">
        <w:rPr>
          <w:noProof/>
          <w:lang w:val="en-GB" w:eastAsia="en-GB"/>
        </w:rPr>
        <w:drawing>
          <wp:inline distT="0" distB="0" distL="0" distR="0" wp14:anchorId="1E8CDADE" wp14:editId="1CB52C86">
            <wp:extent cx="5400040" cy="3265170"/>
            <wp:effectExtent l="0" t="0" r="0" b="0"/>
            <wp:docPr id="28" name="Picture 28" descr="Table 9: Study CR39521 (STAIRWAY trial) Overview of primary and selected secondary efficacy endpoints at Week 40 or 52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 9: Study CR39521 (STAIRWAY trial) Overview of primary and selected secondary efficacy endpoints at Week 40 or 52 (intent-to-treat population)"/>
                    <pic:cNvPicPr/>
                  </pic:nvPicPr>
                  <pic:blipFill>
                    <a:blip r:embed="rId34"/>
                    <a:stretch>
                      <a:fillRect/>
                    </a:stretch>
                  </pic:blipFill>
                  <pic:spPr>
                    <a:xfrm>
                      <a:off x="0" y="0"/>
                      <a:ext cx="5400040" cy="3265170"/>
                    </a:xfrm>
                    <a:prstGeom prst="rect">
                      <a:avLst/>
                    </a:prstGeom>
                  </pic:spPr>
                </pic:pic>
              </a:graphicData>
            </a:graphic>
          </wp:inline>
        </w:drawing>
      </w:r>
    </w:p>
    <w:p w14:paraId="0A77595F" w14:textId="7048ACE0" w:rsidR="009F0C3F" w:rsidRPr="00E61EC7" w:rsidRDefault="002A2C48" w:rsidP="00202A6D">
      <w:pPr>
        <w:pStyle w:val="TableDescription"/>
      </w:pPr>
      <w:r w:rsidRPr="00E61EC7">
        <w:t>Abbreviations: BCVA = best corrected visual acuity; CI = confidence interval; CST = central subfield thickness; ETDRS = Early Treatment Diabetic Retinopathy Study; ITT = intent-to-treat; LS = least squares; N = number of subjects; n = number of subjects in group; Q4W = every 4 weeks; Q12W = every 12 weeks; Q16W = every 16 weeks</w:t>
      </w:r>
    </w:p>
    <w:p w14:paraId="448AE11D" w14:textId="793229D0" w:rsidR="009F0C3F" w:rsidRPr="00E61EC7" w:rsidRDefault="002A2C48" w:rsidP="00202A6D">
      <w:pPr>
        <w:pStyle w:val="TableDescription"/>
      </w:pPr>
      <w:r w:rsidRPr="00E61EC7">
        <w:lastRenderedPageBreak/>
        <w:t>a</w:t>
      </w:r>
      <w:r w:rsidR="00E6620E" w:rsidRPr="00E61EC7">
        <w:t>.</w:t>
      </w:r>
      <w:r w:rsidRPr="00E61EC7">
        <w:t xml:space="preserve"> Includes patients who had disease activity at Week 24 and subsequently switched to a </w:t>
      </w:r>
      <w:proofErr w:type="spellStart"/>
      <w:r w:rsidRPr="00E61EC7">
        <w:t>faricimab</w:t>
      </w:r>
      <w:proofErr w:type="spellEnd"/>
      <w:r w:rsidRPr="00E61EC7">
        <w:t xml:space="preserve"> 6 mg every 12 weeks dosing regimen for the remainder of the study.</w:t>
      </w:r>
    </w:p>
    <w:p w14:paraId="73577777" w14:textId="3D3CEE89" w:rsidR="00042FC8" w:rsidRPr="00E61EC7" w:rsidRDefault="002A2C48" w:rsidP="00371CFE">
      <w:pPr>
        <w:pStyle w:val="Heading6"/>
      </w:pPr>
      <w:r w:rsidRPr="00E61EC7">
        <w:t>Study BP29647 (AVENUE trial)</w:t>
      </w:r>
    </w:p>
    <w:p w14:paraId="7D8EFC20" w14:textId="01C56C74" w:rsidR="00042FC8" w:rsidRPr="00E61EC7" w:rsidRDefault="002A2C48" w:rsidP="00211011">
      <w:r w:rsidRPr="00E61EC7">
        <w:t xml:space="preserve">The AVENUE trial </w:t>
      </w:r>
      <w:r w:rsidR="00EC71F6" w:rsidRPr="00E61EC7">
        <w:t>is</w:t>
      </w:r>
      <w:r w:rsidRPr="00E61EC7">
        <w:t xml:space="preserve"> a multicentre, multiple dose and regimen, randomised, active comparator controlled, double-masked, five parallel group (treatment arms A to E), 36</w:t>
      </w:r>
      <w:r w:rsidRPr="00E61EC7">
        <w:noBreakHyphen/>
        <w:t xml:space="preserve">week study in patients with </w:t>
      </w:r>
      <w:r w:rsidR="00F0310F" w:rsidRPr="00E61EC7">
        <w:t>choroidal neovascularisation</w:t>
      </w:r>
      <w:r w:rsidRPr="00E61EC7">
        <w:t xml:space="preserve"> secondary to AMD. Its primary objective was to evaluate the efficacy of </w:t>
      </w:r>
      <w:proofErr w:type="spellStart"/>
      <w:r w:rsidRPr="00E61EC7">
        <w:t>faricimab</w:t>
      </w:r>
      <w:proofErr w:type="spellEnd"/>
      <w:r w:rsidRPr="00E61EC7">
        <w:t xml:space="preserve"> compared to ranibizumab monotherapy in treatment</w:t>
      </w:r>
      <w:r w:rsidRPr="00E61EC7">
        <w:noBreakHyphen/>
        <w:t xml:space="preserve">naive and anti-VEGF-incomplete-responder patients with </w:t>
      </w:r>
      <w:proofErr w:type="spellStart"/>
      <w:r w:rsidRPr="00E61EC7">
        <w:t>nAMD</w:t>
      </w:r>
      <w:proofErr w:type="spellEnd"/>
      <w:r w:rsidRPr="00E61EC7">
        <w:t>.</w:t>
      </w:r>
    </w:p>
    <w:p w14:paraId="716B470A" w14:textId="2AD2773B" w:rsidR="00042FC8" w:rsidRPr="00E61EC7" w:rsidRDefault="002A2C48" w:rsidP="00211011">
      <w:r w:rsidRPr="00E61EC7">
        <w:t>Eligible patients (n</w:t>
      </w:r>
      <w:r w:rsidR="00371CFE" w:rsidRPr="00E61EC7">
        <w:t xml:space="preserve"> </w:t>
      </w:r>
      <w:r w:rsidRPr="00E61EC7">
        <w:t>=</w:t>
      </w:r>
      <w:r w:rsidR="00371CFE" w:rsidRPr="00E61EC7">
        <w:t xml:space="preserve"> </w:t>
      </w:r>
      <w:r w:rsidRPr="00E61EC7">
        <w:t xml:space="preserve">273) were randomised in a </w:t>
      </w:r>
      <w:proofErr w:type="gramStart"/>
      <w:r w:rsidRPr="00E61EC7">
        <w:t>3:2:2:2:3</w:t>
      </w:r>
      <w:proofErr w:type="gramEnd"/>
      <w:r w:rsidRPr="00E61EC7">
        <w:t xml:space="preserve"> ratio into five treatment arms:</w:t>
      </w:r>
    </w:p>
    <w:p w14:paraId="3B914EBB" w14:textId="7D3BE3F3" w:rsidR="00042FC8" w:rsidRPr="00E61EC7" w:rsidRDefault="002A2C48" w:rsidP="00211011">
      <w:pPr>
        <w:pStyle w:val="ListBullet"/>
      </w:pPr>
      <w:r w:rsidRPr="00E61EC7">
        <w:t xml:space="preserve">Arm A: 0.5 mg ranibizumab </w:t>
      </w:r>
      <w:r w:rsidR="003E5F35" w:rsidRPr="00E61EC7">
        <w:t>every 4 weeks</w:t>
      </w:r>
      <w:r w:rsidRPr="00E61EC7">
        <w:t xml:space="preserve"> for 32 weeks</w:t>
      </w:r>
      <w:r w:rsidR="00371CFE" w:rsidRPr="00E61EC7">
        <w:t>.</w:t>
      </w:r>
    </w:p>
    <w:p w14:paraId="50863EC3" w14:textId="39933B9F" w:rsidR="00042FC8" w:rsidRPr="00E61EC7" w:rsidRDefault="002A2C48" w:rsidP="00211011">
      <w:pPr>
        <w:pStyle w:val="ListBullet"/>
      </w:pPr>
      <w:r w:rsidRPr="00E61EC7">
        <w:t xml:space="preserve">Arm B: 1.5 mg </w:t>
      </w:r>
      <w:proofErr w:type="spellStart"/>
      <w:r w:rsidRPr="00E61EC7">
        <w:t>faricimab</w:t>
      </w:r>
      <w:proofErr w:type="spellEnd"/>
      <w:r w:rsidRPr="00E61EC7">
        <w:t xml:space="preserve"> </w:t>
      </w:r>
      <w:r w:rsidR="003E5F35" w:rsidRPr="00E61EC7">
        <w:t>every 4 weeks</w:t>
      </w:r>
      <w:r w:rsidRPr="00E61EC7">
        <w:t xml:space="preserve"> for 32 weeks</w:t>
      </w:r>
      <w:r w:rsidR="00371CFE" w:rsidRPr="00E61EC7">
        <w:t>.</w:t>
      </w:r>
    </w:p>
    <w:p w14:paraId="4922AF15" w14:textId="5364679A" w:rsidR="00042FC8" w:rsidRPr="00E61EC7" w:rsidRDefault="002A2C48" w:rsidP="00211011">
      <w:pPr>
        <w:pStyle w:val="ListBullet"/>
      </w:pPr>
      <w:r w:rsidRPr="00E61EC7">
        <w:t xml:space="preserve">Arm C: 6 mg </w:t>
      </w:r>
      <w:proofErr w:type="spellStart"/>
      <w:r w:rsidRPr="00E61EC7">
        <w:t>faricimab</w:t>
      </w:r>
      <w:proofErr w:type="spellEnd"/>
      <w:r w:rsidRPr="00E61EC7">
        <w:t xml:space="preserve"> </w:t>
      </w:r>
      <w:r w:rsidR="003E5F35" w:rsidRPr="00E61EC7">
        <w:t>every 4 weeks</w:t>
      </w:r>
      <w:r w:rsidRPr="00E61EC7">
        <w:t xml:space="preserve"> for 32 weeks</w:t>
      </w:r>
      <w:r w:rsidR="00371CFE" w:rsidRPr="00E61EC7">
        <w:t>.</w:t>
      </w:r>
    </w:p>
    <w:p w14:paraId="52A39637" w14:textId="58E2197B" w:rsidR="00042FC8" w:rsidRPr="00E61EC7" w:rsidRDefault="002A2C48" w:rsidP="00211011">
      <w:pPr>
        <w:pStyle w:val="ListBullet"/>
      </w:pPr>
      <w:r w:rsidRPr="00E61EC7">
        <w:t xml:space="preserve">Arm D: 6 mg </w:t>
      </w:r>
      <w:proofErr w:type="spellStart"/>
      <w:r w:rsidRPr="00E61EC7">
        <w:t>faricimab</w:t>
      </w:r>
      <w:proofErr w:type="spellEnd"/>
      <w:r w:rsidRPr="00E61EC7">
        <w:t xml:space="preserve"> </w:t>
      </w:r>
      <w:r w:rsidR="003E5F35" w:rsidRPr="00E61EC7">
        <w:t>every 4 weeks</w:t>
      </w:r>
      <w:r w:rsidRPr="00E61EC7">
        <w:t xml:space="preserve"> up to Week 12, followed by 6 mg </w:t>
      </w:r>
      <w:proofErr w:type="spellStart"/>
      <w:r w:rsidRPr="00E61EC7">
        <w:t>faricimab</w:t>
      </w:r>
      <w:proofErr w:type="spellEnd"/>
      <w:r w:rsidRPr="00E61EC7">
        <w:t xml:space="preserve"> </w:t>
      </w:r>
      <w:r w:rsidR="003E5F35" w:rsidRPr="00E61EC7">
        <w:t>every 8</w:t>
      </w:r>
      <w:r w:rsidR="00371CFE" w:rsidRPr="00E61EC7">
        <w:t> </w:t>
      </w:r>
      <w:r w:rsidR="003E5F35" w:rsidRPr="00E61EC7">
        <w:t>weeks</w:t>
      </w:r>
      <w:r w:rsidR="00371CFE" w:rsidRPr="00E61EC7">
        <w:t>.</w:t>
      </w:r>
    </w:p>
    <w:p w14:paraId="68C690CC" w14:textId="74F85906" w:rsidR="00042FC8" w:rsidRPr="00E61EC7" w:rsidRDefault="002A2C48" w:rsidP="00211011">
      <w:pPr>
        <w:pStyle w:val="ListBullet"/>
      </w:pPr>
      <w:r w:rsidRPr="00E61EC7">
        <w:t xml:space="preserve">Arm E: 0.5 mg ranibizumab </w:t>
      </w:r>
      <w:r w:rsidR="003E5F35" w:rsidRPr="00E61EC7">
        <w:t>every 4 weeks</w:t>
      </w:r>
      <w:r w:rsidRPr="00E61EC7">
        <w:t xml:space="preserve"> up to Week 8, followed by 6 mg </w:t>
      </w:r>
      <w:proofErr w:type="spellStart"/>
      <w:r w:rsidRPr="00E61EC7">
        <w:t>faricimab</w:t>
      </w:r>
      <w:proofErr w:type="spellEnd"/>
      <w:r w:rsidRPr="00E61EC7">
        <w:t xml:space="preserve"> </w:t>
      </w:r>
      <w:r w:rsidR="003E5F35" w:rsidRPr="00E61EC7">
        <w:t>every 4 weeks</w:t>
      </w:r>
      <w:r w:rsidR="00371CFE" w:rsidRPr="00E61EC7">
        <w:t>.</w:t>
      </w:r>
    </w:p>
    <w:p w14:paraId="272B5CCE" w14:textId="769935C7" w:rsidR="00371CFE" w:rsidRPr="00E61EC7" w:rsidRDefault="002A2C48" w:rsidP="00202A6D">
      <w:pPr>
        <w:pStyle w:val="FigureTitle"/>
      </w:pPr>
      <w:r w:rsidRPr="00E61EC7">
        <w:t xml:space="preserve">Figure </w:t>
      </w:r>
      <w:r w:rsidR="00C22604" w:rsidRPr="00E61EC7">
        <w:fldChar w:fldCharType="begin"/>
      </w:r>
      <w:r>
        <w:instrText xml:space="preserve"> SEQ Figure \* ARABIC </w:instrText>
      </w:r>
      <w:r w:rsidR="00C22604" w:rsidRPr="00E61EC7">
        <w:fldChar w:fldCharType="separate"/>
      </w:r>
      <w:r w:rsidR="001E25B5">
        <w:rPr>
          <w:noProof/>
        </w:rPr>
        <w:t>5</w:t>
      </w:r>
      <w:r w:rsidR="00C22604" w:rsidRPr="00E61EC7">
        <w:rPr>
          <w:noProof/>
        </w:rPr>
        <w:fldChar w:fldCharType="end"/>
      </w:r>
      <w:r w:rsidRPr="00E61EC7">
        <w:t>: Study BP29647 (AVENUE trial) Study design</w:t>
      </w:r>
    </w:p>
    <w:p w14:paraId="4B83C86A" w14:textId="3E2FC1C0" w:rsidR="00E14FC6" w:rsidRPr="00E61EC7" w:rsidRDefault="002A2C48" w:rsidP="00202A6D">
      <w:r w:rsidRPr="00E61EC7">
        <w:rPr>
          <w:noProof/>
          <w:lang w:val="en-GB" w:eastAsia="en-GB"/>
        </w:rPr>
        <w:drawing>
          <wp:inline distT="0" distB="0" distL="0" distR="0" wp14:anchorId="6D79DB28" wp14:editId="76D97C7F">
            <wp:extent cx="5239753" cy="2201545"/>
            <wp:effectExtent l="0" t="0" r="0" b="8255"/>
            <wp:docPr id="13" name="Picture 13" descr="Figure 5: Study BP29647 (AVENUE trial) Study design&#10;&#10;The AVENUE trial is a completed multicenter, multiple dose and regimen, randomised, active comparator controlled, double masked, five parallel group, 36 week study in patients with neovascular age related macular degeneration. The study enrolled treatment naive patients aged 50 years and older with choroidal neovascularisation secondary to age related macular degeneration, with subfoveal choroidal neovascularisation, and best corrected visual acuity (BCVA) letter score of 73 to 24 letters (inclusive) on early treatment diabetic retinopathy study (ETDRS) like charts (20/40 to 20/320 Snellen equivalent) on Day 1.&#10;Eligible patients were randomised in a 3:2:2:2:3 ratio into five treatment arms (as shown below) and were administered intravitreal study treatment from Day 1 to Week 32 according to the following schedule:&#10;&#10;Arm A: 0.5 mg ranibizumab every 4 weeks: 0.5 mg ranibizumab every 4 weeks for 32 weeks (9 injections).&#10;&#10;Arm B: 1.5 mg faricimab every 4 weeks: 1.5 mg faricimab every 4 weeks for 32 weeks (9 injections).&#10;&#10;Arm C: 6 mg faricimab every 4 weeks: 6 mg faricimab every 4 weeks for 32 weeks (9 injections).&#10;&#10;Arm D: 6 mg faricimab every 8 weeks: 6 mg faricimab every 4 weeks up to Week 12 (4 injections), followed by 6 mg faricimab every 8 weeks (on Weeks 20 and 28; 2 injections).&#10;&#10;Arm E: 0.5 mg ranibizumab every 4 weeks plus 6 mg faricimab every 4 weeks: 0.5 mg ranibizumab every 4 weeks up to Week 8 (3 injections), followed by 6 mg faricimab every 4 weeks (6 injections).&#10;&#10;The study was designed to evaluate faricimab in a treatment naive population (comparison of Arms A, B, C, and D) and an anti-vascular endothelial growth factor (anti-VEGF) incomplete responder population (comparison between Arms A and E) which was pre-defined as a subgroup of patients from Arms A and E with a BCVA of 68 letters or less at Week 12.&#10;&#10;A sham procedure was administered to patients in the 6 mg faricimab every 8 weeks arm at Weeks 16, 24, and 32 to maintain masking to the treatment arm assignment throughout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5: Study BP29647 (AVENUE trial) Study design&#10;&#10;The AVENUE trial is a completed multicenter, multiple dose and regimen, randomised, active comparator controlled, double masked, five parallel group, 36 week study in patients with neovascular age related macular degeneration. The study enrolled treatment naive patients aged 50 years and older with choroidal neovascularisation secondary to age related macular degeneration, with subfoveal choroidal neovascularisation, and best corrected visual acuity (BCVA) letter score of 73 to 24 letters (inclusive) on early treatment diabetic retinopathy study (ETDRS) like charts (20/40 to 20/320 Snellen equivalent) on Day 1.&#10;Eligible patients were randomised in a 3:2:2:2:3 ratio into five treatment arms (as shown below) and were administered intravitreal study treatment from Day 1 to Week 32 according to the following schedule:&#10;&#10;Arm A: 0.5 mg ranibizumab every 4 weeks: 0.5 mg ranibizumab every 4 weeks for 32 weeks (9 injections).&#10;&#10;Arm B: 1.5 mg faricimab every 4 weeks: 1.5 mg faricimab every 4 weeks for 32 weeks (9 injections).&#10;&#10;Arm C: 6 mg faricimab every 4 weeks: 6 mg faricimab every 4 weeks for 32 weeks (9 injections).&#10;&#10;Arm D: 6 mg faricimab every 8 weeks: 6 mg faricimab every 4 weeks up to Week 12 (4 injections), followed by 6 mg faricimab every 8 weeks (on Weeks 20 and 28; 2 injections).&#10;&#10;Arm E: 0.5 mg ranibizumab every 4 weeks plus 6 mg faricimab every 4 weeks: 0.5 mg ranibizumab every 4 weeks up to Week 8 (3 injections), followed by 6 mg faricimab every 4 weeks (6 injections).&#10;&#10;The study was designed to evaluate faricimab in a treatment naive population (comparison of Arms A, B, C, and D) and an anti-vascular endothelial growth factor (anti-VEGF) incomplete responder population (comparison between Arms A and E) which was pre-defined as a subgroup of patients from Arms A and E with a BCVA of 68 letters or less at Week 12.&#10;&#10;A sham procedure was administered to patients in the 6 mg faricimab every 8 weeks arm at Weeks 16, 24, and 32 to maintain masking to the treatment arm assignment throughout the study."/>
                    <pic:cNvPicPr/>
                  </pic:nvPicPr>
                  <pic:blipFill>
                    <a:blip r:embed="rId35"/>
                    <a:stretch>
                      <a:fillRect/>
                    </a:stretch>
                  </pic:blipFill>
                  <pic:spPr>
                    <a:xfrm>
                      <a:off x="0" y="0"/>
                      <a:ext cx="5241645" cy="2202340"/>
                    </a:xfrm>
                    <a:prstGeom prst="rect">
                      <a:avLst/>
                    </a:prstGeom>
                  </pic:spPr>
                </pic:pic>
              </a:graphicData>
            </a:graphic>
          </wp:inline>
        </w:drawing>
      </w:r>
    </w:p>
    <w:p w14:paraId="24ADD3A1" w14:textId="311F5B89" w:rsidR="00042FC8" w:rsidRPr="00E61EC7" w:rsidRDefault="002A2C48" w:rsidP="00202A6D">
      <w:pPr>
        <w:pStyle w:val="FigureDescription"/>
      </w:pPr>
      <w:r w:rsidRPr="00E61EC7">
        <w:t xml:space="preserve">Abbreviations: </w:t>
      </w:r>
      <w:r w:rsidR="00394C86" w:rsidRPr="00E61EC7">
        <w:t xml:space="preserve">E = exit visit; </w:t>
      </w:r>
      <w:r w:rsidRPr="00E61EC7">
        <w:t xml:space="preserve">Q4W = every 4 weeks; Q8W = every 8 weeks; RBZ = ranibizumab; RO6867461 = </w:t>
      </w:r>
      <w:proofErr w:type="spellStart"/>
      <w:r w:rsidRPr="00E61EC7">
        <w:t>faricimab</w:t>
      </w:r>
      <w:proofErr w:type="spellEnd"/>
      <w:r w:rsidRPr="00E61EC7">
        <w:t>.</w:t>
      </w:r>
    </w:p>
    <w:p w14:paraId="7E373B1D" w14:textId="178580A5" w:rsidR="00042FC8" w:rsidRPr="00E61EC7" w:rsidRDefault="002A2C48" w:rsidP="00211011">
      <w:r w:rsidRPr="00E61EC7">
        <w:t>A total of 273 treatment-naïve patients at 58 sites in the U</w:t>
      </w:r>
      <w:r w:rsidR="007272A5" w:rsidRPr="00E61EC7">
        <w:t>S</w:t>
      </w:r>
      <w:r w:rsidR="003B265A">
        <w:t>A</w:t>
      </w:r>
      <w:r w:rsidRPr="00E61EC7">
        <w:t xml:space="preserve"> were enrolled and randomised. 10 were excluded due to </w:t>
      </w:r>
      <w:r w:rsidR="00DB7EAB" w:rsidRPr="00E61EC7">
        <w:t>Good Clinical Practice;</w:t>
      </w:r>
      <w:r w:rsidR="00DB7EAB" w:rsidRPr="00E61EC7">
        <w:rPr>
          <w:vertAlign w:val="superscript"/>
        </w:rPr>
        <w:fldChar w:fldCharType="begin"/>
      </w:r>
      <w:r w:rsidR="00DB7EAB" w:rsidRPr="00E61EC7">
        <w:rPr>
          <w:vertAlign w:val="superscript"/>
        </w:rPr>
        <w:instrText xml:space="preserve"> NOTEREF _Ref118408817 \h  \* MERGEFORMAT </w:instrText>
      </w:r>
      <w:r w:rsidR="00DB7EAB" w:rsidRPr="00E61EC7">
        <w:rPr>
          <w:vertAlign w:val="superscript"/>
        </w:rPr>
      </w:r>
      <w:r w:rsidR="00DB7EAB" w:rsidRPr="00E61EC7">
        <w:rPr>
          <w:vertAlign w:val="superscript"/>
        </w:rPr>
        <w:fldChar w:fldCharType="separate"/>
      </w:r>
      <w:r w:rsidR="001E25B5">
        <w:rPr>
          <w:vertAlign w:val="superscript"/>
        </w:rPr>
        <w:t>13</w:t>
      </w:r>
      <w:r w:rsidR="00DB7EAB" w:rsidRPr="00E61EC7">
        <w:rPr>
          <w:vertAlign w:val="superscript"/>
        </w:rPr>
        <w:fldChar w:fldCharType="end"/>
      </w:r>
      <w:r w:rsidRPr="00E61EC7">
        <w:t xml:space="preserve"> violations. Efficacy results are based on 263 patients (all patients population, n = 68, 46, 39, 46 and 64 for Arms A, B, C, D and E, respectively), of which the majority (92.8%, 244 patients) completed the Week 36 visit and were assessed for efficacy for the primary endpoint.</w:t>
      </w:r>
    </w:p>
    <w:p w14:paraId="27E3BF6C" w14:textId="29350B79" w:rsidR="00042FC8" w:rsidRPr="00E61EC7" w:rsidRDefault="002A2C48" w:rsidP="00211011">
      <w:r w:rsidRPr="00E61EC7">
        <w:t>The mean age was 76.4, 78.2, 78.0, 80.0, and 79.2</w:t>
      </w:r>
      <w:r w:rsidR="00371CFE" w:rsidRPr="00E61EC7">
        <w:t xml:space="preserve"> years</w:t>
      </w:r>
      <w:r w:rsidRPr="00E61EC7">
        <w:t>; mean baseline BCVA letter scores in the study eye were 55.2, 56.7, 56.2, 56.3 and 55.7 for Arms A</w:t>
      </w:r>
      <w:r w:rsidR="00371CFE" w:rsidRPr="00E61EC7">
        <w:t xml:space="preserve"> to </w:t>
      </w:r>
      <w:r w:rsidRPr="00E61EC7">
        <w:t>E. The population was predominately White (98.1%), with a higher proportion of women (65.4%).</w:t>
      </w:r>
    </w:p>
    <w:p w14:paraId="67335DAF" w14:textId="024BEC91" w:rsidR="00042FC8" w:rsidRPr="00E61EC7" w:rsidRDefault="002A2C48" w:rsidP="00211011">
      <w:r w:rsidRPr="00E61EC7">
        <w:t xml:space="preserve">The primary efficacy endpoint was the change in BCVA from </w:t>
      </w:r>
      <w:r w:rsidR="005B01D2" w:rsidRPr="00E61EC7">
        <w:t>Baseline</w:t>
      </w:r>
      <w:r w:rsidRPr="00E61EC7">
        <w:t xml:space="preserve"> to Week 36 using the ETDRS-modified charts (comparison of Arm A and Arms B, C, or D). For the primary endpoints, a statistically significant difference at Week 36 between any of the treatment Arms B, C, or D and Arm A would be concluded if the corresponding unadjusted two-sided p-value was below 0.2. There was no formal correction of type I error for multiple testing.</w:t>
      </w:r>
    </w:p>
    <w:p w14:paraId="180F9785" w14:textId="4523B06A" w:rsidR="00211011" w:rsidRPr="00CD49E0" w:rsidRDefault="002A2C48" w:rsidP="001D22F6">
      <w:pPr>
        <w:pStyle w:val="Heading7"/>
      </w:pPr>
      <w:r w:rsidRPr="001D22F6">
        <w:rPr>
          <w:sz w:val="22"/>
        </w:rPr>
        <w:lastRenderedPageBreak/>
        <w:t xml:space="preserve">Evaluation in the </w:t>
      </w:r>
      <w:r w:rsidR="00306183" w:rsidRPr="001D22F6">
        <w:rPr>
          <w:sz w:val="22"/>
        </w:rPr>
        <w:t>anti</w:t>
      </w:r>
      <w:r w:rsidRPr="001D22F6">
        <w:rPr>
          <w:sz w:val="22"/>
        </w:rPr>
        <w:t>-</w:t>
      </w:r>
      <w:r w:rsidR="00E0115A" w:rsidRPr="001D22F6">
        <w:rPr>
          <w:sz w:val="22"/>
        </w:rPr>
        <w:t xml:space="preserve">vascular endothelial growth factor </w:t>
      </w:r>
      <w:r w:rsidR="005A61F8" w:rsidRPr="001D22F6">
        <w:rPr>
          <w:sz w:val="22"/>
        </w:rPr>
        <w:t>incomplete responder population</w:t>
      </w:r>
    </w:p>
    <w:p w14:paraId="389DFF68" w14:textId="40806E46" w:rsidR="00042FC8" w:rsidRPr="00E61EC7" w:rsidRDefault="002A2C48" w:rsidP="00211011">
      <w:r w:rsidRPr="00E61EC7">
        <w:t>For the evaluation of efficacy in the anti-VEGF</w:t>
      </w:r>
      <w:r w:rsidR="005A61F8" w:rsidRPr="00E61EC7">
        <w:t xml:space="preserve"> </w:t>
      </w:r>
      <w:r w:rsidRPr="00E61EC7">
        <w:t>incomplete</w:t>
      </w:r>
      <w:r w:rsidR="005A61F8" w:rsidRPr="00E61EC7">
        <w:t xml:space="preserve"> </w:t>
      </w:r>
      <w:r w:rsidRPr="00E61EC7">
        <w:t>responder population, Population</w:t>
      </w:r>
      <w:r w:rsidR="005A61F8" w:rsidRPr="00E61EC7">
        <w:t> </w:t>
      </w:r>
      <w:r w:rsidRPr="00E61EC7">
        <w:t xml:space="preserve">C consisted of patients in Population B (all patients randomised to the treatment Arms A and E) with a BCVA </w:t>
      </w:r>
      <w:r w:rsidR="005A61F8" w:rsidRPr="00E61EC7">
        <w:t xml:space="preserve">of </w:t>
      </w:r>
      <w:r w:rsidRPr="00E61EC7">
        <w:t>68</w:t>
      </w:r>
      <w:r w:rsidR="005A61F8" w:rsidRPr="00E61EC7">
        <w:t xml:space="preserve"> or lower</w:t>
      </w:r>
      <w:r w:rsidRPr="00E61EC7">
        <w:t xml:space="preserve"> at Week 12.</w:t>
      </w:r>
    </w:p>
    <w:p w14:paraId="05034392" w14:textId="77777777" w:rsidR="00211011" w:rsidRPr="00CD49E0" w:rsidRDefault="002A2C48" w:rsidP="001D22F6">
      <w:pPr>
        <w:pStyle w:val="Heading7"/>
      </w:pPr>
      <w:r w:rsidRPr="001D22F6">
        <w:rPr>
          <w:sz w:val="22"/>
        </w:rPr>
        <w:t>Key efficacy results</w:t>
      </w:r>
    </w:p>
    <w:p w14:paraId="205C03C9" w14:textId="693C1266" w:rsidR="00042FC8" w:rsidRPr="00E61EC7" w:rsidRDefault="002A2C48" w:rsidP="00211011">
      <w:r w:rsidRPr="00E61EC7">
        <w:t xml:space="preserve">The superiority of </w:t>
      </w:r>
      <w:proofErr w:type="spellStart"/>
      <w:r w:rsidRPr="00E61EC7">
        <w:t>faricimab</w:t>
      </w:r>
      <w:proofErr w:type="spellEnd"/>
      <w:r w:rsidRPr="00E61EC7">
        <w:t xml:space="preserve"> (in any </w:t>
      </w:r>
      <w:proofErr w:type="spellStart"/>
      <w:r w:rsidRPr="00E61EC7">
        <w:t>faricimab</w:t>
      </w:r>
      <w:proofErr w:type="spellEnd"/>
      <w:r w:rsidRPr="00E61EC7">
        <w:t xml:space="preserve"> Arms B, C, and D) compared to 0.5</w:t>
      </w:r>
      <w:r w:rsidR="005A61F8" w:rsidRPr="00E61EC7">
        <w:t> </w:t>
      </w:r>
      <w:r w:rsidRPr="00E61EC7">
        <w:t xml:space="preserve">mg ranibizumab </w:t>
      </w:r>
      <w:r w:rsidR="003E5F35" w:rsidRPr="00E61EC7">
        <w:t>every 4 weeks</w:t>
      </w:r>
      <w:r w:rsidRPr="00E61EC7">
        <w:t xml:space="preserve"> in the BCVA </w:t>
      </w:r>
      <w:r w:rsidR="00DB7EAB" w:rsidRPr="00E61EC7">
        <w:t>least squares</w:t>
      </w:r>
      <w:r w:rsidRPr="00E61EC7">
        <w:t xml:space="preserve"> mean change from </w:t>
      </w:r>
      <w:r w:rsidR="005B01D2" w:rsidRPr="00E61EC7">
        <w:t>Baseline</w:t>
      </w:r>
      <w:r w:rsidRPr="00E61EC7">
        <w:t xml:space="preserve"> at Week 36 was not demonstrated. The mean change in BCVA from </w:t>
      </w:r>
      <w:r w:rsidR="005B01D2" w:rsidRPr="00E61EC7">
        <w:t>Baseline</w:t>
      </w:r>
      <w:r w:rsidRPr="00E61EC7">
        <w:t xml:space="preserve"> at Week 36 in the </w:t>
      </w:r>
      <w:proofErr w:type="spellStart"/>
      <w:r w:rsidRPr="00E61EC7">
        <w:t>faricimab</w:t>
      </w:r>
      <w:proofErr w:type="spellEnd"/>
      <w:r w:rsidRPr="00E61EC7">
        <w:t xml:space="preserve"> 6</w:t>
      </w:r>
      <w:r w:rsidR="005A61F8" w:rsidRPr="00E61EC7">
        <w:t> </w:t>
      </w:r>
      <w:r w:rsidRPr="00E61EC7">
        <w:t>mg arms (</w:t>
      </w:r>
      <w:r w:rsidR="003E5F35" w:rsidRPr="00E61EC7">
        <w:t>every 4 weeks</w:t>
      </w:r>
      <w:r w:rsidRPr="00E61EC7">
        <w:t xml:space="preserve">: 6.0 letters, </w:t>
      </w:r>
      <w:r w:rsidR="003E5F35" w:rsidRPr="00E61EC7">
        <w:t>every 8 weeks</w:t>
      </w:r>
      <w:r w:rsidRPr="00E61EC7">
        <w:t xml:space="preserve">: 6.1 letters) was </w:t>
      </w:r>
      <w:proofErr w:type="gramStart"/>
      <w:r w:rsidRPr="00E61EC7">
        <w:t>similar to</w:t>
      </w:r>
      <w:proofErr w:type="gramEnd"/>
      <w:r w:rsidRPr="00E61EC7">
        <w:t xml:space="preserve"> that in the ranibizumab 0.5 mg </w:t>
      </w:r>
      <w:r w:rsidR="003E5F35" w:rsidRPr="00E61EC7">
        <w:t>every 4 weeks</w:t>
      </w:r>
      <w:r w:rsidRPr="00E61EC7">
        <w:t xml:space="preserve"> (7.6 letters). However, the results for Arm B (1.5</w:t>
      </w:r>
      <w:r w:rsidR="005A61F8" w:rsidRPr="00E61EC7">
        <w:t> </w:t>
      </w:r>
      <w:r w:rsidRPr="00E61EC7">
        <w:t xml:space="preserve">mg </w:t>
      </w:r>
      <w:proofErr w:type="spellStart"/>
      <w:r w:rsidRPr="00E61EC7">
        <w:t>faricimab</w:t>
      </w:r>
      <w:proofErr w:type="spellEnd"/>
      <w:r w:rsidRPr="00E61EC7">
        <w:t xml:space="preserve"> </w:t>
      </w:r>
      <w:r w:rsidR="003E5F35" w:rsidRPr="00E61EC7">
        <w:t>every 4 weeks</w:t>
      </w:r>
      <w:r w:rsidRPr="00E61EC7">
        <w:t>) show no statistically significant difference to Arm A either.</w:t>
      </w:r>
    </w:p>
    <w:p w14:paraId="050A090B" w14:textId="4ACEA649" w:rsidR="00042FC8" w:rsidRPr="00E61EC7" w:rsidRDefault="002A2C48" w:rsidP="00211011">
      <w:r w:rsidRPr="00E61EC7">
        <w:t>In the subset of anti-VEGF</w:t>
      </w:r>
      <w:r w:rsidR="005A61F8" w:rsidRPr="00E61EC7">
        <w:t xml:space="preserve"> </w:t>
      </w:r>
      <w:r w:rsidRPr="00E61EC7">
        <w:t xml:space="preserve">incomplete responders, </w:t>
      </w:r>
      <w:proofErr w:type="spellStart"/>
      <w:r w:rsidRPr="00E61EC7">
        <w:t>faricimab</w:t>
      </w:r>
      <w:proofErr w:type="spellEnd"/>
      <w:r w:rsidRPr="00E61EC7">
        <w:t xml:space="preserve"> 6 mg </w:t>
      </w:r>
      <w:r w:rsidR="003E5F35" w:rsidRPr="00E61EC7">
        <w:t>every 4 weeks</w:t>
      </w:r>
      <w:r w:rsidRPr="00E61EC7">
        <w:t xml:space="preserve"> treatment (Arm E) after ranibizumab 0.5mg </w:t>
      </w:r>
      <w:r w:rsidR="003E5F35" w:rsidRPr="00E61EC7">
        <w:t>every 4 weeks</w:t>
      </w:r>
      <w:r w:rsidRPr="00E61EC7">
        <w:t xml:space="preserve"> 3 monthly loading doses, did not demonstrate an additional benefit compared to 0.5 mg ranibizumab 0.5 mg </w:t>
      </w:r>
      <w:r w:rsidR="003E5F35" w:rsidRPr="00E61EC7">
        <w:t>every 4</w:t>
      </w:r>
      <w:r w:rsidR="005A61F8" w:rsidRPr="00E61EC7">
        <w:t> </w:t>
      </w:r>
      <w:r w:rsidR="003E5F35" w:rsidRPr="00E61EC7">
        <w:t>weeks</w:t>
      </w:r>
      <w:r w:rsidRPr="00E61EC7">
        <w:t xml:space="preserve"> (Arm A).</w:t>
      </w:r>
    </w:p>
    <w:p w14:paraId="6D09A85C" w14:textId="73BD6D1F" w:rsidR="00202A6D" w:rsidRPr="00E61EC7" w:rsidRDefault="002A2C48" w:rsidP="00211011">
      <w:r w:rsidRPr="00E61EC7">
        <w:t xml:space="preserve">An overview of the primary and selected secondary endpoints is in </w:t>
      </w:r>
      <w:r w:rsidR="005A61F8" w:rsidRPr="00E61EC7">
        <w:fldChar w:fldCharType="begin"/>
      </w:r>
      <w:r w:rsidR="005A61F8" w:rsidRPr="00E61EC7">
        <w:instrText xml:space="preserve"> REF _Ref118292765 \h </w:instrText>
      </w:r>
      <w:r w:rsidR="00E0115A" w:rsidRPr="00E61EC7">
        <w:instrText xml:space="preserve"> \* MERGEFORMAT </w:instrText>
      </w:r>
      <w:r w:rsidR="005A61F8" w:rsidRPr="00E61EC7">
        <w:fldChar w:fldCharType="separate"/>
      </w:r>
      <w:r w:rsidR="001E25B5" w:rsidRPr="00E61EC7">
        <w:t xml:space="preserve">Table </w:t>
      </w:r>
      <w:r w:rsidR="001E25B5">
        <w:rPr>
          <w:noProof/>
        </w:rPr>
        <w:t>10</w:t>
      </w:r>
      <w:r w:rsidR="005A61F8" w:rsidRPr="00E61EC7">
        <w:fldChar w:fldCharType="end"/>
      </w:r>
      <w:r w:rsidR="005A61F8" w:rsidRPr="00E61EC7">
        <w:t xml:space="preserve"> below</w:t>
      </w:r>
      <w:r w:rsidRPr="00E61EC7">
        <w:t>.</w:t>
      </w:r>
      <w:r w:rsidRPr="00E61EC7">
        <w:br w:type="page"/>
      </w:r>
    </w:p>
    <w:p w14:paraId="18CD943A" w14:textId="27A3FC2F" w:rsidR="005A61F8" w:rsidRPr="00E61EC7" w:rsidRDefault="002A2C48" w:rsidP="00202A6D">
      <w:pPr>
        <w:pStyle w:val="TableTitle"/>
      </w:pPr>
      <w:bookmarkStart w:id="74" w:name="_Ref118292765"/>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10</w:t>
      </w:r>
      <w:r w:rsidR="00C22604" w:rsidRPr="00E61EC7">
        <w:rPr>
          <w:noProof/>
        </w:rPr>
        <w:fldChar w:fldCharType="end"/>
      </w:r>
      <w:bookmarkEnd w:id="74"/>
      <w:r w:rsidRPr="00E61EC7">
        <w:t xml:space="preserve">: Study BP29647 (AVENUE trial) </w:t>
      </w:r>
      <w:r w:rsidR="005D358F" w:rsidRPr="00E61EC7">
        <w:t xml:space="preserve">Overview of primary and selected secondary and exploratory efficacy endpoints at Week 36 (intent-to-treat population, treatment-naive </w:t>
      </w:r>
      <w:r w:rsidR="00C97052" w:rsidRPr="00E61EC7">
        <w:t>patients,</w:t>
      </w:r>
      <w:r w:rsidR="005D358F" w:rsidRPr="00E61EC7">
        <w:t xml:space="preserve"> and anti-vascular endothelial growth factor</w:t>
      </w:r>
      <w:r w:rsidR="00C97052" w:rsidRPr="00E61EC7">
        <w:t xml:space="preserve"> </w:t>
      </w:r>
      <w:r w:rsidR="005D358F" w:rsidRPr="00E61EC7">
        <w:t>incomplete</w:t>
      </w:r>
      <w:r w:rsidR="00C97052" w:rsidRPr="00E61EC7">
        <w:t xml:space="preserve"> </w:t>
      </w:r>
      <w:r w:rsidR="005D358F" w:rsidRPr="00E61EC7">
        <w:t>responders)</w:t>
      </w:r>
    </w:p>
    <w:p w14:paraId="21BC3822" w14:textId="7764B538" w:rsidR="005A61F8" w:rsidRPr="00E61EC7" w:rsidRDefault="002A2C48" w:rsidP="00202A6D">
      <w:r w:rsidRPr="00E61EC7">
        <w:rPr>
          <w:noProof/>
          <w:lang w:val="en-GB" w:eastAsia="en-GB"/>
        </w:rPr>
        <w:drawing>
          <wp:inline distT="0" distB="0" distL="0" distR="0" wp14:anchorId="108A14CB" wp14:editId="3B1F200B">
            <wp:extent cx="5244766" cy="5156200"/>
            <wp:effectExtent l="19050" t="19050" r="13335" b="25400"/>
            <wp:docPr id="12" name="Picture 12" descr="Table 10: Study BP29647 (AVENUE trial) Overview of primary and selected secondary and exploratory efficacy endpoints at Week 36 (intent-to-treat population, treatment-naive patients, and anti-vascular endothelial growth factor incomplete respo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 10: Study BP29647 (AVENUE trial) Overview of primary and selected secondary and exploratory efficacy endpoints at Week 36 (intent-to-treat population, treatment-naive patients, and anti-vascular endothelial growth factor incomplete responders)"/>
                    <pic:cNvPicPr/>
                  </pic:nvPicPr>
                  <pic:blipFill>
                    <a:blip r:embed="rId36"/>
                    <a:stretch>
                      <a:fillRect/>
                    </a:stretch>
                  </pic:blipFill>
                  <pic:spPr>
                    <a:xfrm>
                      <a:off x="0" y="0"/>
                      <a:ext cx="5246827" cy="5158226"/>
                    </a:xfrm>
                    <a:prstGeom prst="rect">
                      <a:avLst/>
                    </a:prstGeom>
                    <a:ln w="6350">
                      <a:solidFill>
                        <a:schemeClr val="tx1"/>
                      </a:solidFill>
                    </a:ln>
                  </pic:spPr>
                </pic:pic>
              </a:graphicData>
            </a:graphic>
          </wp:inline>
        </w:drawing>
      </w:r>
    </w:p>
    <w:p w14:paraId="7B771A1F" w14:textId="3D16C1AC" w:rsidR="005D358F" w:rsidRPr="00E61EC7" w:rsidRDefault="002A2C48" w:rsidP="00202A6D">
      <w:pPr>
        <w:pStyle w:val="TableDescription"/>
      </w:pPr>
      <w:r w:rsidRPr="00E61EC7">
        <w:t xml:space="preserve">Abbreviations: </w:t>
      </w:r>
      <w:proofErr w:type="spellStart"/>
      <w:r w:rsidRPr="00E61EC7">
        <w:t>aVEGF</w:t>
      </w:r>
      <w:proofErr w:type="spellEnd"/>
      <w:r w:rsidRPr="00E61EC7">
        <w:t>-IR = anti-vascular endothelial growth factor incomplete responder; BCVA = best corrected visual acuity; CI = confidence interval; CST = central subfield thickness; ETDRS = Early Treatment Diabetic Retinopathy Study; ITT = intent-to-treat; LS = least squares; N = number of subjects; n = number of subjects in group; NA = not applicable; Q4W = every 4 weeks; Q8W = every 8 weeks; TN = treatment-naive patients.</w:t>
      </w:r>
    </w:p>
    <w:p w14:paraId="51D257F6" w14:textId="1D6DE335" w:rsidR="005D358F" w:rsidRPr="00E61EC7" w:rsidRDefault="002A2C48" w:rsidP="00202A6D">
      <w:pPr>
        <w:pStyle w:val="TableDescription"/>
      </w:pPr>
      <w:r w:rsidRPr="00E61EC7">
        <w:t>a</w:t>
      </w:r>
      <w:r w:rsidR="00D269A9" w:rsidRPr="00E61EC7">
        <w:t>.</w:t>
      </w:r>
      <w:r w:rsidRPr="00E61EC7">
        <w:t xml:space="preserve"> The 6 mg </w:t>
      </w:r>
      <w:proofErr w:type="spellStart"/>
      <w:r w:rsidRPr="00E61EC7">
        <w:t>faricimab</w:t>
      </w:r>
      <w:proofErr w:type="spellEnd"/>
      <w:r w:rsidRPr="00E61EC7">
        <w:t xml:space="preserve"> every 8 weeks arm included patients randomised to receive 6 mg </w:t>
      </w:r>
      <w:proofErr w:type="spellStart"/>
      <w:r w:rsidRPr="00E61EC7">
        <w:t>faricimab</w:t>
      </w:r>
      <w:proofErr w:type="spellEnd"/>
      <w:r w:rsidRPr="00E61EC7">
        <w:t xml:space="preserve"> every 4 weeks up to Week 12 (4 injections), followed by 6 mg </w:t>
      </w:r>
      <w:proofErr w:type="spellStart"/>
      <w:r w:rsidRPr="00E61EC7">
        <w:t>faricimab</w:t>
      </w:r>
      <w:proofErr w:type="spellEnd"/>
      <w:r w:rsidRPr="00E61EC7">
        <w:t xml:space="preserve"> every 8 weeks on Weeks 20 and 28.</w:t>
      </w:r>
    </w:p>
    <w:p w14:paraId="0D8562C5" w14:textId="1BB22CD1" w:rsidR="005D358F" w:rsidRPr="00E61EC7" w:rsidRDefault="002A2C48" w:rsidP="00202A6D">
      <w:pPr>
        <w:pStyle w:val="TableDescription"/>
      </w:pPr>
      <w:r w:rsidRPr="00E61EC7">
        <w:t>b</w:t>
      </w:r>
      <w:r w:rsidR="00D269A9" w:rsidRPr="00E61EC7">
        <w:t>.</w:t>
      </w:r>
      <w:r w:rsidRPr="00E61EC7">
        <w:t xml:space="preserve"> For the </w:t>
      </w:r>
      <w:proofErr w:type="spellStart"/>
      <w:r w:rsidR="00E6620E" w:rsidRPr="00E61EC7">
        <w:t>aVEGF</w:t>
      </w:r>
      <w:proofErr w:type="spellEnd"/>
      <w:r w:rsidR="00E6620E" w:rsidRPr="00E61EC7">
        <w:t xml:space="preserve">-IR </w:t>
      </w:r>
      <w:r w:rsidRPr="00E61EC7">
        <w:t>population, the Week 12 visit was considered as the baseline for all efficacy evaluations unless otherwise specified.</w:t>
      </w:r>
    </w:p>
    <w:p w14:paraId="3C8FD5FD" w14:textId="1D6E091F" w:rsidR="005D358F" w:rsidRPr="00E61EC7" w:rsidRDefault="002A2C48" w:rsidP="00202A6D">
      <w:pPr>
        <w:pStyle w:val="TableDescription"/>
      </w:pPr>
      <w:r w:rsidRPr="00E61EC7">
        <w:t>c</w:t>
      </w:r>
      <w:r w:rsidR="00D269A9" w:rsidRPr="00E61EC7">
        <w:t>.</w:t>
      </w:r>
      <w:r w:rsidRPr="00E61EC7">
        <w:t xml:space="preserve"> The </w:t>
      </w:r>
      <w:proofErr w:type="spellStart"/>
      <w:r w:rsidR="00E6620E" w:rsidRPr="00E61EC7">
        <w:t>aVEGF</w:t>
      </w:r>
      <w:proofErr w:type="spellEnd"/>
      <w:r w:rsidR="00E6620E" w:rsidRPr="00E61EC7">
        <w:t xml:space="preserve">-IR </w:t>
      </w:r>
      <w:r w:rsidRPr="00E61EC7">
        <w:t xml:space="preserve">population is a subgroup of patients from treatment Arms A and E who had a BCVA score of ≤ 68 letters </w:t>
      </w:r>
      <w:proofErr w:type="spellStart"/>
      <w:r w:rsidRPr="00E61EC7">
        <w:t>at</w:t>
      </w:r>
      <w:proofErr w:type="spellEnd"/>
      <w:r w:rsidRPr="00E61EC7">
        <w:t xml:space="preserve"> Week 12.</w:t>
      </w:r>
    </w:p>
    <w:p w14:paraId="01F6E899" w14:textId="3215179F" w:rsidR="00042FC8" w:rsidRPr="00E61EC7" w:rsidRDefault="002A2C48" w:rsidP="00211011">
      <w:pPr>
        <w:pStyle w:val="Heading4"/>
      </w:pPr>
      <w:r w:rsidRPr="00E61EC7">
        <w:t>Efficacy</w:t>
      </w:r>
      <w:r w:rsidR="005A61F8" w:rsidRPr="00E61EC7">
        <w:t xml:space="preserve"> for</w:t>
      </w:r>
      <w:r w:rsidRPr="00E61EC7">
        <w:t xml:space="preserve"> diabetic macular oedema</w:t>
      </w:r>
      <w:r w:rsidR="005A61F8" w:rsidRPr="00E61EC7">
        <w:t xml:space="preserve"> indication</w:t>
      </w:r>
    </w:p>
    <w:p w14:paraId="7845F678" w14:textId="0EE8518E" w:rsidR="00042FC8" w:rsidRPr="00E61EC7" w:rsidRDefault="002A2C48" w:rsidP="00211011">
      <w:bookmarkStart w:id="75" w:name="_Hlk87360065"/>
      <w:r w:rsidRPr="00E61EC7">
        <w:t xml:space="preserve">This </w:t>
      </w:r>
      <w:r w:rsidR="005A61F8" w:rsidRPr="00E61EC7">
        <w:t>submission</w:t>
      </w:r>
      <w:r w:rsidRPr="00E61EC7">
        <w:t xml:space="preserve"> provides analyses at the primary endpoint </w:t>
      </w:r>
      <w:r w:rsidR="005A61F8" w:rsidRPr="00E61EC7">
        <w:t xml:space="preserve">at </w:t>
      </w:r>
      <w:r w:rsidRPr="00E61EC7">
        <w:t xml:space="preserve">Week 56 from the pivotal </w:t>
      </w:r>
      <w:r w:rsidR="00533A7C" w:rsidRPr="00E61EC7">
        <w:t>Phase III</w:t>
      </w:r>
      <w:r w:rsidRPr="00E61EC7">
        <w:t xml:space="preserve"> studies</w:t>
      </w:r>
      <w:r w:rsidR="005A61F8" w:rsidRPr="00E61EC7">
        <w:t xml:space="preserve"> (</w:t>
      </w:r>
      <w:r w:rsidR="003B265A">
        <w:t xml:space="preserve">Studies GR40349 and GR40398; also known as </w:t>
      </w:r>
      <w:r w:rsidR="005A61F8" w:rsidRPr="00E61EC7">
        <w:t xml:space="preserve">the </w:t>
      </w:r>
      <w:r w:rsidRPr="00E61EC7">
        <w:t>YOSEMITE and RHINE</w:t>
      </w:r>
      <w:r w:rsidR="005A61F8" w:rsidRPr="00E61EC7">
        <w:t xml:space="preserve"> trials</w:t>
      </w:r>
      <w:r w:rsidR="003B265A">
        <w:t>, respectively</w:t>
      </w:r>
      <w:r w:rsidR="005A61F8" w:rsidRPr="00E61EC7">
        <w:t>),</w:t>
      </w:r>
      <w:r w:rsidRPr="00E61EC7">
        <w:t xml:space="preserve"> to support an up to every 16</w:t>
      </w:r>
      <w:r w:rsidR="005A61F8" w:rsidRPr="00E61EC7">
        <w:t> </w:t>
      </w:r>
      <w:r w:rsidRPr="00E61EC7">
        <w:t>weeks adjustable dosing (PTI).</w:t>
      </w:r>
      <w:r w:rsidR="00807161">
        <w:t xml:space="preserve"> </w:t>
      </w:r>
      <w:r w:rsidRPr="00E61EC7">
        <w:t xml:space="preserve">Additional data from Week 56 to end of the study at Week 100 (Year 2) </w:t>
      </w:r>
      <w:r w:rsidR="005078F9">
        <w:t>was</w:t>
      </w:r>
      <w:r w:rsidRPr="00E61EC7">
        <w:t xml:space="preserve"> provided to </w:t>
      </w:r>
      <w:r w:rsidRPr="00E61EC7">
        <w:lastRenderedPageBreak/>
        <w:t xml:space="preserve">the TGA in updated </w:t>
      </w:r>
      <w:r w:rsidR="005A61F8" w:rsidRPr="00E61EC7">
        <w:t>clinical study report</w:t>
      </w:r>
      <w:r w:rsidRPr="00E61EC7">
        <w:t>s</w:t>
      </w:r>
      <w:r w:rsidR="00D843E8" w:rsidRPr="00E61EC7">
        <w:t>.</w:t>
      </w:r>
      <w:r w:rsidR="005078F9">
        <w:t xml:space="preserve"> </w:t>
      </w:r>
      <w:r w:rsidR="005078F9" w:rsidRPr="00E61EC7">
        <w:t xml:space="preserve">Both studies are </w:t>
      </w:r>
      <w:r w:rsidR="005078F9">
        <w:t xml:space="preserve">completed (YOSEMITE </w:t>
      </w:r>
      <w:r w:rsidR="003B265A">
        <w:t>trial</w:t>
      </w:r>
      <w:r w:rsidR="00807161">
        <w:t xml:space="preserve"> </w:t>
      </w:r>
      <w:r w:rsidR="003B265A">
        <w:t>last patient last visit</w:t>
      </w:r>
      <w:r w:rsidR="005078F9">
        <w:t>: 3 Sep</w:t>
      </w:r>
      <w:r w:rsidR="003B265A">
        <w:t>tember</w:t>
      </w:r>
      <w:r w:rsidR="005078F9">
        <w:t xml:space="preserve"> 2021; RHINE </w:t>
      </w:r>
      <w:r w:rsidR="003B265A">
        <w:t>trial last patient last visit</w:t>
      </w:r>
      <w:r w:rsidR="005078F9">
        <w:t xml:space="preserve"> of global enrolment phase: 27 Aug</w:t>
      </w:r>
      <w:r w:rsidR="003B265A">
        <w:t>ust</w:t>
      </w:r>
      <w:r w:rsidR="005078F9">
        <w:t xml:space="preserve"> 2021)</w:t>
      </w:r>
      <w:r w:rsidR="005078F9" w:rsidRPr="00E61EC7">
        <w:t>.</w:t>
      </w:r>
    </w:p>
    <w:p w14:paraId="2F0D3EFA" w14:textId="5DFB64FB" w:rsidR="00042FC8" w:rsidRPr="00E61EC7" w:rsidRDefault="002A2C48" w:rsidP="00211011">
      <w:r w:rsidRPr="00E61EC7">
        <w:t>One completed dose</w:t>
      </w:r>
      <w:r w:rsidR="00534ABA" w:rsidRPr="00E61EC7">
        <w:t xml:space="preserve"> </w:t>
      </w:r>
      <w:r w:rsidRPr="00E61EC7">
        <w:t>response study (</w:t>
      </w:r>
      <w:r w:rsidR="00534ABA" w:rsidRPr="00E61EC7">
        <w:t>the</w:t>
      </w:r>
      <w:r w:rsidR="003B265A">
        <w:t xml:space="preserve"> Phase II Study BP30099, also known as the</w:t>
      </w:r>
      <w:r w:rsidR="00534ABA" w:rsidRPr="00E61EC7">
        <w:t xml:space="preserve"> </w:t>
      </w:r>
      <w:r w:rsidRPr="00E61EC7">
        <w:t>BOULEVARD</w:t>
      </w:r>
      <w:r w:rsidR="00534ABA" w:rsidRPr="00E61EC7">
        <w:t xml:space="preserve"> trial</w:t>
      </w:r>
      <w:r w:rsidRPr="00E61EC7">
        <w:t xml:space="preserve">) supports the selection of the dosing regimen for the </w:t>
      </w:r>
      <w:r w:rsidR="0039584C" w:rsidRPr="00E61EC7">
        <w:t>DMO</w:t>
      </w:r>
      <w:r w:rsidRPr="00E61EC7">
        <w:t xml:space="preserve"> </w:t>
      </w:r>
      <w:r w:rsidR="00533A7C" w:rsidRPr="00E61EC7">
        <w:t>Phase III</w:t>
      </w:r>
      <w:r w:rsidRPr="00E61EC7">
        <w:t xml:space="preserve"> studies.</w:t>
      </w:r>
    </w:p>
    <w:p w14:paraId="2A35BE16" w14:textId="058BCBBC" w:rsidR="00042FC8" w:rsidRDefault="002A2C48" w:rsidP="00211011">
      <w:r w:rsidRPr="00E61EC7">
        <w:t>Even though Study GR41987 (</w:t>
      </w:r>
      <w:r w:rsidR="00534ABA" w:rsidRPr="00E61EC7">
        <w:t xml:space="preserve">the </w:t>
      </w:r>
      <w:r w:rsidRPr="00E61EC7">
        <w:t>RHONE-X</w:t>
      </w:r>
      <w:r w:rsidR="00534ABA" w:rsidRPr="00E61EC7">
        <w:t xml:space="preserve"> trial</w:t>
      </w:r>
      <w:r w:rsidRPr="00E61EC7">
        <w:t xml:space="preserve">) is an ongoing </w:t>
      </w:r>
      <w:r w:rsidR="00DB7EAB" w:rsidRPr="00E61EC7">
        <w:t>long-term extension</w:t>
      </w:r>
      <w:r w:rsidRPr="00E61EC7">
        <w:t xml:space="preserve"> study for patients who have completed either of the pivotal </w:t>
      </w:r>
      <w:r w:rsidR="00533A7C" w:rsidRPr="00E61EC7">
        <w:t>Phase III</w:t>
      </w:r>
      <w:r w:rsidRPr="00E61EC7">
        <w:t xml:space="preserve"> studies </w:t>
      </w:r>
      <w:r w:rsidR="00534ABA" w:rsidRPr="00E61EC7">
        <w:t xml:space="preserve">(the </w:t>
      </w:r>
      <w:r w:rsidRPr="00E61EC7">
        <w:t>YOSEMITE and RHINE</w:t>
      </w:r>
      <w:r w:rsidR="00534ABA" w:rsidRPr="00E61EC7">
        <w:t xml:space="preserve"> trials)</w:t>
      </w:r>
      <w:r w:rsidRPr="00E61EC7">
        <w:t xml:space="preserve">, efficacy data from the </w:t>
      </w:r>
      <w:r w:rsidR="00DB7EAB" w:rsidRPr="00E61EC7">
        <w:t>long-term extension</w:t>
      </w:r>
      <w:r w:rsidRPr="00E61EC7">
        <w:t xml:space="preserve"> study are not part of this </w:t>
      </w:r>
      <w:r w:rsidR="005A61F8" w:rsidRPr="00E61EC7">
        <w:t>submission</w:t>
      </w:r>
      <w:r w:rsidRPr="00E61EC7">
        <w:t xml:space="preserve"> due to the limited number of patients </w:t>
      </w:r>
      <w:proofErr w:type="gramStart"/>
      <w:r w:rsidRPr="00E61EC7">
        <w:t>enrolled, and</w:t>
      </w:r>
      <w:proofErr w:type="gramEnd"/>
      <w:r w:rsidRPr="00E61EC7">
        <w:t xml:space="preserve"> limited and variable follow-up time at the time of the primary analysis for the two pivotal </w:t>
      </w:r>
      <w:r w:rsidR="00533A7C" w:rsidRPr="00E61EC7">
        <w:t>Phase III</w:t>
      </w:r>
      <w:r w:rsidRPr="00E61EC7">
        <w:t xml:space="preserve"> studies.</w:t>
      </w:r>
    </w:p>
    <w:p w14:paraId="10FD9548" w14:textId="50B7DA9A" w:rsidR="003B265A" w:rsidRPr="00E61EC7" w:rsidRDefault="003B265A" w:rsidP="00211011">
      <w:r>
        <w:t>The similarities between the YOSEMITE and RHINE trials mean both trials are discussed together below.</w:t>
      </w:r>
    </w:p>
    <w:bookmarkEnd w:id="75"/>
    <w:p w14:paraId="58EB0056" w14:textId="77777777" w:rsidR="00534ABA" w:rsidRPr="00E61EC7" w:rsidRDefault="002A2C48" w:rsidP="00211011">
      <w:pPr>
        <w:pStyle w:val="Heading5"/>
      </w:pPr>
      <w:r w:rsidRPr="00E61EC7">
        <w:t xml:space="preserve">Pivotal </w:t>
      </w:r>
      <w:r w:rsidR="00533A7C" w:rsidRPr="00E61EC7">
        <w:t>Phase III</w:t>
      </w:r>
      <w:r w:rsidRPr="00E61EC7">
        <w:t xml:space="preserve"> studies</w:t>
      </w:r>
    </w:p>
    <w:p w14:paraId="78F2F4C6" w14:textId="28895198" w:rsidR="00211011" w:rsidRPr="00E61EC7" w:rsidRDefault="002A2C48" w:rsidP="00D74772">
      <w:pPr>
        <w:pStyle w:val="Heading6"/>
      </w:pPr>
      <w:r w:rsidRPr="00E61EC7">
        <w:t>Study GR40349 (</w:t>
      </w:r>
      <w:r w:rsidR="00042FC8" w:rsidRPr="00E61EC7">
        <w:t>YOSEMITE</w:t>
      </w:r>
      <w:r w:rsidRPr="00E61EC7">
        <w:t xml:space="preserve"> trial)</w:t>
      </w:r>
    </w:p>
    <w:p w14:paraId="5872B278" w14:textId="3DF165F5" w:rsidR="00042FC8" w:rsidRPr="00E61EC7" w:rsidRDefault="002A2C48" w:rsidP="00211011">
      <w:r w:rsidRPr="00E61EC7">
        <w:t xml:space="preserve">The YOSEMITE trial is a pivotal, 100-week, </w:t>
      </w:r>
      <w:r w:rsidR="00533A7C" w:rsidRPr="00E61EC7">
        <w:t>Phase III</w:t>
      </w:r>
      <w:r w:rsidRPr="00E61EC7">
        <w:t xml:space="preserve">, randomised, double masked, multicentre (179 centres in 16 countries), 3-arm parallel group (1:1:1), actively controlled study to assess the efficacy and safety of </w:t>
      </w:r>
      <w:proofErr w:type="spellStart"/>
      <w:r w:rsidRPr="00E61EC7">
        <w:t>faricimab</w:t>
      </w:r>
      <w:proofErr w:type="spellEnd"/>
      <w:r w:rsidRPr="00E61EC7">
        <w:t xml:space="preserve"> in 940 adult patients with </w:t>
      </w:r>
      <w:r w:rsidR="0039584C" w:rsidRPr="00E61EC7">
        <w:t>DMO</w:t>
      </w:r>
      <w:r w:rsidRPr="00E61EC7">
        <w:t xml:space="preserve"> between 5 September 2018 and 20 October 2020.</w:t>
      </w:r>
    </w:p>
    <w:p w14:paraId="5FDB0296" w14:textId="5E2F35D2" w:rsidR="00211011" w:rsidRPr="00E61EC7" w:rsidRDefault="002A2C48" w:rsidP="00D74772">
      <w:pPr>
        <w:pStyle w:val="Heading6"/>
      </w:pPr>
      <w:r w:rsidRPr="00E61EC7">
        <w:t>Study GR40398 (</w:t>
      </w:r>
      <w:r w:rsidR="00042FC8" w:rsidRPr="00E61EC7">
        <w:t>RHINE</w:t>
      </w:r>
      <w:r w:rsidRPr="00E61EC7">
        <w:t xml:space="preserve"> trial)</w:t>
      </w:r>
    </w:p>
    <w:p w14:paraId="43357C83" w14:textId="70E135DA" w:rsidR="00042FC8" w:rsidRPr="00E61EC7" w:rsidRDefault="002A2C48" w:rsidP="00211011">
      <w:r w:rsidRPr="00E61EC7">
        <w:t xml:space="preserve">The RHINE trial is a pivotal, 100-week, </w:t>
      </w:r>
      <w:r w:rsidR="00533A7C" w:rsidRPr="00E61EC7">
        <w:t>Phase III</w:t>
      </w:r>
      <w:r w:rsidRPr="00E61EC7">
        <w:t xml:space="preserve">, randomised, double masked, multicentre (174 centres in 24 countries), 3-arm parallel group (1:1:1), actively controlled study to assess the efficacy and safety of </w:t>
      </w:r>
      <w:proofErr w:type="spellStart"/>
      <w:r w:rsidRPr="00E61EC7">
        <w:t>faricimab</w:t>
      </w:r>
      <w:proofErr w:type="spellEnd"/>
      <w:r w:rsidRPr="00E61EC7">
        <w:t xml:space="preserve"> in 951 adult patients with </w:t>
      </w:r>
      <w:r w:rsidR="0039584C" w:rsidRPr="00E61EC7">
        <w:t>DMO</w:t>
      </w:r>
      <w:r w:rsidRPr="00E61EC7">
        <w:t xml:space="preserve"> between 9 October 2018 and 19 October 2020.</w:t>
      </w:r>
    </w:p>
    <w:p w14:paraId="75F67C09" w14:textId="7D505560" w:rsidR="00042FC8" w:rsidRPr="00E61EC7" w:rsidRDefault="002A2C48" w:rsidP="00211011">
      <w:r w:rsidRPr="00E61EC7">
        <w:t>The study included patients</w:t>
      </w:r>
      <w:r w:rsidR="00534ABA" w:rsidRPr="00E61EC7">
        <w:t>-</w:t>
      </w:r>
      <w:r w:rsidRPr="00E61EC7">
        <w:t xml:space="preserve">naïve to anti-VEGF therapy in the study eye and patients previously treated with anti-VEGF therapy in the study eye (if last treatment was </w:t>
      </w:r>
      <w:r w:rsidR="00534ABA" w:rsidRPr="00E61EC7">
        <w:t xml:space="preserve">more than </w:t>
      </w:r>
      <w:r w:rsidRPr="00E61EC7">
        <w:t>3</w:t>
      </w:r>
      <w:r w:rsidR="00534ABA" w:rsidRPr="00E61EC7">
        <w:t> </w:t>
      </w:r>
      <w:r w:rsidRPr="00E61EC7">
        <w:t xml:space="preserve">months prior to Day 1; </w:t>
      </w:r>
      <w:r w:rsidR="00534ABA" w:rsidRPr="00E61EC7">
        <w:t xml:space="preserve">the </w:t>
      </w:r>
      <w:r w:rsidRPr="00E61EC7">
        <w:t>target</w:t>
      </w:r>
      <w:r w:rsidR="00534ABA" w:rsidRPr="00E61EC7">
        <w:t xml:space="preserve"> is </w:t>
      </w:r>
      <w:r w:rsidRPr="00E61EC7">
        <w:t>10</w:t>
      </w:r>
      <w:r w:rsidR="00534ABA" w:rsidRPr="00E61EC7">
        <w:t xml:space="preserve"> to </w:t>
      </w:r>
      <w:r w:rsidRPr="00E61EC7">
        <w:t>25% of patients at enrolment).</w:t>
      </w:r>
    </w:p>
    <w:p w14:paraId="0A8E516C" w14:textId="7D97EB88" w:rsidR="00211011" w:rsidRPr="00E61EC7" w:rsidRDefault="002A2C48" w:rsidP="00D74772">
      <w:pPr>
        <w:pStyle w:val="Heading6"/>
      </w:pPr>
      <w:r w:rsidRPr="00E61EC7">
        <w:t>Inclusion criteria</w:t>
      </w:r>
    </w:p>
    <w:p w14:paraId="131B6863" w14:textId="5CD59767" w:rsidR="00534ABA" w:rsidRPr="00E61EC7" w:rsidRDefault="002A2C48" w:rsidP="00211011">
      <w:r w:rsidRPr="00E61EC7">
        <w:t>The main inclusion criteria are:</w:t>
      </w:r>
    </w:p>
    <w:p w14:paraId="4FD20DE0" w14:textId="19BD4926" w:rsidR="00534ABA" w:rsidRPr="00E61EC7" w:rsidRDefault="002A2C48" w:rsidP="00534ABA">
      <w:pPr>
        <w:pStyle w:val="ListBullet"/>
      </w:pPr>
      <w:r w:rsidRPr="00E61EC7">
        <w:t>p</w:t>
      </w:r>
      <w:r w:rsidR="00042FC8" w:rsidRPr="00E61EC7">
        <w:t>atients aged 18 years</w:t>
      </w:r>
      <w:r w:rsidRPr="00E61EC7">
        <w:t xml:space="preserve"> and older</w:t>
      </w:r>
      <w:r w:rsidR="00042FC8" w:rsidRPr="00E61EC7">
        <w:t xml:space="preserve"> with diabetes mellitus (Type 1 or Type 2), current regular diabetes treatment with insulin or other injectable drugs and/or oral anti</w:t>
      </w:r>
      <w:r w:rsidRPr="00E61EC7">
        <w:noBreakHyphen/>
      </w:r>
      <w:r w:rsidR="00042FC8" w:rsidRPr="00E61EC7">
        <w:t xml:space="preserve">hyperglycaemic </w:t>
      </w:r>
      <w:proofErr w:type="gramStart"/>
      <w:r w:rsidR="00042FC8" w:rsidRPr="00E61EC7">
        <w:t>agents</w:t>
      </w:r>
      <w:r w:rsidRPr="00E61EC7">
        <w:t>;</w:t>
      </w:r>
      <w:proofErr w:type="gramEnd"/>
    </w:p>
    <w:p w14:paraId="78668D61" w14:textId="10AD2E34" w:rsidR="00534ABA" w:rsidRPr="00E61EC7" w:rsidRDefault="002A2C48" w:rsidP="00211011">
      <w:pPr>
        <w:pStyle w:val="ListBullet"/>
      </w:pPr>
      <w:r w:rsidRPr="00E61EC7">
        <w:t>haemoglobin A1c (</w:t>
      </w:r>
      <w:r w:rsidR="00042FC8" w:rsidRPr="00E61EC7">
        <w:t>HbA1c</w:t>
      </w:r>
      <w:r w:rsidRPr="00E61EC7">
        <w:t>)</w:t>
      </w:r>
      <w:r>
        <w:rPr>
          <w:rStyle w:val="FootnoteReference"/>
        </w:rPr>
        <w:footnoteReference w:id="15"/>
      </w:r>
      <w:r w:rsidR="00042FC8" w:rsidRPr="00E61EC7">
        <w:t xml:space="preserve"> of 10% </w:t>
      </w:r>
      <w:r w:rsidRPr="00E61EC7">
        <w:t xml:space="preserve">or less </w:t>
      </w:r>
      <w:r w:rsidR="00042FC8" w:rsidRPr="00E61EC7">
        <w:t>within 2 months prior to the Day 1 visit date.</w:t>
      </w:r>
    </w:p>
    <w:p w14:paraId="2DA43903" w14:textId="7CE31C2D" w:rsidR="00042FC8" w:rsidRPr="00E61EC7" w:rsidRDefault="002A2C48" w:rsidP="00534ABA">
      <w:pPr>
        <w:pStyle w:val="ListBullet"/>
        <w:numPr>
          <w:ilvl w:val="0"/>
          <w:numId w:val="0"/>
        </w:numPr>
      </w:pPr>
      <w:r w:rsidRPr="00E61EC7">
        <w:t>The o</w:t>
      </w:r>
      <w:r w:rsidRPr="00E61EC7">
        <w:rPr>
          <w:szCs w:val="28"/>
        </w:rPr>
        <w:t>cular inclusion criteria for the study eye are:</w:t>
      </w:r>
    </w:p>
    <w:p w14:paraId="102BF1AC" w14:textId="5FB34B44" w:rsidR="00042FC8" w:rsidRPr="00E61EC7" w:rsidRDefault="002A2C48" w:rsidP="00211011">
      <w:pPr>
        <w:pStyle w:val="ListBullet"/>
      </w:pPr>
      <w:r w:rsidRPr="00E61EC7">
        <w:t xml:space="preserve">macular thickening secondary to </w:t>
      </w:r>
      <w:r w:rsidR="0039584C" w:rsidRPr="00E61EC7">
        <w:t>DMO</w:t>
      </w:r>
      <w:r w:rsidRPr="00E61EC7">
        <w:t xml:space="preserve"> involving the centre of the fovea with CST 325</w:t>
      </w:r>
      <w:r w:rsidR="00C87795" w:rsidRPr="00E61EC7">
        <w:t> </w:t>
      </w:r>
      <w:r w:rsidRPr="00E61EC7">
        <w:t xml:space="preserve">µm or high, as measured on </w:t>
      </w:r>
      <w:proofErr w:type="spellStart"/>
      <w:r w:rsidRPr="00E61EC7">
        <w:t>Spectralis</w:t>
      </w:r>
      <w:proofErr w:type="spellEnd"/>
      <w:r w:rsidRPr="00E61EC7">
        <w:t xml:space="preserve"> </w:t>
      </w:r>
      <w:r w:rsidR="001654B4" w:rsidRPr="00E61EC7">
        <w:t>spectral domain optical coherence tomography</w:t>
      </w:r>
      <w:r w:rsidRPr="00E61EC7">
        <w:t xml:space="preserve">, or 315 µm or higher, as measured on Cirrus </w:t>
      </w:r>
      <w:r w:rsidR="001654B4" w:rsidRPr="00E61EC7">
        <w:t xml:space="preserve">spectral domain optical </w:t>
      </w:r>
      <w:r w:rsidR="001654B4" w:rsidRPr="00E61EC7">
        <w:lastRenderedPageBreak/>
        <w:t>coherence tomography</w:t>
      </w:r>
      <w:r w:rsidRPr="00E61EC7">
        <w:t xml:space="preserve"> or Topcon </w:t>
      </w:r>
      <w:r w:rsidR="001654B4" w:rsidRPr="00E61EC7">
        <w:t>spectral domain optical coherence tomography</w:t>
      </w:r>
      <w:r w:rsidRPr="00E61EC7">
        <w:t xml:space="preserve"> at </w:t>
      </w:r>
      <w:proofErr w:type="gramStart"/>
      <w:r w:rsidRPr="00E61EC7">
        <w:t>screening;</w:t>
      </w:r>
      <w:proofErr w:type="gramEnd"/>
    </w:p>
    <w:p w14:paraId="00E31533" w14:textId="281C95A5" w:rsidR="00042FC8" w:rsidRPr="00E61EC7" w:rsidRDefault="002A2C48" w:rsidP="00211011">
      <w:pPr>
        <w:pStyle w:val="ListBullet"/>
      </w:pPr>
      <w:r w:rsidRPr="00E61EC7">
        <w:t>BCVA of 73 to 25 letters, inclusive (20</w:t>
      </w:r>
      <w:r w:rsidR="00534ABA" w:rsidRPr="00E61EC7">
        <w:t xml:space="preserve"> of </w:t>
      </w:r>
      <w:r w:rsidRPr="00E61EC7">
        <w:t>40 to 20</w:t>
      </w:r>
      <w:r w:rsidR="00534ABA" w:rsidRPr="00E61EC7">
        <w:t xml:space="preserve"> of </w:t>
      </w:r>
      <w:r w:rsidRPr="00E61EC7">
        <w:t>320 approximate Snellen equivalent), using the ETDRS protocol at the initial testing distance of 4 meters on Day</w:t>
      </w:r>
      <w:r w:rsidR="00CE2C72" w:rsidRPr="00E61EC7">
        <w:t> </w:t>
      </w:r>
      <w:proofErr w:type="gramStart"/>
      <w:r w:rsidRPr="00E61EC7">
        <w:t>1</w:t>
      </w:r>
      <w:r w:rsidR="00CE2C72" w:rsidRPr="00E61EC7">
        <w:t>;</w:t>
      </w:r>
      <w:proofErr w:type="gramEnd"/>
    </w:p>
    <w:p w14:paraId="22B10478" w14:textId="56D1B23B" w:rsidR="00042FC8" w:rsidRPr="00E61EC7" w:rsidRDefault="002A2C48" w:rsidP="00211011">
      <w:pPr>
        <w:pStyle w:val="ListBullet"/>
      </w:pPr>
      <w:r w:rsidRPr="00E61EC7">
        <w:t xml:space="preserve">sufficiently clear ocular media and adequate pupillary dilatation to allow acquisition of good quality colour fundus photographs (including ETDRS 7 modified fields or 4 wide angle fields to permit grading of </w:t>
      </w:r>
      <w:r w:rsidR="00F86CD2" w:rsidRPr="00E61EC7">
        <w:t>diabetic retinopathy</w:t>
      </w:r>
      <w:r w:rsidRPr="00E61EC7">
        <w:t xml:space="preserve"> and assessment of the retina) and other imaging modalities.</w:t>
      </w:r>
    </w:p>
    <w:p w14:paraId="52E7C4AB" w14:textId="77777777" w:rsidR="00211011" w:rsidRPr="00E61EC7" w:rsidRDefault="002A2C48" w:rsidP="00D74772">
      <w:pPr>
        <w:pStyle w:val="Heading6"/>
      </w:pPr>
      <w:r w:rsidRPr="00E61EC7">
        <w:t>Exclusion criteria</w:t>
      </w:r>
    </w:p>
    <w:p w14:paraId="746DFAE3" w14:textId="77777777" w:rsidR="00CE2C72" w:rsidRPr="00E61EC7" w:rsidRDefault="002A2C48" w:rsidP="00CE2C72">
      <w:pPr>
        <w:pStyle w:val="ListBullet"/>
        <w:numPr>
          <w:ilvl w:val="0"/>
          <w:numId w:val="0"/>
        </w:numPr>
        <w:ind w:left="360" w:hanging="360"/>
      </w:pPr>
      <w:r w:rsidRPr="00E61EC7">
        <w:t xml:space="preserve">The main exclusion criteria </w:t>
      </w:r>
      <w:r w:rsidR="00042FC8" w:rsidRPr="00E61EC7">
        <w:t xml:space="preserve">included </w:t>
      </w:r>
      <w:r w:rsidRPr="00E61EC7">
        <w:t>a</w:t>
      </w:r>
      <w:r w:rsidR="00042FC8" w:rsidRPr="00E61EC7">
        <w:t xml:space="preserve">nti-VEGF injection within 3 months </w:t>
      </w:r>
      <w:proofErr w:type="gramStart"/>
      <w:r w:rsidR="00042FC8" w:rsidRPr="00E61EC7">
        <w:t>prior;</w:t>
      </w:r>
      <w:proofErr w:type="gramEnd"/>
    </w:p>
    <w:p w14:paraId="7E0B498C" w14:textId="447916D6" w:rsidR="00CE2C72" w:rsidRPr="00E61EC7" w:rsidRDefault="002A2C48" w:rsidP="00CE2C72">
      <w:pPr>
        <w:pStyle w:val="ListBullet"/>
      </w:pPr>
      <w:r w:rsidRPr="00E61EC7">
        <w:t xml:space="preserve">untreated diabetes mellitus or serious systemic </w:t>
      </w:r>
      <w:proofErr w:type="gramStart"/>
      <w:r w:rsidRPr="00E61EC7">
        <w:t>condition;</w:t>
      </w:r>
      <w:proofErr w:type="gramEnd"/>
    </w:p>
    <w:p w14:paraId="3EB90246" w14:textId="3D94519A" w:rsidR="00CE2C72" w:rsidRPr="00E61EC7" w:rsidRDefault="002A2C48" w:rsidP="00CE2C72">
      <w:pPr>
        <w:pStyle w:val="ListBullet"/>
      </w:pPr>
      <w:r w:rsidRPr="00E61EC7">
        <w:t xml:space="preserve">pregnancy or breastfeeding or intention to become </w:t>
      </w:r>
      <w:proofErr w:type="gramStart"/>
      <w:r w:rsidRPr="00E61EC7">
        <w:t>pregnant;</w:t>
      </w:r>
      <w:proofErr w:type="gramEnd"/>
    </w:p>
    <w:p w14:paraId="767D7238" w14:textId="77777777" w:rsidR="00CE2C72" w:rsidRPr="00E61EC7" w:rsidRDefault="002A2C48" w:rsidP="00CE2C72">
      <w:pPr>
        <w:pStyle w:val="ListBullet"/>
      </w:pPr>
      <w:r w:rsidRPr="00E61EC7">
        <w:t xml:space="preserve">high-risk proliferative diabetic </w:t>
      </w:r>
      <w:proofErr w:type="gramStart"/>
      <w:r w:rsidRPr="00E61EC7">
        <w:t>retinopathy;</w:t>
      </w:r>
      <w:proofErr w:type="gramEnd"/>
    </w:p>
    <w:p w14:paraId="7C05393F" w14:textId="164880AF" w:rsidR="00042FC8" w:rsidRPr="00E61EC7" w:rsidRDefault="002A2C48" w:rsidP="00CE2C72">
      <w:pPr>
        <w:pStyle w:val="ListBullet"/>
      </w:pPr>
      <w:r w:rsidRPr="00E61EC7">
        <w:t>certain laser treatments and implants.</w:t>
      </w:r>
    </w:p>
    <w:p w14:paraId="74F9A532" w14:textId="1A5AEACB" w:rsidR="00042FC8" w:rsidRPr="00E61EC7" w:rsidRDefault="002A2C48" w:rsidP="00202A6D">
      <w:pPr>
        <w:pStyle w:val="FigureTitle"/>
      </w:pPr>
      <w:r w:rsidRPr="00E61EC7">
        <w:t xml:space="preserve">Figure </w:t>
      </w:r>
      <w:r w:rsidR="00C22604" w:rsidRPr="00E61EC7">
        <w:fldChar w:fldCharType="begin"/>
      </w:r>
      <w:r>
        <w:instrText xml:space="preserve"> SEQ Figure \* ARABIC </w:instrText>
      </w:r>
      <w:r w:rsidR="00C22604" w:rsidRPr="00E61EC7">
        <w:fldChar w:fldCharType="separate"/>
      </w:r>
      <w:r w:rsidR="001E25B5">
        <w:rPr>
          <w:noProof/>
        </w:rPr>
        <w:t>6</w:t>
      </w:r>
      <w:r w:rsidR="00C22604" w:rsidRPr="00E61EC7">
        <w:rPr>
          <w:noProof/>
        </w:rPr>
        <w:fldChar w:fldCharType="end"/>
      </w:r>
      <w:r w:rsidR="00CE2C72" w:rsidRPr="00E61EC7">
        <w:t>:</w:t>
      </w:r>
      <w:r w:rsidRPr="00E61EC7">
        <w:t xml:space="preserve"> Studies GR40349 </w:t>
      </w:r>
      <w:r w:rsidR="00035CEC" w:rsidRPr="00E61EC7">
        <w:t xml:space="preserve">and GR40398 </w:t>
      </w:r>
      <w:r w:rsidRPr="00E61EC7">
        <w:t>(YOSEMITE</w:t>
      </w:r>
      <w:r w:rsidR="00CE2C72" w:rsidRPr="00E61EC7">
        <w:t xml:space="preserve"> </w:t>
      </w:r>
      <w:r w:rsidR="00035CEC">
        <w:t xml:space="preserve">and RHINE </w:t>
      </w:r>
      <w:r w:rsidR="00CE2C72" w:rsidRPr="00E61EC7">
        <w:t>trial</w:t>
      </w:r>
      <w:r w:rsidR="00035CEC">
        <w:t>s</w:t>
      </w:r>
      <w:r w:rsidRPr="00E61EC7">
        <w:t>) Study design</w:t>
      </w:r>
    </w:p>
    <w:p w14:paraId="1F931E33" w14:textId="46C6E5E7" w:rsidR="00394C86" w:rsidRPr="00E61EC7" w:rsidRDefault="002A2C48" w:rsidP="00202A6D">
      <w:r w:rsidRPr="00E61EC7">
        <w:rPr>
          <w:noProof/>
          <w:lang w:val="en-GB" w:eastAsia="en-GB"/>
        </w:rPr>
        <w:drawing>
          <wp:inline distT="0" distB="0" distL="0" distR="0" wp14:anchorId="38D51B66" wp14:editId="55670493">
            <wp:extent cx="5281863" cy="2454275"/>
            <wp:effectExtent l="0" t="0" r="0" b="3175"/>
            <wp:docPr id="25" name="Picture 25" descr="Figure 6: Studies GR40349 and GR40398 (YOSEMITE and RHINE trials) Study design&#10;&#10;The YOSEMITE and RHINE trials are ongoing identically designed pivotal Phase III studies. Each study is a global, multicenter, randomised, double masked, active comparator controlled, parallel group, 100 week study evaluating the efficacy, safety, pharmacokinetics, and optimal treatment frequency of faricimab in patients with diabetic macular oedema.&#10;&#10;Each study recruited both patients naive to anti-vascular endothelial growth factor (anti-VEGF) therapy in the study eye and patients previously treated with anti-VEGF therapy in the study eye, provided that the last treatment was at least 3 months prior to the Day 1 visit (the first study treatment). Study participation of previously anti-VEGF treated patients was capped at a maximum 25% of enrolment.&#10;&#10;Approximately 900 patients were planned to be enrolled globally and randomised in a 1:1:1 ratio to one of three treatment arms:&#10;&#10;Arm A faricimab every 8 weeks (n = 300): 6 mg faricimab injections every 4 weeks to Week 20, followed by 6 mg faricimab injections every 8 weeks to Week 96, followed by the final study visit at Week 100.&#10;&#10;Arm B faricimab personalised treatment interval (n = 300): 6 mg faricimab injections every 4 weeks to at least Week 12, followed by personalised treatment interval dosing of 6 mg faricimab injections to Week 96, followed by the final study visit at Week 100.&#10;&#10;Arm C aflibercept every 8 weeks (comparator arm) (n = 300): 2 mg intravitreal aflibercept injections every 4 weeks to Week 16, followed by 2 mg intravitreal aflibercept injections every 8 weeks to Week 96, followed by the final study visit at Week 100.&#10;&#10;A sham procedure was administered to patients in all three treatment arms at applicable visits to maintain masking among treatment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6: Studies GR40349 and GR40398 (YOSEMITE and RHINE trials) Study design&#10;&#10;The YOSEMITE and RHINE trials are ongoing identically designed pivotal Phase III studies. Each study is a global, multicenter, randomised, double masked, active comparator controlled, parallel group, 100 week study evaluating the efficacy, safety, pharmacokinetics, and optimal treatment frequency of faricimab in patients with diabetic macular oedema.&#10;&#10;Each study recruited both patients naive to anti-vascular endothelial growth factor (anti-VEGF) therapy in the study eye and patients previously treated with anti-VEGF therapy in the study eye, provided that the last treatment was at least 3 months prior to the Day 1 visit (the first study treatment). Study participation of previously anti-VEGF treated patients was capped at a maximum 25% of enrolment.&#10;&#10;Approximately 900 patients were planned to be enrolled globally and randomised in a 1:1:1 ratio to one of three treatment arms:&#10;&#10;Arm A faricimab every 8 weeks (n = 300): 6 mg faricimab injections every 4 weeks to Week 20, followed by 6 mg faricimab injections every 8 weeks to Week 96, followed by the final study visit at Week 100.&#10;&#10;Arm B faricimab personalised treatment interval (n = 300): 6 mg faricimab injections every 4 weeks to at least Week 12, followed by personalised treatment interval dosing of 6 mg faricimab injections to Week 96, followed by the final study visit at Week 100.&#10;&#10;Arm C aflibercept every 8 weeks (comparator arm) (n = 300): 2 mg intravitreal aflibercept injections every 4 weeks to Week 16, followed by 2 mg intravitreal aflibercept injections every 8 weeks to Week 96, followed by the final study visit at Week 100.&#10;&#10;A sham procedure was administered to patients in all three treatment arms at applicable visits to maintain masking among treatment arms."/>
                    <pic:cNvPicPr/>
                  </pic:nvPicPr>
                  <pic:blipFill>
                    <a:blip r:embed="rId37"/>
                    <a:stretch>
                      <a:fillRect/>
                    </a:stretch>
                  </pic:blipFill>
                  <pic:spPr>
                    <a:xfrm>
                      <a:off x="0" y="0"/>
                      <a:ext cx="5283356" cy="2454969"/>
                    </a:xfrm>
                    <a:prstGeom prst="rect">
                      <a:avLst/>
                    </a:prstGeom>
                  </pic:spPr>
                </pic:pic>
              </a:graphicData>
            </a:graphic>
          </wp:inline>
        </w:drawing>
      </w:r>
    </w:p>
    <w:p w14:paraId="68869D6D" w14:textId="5394434D" w:rsidR="00394C86" w:rsidRPr="00E61EC7" w:rsidRDefault="002A2C48" w:rsidP="00202A6D">
      <w:pPr>
        <w:pStyle w:val="FigureDescription"/>
      </w:pPr>
      <w:r w:rsidRPr="00E61EC7">
        <w:t xml:space="preserve">Abbreviations: IVT = intravitreal; Q8W = every 8 weeks; RO6867461 = </w:t>
      </w:r>
      <w:proofErr w:type="spellStart"/>
      <w:r w:rsidRPr="00E61EC7">
        <w:t>faricimab</w:t>
      </w:r>
      <w:proofErr w:type="spellEnd"/>
      <w:r w:rsidRPr="00E61EC7">
        <w:t>; PTI = personalised treatment interval; Q8W = every 8 weeks; W = week.</w:t>
      </w:r>
    </w:p>
    <w:p w14:paraId="66010112" w14:textId="37E66999" w:rsidR="00CE2C72" w:rsidRPr="00E61EC7" w:rsidRDefault="002A2C48" w:rsidP="00202A6D">
      <w:pPr>
        <w:pStyle w:val="FigureDescription"/>
      </w:pPr>
      <w:r w:rsidRPr="00E61EC7">
        <w:t>a</w:t>
      </w:r>
      <w:r w:rsidR="00D269A9" w:rsidRPr="00E61EC7">
        <w:t>.</w:t>
      </w:r>
      <w:r w:rsidRPr="00E61EC7">
        <w:t xml:space="preserve"> The definition of one year used for the primary efficacy endpoint is defined as the change from Baseline in best</w:t>
      </w:r>
      <w:r w:rsidR="00EC0073" w:rsidRPr="00E61EC7">
        <w:t xml:space="preserve"> </w:t>
      </w:r>
      <w:r w:rsidRPr="00E61EC7">
        <w:t>corrected visual acuity (BCVA), as measured on the Early Treatment Diabetic Retinopathy Study (ETDRS) chart at a starting distance of 4 meters at one year, is the average of the Weeks 48, 52, and 56 visits.</w:t>
      </w:r>
    </w:p>
    <w:p w14:paraId="45181CC0" w14:textId="771B07C7" w:rsidR="00042FC8" w:rsidRPr="00E61EC7" w:rsidRDefault="002A2C48" w:rsidP="00D74772">
      <w:pPr>
        <w:pStyle w:val="Heading6"/>
      </w:pPr>
      <w:r w:rsidRPr="00E61EC7">
        <w:t>Treatment</w:t>
      </w:r>
      <w:r w:rsidR="00CE2C72" w:rsidRPr="00E61EC7">
        <w:t>s</w:t>
      </w:r>
    </w:p>
    <w:p w14:paraId="4913BDA7" w14:textId="02A2EC7A" w:rsidR="00042FC8" w:rsidRPr="00E61EC7" w:rsidRDefault="002A2C48" w:rsidP="00211011">
      <w:pPr>
        <w:pStyle w:val="ListBullet"/>
      </w:pPr>
      <w:proofErr w:type="spellStart"/>
      <w:r w:rsidRPr="00D74772">
        <w:rPr>
          <w:i/>
        </w:rPr>
        <w:t>Faricimab</w:t>
      </w:r>
      <w:proofErr w:type="spellEnd"/>
      <w:r w:rsidRPr="00D74772">
        <w:rPr>
          <w:i/>
        </w:rPr>
        <w:t xml:space="preserve"> </w:t>
      </w:r>
      <w:r w:rsidR="003E5F35" w:rsidRPr="00D74772">
        <w:rPr>
          <w:i/>
        </w:rPr>
        <w:t>every 8 weeks</w:t>
      </w:r>
      <w:r w:rsidRPr="00E61EC7">
        <w:t xml:space="preserve">: 6 mg intravitreal </w:t>
      </w:r>
      <w:proofErr w:type="spellStart"/>
      <w:r w:rsidRPr="00E61EC7">
        <w:t>faricimab</w:t>
      </w:r>
      <w:proofErr w:type="spellEnd"/>
      <w:r w:rsidRPr="00E61EC7">
        <w:t xml:space="preserve"> injections </w:t>
      </w:r>
      <w:r w:rsidR="003E5F35" w:rsidRPr="00E61EC7">
        <w:t>every 4 weeks</w:t>
      </w:r>
      <w:r w:rsidRPr="00E61EC7">
        <w:t xml:space="preserve"> to Week</w:t>
      </w:r>
      <w:r w:rsidR="00CE2C72" w:rsidRPr="00E61EC7">
        <w:t> </w:t>
      </w:r>
      <w:r w:rsidRPr="00E61EC7">
        <w:t xml:space="preserve">20, followed by 6 mg </w:t>
      </w:r>
      <w:r w:rsidR="003E5F35" w:rsidRPr="00E61EC7">
        <w:t>every 8 weeks</w:t>
      </w:r>
      <w:r w:rsidRPr="00E61EC7">
        <w:t xml:space="preserve"> to Week 96</w:t>
      </w:r>
    </w:p>
    <w:p w14:paraId="155F8996" w14:textId="1B56CD83" w:rsidR="00042FC8" w:rsidRPr="00E61EC7" w:rsidRDefault="002A2C48" w:rsidP="00211011">
      <w:pPr>
        <w:pStyle w:val="ListBullet"/>
      </w:pPr>
      <w:proofErr w:type="spellStart"/>
      <w:r w:rsidRPr="00D74772">
        <w:rPr>
          <w:i/>
        </w:rPr>
        <w:t>Faricimab</w:t>
      </w:r>
      <w:proofErr w:type="spellEnd"/>
      <w:r w:rsidRPr="00D74772">
        <w:rPr>
          <w:i/>
        </w:rPr>
        <w:t xml:space="preserve"> PTI</w:t>
      </w:r>
      <w:r w:rsidRPr="00E61EC7">
        <w:t xml:space="preserve">: 6 mg intravitreal </w:t>
      </w:r>
      <w:proofErr w:type="spellStart"/>
      <w:r w:rsidRPr="00E61EC7">
        <w:t>faricimab</w:t>
      </w:r>
      <w:proofErr w:type="spellEnd"/>
      <w:r w:rsidRPr="00E61EC7">
        <w:t xml:space="preserve"> injections </w:t>
      </w:r>
      <w:r w:rsidR="003E5F35" w:rsidRPr="00E61EC7">
        <w:t>every 4 weeks</w:t>
      </w:r>
      <w:r w:rsidRPr="00E61EC7">
        <w:t xml:space="preserve"> to at least Week 12 (4 injections), followed by PTI dosing up to </w:t>
      </w:r>
      <w:r w:rsidR="000E4FBF" w:rsidRPr="00E61EC7">
        <w:t>every 16</w:t>
      </w:r>
      <w:r w:rsidR="00CE2C72" w:rsidRPr="00E61EC7">
        <w:t> </w:t>
      </w:r>
      <w:r w:rsidR="000E4FBF" w:rsidRPr="00E61EC7">
        <w:t>weeks</w:t>
      </w:r>
      <w:r w:rsidRPr="00E61EC7">
        <w:t xml:space="preserve"> of 6 mg to Week 96 (</w:t>
      </w:r>
      <w:r w:rsidR="00CE2C72" w:rsidRPr="00E61EC7">
        <w:t xml:space="preserve">see </w:t>
      </w:r>
      <w:r w:rsidRPr="00E61EC7">
        <w:fldChar w:fldCharType="begin"/>
      </w:r>
      <w:r w:rsidRPr="00E61EC7">
        <w:instrText xml:space="preserve"> REF _Ref101951962 \h  \* MERGEFORMAT </w:instrText>
      </w:r>
      <w:r w:rsidRPr="00E61EC7">
        <w:fldChar w:fldCharType="separate"/>
      </w:r>
      <w:r w:rsidR="001E25B5" w:rsidRPr="00E61EC7">
        <w:t xml:space="preserve">Figure </w:t>
      </w:r>
      <w:r w:rsidR="001E25B5">
        <w:t>7</w:t>
      </w:r>
      <w:r w:rsidRPr="00E61EC7">
        <w:fldChar w:fldCharType="end"/>
      </w:r>
      <w:r w:rsidR="00CE2C72" w:rsidRPr="00E61EC7">
        <w:t xml:space="preserve"> below)</w:t>
      </w:r>
      <w:r w:rsidRPr="00E61EC7">
        <w:t>.</w:t>
      </w:r>
    </w:p>
    <w:p w14:paraId="0D2DF1C6" w14:textId="1DF5990B" w:rsidR="00042FC8" w:rsidRPr="00E61EC7" w:rsidRDefault="002A2C48" w:rsidP="00211011">
      <w:pPr>
        <w:pStyle w:val="ListBullet"/>
      </w:pPr>
      <w:r w:rsidRPr="00D74772">
        <w:rPr>
          <w:i/>
        </w:rPr>
        <w:t xml:space="preserve">Aflibercept </w:t>
      </w:r>
      <w:r w:rsidR="003E5F35" w:rsidRPr="00D74772">
        <w:rPr>
          <w:i/>
        </w:rPr>
        <w:t>every 8 weeks</w:t>
      </w:r>
      <w:r w:rsidRPr="00E61EC7">
        <w:t xml:space="preserve">: 2 mg intravitreal aflibercept injections </w:t>
      </w:r>
      <w:r w:rsidR="003E5F35" w:rsidRPr="00E61EC7">
        <w:t>every 4 weeks</w:t>
      </w:r>
      <w:r w:rsidRPr="00E61EC7">
        <w:t xml:space="preserve"> to Week 16, followed by 2 mg </w:t>
      </w:r>
      <w:r w:rsidR="003E5F35" w:rsidRPr="00E61EC7">
        <w:t>every 8 weeks</w:t>
      </w:r>
      <w:r w:rsidRPr="00E61EC7">
        <w:t xml:space="preserve"> to Week 96.</w:t>
      </w:r>
    </w:p>
    <w:p w14:paraId="65BFC6C2" w14:textId="5078D8C6" w:rsidR="00CE2C72" w:rsidRPr="00E61EC7" w:rsidRDefault="002A2C48" w:rsidP="00202A6D">
      <w:pPr>
        <w:pStyle w:val="FigureTitle"/>
      </w:pPr>
      <w:bookmarkStart w:id="76" w:name="_Ref101951962"/>
      <w:r w:rsidRPr="00E61EC7">
        <w:lastRenderedPageBreak/>
        <w:t xml:space="preserve">Figure </w:t>
      </w:r>
      <w:r w:rsidR="00C22604" w:rsidRPr="00E61EC7">
        <w:fldChar w:fldCharType="begin"/>
      </w:r>
      <w:r>
        <w:instrText xml:space="preserve"> SEQ Figure \* ARABIC </w:instrText>
      </w:r>
      <w:r w:rsidR="00C22604" w:rsidRPr="00E61EC7">
        <w:fldChar w:fldCharType="separate"/>
      </w:r>
      <w:r w:rsidR="001E25B5">
        <w:rPr>
          <w:noProof/>
        </w:rPr>
        <w:t>7</w:t>
      </w:r>
      <w:r w:rsidR="00C22604" w:rsidRPr="00E61EC7">
        <w:rPr>
          <w:noProof/>
        </w:rPr>
        <w:fldChar w:fldCharType="end"/>
      </w:r>
      <w:bookmarkEnd w:id="76"/>
      <w:r w:rsidRPr="00E61EC7">
        <w:t xml:space="preserve">: Studies GR40349 </w:t>
      </w:r>
      <w:r w:rsidR="00035CEC">
        <w:t xml:space="preserve">and GR40398 </w:t>
      </w:r>
      <w:r w:rsidRPr="00E61EC7">
        <w:t xml:space="preserve">(YOSEMITE </w:t>
      </w:r>
      <w:r w:rsidR="00035CEC">
        <w:t xml:space="preserve">and RHINE </w:t>
      </w:r>
      <w:r w:rsidRPr="00E61EC7">
        <w:t>trial</w:t>
      </w:r>
      <w:r w:rsidR="00035CEC">
        <w:t>s</w:t>
      </w:r>
      <w:r w:rsidRPr="00E61EC7">
        <w:t>) Personalised treatment interval dosing algorithm</w:t>
      </w:r>
    </w:p>
    <w:p w14:paraId="319EF723" w14:textId="6BB4B96F" w:rsidR="00A47751" w:rsidRPr="00E61EC7" w:rsidRDefault="002A2C48" w:rsidP="00202A6D">
      <w:r w:rsidRPr="00E61EC7">
        <w:rPr>
          <w:noProof/>
          <w:lang w:val="en-GB" w:eastAsia="en-GB"/>
        </w:rPr>
        <w:drawing>
          <wp:inline distT="0" distB="0" distL="0" distR="0" wp14:anchorId="38AF4725" wp14:editId="7399F130">
            <wp:extent cx="4562114" cy="2734371"/>
            <wp:effectExtent l="0" t="0" r="0" b="8890"/>
            <wp:docPr id="3" name="Picture 3" descr="Figure 7: Studies GR40349 and GR40398 (YOSEMITE and RHINE trials) Personalised treatment interval dosing algorit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7: Studies GR40349 and GR40398 (YOSEMITE and RHINE trials) Personalised treatment interval dosing algorithm"/>
                    <pic:cNvPicPr/>
                  </pic:nvPicPr>
                  <pic:blipFill>
                    <a:blip r:embed="rId38"/>
                    <a:stretch>
                      <a:fillRect/>
                    </a:stretch>
                  </pic:blipFill>
                  <pic:spPr>
                    <a:xfrm>
                      <a:off x="0" y="0"/>
                      <a:ext cx="4566659" cy="2737095"/>
                    </a:xfrm>
                    <a:prstGeom prst="rect">
                      <a:avLst/>
                    </a:prstGeom>
                  </pic:spPr>
                </pic:pic>
              </a:graphicData>
            </a:graphic>
          </wp:inline>
        </w:drawing>
      </w:r>
    </w:p>
    <w:p w14:paraId="2B8980DB" w14:textId="4087E198" w:rsidR="00A47751" w:rsidRPr="00E61EC7" w:rsidRDefault="002A2C48" w:rsidP="00202A6D">
      <w:pPr>
        <w:pStyle w:val="FigureDescription"/>
      </w:pPr>
      <w:r w:rsidRPr="00E61EC7">
        <w:t>Abbreviations: BCVA = best corrected visual acuity; CST = central subfield thickness.</w:t>
      </w:r>
    </w:p>
    <w:p w14:paraId="740B471C" w14:textId="69F695A4" w:rsidR="00A47751" w:rsidRPr="00E61EC7" w:rsidRDefault="002A2C48" w:rsidP="00202A6D">
      <w:pPr>
        <w:pStyle w:val="FigureDescription"/>
      </w:pPr>
      <w:r w:rsidRPr="00E61EC7">
        <w:t>* Reference CST: the CST value when initial CST threshold criteria are met. Reference CST was adjusted if CST decreased by &gt; 10% from the previous reference CST for two consecutive study drug dosing visits and the values obtained were within 30 µm. The CST value obtained at the latter visit served as the new reference CST, starting immediately at that visit.</w:t>
      </w:r>
    </w:p>
    <w:p w14:paraId="69A5F7BF" w14:textId="53261BA6" w:rsidR="00A47751" w:rsidRPr="00E61EC7" w:rsidRDefault="002A2C48" w:rsidP="00202A6D">
      <w:pPr>
        <w:pStyle w:val="FigureDescription"/>
      </w:pPr>
      <w:r w:rsidRPr="00E61EC7">
        <w:t>** Reference BCVA: the mean of the three best BCVA scores obtained at any prior study drug dosing visit.</w:t>
      </w:r>
    </w:p>
    <w:p w14:paraId="0EDA9888" w14:textId="77777777" w:rsidR="00211011" w:rsidRPr="00E61EC7" w:rsidRDefault="002A2C48" w:rsidP="00D74772">
      <w:pPr>
        <w:pStyle w:val="Heading6"/>
        <w:rPr>
          <w:lang w:eastAsia="ja-JP"/>
        </w:rPr>
      </w:pPr>
      <w:r w:rsidRPr="00E61EC7">
        <w:rPr>
          <w:lang w:eastAsia="ja-JP"/>
        </w:rPr>
        <w:t>Randomisation</w:t>
      </w:r>
    </w:p>
    <w:p w14:paraId="21B6112F" w14:textId="77777777" w:rsidR="00CE2C72" w:rsidRPr="00E61EC7" w:rsidRDefault="002A2C48" w:rsidP="00211011">
      <w:r w:rsidRPr="00E61EC7">
        <w:t>Randomisation was stratified by:</w:t>
      </w:r>
    </w:p>
    <w:p w14:paraId="3B90AEC8" w14:textId="61E36C74" w:rsidR="00CE2C72" w:rsidRPr="00E61EC7" w:rsidRDefault="002A2C48" w:rsidP="00CE2C72">
      <w:pPr>
        <w:pStyle w:val="ListBullet"/>
      </w:pPr>
      <w:r w:rsidRPr="00E61EC7">
        <w:t>baseline BCVA Early Treatment Diabetic Retinopathy Study (ETDRS) letter score (64</w:t>
      </w:r>
      <w:r w:rsidR="00BA07AB" w:rsidRPr="00E61EC7">
        <w:t> </w:t>
      </w:r>
      <w:r w:rsidRPr="00E61EC7">
        <w:t xml:space="preserve">letters or higher </w:t>
      </w:r>
      <w:r w:rsidR="005B01D2" w:rsidRPr="00E61EC7">
        <w:t>versus</w:t>
      </w:r>
      <w:r w:rsidRPr="00E61EC7">
        <w:t xml:space="preserve"> less than 64 letters</w:t>
      </w:r>
      <w:proofErr w:type="gramStart"/>
      <w:r w:rsidRPr="00E61EC7">
        <w:t>);</w:t>
      </w:r>
      <w:proofErr w:type="gramEnd"/>
    </w:p>
    <w:p w14:paraId="3537D1AA" w14:textId="7375AB99" w:rsidR="000D2994" w:rsidRDefault="002A2C48" w:rsidP="00CE2C72">
      <w:pPr>
        <w:pStyle w:val="ListBullet"/>
      </w:pPr>
      <w:r w:rsidRPr="00E61EC7">
        <w:t xml:space="preserve">prior intravitreal anti-VEGF treatment (yes </w:t>
      </w:r>
      <w:r w:rsidR="005B01D2" w:rsidRPr="00E61EC7">
        <w:t>versus</w:t>
      </w:r>
      <w:r w:rsidRPr="00E61EC7">
        <w:t xml:space="preserve"> no</w:t>
      </w:r>
      <w:proofErr w:type="gramStart"/>
      <w:r w:rsidRPr="00E61EC7">
        <w:t>);</w:t>
      </w:r>
      <w:proofErr w:type="gramEnd"/>
    </w:p>
    <w:p w14:paraId="36A0E7D6" w14:textId="17D082D5" w:rsidR="00042FC8" w:rsidRPr="00E61EC7" w:rsidRDefault="00CE2C72" w:rsidP="00CE2C72">
      <w:pPr>
        <w:pStyle w:val="ListBullet"/>
      </w:pPr>
      <w:r w:rsidRPr="00E61EC7">
        <w:t xml:space="preserve">region </w:t>
      </w:r>
      <w:r w:rsidR="002A2C48" w:rsidRPr="00E61EC7">
        <w:t>(U</w:t>
      </w:r>
      <w:r w:rsidR="007F2B30" w:rsidRPr="00E61EC7">
        <w:t>S</w:t>
      </w:r>
      <w:r w:rsidR="002A2C48" w:rsidRPr="00E61EC7">
        <w:t xml:space="preserve"> and Canada, Asia, and the rest of the world).</w:t>
      </w:r>
    </w:p>
    <w:p w14:paraId="7FB38AA5" w14:textId="3AA9D95F" w:rsidR="00211011" w:rsidRPr="00E61EC7" w:rsidRDefault="002A2C48" w:rsidP="00D74772">
      <w:pPr>
        <w:pStyle w:val="Heading6"/>
      </w:pPr>
      <w:r w:rsidRPr="00E61EC7">
        <w:t>E</w:t>
      </w:r>
      <w:r w:rsidR="00042FC8" w:rsidRPr="00E61EC7">
        <w:t>fficacy objective</w:t>
      </w:r>
      <w:r w:rsidRPr="00E61EC7">
        <w:t>s</w:t>
      </w:r>
    </w:p>
    <w:p w14:paraId="55EACB57" w14:textId="57329ABD" w:rsidR="00042FC8" w:rsidRPr="00E61EC7" w:rsidRDefault="002A2C48" w:rsidP="00211011">
      <w:r w:rsidRPr="00E61EC7">
        <w:t xml:space="preserve">The primary efficacy objective is to evaluate the efficacy of intravitreal injections of the 6 mg dose of </w:t>
      </w:r>
      <w:proofErr w:type="spellStart"/>
      <w:r w:rsidRPr="00E61EC7">
        <w:t>faricimab</w:t>
      </w:r>
      <w:proofErr w:type="spellEnd"/>
      <w:r w:rsidRPr="00E61EC7">
        <w:t xml:space="preserve"> on BCVA outcomes.</w:t>
      </w:r>
    </w:p>
    <w:p w14:paraId="2B87B734" w14:textId="17A4B441" w:rsidR="00042FC8" w:rsidRPr="00E61EC7" w:rsidRDefault="002A2C48" w:rsidP="00CE2C72">
      <w:r w:rsidRPr="00E61EC7">
        <w:t xml:space="preserve">The key secondary efficacy objective is to evaluate the efficacy of </w:t>
      </w:r>
      <w:proofErr w:type="spellStart"/>
      <w:r w:rsidRPr="00E61EC7">
        <w:t>faricimab</w:t>
      </w:r>
      <w:proofErr w:type="spellEnd"/>
      <w:r w:rsidRPr="00E61EC7">
        <w:t xml:space="preserve"> on diabetic retinopathy severity outcomes.</w:t>
      </w:r>
    </w:p>
    <w:p w14:paraId="108BFD44" w14:textId="154386A3" w:rsidR="00042FC8" w:rsidRPr="00E61EC7" w:rsidRDefault="002A2C48" w:rsidP="00D74772">
      <w:pPr>
        <w:pStyle w:val="ListBullet"/>
      </w:pPr>
      <w:r w:rsidRPr="00D74772">
        <w:rPr>
          <w:i/>
        </w:rPr>
        <w:t>Primary efficacy endpoint</w:t>
      </w:r>
      <w:r w:rsidR="00035CEC">
        <w:t>: t</w:t>
      </w:r>
      <w:r w:rsidRPr="00E61EC7">
        <w:t xml:space="preserve">he </w:t>
      </w:r>
      <w:r w:rsidR="00035CEC">
        <w:t>p</w:t>
      </w:r>
      <w:r w:rsidRPr="00E61EC7">
        <w:t xml:space="preserve">rimary efficacy endpoint was the change from </w:t>
      </w:r>
      <w:r w:rsidR="005B01D2" w:rsidRPr="00E61EC7">
        <w:t>Baseline</w:t>
      </w:r>
      <w:r w:rsidRPr="00E61EC7">
        <w:t xml:space="preserve"> in BCVA (as measured on the ETDRS chart at a starting distance of 4 meters) at one year (averaged over Weeks 48, 52, and 56).</w:t>
      </w:r>
    </w:p>
    <w:p w14:paraId="657FD618" w14:textId="00C928CE" w:rsidR="00042FC8" w:rsidRPr="00E61EC7" w:rsidRDefault="002A2C48" w:rsidP="00D74772">
      <w:pPr>
        <w:pStyle w:val="ListBullet"/>
      </w:pPr>
      <w:r w:rsidRPr="0069093B">
        <w:rPr>
          <w:i/>
        </w:rPr>
        <w:t>Key secondary efficacy endpoint</w:t>
      </w:r>
      <w:r w:rsidR="00035CEC">
        <w:t>: the p</w:t>
      </w:r>
      <w:r w:rsidRPr="00E61EC7">
        <w:t xml:space="preserve">roportion of patients with a 2-step diabetic retinopathy severity improvement </w:t>
      </w:r>
      <w:r w:rsidR="007B615A" w:rsidRPr="00E61EC7">
        <w:t xml:space="preserve">or higher </w:t>
      </w:r>
      <w:r w:rsidRPr="00E61EC7">
        <w:t xml:space="preserve">from </w:t>
      </w:r>
      <w:r w:rsidR="005B01D2" w:rsidRPr="00E61EC7">
        <w:t>Baseline</w:t>
      </w:r>
      <w:r w:rsidRPr="00E61EC7">
        <w:t xml:space="preserve"> on the ETDRS Diabetic Retinopathy Severity Scale at Week</w:t>
      </w:r>
      <w:r w:rsidR="007B615A" w:rsidRPr="00E61EC7">
        <w:t> </w:t>
      </w:r>
      <w:r w:rsidRPr="00E61EC7">
        <w:t>52.</w:t>
      </w:r>
    </w:p>
    <w:p w14:paraId="1FB4D4FB" w14:textId="6EA03A5D" w:rsidR="00042FC8" w:rsidRPr="00E61EC7" w:rsidRDefault="002A2C48" w:rsidP="00211011">
      <w:r w:rsidRPr="00E61EC7">
        <w:t xml:space="preserve">For each of the two </w:t>
      </w:r>
      <w:proofErr w:type="spellStart"/>
      <w:r w:rsidRPr="00E61EC7">
        <w:t>faricimab</w:t>
      </w:r>
      <w:proofErr w:type="spellEnd"/>
      <w:r w:rsidRPr="00E61EC7">
        <w:t xml:space="preserve"> arms (</w:t>
      </w:r>
      <w:r w:rsidR="003E5F35" w:rsidRPr="00E61EC7">
        <w:t>every 8 weeks</w:t>
      </w:r>
      <w:r w:rsidRPr="00E61EC7">
        <w:t xml:space="preserve"> and PTI), three hypotheses were tested separately against the active comparator (aflibercept </w:t>
      </w:r>
      <w:r w:rsidR="003E5F35" w:rsidRPr="00E61EC7">
        <w:t>every 8 weeks</w:t>
      </w:r>
      <w:r w:rsidRPr="00E61EC7">
        <w:t xml:space="preserve">) at an overall significance level of 0.0496 using a </w:t>
      </w:r>
      <w:r w:rsidR="00353E17" w:rsidRPr="00E61EC7">
        <w:t>graph-based</w:t>
      </w:r>
      <w:r w:rsidRPr="00E61EC7">
        <w:t xml:space="preserve"> testing procedure to control for the overall type I error rate:</w:t>
      </w:r>
    </w:p>
    <w:p w14:paraId="775B75A0" w14:textId="7B1A0E04" w:rsidR="00042FC8" w:rsidRPr="00E61EC7" w:rsidRDefault="002A2C48" w:rsidP="00211011">
      <w:pPr>
        <w:pStyle w:val="ListBullet"/>
      </w:pPr>
      <w:r w:rsidRPr="00E61EC7">
        <w:lastRenderedPageBreak/>
        <w:t xml:space="preserve">Non-inferiority of </w:t>
      </w:r>
      <w:proofErr w:type="spellStart"/>
      <w:r w:rsidRPr="00E61EC7">
        <w:t>faricimab</w:t>
      </w:r>
      <w:proofErr w:type="spellEnd"/>
      <w:r w:rsidRPr="00E61EC7">
        <w:t xml:space="preserve"> compared with aflibercept </w:t>
      </w:r>
      <w:r w:rsidR="003E5F35" w:rsidRPr="00E61EC7">
        <w:t>every 8 weeks</w:t>
      </w:r>
      <w:r w:rsidRPr="00E61EC7">
        <w:t xml:space="preserve"> in the ITT population with a non-inferiority margin of 4 letters.</w:t>
      </w:r>
    </w:p>
    <w:p w14:paraId="0ABC702B" w14:textId="64792F06" w:rsidR="00042FC8" w:rsidRPr="00E61EC7" w:rsidRDefault="002A2C48" w:rsidP="00211011">
      <w:pPr>
        <w:pStyle w:val="ListBullet"/>
      </w:pPr>
      <w:r w:rsidRPr="00E61EC7">
        <w:t xml:space="preserve">Superiority of </w:t>
      </w:r>
      <w:proofErr w:type="spellStart"/>
      <w:r w:rsidRPr="00E61EC7">
        <w:t>faricimab</w:t>
      </w:r>
      <w:proofErr w:type="spellEnd"/>
      <w:r w:rsidRPr="00E61EC7">
        <w:t xml:space="preserve"> compared with aflibercept </w:t>
      </w:r>
      <w:r w:rsidR="003E5F35" w:rsidRPr="00E61EC7">
        <w:t>every 8 weeks</w:t>
      </w:r>
      <w:r w:rsidRPr="00E61EC7">
        <w:t xml:space="preserve"> in the </w:t>
      </w:r>
      <w:r w:rsidR="00353E17" w:rsidRPr="00E61EC7">
        <w:t>treatment</w:t>
      </w:r>
      <w:r w:rsidR="00353E17" w:rsidRPr="00E61EC7">
        <w:noBreakHyphen/>
        <w:t>naïve</w:t>
      </w:r>
      <w:r w:rsidRPr="00E61EC7">
        <w:t xml:space="preserve"> population.</w:t>
      </w:r>
    </w:p>
    <w:p w14:paraId="7A27CA9B" w14:textId="6DACEF59" w:rsidR="00042FC8" w:rsidRPr="00E61EC7" w:rsidRDefault="002A2C48" w:rsidP="00211011">
      <w:pPr>
        <w:pStyle w:val="ListBullet"/>
      </w:pPr>
      <w:r w:rsidRPr="00E61EC7">
        <w:t xml:space="preserve">Superiority of </w:t>
      </w:r>
      <w:proofErr w:type="spellStart"/>
      <w:r w:rsidRPr="00E61EC7">
        <w:t>faricimab</w:t>
      </w:r>
      <w:proofErr w:type="spellEnd"/>
      <w:r w:rsidRPr="00E61EC7">
        <w:t xml:space="preserve"> compared with aflibercept </w:t>
      </w:r>
      <w:r w:rsidR="003E5F35" w:rsidRPr="00E61EC7">
        <w:t>every 8 weeks</w:t>
      </w:r>
      <w:r w:rsidRPr="00E61EC7">
        <w:t xml:space="preserve"> in the ITT population.</w:t>
      </w:r>
    </w:p>
    <w:p w14:paraId="385DF45E" w14:textId="77777777" w:rsidR="00211011" w:rsidRPr="00E61EC7" w:rsidRDefault="002A2C48" w:rsidP="0069093B">
      <w:pPr>
        <w:pStyle w:val="Heading6"/>
      </w:pPr>
      <w:r w:rsidRPr="00E61EC7">
        <w:t>Baseline characteristics</w:t>
      </w:r>
    </w:p>
    <w:p w14:paraId="49C17533" w14:textId="5EEFB9AA" w:rsidR="00353E17" w:rsidRPr="00E61EC7" w:rsidRDefault="002A2C48" w:rsidP="00353E17">
      <w:r w:rsidRPr="00E61EC7">
        <w:t>In</w:t>
      </w:r>
      <w:r w:rsidR="007B615A" w:rsidRPr="00E61EC7">
        <w:t xml:space="preserve"> the</w:t>
      </w:r>
      <w:r w:rsidRPr="00E61EC7">
        <w:t xml:space="preserve"> YOSEMITE and RHINE</w:t>
      </w:r>
      <w:r w:rsidR="007B615A" w:rsidRPr="00E61EC7">
        <w:t xml:space="preserve"> trials</w:t>
      </w:r>
      <w:r w:rsidRPr="00E61EC7">
        <w:t xml:space="preserve">, patient demographics were comparable across treatment arms in the ITT and treatment-naïve populations (see </w:t>
      </w:r>
      <w:r w:rsidRPr="00E61EC7">
        <w:fldChar w:fldCharType="begin"/>
      </w:r>
      <w:r w:rsidRPr="00E61EC7">
        <w:instrText xml:space="preserve"> REF _Ref118310081 \h </w:instrText>
      </w:r>
      <w:r w:rsidR="00E0115A" w:rsidRPr="00E61EC7">
        <w:instrText xml:space="preserve"> \* MERGEFORMAT </w:instrText>
      </w:r>
      <w:r w:rsidRPr="00E61EC7">
        <w:fldChar w:fldCharType="separate"/>
      </w:r>
      <w:r w:rsidR="001E25B5" w:rsidRPr="00E61EC7">
        <w:t xml:space="preserve">Table </w:t>
      </w:r>
      <w:r w:rsidR="001E25B5">
        <w:rPr>
          <w:noProof/>
        </w:rPr>
        <w:t>11</w:t>
      </w:r>
      <w:r w:rsidRPr="00E61EC7">
        <w:fldChar w:fldCharType="end"/>
      </w:r>
      <w:r w:rsidRPr="00E61EC7">
        <w:t xml:space="preserve"> below). </w:t>
      </w:r>
      <w:proofErr w:type="gramStart"/>
      <w:r w:rsidRPr="00E61EC7">
        <w:t>The majority of</w:t>
      </w:r>
      <w:proofErr w:type="gramEnd"/>
      <w:r w:rsidRPr="00E61EC7">
        <w:t xml:space="preserve"> patients in the </w:t>
      </w:r>
      <w:proofErr w:type="spellStart"/>
      <w:r w:rsidRPr="00E61EC7">
        <w:t>faricimab</w:t>
      </w:r>
      <w:proofErr w:type="spellEnd"/>
      <w:r w:rsidRPr="00E61EC7">
        <w:t xml:space="preserve"> </w:t>
      </w:r>
      <w:r w:rsidR="003E5F35" w:rsidRPr="00E61EC7">
        <w:t>every 8 weeks</w:t>
      </w:r>
      <w:r w:rsidRPr="00E61EC7">
        <w:t xml:space="preserve">, </w:t>
      </w:r>
      <w:proofErr w:type="spellStart"/>
      <w:r w:rsidRPr="00E61EC7">
        <w:t>faricimab</w:t>
      </w:r>
      <w:proofErr w:type="spellEnd"/>
      <w:r w:rsidRPr="00E61EC7">
        <w:t xml:space="preserve"> PTI, and aflibercept arms were male (60.3%, 62.7%, and 58.1%), less than 65 years of age (57.6%, 55.7%, and 57.9%), White (77.7%, 77.4%, and 80.7%).</w:t>
      </w:r>
    </w:p>
    <w:p w14:paraId="639483DC" w14:textId="5C63D3E5" w:rsidR="00042FC8" w:rsidRPr="00E61EC7" w:rsidRDefault="002A2C48" w:rsidP="00211011">
      <w:r w:rsidRPr="00E61EC7">
        <w:t xml:space="preserve">The ocular baseline characteristics were generally comparable across arms (see </w:t>
      </w:r>
      <w:r w:rsidRPr="00E61EC7">
        <w:fldChar w:fldCharType="begin"/>
      </w:r>
      <w:r w:rsidRPr="00E61EC7">
        <w:instrText xml:space="preserve"> REF _Ref118310350 \h </w:instrText>
      </w:r>
      <w:r w:rsidR="00E0115A" w:rsidRPr="00E61EC7">
        <w:instrText xml:space="preserve"> \* MERGEFORMAT </w:instrText>
      </w:r>
      <w:r w:rsidRPr="00E61EC7">
        <w:fldChar w:fldCharType="separate"/>
      </w:r>
      <w:r w:rsidR="001E25B5" w:rsidRPr="00E61EC7">
        <w:t xml:space="preserve">Table </w:t>
      </w:r>
      <w:r w:rsidR="001E25B5">
        <w:rPr>
          <w:noProof/>
        </w:rPr>
        <w:t>12</w:t>
      </w:r>
      <w:r w:rsidRPr="00E61EC7">
        <w:fldChar w:fldCharType="end"/>
      </w:r>
      <w:r w:rsidRPr="00E61EC7">
        <w:t xml:space="preserve"> below). approximately 78% in both studies were anti-VEGF treatment-naïve in the study eye.</w:t>
      </w:r>
    </w:p>
    <w:p w14:paraId="75E01905" w14:textId="2B4E1CEC" w:rsidR="00353E17" w:rsidRPr="00E61EC7" w:rsidRDefault="002A2C48" w:rsidP="00202A6D">
      <w:pPr>
        <w:pStyle w:val="TableTitle"/>
      </w:pPr>
      <w:bookmarkStart w:id="77" w:name="_Ref118310081"/>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11</w:t>
      </w:r>
      <w:r w:rsidR="00C22604" w:rsidRPr="00E61EC7">
        <w:rPr>
          <w:noProof/>
        </w:rPr>
        <w:fldChar w:fldCharType="end"/>
      </w:r>
      <w:bookmarkEnd w:id="77"/>
      <w:r w:rsidRPr="00E61EC7">
        <w:t xml:space="preserve">: Studies GR40349 </w:t>
      </w:r>
      <w:r w:rsidR="00035CEC">
        <w:t xml:space="preserve">and GR40398 </w:t>
      </w:r>
      <w:r w:rsidRPr="00E61EC7">
        <w:t xml:space="preserve">(YOSEMITE </w:t>
      </w:r>
      <w:r w:rsidR="00035CEC">
        <w:t xml:space="preserve">and RHINE </w:t>
      </w:r>
      <w:r w:rsidRPr="00E61EC7">
        <w:t>trial</w:t>
      </w:r>
      <w:r w:rsidR="00035CEC">
        <w:t>s</w:t>
      </w:r>
      <w:r w:rsidRPr="00E61EC7">
        <w:t xml:space="preserve">) Baseline demographics </w:t>
      </w:r>
      <w:r w:rsidR="00394C86" w:rsidRPr="00E61EC7">
        <w:t xml:space="preserve">of patients in individual and pooled Phase III </w:t>
      </w:r>
      <w:r w:rsidR="001973AC" w:rsidRPr="00E61EC7">
        <w:t xml:space="preserve">diabetic macular oedema studies </w:t>
      </w:r>
      <w:r w:rsidRPr="00E61EC7">
        <w:t>(intent</w:t>
      </w:r>
      <w:r w:rsidR="00394C86" w:rsidRPr="00E61EC7">
        <w:noBreakHyphen/>
      </w:r>
      <w:r w:rsidRPr="00E61EC7">
        <w:t>to</w:t>
      </w:r>
      <w:r w:rsidR="00394C86" w:rsidRPr="00E61EC7">
        <w:noBreakHyphen/>
      </w:r>
      <w:r w:rsidRPr="00E61EC7">
        <w:t>treat population)</w:t>
      </w:r>
    </w:p>
    <w:p w14:paraId="4625B19F" w14:textId="301E88D0" w:rsidR="00394C86" w:rsidRPr="00E61EC7" w:rsidRDefault="002A2C48" w:rsidP="009136ED">
      <w:r w:rsidRPr="00E61EC7">
        <w:rPr>
          <w:noProof/>
          <w:lang w:val="en-GB" w:eastAsia="en-GB"/>
        </w:rPr>
        <w:drawing>
          <wp:inline distT="0" distB="0" distL="0" distR="0" wp14:anchorId="09EB7894" wp14:editId="6F88E212">
            <wp:extent cx="5495026" cy="3495438"/>
            <wp:effectExtent l="0" t="0" r="0" b="0"/>
            <wp:docPr id="31" name="Picture 31" descr="Table 11: Studies GR40349 and GR40398 (YOSEMITE and RHINE trials) Baseline demographics of patients in individual and pooled Phase III diabetic macular oedema studies (intent to 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 11: Studies GR40349 and GR40398 (YOSEMITE and RHINE trials) Baseline demographics of patients in individual and pooled Phase III diabetic macular oedema studies (intent to treat population)"/>
                    <pic:cNvPicPr/>
                  </pic:nvPicPr>
                  <pic:blipFill>
                    <a:blip r:embed="rId39"/>
                    <a:stretch>
                      <a:fillRect/>
                    </a:stretch>
                  </pic:blipFill>
                  <pic:spPr>
                    <a:xfrm>
                      <a:off x="0" y="0"/>
                      <a:ext cx="5520174" cy="3511435"/>
                    </a:xfrm>
                    <a:prstGeom prst="rect">
                      <a:avLst/>
                    </a:prstGeom>
                  </pic:spPr>
                </pic:pic>
              </a:graphicData>
            </a:graphic>
          </wp:inline>
        </w:drawing>
      </w:r>
    </w:p>
    <w:p w14:paraId="02B3D859" w14:textId="4656C330" w:rsidR="001973AC" w:rsidRPr="00E61EC7" w:rsidRDefault="002A2C48" w:rsidP="00202A6D">
      <w:pPr>
        <w:pStyle w:val="TableDescription"/>
      </w:pPr>
      <w:r w:rsidRPr="00E61EC7">
        <w:t>Abbreviations: Max = maximum; Min = minimum; N = number of subjects; n = number of subjects in group; PTI = personalised treatment interval; Q8W = every 8 weeks; SD = standard deviation.</w:t>
      </w:r>
    </w:p>
    <w:p w14:paraId="35DDF429" w14:textId="109453F0" w:rsidR="001973AC" w:rsidRPr="00E61EC7" w:rsidRDefault="002A2C48" w:rsidP="00202A6D">
      <w:pPr>
        <w:pStyle w:val="TableDescription"/>
      </w:pPr>
      <w:r w:rsidRPr="00E61EC7">
        <w:t>Personalised treatment interval is from every 4 weeks up to every 16 weeks.</w:t>
      </w:r>
    </w:p>
    <w:p w14:paraId="24E73DB9" w14:textId="684B152B" w:rsidR="00035CEC" w:rsidRPr="00E61EC7" w:rsidRDefault="002A2C48" w:rsidP="00202A6D">
      <w:pPr>
        <w:pStyle w:val="TableDescription"/>
      </w:pPr>
      <w:r w:rsidRPr="00E61EC7">
        <w:t>Age is at randomisation.</w:t>
      </w:r>
    </w:p>
    <w:p w14:paraId="564243B6" w14:textId="5E2F241E" w:rsidR="00353E17" w:rsidRPr="00E61EC7" w:rsidRDefault="002A2C48" w:rsidP="00202A6D">
      <w:pPr>
        <w:pStyle w:val="TableTitle"/>
      </w:pPr>
      <w:bookmarkStart w:id="78" w:name="_Ref118310350"/>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12</w:t>
      </w:r>
      <w:r w:rsidR="00C22604" w:rsidRPr="00E61EC7">
        <w:rPr>
          <w:noProof/>
        </w:rPr>
        <w:fldChar w:fldCharType="end"/>
      </w:r>
      <w:bookmarkEnd w:id="78"/>
      <w:r w:rsidRPr="00E61EC7">
        <w:t xml:space="preserve">: Studies GR40349 </w:t>
      </w:r>
      <w:r w:rsidR="00035CEC">
        <w:t xml:space="preserve">and GR40398 </w:t>
      </w:r>
      <w:r w:rsidRPr="00E61EC7">
        <w:t>(YOSEMITE</w:t>
      </w:r>
      <w:r w:rsidR="00035CEC">
        <w:t xml:space="preserve"> and RHINE</w:t>
      </w:r>
      <w:r w:rsidRPr="00E61EC7">
        <w:t xml:space="preserve"> trial</w:t>
      </w:r>
      <w:r w:rsidR="00035CEC">
        <w:t>s</w:t>
      </w:r>
      <w:r w:rsidRPr="00E61EC7">
        <w:t xml:space="preserve">) Baseline ocular disease characteristics </w:t>
      </w:r>
      <w:r w:rsidR="001973AC" w:rsidRPr="00E61EC7">
        <w:t>in the study eye from individual and pooled Phase</w:t>
      </w:r>
      <w:r w:rsidR="004A0107" w:rsidRPr="00E61EC7">
        <w:t> </w:t>
      </w:r>
      <w:r w:rsidR="001973AC" w:rsidRPr="00E61EC7">
        <w:t xml:space="preserve">III diabetic macular oedema studies </w:t>
      </w:r>
      <w:r w:rsidRPr="00E61EC7">
        <w:t>(intent</w:t>
      </w:r>
      <w:r w:rsidR="001973AC" w:rsidRPr="00E61EC7">
        <w:noBreakHyphen/>
      </w:r>
      <w:r w:rsidRPr="00E61EC7">
        <w:t>to</w:t>
      </w:r>
      <w:r w:rsidR="001973AC" w:rsidRPr="00E61EC7">
        <w:noBreakHyphen/>
      </w:r>
      <w:r w:rsidRPr="00E61EC7">
        <w:t>treat population)</w:t>
      </w:r>
    </w:p>
    <w:p w14:paraId="14A51209" w14:textId="3C151945" w:rsidR="001973AC" w:rsidRPr="00E61EC7" w:rsidRDefault="002A2C48" w:rsidP="00202A6D">
      <w:r w:rsidRPr="00E61EC7">
        <w:rPr>
          <w:noProof/>
          <w:lang w:val="en-GB" w:eastAsia="en-GB"/>
        </w:rPr>
        <w:drawing>
          <wp:inline distT="0" distB="0" distL="0" distR="0" wp14:anchorId="4E8706D9" wp14:editId="47D0FE5D">
            <wp:extent cx="5400040" cy="5492416"/>
            <wp:effectExtent l="0" t="0" r="0" b="0"/>
            <wp:docPr id="33" name="Picture 33" descr="Table 12: Studies GR40349 and GR40398 (YOSEMITE and RHINE trials) Baseline ocular disease characteristics in the study eye from individual and pooled Phase III diabetic macular oedema studies (intent to 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 12: Studies GR40349 and GR40398 (YOSEMITE and RHINE trials) Baseline ocular disease characteristics in the study eye from individual and pooled Phase III diabetic macular oedema studies (intent to treat population)"/>
                    <pic:cNvPicPr/>
                  </pic:nvPicPr>
                  <pic:blipFill>
                    <a:blip r:embed="rId40"/>
                    <a:stretch>
                      <a:fillRect/>
                    </a:stretch>
                  </pic:blipFill>
                  <pic:spPr>
                    <a:xfrm>
                      <a:off x="0" y="0"/>
                      <a:ext cx="5402939" cy="5495364"/>
                    </a:xfrm>
                    <a:prstGeom prst="rect">
                      <a:avLst/>
                    </a:prstGeom>
                  </pic:spPr>
                </pic:pic>
              </a:graphicData>
            </a:graphic>
          </wp:inline>
        </w:drawing>
      </w:r>
    </w:p>
    <w:p w14:paraId="3D68EC05" w14:textId="0178D206" w:rsidR="00D269A9" w:rsidRPr="00E61EC7" w:rsidRDefault="002A2C48" w:rsidP="00D269A9">
      <w:pPr>
        <w:pStyle w:val="TableDescription"/>
      </w:pPr>
      <w:r w:rsidRPr="00E61EC7">
        <w:t xml:space="preserve">Abbreviations: BCVA = best corrected visual acuity; CRC = Central Reading </w:t>
      </w:r>
      <w:proofErr w:type="spellStart"/>
      <w:r w:rsidRPr="00E61EC7">
        <w:t>Center</w:t>
      </w:r>
      <w:proofErr w:type="spellEnd"/>
      <w:r w:rsidRPr="00E61EC7">
        <w:t>; CST = central subfield thickness; ETDRS = Early Treatment Diabetic Retinopathy Study; ILM = internal limiting membrane; N = number of subjects; n = number of subjects in group; NPDR = non-proliferative diabetic retinopathy; PTI = personalised treatment interval; PDR = proliferative diabetic retinopathy; SD = standard deviation; VEGF = vascular endothelial growth factor.</w:t>
      </w:r>
    </w:p>
    <w:p w14:paraId="6DF1DC51" w14:textId="77777777" w:rsidR="004A0107" w:rsidRPr="00E61EC7" w:rsidRDefault="002A2C48" w:rsidP="00202A6D">
      <w:pPr>
        <w:pStyle w:val="TableDescription"/>
      </w:pPr>
      <w:r w:rsidRPr="00E61EC7">
        <w:t>Personalised treatment interval is from every 4 weeks up to every 16 weeks.</w:t>
      </w:r>
    </w:p>
    <w:p w14:paraId="79FD8592" w14:textId="625B86BC" w:rsidR="00353E17" w:rsidRPr="00E61EC7" w:rsidRDefault="002A2C48" w:rsidP="00202A6D">
      <w:pPr>
        <w:pStyle w:val="TableDescription"/>
      </w:pPr>
      <w:r w:rsidRPr="00E61EC7">
        <w:t>Baseline is the last available value taken on or prior to randomi</w:t>
      </w:r>
      <w:r w:rsidR="002843D5" w:rsidRPr="00E61EC7">
        <w:t>s</w:t>
      </w:r>
      <w:r w:rsidRPr="00E61EC7">
        <w:t>ation. Invalid BCVA values are excluded from analysis. CST is defined as the distance between ILM and Bruch's membrane as assessed by the CRC.</w:t>
      </w:r>
    </w:p>
    <w:p w14:paraId="5954D071" w14:textId="2F669F97" w:rsidR="00042FC8" w:rsidRPr="00E61EC7" w:rsidRDefault="002A2C48" w:rsidP="00211011">
      <w:r w:rsidRPr="00E61EC7">
        <w:t>In the pooled ITT population (YOSEMITE</w:t>
      </w:r>
      <w:r w:rsidR="00E25A41" w:rsidRPr="00E61EC7">
        <w:t xml:space="preserve"> plus </w:t>
      </w:r>
      <w:r w:rsidRPr="00E61EC7">
        <w:t>RHINE</w:t>
      </w:r>
      <w:r w:rsidR="00E25A41" w:rsidRPr="00E61EC7">
        <w:t xml:space="preserve"> trials</w:t>
      </w:r>
      <w:r w:rsidRPr="00E61EC7">
        <w:t xml:space="preserve">), in the </w:t>
      </w:r>
      <w:proofErr w:type="spellStart"/>
      <w:r w:rsidRPr="00E61EC7">
        <w:t>faricimab</w:t>
      </w:r>
      <w:proofErr w:type="spellEnd"/>
      <w:r w:rsidRPr="00E61EC7">
        <w:t xml:space="preserve"> </w:t>
      </w:r>
      <w:r w:rsidR="003E5F35" w:rsidRPr="00E61EC7">
        <w:t>every 8</w:t>
      </w:r>
      <w:r w:rsidR="00E25A41" w:rsidRPr="00E61EC7">
        <w:t> </w:t>
      </w:r>
      <w:r w:rsidR="003E5F35" w:rsidRPr="00E61EC7">
        <w:t>weeks</w:t>
      </w:r>
      <w:r w:rsidRPr="00E61EC7">
        <w:t xml:space="preserve">, </w:t>
      </w:r>
      <w:proofErr w:type="spellStart"/>
      <w:r w:rsidRPr="00E61EC7">
        <w:t>faricimab</w:t>
      </w:r>
      <w:proofErr w:type="spellEnd"/>
      <w:r w:rsidRPr="00E61EC7">
        <w:t xml:space="preserve"> PTI, and aflibercept arms, respectively: mean BCVA values were 61.9, 62.2, and 62.1 letters; mean baseline CST values were 479.2, 478.5, and 480.9 µm; mean (</w:t>
      </w:r>
      <w:r w:rsidR="001654B4" w:rsidRPr="00E61EC7">
        <w:t>standard deviation</w:t>
      </w:r>
      <w:r w:rsidRPr="00E61EC7">
        <w:t xml:space="preserve">) time since </w:t>
      </w:r>
      <w:r w:rsidR="0039584C" w:rsidRPr="00E61EC7">
        <w:t>DMO</w:t>
      </w:r>
      <w:r w:rsidRPr="00E61EC7">
        <w:t xml:space="preserve"> diagnosis was 16.3 (27.4), 19.1 (34.7), and 18.9 (32.5) months.</w:t>
      </w:r>
    </w:p>
    <w:p w14:paraId="25CD633B" w14:textId="58320F6E" w:rsidR="00042FC8" w:rsidRPr="00E61EC7" w:rsidRDefault="002A2C48" w:rsidP="00211011">
      <w:r w:rsidRPr="00E61EC7">
        <w:lastRenderedPageBreak/>
        <w:t xml:space="preserve">In the pooled </w:t>
      </w:r>
      <w:r w:rsidR="00E25A41" w:rsidRPr="00E61EC7">
        <w:t>treatment-naïve</w:t>
      </w:r>
      <w:r w:rsidRPr="00E61EC7">
        <w:t xml:space="preserve"> population (YOSEMITE</w:t>
      </w:r>
      <w:r w:rsidR="00E25A41" w:rsidRPr="00E61EC7">
        <w:t xml:space="preserve"> plus </w:t>
      </w:r>
      <w:r w:rsidRPr="00E61EC7">
        <w:t>RHINE</w:t>
      </w:r>
      <w:r w:rsidR="00E25A41" w:rsidRPr="00E61EC7">
        <w:t xml:space="preserve"> trials</w:t>
      </w:r>
      <w:r w:rsidRPr="00E61EC7">
        <w:t>), the mean (</w:t>
      </w:r>
      <w:r w:rsidR="001654B4" w:rsidRPr="00E61EC7">
        <w:t>standard deviation</w:t>
      </w:r>
      <w:r w:rsidRPr="00E61EC7">
        <w:t xml:space="preserve">) time since </w:t>
      </w:r>
      <w:r w:rsidR="0039584C" w:rsidRPr="00E61EC7">
        <w:t>DMO</w:t>
      </w:r>
      <w:r w:rsidRPr="00E61EC7">
        <w:t xml:space="preserve"> diagnosis was 10.8 (24.1), 15.2 (34.3), and 12.1 (28.4) months.</w:t>
      </w:r>
    </w:p>
    <w:p w14:paraId="5364A2A7" w14:textId="77777777" w:rsidR="00042FC8" w:rsidRPr="00E61EC7" w:rsidRDefault="002A2C48" w:rsidP="00211011">
      <w:pPr>
        <w:pStyle w:val="Heading6"/>
      </w:pPr>
      <w:r w:rsidRPr="00E61EC7">
        <w:t>Magnitude of the treatment effect and its clinical significance</w:t>
      </w:r>
    </w:p>
    <w:p w14:paraId="5C1F7F69" w14:textId="7E95B705" w:rsidR="00211011" w:rsidRPr="00E61EC7" w:rsidRDefault="002A2C48" w:rsidP="00211011">
      <w:pPr>
        <w:pStyle w:val="Heading7"/>
        <w:rPr>
          <w:sz w:val="22"/>
          <w:szCs w:val="28"/>
        </w:rPr>
      </w:pPr>
      <w:r w:rsidRPr="00E61EC7">
        <w:rPr>
          <w:sz w:val="22"/>
          <w:szCs w:val="28"/>
        </w:rPr>
        <w:t>Study GR40349 (</w:t>
      </w:r>
      <w:r w:rsidR="00042FC8" w:rsidRPr="00E61EC7">
        <w:rPr>
          <w:sz w:val="22"/>
          <w:szCs w:val="28"/>
        </w:rPr>
        <w:t>YOSEMITE</w:t>
      </w:r>
      <w:r w:rsidRPr="00E61EC7">
        <w:rPr>
          <w:sz w:val="22"/>
          <w:szCs w:val="28"/>
        </w:rPr>
        <w:t xml:space="preserve"> trial at </w:t>
      </w:r>
      <w:r w:rsidR="00042FC8" w:rsidRPr="00E61EC7">
        <w:rPr>
          <w:sz w:val="22"/>
          <w:szCs w:val="28"/>
        </w:rPr>
        <w:t>Week</w:t>
      </w:r>
      <w:r w:rsidRPr="00E61EC7">
        <w:rPr>
          <w:sz w:val="22"/>
          <w:szCs w:val="28"/>
        </w:rPr>
        <w:t>s</w:t>
      </w:r>
      <w:r w:rsidR="00042FC8" w:rsidRPr="00E61EC7">
        <w:rPr>
          <w:sz w:val="22"/>
          <w:szCs w:val="28"/>
        </w:rPr>
        <w:t xml:space="preserve"> 48</w:t>
      </w:r>
      <w:r w:rsidRPr="00E61EC7">
        <w:rPr>
          <w:sz w:val="22"/>
          <w:szCs w:val="28"/>
        </w:rPr>
        <w:t xml:space="preserve">, </w:t>
      </w:r>
      <w:r w:rsidR="00042FC8" w:rsidRPr="00E61EC7">
        <w:rPr>
          <w:sz w:val="22"/>
          <w:szCs w:val="28"/>
        </w:rPr>
        <w:t>52</w:t>
      </w:r>
      <w:r w:rsidRPr="00E61EC7">
        <w:rPr>
          <w:sz w:val="22"/>
          <w:szCs w:val="28"/>
        </w:rPr>
        <w:t xml:space="preserve"> and </w:t>
      </w:r>
      <w:r w:rsidR="00042FC8" w:rsidRPr="00E61EC7">
        <w:rPr>
          <w:sz w:val="22"/>
          <w:szCs w:val="28"/>
        </w:rPr>
        <w:t>56</w:t>
      </w:r>
      <w:r w:rsidRPr="00E61EC7">
        <w:rPr>
          <w:sz w:val="22"/>
          <w:szCs w:val="28"/>
        </w:rPr>
        <w:t>)</w:t>
      </w:r>
    </w:p>
    <w:p w14:paraId="56C0C0CD" w14:textId="7FA03A4C" w:rsidR="00042FC8" w:rsidRPr="00E61EC7" w:rsidRDefault="002A2C48" w:rsidP="00211011">
      <w:r w:rsidRPr="00E61EC7">
        <w:t xml:space="preserve">For the ITT population, the adjusted mean change from </w:t>
      </w:r>
      <w:r w:rsidR="005B01D2" w:rsidRPr="00E61EC7">
        <w:t>Baseline</w:t>
      </w:r>
      <w:r w:rsidRPr="00E61EC7">
        <w:t xml:space="preserve"> in BCVA was 10.7, 11.6, and 10.9 letters in the </w:t>
      </w:r>
      <w:proofErr w:type="spellStart"/>
      <w:r w:rsidRPr="00E61EC7">
        <w:t>faricimab</w:t>
      </w:r>
      <w:proofErr w:type="spellEnd"/>
      <w:r w:rsidRPr="00E61EC7">
        <w:t xml:space="preserve"> </w:t>
      </w:r>
      <w:r w:rsidR="003E5F35" w:rsidRPr="00E61EC7">
        <w:t>every 8 weeks</w:t>
      </w:r>
      <w:r w:rsidRPr="00E61EC7">
        <w:t xml:space="preserve">, </w:t>
      </w:r>
      <w:proofErr w:type="spellStart"/>
      <w:r w:rsidRPr="00E61EC7">
        <w:t>faricimab</w:t>
      </w:r>
      <w:proofErr w:type="spellEnd"/>
      <w:r w:rsidRPr="00E61EC7">
        <w:t xml:space="preserve"> PTI, and aflibercept </w:t>
      </w:r>
      <w:r w:rsidR="003E5F35" w:rsidRPr="00E61EC7">
        <w:t>every 8</w:t>
      </w:r>
      <w:r w:rsidR="00E25A41" w:rsidRPr="00E61EC7">
        <w:t> </w:t>
      </w:r>
      <w:r w:rsidR="003E5F35" w:rsidRPr="00E61EC7">
        <w:t>weeks</w:t>
      </w:r>
      <w:r w:rsidRPr="00E61EC7">
        <w:t xml:space="preserve"> arms, respectively. The difference in adjusted mean change from </w:t>
      </w:r>
      <w:r w:rsidR="005B01D2" w:rsidRPr="00E61EC7">
        <w:t>Baseline</w:t>
      </w:r>
      <w:r w:rsidRPr="00E61EC7">
        <w:t xml:space="preserve"> in BCVA between the </w:t>
      </w:r>
      <w:proofErr w:type="spellStart"/>
      <w:r w:rsidRPr="00E61EC7">
        <w:t>faricimab</w:t>
      </w:r>
      <w:proofErr w:type="spellEnd"/>
      <w:r w:rsidRPr="00E61EC7">
        <w:t xml:space="preserve"> </w:t>
      </w:r>
      <w:r w:rsidR="003E5F35" w:rsidRPr="00E61EC7">
        <w:t>every 8 weeks</w:t>
      </w:r>
      <w:r w:rsidRPr="00E61EC7">
        <w:t xml:space="preserve"> and </w:t>
      </w:r>
      <w:proofErr w:type="spellStart"/>
      <w:r w:rsidRPr="00E61EC7">
        <w:t>faricimab</w:t>
      </w:r>
      <w:proofErr w:type="spellEnd"/>
      <w:r w:rsidRPr="00E61EC7">
        <w:t xml:space="preserve"> PTI arms when compared with the aflibercept </w:t>
      </w:r>
      <w:r w:rsidR="003E5F35" w:rsidRPr="00E61EC7">
        <w:t>every 8 weeks</w:t>
      </w:r>
      <w:r w:rsidRPr="00E61EC7">
        <w:t xml:space="preserve"> arm was -0.2 letters (97.5% CI: -2.0, 1.6) and 0.7 letters (97.5% CI: -1.1, 2.5), respectively</w:t>
      </w:r>
      <w:r w:rsidR="00E25A41" w:rsidRPr="00E61EC7">
        <w:rPr>
          <w:szCs w:val="28"/>
        </w:rPr>
        <w:t xml:space="preserve"> (see </w:t>
      </w:r>
      <w:r w:rsidR="00E25A41" w:rsidRPr="00E61EC7">
        <w:rPr>
          <w:szCs w:val="28"/>
        </w:rPr>
        <w:fldChar w:fldCharType="begin"/>
      </w:r>
      <w:r w:rsidR="00E25A41" w:rsidRPr="00E61EC7">
        <w:rPr>
          <w:szCs w:val="28"/>
        </w:rPr>
        <w:instrText xml:space="preserve"> REF _Ref102565347 \h  \* MERGEFORMAT </w:instrText>
      </w:r>
      <w:r w:rsidR="00E25A41" w:rsidRPr="00E61EC7">
        <w:rPr>
          <w:szCs w:val="28"/>
        </w:rPr>
      </w:r>
      <w:r w:rsidR="00E25A41" w:rsidRPr="00E61EC7">
        <w:rPr>
          <w:szCs w:val="28"/>
        </w:rPr>
        <w:fldChar w:fldCharType="separate"/>
      </w:r>
      <w:r w:rsidR="001E25B5" w:rsidRPr="001E25B5">
        <w:rPr>
          <w:szCs w:val="28"/>
        </w:rPr>
        <w:t>Table 13</w:t>
      </w:r>
      <w:r w:rsidR="00E25A41" w:rsidRPr="00E61EC7">
        <w:rPr>
          <w:szCs w:val="28"/>
        </w:rPr>
        <w:fldChar w:fldCharType="end"/>
      </w:r>
      <w:r w:rsidR="00E25A41" w:rsidRPr="00E61EC7">
        <w:rPr>
          <w:szCs w:val="28"/>
        </w:rPr>
        <w:t xml:space="preserve"> below).</w:t>
      </w:r>
    </w:p>
    <w:p w14:paraId="3BB15409" w14:textId="130A7A08" w:rsidR="00042FC8" w:rsidRPr="00E61EC7" w:rsidRDefault="002A2C48" w:rsidP="00211011">
      <w:r w:rsidRPr="00E61EC7">
        <w:t xml:space="preserve">For the </w:t>
      </w:r>
      <w:r w:rsidR="00E25A41" w:rsidRPr="00E61EC7">
        <w:t>treatment-naïve</w:t>
      </w:r>
      <w:r w:rsidRPr="00E61EC7">
        <w:t xml:space="preserve"> population, the difference in adjusted mean change from </w:t>
      </w:r>
      <w:r w:rsidR="005B01D2" w:rsidRPr="00E61EC7">
        <w:t>Baseline</w:t>
      </w:r>
      <w:r w:rsidRPr="00E61EC7">
        <w:t xml:space="preserve"> in BCVA between the </w:t>
      </w:r>
      <w:proofErr w:type="spellStart"/>
      <w:r w:rsidRPr="00E61EC7">
        <w:t>faricimab</w:t>
      </w:r>
      <w:proofErr w:type="spellEnd"/>
      <w:r w:rsidRPr="00E61EC7">
        <w:t xml:space="preserve"> </w:t>
      </w:r>
      <w:r w:rsidR="003E5F35" w:rsidRPr="00E61EC7">
        <w:t>every 8 weeks</w:t>
      </w:r>
      <w:r w:rsidRPr="00E61EC7">
        <w:t xml:space="preserve"> and </w:t>
      </w:r>
      <w:proofErr w:type="spellStart"/>
      <w:r w:rsidRPr="00E61EC7">
        <w:t>faricimab</w:t>
      </w:r>
      <w:proofErr w:type="spellEnd"/>
      <w:r w:rsidRPr="00E61EC7">
        <w:t xml:space="preserve"> PTI arms when compared with the aflibercept </w:t>
      </w:r>
      <w:r w:rsidR="003E5F35" w:rsidRPr="00E61EC7">
        <w:t>every 8 weeks</w:t>
      </w:r>
      <w:r w:rsidRPr="00E61EC7">
        <w:t xml:space="preserve"> arm was -0.7 letters (97.5% CI: -2.8, 1.4) and 0.0 letters (97.5% CI: -2.1, 2.2), respectively</w:t>
      </w:r>
      <w:r w:rsidR="00E25A41" w:rsidRPr="00E61EC7">
        <w:rPr>
          <w:szCs w:val="28"/>
        </w:rPr>
        <w:t xml:space="preserve">(see </w:t>
      </w:r>
      <w:r w:rsidR="00E25A41" w:rsidRPr="00E61EC7">
        <w:rPr>
          <w:szCs w:val="28"/>
        </w:rPr>
        <w:fldChar w:fldCharType="begin"/>
      </w:r>
      <w:r w:rsidR="00E25A41" w:rsidRPr="00E61EC7">
        <w:rPr>
          <w:szCs w:val="28"/>
        </w:rPr>
        <w:instrText xml:space="preserve"> REF _Ref102565347 \h  \* MERGEFORMAT </w:instrText>
      </w:r>
      <w:r w:rsidR="00E25A41" w:rsidRPr="00E61EC7">
        <w:rPr>
          <w:szCs w:val="28"/>
        </w:rPr>
      </w:r>
      <w:r w:rsidR="00E25A41" w:rsidRPr="00E61EC7">
        <w:rPr>
          <w:szCs w:val="28"/>
        </w:rPr>
        <w:fldChar w:fldCharType="separate"/>
      </w:r>
      <w:r w:rsidR="001E25B5" w:rsidRPr="001E25B5">
        <w:rPr>
          <w:szCs w:val="28"/>
        </w:rPr>
        <w:t>Table 13</w:t>
      </w:r>
      <w:r w:rsidR="00E25A41" w:rsidRPr="00E61EC7">
        <w:rPr>
          <w:szCs w:val="28"/>
        </w:rPr>
        <w:fldChar w:fldCharType="end"/>
      </w:r>
      <w:r w:rsidR="00E25A41" w:rsidRPr="00E61EC7">
        <w:rPr>
          <w:szCs w:val="28"/>
        </w:rPr>
        <w:t xml:space="preserve"> below).</w:t>
      </w:r>
    </w:p>
    <w:p w14:paraId="3DFF7C99" w14:textId="4D2129AE" w:rsidR="00211011" w:rsidRPr="00E61EC7" w:rsidRDefault="002A2C48" w:rsidP="00211011">
      <w:pPr>
        <w:pStyle w:val="Heading7"/>
        <w:rPr>
          <w:sz w:val="22"/>
          <w:szCs w:val="28"/>
        </w:rPr>
      </w:pPr>
      <w:r w:rsidRPr="00E61EC7">
        <w:rPr>
          <w:sz w:val="22"/>
          <w:szCs w:val="28"/>
        </w:rPr>
        <w:t>Study GR40349 (</w:t>
      </w:r>
      <w:r w:rsidR="00042FC8" w:rsidRPr="00E61EC7">
        <w:rPr>
          <w:sz w:val="22"/>
          <w:szCs w:val="28"/>
        </w:rPr>
        <w:t>YOSEMITE</w:t>
      </w:r>
      <w:r w:rsidRPr="00E61EC7">
        <w:rPr>
          <w:sz w:val="22"/>
          <w:szCs w:val="28"/>
        </w:rPr>
        <w:t xml:space="preserve"> trial at</w:t>
      </w:r>
      <w:r w:rsidR="00042FC8" w:rsidRPr="00E61EC7">
        <w:rPr>
          <w:sz w:val="22"/>
          <w:szCs w:val="28"/>
        </w:rPr>
        <w:t xml:space="preserve"> Week</w:t>
      </w:r>
      <w:r w:rsidRPr="00E61EC7">
        <w:rPr>
          <w:sz w:val="22"/>
          <w:szCs w:val="28"/>
        </w:rPr>
        <w:t>s</w:t>
      </w:r>
      <w:r w:rsidR="00042FC8" w:rsidRPr="00E61EC7">
        <w:rPr>
          <w:sz w:val="22"/>
          <w:szCs w:val="28"/>
        </w:rPr>
        <w:t xml:space="preserve"> 92</w:t>
      </w:r>
      <w:r w:rsidRPr="00E61EC7">
        <w:rPr>
          <w:sz w:val="22"/>
          <w:szCs w:val="28"/>
        </w:rPr>
        <w:t xml:space="preserve">, </w:t>
      </w:r>
      <w:r w:rsidR="00042FC8" w:rsidRPr="00E61EC7">
        <w:rPr>
          <w:sz w:val="22"/>
          <w:szCs w:val="28"/>
        </w:rPr>
        <w:t>96</w:t>
      </w:r>
      <w:r w:rsidRPr="00E61EC7">
        <w:rPr>
          <w:sz w:val="22"/>
          <w:szCs w:val="28"/>
        </w:rPr>
        <w:t xml:space="preserve"> and </w:t>
      </w:r>
      <w:r w:rsidR="00042FC8" w:rsidRPr="00E61EC7">
        <w:rPr>
          <w:sz w:val="22"/>
          <w:szCs w:val="28"/>
        </w:rPr>
        <w:t>100</w:t>
      </w:r>
      <w:r w:rsidRPr="00E61EC7">
        <w:rPr>
          <w:sz w:val="22"/>
          <w:szCs w:val="28"/>
        </w:rPr>
        <w:t>)</w:t>
      </w:r>
    </w:p>
    <w:p w14:paraId="1CF1B5C3" w14:textId="45FD2016" w:rsidR="00042FC8" w:rsidRPr="00E61EC7" w:rsidRDefault="002A2C48" w:rsidP="00211011">
      <w:r w:rsidRPr="00E61EC7">
        <w:t xml:space="preserve">For the ITT population, the adjusted mean change from </w:t>
      </w:r>
      <w:r w:rsidR="005B01D2" w:rsidRPr="00E61EC7">
        <w:t>Baseline</w:t>
      </w:r>
      <w:r w:rsidRPr="00E61EC7">
        <w:t xml:space="preserve"> in BCVA was 10.7, 10.7, and 11.4 letters in the </w:t>
      </w:r>
      <w:proofErr w:type="spellStart"/>
      <w:r w:rsidRPr="00E61EC7">
        <w:t>faricimab</w:t>
      </w:r>
      <w:proofErr w:type="spellEnd"/>
      <w:r w:rsidRPr="00E61EC7">
        <w:t xml:space="preserve"> </w:t>
      </w:r>
      <w:r w:rsidR="003E5F35" w:rsidRPr="00E61EC7">
        <w:t>every 8 weeks</w:t>
      </w:r>
      <w:r w:rsidRPr="00E61EC7">
        <w:t xml:space="preserve">, </w:t>
      </w:r>
      <w:proofErr w:type="spellStart"/>
      <w:r w:rsidRPr="00E61EC7">
        <w:t>faricimab</w:t>
      </w:r>
      <w:proofErr w:type="spellEnd"/>
      <w:r w:rsidRPr="00E61EC7">
        <w:t xml:space="preserve"> PTI, and aflibercept </w:t>
      </w:r>
      <w:r w:rsidR="003E5F35" w:rsidRPr="00E61EC7">
        <w:t>every 8</w:t>
      </w:r>
      <w:r w:rsidR="00E25A41" w:rsidRPr="00E61EC7">
        <w:t> </w:t>
      </w:r>
      <w:r w:rsidR="003E5F35" w:rsidRPr="00E61EC7">
        <w:t>weeks</w:t>
      </w:r>
      <w:r w:rsidRPr="00E61EC7">
        <w:t xml:space="preserve"> arms, respectively. The difference in adjusted mean change from </w:t>
      </w:r>
      <w:r w:rsidR="005B01D2" w:rsidRPr="00E61EC7">
        <w:t>Baseline</w:t>
      </w:r>
      <w:r w:rsidRPr="00E61EC7">
        <w:t xml:space="preserve"> in BCVA between the </w:t>
      </w:r>
      <w:proofErr w:type="spellStart"/>
      <w:r w:rsidRPr="00E61EC7">
        <w:t>faricimab</w:t>
      </w:r>
      <w:proofErr w:type="spellEnd"/>
      <w:r w:rsidRPr="00E61EC7">
        <w:t xml:space="preserve"> </w:t>
      </w:r>
      <w:r w:rsidR="003E5F35" w:rsidRPr="00E61EC7">
        <w:t>every 8 weeks</w:t>
      </w:r>
      <w:r w:rsidRPr="00E61EC7">
        <w:t xml:space="preserve"> and </w:t>
      </w:r>
      <w:proofErr w:type="spellStart"/>
      <w:r w:rsidRPr="00E61EC7">
        <w:t>faricimab</w:t>
      </w:r>
      <w:proofErr w:type="spellEnd"/>
      <w:r w:rsidRPr="00E61EC7">
        <w:t xml:space="preserve"> PTI arms when compared with the aflibercept </w:t>
      </w:r>
      <w:r w:rsidR="003E5F35" w:rsidRPr="00E61EC7">
        <w:t>every 8 weeks</w:t>
      </w:r>
      <w:r w:rsidRPr="00E61EC7">
        <w:t xml:space="preserve"> arm was -0.7 letters (95% CI: -2.6, 1.2) and -0.7 letters (95%</w:t>
      </w:r>
      <w:r w:rsidR="00E25A41" w:rsidRPr="00E61EC7">
        <w:t> </w:t>
      </w:r>
      <w:r w:rsidRPr="00E61EC7">
        <w:t>CI: -2.5, 1.2), respectively</w:t>
      </w:r>
      <w:r w:rsidR="00E25A41" w:rsidRPr="00E61EC7">
        <w:rPr>
          <w:szCs w:val="28"/>
        </w:rPr>
        <w:t xml:space="preserve"> (see </w:t>
      </w:r>
      <w:r w:rsidR="00E25A41" w:rsidRPr="00E61EC7">
        <w:rPr>
          <w:szCs w:val="28"/>
        </w:rPr>
        <w:fldChar w:fldCharType="begin"/>
      </w:r>
      <w:r w:rsidR="00E25A41" w:rsidRPr="00E61EC7">
        <w:rPr>
          <w:szCs w:val="28"/>
        </w:rPr>
        <w:instrText xml:space="preserve"> REF _Ref102554724 \h  \* MERGEFORMAT </w:instrText>
      </w:r>
      <w:r w:rsidR="00E25A41" w:rsidRPr="00E61EC7">
        <w:rPr>
          <w:szCs w:val="28"/>
        </w:rPr>
      </w:r>
      <w:r w:rsidR="00E25A41" w:rsidRPr="00E61EC7">
        <w:rPr>
          <w:szCs w:val="28"/>
        </w:rPr>
        <w:fldChar w:fldCharType="separate"/>
      </w:r>
      <w:r w:rsidR="001E25B5" w:rsidRPr="001E25B5">
        <w:rPr>
          <w:szCs w:val="28"/>
        </w:rPr>
        <w:t>Table 14</w:t>
      </w:r>
      <w:r w:rsidR="00E25A41" w:rsidRPr="00E61EC7">
        <w:rPr>
          <w:szCs w:val="28"/>
        </w:rPr>
        <w:fldChar w:fldCharType="end"/>
      </w:r>
      <w:r w:rsidR="00E25A41" w:rsidRPr="00E61EC7">
        <w:rPr>
          <w:szCs w:val="28"/>
        </w:rPr>
        <w:t xml:space="preserve"> below).</w:t>
      </w:r>
    </w:p>
    <w:p w14:paraId="7FD6C12B" w14:textId="720E17E8" w:rsidR="00042FC8" w:rsidRPr="00E61EC7" w:rsidRDefault="002A2C48" w:rsidP="00211011">
      <w:r w:rsidRPr="00E61EC7">
        <w:t xml:space="preserve">For the </w:t>
      </w:r>
      <w:r w:rsidR="00E25A41" w:rsidRPr="00E61EC7">
        <w:t>treatment-naïve</w:t>
      </w:r>
      <w:r w:rsidRPr="00E61EC7">
        <w:t xml:space="preserve"> population, the difference in adjusted mean change from </w:t>
      </w:r>
      <w:r w:rsidR="005B01D2" w:rsidRPr="00E61EC7">
        <w:t>Baseline</w:t>
      </w:r>
      <w:r w:rsidRPr="00E61EC7">
        <w:t xml:space="preserve"> in BCVA between the </w:t>
      </w:r>
      <w:proofErr w:type="spellStart"/>
      <w:r w:rsidRPr="00E61EC7">
        <w:t>faricimab</w:t>
      </w:r>
      <w:proofErr w:type="spellEnd"/>
      <w:r w:rsidRPr="00E61EC7">
        <w:t xml:space="preserve"> </w:t>
      </w:r>
      <w:r w:rsidR="003E5F35" w:rsidRPr="00E61EC7">
        <w:t>every 8 weeks</w:t>
      </w:r>
      <w:r w:rsidRPr="00E61EC7">
        <w:t xml:space="preserve"> and </w:t>
      </w:r>
      <w:proofErr w:type="spellStart"/>
      <w:r w:rsidRPr="00E61EC7">
        <w:t>faricimab</w:t>
      </w:r>
      <w:proofErr w:type="spellEnd"/>
      <w:r w:rsidRPr="00E61EC7">
        <w:t xml:space="preserve"> PTI arms when compared with the aflibercept </w:t>
      </w:r>
      <w:r w:rsidR="003E5F35" w:rsidRPr="00E61EC7">
        <w:t>every 8 weeks</w:t>
      </w:r>
      <w:r w:rsidRPr="00E61EC7">
        <w:t xml:space="preserve"> arm was -1.0 letters (95% CI: -3.3, 1.2) and -0.9 letters (95% CI: -3.1, 1.4), respectively</w:t>
      </w:r>
      <w:r w:rsidR="00E25A41" w:rsidRPr="00E61EC7">
        <w:rPr>
          <w:szCs w:val="28"/>
        </w:rPr>
        <w:t xml:space="preserve"> (see </w:t>
      </w:r>
      <w:r w:rsidR="00E25A41" w:rsidRPr="00E61EC7">
        <w:rPr>
          <w:szCs w:val="28"/>
        </w:rPr>
        <w:fldChar w:fldCharType="begin"/>
      </w:r>
      <w:r w:rsidR="00E25A41" w:rsidRPr="00E61EC7">
        <w:rPr>
          <w:szCs w:val="28"/>
        </w:rPr>
        <w:instrText xml:space="preserve"> REF _Ref102554724 \h  \* MERGEFORMAT </w:instrText>
      </w:r>
      <w:r w:rsidR="00E25A41" w:rsidRPr="00E61EC7">
        <w:rPr>
          <w:szCs w:val="28"/>
        </w:rPr>
      </w:r>
      <w:r w:rsidR="00E25A41" w:rsidRPr="00E61EC7">
        <w:rPr>
          <w:szCs w:val="28"/>
        </w:rPr>
        <w:fldChar w:fldCharType="separate"/>
      </w:r>
      <w:r w:rsidR="001E25B5" w:rsidRPr="001E25B5">
        <w:rPr>
          <w:szCs w:val="28"/>
        </w:rPr>
        <w:t>Table 14</w:t>
      </w:r>
      <w:r w:rsidR="00E25A41" w:rsidRPr="00E61EC7">
        <w:rPr>
          <w:szCs w:val="28"/>
        </w:rPr>
        <w:fldChar w:fldCharType="end"/>
      </w:r>
      <w:r w:rsidR="00E25A41" w:rsidRPr="00E61EC7">
        <w:rPr>
          <w:szCs w:val="28"/>
        </w:rPr>
        <w:t xml:space="preserve"> below)</w:t>
      </w:r>
      <w:r w:rsidRPr="00E61EC7">
        <w:t>.</w:t>
      </w:r>
    </w:p>
    <w:p w14:paraId="3EAA0B93" w14:textId="6EFD2C6D" w:rsidR="00042FC8" w:rsidRPr="00E61EC7" w:rsidRDefault="002A2C48" w:rsidP="00202A6D">
      <w:pPr>
        <w:pStyle w:val="TableTitle"/>
      </w:pPr>
      <w:bookmarkStart w:id="79" w:name="_Ref102565347"/>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13</w:t>
      </w:r>
      <w:r w:rsidR="00C22604" w:rsidRPr="00E61EC7">
        <w:rPr>
          <w:noProof/>
        </w:rPr>
        <w:fldChar w:fldCharType="end"/>
      </w:r>
      <w:bookmarkEnd w:id="79"/>
      <w:r w:rsidR="00E25A41" w:rsidRPr="00E61EC7">
        <w:t>:</w:t>
      </w:r>
      <w:r w:rsidRPr="00E61EC7">
        <w:t xml:space="preserve"> Study GR40349 (YOSEMITE</w:t>
      </w:r>
      <w:r w:rsidR="00E25A41" w:rsidRPr="00E61EC7">
        <w:t xml:space="preserve"> trial</w:t>
      </w:r>
      <w:r w:rsidRPr="00E61EC7">
        <w:t xml:space="preserve">) </w:t>
      </w:r>
      <w:r w:rsidR="004A0107" w:rsidRPr="00E61EC7">
        <w:t>Overview of primary, key secondary, and select secondary efficacy endpoints in the Phase III diabetic macular oedema study</w:t>
      </w:r>
      <w:r w:rsidRPr="00E61EC7">
        <w:t xml:space="preserve"> at Week</w:t>
      </w:r>
      <w:r w:rsidR="00E25A41" w:rsidRPr="00E61EC7">
        <w:t>s</w:t>
      </w:r>
      <w:r w:rsidRPr="00E61EC7">
        <w:t xml:space="preserve"> 48</w:t>
      </w:r>
      <w:r w:rsidR="00E25A41" w:rsidRPr="00E61EC7">
        <w:t xml:space="preserve">, </w:t>
      </w:r>
      <w:r w:rsidRPr="00E61EC7">
        <w:t>52</w:t>
      </w:r>
      <w:r w:rsidR="00E25A41" w:rsidRPr="00E61EC7">
        <w:t xml:space="preserve"> and </w:t>
      </w:r>
      <w:r w:rsidRPr="00E61EC7">
        <w:t>56</w:t>
      </w:r>
    </w:p>
    <w:p w14:paraId="12E2C790" w14:textId="0E60DED9" w:rsidR="004A0107" w:rsidRPr="00E61EC7" w:rsidRDefault="002A2C48" w:rsidP="00202A6D">
      <w:r w:rsidRPr="00E61EC7">
        <w:rPr>
          <w:noProof/>
          <w:lang w:val="en-GB" w:eastAsia="en-GB"/>
        </w:rPr>
        <w:drawing>
          <wp:inline distT="0" distB="0" distL="0" distR="0" wp14:anchorId="0A4C1A09" wp14:editId="48EAEFA1">
            <wp:extent cx="5400040" cy="4710430"/>
            <wp:effectExtent l="0" t="0" r="0" b="0"/>
            <wp:docPr id="1" name="Picture 1" descr="Table 13: Study GR40349 (YOSEMITE trial) Overview of primary, key secondary, and select secondary efficacy endpoints in the Phase III diabetic macular oedema study at Weeks 48, 52 an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 13: Study GR40349 (YOSEMITE trial) Overview of primary, key secondary, and select secondary efficacy endpoints in the Phase III diabetic macular oedema study at Weeks 48, 52 and 56"/>
                    <pic:cNvPicPr/>
                  </pic:nvPicPr>
                  <pic:blipFill>
                    <a:blip r:embed="rId41"/>
                    <a:stretch>
                      <a:fillRect/>
                    </a:stretch>
                  </pic:blipFill>
                  <pic:spPr>
                    <a:xfrm>
                      <a:off x="0" y="0"/>
                      <a:ext cx="5400040" cy="4710430"/>
                    </a:xfrm>
                    <a:prstGeom prst="rect">
                      <a:avLst/>
                    </a:prstGeom>
                  </pic:spPr>
                </pic:pic>
              </a:graphicData>
            </a:graphic>
          </wp:inline>
        </w:drawing>
      </w:r>
    </w:p>
    <w:p w14:paraId="52292A47" w14:textId="4BFC7A7C" w:rsidR="004A0107" w:rsidRPr="00E61EC7" w:rsidRDefault="002A2C48" w:rsidP="00202A6D">
      <w:pPr>
        <w:pStyle w:val="TableDescription"/>
      </w:pPr>
      <w:r w:rsidRPr="00E61EC7">
        <w:t>Abbreviations: BCVA = best</w:t>
      </w:r>
      <w:r w:rsidR="00EC0073" w:rsidRPr="00E61EC7">
        <w:t xml:space="preserve"> </w:t>
      </w:r>
      <w:r w:rsidRPr="00E61EC7">
        <w:t>corrected visual acuity; CMH = Cochran-Mantel-Haenszel; CI = confidence interval; CST = central subfield thickness; ETDRS DRS = Early Treatment Diabetic Retinopathy Study diabetic retinopathy severity; ITT = intent-to-treat; MMRM = mixed-model repeated-</w:t>
      </w:r>
      <w:r w:rsidR="000C3FFD" w:rsidRPr="00E61EC7">
        <w:t>measures</w:t>
      </w:r>
      <w:r w:rsidRPr="00E61EC7">
        <w:t xml:space="preserve">; </w:t>
      </w:r>
      <w:r w:rsidR="00D269A9" w:rsidRPr="00E61EC7">
        <w:t xml:space="preserve">N = number of subjects; </w:t>
      </w:r>
      <w:r w:rsidRPr="00E61EC7">
        <w:t>NEI VFQ-25 = National Eye Institute 25-Item Visual Function Questionnaire; PTI = personali</w:t>
      </w:r>
      <w:r w:rsidR="00EC0073" w:rsidRPr="00E61EC7">
        <w:t>s</w:t>
      </w:r>
      <w:r w:rsidRPr="00E61EC7">
        <w:t xml:space="preserve">ed treatment interval; Q8W </w:t>
      </w:r>
      <w:r w:rsidR="000C3FFD" w:rsidRPr="00E61EC7">
        <w:t>=</w:t>
      </w:r>
      <w:r w:rsidRPr="00E61EC7">
        <w:t xml:space="preserve"> every 8 weeks; Q12W </w:t>
      </w:r>
      <w:r w:rsidR="000C3FFD" w:rsidRPr="00E61EC7">
        <w:t>=</w:t>
      </w:r>
      <w:r w:rsidRPr="00E61EC7">
        <w:t xml:space="preserve"> every 12 weeks; Q16W </w:t>
      </w:r>
      <w:r w:rsidR="000C3FFD" w:rsidRPr="00E61EC7">
        <w:t>=</w:t>
      </w:r>
      <w:r w:rsidRPr="00E61EC7">
        <w:t xml:space="preserve"> every 16 weeks; SE </w:t>
      </w:r>
      <w:r w:rsidR="000C3FFD" w:rsidRPr="00E61EC7">
        <w:t>=</w:t>
      </w:r>
      <w:r w:rsidRPr="00E61EC7">
        <w:t xml:space="preserve"> standard error; TN </w:t>
      </w:r>
      <w:r w:rsidR="000C3FFD" w:rsidRPr="00E61EC7">
        <w:t>=</w:t>
      </w:r>
      <w:r w:rsidRPr="00E61EC7">
        <w:t xml:space="preserve"> treatment naive.</w:t>
      </w:r>
    </w:p>
    <w:p w14:paraId="3551DB03" w14:textId="48A1F352" w:rsidR="004A0107" w:rsidRPr="00E61EC7" w:rsidRDefault="002A2C48" w:rsidP="00202A6D">
      <w:pPr>
        <w:pStyle w:val="TableDescription"/>
      </w:pPr>
      <w:r w:rsidRPr="00E61EC7">
        <w:t>For the MMRM analysis, the model adjusted for treatment group, visit, visit-by-treatment group interaction, baseline BCVA (continuous), baseline BCVA (</w:t>
      </w:r>
      <w:r w:rsidR="000C3FFD" w:rsidRPr="00E61EC7">
        <w:t>&lt;</w:t>
      </w:r>
      <w:r w:rsidRPr="00E61EC7">
        <w:t xml:space="preserve"> 64 letters </w:t>
      </w:r>
      <w:r w:rsidR="00944C26" w:rsidRPr="00E61EC7">
        <w:t>versus</w:t>
      </w:r>
      <w:r w:rsidRPr="00E61EC7">
        <w:t xml:space="preserve"> </w:t>
      </w:r>
      <w:r w:rsidR="000C3FFD" w:rsidRPr="00E61EC7">
        <w:t>≥</w:t>
      </w:r>
      <w:r w:rsidRPr="00E61EC7">
        <w:t xml:space="preserve"> 64 letters), region (</w:t>
      </w:r>
      <w:r w:rsidR="00D269A9" w:rsidRPr="00E61EC7">
        <w:t xml:space="preserve">United States </w:t>
      </w:r>
      <w:r w:rsidRPr="00E61EC7">
        <w:t xml:space="preserve">and Canada, Asia, and the rest of the world), and for the ITT population prior intravitreal </w:t>
      </w:r>
      <w:r w:rsidR="00D269A9" w:rsidRPr="00E61EC7">
        <w:t>anti</w:t>
      </w:r>
      <w:r w:rsidR="00EA7E7A" w:rsidRPr="00E61EC7">
        <w:noBreakHyphen/>
      </w:r>
      <w:r w:rsidR="00D269A9" w:rsidRPr="00E61EC7">
        <w:t>vascular endothelial growth factor (</w:t>
      </w:r>
      <w:r w:rsidRPr="00E61EC7">
        <w:t>anti</w:t>
      </w:r>
      <w:r w:rsidR="00D269A9" w:rsidRPr="00E61EC7">
        <w:noBreakHyphen/>
      </w:r>
      <w:r w:rsidRPr="00E61EC7">
        <w:t>VEGF</w:t>
      </w:r>
      <w:r w:rsidR="00D269A9" w:rsidRPr="00E61EC7">
        <w:t>)</w:t>
      </w:r>
      <w:r w:rsidRPr="00E61EC7">
        <w:t xml:space="preserve"> therapy (yes </w:t>
      </w:r>
      <w:r w:rsidR="00944C26" w:rsidRPr="00E61EC7">
        <w:t>versus</w:t>
      </w:r>
      <w:r w:rsidRPr="00E61EC7">
        <w:t xml:space="preserve"> no). An unstructured covariance structure is used. The estimate of the difference between the two groups uses a composite contrast over Weeks 48, 52 and 56. Treatment policy strategy and hypothetical strategy were applied to non-</w:t>
      </w:r>
      <w:r w:rsidR="00D269A9" w:rsidRPr="00E61EC7">
        <w:t>coronavirus 2019 (non-</w:t>
      </w:r>
      <w:r w:rsidRPr="00E61EC7">
        <w:t>COVID-19</w:t>
      </w:r>
      <w:r w:rsidR="00D269A9" w:rsidRPr="00E61EC7">
        <w:t>)</w:t>
      </w:r>
      <w:r w:rsidR="009E3920" w:rsidRPr="00E61EC7">
        <w:t>-</w:t>
      </w:r>
      <w:r w:rsidRPr="00E61EC7">
        <w:t>related and COVID-19</w:t>
      </w:r>
      <w:r w:rsidR="009E3920" w:rsidRPr="00E61EC7">
        <w:t>-</w:t>
      </w:r>
      <w:r w:rsidRPr="00E61EC7">
        <w:t>related intercurrent events, respectively. Missing data were implicitly imputed by MMRM. Invalid BCVA values are excluded from analysis.</w:t>
      </w:r>
    </w:p>
    <w:p w14:paraId="1ADE8727" w14:textId="1C347503" w:rsidR="004A0107" w:rsidRPr="00E61EC7" w:rsidRDefault="002A2C48" w:rsidP="00202A6D">
      <w:pPr>
        <w:pStyle w:val="TableDescription"/>
      </w:pPr>
      <w:r w:rsidRPr="00E61EC7">
        <w:t xml:space="preserve">Cochran-Mantel-Haenszel (CMH) weighted % for aflibercept arm presented for </w:t>
      </w:r>
      <w:proofErr w:type="spellStart"/>
      <w:r w:rsidRPr="00E61EC7">
        <w:t>faricimab</w:t>
      </w:r>
      <w:proofErr w:type="spellEnd"/>
      <w:r w:rsidRPr="00E61EC7">
        <w:t xml:space="preserve"> every 8 weeks </w:t>
      </w:r>
      <w:r w:rsidR="00944C26" w:rsidRPr="00E61EC7">
        <w:t>versus</w:t>
      </w:r>
      <w:r w:rsidRPr="00E61EC7">
        <w:t xml:space="preserve"> aflibercept comparison, however the corresponding CMH weighted % for </w:t>
      </w:r>
      <w:proofErr w:type="spellStart"/>
      <w:r w:rsidRPr="00E61EC7">
        <w:t>faricimab</w:t>
      </w:r>
      <w:proofErr w:type="spellEnd"/>
      <w:r w:rsidRPr="00E61EC7">
        <w:t xml:space="preserve"> PTI </w:t>
      </w:r>
      <w:r w:rsidR="00944C26" w:rsidRPr="00E61EC7">
        <w:t>versus</w:t>
      </w:r>
      <w:r w:rsidRPr="00E61EC7">
        <w:t xml:space="preserve"> aflibercept comparison is similar to the one shown above; the weighted estimate is based on CMH test stratified by baseline BCVA score (</w:t>
      </w:r>
      <w:r w:rsidR="000C3FFD" w:rsidRPr="00E61EC7">
        <w:t>&lt;</w:t>
      </w:r>
      <w:r w:rsidRPr="00E61EC7">
        <w:t xml:space="preserve"> 64 letters </w:t>
      </w:r>
      <w:r w:rsidR="00944C26" w:rsidRPr="00E61EC7">
        <w:t>versus</w:t>
      </w:r>
      <w:r w:rsidRPr="00E61EC7">
        <w:t xml:space="preserve"> </w:t>
      </w:r>
      <w:r w:rsidR="000C3FFD" w:rsidRPr="00E61EC7">
        <w:t>≥</w:t>
      </w:r>
      <w:r w:rsidRPr="00E61EC7">
        <w:t xml:space="preserve"> 64 letters), region (United States and Canada </w:t>
      </w:r>
      <w:r w:rsidR="00944C26" w:rsidRPr="00E61EC7">
        <w:t>versus</w:t>
      </w:r>
      <w:r w:rsidRPr="00E61EC7">
        <w:t xml:space="preserve"> the rest of the world), and for ITT population prior intravitreal anti-VEGF therapy (yes </w:t>
      </w:r>
      <w:r w:rsidR="00944C26" w:rsidRPr="00E61EC7">
        <w:t>versus</w:t>
      </w:r>
      <w:r w:rsidRPr="00E61EC7">
        <w:t xml:space="preserve"> no). Asia and rest of the world regions are combined due to a small number of enrolled patients. Treatment policy strategy and hypothetical strategy were applied to non-COVID-19</w:t>
      </w:r>
      <w:r w:rsidR="009E3920" w:rsidRPr="00E61EC7">
        <w:t>-</w:t>
      </w:r>
      <w:r w:rsidRPr="00E61EC7">
        <w:t>related and COVID-19</w:t>
      </w:r>
      <w:r w:rsidR="009E3920" w:rsidRPr="00E61EC7">
        <w:t>-</w:t>
      </w:r>
      <w:r w:rsidRPr="00E61EC7">
        <w:t>related intercurrent events, respectively. Missing assessments were not imputed. Baseline is defined as the last available measurement obtained on or prior to randomi</w:t>
      </w:r>
      <w:r w:rsidR="002843D5" w:rsidRPr="00E61EC7">
        <w:t>s</w:t>
      </w:r>
      <w:r w:rsidRPr="00E61EC7">
        <w:t>ation.</w:t>
      </w:r>
    </w:p>
    <w:p w14:paraId="1FDDE14C" w14:textId="04161EDE" w:rsidR="00042FC8" w:rsidRPr="00E61EC7" w:rsidRDefault="002A2C48" w:rsidP="00202A6D">
      <w:pPr>
        <w:pStyle w:val="TableDescription"/>
      </w:pPr>
      <w:r w:rsidRPr="00E61EC7">
        <w:lastRenderedPageBreak/>
        <w:t>97.5% CI is a rounding of 97.52% CI; 95% CI is a rounding of 95.04% CI.</w:t>
      </w:r>
    </w:p>
    <w:p w14:paraId="1C28B9CF" w14:textId="4273452F" w:rsidR="00042FC8" w:rsidRPr="00E61EC7" w:rsidRDefault="002A2C48" w:rsidP="00202A6D">
      <w:pPr>
        <w:pStyle w:val="TableTitle"/>
      </w:pPr>
      <w:bookmarkStart w:id="80" w:name="_Ref102509054"/>
      <w:bookmarkStart w:id="81" w:name="_Ref102554724"/>
      <w:bookmarkStart w:id="82" w:name="_Ref101970468"/>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14</w:t>
      </w:r>
      <w:r w:rsidR="00C22604" w:rsidRPr="00E61EC7">
        <w:rPr>
          <w:noProof/>
        </w:rPr>
        <w:fldChar w:fldCharType="end"/>
      </w:r>
      <w:bookmarkEnd w:id="80"/>
      <w:bookmarkEnd w:id="81"/>
      <w:r w:rsidR="00E25A41" w:rsidRPr="00E61EC7">
        <w:t>:</w:t>
      </w:r>
      <w:r w:rsidRPr="00E61EC7">
        <w:t xml:space="preserve"> Study GR40349 (YOSEMITE</w:t>
      </w:r>
      <w:r w:rsidR="00E25A41" w:rsidRPr="00E61EC7">
        <w:t xml:space="preserve"> trial</w:t>
      </w:r>
      <w:r w:rsidRPr="00E61EC7">
        <w:t xml:space="preserve">) </w:t>
      </w:r>
      <w:r w:rsidR="0028234A" w:rsidRPr="00E61EC7">
        <w:t xml:space="preserve">Summary of change from Baseline in </w:t>
      </w:r>
      <w:r w:rsidR="00680738" w:rsidRPr="00E61EC7">
        <w:t xml:space="preserve">best corrected visual acuity </w:t>
      </w:r>
      <w:r w:rsidR="0028234A" w:rsidRPr="00E61EC7">
        <w:t xml:space="preserve">in the </w:t>
      </w:r>
      <w:r w:rsidR="00A9188D" w:rsidRPr="00E61EC7">
        <w:t xml:space="preserve">study eye </w:t>
      </w:r>
      <w:r w:rsidRPr="00E61EC7">
        <w:t>at Week</w:t>
      </w:r>
      <w:r w:rsidR="00E25A41" w:rsidRPr="00E61EC7">
        <w:t>s</w:t>
      </w:r>
      <w:r w:rsidRPr="00E61EC7">
        <w:t xml:space="preserve"> 92</w:t>
      </w:r>
      <w:r w:rsidR="00E25A41" w:rsidRPr="00E61EC7">
        <w:t xml:space="preserve">, </w:t>
      </w:r>
      <w:r w:rsidRPr="00E61EC7">
        <w:t>96</w:t>
      </w:r>
      <w:r w:rsidR="00E25A41" w:rsidRPr="00E61EC7">
        <w:t xml:space="preserve"> and </w:t>
      </w:r>
      <w:r w:rsidRPr="00E61EC7">
        <w:t>100</w:t>
      </w:r>
      <w:r w:rsidR="0028234A" w:rsidRPr="00E61EC7">
        <w:t xml:space="preserve"> (intent</w:t>
      </w:r>
      <w:r w:rsidR="00B612C5" w:rsidRPr="00E61EC7">
        <w:noBreakHyphen/>
      </w:r>
      <w:r w:rsidR="0028234A" w:rsidRPr="00E61EC7">
        <w:t>to</w:t>
      </w:r>
      <w:r w:rsidR="00B612C5" w:rsidRPr="00E61EC7">
        <w:noBreakHyphen/>
      </w:r>
      <w:r w:rsidR="0028234A" w:rsidRPr="00E61EC7">
        <w:t>treat population)</w:t>
      </w:r>
    </w:p>
    <w:p w14:paraId="1CBEB441" w14:textId="291B000C" w:rsidR="0028234A" w:rsidRPr="00E61EC7" w:rsidRDefault="002A2C48" w:rsidP="00202A6D">
      <w:r w:rsidRPr="00E61EC7">
        <w:rPr>
          <w:noProof/>
          <w:lang w:val="en-GB" w:eastAsia="en-GB"/>
        </w:rPr>
        <w:drawing>
          <wp:inline distT="0" distB="0" distL="0" distR="0" wp14:anchorId="31A7A3EB" wp14:editId="07484BA9">
            <wp:extent cx="5277633" cy="3757930"/>
            <wp:effectExtent l="0" t="0" r="0" b="0"/>
            <wp:docPr id="15" name="Picture 15" descr="Table 14: Study GR40349 (YOSEMITE trial) Summary of change from Baseline in best corrected visual acuity in the study eye at Weeks 92, 96 and 100 (intent to 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 14: Study GR40349 (YOSEMITE trial) Summary of change from Baseline in best corrected visual acuity in the study eye at Weeks 92, 96 and 100 (intent to treat population)"/>
                    <pic:cNvPicPr/>
                  </pic:nvPicPr>
                  <pic:blipFill>
                    <a:blip r:embed="rId42"/>
                    <a:stretch>
                      <a:fillRect/>
                    </a:stretch>
                  </pic:blipFill>
                  <pic:spPr>
                    <a:xfrm>
                      <a:off x="0" y="0"/>
                      <a:ext cx="5280606" cy="3760047"/>
                    </a:xfrm>
                    <a:prstGeom prst="rect">
                      <a:avLst/>
                    </a:prstGeom>
                  </pic:spPr>
                </pic:pic>
              </a:graphicData>
            </a:graphic>
          </wp:inline>
        </w:drawing>
      </w:r>
    </w:p>
    <w:p w14:paraId="793AAD27" w14:textId="7E0EE359" w:rsidR="0028234A" w:rsidRPr="00E61EC7" w:rsidRDefault="002A2C48" w:rsidP="00202A6D">
      <w:pPr>
        <w:pStyle w:val="TableDescription"/>
      </w:pPr>
      <w:r w:rsidRPr="00E61EC7">
        <w:t xml:space="preserve">Abbreviations: ANCOVA = analysis of covariance; BCVA = best corrected visual acuity; CI = confidence interval; ITT = intent-to-treat; MMRM = mixed model for repeated measures; PTI = personalised treatment interval; Q8W = every 8 weeks; TN = treatment </w:t>
      </w:r>
      <w:r w:rsidR="009E3920" w:rsidRPr="00E61EC7">
        <w:t>naïve; vs. = versus</w:t>
      </w:r>
      <w:r w:rsidRPr="00E61EC7">
        <w:t>.</w:t>
      </w:r>
    </w:p>
    <w:p w14:paraId="7513CA4C" w14:textId="649FB0F6" w:rsidR="0028234A" w:rsidRPr="00E61EC7" w:rsidRDefault="002A2C48" w:rsidP="00202A6D">
      <w:pPr>
        <w:pStyle w:val="TableDescription"/>
      </w:pPr>
      <w:r w:rsidRPr="00E61EC7">
        <w:t xml:space="preserve">Personalised treatment interval is from </w:t>
      </w:r>
      <w:r w:rsidR="009E3920" w:rsidRPr="00E61EC7">
        <w:t xml:space="preserve">every 4 weeks </w:t>
      </w:r>
      <w:r w:rsidRPr="00E61EC7">
        <w:t xml:space="preserve">up to </w:t>
      </w:r>
      <w:r w:rsidR="009E3920" w:rsidRPr="00E61EC7">
        <w:t>every 16 weeks</w:t>
      </w:r>
      <w:r w:rsidRPr="00E61EC7">
        <w:t>.</w:t>
      </w:r>
    </w:p>
    <w:p w14:paraId="507AFF15" w14:textId="1B26AFB8" w:rsidR="0028234A" w:rsidRPr="00E61EC7" w:rsidRDefault="002A2C48" w:rsidP="00202A6D">
      <w:pPr>
        <w:pStyle w:val="TableDescription"/>
      </w:pPr>
      <w:r w:rsidRPr="00E61EC7">
        <w:t xml:space="preserve">Intent-to-treat (ITT) population: </w:t>
      </w:r>
      <w:proofErr w:type="spellStart"/>
      <w:r w:rsidRPr="00E61EC7">
        <w:t>faricimab</w:t>
      </w:r>
      <w:proofErr w:type="spellEnd"/>
      <w:r w:rsidRPr="00E61EC7">
        <w:t xml:space="preserve"> every 8 weeks = 315, </w:t>
      </w:r>
      <w:proofErr w:type="spellStart"/>
      <w:r w:rsidRPr="00E61EC7">
        <w:t>faricimab</w:t>
      </w:r>
      <w:proofErr w:type="spellEnd"/>
      <w:r w:rsidRPr="00E61EC7">
        <w:t xml:space="preserve"> PTI = 313, aflibercept = 312; TN population: </w:t>
      </w:r>
      <w:proofErr w:type="spellStart"/>
      <w:r w:rsidRPr="00E61EC7">
        <w:t>faricimab</w:t>
      </w:r>
      <w:proofErr w:type="spellEnd"/>
      <w:r w:rsidRPr="00E61EC7">
        <w:t xml:space="preserve"> every 8 weeks = 238, </w:t>
      </w:r>
      <w:proofErr w:type="spellStart"/>
      <w:r w:rsidRPr="00E61EC7">
        <w:t>faricimab</w:t>
      </w:r>
      <w:proofErr w:type="spellEnd"/>
      <w:r w:rsidRPr="00E61EC7">
        <w:t xml:space="preserve"> PTI = 245, aflibercept = 242; PP population: </w:t>
      </w:r>
      <w:proofErr w:type="spellStart"/>
      <w:r w:rsidRPr="00E61EC7">
        <w:t>faricimab</w:t>
      </w:r>
      <w:proofErr w:type="spellEnd"/>
      <w:r w:rsidRPr="00E61EC7">
        <w:t xml:space="preserve"> every 8 weeks = 251, </w:t>
      </w:r>
      <w:proofErr w:type="spellStart"/>
      <w:r w:rsidRPr="00E61EC7">
        <w:t>faricimab</w:t>
      </w:r>
      <w:proofErr w:type="spellEnd"/>
      <w:r w:rsidRPr="00E61EC7">
        <w:t xml:space="preserve"> PTI = 275, aflibercept = 274.</w:t>
      </w:r>
    </w:p>
    <w:p w14:paraId="6A784BDB" w14:textId="4C21CE01" w:rsidR="0028234A" w:rsidRPr="00E61EC7" w:rsidRDefault="002A2C48" w:rsidP="00202A6D">
      <w:pPr>
        <w:pStyle w:val="TableDescription"/>
      </w:pPr>
      <w:r w:rsidRPr="00E61EC7">
        <w:t>For the MMRM analysis, the model adjusted for treatment group, visit, visit-by-treatment group interaction, baseline BCVA (continuous), baseline BCVA (</w:t>
      </w:r>
      <w:r w:rsidR="00680738" w:rsidRPr="00E61EC7">
        <w:t>&lt;</w:t>
      </w:r>
      <w:r w:rsidRPr="00E61EC7">
        <w:t xml:space="preserve"> 64 letters </w:t>
      </w:r>
      <w:r w:rsidR="00944C26" w:rsidRPr="00E61EC7">
        <w:t>versus</w:t>
      </w:r>
      <w:r w:rsidRPr="00E61EC7">
        <w:t xml:space="preserve"> </w:t>
      </w:r>
      <w:r w:rsidR="00680738" w:rsidRPr="00E61EC7">
        <w:t>≥</w:t>
      </w:r>
      <w:r w:rsidRPr="00E61EC7">
        <w:t xml:space="preserve"> 64 letters), region (</w:t>
      </w:r>
      <w:r w:rsidR="00EA7E7A" w:rsidRPr="00E61EC7">
        <w:t>United States</w:t>
      </w:r>
      <w:r w:rsidRPr="00E61EC7">
        <w:t xml:space="preserve"> and Canada, Asia, and the rest of the world), and for the ITT and PP population prior intravitreal </w:t>
      </w:r>
      <w:r w:rsidR="00EA7E7A" w:rsidRPr="00E61EC7">
        <w:t>anti-vascular endothelial growth factor (anti-VEGF)</w:t>
      </w:r>
      <w:r w:rsidRPr="00E61EC7">
        <w:t xml:space="preserve"> therapy (yes </w:t>
      </w:r>
      <w:r w:rsidR="00944C26" w:rsidRPr="00E61EC7">
        <w:t>versus</w:t>
      </w:r>
      <w:r w:rsidRPr="00E61EC7">
        <w:t xml:space="preserve"> no). An unstructured covariance structure was used. The estimate of the difference between the two groups used a composite contrast over Weeks</w:t>
      </w:r>
      <w:r w:rsidR="000D2994">
        <w:t xml:space="preserve"> </w:t>
      </w:r>
      <w:r w:rsidRPr="00E61EC7">
        <w:t>92, 96 and 100.For the treatment policy analysis, observed BCVA assessments were used regardless of the occurrence of intercurrent events. For the hypothetical strategy analysis, hypothetical strategy was applied to non-</w:t>
      </w:r>
      <w:r w:rsidR="009E3920" w:rsidRPr="00E61EC7">
        <w:t>coronavirus 2019 (non-</w:t>
      </w:r>
      <w:r w:rsidRPr="00E61EC7">
        <w:t>COVID-19</w:t>
      </w:r>
      <w:r w:rsidR="009E3920" w:rsidRPr="00E61EC7">
        <w:t>)-</w:t>
      </w:r>
      <w:r w:rsidRPr="00E61EC7">
        <w:t>related and COVID-19</w:t>
      </w:r>
      <w:r w:rsidR="009E3920" w:rsidRPr="00E61EC7">
        <w:t>-</w:t>
      </w:r>
      <w:r w:rsidRPr="00E61EC7">
        <w:t>related intercurrent events. For the MMRM analyses, missing data were implicitly imputed by MMRM.</w:t>
      </w:r>
    </w:p>
    <w:p w14:paraId="5578CEE4" w14:textId="2A4A9AFE" w:rsidR="0028234A" w:rsidRPr="00E61EC7" w:rsidRDefault="002A2C48" w:rsidP="00202A6D">
      <w:pPr>
        <w:pStyle w:val="TableDescription"/>
      </w:pPr>
      <w:r w:rsidRPr="00E61EC7">
        <w:t>For trimmed mean analysis, distribution of the test statistics was estimated by permutation test with 30,000 samples. Patients were considered to have the worst outcomes and were trimmed if any of the following occurred: 1.</w:t>
      </w:r>
      <w:r w:rsidR="009E3920" w:rsidRPr="00E61EC7">
        <w:t xml:space="preserve"> </w:t>
      </w:r>
      <w:r w:rsidRPr="00E61EC7">
        <w:t>Patient has intercurrent events that are not related to COVID-19 prior to Week 92, 2.</w:t>
      </w:r>
      <w:r w:rsidR="009E3920" w:rsidRPr="00E61EC7">
        <w:t xml:space="preserve"> </w:t>
      </w:r>
      <w:r w:rsidRPr="00E61EC7">
        <w:t>Patient has a missing BCVA assessment at Week 92 and has intercurrent events that are not related to COVID-19 at Week 92, 3.Patient has missing BCVA assessments at Weeks 92 and 96, and has intercurrent events that are not related to COVID-19 in either one of these two visits, 4.Patient has missing BCVA assessments at Weeks 92, 96 and 100, and has intercurrent events that are not related to COVID-19 in either one of these three visits.</w:t>
      </w:r>
    </w:p>
    <w:p w14:paraId="33F6192A" w14:textId="07D590DA" w:rsidR="0028234A" w:rsidRPr="00E61EC7" w:rsidRDefault="002A2C48" w:rsidP="00202A6D">
      <w:pPr>
        <w:pStyle w:val="TableDescription"/>
      </w:pPr>
      <w:r w:rsidRPr="00E61EC7">
        <w:t>For multiple imputation, the analysis is the same as described for ANCOVA below except missing post</w:t>
      </w:r>
      <w:r w:rsidR="00EA7E7A" w:rsidRPr="00E61EC7">
        <w:noBreakHyphen/>
      </w:r>
      <w:r w:rsidRPr="00E61EC7">
        <w:t>baseline BCVA assessments after the occurrence of intercurrent events that were not due to COVID</w:t>
      </w:r>
      <w:r w:rsidR="00EA7E7A" w:rsidRPr="00E61EC7">
        <w:noBreakHyphen/>
      </w:r>
      <w:r w:rsidRPr="00E61EC7">
        <w:t xml:space="preserve">19 were imputed using </w:t>
      </w:r>
      <w:r w:rsidR="00EA7E7A" w:rsidRPr="00E61EC7">
        <w:t>multiple imputation (</w:t>
      </w:r>
      <w:r w:rsidRPr="00E61EC7">
        <w:t>MI</w:t>
      </w:r>
      <w:r w:rsidR="00EA7E7A" w:rsidRPr="00E61EC7">
        <w:t>)</w:t>
      </w:r>
      <w:r w:rsidRPr="00E61EC7">
        <w:t xml:space="preserve"> assuming not </w:t>
      </w:r>
      <w:r w:rsidR="009E3920" w:rsidRPr="00E61EC7">
        <w:t>missing at random</w:t>
      </w:r>
      <w:r w:rsidR="00EA7E7A" w:rsidRPr="00E61EC7">
        <w:t xml:space="preserve"> (MAR)</w:t>
      </w:r>
      <w:r w:rsidRPr="00E61EC7">
        <w:t xml:space="preserve">. BCVA </w:t>
      </w:r>
      <w:r w:rsidRPr="00E61EC7">
        <w:lastRenderedPageBreak/>
        <w:t>assessments after censoring due to COVID-19</w:t>
      </w:r>
      <w:r w:rsidR="009E3920" w:rsidRPr="00E61EC7">
        <w:t>-</w:t>
      </w:r>
      <w:r w:rsidRPr="00E61EC7">
        <w:t>related intercurrent events were imputed using MI assuming MAR. Other missing post-baseline BCVA assessments were imputed assuming MAR.</w:t>
      </w:r>
    </w:p>
    <w:p w14:paraId="719AF348" w14:textId="7DAAAEBB" w:rsidR="0028234A" w:rsidRPr="00E61EC7" w:rsidRDefault="002A2C48" w:rsidP="00202A6D">
      <w:pPr>
        <w:pStyle w:val="TableDescription"/>
      </w:pPr>
      <w:r w:rsidRPr="00E61EC7">
        <w:t xml:space="preserve">For the ANCOVA analysis, the model used the average of non-missing change from </w:t>
      </w:r>
      <w:r w:rsidR="00944C26" w:rsidRPr="00E61EC7">
        <w:t>B</w:t>
      </w:r>
      <w:r w:rsidRPr="00E61EC7">
        <w:t>aseline in BCVA at Weeks 92, 96 and 100 as the response variables adjusted for the treatment group, baseline BCVA (continuous), baseline BCVA (</w:t>
      </w:r>
      <w:r w:rsidR="00680738" w:rsidRPr="00E61EC7">
        <w:t>&lt;</w:t>
      </w:r>
      <w:r w:rsidRPr="00E61EC7">
        <w:t xml:space="preserve"> 64 letters </w:t>
      </w:r>
      <w:r w:rsidR="00944C26" w:rsidRPr="00E61EC7">
        <w:t>versus</w:t>
      </w:r>
      <w:r w:rsidRPr="00E61EC7">
        <w:t xml:space="preserve"> </w:t>
      </w:r>
      <w:r w:rsidR="00680738" w:rsidRPr="00E61EC7">
        <w:t>≥</w:t>
      </w:r>
      <w:r w:rsidRPr="00E61EC7">
        <w:t xml:space="preserve"> 64 letters), prior intravitreal anti-VEGF therapy (yes </w:t>
      </w:r>
      <w:r w:rsidR="00944C26" w:rsidRPr="00E61EC7">
        <w:t>versus</w:t>
      </w:r>
      <w:r w:rsidRPr="00E61EC7">
        <w:t xml:space="preserve"> no), and region (</w:t>
      </w:r>
      <w:r w:rsidR="00EA7E7A" w:rsidRPr="00E61EC7">
        <w:t>United States</w:t>
      </w:r>
      <w:r w:rsidRPr="00E61EC7">
        <w:t xml:space="preserve"> and Canada, Asia, and the rest of the world). Treatment policy strategy and hypothetical strategy were applied to non-COVID-19</w:t>
      </w:r>
      <w:r w:rsidR="009E3920" w:rsidRPr="00E61EC7">
        <w:t>-</w:t>
      </w:r>
      <w:r w:rsidRPr="00E61EC7">
        <w:t>related and COVID-19</w:t>
      </w:r>
      <w:r w:rsidR="009E3920" w:rsidRPr="00E61EC7">
        <w:t>-</w:t>
      </w:r>
      <w:r w:rsidRPr="00E61EC7">
        <w:t>related intercurrent events, respectively. Missing data were not imputed. Invalid BCVA values were excluded from analysis.</w:t>
      </w:r>
    </w:p>
    <w:p w14:paraId="69D7DF2B" w14:textId="4FBEE8AD" w:rsidR="0028234A" w:rsidRPr="00E61EC7" w:rsidRDefault="002A2C48" w:rsidP="00202A6D">
      <w:pPr>
        <w:pStyle w:val="TableDescription"/>
      </w:pPr>
      <w:r w:rsidRPr="00E61EC7">
        <w:t>95% CI is a rounding of 95.04% CI.</w:t>
      </w:r>
    </w:p>
    <w:p w14:paraId="1D054A4F" w14:textId="6E186B62" w:rsidR="00211011" w:rsidRPr="00E61EC7" w:rsidRDefault="002A2C48" w:rsidP="00211011">
      <w:pPr>
        <w:pStyle w:val="Heading7"/>
        <w:rPr>
          <w:sz w:val="22"/>
          <w:szCs w:val="28"/>
        </w:rPr>
      </w:pPr>
      <w:r w:rsidRPr="00E61EC7">
        <w:rPr>
          <w:sz w:val="22"/>
          <w:szCs w:val="28"/>
        </w:rPr>
        <w:t>Study GR40398 (</w:t>
      </w:r>
      <w:r w:rsidR="00042FC8" w:rsidRPr="00E61EC7">
        <w:rPr>
          <w:sz w:val="22"/>
          <w:szCs w:val="28"/>
        </w:rPr>
        <w:t>RHINE</w:t>
      </w:r>
      <w:r w:rsidRPr="00E61EC7">
        <w:rPr>
          <w:sz w:val="22"/>
          <w:szCs w:val="28"/>
        </w:rPr>
        <w:t xml:space="preserve"> trial at</w:t>
      </w:r>
      <w:r w:rsidR="00042FC8" w:rsidRPr="00E61EC7">
        <w:rPr>
          <w:sz w:val="22"/>
          <w:szCs w:val="28"/>
        </w:rPr>
        <w:t xml:space="preserve"> Week</w:t>
      </w:r>
      <w:r w:rsidRPr="00E61EC7">
        <w:rPr>
          <w:sz w:val="22"/>
          <w:szCs w:val="28"/>
        </w:rPr>
        <w:t>s</w:t>
      </w:r>
      <w:r w:rsidR="00042FC8" w:rsidRPr="00E61EC7">
        <w:rPr>
          <w:sz w:val="22"/>
          <w:szCs w:val="28"/>
        </w:rPr>
        <w:t xml:space="preserve"> 48</w:t>
      </w:r>
      <w:r w:rsidRPr="00E61EC7">
        <w:rPr>
          <w:sz w:val="22"/>
          <w:szCs w:val="28"/>
        </w:rPr>
        <w:t xml:space="preserve">, </w:t>
      </w:r>
      <w:r w:rsidR="00042FC8" w:rsidRPr="00E61EC7">
        <w:rPr>
          <w:sz w:val="22"/>
          <w:szCs w:val="28"/>
        </w:rPr>
        <w:t>52</w:t>
      </w:r>
      <w:r w:rsidRPr="00E61EC7">
        <w:rPr>
          <w:sz w:val="22"/>
          <w:szCs w:val="28"/>
        </w:rPr>
        <w:t xml:space="preserve"> and </w:t>
      </w:r>
      <w:r w:rsidR="00042FC8" w:rsidRPr="00E61EC7">
        <w:rPr>
          <w:sz w:val="22"/>
          <w:szCs w:val="28"/>
        </w:rPr>
        <w:t>56</w:t>
      </w:r>
      <w:r w:rsidRPr="00E61EC7">
        <w:rPr>
          <w:sz w:val="22"/>
          <w:szCs w:val="28"/>
        </w:rPr>
        <w:t>)</w:t>
      </w:r>
    </w:p>
    <w:p w14:paraId="3F71F62C" w14:textId="3298262F" w:rsidR="00042FC8" w:rsidRPr="00E61EC7" w:rsidRDefault="002A2C48" w:rsidP="00211011">
      <w:r w:rsidRPr="00E61EC7">
        <w:t xml:space="preserve">For the ITT population, the adjusted mean change from </w:t>
      </w:r>
      <w:r w:rsidR="005B01D2" w:rsidRPr="00E61EC7">
        <w:t>Baseline</w:t>
      </w:r>
      <w:r w:rsidRPr="00E61EC7">
        <w:t xml:space="preserve"> in BCVA was 11.8, 10.8, and 10.3 letters in the </w:t>
      </w:r>
      <w:proofErr w:type="spellStart"/>
      <w:r w:rsidRPr="00E61EC7">
        <w:t>faricimab</w:t>
      </w:r>
      <w:proofErr w:type="spellEnd"/>
      <w:r w:rsidRPr="00E61EC7">
        <w:t xml:space="preserve"> </w:t>
      </w:r>
      <w:r w:rsidR="003E5F35" w:rsidRPr="00E61EC7">
        <w:t>every 8 weeks</w:t>
      </w:r>
      <w:r w:rsidRPr="00E61EC7">
        <w:t xml:space="preserve">, </w:t>
      </w:r>
      <w:proofErr w:type="spellStart"/>
      <w:r w:rsidRPr="00E61EC7">
        <w:t>faricimab</w:t>
      </w:r>
      <w:proofErr w:type="spellEnd"/>
      <w:r w:rsidRPr="00E61EC7">
        <w:t xml:space="preserve"> PTI, and aflibercept </w:t>
      </w:r>
      <w:r w:rsidR="003E5F35" w:rsidRPr="00E61EC7">
        <w:t>every 8</w:t>
      </w:r>
      <w:r w:rsidR="00E25A41" w:rsidRPr="00E61EC7">
        <w:t> </w:t>
      </w:r>
      <w:r w:rsidR="003E5F35" w:rsidRPr="00E61EC7">
        <w:t>weeks</w:t>
      </w:r>
      <w:r w:rsidRPr="00E61EC7">
        <w:t xml:space="preserve"> arms, respectively. The difference in adjusted mean change from </w:t>
      </w:r>
      <w:r w:rsidR="005B01D2" w:rsidRPr="00E61EC7">
        <w:t>Baseline</w:t>
      </w:r>
      <w:r w:rsidRPr="00E61EC7">
        <w:t xml:space="preserve"> in BCVA between the </w:t>
      </w:r>
      <w:proofErr w:type="spellStart"/>
      <w:r w:rsidRPr="00E61EC7">
        <w:t>faricimab</w:t>
      </w:r>
      <w:proofErr w:type="spellEnd"/>
      <w:r w:rsidRPr="00E61EC7">
        <w:t xml:space="preserve"> </w:t>
      </w:r>
      <w:r w:rsidR="003E5F35" w:rsidRPr="00E61EC7">
        <w:t>every 8 weeks</w:t>
      </w:r>
      <w:r w:rsidRPr="00E61EC7">
        <w:t xml:space="preserve"> and </w:t>
      </w:r>
      <w:proofErr w:type="spellStart"/>
      <w:r w:rsidRPr="00E61EC7">
        <w:t>faricimab</w:t>
      </w:r>
      <w:proofErr w:type="spellEnd"/>
      <w:r w:rsidRPr="00E61EC7">
        <w:t xml:space="preserve"> PTI arms when compared with the aflibercept </w:t>
      </w:r>
      <w:r w:rsidR="003E5F35" w:rsidRPr="00E61EC7">
        <w:t>every 8 weeks</w:t>
      </w:r>
      <w:r w:rsidRPr="00E61EC7">
        <w:t xml:space="preserve"> arm was 1.5 letters (97.5% CI: -0.1, 3.2) and 0.5 letters (97.5%</w:t>
      </w:r>
      <w:r w:rsidR="00E25A41" w:rsidRPr="00E61EC7">
        <w:t> </w:t>
      </w:r>
      <w:r w:rsidRPr="00E61EC7">
        <w:t>CI: -1.1, 2.1), respectively</w:t>
      </w:r>
      <w:r w:rsidR="00E25A41" w:rsidRPr="00E61EC7">
        <w:t xml:space="preserve"> </w:t>
      </w:r>
      <w:r w:rsidR="00E25A41" w:rsidRPr="00E61EC7">
        <w:rPr>
          <w:szCs w:val="28"/>
        </w:rPr>
        <w:t xml:space="preserve">(see </w:t>
      </w:r>
      <w:r w:rsidR="00E25A41" w:rsidRPr="00E61EC7">
        <w:rPr>
          <w:szCs w:val="28"/>
        </w:rPr>
        <w:fldChar w:fldCharType="begin"/>
      </w:r>
      <w:r w:rsidR="00E25A41" w:rsidRPr="00E61EC7">
        <w:rPr>
          <w:szCs w:val="28"/>
        </w:rPr>
        <w:instrText xml:space="preserve"> REF _Ref102510330 \h  \* MERGEFORMAT </w:instrText>
      </w:r>
      <w:r w:rsidR="00E25A41" w:rsidRPr="00E61EC7">
        <w:rPr>
          <w:szCs w:val="28"/>
        </w:rPr>
      </w:r>
      <w:r w:rsidR="00E25A41" w:rsidRPr="00E61EC7">
        <w:rPr>
          <w:szCs w:val="28"/>
        </w:rPr>
        <w:fldChar w:fldCharType="separate"/>
      </w:r>
      <w:r w:rsidR="001E25B5" w:rsidRPr="001E25B5">
        <w:rPr>
          <w:szCs w:val="28"/>
        </w:rPr>
        <w:t>Table 15</w:t>
      </w:r>
      <w:r w:rsidR="00E25A41" w:rsidRPr="00E61EC7">
        <w:rPr>
          <w:szCs w:val="28"/>
        </w:rPr>
        <w:fldChar w:fldCharType="end"/>
      </w:r>
      <w:r w:rsidR="00E25A41" w:rsidRPr="00E61EC7">
        <w:rPr>
          <w:szCs w:val="28"/>
        </w:rPr>
        <w:t xml:space="preserve"> below)</w:t>
      </w:r>
      <w:r w:rsidRPr="00E61EC7">
        <w:t>.</w:t>
      </w:r>
    </w:p>
    <w:p w14:paraId="11FDD7C5" w14:textId="76F79021" w:rsidR="00042FC8" w:rsidRPr="00E61EC7" w:rsidRDefault="002A2C48" w:rsidP="00211011">
      <w:r w:rsidRPr="00E61EC7">
        <w:t xml:space="preserve">For the </w:t>
      </w:r>
      <w:r w:rsidR="00E25A41" w:rsidRPr="00E61EC7">
        <w:t>treatment-naïve</w:t>
      </w:r>
      <w:r w:rsidRPr="00E61EC7">
        <w:t xml:space="preserve"> population, the difference in adjusted mean change from </w:t>
      </w:r>
      <w:r w:rsidR="005B01D2" w:rsidRPr="00E61EC7">
        <w:t>Baseline</w:t>
      </w:r>
      <w:r w:rsidRPr="00E61EC7">
        <w:t xml:space="preserve"> in BCVA between the </w:t>
      </w:r>
      <w:proofErr w:type="spellStart"/>
      <w:r w:rsidRPr="00E61EC7">
        <w:t>faricimab</w:t>
      </w:r>
      <w:proofErr w:type="spellEnd"/>
      <w:r w:rsidRPr="00E61EC7">
        <w:t xml:space="preserve"> </w:t>
      </w:r>
      <w:r w:rsidR="003E5F35" w:rsidRPr="00E61EC7">
        <w:t>every 8 weeks</w:t>
      </w:r>
      <w:r w:rsidRPr="00E61EC7">
        <w:t xml:space="preserve"> and </w:t>
      </w:r>
      <w:proofErr w:type="spellStart"/>
      <w:r w:rsidRPr="00E61EC7">
        <w:t>faricimab</w:t>
      </w:r>
      <w:proofErr w:type="spellEnd"/>
      <w:r w:rsidRPr="00E61EC7">
        <w:t xml:space="preserve"> PTI arms when compared with the aflibercept </w:t>
      </w:r>
      <w:r w:rsidR="003E5F35" w:rsidRPr="00E61EC7">
        <w:t>every 8 weeks</w:t>
      </w:r>
      <w:r w:rsidRPr="00E61EC7">
        <w:t xml:space="preserve"> arm was 1.1 letters (97.5% CI: -0.7, 3.0) and 0.6 letters (97.5%</w:t>
      </w:r>
      <w:r w:rsidR="00DA0D63" w:rsidRPr="00E61EC7">
        <w:t> </w:t>
      </w:r>
      <w:r w:rsidRPr="00E61EC7">
        <w:t>CI: -1.2, 2.4), respectively</w:t>
      </w:r>
      <w:r w:rsidR="00E25A41" w:rsidRPr="00E61EC7">
        <w:t xml:space="preserve"> </w:t>
      </w:r>
      <w:r w:rsidR="00E25A41" w:rsidRPr="00E61EC7">
        <w:rPr>
          <w:szCs w:val="28"/>
        </w:rPr>
        <w:t>(</w:t>
      </w:r>
      <w:r w:rsidR="00DA0D63" w:rsidRPr="00E61EC7">
        <w:rPr>
          <w:szCs w:val="28"/>
        </w:rPr>
        <w:t xml:space="preserve">see </w:t>
      </w:r>
      <w:r w:rsidR="00E25A41" w:rsidRPr="00E61EC7">
        <w:rPr>
          <w:szCs w:val="28"/>
        </w:rPr>
        <w:fldChar w:fldCharType="begin"/>
      </w:r>
      <w:r w:rsidR="00E25A41" w:rsidRPr="00E61EC7">
        <w:rPr>
          <w:szCs w:val="28"/>
        </w:rPr>
        <w:instrText xml:space="preserve"> REF _Ref102510330 \h  \* MERGEFORMAT </w:instrText>
      </w:r>
      <w:r w:rsidR="00E25A41" w:rsidRPr="00E61EC7">
        <w:rPr>
          <w:szCs w:val="28"/>
        </w:rPr>
      </w:r>
      <w:r w:rsidR="00E25A41" w:rsidRPr="00E61EC7">
        <w:rPr>
          <w:szCs w:val="28"/>
        </w:rPr>
        <w:fldChar w:fldCharType="separate"/>
      </w:r>
      <w:r w:rsidR="001E25B5" w:rsidRPr="001E25B5">
        <w:rPr>
          <w:szCs w:val="28"/>
        </w:rPr>
        <w:t>Table 15</w:t>
      </w:r>
      <w:r w:rsidR="00E25A41" w:rsidRPr="00E61EC7">
        <w:rPr>
          <w:szCs w:val="28"/>
        </w:rPr>
        <w:fldChar w:fldCharType="end"/>
      </w:r>
      <w:r w:rsidR="00DA0D63" w:rsidRPr="00E61EC7">
        <w:rPr>
          <w:szCs w:val="28"/>
        </w:rPr>
        <w:t xml:space="preserve"> below</w:t>
      </w:r>
      <w:r w:rsidR="00E25A41" w:rsidRPr="00E61EC7">
        <w:rPr>
          <w:szCs w:val="28"/>
        </w:rPr>
        <w:t>)</w:t>
      </w:r>
      <w:r w:rsidRPr="00E61EC7">
        <w:t>.</w:t>
      </w:r>
    </w:p>
    <w:p w14:paraId="675FBD1B" w14:textId="6F243CDC" w:rsidR="00211011" w:rsidRPr="00E61EC7" w:rsidRDefault="002A2C48" w:rsidP="00211011">
      <w:pPr>
        <w:pStyle w:val="Heading7"/>
        <w:rPr>
          <w:sz w:val="22"/>
          <w:szCs w:val="28"/>
        </w:rPr>
      </w:pPr>
      <w:r w:rsidRPr="00E61EC7">
        <w:rPr>
          <w:sz w:val="22"/>
          <w:szCs w:val="28"/>
        </w:rPr>
        <w:t>Study GR40398 (</w:t>
      </w:r>
      <w:r w:rsidR="00042FC8" w:rsidRPr="00E61EC7">
        <w:rPr>
          <w:sz w:val="22"/>
          <w:szCs w:val="28"/>
        </w:rPr>
        <w:t>RHINE</w:t>
      </w:r>
      <w:r w:rsidRPr="00E61EC7">
        <w:rPr>
          <w:sz w:val="22"/>
          <w:szCs w:val="28"/>
        </w:rPr>
        <w:t xml:space="preserve"> trial at</w:t>
      </w:r>
      <w:r w:rsidR="00042FC8" w:rsidRPr="00E61EC7">
        <w:rPr>
          <w:sz w:val="22"/>
          <w:szCs w:val="28"/>
        </w:rPr>
        <w:t xml:space="preserve"> Week 92</w:t>
      </w:r>
      <w:r w:rsidRPr="00E61EC7">
        <w:rPr>
          <w:sz w:val="22"/>
          <w:szCs w:val="28"/>
        </w:rPr>
        <w:t xml:space="preserve">, </w:t>
      </w:r>
      <w:r w:rsidR="00042FC8" w:rsidRPr="00E61EC7">
        <w:rPr>
          <w:sz w:val="22"/>
          <w:szCs w:val="28"/>
        </w:rPr>
        <w:t>96</w:t>
      </w:r>
      <w:r w:rsidRPr="00E61EC7">
        <w:rPr>
          <w:sz w:val="22"/>
          <w:szCs w:val="28"/>
        </w:rPr>
        <w:t xml:space="preserve"> and </w:t>
      </w:r>
      <w:r w:rsidR="00042FC8" w:rsidRPr="00E61EC7">
        <w:rPr>
          <w:sz w:val="22"/>
          <w:szCs w:val="28"/>
        </w:rPr>
        <w:t>100</w:t>
      </w:r>
      <w:r w:rsidRPr="00E61EC7">
        <w:rPr>
          <w:sz w:val="22"/>
          <w:szCs w:val="28"/>
        </w:rPr>
        <w:t>)</w:t>
      </w:r>
    </w:p>
    <w:p w14:paraId="524B559D" w14:textId="3741B500" w:rsidR="00042FC8" w:rsidRPr="00E61EC7" w:rsidRDefault="002A2C48" w:rsidP="00211011">
      <w:r w:rsidRPr="00E61EC7">
        <w:t xml:space="preserve">For the ITT population, the adjusted mean change from </w:t>
      </w:r>
      <w:r w:rsidR="005B01D2" w:rsidRPr="00E61EC7">
        <w:t>Baseline</w:t>
      </w:r>
      <w:r w:rsidRPr="00E61EC7">
        <w:t xml:space="preserve"> in BCVA was 10.9, 10.1, and 9.4 letters in the </w:t>
      </w:r>
      <w:proofErr w:type="spellStart"/>
      <w:r w:rsidRPr="00E61EC7">
        <w:t>faricimab</w:t>
      </w:r>
      <w:proofErr w:type="spellEnd"/>
      <w:r w:rsidRPr="00E61EC7">
        <w:t xml:space="preserve"> </w:t>
      </w:r>
      <w:r w:rsidR="003E5F35" w:rsidRPr="00E61EC7">
        <w:t>every 8 weeks</w:t>
      </w:r>
      <w:r w:rsidRPr="00E61EC7">
        <w:t xml:space="preserve">, </w:t>
      </w:r>
      <w:proofErr w:type="spellStart"/>
      <w:r w:rsidRPr="00E61EC7">
        <w:t>faricimab</w:t>
      </w:r>
      <w:proofErr w:type="spellEnd"/>
      <w:r w:rsidRPr="00E61EC7">
        <w:t xml:space="preserve"> PTI, and aflibercept </w:t>
      </w:r>
      <w:r w:rsidR="003E5F35" w:rsidRPr="00E61EC7">
        <w:t>every 8</w:t>
      </w:r>
      <w:r w:rsidR="00DA0D63" w:rsidRPr="00E61EC7">
        <w:t> </w:t>
      </w:r>
      <w:r w:rsidR="003E5F35" w:rsidRPr="00E61EC7">
        <w:t>weeks</w:t>
      </w:r>
      <w:r w:rsidRPr="00E61EC7">
        <w:t xml:space="preserve"> arms, respectively. The difference in adjusted mean change from </w:t>
      </w:r>
      <w:r w:rsidR="005B01D2" w:rsidRPr="00E61EC7">
        <w:t>Baseline</w:t>
      </w:r>
      <w:r w:rsidRPr="00E61EC7">
        <w:t xml:space="preserve"> in BCVA between the </w:t>
      </w:r>
      <w:proofErr w:type="spellStart"/>
      <w:r w:rsidRPr="00E61EC7">
        <w:t>faricimab</w:t>
      </w:r>
      <w:proofErr w:type="spellEnd"/>
      <w:r w:rsidRPr="00E61EC7">
        <w:t xml:space="preserve"> </w:t>
      </w:r>
      <w:r w:rsidR="003E5F35" w:rsidRPr="00E61EC7">
        <w:t>every 8 weeks</w:t>
      </w:r>
      <w:r w:rsidRPr="00E61EC7">
        <w:t xml:space="preserve"> and </w:t>
      </w:r>
      <w:proofErr w:type="spellStart"/>
      <w:r w:rsidRPr="00E61EC7">
        <w:t>faricimab</w:t>
      </w:r>
      <w:proofErr w:type="spellEnd"/>
      <w:r w:rsidRPr="00E61EC7">
        <w:t xml:space="preserve"> PTI arms when compared with the aflibercept </w:t>
      </w:r>
      <w:r w:rsidR="003E5F35" w:rsidRPr="00E61EC7">
        <w:t>every 8 weeks</w:t>
      </w:r>
      <w:r w:rsidRPr="00E61EC7">
        <w:t xml:space="preserve"> arm was 1.5 letters (95% CI: -0.5, 3.6) and 0.7 letters (95%</w:t>
      </w:r>
      <w:r w:rsidR="00DA0D63" w:rsidRPr="00E61EC7">
        <w:t> </w:t>
      </w:r>
      <w:r w:rsidRPr="00E61EC7">
        <w:t>CI: -1.3, 2.7), respectively</w:t>
      </w:r>
      <w:r w:rsidR="00DA0D63" w:rsidRPr="00E61EC7">
        <w:t xml:space="preserve"> </w:t>
      </w:r>
      <w:r w:rsidR="00DA0D63" w:rsidRPr="00E61EC7">
        <w:rPr>
          <w:szCs w:val="28"/>
        </w:rPr>
        <w:t xml:space="preserve">(see </w:t>
      </w:r>
      <w:r w:rsidR="00DA0D63" w:rsidRPr="00E61EC7">
        <w:rPr>
          <w:szCs w:val="28"/>
        </w:rPr>
        <w:fldChar w:fldCharType="begin"/>
      </w:r>
      <w:r w:rsidR="00DA0D63" w:rsidRPr="00E61EC7">
        <w:rPr>
          <w:szCs w:val="28"/>
        </w:rPr>
        <w:instrText xml:space="preserve"> REF _Ref102554733 \h  \* MERGEFORMAT </w:instrText>
      </w:r>
      <w:r w:rsidR="00DA0D63" w:rsidRPr="00E61EC7">
        <w:rPr>
          <w:szCs w:val="28"/>
        </w:rPr>
      </w:r>
      <w:r w:rsidR="00DA0D63" w:rsidRPr="00E61EC7">
        <w:rPr>
          <w:szCs w:val="28"/>
        </w:rPr>
        <w:fldChar w:fldCharType="separate"/>
      </w:r>
      <w:r w:rsidR="001E25B5" w:rsidRPr="001E25B5">
        <w:rPr>
          <w:szCs w:val="28"/>
        </w:rPr>
        <w:t>Table 16</w:t>
      </w:r>
      <w:r w:rsidR="00DA0D63" w:rsidRPr="00E61EC7">
        <w:rPr>
          <w:szCs w:val="28"/>
        </w:rPr>
        <w:fldChar w:fldCharType="end"/>
      </w:r>
      <w:r w:rsidR="00DA0D63" w:rsidRPr="00E61EC7">
        <w:rPr>
          <w:szCs w:val="28"/>
        </w:rPr>
        <w:t xml:space="preserve"> below)</w:t>
      </w:r>
      <w:r w:rsidRPr="00E61EC7">
        <w:t>.</w:t>
      </w:r>
    </w:p>
    <w:p w14:paraId="2F2058F4" w14:textId="39D3DBAC" w:rsidR="00042FC8" w:rsidRPr="00E61EC7" w:rsidRDefault="002A2C48" w:rsidP="00211011">
      <w:r w:rsidRPr="00E61EC7">
        <w:t xml:space="preserve">For the </w:t>
      </w:r>
      <w:r w:rsidR="00E25A41" w:rsidRPr="00E61EC7">
        <w:t>treatment-naïve</w:t>
      </w:r>
      <w:r w:rsidRPr="00E61EC7">
        <w:t xml:space="preserve"> population, the difference in adjusted mean change from </w:t>
      </w:r>
      <w:r w:rsidR="005B01D2" w:rsidRPr="00E61EC7">
        <w:t>Baseline</w:t>
      </w:r>
      <w:r w:rsidRPr="00E61EC7">
        <w:t xml:space="preserve"> in BCVA between the </w:t>
      </w:r>
      <w:proofErr w:type="spellStart"/>
      <w:r w:rsidRPr="00E61EC7">
        <w:t>faricimab</w:t>
      </w:r>
      <w:proofErr w:type="spellEnd"/>
      <w:r w:rsidRPr="00E61EC7">
        <w:t xml:space="preserve"> </w:t>
      </w:r>
      <w:r w:rsidR="003E5F35" w:rsidRPr="00E61EC7">
        <w:t>every 8 weeks</w:t>
      </w:r>
      <w:r w:rsidRPr="00E61EC7">
        <w:t xml:space="preserve"> and </w:t>
      </w:r>
      <w:proofErr w:type="spellStart"/>
      <w:r w:rsidRPr="00E61EC7">
        <w:t>faricimab</w:t>
      </w:r>
      <w:proofErr w:type="spellEnd"/>
      <w:r w:rsidRPr="00E61EC7">
        <w:t xml:space="preserve"> PTI arms when compared with the aflibercept </w:t>
      </w:r>
      <w:r w:rsidR="003E5F35" w:rsidRPr="00E61EC7">
        <w:t>every 8 weeks</w:t>
      </w:r>
      <w:r w:rsidRPr="00E61EC7">
        <w:t xml:space="preserve"> arm was 1.0 letters (95% CI: -1.3, 3.3) and 1.0 letters (95%</w:t>
      </w:r>
      <w:r w:rsidR="00DA0D63" w:rsidRPr="00E61EC7">
        <w:t> </w:t>
      </w:r>
      <w:r w:rsidRPr="00E61EC7">
        <w:t>CI: -1.3, 3.3), respectively</w:t>
      </w:r>
      <w:r w:rsidR="00DA0D63" w:rsidRPr="00E61EC7">
        <w:t xml:space="preserve"> </w:t>
      </w:r>
      <w:r w:rsidR="00DA0D63" w:rsidRPr="00E61EC7">
        <w:rPr>
          <w:szCs w:val="28"/>
        </w:rPr>
        <w:t xml:space="preserve">(see </w:t>
      </w:r>
      <w:r w:rsidR="00DA0D63" w:rsidRPr="00E61EC7">
        <w:rPr>
          <w:szCs w:val="28"/>
        </w:rPr>
        <w:fldChar w:fldCharType="begin"/>
      </w:r>
      <w:r w:rsidR="00DA0D63" w:rsidRPr="00E61EC7">
        <w:rPr>
          <w:szCs w:val="28"/>
        </w:rPr>
        <w:instrText xml:space="preserve"> REF _Ref102554733 \h  \* MERGEFORMAT </w:instrText>
      </w:r>
      <w:r w:rsidR="00DA0D63" w:rsidRPr="00E61EC7">
        <w:rPr>
          <w:szCs w:val="28"/>
        </w:rPr>
      </w:r>
      <w:r w:rsidR="00DA0D63" w:rsidRPr="00E61EC7">
        <w:rPr>
          <w:szCs w:val="28"/>
        </w:rPr>
        <w:fldChar w:fldCharType="separate"/>
      </w:r>
      <w:r w:rsidR="001E25B5" w:rsidRPr="001E25B5">
        <w:rPr>
          <w:szCs w:val="28"/>
        </w:rPr>
        <w:t>Table 16</w:t>
      </w:r>
      <w:r w:rsidR="00DA0D63" w:rsidRPr="00E61EC7">
        <w:rPr>
          <w:szCs w:val="28"/>
        </w:rPr>
        <w:fldChar w:fldCharType="end"/>
      </w:r>
      <w:r w:rsidR="00DA0D63" w:rsidRPr="00E61EC7">
        <w:rPr>
          <w:szCs w:val="28"/>
        </w:rPr>
        <w:t xml:space="preserve"> below)</w:t>
      </w:r>
      <w:r w:rsidRPr="00E61EC7">
        <w:t>.</w:t>
      </w:r>
    </w:p>
    <w:p w14:paraId="07015838" w14:textId="6A8A192D" w:rsidR="00042FC8" w:rsidRPr="00E61EC7" w:rsidRDefault="002A2C48" w:rsidP="00202A6D">
      <w:pPr>
        <w:pStyle w:val="TableTitle"/>
      </w:pPr>
      <w:bookmarkStart w:id="83" w:name="_Ref102510330"/>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15</w:t>
      </w:r>
      <w:r w:rsidR="00C22604" w:rsidRPr="00E61EC7">
        <w:rPr>
          <w:noProof/>
        </w:rPr>
        <w:fldChar w:fldCharType="end"/>
      </w:r>
      <w:bookmarkEnd w:id="82"/>
      <w:bookmarkEnd w:id="83"/>
      <w:r w:rsidR="00DA0D63" w:rsidRPr="00E61EC7">
        <w:t>:</w:t>
      </w:r>
      <w:r w:rsidRPr="00E61EC7">
        <w:t xml:space="preserve"> </w:t>
      </w:r>
      <w:bookmarkStart w:id="84" w:name="_Hlk102416192"/>
      <w:r w:rsidRPr="00E61EC7">
        <w:t>Study GR40398 (RHINE</w:t>
      </w:r>
      <w:r w:rsidR="00DA0D63" w:rsidRPr="00E61EC7">
        <w:t xml:space="preserve"> trial</w:t>
      </w:r>
      <w:r w:rsidRPr="00E61EC7">
        <w:t xml:space="preserve">) </w:t>
      </w:r>
      <w:bookmarkEnd w:id="84"/>
      <w:r w:rsidR="00E84630" w:rsidRPr="00E61EC7">
        <w:t xml:space="preserve">Overview of primary, key secondary, and select secondary efficacy endpoints in the Phase III diabetic macular oedema study </w:t>
      </w:r>
      <w:r w:rsidRPr="00E61EC7">
        <w:t>at Week</w:t>
      </w:r>
      <w:r w:rsidR="00DA0D63" w:rsidRPr="00E61EC7">
        <w:t>s</w:t>
      </w:r>
      <w:r w:rsidRPr="00E61EC7">
        <w:t xml:space="preserve"> 48</w:t>
      </w:r>
      <w:r w:rsidR="00DA0D63" w:rsidRPr="00E61EC7">
        <w:t xml:space="preserve">, </w:t>
      </w:r>
      <w:r w:rsidRPr="00E61EC7">
        <w:t>52</w:t>
      </w:r>
      <w:r w:rsidR="00DA0D63" w:rsidRPr="00E61EC7">
        <w:t xml:space="preserve"> and </w:t>
      </w:r>
      <w:r w:rsidRPr="00E61EC7">
        <w:t>56</w:t>
      </w:r>
    </w:p>
    <w:p w14:paraId="04EE8F6E" w14:textId="24661ADD" w:rsidR="00E84630" w:rsidRPr="00E61EC7" w:rsidRDefault="002A2C48" w:rsidP="00202A6D">
      <w:r w:rsidRPr="00E61EC7">
        <w:rPr>
          <w:noProof/>
          <w:lang w:val="en-GB" w:eastAsia="en-GB"/>
        </w:rPr>
        <w:drawing>
          <wp:inline distT="0" distB="0" distL="0" distR="0" wp14:anchorId="7B8B4B56" wp14:editId="1D489755">
            <wp:extent cx="5400040" cy="4852035"/>
            <wp:effectExtent l="0" t="0" r="0" b="5715"/>
            <wp:docPr id="34" name="Picture 34" descr="Table 15: Study GR40398 (RHINE trial) Overview of primary, key secondary, and select secondary efficacy endpoints in the Phase III diabetic macular oedema study at Weeks 48, 52 an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able 15: Study GR40398 (RHINE trial) Overview of primary, key secondary, and select secondary efficacy endpoints in the Phase III diabetic macular oedema study at Weeks 48, 52 and 56"/>
                    <pic:cNvPicPr/>
                  </pic:nvPicPr>
                  <pic:blipFill>
                    <a:blip r:embed="rId43"/>
                    <a:stretch>
                      <a:fillRect/>
                    </a:stretch>
                  </pic:blipFill>
                  <pic:spPr>
                    <a:xfrm>
                      <a:off x="0" y="0"/>
                      <a:ext cx="5400040" cy="4852035"/>
                    </a:xfrm>
                    <a:prstGeom prst="rect">
                      <a:avLst/>
                    </a:prstGeom>
                  </pic:spPr>
                </pic:pic>
              </a:graphicData>
            </a:graphic>
          </wp:inline>
        </w:drawing>
      </w:r>
    </w:p>
    <w:p w14:paraId="4D740BB8" w14:textId="0F5B3792" w:rsidR="00E84630" w:rsidRPr="00E61EC7" w:rsidRDefault="002A2C48" w:rsidP="00202A6D">
      <w:pPr>
        <w:pStyle w:val="TableDescription"/>
      </w:pPr>
      <w:r w:rsidRPr="00E61EC7">
        <w:t>Abbreviations: BCVA = best</w:t>
      </w:r>
      <w:r w:rsidR="00EC0073" w:rsidRPr="00E61EC7">
        <w:t xml:space="preserve"> </w:t>
      </w:r>
      <w:r w:rsidRPr="00E61EC7">
        <w:t xml:space="preserve">corrected visual acuity; CMH = Cochran-Mantel-Haenszel; CI = confidence interval; CST = central subfield thickness; ETDRS DRS = Early Treatment Diabetic Retinopathy Study diabetic retinopathy severity; ITT = intent-to-treat; MMRM = mixed-model repeated-measures; </w:t>
      </w:r>
      <w:r w:rsidR="00EA7E7A" w:rsidRPr="00E61EC7">
        <w:t xml:space="preserve">N= number of subjects; </w:t>
      </w:r>
      <w:r w:rsidRPr="00E61EC7">
        <w:t>NEI VFQ-25 = National Eye Institute 25-Item Visual Function Questionnaire; PTI = personali</w:t>
      </w:r>
      <w:r w:rsidR="00EC0073" w:rsidRPr="00E61EC7">
        <w:t>s</w:t>
      </w:r>
      <w:r w:rsidRPr="00E61EC7">
        <w:t>ed treatment interval; Q8W = every 8 weeks; Q12W = every 12 weeks; Q16W = every 16 weeks; SE = standard error; TN = treatment naive.</w:t>
      </w:r>
    </w:p>
    <w:p w14:paraId="59A20C12" w14:textId="51DD802D" w:rsidR="00042FC8" w:rsidRPr="00E61EC7" w:rsidRDefault="002A2C48" w:rsidP="00202A6D">
      <w:pPr>
        <w:pStyle w:val="TableDescription"/>
      </w:pPr>
      <w:r w:rsidRPr="00E61EC7">
        <w:t xml:space="preserve">For the MMRM analysis, the model adjusted for treatment group, visit, visit-by-treatment group interaction, baseline BCVA (continuous), baseline BCVA (&lt; 64 letters </w:t>
      </w:r>
      <w:r w:rsidR="00944C26" w:rsidRPr="00E61EC7">
        <w:t>versus</w:t>
      </w:r>
      <w:r w:rsidRPr="00E61EC7">
        <w:t xml:space="preserve"> ≥ 64 letters), region (</w:t>
      </w:r>
      <w:r w:rsidR="00EA7E7A" w:rsidRPr="00E61EC7">
        <w:t>United States</w:t>
      </w:r>
      <w:r w:rsidRPr="00E61EC7">
        <w:t xml:space="preserve"> and Canada, Asia, and the rest of the world), and for the ITT population prior intravitreal </w:t>
      </w:r>
      <w:r w:rsidR="00EA7E7A" w:rsidRPr="00E61EC7">
        <w:t>anti</w:t>
      </w:r>
      <w:r w:rsidR="00EA7E7A" w:rsidRPr="00E61EC7">
        <w:noBreakHyphen/>
        <w:t>vascular endothelial growth factor (anti-VEGF)</w:t>
      </w:r>
      <w:r w:rsidRPr="00E61EC7">
        <w:t xml:space="preserve"> therapy (yes </w:t>
      </w:r>
      <w:r w:rsidR="00944C26" w:rsidRPr="00E61EC7">
        <w:t>versus</w:t>
      </w:r>
      <w:r w:rsidRPr="00E61EC7">
        <w:t xml:space="preserve"> no). An unstructured covariance structure is used. The estimate of the difference between the two groups uses a composite contrast over Weeks</w:t>
      </w:r>
      <w:r w:rsidR="00EA7E7A" w:rsidRPr="00E61EC7">
        <w:t> </w:t>
      </w:r>
      <w:r w:rsidRPr="00E61EC7">
        <w:t xml:space="preserve">48, 52 and 56. Treatment policy strategy and hypothetical strategy were applied to </w:t>
      </w:r>
      <w:r w:rsidR="00EA7E7A" w:rsidRPr="00E61EC7">
        <w:t>non</w:t>
      </w:r>
      <w:r w:rsidR="00EA7E7A" w:rsidRPr="00E61EC7">
        <w:noBreakHyphen/>
        <w:t>coronavirus disease 2019 (non-COVID-19)</w:t>
      </w:r>
      <w:r w:rsidR="009E3920" w:rsidRPr="00E61EC7">
        <w:t>-</w:t>
      </w:r>
      <w:r w:rsidRPr="00E61EC7">
        <w:t>related and COVID-19</w:t>
      </w:r>
      <w:r w:rsidR="009E3920" w:rsidRPr="00E61EC7">
        <w:t>-</w:t>
      </w:r>
      <w:r w:rsidRPr="00E61EC7">
        <w:t>related intercurrent events, respectively. Missing data were implicitly imputed by MMRM. Invalid BCVA values are excluded from analysis.</w:t>
      </w:r>
    </w:p>
    <w:p w14:paraId="17FDCBF6" w14:textId="12548BF9" w:rsidR="00E84630" w:rsidRPr="00E61EC7" w:rsidRDefault="002A2C48" w:rsidP="00202A6D">
      <w:pPr>
        <w:pStyle w:val="TableDescription"/>
      </w:pPr>
      <w:r w:rsidRPr="00E61EC7">
        <w:t xml:space="preserve">Cochran-Mantel-Haenszel (CMH) weighted % for aflibercept arm presented for </w:t>
      </w:r>
      <w:proofErr w:type="spellStart"/>
      <w:r w:rsidRPr="00E61EC7">
        <w:t>faricimab</w:t>
      </w:r>
      <w:proofErr w:type="spellEnd"/>
      <w:r w:rsidRPr="00E61EC7">
        <w:t xml:space="preserve"> </w:t>
      </w:r>
      <w:r w:rsidR="009E3920" w:rsidRPr="00E61EC7">
        <w:t>every 8 weeks</w:t>
      </w:r>
      <w:r w:rsidRPr="00E61EC7">
        <w:t xml:space="preserve"> </w:t>
      </w:r>
      <w:r w:rsidR="00944C26" w:rsidRPr="00E61EC7">
        <w:t>versus</w:t>
      </w:r>
      <w:r w:rsidRPr="00E61EC7">
        <w:t xml:space="preserve"> aflibercept comparison, however the corresponding CMH weighted % for </w:t>
      </w:r>
      <w:proofErr w:type="spellStart"/>
      <w:r w:rsidRPr="00E61EC7">
        <w:t>faricimab</w:t>
      </w:r>
      <w:proofErr w:type="spellEnd"/>
      <w:r w:rsidRPr="00E61EC7">
        <w:t xml:space="preserve"> PTI </w:t>
      </w:r>
      <w:r w:rsidR="00944C26" w:rsidRPr="00E61EC7">
        <w:t>versus</w:t>
      </w:r>
      <w:r w:rsidRPr="00E61EC7">
        <w:t xml:space="preserve"> aflibercept comparison is similar to the one shown above; the weighted estimate is based on CMH test stratified by baseline BCVA score (&lt; 64 letters </w:t>
      </w:r>
      <w:r w:rsidR="00944C26" w:rsidRPr="00E61EC7">
        <w:t>versus</w:t>
      </w:r>
      <w:r w:rsidRPr="00E61EC7">
        <w:t xml:space="preserve"> ≥ 64 letters), region (United States and Canada </w:t>
      </w:r>
      <w:r w:rsidR="00944C26" w:rsidRPr="00E61EC7">
        <w:t>versus</w:t>
      </w:r>
      <w:r w:rsidRPr="00E61EC7">
        <w:t xml:space="preserve"> the rest of the world), and for ITT population prior intravitreal anti-VEGF therapy (yes </w:t>
      </w:r>
      <w:r w:rsidR="00944C26" w:rsidRPr="00E61EC7">
        <w:t>versus</w:t>
      </w:r>
      <w:r w:rsidRPr="00E61EC7">
        <w:t xml:space="preserve"> no). Asia and rest of the world regions are combined due to a small number of enrolled patients. Treatment policy strategy and hypothetical strategy were applied to non-COVID-19</w:t>
      </w:r>
      <w:r w:rsidR="009E3920" w:rsidRPr="00E61EC7">
        <w:t>-</w:t>
      </w:r>
      <w:r w:rsidRPr="00E61EC7">
        <w:t>related and COVID-19</w:t>
      </w:r>
      <w:r w:rsidR="009E3920" w:rsidRPr="00E61EC7">
        <w:t>-</w:t>
      </w:r>
      <w:r w:rsidRPr="00E61EC7">
        <w:t xml:space="preserve">related </w:t>
      </w:r>
      <w:r w:rsidRPr="00E61EC7">
        <w:lastRenderedPageBreak/>
        <w:t>intercurrent events, respectively. Missing assessments were not imputed. Baseline is defined as the last available measurement obtained on or prior to randomi</w:t>
      </w:r>
      <w:r w:rsidR="002843D5" w:rsidRPr="00E61EC7">
        <w:t>s</w:t>
      </w:r>
      <w:r w:rsidRPr="00E61EC7">
        <w:t>ation.</w:t>
      </w:r>
    </w:p>
    <w:p w14:paraId="39AE5439" w14:textId="5F5B825C" w:rsidR="00042FC8" w:rsidRPr="00E61EC7" w:rsidRDefault="002A2C48" w:rsidP="00202A6D">
      <w:pPr>
        <w:pStyle w:val="TableDescription"/>
      </w:pPr>
      <w:r w:rsidRPr="00E61EC7">
        <w:t>97.5% CI is a rounding of 97.52% CI; 95% CI is a rounding of 95.04% CI.</w:t>
      </w:r>
    </w:p>
    <w:p w14:paraId="397955CF" w14:textId="3DC617D0" w:rsidR="00042FC8" w:rsidRPr="00E61EC7" w:rsidRDefault="002A2C48" w:rsidP="00202A6D">
      <w:pPr>
        <w:pStyle w:val="TableTitle"/>
      </w:pPr>
      <w:bookmarkStart w:id="85" w:name="_Ref102554733"/>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16</w:t>
      </w:r>
      <w:r w:rsidR="00C22604" w:rsidRPr="00E61EC7">
        <w:rPr>
          <w:noProof/>
        </w:rPr>
        <w:fldChar w:fldCharType="end"/>
      </w:r>
      <w:bookmarkEnd w:id="85"/>
      <w:r w:rsidR="00DA0D63" w:rsidRPr="00E61EC7">
        <w:t>:</w:t>
      </w:r>
      <w:r w:rsidRPr="00E61EC7">
        <w:t xml:space="preserve"> Study GR40398 (RHINE</w:t>
      </w:r>
      <w:r w:rsidR="00DA0D63" w:rsidRPr="00E61EC7">
        <w:t xml:space="preserve"> trial</w:t>
      </w:r>
      <w:r w:rsidRPr="00E61EC7">
        <w:t xml:space="preserve">) </w:t>
      </w:r>
      <w:r w:rsidR="00680738" w:rsidRPr="00E61EC7">
        <w:t xml:space="preserve">Summary of change from Baseline in best corrected visual acuity in the study eye </w:t>
      </w:r>
      <w:r w:rsidRPr="00E61EC7">
        <w:t>at Week</w:t>
      </w:r>
      <w:r w:rsidR="00DA0D63" w:rsidRPr="00E61EC7">
        <w:t>s</w:t>
      </w:r>
      <w:r w:rsidRPr="00E61EC7">
        <w:t xml:space="preserve"> 92</w:t>
      </w:r>
      <w:r w:rsidR="00DA0D63" w:rsidRPr="00E61EC7">
        <w:t xml:space="preserve">, </w:t>
      </w:r>
      <w:r w:rsidRPr="00E61EC7">
        <w:t>96</w:t>
      </w:r>
      <w:r w:rsidR="00DA0D63" w:rsidRPr="00E61EC7">
        <w:t xml:space="preserve"> and </w:t>
      </w:r>
      <w:r w:rsidRPr="00E61EC7">
        <w:t>100</w:t>
      </w:r>
    </w:p>
    <w:p w14:paraId="6986F36A" w14:textId="1B0CA823" w:rsidR="00680738" w:rsidRPr="00E61EC7" w:rsidRDefault="002A2C48" w:rsidP="00202A6D">
      <w:r w:rsidRPr="00E61EC7">
        <w:rPr>
          <w:noProof/>
          <w:lang w:val="en-GB" w:eastAsia="en-GB"/>
        </w:rPr>
        <w:drawing>
          <wp:inline distT="0" distB="0" distL="0" distR="0" wp14:anchorId="17393E0F" wp14:editId="414D7EFE">
            <wp:extent cx="5400040" cy="3753485"/>
            <wp:effectExtent l="0" t="0" r="0" b="0"/>
            <wp:docPr id="16" name="Picture 16" descr="Table 16: Study GR40398 (RHINE trial) Summary of change from Baseline in best corrected visual acuity in the study eye at Weeks 92, 96 an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 16: Study GR40398 (RHINE trial) Summary of change from Baseline in best corrected visual acuity in the study eye at Weeks 92, 96 and 100"/>
                    <pic:cNvPicPr/>
                  </pic:nvPicPr>
                  <pic:blipFill>
                    <a:blip r:embed="rId44"/>
                    <a:stretch>
                      <a:fillRect/>
                    </a:stretch>
                  </pic:blipFill>
                  <pic:spPr>
                    <a:xfrm>
                      <a:off x="0" y="0"/>
                      <a:ext cx="5400040" cy="3753485"/>
                    </a:xfrm>
                    <a:prstGeom prst="rect">
                      <a:avLst/>
                    </a:prstGeom>
                  </pic:spPr>
                </pic:pic>
              </a:graphicData>
            </a:graphic>
          </wp:inline>
        </w:drawing>
      </w:r>
    </w:p>
    <w:p w14:paraId="5FFD4478" w14:textId="4C6D78FB" w:rsidR="00680738" w:rsidRPr="00E61EC7" w:rsidRDefault="002A2C48" w:rsidP="00202A6D">
      <w:pPr>
        <w:pStyle w:val="TableDescription"/>
      </w:pPr>
      <w:r w:rsidRPr="00E61EC7">
        <w:t xml:space="preserve">Abbreviations: ANCOVA = analysis of covariance; BCVA = best corrected visual acuity; CI = confidence interval; ITT = intent-to-treat; MMRM = mixed model for repeated measures; PTI = personalised treatment interval; Q8W = every 8 weeks; TN = treatment </w:t>
      </w:r>
      <w:r w:rsidR="00ED707C" w:rsidRPr="00E61EC7">
        <w:t>naïve; vs. = versus</w:t>
      </w:r>
      <w:r w:rsidRPr="00E61EC7">
        <w:t>.</w:t>
      </w:r>
    </w:p>
    <w:p w14:paraId="0E9BBCE5" w14:textId="79936239" w:rsidR="00680738" w:rsidRPr="00E61EC7" w:rsidRDefault="002A2C48" w:rsidP="00202A6D">
      <w:pPr>
        <w:pStyle w:val="TableDescription"/>
      </w:pPr>
      <w:r w:rsidRPr="00E61EC7">
        <w:t xml:space="preserve">Personalised treatment interval is from </w:t>
      </w:r>
      <w:r w:rsidR="009E3920" w:rsidRPr="00E61EC7">
        <w:t>every 4 weeks</w:t>
      </w:r>
      <w:r w:rsidRPr="00E61EC7">
        <w:t xml:space="preserve"> up to </w:t>
      </w:r>
      <w:r w:rsidR="009E3920" w:rsidRPr="00E61EC7">
        <w:t>every 16 weeks</w:t>
      </w:r>
      <w:r w:rsidRPr="00E61EC7">
        <w:t>.</w:t>
      </w:r>
    </w:p>
    <w:p w14:paraId="1F7B87CC" w14:textId="46A0B923" w:rsidR="00680738" w:rsidRPr="00E61EC7" w:rsidRDefault="002A2C48" w:rsidP="00202A6D">
      <w:pPr>
        <w:pStyle w:val="TableDescription"/>
      </w:pPr>
      <w:r w:rsidRPr="00E61EC7">
        <w:t xml:space="preserve">Intent-to-treat (ITT) population: </w:t>
      </w:r>
      <w:proofErr w:type="spellStart"/>
      <w:r w:rsidRPr="00E61EC7">
        <w:t>faricimab</w:t>
      </w:r>
      <w:proofErr w:type="spellEnd"/>
      <w:r w:rsidRPr="00E61EC7">
        <w:t xml:space="preserve"> </w:t>
      </w:r>
      <w:r w:rsidR="009E3920" w:rsidRPr="00E61EC7">
        <w:t>every 8 weeks</w:t>
      </w:r>
      <w:r w:rsidRPr="00E61EC7">
        <w:t xml:space="preserve"> = 317, </w:t>
      </w:r>
      <w:proofErr w:type="spellStart"/>
      <w:r w:rsidRPr="00E61EC7">
        <w:t>faricimab</w:t>
      </w:r>
      <w:proofErr w:type="spellEnd"/>
      <w:r w:rsidRPr="00E61EC7">
        <w:t xml:space="preserve"> PTI = 319, aflibercept = 315; TN population: </w:t>
      </w:r>
      <w:proofErr w:type="spellStart"/>
      <w:r w:rsidRPr="00E61EC7">
        <w:t>faricimab</w:t>
      </w:r>
      <w:proofErr w:type="spellEnd"/>
      <w:r w:rsidRPr="00E61EC7">
        <w:t xml:space="preserve"> </w:t>
      </w:r>
      <w:r w:rsidR="009E3920" w:rsidRPr="00E61EC7">
        <w:t>every 8 weeks</w:t>
      </w:r>
      <w:r w:rsidRPr="00E61EC7">
        <w:t xml:space="preserve"> = 254, </w:t>
      </w:r>
      <w:proofErr w:type="spellStart"/>
      <w:r w:rsidRPr="00E61EC7">
        <w:t>faricimab</w:t>
      </w:r>
      <w:proofErr w:type="spellEnd"/>
      <w:r w:rsidRPr="00E61EC7">
        <w:t xml:space="preserve"> PTI = 254, aflibercept = 248; PP population: </w:t>
      </w:r>
      <w:proofErr w:type="spellStart"/>
      <w:r w:rsidRPr="00E61EC7">
        <w:t>faricimab</w:t>
      </w:r>
      <w:proofErr w:type="spellEnd"/>
      <w:r w:rsidRPr="00E61EC7">
        <w:t xml:space="preserve"> </w:t>
      </w:r>
      <w:r w:rsidR="009E3920" w:rsidRPr="00E61EC7">
        <w:t>every 8 weeks</w:t>
      </w:r>
      <w:r w:rsidRPr="00E61EC7">
        <w:t xml:space="preserve"> = 227, </w:t>
      </w:r>
      <w:proofErr w:type="spellStart"/>
      <w:r w:rsidRPr="00E61EC7">
        <w:t>faricimab</w:t>
      </w:r>
      <w:proofErr w:type="spellEnd"/>
      <w:r w:rsidRPr="00E61EC7">
        <w:t xml:space="preserve"> PTI = 244, aflibercept = 237.</w:t>
      </w:r>
    </w:p>
    <w:p w14:paraId="2F7578B4" w14:textId="0EE74C65" w:rsidR="00680738" w:rsidRPr="00E61EC7" w:rsidRDefault="002A2C48" w:rsidP="00202A6D">
      <w:pPr>
        <w:pStyle w:val="TableDescription"/>
      </w:pPr>
      <w:r w:rsidRPr="00E61EC7">
        <w:t xml:space="preserve">For the MMRM analysis, the model adjusted for treatment group, visit, visit-by-treatment group interaction, baseline BCVA (continuous), baseline BCVA (&lt; 64 letters </w:t>
      </w:r>
      <w:r w:rsidR="00944C26" w:rsidRPr="00E61EC7">
        <w:t>versus</w:t>
      </w:r>
      <w:r w:rsidRPr="00E61EC7">
        <w:t xml:space="preserve"> ≥ 64 letters), region (</w:t>
      </w:r>
      <w:r w:rsidR="00EA7E7A" w:rsidRPr="00E61EC7">
        <w:t>United States</w:t>
      </w:r>
      <w:r w:rsidRPr="00E61EC7">
        <w:t xml:space="preserve"> and Canada, Asia, and the rest of the world), and for the ITT and PP population prior intravitreal </w:t>
      </w:r>
      <w:r w:rsidR="00EA7E7A" w:rsidRPr="00E61EC7">
        <w:t>anti-vascular endothelial growth factor (anti-VEGF)</w:t>
      </w:r>
      <w:r w:rsidRPr="00E61EC7">
        <w:t xml:space="preserve"> therapy (yes </w:t>
      </w:r>
      <w:r w:rsidR="00944C26" w:rsidRPr="00E61EC7">
        <w:t>versus</w:t>
      </w:r>
      <w:r w:rsidRPr="00E61EC7">
        <w:t xml:space="preserve"> no). An unstructured covariance structure was used. The estimate of the difference between the two groups used a composite contrast over Weeks 92, 96 and 100.For the treatment policy analysis, observed BCVA assessments were used regardless of the occurrence of intercurrent events. For the hypothetical strategy analysis, hypothetical strategy was applied to </w:t>
      </w:r>
      <w:r w:rsidR="00EA7E7A" w:rsidRPr="00E61EC7">
        <w:t>non-coronavirus disease 2019 (non-COVID-19)</w:t>
      </w:r>
      <w:r w:rsidR="009E3920" w:rsidRPr="00E61EC7">
        <w:t>-</w:t>
      </w:r>
      <w:r w:rsidRPr="00E61EC7">
        <w:t>related and COVID-19</w:t>
      </w:r>
      <w:r w:rsidR="009E3920" w:rsidRPr="00E61EC7">
        <w:t>-</w:t>
      </w:r>
      <w:r w:rsidRPr="00E61EC7">
        <w:t>related intercurrent events. For the MMRM analyses, missing data were implicitly imputed by MMRM.</w:t>
      </w:r>
    </w:p>
    <w:p w14:paraId="229496DE" w14:textId="4F81BEC4" w:rsidR="00680738" w:rsidRPr="00E61EC7" w:rsidRDefault="002A2C48" w:rsidP="00202A6D">
      <w:pPr>
        <w:pStyle w:val="TableDescription"/>
      </w:pPr>
      <w:r w:rsidRPr="00E61EC7">
        <w:t>For trimmed mean analysis, distribution of the test statistics was estimated by permutation test with 30,000 samples. Patients were considered to have the worst outcomes and were trimmed if any of the following occurred: 1.</w:t>
      </w:r>
      <w:r w:rsidR="00ED707C" w:rsidRPr="00E61EC7">
        <w:t xml:space="preserve"> </w:t>
      </w:r>
      <w:r w:rsidRPr="00E61EC7">
        <w:t>Patient has intercurrent events that are not related to COVID-19 prior to Week</w:t>
      </w:r>
      <w:r w:rsidR="00ED707C" w:rsidRPr="00E61EC7">
        <w:t> </w:t>
      </w:r>
      <w:r w:rsidRPr="00E61EC7">
        <w:t>92, 2.</w:t>
      </w:r>
      <w:r w:rsidR="00ED707C" w:rsidRPr="00E61EC7">
        <w:t xml:space="preserve"> </w:t>
      </w:r>
      <w:r w:rsidRPr="00E61EC7">
        <w:t>Patient has a missing BCVA assessment at Week 92 and has intercurrent events that are not related to COVID-19 at Week 92, 3.Patient has missing BCVA assessments at Weeks 92 and 96, and has intercurrent events that are not related to COVID-19 in either one of these two visits, 4.Patient has missing BCVA assessments at Weeks 92, 96 and 100, and has intercurrent events that are not related to COVID-19 in either one of these three visits.</w:t>
      </w:r>
    </w:p>
    <w:p w14:paraId="1D042E40" w14:textId="23FD5549" w:rsidR="00680738" w:rsidRPr="00E61EC7" w:rsidRDefault="002A2C48" w:rsidP="00202A6D">
      <w:pPr>
        <w:pStyle w:val="TableDescription"/>
      </w:pPr>
      <w:r w:rsidRPr="00E61EC7">
        <w:t>For multiple imputation, the analysis is the same as described for ANCOVA below except missing post</w:t>
      </w:r>
      <w:r w:rsidR="00ED707C" w:rsidRPr="00E61EC7">
        <w:noBreakHyphen/>
      </w:r>
      <w:r w:rsidRPr="00E61EC7">
        <w:t xml:space="preserve">baseline BCVA assessments after the occurrence of intercurrent events that were not due to </w:t>
      </w:r>
      <w:r w:rsidRPr="00E61EC7">
        <w:lastRenderedPageBreak/>
        <w:t>COVID</w:t>
      </w:r>
      <w:r w:rsidR="00ED707C" w:rsidRPr="00E61EC7">
        <w:noBreakHyphen/>
      </w:r>
      <w:r w:rsidRPr="00E61EC7">
        <w:t xml:space="preserve">19 were imputed using </w:t>
      </w:r>
      <w:r w:rsidR="00EA7E7A" w:rsidRPr="00E61EC7">
        <w:t>multiple imputation (</w:t>
      </w:r>
      <w:r w:rsidRPr="00E61EC7">
        <w:t>MI</w:t>
      </w:r>
      <w:r w:rsidR="00EA7E7A" w:rsidRPr="00E61EC7">
        <w:t>)</w:t>
      </w:r>
      <w:r w:rsidRPr="00E61EC7">
        <w:t xml:space="preserve"> assuming not </w:t>
      </w:r>
      <w:r w:rsidR="00EA7E7A" w:rsidRPr="00E61EC7">
        <w:t>missing at random (</w:t>
      </w:r>
      <w:r w:rsidRPr="00E61EC7">
        <w:t>MAR</w:t>
      </w:r>
      <w:r w:rsidR="00EA7E7A" w:rsidRPr="00E61EC7">
        <w:t>)</w:t>
      </w:r>
      <w:r w:rsidRPr="00E61EC7">
        <w:t>. BCVA assessments after censoring due to COVID-19</w:t>
      </w:r>
      <w:r w:rsidR="009E3920" w:rsidRPr="00E61EC7">
        <w:t>-</w:t>
      </w:r>
      <w:r w:rsidRPr="00E61EC7">
        <w:t>related intercurrent events were imputed using MI assuming MAR. Other missing post-baseline BCVA assessments were imputed assuming MAR.</w:t>
      </w:r>
    </w:p>
    <w:p w14:paraId="7D8603F3" w14:textId="7CDB89C2" w:rsidR="00680738" w:rsidRPr="00E61EC7" w:rsidRDefault="002A2C48" w:rsidP="00202A6D">
      <w:pPr>
        <w:pStyle w:val="TableDescription"/>
      </w:pPr>
      <w:r w:rsidRPr="00E61EC7">
        <w:t xml:space="preserve">For the ANCOVA analysis, the model used the average of non-missing change from </w:t>
      </w:r>
      <w:r w:rsidR="00944C26" w:rsidRPr="00E61EC7">
        <w:t>B</w:t>
      </w:r>
      <w:r w:rsidRPr="00E61EC7">
        <w:t xml:space="preserve">aseline in BCVA at Weeks 92, 96 and 100 as the response variables adjusted for the treatment group, baseline BCVA (continuous), baseline BCVA (&lt; 64 letters </w:t>
      </w:r>
      <w:r w:rsidR="00944C26" w:rsidRPr="00E61EC7">
        <w:t>versus</w:t>
      </w:r>
      <w:r w:rsidRPr="00E61EC7">
        <w:t xml:space="preserve"> ≥ 64 letters), prior intravitreal anti-VEGF therapy (yes </w:t>
      </w:r>
      <w:r w:rsidR="00944C26" w:rsidRPr="00E61EC7">
        <w:t>versus</w:t>
      </w:r>
      <w:r w:rsidRPr="00E61EC7">
        <w:t xml:space="preserve"> no), and region (</w:t>
      </w:r>
      <w:r w:rsidR="00EA7E7A" w:rsidRPr="00E61EC7">
        <w:t>United States</w:t>
      </w:r>
      <w:r w:rsidRPr="00E61EC7">
        <w:t xml:space="preserve"> and Canada, Asia, and the rest of the world). Treatment policy strategy and hypothetical strategy were applied to non-COVID-19</w:t>
      </w:r>
      <w:r w:rsidR="009E3920" w:rsidRPr="00E61EC7">
        <w:t>-</w:t>
      </w:r>
      <w:r w:rsidRPr="00E61EC7">
        <w:t>related and COVID-19</w:t>
      </w:r>
      <w:r w:rsidR="009E3920" w:rsidRPr="00E61EC7">
        <w:t>-</w:t>
      </w:r>
      <w:r w:rsidRPr="00E61EC7">
        <w:t>related intercurrent events, respectively. Missing data were not imputed. Invalid BCVA values were excluded from analysis.</w:t>
      </w:r>
    </w:p>
    <w:p w14:paraId="182EFE92" w14:textId="73A82D7C" w:rsidR="00042FC8" w:rsidRPr="00E61EC7" w:rsidRDefault="002A2C48" w:rsidP="00202A6D">
      <w:pPr>
        <w:pStyle w:val="TableDescription"/>
      </w:pPr>
      <w:r w:rsidRPr="00E61EC7">
        <w:t>95% CI is a rounding of 95.04% CI.</w:t>
      </w:r>
    </w:p>
    <w:p w14:paraId="4C7224D4" w14:textId="49C79EF8" w:rsidR="00042FC8" w:rsidRPr="00E61EC7" w:rsidRDefault="002A2C48" w:rsidP="00202A6D">
      <w:pPr>
        <w:pStyle w:val="TableTitle"/>
      </w:pPr>
      <w:bookmarkStart w:id="86" w:name="_Ref102510524"/>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17</w:t>
      </w:r>
      <w:r w:rsidR="00C22604" w:rsidRPr="00E61EC7">
        <w:rPr>
          <w:noProof/>
        </w:rPr>
        <w:fldChar w:fldCharType="end"/>
      </w:r>
      <w:bookmarkEnd w:id="86"/>
      <w:r w:rsidR="00DA0D63" w:rsidRPr="00E61EC7">
        <w:t>:</w:t>
      </w:r>
      <w:r w:rsidRPr="00E61EC7">
        <w:t xml:space="preserve"> Studies GR40349 </w:t>
      </w:r>
      <w:r w:rsidR="00035CEC">
        <w:t xml:space="preserve">and GR40398 </w:t>
      </w:r>
      <w:r w:rsidRPr="00E61EC7">
        <w:t>(YOSEMITE</w:t>
      </w:r>
      <w:r w:rsidR="00DA0D63" w:rsidRPr="00E61EC7">
        <w:t xml:space="preserve"> </w:t>
      </w:r>
      <w:r w:rsidR="00035CEC">
        <w:t xml:space="preserve">and RHINE </w:t>
      </w:r>
      <w:r w:rsidR="00DA0D63" w:rsidRPr="00E61EC7">
        <w:t>trial</w:t>
      </w:r>
      <w:r w:rsidR="00035CEC">
        <w:t>s</w:t>
      </w:r>
      <w:r w:rsidRPr="00E61EC7">
        <w:t>) Summary of primary endpoint at Week</w:t>
      </w:r>
      <w:r w:rsidR="00DA0D63" w:rsidRPr="00E61EC7">
        <w:t>s</w:t>
      </w:r>
      <w:r w:rsidRPr="00E61EC7">
        <w:t xml:space="preserve"> 48</w:t>
      </w:r>
      <w:r w:rsidR="00DA0D63" w:rsidRPr="00E61EC7">
        <w:t xml:space="preserve">, </w:t>
      </w:r>
      <w:r w:rsidRPr="00E61EC7">
        <w:t>50</w:t>
      </w:r>
      <w:r w:rsidR="00DA0D63" w:rsidRPr="00E61EC7">
        <w:t xml:space="preserve"> and </w:t>
      </w:r>
      <w:r w:rsidRPr="00E61EC7">
        <w:t>52 testing procedure outcomes</w:t>
      </w:r>
    </w:p>
    <w:tbl>
      <w:tblPr>
        <w:tblStyle w:val="TableTGAblue"/>
        <w:tblW w:w="0" w:type="dxa"/>
        <w:tblLook w:val="04A0" w:firstRow="1" w:lastRow="0" w:firstColumn="1" w:lastColumn="0" w:noHBand="0" w:noVBand="1"/>
      </w:tblPr>
      <w:tblGrid>
        <w:gridCol w:w="4075"/>
        <w:gridCol w:w="2295"/>
        <w:gridCol w:w="2114"/>
      </w:tblGrid>
      <w:tr w:rsidR="00B0264A" w14:paraId="2FF59924" w14:textId="77777777" w:rsidTr="00B0264A">
        <w:trPr>
          <w:cnfStyle w:val="100000000000" w:firstRow="1" w:lastRow="0" w:firstColumn="0" w:lastColumn="0" w:oddVBand="0" w:evenVBand="0" w:oddHBand="0" w:evenHBand="0" w:firstRowFirstColumn="0" w:firstRowLastColumn="0" w:lastRowFirstColumn="0" w:lastRowLastColumn="0"/>
        </w:trPr>
        <w:tc>
          <w:tcPr>
            <w:tcW w:w="4075" w:type="dxa"/>
          </w:tcPr>
          <w:p w14:paraId="51FBA9B6" w14:textId="77777777" w:rsidR="00042FC8" w:rsidRPr="00E61EC7" w:rsidRDefault="002A2C48" w:rsidP="00DA0D63">
            <w:pPr>
              <w:pStyle w:val="TableText0"/>
            </w:pPr>
            <w:r w:rsidRPr="00E61EC7">
              <w:t>Test</w:t>
            </w:r>
          </w:p>
        </w:tc>
        <w:tc>
          <w:tcPr>
            <w:tcW w:w="2295" w:type="dxa"/>
          </w:tcPr>
          <w:p w14:paraId="3EAA9D02" w14:textId="1CEDEAE3" w:rsidR="00042FC8" w:rsidRPr="00E61EC7" w:rsidRDefault="002A2C48" w:rsidP="00DA0D63">
            <w:pPr>
              <w:pStyle w:val="TableText0"/>
            </w:pPr>
            <w:r w:rsidRPr="00E61EC7">
              <w:t xml:space="preserve">YOSEMITE </w:t>
            </w:r>
            <w:r w:rsidR="00DA0D63" w:rsidRPr="00E61EC7">
              <w:t>trial</w:t>
            </w:r>
            <w:r w:rsidRPr="00E61EC7">
              <w:t xml:space="preserve"> outcome</w:t>
            </w:r>
          </w:p>
        </w:tc>
        <w:tc>
          <w:tcPr>
            <w:tcW w:w="2114" w:type="dxa"/>
          </w:tcPr>
          <w:p w14:paraId="3256332A" w14:textId="6678498C" w:rsidR="00042FC8" w:rsidRPr="00E61EC7" w:rsidRDefault="002A2C48" w:rsidP="00DA0D63">
            <w:pPr>
              <w:pStyle w:val="TableText0"/>
            </w:pPr>
            <w:r w:rsidRPr="00E61EC7">
              <w:t xml:space="preserve">RHINE </w:t>
            </w:r>
            <w:r w:rsidR="00DA0D63" w:rsidRPr="00E61EC7">
              <w:t>trial</w:t>
            </w:r>
            <w:r w:rsidRPr="00E61EC7">
              <w:t xml:space="preserve"> outcome</w:t>
            </w:r>
          </w:p>
        </w:tc>
      </w:tr>
      <w:tr w:rsidR="00B0264A" w14:paraId="7ACF05C0" w14:textId="77777777" w:rsidTr="00B0264A">
        <w:tc>
          <w:tcPr>
            <w:tcW w:w="4075" w:type="dxa"/>
          </w:tcPr>
          <w:p w14:paraId="7C00CD78" w14:textId="0D37FBEA" w:rsidR="00042FC8" w:rsidRPr="00E61EC7" w:rsidRDefault="002A2C48" w:rsidP="00DA0D63">
            <w:pPr>
              <w:pStyle w:val="TableText0"/>
            </w:pPr>
            <w:r w:rsidRPr="00E61EC7">
              <w:t xml:space="preserve">Non-inferiority of </w:t>
            </w:r>
            <w:proofErr w:type="spellStart"/>
            <w:r w:rsidRPr="00E61EC7">
              <w:t>faricimab</w:t>
            </w:r>
            <w:proofErr w:type="spellEnd"/>
            <w:r w:rsidRPr="00E61EC7">
              <w:t xml:space="preserve"> compared with aflibercept </w:t>
            </w:r>
            <w:r w:rsidR="003E5F35" w:rsidRPr="00E61EC7">
              <w:t>every 8 weeks</w:t>
            </w:r>
            <w:r w:rsidRPr="00E61EC7">
              <w:t xml:space="preserve"> in the </w:t>
            </w:r>
            <w:r w:rsidR="00ED707C" w:rsidRPr="00E61EC7">
              <w:t>intent-to-treat</w:t>
            </w:r>
            <w:r w:rsidRPr="00E61EC7">
              <w:t xml:space="preserve"> population with a non</w:t>
            </w:r>
            <w:r w:rsidR="00ED707C" w:rsidRPr="00E61EC7">
              <w:noBreakHyphen/>
            </w:r>
            <w:r w:rsidRPr="00E61EC7">
              <w:t>inferiority margin of 4 letters</w:t>
            </w:r>
          </w:p>
        </w:tc>
        <w:tc>
          <w:tcPr>
            <w:tcW w:w="2295" w:type="dxa"/>
          </w:tcPr>
          <w:p w14:paraId="45D77B2A" w14:textId="77777777" w:rsidR="00042FC8" w:rsidRPr="00E61EC7" w:rsidRDefault="002A2C48" w:rsidP="00DA0D63">
            <w:pPr>
              <w:pStyle w:val="TableText0"/>
            </w:pPr>
            <w:r w:rsidRPr="00E61EC7">
              <w:t>Demonstrated</w:t>
            </w:r>
          </w:p>
        </w:tc>
        <w:tc>
          <w:tcPr>
            <w:tcW w:w="2114" w:type="dxa"/>
          </w:tcPr>
          <w:p w14:paraId="769CDCC9" w14:textId="77777777" w:rsidR="00042FC8" w:rsidRPr="00E61EC7" w:rsidRDefault="002A2C48" w:rsidP="00DA0D63">
            <w:pPr>
              <w:pStyle w:val="TableText0"/>
            </w:pPr>
            <w:r w:rsidRPr="00E61EC7">
              <w:t>Demonstrated</w:t>
            </w:r>
          </w:p>
        </w:tc>
      </w:tr>
      <w:tr w:rsidR="00B0264A" w14:paraId="1D84E777" w14:textId="77777777" w:rsidTr="00B0264A">
        <w:tc>
          <w:tcPr>
            <w:tcW w:w="4075" w:type="dxa"/>
          </w:tcPr>
          <w:p w14:paraId="731C84F7" w14:textId="111C6099" w:rsidR="00042FC8" w:rsidRPr="00E61EC7" w:rsidRDefault="002A2C48" w:rsidP="00DA0D63">
            <w:pPr>
              <w:pStyle w:val="TableText0"/>
            </w:pPr>
            <w:r w:rsidRPr="00E61EC7">
              <w:t xml:space="preserve">Superiority of </w:t>
            </w:r>
            <w:proofErr w:type="spellStart"/>
            <w:r w:rsidRPr="00E61EC7">
              <w:t>faricimab</w:t>
            </w:r>
            <w:proofErr w:type="spellEnd"/>
            <w:r w:rsidRPr="00E61EC7">
              <w:t xml:space="preserve"> compared with aflibercept </w:t>
            </w:r>
            <w:r w:rsidR="003E5F35" w:rsidRPr="00E61EC7">
              <w:t>every 8 weeks</w:t>
            </w:r>
            <w:r w:rsidRPr="00E61EC7">
              <w:t xml:space="preserve"> in the </w:t>
            </w:r>
            <w:r w:rsidR="00E25A41" w:rsidRPr="00E61EC7">
              <w:t>treatment-naïve</w:t>
            </w:r>
            <w:r w:rsidRPr="00E61EC7">
              <w:t xml:space="preserve"> population</w:t>
            </w:r>
          </w:p>
        </w:tc>
        <w:tc>
          <w:tcPr>
            <w:tcW w:w="2295" w:type="dxa"/>
          </w:tcPr>
          <w:p w14:paraId="2825FF6D" w14:textId="77777777" w:rsidR="00042FC8" w:rsidRPr="00E61EC7" w:rsidRDefault="002A2C48" w:rsidP="00DA0D63">
            <w:pPr>
              <w:pStyle w:val="TableText0"/>
            </w:pPr>
            <w:r w:rsidRPr="00E61EC7">
              <w:t>Not demonstrated</w:t>
            </w:r>
          </w:p>
        </w:tc>
        <w:tc>
          <w:tcPr>
            <w:tcW w:w="2114" w:type="dxa"/>
          </w:tcPr>
          <w:p w14:paraId="54C4D0A3" w14:textId="77777777" w:rsidR="00042FC8" w:rsidRPr="00E61EC7" w:rsidRDefault="002A2C48" w:rsidP="00DA0D63">
            <w:pPr>
              <w:pStyle w:val="TableText0"/>
            </w:pPr>
            <w:r w:rsidRPr="00E61EC7">
              <w:t>Not demonstrated</w:t>
            </w:r>
          </w:p>
        </w:tc>
      </w:tr>
      <w:tr w:rsidR="00B0264A" w14:paraId="10A6C0F1" w14:textId="77777777" w:rsidTr="00B0264A">
        <w:tc>
          <w:tcPr>
            <w:tcW w:w="4075" w:type="dxa"/>
          </w:tcPr>
          <w:p w14:paraId="0EB08970" w14:textId="0D3F08F0" w:rsidR="00042FC8" w:rsidRPr="00E61EC7" w:rsidRDefault="002A2C48" w:rsidP="00DA0D63">
            <w:pPr>
              <w:pStyle w:val="TableText0"/>
            </w:pPr>
            <w:r w:rsidRPr="00E61EC7">
              <w:t xml:space="preserve">Superiority of </w:t>
            </w:r>
            <w:proofErr w:type="spellStart"/>
            <w:r w:rsidRPr="00E61EC7">
              <w:t>faricimab</w:t>
            </w:r>
            <w:proofErr w:type="spellEnd"/>
            <w:r w:rsidRPr="00E61EC7">
              <w:t xml:space="preserve"> compared with aflibercept </w:t>
            </w:r>
            <w:r w:rsidR="003E5F35" w:rsidRPr="00E61EC7">
              <w:t>every 8 weeks</w:t>
            </w:r>
            <w:r w:rsidRPr="00E61EC7">
              <w:t xml:space="preserve"> in the </w:t>
            </w:r>
            <w:r w:rsidR="00ED707C" w:rsidRPr="00E61EC7">
              <w:t>intent</w:t>
            </w:r>
            <w:r w:rsidR="00ED707C" w:rsidRPr="00E61EC7">
              <w:noBreakHyphen/>
              <w:t xml:space="preserve">to-treat </w:t>
            </w:r>
            <w:r w:rsidRPr="00E61EC7">
              <w:t>population</w:t>
            </w:r>
          </w:p>
        </w:tc>
        <w:tc>
          <w:tcPr>
            <w:tcW w:w="2295" w:type="dxa"/>
          </w:tcPr>
          <w:p w14:paraId="259552EC" w14:textId="77777777" w:rsidR="00042FC8" w:rsidRPr="00E61EC7" w:rsidRDefault="002A2C48" w:rsidP="00DA0D63">
            <w:pPr>
              <w:pStyle w:val="TableText0"/>
            </w:pPr>
            <w:r w:rsidRPr="00E61EC7">
              <w:t>Not demonstrated</w:t>
            </w:r>
          </w:p>
        </w:tc>
        <w:tc>
          <w:tcPr>
            <w:tcW w:w="2114" w:type="dxa"/>
          </w:tcPr>
          <w:p w14:paraId="6C9AFB47" w14:textId="77777777" w:rsidR="00042FC8" w:rsidRPr="00E61EC7" w:rsidRDefault="002A2C48" w:rsidP="00DA0D63">
            <w:pPr>
              <w:pStyle w:val="TableText0"/>
            </w:pPr>
            <w:r w:rsidRPr="00E61EC7">
              <w:t>Not demonstrated</w:t>
            </w:r>
          </w:p>
        </w:tc>
      </w:tr>
    </w:tbl>
    <w:p w14:paraId="684491A0" w14:textId="5BF3BA3C" w:rsidR="00042FC8" w:rsidRPr="00E61EC7" w:rsidRDefault="002A2C48" w:rsidP="00211011">
      <w:r w:rsidRPr="00E61EC7">
        <w:t xml:space="preserve">A summary of primary endpoint at Weeks 48, 50 and 52 testing procedure outcomes are demonstrated in </w:t>
      </w:r>
      <w:r w:rsidRPr="00E61EC7">
        <w:fldChar w:fldCharType="begin"/>
      </w:r>
      <w:r w:rsidRPr="00E61EC7">
        <w:instrText xml:space="preserve"> REF _Ref102510524 \h </w:instrText>
      </w:r>
      <w:r w:rsidR="00E0115A" w:rsidRPr="00E61EC7">
        <w:instrText xml:space="preserve"> \* MERGEFORMAT </w:instrText>
      </w:r>
      <w:r w:rsidRPr="00E61EC7">
        <w:fldChar w:fldCharType="separate"/>
      </w:r>
      <w:r w:rsidR="001E25B5" w:rsidRPr="00E61EC7">
        <w:t xml:space="preserve">Table </w:t>
      </w:r>
      <w:r w:rsidR="001E25B5">
        <w:rPr>
          <w:noProof/>
        </w:rPr>
        <w:t>17</w:t>
      </w:r>
      <w:r w:rsidRPr="00E61EC7">
        <w:fldChar w:fldCharType="end"/>
      </w:r>
      <w:r w:rsidRPr="00E61EC7">
        <w:t xml:space="preserve"> above. The above outcomes were also achieved in the PP population.</w:t>
      </w:r>
    </w:p>
    <w:p w14:paraId="43267A36" w14:textId="77777777" w:rsidR="00DA0D63" w:rsidRPr="00E61EC7" w:rsidRDefault="002A2C48" w:rsidP="00211011">
      <w:pPr>
        <w:pStyle w:val="Heading5"/>
      </w:pPr>
      <w:r w:rsidRPr="00E61EC7">
        <w:t xml:space="preserve">Supportive </w:t>
      </w:r>
      <w:r w:rsidR="00533A7C" w:rsidRPr="00E61EC7">
        <w:t>Phase II</w:t>
      </w:r>
      <w:r w:rsidRPr="00E61EC7">
        <w:t xml:space="preserve"> study</w:t>
      </w:r>
    </w:p>
    <w:p w14:paraId="29938A2F" w14:textId="563E1B5B" w:rsidR="00042FC8" w:rsidRPr="00E61EC7" w:rsidRDefault="002A2C48" w:rsidP="00DA0D63">
      <w:pPr>
        <w:pStyle w:val="Heading6"/>
      </w:pPr>
      <w:r w:rsidRPr="00E61EC7">
        <w:t>Study BP30099 (BOULEVARD trial)</w:t>
      </w:r>
    </w:p>
    <w:p w14:paraId="1C28E57F" w14:textId="6ABCAEAD" w:rsidR="00042FC8" w:rsidRPr="00E61EC7" w:rsidRDefault="002A2C48" w:rsidP="00211011">
      <w:r w:rsidRPr="00E61EC7">
        <w:t xml:space="preserve">The BOULEVARD trial </w:t>
      </w:r>
      <w:r w:rsidR="00EC71F6" w:rsidRPr="00E61EC7">
        <w:t>is</w:t>
      </w:r>
      <w:r w:rsidRPr="00E61EC7">
        <w:t xml:space="preserve"> a </w:t>
      </w:r>
      <w:r w:rsidR="00533A7C" w:rsidRPr="00E61EC7">
        <w:t>Phase II</w:t>
      </w:r>
      <w:r w:rsidRPr="00E61EC7">
        <w:t xml:space="preserve">, 36-week, multicentre (77 centres in </w:t>
      </w:r>
      <w:r w:rsidR="007272A5" w:rsidRPr="00E61EC7">
        <w:t xml:space="preserve">the </w:t>
      </w:r>
      <w:r w:rsidRPr="00E61EC7">
        <w:t>US</w:t>
      </w:r>
      <w:r w:rsidR="00035CEC">
        <w:t>A</w:t>
      </w:r>
      <w:r w:rsidRPr="00E61EC7">
        <w:t xml:space="preserve">), multiple </w:t>
      </w:r>
      <w:proofErr w:type="gramStart"/>
      <w:r w:rsidRPr="00E61EC7">
        <w:t>dose</w:t>
      </w:r>
      <w:proofErr w:type="gramEnd"/>
      <w:r w:rsidRPr="00E61EC7">
        <w:t xml:space="preserve">, randomised, active comparator-controlled, double masked, 3-arm parallel group (1:1:1) study investigating the safety, tolerability, </w:t>
      </w:r>
      <w:r w:rsidR="00306183" w:rsidRPr="00E61EC7">
        <w:t>PK</w:t>
      </w:r>
      <w:r w:rsidRPr="00E61EC7">
        <w:t xml:space="preserve"> and efficacy of </w:t>
      </w:r>
      <w:proofErr w:type="spellStart"/>
      <w:r w:rsidRPr="00E61EC7">
        <w:t>faricimab</w:t>
      </w:r>
      <w:proofErr w:type="spellEnd"/>
      <w:r w:rsidRPr="00E61EC7">
        <w:t xml:space="preserve"> at two different dose levels in 229 adult patients (168 treatment-naïve and 61 previously-treated) with </w:t>
      </w:r>
      <w:r w:rsidR="0039584C" w:rsidRPr="00E61EC7">
        <w:t>DMO</w:t>
      </w:r>
      <w:r w:rsidRPr="00E61EC7">
        <w:t xml:space="preserve"> between 1 April 2016 and 14 December 2017.</w:t>
      </w:r>
    </w:p>
    <w:p w14:paraId="67F90A5B" w14:textId="47BB753F" w:rsidR="00042FC8" w:rsidRPr="00E61EC7" w:rsidRDefault="002A2C48" w:rsidP="00211011">
      <w:r w:rsidRPr="00E61EC7">
        <w:t xml:space="preserve">A total of 168 treatment-naïve patients were randomised 1:1:1 to received either 1.5 mg </w:t>
      </w:r>
      <w:proofErr w:type="spellStart"/>
      <w:r w:rsidRPr="00E61EC7">
        <w:t>faricimab</w:t>
      </w:r>
      <w:proofErr w:type="spellEnd"/>
      <w:r w:rsidRPr="00E61EC7">
        <w:t xml:space="preserve"> </w:t>
      </w:r>
      <w:r w:rsidR="003E5F35" w:rsidRPr="00E61EC7">
        <w:t>every 4 weeks</w:t>
      </w:r>
      <w:r w:rsidRPr="00E61EC7">
        <w:t xml:space="preserve">; 6 mg </w:t>
      </w:r>
      <w:proofErr w:type="spellStart"/>
      <w:r w:rsidRPr="00E61EC7">
        <w:t>faricimab</w:t>
      </w:r>
      <w:proofErr w:type="spellEnd"/>
      <w:r w:rsidRPr="00E61EC7">
        <w:t xml:space="preserve"> </w:t>
      </w:r>
      <w:r w:rsidR="003E5F35" w:rsidRPr="00E61EC7">
        <w:t>every 4 weeks</w:t>
      </w:r>
      <w:r w:rsidRPr="00E61EC7">
        <w:t xml:space="preserve">; or 0.3 mg ranibizumab </w:t>
      </w:r>
      <w:r w:rsidR="003E5F35" w:rsidRPr="00E61EC7">
        <w:t>every 4</w:t>
      </w:r>
      <w:r w:rsidRPr="00E61EC7">
        <w:t> </w:t>
      </w:r>
      <w:r w:rsidR="003E5F35" w:rsidRPr="00E61EC7">
        <w:t>weeks</w:t>
      </w:r>
      <w:r w:rsidRPr="00E61EC7">
        <w:t>.</w:t>
      </w:r>
    </w:p>
    <w:p w14:paraId="580F415D" w14:textId="3B80B542" w:rsidR="00042FC8" w:rsidRPr="00E61EC7" w:rsidRDefault="002A2C48" w:rsidP="00211011">
      <w:r w:rsidRPr="00E61EC7">
        <w:t>There were 61 previously</w:t>
      </w:r>
      <w:r w:rsidR="00E05A45" w:rsidRPr="00E61EC7">
        <w:t xml:space="preserve"> </w:t>
      </w:r>
      <w:r w:rsidRPr="00E61EC7">
        <w:t xml:space="preserve">treated patients randomised 1:1 to 6 mg </w:t>
      </w:r>
      <w:proofErr w:type="spellStart"/>
      <w:r w:rsidRPr="00E61EC7">
        <w:t>faricimab</w:t>
      </w:r>
      <w:proofErr w:type="spellEnd"/>
      <w:r w:rsidRPr="00E61EC7">
        <w:t xml:space="preserve"> </w:t>
      </w:r>
      <w:r w:rsidR="003E5F35" w:rsidRPr="00E61EC7">
        <w:t>every 4</w:t>
      </w:r>
      <w:r w:rsidRPr="00E61EC7">
        <w:t> </w:t>
      </w:r>
      <w:r w:rsidR="003E5F35" w:rsidRPr="00E61EC7">
        <w:t>weeks</w:t>
      </w:r>
      <w:r w:rsidRPr="00E61EC7">
        <w:t xml:space="preserve"> or 0.3mg ranibizumab </w:t>
      </w:r>
      <w:r w:rsidR="003E5F35" w:rsidRPr="00E61EC7">
        <w:t>every 4 weeks</w:t>
      </w:r>
      <w:r w:rsidRPr="00E61EC7">
        <w:t>.</w:t>
      </w:r>
    </w:p>
    <w:p w14:paraId="5C4B73BC" w14:textId="54C53682" w:rsidR="00042FC8" w:rsidRPr="00E61EC7" w:rsidRDefault="002A2C48" w:rsidP="00211011">
      <w:r w:rsidRPr="00E61EC7">
        <w:t>At the end of the treatment phase at Week 20, patients went into an observational period up to Week 36 during which they were evaluated every 4 weeks. Any patient who met both the pre-specified criteria (</w:t>
      </w:r>
      <w:r w:rsidR="00533A7C" w:rsidRPr="00E61EC7">
        <w:t>that is</w:t>
      </w:r>
      <w:r w:rsidRPr="00E61EC7">
        <w:t>, CST increased by 50 µm</w:t>
      </w:r>
      <w:r w:rsidR="00E05A45" w:rsidRPr="00E61EC7">
        <w:t xml:space="preserve"> or more</w:t>
      </w:r>
      <w:r w:rsidRPr="00E61EC7">
        <w:t xml:space="preserve"> and BCVA decreased by 5 letters</w:t>
      </w:r>
      <w:r w:rsidR="00E05A45" w:rsidRPr="00E61EC7">
        <w:t xml:space="preserve"> or more</w:t>
      </w:r>
      <w:r w:rsidRPr="00E61EC7">
        <w:t xml:space="preserve"> due to </w:t>
      </w:r>
      <w:r w:rsidR="0039584C" w:rsidRPr="00E61EC7">
        <w:t>DMO</w:t>
      </w:r>
      <w:r w:rsidRPr="00E61EC7">
        <w:t>) received a single dose of 0.3 mg ranibizumab and exited the study. Otherwise, patients exited the study once they had completed the observational visit at Week 36.</w:t>
      </w:r>
    </w:p>
    <w:p w14:paraId="55A3E32A" w14:textId="4633D75B" w:rsidR="00042FC8" w:rsidRPr="00E61EC7" w:rsidRDefault="002A2C48" w:rsidP="00211011">
      <w:r w:rsidRPr="00E61EC7">
        <w:lastRenderedPageBreak/>
        <w:t xml:space="preserve">This was a superiority study where the primary objective was to evaluate the efficacy of </w:t>
      </w:r>
      <w:proofErr w:type="spellStart"/>
      <w:r w:rsidRPr="00E61EC7">
        <w:t>faricimab</w:t>
      </w:r>
      <w:proofErr w:type="spellEnd"/>
      <w:r w:rsidRPr="00E61EC7">
        <w:t xml:space="preserve"> compared with the active comparator with aflibercept in treatment-naïve patients with centre-involving DMO.</w:t>
      </w:r>
    </w:p>
    <w:p w14:paraId="1B5BE117" w14:textId="2ED6FD82" w:rsidR="00211011" w:rsidRPr="00E61EC7" w:rsidRDefault="002A2C48" w:rsidP="00211011">
      <w:pPr>
        <w:pStyle w:val="Heading6"/>
      </w:pPr>
      <w:r w:rsidRPr="00E61EC7">
        <w:t>Results</w:t>
      </w:r>
    </w:p>
    <w:p w14:paraId="0B4EA35E" w14:textId="15507DA9" w:rsidR="00042FC8" w:rsidRPr="00E61EC7" w:rsidRDefault="002A2C48" w:rsidP="00211011">
      <w:r w:rsidRPr="00E61EC7">
        <w:t xml:space="preserve">The mean change from </w:t>
      </w:r>
      <w:r w:rsidR="005B01D2" w:rsidRPr="00E61EC7">
        <w:t>Baseline</w:t>
      </w:r>
      <w:r w:rsidRPr="00E61EC7">
        <w:t xml:space="preserve"> in BCVA at Week 24 resulted in a statistically significant 3.6 ETDRS letter difference in the 6 mg </w:t>
      </w:r>
      <w:proofErr w:type="spellStart"/>
      <w:r w:rsidRPr="00E61EC7">
        <w:t>faricimab</w:t>
      </w:r>
      <w:proofErr w:type="spellEnd"/>
      <w:r w:rsidRPr="00E61EC7">
        <w:t xml:space="preserve"> </w:t>
      </w:r>
      <w:r w:rsidR="003E5F35" w:rsidRPr="00E61EC7">
        <w:t>every 4 weeks</w:t>
      </w:r>
      <w:r w:rsidRPr="00E61EC7">
        <w:t xml:space="preserve"> arm compared with the 0.3</w:t>
      </w:r>
      <w:r w:rsidR="00E05A45" w:rsidRPr="00E61EC7">
        <w:t> </w:t>
      </w:r>
      <w:r w:rsidRPr="00E61EC7">
        <w:t xml:space="preserve">mg ranibizumab </w:t>
      </w:r>
      <w:r w:rsidR="003E5F35" w:rsidRPr="00E61EC7">
        <w:t>every 4 weeks</w:t>
      </w:r>
      <w:r w:rsidRPr="00E61EC7">
        <w:t xml:space="preserve"> arm (p</w:t>
      </w:r>
      <w:r w:rsidR="00E05A45" w:rsidRPr="00E61EC7">
        <w:t xml:space="preserve"> </w:t>
      </w:r>
      <w:r w:rsidRPr="00E61EC7">
        <w:t>=</w:t>
      </w:r>
      <w:r w:rsidR="00E05A45" w:rsidRPr="00E61EC7">
        <w:t xml:space="preserve"> </w:t>
      </w:r>
      <w:r w:rsidRPr="00E61EC7">
        <w:t xml:space="preserve">0.03, 80% CI: 1.5, 5.6). The difference between the 1.5 mg </w:t>
      </w:r>
      <w:proofErr w:type="spellStart"/>
      <w:r w:rsidRPr="00E61EC7">
        <w:t>faricimab</w:t>
      </w:r>
      <w:proofErr w:type="spellEnd"/>
      <w:r w:rsidRPr="00E61EC7">
        <w:t xml:space="preserve"> </w:t>
      </w:r>
      <w:r w:rsidR="003E5F35" w:rsidRPr="00E61EC7">
        <w:t>every 4 weeks</w:t>
      </w:r>
      <w:r w:rsidRPr="00E61EC7">
        <w:t xml:space="preserve"> arm and the 0.3 mg ranibizumab </w:t>
      </w:r>
      <w:r w:rsidR="003E5F35" w:rsidRPr="00E61EC7">
        <w:t>every 4</w:t>
      </w:r>
      <w:r w:rsidR="00E05A45" w:rsidRPr="00E61EC7">
        <w:t> </w:t>
      </w:r>
      <w:r w:rsidR="003E5F35" w:rsidRPr="00E61EC7">
        <w:t>weeks</w:t>
      </w:r>
      <w:r w:rsidRPr="00E61EC7">
        <w:t xml:space="preserve"> arm was not statistically significant (difference of 1.4 letters, p</w:t>
      </w:r>
      <w:r w:rsidR="00E05A45" w:rsidRPr="00E61EC7">
        <w:t xml:space="preserve"> </w:t>
      </w:r>
      <w:r w:rsidRPr="00E61EC7">
        <w:t>=</w:t>
      </w:r>
      <w:r w:rsidR="00E05A45" w:rsidRPr="00E61EC7">
        <w:t xml:space="preserve"> </w:t>
      </w:r>
      <w:r w:rsidRPr="00E61EC7">
        <w:t>0.37, 80%</w:t>
      </w:r>
      <w:r w:rsidR="00E05A45" w:rsidRPr="00E61EC7">
        <w:t> </w:t>
      </w:r>
      <w:r w:rsidRPr="00E61EC7">
        <w:t xml:space="preserve">CI: </w:t>
      </w:r>
      <w:r w:rsidR="00E05A45" w:rsidRPr="00E61EC7">
        <w:noBreakHyphen/>
      </w:r>
      <w:r w:rsidRPr="00E61EC7">
        <w:t>0.6, 3.4).</w:t>
      </w:r>
    </w:p>
    <w:p w14:paraId="62DE1035" w14:textId="0E710C8C" w:rsidR="00042FC8" w:rsidRPr="00E61EC7" w:rsidRDefault="002A2C48" w:rsidP="00211011">
      <w:r w:rsidRPr="00E61EC7">
        <w:t xml:space="preserve">An overview of the primary and selected secondary and exploratory endpoints is in </w:t>
      </w:r>
      <w:r w:rsidR="00E05A45" w:rsidRPr="00E61EC7">
        <w:fldChar w:fldCharType="begin"/>
      </w:r>
      <w:r w:rsidR="00E05A45" w:rsidRPr="00E61EC7">
        <w:instrText xml:space="preserve"> REF _Ref118311794 \h </w:instrText>
      </w:r>
      <w:r w:rsidR="00E0115A" w:rsidRPr="00E61EC7">
        <w:instrText xml:space="preserve"> \* MERGEFORMAT </w:instrText>
      </w:r>
      <w:r w:rsidR="00E05A45" w:rsidRPr="00E61EC7">
        <w:fldChar w:fldCharType="separate"/>
      </w:r>
      <w:r w:rsidR="001E25B5" w:rsidRPr="00E61EC7">
        <w:t xml:space="preserve">Table </w:t>
      </w:r>
      <w:r w:rsidR="001E25B5">
        <w:rPr>
          <w:noProof/>
        </w:rPr>
        <w:t>18</w:t>
      </w:r>
      <w:r w:rsidR="00E05A45" w:rsidRPr="00E61EC7">
        <w:fldChar w:fldCharType="end"/>
      </w:r>
      <w:r w:rsidR="00E05A45" w:rsidRPr="00E61EC7">
        <w:t xml:space="preserve"> below</w:t>
      </w:r>
      <w:r w:rsidRPr="00E61EC7">
        <w:t>.</w:t>
      </w:r>
    </w:p>
    <w:p w14:paraId="7626A326" w14:textId="2877CAB7" w:rsidR="00E05A45" w:rsidRPr="00E61EC7" w:rsidRDefault="002A2C48" w:rsidP="00441261">
      <w:pPr>
        <w:pStyle w:val="TableTitle"/>
      </w:pPr>
      <w:bookmarkStart w:id="87" w:name="_Ref118311794"/>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18</w:t>
      </w:r>
      <w:r w:rsidR="00C22604" w:rsidRPr="00E61EC7">
        <w:rPr>
          <w:noProof/>
        </w:rPr>
        <w:fldChar w:fldCharType="end"/>
      </w:r>
      <w:bookmarkEnd w:id="87"/>
      <w:r w:rsidRPr="00E61EC7">
        <w:t xml:space="preserve">: Study BP30099 (BOULEVARD trial) </w:t>
      </w:r>
      <w:r w:rsidR="00CC1C73" w:rsidRPr="00E61EC7">
        <w:t xml:space="preserve">Overview of primary and selected secondary and exploratory efficacy </w:t>
      </w:r>
      <w:r w:rsidR="00CC1C73" w:rsidRPr="00441261">
        <w:t>endpoints</w:t>
      </w:r>
      <w:r w:rsidR="00CC1C73" w:rsidRPr="00E61EC7">
        <w:t xml:space="preserve"> at Week 24 (intent-to-treat population, treatment-naive and previously treated patients)</w:t>
      </w:r>
    </w:p>
    <w:p w14:paraId="3DAE0D56" w14:textId="0B385DAE" w:rsidR="00CC1C73" w:rsidRPr="00E61EC7" w:rsidRDefault="002A2C48" w:rsidP="00202A6D">
      <w:r w:rsidRPr="00E61EC7">
        <w:rPr>
          <w:noProof/>
          <w:lang w:val="en-GB" w:eastAsia="en-GB"/>
        </w:rPr>
        <w:drawing>
          <wp:inline distT="0" distB="0" distL="0" distR="0" wp14:anchorId="6BA8E695" wp14:editId="6C64F616">
            <wp:extent cx="5400040" cy="5443855"/>
            <wp:effectExtent l="0" t="0" r="0" b="4445"/>
            <wp:docPr id="38" name="Picture 38" descr="Table 18: Study BP30099 (BOULEVARD trial) Overview of primary and selected secondary and exploratory efficacy endpoints at Week 24 (intent-to-treat population, treatment-naive and previously treated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 18: Study BP30099 (BOULEVARD trial) Overview of primary and selected secondary and exploratory efficacy endpoints at Week 24 (intent-to-treat population, treatment-naive and previously treated patients)"/>
                    <pic:cNvPicPr/>
                  </pic:nvPicPr>
                  <pic:blipFill>
                    <a:blip r:embed="rId45"/>
                    <a:stretch>
                      <a:fillRect/>
                    </a:stretch>
                  </pic:blipFill>
                  <pic:spPr>
                    <a:xfrm>
                      <a:off x="0" y="0"/>
                      <a:ext cx="5400040" cy="5443855"/>
                    </a:xfrm>
                    <a:prstGeom prst="rect">
                      <a:avLst/>
                    </a:prstGeom>
                  </pic:spPr>
                </pic:pic>
              </a:graphicData>
            </a:graphic>
          </wp:inline>
        </w:drawing>
      </w:r>
    </w:p>
    <w:p w14:paraId="0331E33A" w14:textId="018188DC" w:rsidR="00CC1C73" w:rsidRPr="00E61EC7" w:rsidRDefault="002A2C48" w:rsidP="00441261">
      <w:pPr>
        <w:pStyle w:val="TableDescription"/>
      </w:pPr>
      <w:r w:rsidRPr="00E61EC7">
        <w:t xml:space="preserve">Abbreviations: BCVA = best corrected </w:t>
      </w:r>
      <w:r w:rsidRPr="00441261">
        <w:t>visual</w:t>
      </w:r>
      <w:r w:rsidRPr="00E61EC7">
        <w:t xml:space="preserve"> acuity; CI = confidence interval; CST = central subfield thickness; DR = diabetic retinopathy; DRS = diabetic retinopathy severity; ETDRS = Early Treatment Diabetic Retinopathy Study; ILM = internal limiting membrane; ITT = intent-to-treat; LS = least squares; </w:t>
      </w:r>
      <w:r w:rsidR="00ED707C" w:rsidRPr="00E61EC7">
        <w:lastRenderedPageBreak/>
        <w:t xml:space="preserve">N = number of subjects; </w:t>
      </w:r>
      <w:r w:rsidRPr="00E61EC7">
        <w:t>NA = not applicable; NC = not calculated; PT = previously treated patients; Q4W</w:t>
      </w:r>
      <w:r w:rsidR="00ED707C" w:rsidRPr="00E61EC7">
        <w:t> </w:t>
      </w:r>
      <w:r w:rsidRPr="00E61EC7">
        <w:t>= every 4 weeks; RPE = retinal pigment epithelium; TN = treatment-naïve patients.</w:t>
      </w:r>
    </w:p>
    <w:p w14:paraId="49FB998A" w14:textId="6FA41970" w:rsidR="00CC1C73" w:rsidRPr="00E61EC7" w:rsidRDefault="002A2C48" w:rsidP="00202A6D">
      <w:pPr>
        <w:pStyle w:val="TableDescription"/>
      </w:pPr>
      <w:r w:rsidRPr="00E61EC7">
        <w:t>For the MMRM analysis, the model adjusted for treatment group, visit, and visit-by-treatment group interaction, baseline BCVA (continuous), and randomi</w:t>
      </w:r>
      <w:r w:rsidR="002843D5" w:rsidRPr="00E61EC7">
        <w:t>s</w:t>
      </w:r>
      <w:r w:rsidRPr="00E61EC7">
        <w:t>ation stratification factors. An unstructured covariance is used. The model-based estimates of the difference between each of the treatment (</w:t>
      </w:r>
      <w:proofErr w:type="spellStart"/>
      <w:r w:rsidRPr="00E61EC7">
        <w:t>faricimab</w:t>
      </w:r>
      <w:proofErr w:type="spellEnd"/>
      <w:r w:rsidRPr="00E61EC7">
        <w:t>) arms and the control (ranibizumab) group at Week 24 are reported with 80% confidence interval and value (for superiority tests). There was no formal Type I correction for multiple testing.</w:t>
      </w:r>
    </w:p>
    <w:p w14:paraId="434DDE4B" w14:textId="77C02C4E" w:rsidR="00E05A45" w:rsidRPr="00E61EC7" w:rsidRDefault="002A2C48" w:rsidP="00202A6D">
      <w:pPr>
        <w:pStyle w:val="TableDescription"/>
      </w:pPr>
      <w:r w:rsidRPr="00E61EC7">
        <w:t xml:space="preserve">For binary endpoints, the 80% CI for the proportion in each treatment group, absolute risk differences, as well as odds ratios were estimated using </w:t>
      </w:r>
      <w:r w:rsidR="00ED707C" w:rsidRPr="00E61EC7">
        <w:t>generalised estimating equations (</w:t>
      </w:r>
      <w:r w:rsidRPr="00E61EC7">
        <w:t>GEE</w:t>
      </w:r>
      <w:r w:rsidR="00ED707C" w:rsidRPr="00E61EC7">
        <w:t>)</w:t>
      </w:r>
      <w:r w:rsidRPr="00E61EC7">
        <w:t>. The GEE model included the categorical covariates of treatment group, visit, and visit-by-treatment group interaction term. AR</w:t>
      </w:r>
      <w:r w:rsidR="00ED707C" w:rsidRPr="00E61EC7">
        <w:t xml:space="preserve"> </w:t>
      </w:r>
      <w:r w:rsidRPr="00E61EC7">
        <w:t>(1) covariance structure was used to account for correlation over time. Fisher’s exact test was used for the comparisons between the two arms when GEE models did not converge.</w:t>
      </w:r>
    </w:p>
    <w:p w14:paraId="0D2F33C3" w14:textId="77777777" w:rsidR="00042FC8" w:rsidRPr="00E61EC7" w:rsidRDefault="002A2C48" w:rsidP="00211011">
      <w:pPr>
        <w:pStyle w:val="Heading4"/>
      </w:pPr>
      <w:r w:rsidRPr="00E61EC7">
        <w:t>Safety</w:t>
      </w:r>
    </w:p>
    <w:p w14:paraId="66E168F9" w14:textId="77777777" w:rsidR="00042FC8" w:rsidRPr="00E61EC7" w:rsidRDefault="002A2C48" w:rsidP="00211011">
      <w:pPr>
        <w:pStyle w:val="Heading5"/>
        <w:rPr>
          <w:lang w:eastAsia="ja-JP"/>
        </w:rPr>
      </w:pPr>
      <w:r w:rsidRPr="00E61EC7">
        <w:rPr>
          <w:lang w:eastAsia="ja-JP"/>
        </w:rPr>
        <w:t>Exposure</w:t>
      </w:r>
    </w:p>
    <w:p w14:paraId="773CD608" w14:textId="370554A8" w:rsidR="00211011" w:rsidRPr="00E61EC7" w:rsidRDefault="002A2C48" w:rsidP="00410AF5">
      <w:pPr>
        <w:pStyle w:val="Heading6"/>
        <w:rPr>
          <w:szCs w:val="28"/>
          <w:lang w:eastAsia="ja-JP"/>
        </w:rPr>
      </w:pPr>
      <w:r w:rsidRPr="00E61EC7">
        <w:t xml:space="preserve">Pooled </w:t>
      </w:r>
      <w:r w:rsidR="00533A7C" w:rsidRPr="00E61EC7">
        <w:t>Phase III</w:t>
      </w:r>
      <w:r w:rsidRPr="00E61EC7">
        <w:t xml:space="preserve"> </w:t>
      </w:r>
      <w:r w:rsidR="00E05A45" w:rsidRPr="00E61EC7">
        <w:t xml:space="preserve">neovascular age-related macular degeneration </w:t>
      </w:r>
      <w:r w:rsidRPr="00E61EC7">
        <w:t>studies</w:t>
      </w:r>
      <w:r w:rsidR="00410AF5" w:rsidRPr="00E61EC7">
        <w:t xml:space="preserve"> (</w:t>
      </w:r>
      <w:r w:rsidR="00E05A45" w:rsidRPr="00E61EC7">
        <w:rPr>
          <w:szCs w:val="28"/>
          <w:lang w:eastAsia="ja-JP"/>
        </w:rPr>
        <w:t>Study GR40306 (</w:t>
      </w:r>
      <w:r w:rsidRPr="00E61EC7">
        <w:rPr>
          <w:szCs w:val="28"/>
          <w:lang w:eastAsia="ja-JP"/>
        </w:rPr>
        <w:t>TENAYA</w:t>
      </w:r>
      <w:r w:rsidR="00E05A45" w:rsidRPr="00E61EC7">
        <w:rPr>
          <w:szCs w:val="28"/>
          <w:lang w:eastAsia="ja-JP"/>
        </w:rPr>
        <w:t xml:space="preserve"> trial)</w:t>
      </w:r>
      <w:r w:rsidRPr="00E61EC7">
        <w:rPr>
          <w:szCs w:val="28"/>
          <w:lang w:eastAsia="ja-JP"/>
        </w:rPr>
        <w:t xml:space="preserve"> and </w:t>
      </w:r>
      <w:r w:rsidR="00E05A45" w:rsidRPr="00E61EC7">
        <w:rPr>
          <w:szCs w:val="28"/>
          <w:lang w:eastAsia="ja-JP"/>
        </w:rPr>
        <w:t>Study GR40844 (</w:t>
      </w:r>
      <w:r w:rsidRPr="00E61EC7">
        <w:rPr>
          <w:szCs w:val="28"/>
          <w:lang w:eastAsia="ja-JP"/>
        </w:rPr>
        <w:t>LUCERNE</w:t>
      </w:r>
      <w:r w:rsidR="00215642" w:rsidRPr="00E61EC7">
        <w:rPr>
          <w:szCs w:val="28"/>
          <w:lang w:eastAsia="ja-JP"/>
        </w:rPr>
        <w:t xml:space="preserve"> trial</w:t>
      </w:r>
      <w:r w:rsidR="00E05A45" w:rsidRPr="00E61EC7">
        <w:rPr>
          <w:szCs w:val="28"/>
          <w:lang w:eastAsia="ja-JP"/>
        </w:rPr>
        <w:t>)</w:t>
      </w:r>
      <w:r w:rsidR="00410AF5" w:rsidRPr="00E61EC7">
        <w:rPr>
          <w:szCs w:val="28"/>
          <w:lang w:eastAsia="ja-JP"/>
        </w:rPr>
        <w:t>)</w:t>
      </w:r>
    </w:p>
    <w:p w14:paraId="70850DF1" w14:textId="152F0826" w:rsidR="00042FC8" w:rsidRPr="00E61EC7" w:rsidRDefault="002A2C48" w:rsidP="00211011">
      <w:r w:rsidRPr="00E61EC7">
        <w:t xml:space="preserve">The safety profile of </w:t>
      </w:r>
      <w:proofErr w:type="spellStart"/>
      <w:r w:rsidRPr="00E61EC7">
        <w:t>faricimab</w:t>
      </w:r>
      <w:proofErr w:type="spellEnd"/>
      <w:r w:rsidRPr="00E61EC7">
        <w:t xml:space="preserve"> in </w:t>
      </w:r>
      <w:proofErr w:type="spellStart"/>
      <w:r w:rsidRPr="00E61EC7">
        <w:t>nAMD</w:t>
      </w:r>
      <w:proofErr w:type="spellEnd"/>
      <w:r w:rsidRPr="00E61EC7">
        <w:t xml:space="preserve"> population is mainly based on the pooled safety data analysis of the Phase III studies (TENAYA and LUCERNE</w:t>
      </w:r>
      <w:r w:rsidR="00215642" w:rsidRPr="00E61EC7">
        <w:t xml:space="preserve"> trials</w:t>
      </w:r>
      <w:r w:rsidRPr="00E61EC7">
        <w:t>, n</w:t>
      </w:r>
      <w:r w:rsidR="00E05A45" w:rsidRPr="00E61EC7">
        <w:t xml:space="preserve"> </w:t>
      </w:r>
      <w:r w:rsidRPr="00E61EC7">
        <w:t>=</w:t>
      </w:r>
      <w:r w:rsidR="00E05A45" w:rsidRPr="00E61EC7">
        <w:t xml:space="preserve"> </w:t>
      </w:r>
      <w:r w:rsidRPr="00E61EC7">
        <w:t xml:space="preserve">664 with </w:t>
      </w:r>
      <w:proofErr w:type="spellStart"/>
      <w:r w:rsidRPr="00E61EC7">
        <w:t>faricimab</w:t>
      </w:r>
      <w:proofErr w:type="spellEnd"/>
      <w:r w:rsidRPr="00E61EC7">
        <w:t xml:space="preserve"> and n</w:t>
      </w:r>
      <w:r w:rsidR="00E05A45" w:rsidRPr="00E61EC7">
        <w:t xml:space="preserve"> </w:t>
      </w:r>
      <w:r w:rsidRPr="00E61EC7">
        <w:t>=</w:t>
      </w:r>
      <w:r w:rsidR="00E05A45" w:rsidRPr="00E61EC7">
        <w:t xml:space="preserve"> </w:t>
      </w:r>
      <w:r w:rsidRPr="00E61EC7">
        <w:t>662 with aflibercept) up to Week 60. The median duration of treatment exposure was 4</w:t>
      </w:r>
      <w:r w:rsidR="0032504C">
        <w:t>8</w:t>
      </w:r>
      <w:r w:rsidRPr="00E61EC7">
        <w:t xml:space="preserve"> weeks (through Week 48) and </w:t>
      </w:r>
      <w:r w:rsidR="0032504C">
        <w:t>60</w:t>
      </w:r>
      <w:r w:rsidRPr="00E61EC7">
        <w:t xml:space="preserve"> weeks (through Week 60) in both </w:t>
      </w:r>
      <w:proofErr w:type="spellStart"/>
      <w:r w:rsidRPr="00E61EC7">
        <w:t>faricimab</w:t>
      </w:r>
      <w:proofErr w:type="spellEnd"/>
      <w:r w:rsidRPr="00E61EC7">
        <w:t xml:space="preserve"> and aflibercept arms. The mean number of study drug administration was (</w:t>
      </w:r>
      <w:proofErr w:type="spellStart"/>
      <w:r w:rsidRPr="00E61EC7">
        <w:t>faricimab</w:t>
      </w:r>
      <w:proofErr w:type="spellEnd"/>
      <w:r w:rsidRPr="00E61EC7">
        <w:t xml:space="preserve"> </w:t>
      </w:r>
      <w:r w:rsidR="005B01D2" w:rsidRPr="00E61EC7">
        <w:t>versus</w:t>
      </w:r>
      <w:r w:rsidRPr="00E61EC7">
        <w:t xml:space="preserve"> aflibercept): 6.4 </w:t>
      </w:r>
      <w:r w:rsidR="005B01D2" w:rsidRPr="00E61EC7">
        <w:t>versus</w:t>
      </w:r>
      <w:r w:rsidRPr="00E61EC7">
        <w:t xml:space="preserve"> 7.4 (through Week 48) and 7.4 </w:t>
      </w:r>
      <w:r w:rsidR="005B01D2" w:rsidRPr="00E61EC7">
        <w:t>versus</w:t>
      </w:r>
      <w:r w:rsidRPr="00E61EC7">
        <w:t xml:space="preserve"> 8.5 (through Week</w:t>
      </w:r>
      <w:r w:rsidR="00E05A45" w:rsidRPr="00E61EC7">
        <w:t> </w:t>
      </w:r>
      <w:r w:rsidRPr="00E61EC7">
        <w:t>60) (</w:t>
      </w:r>
      <w:r w:rsidR="00E05A45" w:rsidRPr="00E61EC7">
        <w:t xml:space="preserve">see </w:t>
      </w:r>
      <w:r w:rsidR="00E05A45" w:rsidRPr="00E61EC7">
        <w:fldChar w:fldCharType="begin"/>
      </w:r>
      <w:r w:rsidR="00E05A45" w:rsidRPr="00E61EC7">
        <w:instrText xml:space="preserve"> REF _Ref118311996 \h </w:instrText>
      </w:r>
      <w:r w:rsidR="00E0115A" w:rsidRPr="00E61EC7">
        <w:instrText xml:space="preserve"> \* MERGEFORMAT </w:instrText>
      </w:r>
      <w:r w:rsidR="00E05A45" w:rsidRPr="00E61EC7">
        <w:fldChar w:fldCharType="separate"/>
      </w:r>
      <w:r w:rsidR="001E25B5" w:rsidRPr="00E61EC7">
        <w:t xml:space="preserve">Table </w:t>
      </w:r>
      <w:r w:rsidR="001E25B5">
        <w:rPr>
          <w:noProof/>
        </w:rPr>
        <w:t>19</w:t>
      </w:r>
      <w:r w:rsidR="00E05A45" w:rsidRPr="00E61EC7">
        <w:fldChar w:fldCharType="end"/>
      </w:r>
      <w:r w:rsidR="00E05A45" w:rsidRPr="00E61EC7">
        <w:t xml:space="preserve"> below</w:t>
      </w:r>
      <w:r w:rsidRPr="00E61EC7">
        <w:t>).</w:t>
      </w:r>
    </w:p>
    <w:p w14:paraId="2AC2FC04" w14:textId="33770706" w:rsidR="00E05A45" w:rsidRPr="00E61EC7" w:rsidRDefault="002A2C48" w:rsidP="00202A6D">
      <w:pPr>
        <w:pStyle w:val="TableTitle"/>
      </w:pPr>
      <w:bookmarkStart w:id="88" w:name="_Ref118311996"/>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19</w:t>
      </w:r>
      <w:r w:rsidR="00C22604" w:rsidRPr="00E61EC7">
        <w:rPr>
          <w:noProof/>
        </w:rPr>
        <w:fldChar w:fldCharType="end"/>
      </w:r>
      <w:bookmarkEnd w:id="88"/>
      <w:r w:rsidRPr="00E61EC7">
        <w:t xml:space="preserve">: </w:t>
      </w:r>
      <w:r w:rsidR="007A62D7" w:rsidRPr="00E61EC7">
        <w:t xml:space="preserve">Pooled </w:t>
      </w:r>
      <w:r w:rsidRPr="00E61EC7">
        <w:t>Stud</w:t>
      </w:r>
      <w:r w:rsidR="007F4C2E" w:rsidRPr="00E61EC7">
        <w:t>ies</w:t>
      </w:r>
      <w:r w:rsidRPr="00E61EC7">
        <w:t xml:space="preserve"> GR40306</w:t>
      </w:r>
      <w:r w:rsidR="00035CEC">
        <w:t xml:space="preserve"> and GR40844</w:t>
      </w:r>
      <w:r w:rsidRPr="00E61EC7">
        <w:t xml:space="preserve"> (TENAYA </w:t>
      </w:r>
      <w:r w:rsidR="00035CEC">
        <w:t xml:space="preserve">and LUCERNE </w:t>
      </w:r>
      <w:r w:rsidRPr="00E61EC7">
        <w:t>trial</w:t>
      </w:r>
      <w:r w:rsidR="00035CEC">
        <w:t>s</w:t>
      </w:r>
      <w:r w:rsidRPr="00E61EC7">
        <w:t>)</w:t>
      </w:r>
      <w:r w:rsidR="00035CEC">
        <w:t xml:space="preserve"> </w:t>
      </w:r>
      <w:r w:rsidR="007A62D7" w:rsidRPr="00E61EC7">
        <w:t>S</w:t>
      </w:r>
      <w:r w:rsidRPr="00E61EC7">
        <w:t>ummary of study treatment exposure in the study eye</w:t>
      </w:r>
      <w:r w:rsidR="00E623BC" w:rsidRPr="00E61EC7">
        <w:t xml:space="preserve"> through Week 48 from individual and pooled Phase III neovascular age-related macular degeneration studies (pooled safety evaluable population)</w:t>
      </w:r>
    </w:p>
    <w:p w14:paraId="01286B2B" w14:textId="71992811" w:rsidR="00CC1C73" w:rsidRPr="00E61EC7" w:rsidRDefault="002A2C48" w:rsidP="00202A6D">
      <w:pPr>
        <w:rPr>
          <w:lang w:eastAsia="ja-JP"/>
        </w:rPr>
      </w:pPr>
      <w:r w:rsidRPr="00E61EC7">
        <w:rPr>
          <w:noProof/>
          <w:lang w:val="en-GB" w:eastAsia="en-GB"/>
        </w:rPr>
        <w:drawing>
          <wp:inline distT="0" distB="0" distL="0" distR="0" wp14:anchorId="0598ADAC" wp14:editId="16F2CAF0">
            <wp:extent cx="5293360" cy="3374858"/>
            <wp:effectExtent l="0" t="0" r="2540" b="0"/>
            <wp:docPr id="39" name="Picture 39" descr="Table 19: Pooled Studies GR40306 and GR40844 (TENAYA and LUCERNE trials) Summary of study treatment exposure in the study eye through Week 48 from individual and pooled Phase III neovascular age-related macular degeneration studies (pooled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 19: Pooled Studies GR40306 and GR40844 (TENAYA and LUCERNE trials) Summary of study treatment exposure in the study eye through Week 48 from individual and pooled Phase III neovascular age-related macular degeneration studies (pooled safety evaluable population)"/>
                    <pic:cNvPicPr/>
                  </pic:nvPicPr>
                  <pic:blipFill>
                    <a:blip r:embed="rId46"/>
                    <a:stretch>
                      <a:fillRect/>
                    </a:stretch>
                  </pic:blipFill>
                  <pic:spPr>
                    <a:xfrm>
                      <a:off x="0" y="0"/>
                      <a:ext cx="5298210" cy="3377950"/>
                    </a:xfrm>
                    <a:prstGeom prst="rect">
                      <a:avLst/>
                    </a:prstGeom>
                  </pic:spPr>
                </pic:pic>
              </a:graphicData>
            </a:graphic>
          </wp:inline>
        </w:drawing>
      </w:r>
    </w:p>
    <w:p w14:paraId="00E8C9D9" w14:textId="679BA329" w:rsidR="00CC1C73" w:rsidRPr="00E61EC7" w:rsidRDefault="002A2C48" w:rsidP="00202A6D">
      <w:pPr>
        <w:pStyle w:val="TableDescription"/>
      </w:pPr>
      <w:r w:rsidRPr="00E61EC7">
        <w:t>Abbreviations:</w:t>
      </w:r>
      <w:r w:rsidR="00ED707C" w:rsidRPr="00E61EC7">
        <w:t xml:space="preserve"> Max = maximum; Min = minimum; N = number of subjects; n = number of subjects in group; SD = standard deviation</w:t>
      </w:r>
      <w:r w:rsidRPr="00E61EC7">
        <w:t>.</w:t>
      </w:r>
    </w:p>
    <w:p w14:paraId="3C4E425F" w14:textId="7D7A60A8" w:rsidR="00CC1C73" w:rsidRPr="00E61EC7" w:rsidRDefault="002A2C48" w:rsidP="00202A6D">
      <w:pPr>
        <w:pStyle w:val="TableDescription"/>
      </w:pPr>
      <w:r w:rsidRPr="00E61EC7">
        <w:lastRenderedPageBreak/>
        <w:t xml:space="preserve">Study drug corresponds to </w:t>
      </w:r>
      <w:proofErr w:type="spellStart"/>
      <w:r w:rsidRPr="00E61EC7">
        <w:t>faricimab</w:t>
      </w:r>
      <w:proofErr w:type="spellEnd"/>
      <w:r w:rsidRPr="00E61EC7">
        <w:t xml:space="preserve"> or aflibercept. Study treatment corresponds to </w:t>
      </w:r>
      <w:proofErr w:type="spellStart"/>
      <w:r w:rsidRPr="00E61EC7">
        <w:t>faricimab</w:t>
      </w:r>
      <w:proofErr w:type="spellEnd"/>
      <w:r w:rsidRPr="00E61EC7">
        <w:t>, aflibercept or sham. Treatment duration is the (maximum of the date of the last dose of study treatment and the date of the last treatment dose hold) minus the date of the first dose plus one day.</w:t>
      </w:r>
    </w:p>
    <w:p w14:paraId="0FF19319" w14:textId="31B83896" w:rsidR="00CC1C73" w:rsidRPr="00E61EC7" w:rsidRDefault="002A2C48" w:rsidP="00202A6D">
      <w:pPr>
        <w:pStyle w:val="TableDescription"/>
      </w:pPr>
      <w:r w:rsidRPr="00E61EC7">
        <w:t>Includes study treatment received and dose hold on or prior to Day 349 (last day of Week 48 analysis visit window). Percentages are based on N in the</w:t>
      </w:r>
      <w:r w:rsidR="00E623BC" w:rsidRPr="00E61EC7">
        <w:t xml:space="preserve"> </w:t>
      </w:r>
      <w:r w:rsidRPr="00E61EC7">
        <w:t>column headings. The number of study drug administrations may include any active drug administered including medication errors. The number of</w:t>
      </w:r>
      <w:r w:rsidR="00E623BC" w:rsidRPr="00E61EC7">
        <w:t xml:space="preserve"> </w:t>
      </w:r>
      <w:r w:rsidRPr="00E61EC7">
        <w:t>injections</w:t>
      </w:r>
      <w:r w:rsidR="00E623BC" w:rsidRPr="00E61EC7">
        <w:t xml:space="preserve"> </w:t>
      </w:r>
      <w:r w:rsidRPr="00E61EC7">
        <w:t xml:space="preserve">does not </w:t>
      </w:r>
      <w:proofErr w:type="gramStart"/>
      <w:r w:rsidRPr="00E61EC7">
        <w:t>take into account</w:t>
      </w:r>
      <w:proofErr w:type="gramEnd"/>
      <w:r w:rsidRPr="00E61EC7">
        <w:t xml:space="preserve"> the use of prohibited therapies.</w:t>
      </w:r>
    </w:p>
    <w:p w14:paraId="22382FE3" w14:textId="0444F38A" w:rsidR="00211011" w:rsidRPr="00E61EC7" w:rsidRDefault="002A2C48" w:rsidP="00410AF5">
      <w:pPr>
        <w:pStyle w:val="Heading6"/>
        <w:rPr>
          <w:szCs w:val="28"/>
          <w:lang w:eastAsia="ja-JP"/>
        </w:rPr>
      </w:pPr>
      <w:r w:rsidRPr="00E61EC7">
        <w:rPr>
          <w:lang w:eastAsia="ja-JP"/>
        </w:rPr>
        <w:t xml:space="preserve">Pooled </w:t>
      </w:r>
      <w:r w:rsidR="00533A7C" w:rsidRPr="00E61EC7">
        <w:rPr>
          <w:lang w:eastAsia="ja-JP"/>
        </w:rPr>
        <w:t>Phase III</w:t>
      </w:r>
      <w:r w:rsidRPr="00E61EC7">
        <w:rPr>
          <w:lang w:eastAsia="ja-JP"/>
        </w:rPr>
        <w:t xml:space="preserve"> </w:t>
      </w:r>
      <w:r w:rsidR="007F4C2E" w:rsidRPr="00E61EC7">
        <w:rPr>
          <w:lang w:eastAsia="ja-JP"/>
        </w:rPr>
        <w:t xml:space="preserve">diabetic macular oedema </w:t>
      </w:r>
      <w:r w:rsidRPr="00E61EC7">
        <w:rPr>
          <w:lang w:eastAsia="ja-JP"/>
        </w:rPr>
        <w:t>studies</w:t>
      </w:r>
      <w:r w:rsidR="00410AF5" w:rsidRPr="00E61EC7">
        <w:rPr>
          <w:lang w:eastAsia="ja-JP"/>
        </w:rPr>
        <w:t xml:space="preserve"> (</w:t>
      </w:r>
      <w:r w:rsidR="007F4C2E" w:rsidRPr="00E61EC7">
        <w:rPr>
          <w:szCs w:val="28"/>
          <w:lang w:eastAsia="ja-JP"/>
        </w:rPr>
        <w:t>Study GR40349 (</w:t>
      </w:r>
      <w:r w:rsidRPr="00E61EC7">
        <w:rPr>
          <w:szCs w:val="28"/>
          <w:lang w:eastAsia="ja-JP"/>
        </w:rPr>
        <w:t>YOSEMITE</w:t>
      </w:r>
      <w:r w:rsidR="007F4C2E" w:rsidRPr="00E61EC7">
        <w:rPr>
          <w:szCs w:val="28"/>
          <w:lang w:eastAsia="ja-JP"/>
        </w:rPr>
        <w:t xml:space="preserve"> trial)</w:t>
      </w:r>
      <w:r w:rsidRPr="00E61EC7">
        <w:rPr>
          <w:szCs w:val="28"/>
          <w:lang w:eastAsia="ja-JP"/>
        </w:rPr>
        <w:t xml:space="preserve"> and </w:t>
      </w:r>
      <w:r w:rsidR="007F4C2E" w:rsidRPr="00E61EC7">
        <w:rPr>
          <w:szCs w:val="28"/>
          <w:lang w:eastAsia="ja-JP"/>
        </w:rPr>
        <w:t>Study GR40398 (</w:t>
      </w:r>
      <w:r w:rsidRPr="00E61EC7">
        <w:rPr>
          <w:szCs w:val="28"/>
          <w:lang w:eastAsia="ja-JP"/>
        </w:rPr>
        <w:t>RHINE</w:t>
      </w:r>
      <w:r w:rsidR="007F4C2E" w:rsidRPr="00E61EC7">
        <w:rPr>
          <w:szCs w:val="28"/>
          <w:lang w:eastAsia="ja-JP"/>
        </w:rPr>
        <w:t xml:space="preserve"> trial)</w:t>
      </w:r>
      <w:r w:rsidR="00410AF5" w:rsidRPr="00E61EC7">
        <w:rPr>
          <w:szCs w:val="28"/>
          <w:lang w:eastAsia="ja-JP"/>
        </w:rPr>
        <w:t>)</w:t>
      </w:r>
    </w:p>
    <w:p w14:paraId="3B74CF90" w14:textId="5690CD98" w:rsidR="00042FC8" w:rsidRPr="00E61EC7" w:rsidRDefault="002A2C48" w:rsidP="00211011">
      <w:r w:rsidRPr="00E61EC7">
        <w:t xml:space="preserve">The median duration of exposure was 96.1 weeks for all arms. </w:t>
      </w:r>
      <w:r w:rsidR="0032504C" w:rsidRPr="00E61EC7">
        <w:t>1</w:t>
      </w:r>
      <w:r w:rsidR="0032504C">
        <w:t xml:space="preserve">887 </w:t>
      </w:r>
      <w:r w:rsidRPr="00E61EC7">
        <w:t xml:space="preserve">patients received 8536, 7454, and 8349 injections in the study eye, in the </w:t>
      </w:r>
      <w:proofErr w:type="spellStart"/>
      <w:r w:rsidRPr="00E61EC7">
        <w:t>faricimab</w:t>
      </w:r>
      <w:proofErr w:type="spellEnd"/>
      <w:r w:rsidRPr="00E61EC7">
        <w:t xml:space="preserve"> </w:t>
      </w:r>
      <w:r w:rsidR="003E5F35" w:rsidRPr="00E61EC7">
        <w:t>every 8 weeks</w:t>
      </w:r>
      <w:r w:rsidRPr="00E61EC7">
        <w:t xml:space="preserve">, </w:t>
      </w:r>
      <w:proofErr w:type="spellStart"/>
      <w:r w:rsidRPr="00E61EC7">
        <w:t>faricimab</w:t>
      </w:r>
      <w:proofErr w:type="spellEnd"/>
      <w:r w:rsidRPr="00E61EC7">
        <w:t xml:space="preserve"> </w:t>
      </w:r>
      <w:r w:rsidR="0075642C" w:rsidRPr="00E61EC7">
        <w:t>personalised treatment interval (PTI)</w:t>
      </w:r>
      <w:r w:rsidRPr="00E61EC7">
        <w:t xml:space="preserve">, and aflibercept </w:t>
      </w:r>
      <w:r w:rsidR="003E5F35" w:rsidRPr="00E61EC7">
        <w:t>every 8 weeks</w:t>
      </w:r>
      <w:r w:rsidRPr="00E61EC7">
        <w:t xml:space="preserve"> arms, respectively. 70.5%, 69.0%, and 68.5% of patients received at least one anti-</w:t>
      </w:r>
      <w:r w:rsidR="0039584C" w:rsidRPr="00E61EC7">
        <w:t>vascular endothelial growth factor (anti-</w:t>
      </w:r>
      <w:r w:rsidRPr="00E61EC7">
        <w:t>VEGF</w:t>
      </w:r>
      <w:r w:rsidR="0039584C" w:rsidRPr="00E61EC7">
        <w:t>)</w:t>
      </w:r>
      <w:r w:rsidRPr="00E61EC7">
        <w:t xml:space="preserve"> administration in the fellow eye (</w:t>
      </w:r>
      <w:r w:rsidR="007F4C2E" w:rsidRPr="00E61EC7">
        <w:t xml:space="preserve">see </w:t>
      </w:r>
      <w:r w:rsidR="007F4C2E" w:rsidRPr="00E61EC7">
        <w:fldChar w:fldCharType="begin"/>
      </w:r>
      <w:r w:rsidR="007F4C2E" w:rsidRPr="00E61EC7">
        <w:instrText xml:space="preserve"> REF _Ref118312922 \h </w:instrText>
      </w:r>
      <w:r w:rsidR="00E0115A" w:rsidRPr="00E61EC7">
        <w:instrText xml:space="preserve"> \* MERGEFORMAT </w:instrText>
      </w:r>
      <w:r w:rsidR="007F4C2E" w:rsidRPr="00E61EC7">
        <w:fldChar w:fldCharType="separate"/>
      </w:r>
      <w:r w:rsidR="001E25B5" w:rsidRPr="00E61EC7">
        <w:t xml:space="preserve">Table </w:t>
      </w:r>
      <w:r w:rsidR="001E25B5">
        <w:rPr>
          <w:noProof/>
        </w:rPr>
        <w:t>20</w:t>
      </w:r>
      <w:r w:rsidR="007F4C2E" w:rsidRPr="00E61EC7">
        <w:fldChar w:fldCharType="end"/>
      </w:r>
      <w:r w:rsidR="007F4C2E" w:rsidRPr="00E61EC7">
        <w:t xml:space="preserve"> below</w:t>
      </w:r>
      <w:r w:rsidRPr="00E61EC7">
        <w:t>).</w:t>
      </w:r>
    </w:p>
    <w:p w14:paraId="68D12934" w14:textId="797F10CA" w:rsidR="007F4C2E" w:rsidRPr="00E61EC7" w:rsidRDefault="002A2C48" w:rsidP="00202A6D">
      <w:pPr>
        <w:pStyle w:val="TableTitle"/>
      </w:pPr>
      <w:bookmarkStart w:id="89" w:name="_Ref118312922"/>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20</w:t>
      </w:r>
      <w:r w:rsidR="00C22604" w:rsidRPr="00E61EC7">
        <w:rPr>
          <w:noProof/>
        </w:rPr>
        <w:fldChar w:fldCharType="end"/>
      </w:r>
      <w:bookmarkEnd w:id="89"/>
      <w:r w:rsidRPr="00E61EC7">
        <w:t xml:space="preserve">: </w:t>
      </w:r>
      <w:r w:rsidR="007A62D7" w:rsidRPr="00E61EC7">
        <w:t xml:space="preserve">Pooled </w:t>
      </w:r>
      <w:r w:rsidRPr="00E61EC7">
        <w:t xml:space="preserve">Studies GR40349 </w:t>
      </w:r>
      <w:r w:rsidR="00035CEC">
        <w:t xml:space="preserve">and GR40398 </w:t>
      </w:r>
      <w:r w:rsidRPr="00E61EC7">
        <w:t xml:space="preserve">(YOSEMITE </w:t>
      </w:r>
      <w:r w:rsidR="00035CEC">
        <w:t xml:space="preserve">and RHINE </w:t>
      </w:r>
      <w:r w:rsidRPr="00E61EC7">
        <w:t>trial</w:t>
      </w:r>
      <w:r w:rsidR="00035CEC">
        <w:t>s</w:t>
      </w:r>
      <w:r w:rsidR="0069093B">
        <w:t>)</w:t>
      </w:r>
      <w:r w:rsidR="00C2190A">
        <w:t xml:space="preserve"> </w:t>
      </w:r>
      <w:r w:rsidR="007A62D7" w:rsidRPr="00E61EC7">
        <w:t>S</w:t>
      </w:r>
      <w:r w:rsidRPr="00E61EC7">
        <w:t>ummary of study treatment exposure in the study eye</w:t>
      </w:r>
    </w:p>
    <w:p w14:paraId="6D25BC11" w14:textId="77777777" w:rsidR="004457D9" w:rsidRPr="00E61EC7" w:rsidRDefault="002A2C48" w:rsidP="00202A6D">
      <w:pPr>
        <w:rPr>
          <w:lang w:eastAsia="ja-JP"/>
        </w:rPr>
      </w:pPr>
      <w:r w:rsidRPr="00E61EC7">
        <w:rPr>
          <w:noProof/>
          <w:lang w:val="en-GB" w:eastAsia="en-GB"/>
        </w:rPr>
        <w:drawing>
          <wp:inline distT="0" distB="0" distL="0" distR="0" wp14:anchorId="5CAF2511" wp14:editId="63C611C9">
            <wp:extent cx="4968240" cy="5699104"/>
            <wp:effectExtent l="0" t="0" r="3810" b="0"/>
            <wp:docPr id="18" name="Picture 18" descr="Table 20: Pooled Studies GR40349 and GR40398 (YOSEMITE and RHINE trials) Summary of study treatment exposure in the study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 20: Pooled Studies GR40349 and GR40398 (YOSEMITE and RHINE trials) Summary of study treatment exposure in the study eye"/>
                    <pic:cNvPicPr/>
                  </pic:nvPicPr>
                  <pic:blipFill>
                    <a:blip r:embed="rId47"/>
                    <a:stretch>
                      <a:fillRect/>
                    </a:stretch>
                  </pic:blipFill>
                  <pic:spPr>
                    <a:xfrm>
                      <a:off x="0" y="0"/>
                      <a:ext cx="4978742" cy="5711151"/>
                    </a:xfrm>
                    <a:prstGeom prst="rect">
                      <a:avLst/>
                    </a:prstGeom>
                  </pic:spPr>
                </pic:pic>
              </a:graphicData>
            </a:graphic>
          </wp:inline>
        </w:drawing>
      </w:r>
    </w:p>
    <w:p w14:paraId="22F05457" w14:textId="6B27FB3F" w:rsidR="004457D9" w:rsidRPr="00E61EC7" w:rsidRDefault="002A2C48" w:rsidP="00202A6D">
      <w:pPr>
        <w:pStyle w:val="TableDescription"/>
      </w:pPr>
      <w:r w:rsidRPr="00E61EC7">
        <w:lastRenderedPageBreak/>
        <w:t xml:space="preserve">Abbreviations: </w:t>
      </w:r>
      <w:r w:rsidR="00ED707C" w:rsidRPr="00E61EC7">
        <w:t>BCVA = best corrected visual acuity; Max = maximum; Min = minimum; N = number of subjects; n = number of subjects in group; PTI = personalised treatment interval; SD = standard deviation.</w:t>
      </w:r>
    </w:p>
    <w:p w14:paraId="41A6BCF3" w14:textId="4934FF38" w:rsidR="004457D9" w:rsidRPr="00E61EC7" w:rsidRDefault="002A2C48" w:rsidP="00202A6D">
      <w:pPr>
        <w:pStyle w:val="TableDescription"/>
      </w:pPr>
      <w:r w:rsidRPr="00E61EC7">
        <w:t>Personalised treatment interval is from every 4 weeks up to every 16 weeks.</w:t>
      </w:r>
    </w:p>
    <w:p w14:paraId="59F8C422" w14:textId="5F12E771" w:rsidR="004457D9" w:rsidRPr="00E61EC7" w:rsidRDefault="002A2C48" w:rsidP="00202A6D">
      <w:pPr>
        <w:pStyle w:val="TableDescription"/>
      </w:pPr>
      <w:r w:rsidRPr="00E61EC7">
        <w:t xml:space="preserve">Study drug corresponds to </w:t>
      </w:r>
      <w:proofErr w:type="spellStart"/>
      <w:r w:rsidRPr="00E61EC7">
        <w:t>faricimab</w:t>
      </w:r>
      <w:proofErr w:type="spellEnd"/>
      <w:r w:rsidRPr="00E61EC7">
        <w:t xml:space="preserve"> or aflibercept. Study treatment corresponds to </w:t>
      </w:r>
      <w:proofErr w:type="spellStart"/>
      <w:r w:rsidRPr="00E61EC7">
        <w:t>faricimab</w:t>
      </w:r>
      <w:proofErr w:type="spellEnd"/>
      <w:r w:rsidRPr="00E61EC7">
        <w:t xml:space="preserve">, aflibercept or sham. Treatment duration is the (maximum of the date of the last dose of study treatment and the date of the last treatment dose hold) minus the date of the first dose plus one day. Includes study treatment received and dose hold through the end of study. Percentages are based on N in the column headings. The number of study drug administrated may include any active drug administered including medication errors. The number of injections does not </w:t>
      </w:r>
      <w:proofErr w:type="gramStart"/>
      <w:r w:rsidRPr="00E61EC7">
        <w:t>take into account</w:t>
      </w:r>
      <w:proofErr w:type="gramEnd"/>
      <w:r w:rsidRPr="00E61EC7">
        <w:t xml:space="preserve"> the use of prohibited therapies.</w:t>
      </w:r>
    </w:p>
    <w:p w14:paraId="0B4B8847" w14:textId="4CE4926B" w:rsidR="00042FC8" w:rsidRPr="00E61EC7" w:rsidRDefault="002A2C48" w:rsidP="00211011">
      <w:pPr>
        <w:pStyle w:val="Heading5"/>
        <w:rPr>
          <w:lang w:eastAsia="ja-JP"/>
        </w:rPr>
      </w:pPr>
      <w:r w:rsidRPr="00E61EC7">
        <w:rPr>
          <w:lang w:eastAsia="ja-JP"/>
        </w:rPr>
        <w:t>Adverse event</w:t>
      </w:r>
      <w:r w:rsidR="00C2190A">
        <w:rPr>
          <w:lang w:eastAsia="ja-JP"/>
        </w:rPr>
        <w:t>s</w:t>
      </w:r>
    </w:p>
    <w:p w14:paraId="7C85AE36" w14:textId="7D104715" w:rsidR="00211011" w:rsidRPr="00E61EC7" w:rsidRDefault="002A2C48" w:rsidP="00211011">
      <w:pPr>
        <w:pStyle w:val="Heading6"/>
      </w:pPr>
      <w:r w:rsidRPr="00E61EC7">
        <w:t xml:space="preserve">Pooled </w:t>
      </w:r>
      <w:r w:rsidR="00533A7C" w:rsidRPr="00E61EC7">
        <w:t>Phase III</w:t>
      </w:r>
      <w:r w:rsidRPr="00E61EC7">
        <w:t xml:space="preserve"> </w:t>
      </w:r>
      <w:bookmarkStart w:id="90" w:name="_Hlk118314313"/>
      <w:r w:rsidR="007F4C2E" w:rsidRPr="00E61EC7">
        <w:t xml:space="preserve">neovascular age-related macular degeneration </w:t>
      </w:r>
      <w:bookmarkEnd w:id="90"/>
      <w:r w:rsidRPr="00E61EC7">
        <w:t>studies</w:t>
      </w:r>
      <w:r w:rsidR="00410AF5" w:rsidRPr="00E61EC7">
        <w:t xml:space="preserve"> (</w:t>
      </w:r>
      <w:r w:rsidR="007F4C2E" w:rsidRPr="00E61EC7">
        <w:t>Study GR40306 (TENAYA trial) and Study GR40844 (LUCERNE trial)</w:t>
      </w:r>
      <w:r w:rsidR="00410AF5" w:rsidRPr="00E61EC7">
        <w:t>)</w:t>
      </w:r>
    </w:p>
    <w:p w14:paraId="6BB7D1C6" w14:textId="14BA43E3" w:rsidR="00042FC8" w:rsidRPr="00E61EC7" w:rsidRDefault="002A2C48" w:rsidP="00211011">
      <w:r w:rsidRPr="00E61EC7">
        <w:t xml:space="preserve">The most frequently reported </w:t>
      </w:r>
      <w:r w:rsidR="001654B4" w:rsidRPr="00E61EC7">
        <w:t>adverse events (</w:t>
      </w:r>
      <w:r w:rsidRPr="00E61EC7">
        <w:t>AEs</w:t>
      </w:r>
      <w:r w:rsidR="001654B4" w:rsidRPr="00E61EC7">
        <w:t>)</w:t>
      </w:r>
      <w:r w:rsidRPr="00E61EC7">
        <w:t xml:space="preserve"> leading to permanent discontinuation of </w:t>
      </w:r>
      <w:proofErr w:type="spellStart"/>
      <w:r w:rsidRPr="00E61EC7">
        <w:t>faricimab</w:t>
      </w:r>
      <w:proofErr w:type="spellEnd"/>
      <w:r w:rsidRPr="00E61EC7">
        <w:t xml:space="preserve"> were intraocular inflammation (0.6%), which included, uveitis, </w:t>
      </w:r>
      <w:proofErr w:type="spellStart"/>
      <w:r w:rsidRPr="00E61EC7">
        <w:t>vitritis</w:t>
      </w:r>
      <w:proofErr w:type="spellEnd"/>
      <w:r w:rsidRPr="00E61EC7">
        <w:t>, and iridocyclitis</w:t>
      </w:r>
      <w:r w:rsidR="007F4C2E" w:rsidRPr="00E61EC7">
        <w:t xml:space="preserve"> (see </w:t>
      </w:r>
      <w:r w:rsidR="007F4C2E" w:rsidRPr="00E61EC7">
        <w:fldChar w:fldCharType="begin"/>
      </w:r>
      <w:r w:rsidR="007F4C2E" w:rsidRPr="00E61EC7">
        <w:instrText xml:space="preserve"> REF _Ref118313114 \h </w:instrText>
      </w:r>
      <w:r w:rsidR="00E0115A" w:rsidRPr="00E61EC7">
        <w:instrText xml:space="preserve"> \* MERGEFORMAT </w:instrText>
      </w:r>
      <w:r w:rsidR="007F4C2E" w:rsidRPr="00E61EC7">
        <w:fldChar w:fldCharType="separate"/>
      </w:r>
      <w:r w:rsidR="001E25B5" w:rsidRPr="00E61EC7">
        <w:t xml:space="preserve">Table </w:t>
      </w:r>
      <w:r w:rsidR="001E25B5">
        <w:rPr>
          <w:noProof/>
        </w:rPr>
        <w:t>21</w:t>
      </w:r>
      <w:r w:rsidR="007F4C2E" w:rsidRPr="00E61EC7">
        <w:fldChar w:fldCharType="end"/>
      </w:r>
      <w:r w:rsidR="007F4C2E" w:rsidRPr="00E61EC7">
        <w:t xml:space="preserve"> below).</w:t>
      </w:r>
    </w:p>
    <w:p w14:paraId="05F78BCC" w14:textId="7961C0D5" w:rsidR="00042FC8" w:rsidRPr="00E61EC7" w:rsidRDefault="002A2C48" w:rsidP="00211011">
      <w:r w:rsidRPr="00E61EC7">
        <w:t>The incidence of ocular AEs in the study eye was generally similar between the treatment arms (</w:t>
      </w:r>
      <w:proofErr w:type="spellStart"/>
      <w:r w:rsidRPr="00E61EC7">
        <w:t>faricimab</w:t>
      </w:r>
      <w:proofErr w:type="spellEnd"/>
      <w:r w:rsidRPr="00E61EC7">
        <w:t xml:space="preserve"> and aflibercept): 38% </w:t>
      </w:r>
      <w:r w:rsidR="005B01D2" w:rsidRPr="00E61EC7">
        <w:t>versus</w:t>
      </w:r>
      <w:r w:rsidRPr="00E61EC7">
        <w:t xml:space="preserve"> 37%</w:t>
      </w:r>
      <w:r w:rsidR="007F4C2E" w:rsidRPr="00E61EC7">
        <w:t xml:space="preserve"> at Week 48</w:t>
      </w:r>
      <w:r w:rsidRPr="00E61EC7">
        <w:t>;</w:t>
      </w:r>
      <w:r w:rsidR="007F4C2E" w:rsidRPr="00E61EC7">
        <w:t xml:space="preserve"> </w:t>
      </w:r>
      <w:r w:rsidRPr="00E61EC7">
        <w:t xml:space="preserve">42% </w:t>
      </w:r>
      <w:r w:rsidR="005B01D2" w:rsidRPr="00E61EC7">
        <w:t>versus</w:t>
      </w:r>
      <w:r w:rsidRPr="00E61EC7">
        <w:t xml:space="preserve"> 40%</w:t>
      </w:r>
      <w:r w:rsidR="007F4C2E" w:rsidRPr="00E61EC7">
        <w:t xml:space="preserve"> at Week 60</w:t>
      </w:r>
      <w:r w:rsidRPr="00E61EC7">
        <w:t>.</w:t>
      </w:r>
    </w:p>
    <w:p w14:paraId="04BAD61F" w14:textId="261E2142" w:rsidR="00042FC8" w:rsidRPr="00E61EC7" w:rsidRDefault="002A2C48" w:rsidP="00211011">
      <w:r w:rsidRPr="00E61EC7">
        <w:t xml:space="preserve">Through Week 60, the most common ocular AEs (5% </w:t>
      </w:r>
      <w:r w:rsidR="007F4C2E" w:rsidRPr="00E61EC7">
        <w:t xml:space="preserve">or more </w:t>
      </w:r>
      <w:r w:rsidRPr="00E61EC7">
        <w:t xml:space="preserve">incidence in any treatment arm) in the study eye by </w:t>
      </w:r>
      <w:r w:rsidR="007F4C2E" w:rsidRPr="00E61EC7">
        <w:t>Preferred Term</w:t>
      </w:r>
      <w:r w:rsidRPr="00E61EC7">
        <w:t xml:space="preserve"> were (</w:t>
      </w:r>
      <w:proofErr w:type="spellStart"/>
      <w:r w:rsidRPr="00E61EC7">
        <w:t>faricimab</w:t>
      </w:r>
      <w:proofErr w:type="spellEnd"/>
      <w:r w:rsidRPr="00E61EC7">
        <w:t xml:space="preserve"> </w:t>
      </w:r>
      <w:r w:rsidR="005B01D2" w:rsidRPr="00E61EC7">
        <w:t>versus</w:t>
      </w:r>
      <w:r w:rsidRPr="00E61EC7">
        <w:t xml:space="preserve"> aflibercept): conjunctival haemorrhage (8% </w:t>
      </w:r>
      <w:r w:rsidR="005B01D2" w:rsidRPr="00E61EC7">
        <w:t>versus</w:t>
      </w:r>
      <w:r w:rsidRPr="00E61EC7">
        <w:t xml:space="preserve"> 8%), wet AMD (7% </w:t>
      </w:r>
      <w:r w:rsidR="005B01D2" w:rsidRPr="00E61EC7">
        <w:t>versus</w:t>
      </w:r>
      <w:r w:rsidRPr="00E61EC7">
        <w:t xml:space="preserve"> 6%) and cataract (5% </w:t>
      </w:r>
      <w:r w:rsidR="005B01D2" w:rsidRPr="00E61EC7">
        <w:t>versus</w:t>
      </w:r>
      <w:r w:rsidRPr="00E61EC7">
        <w:t xml:space="preserve"> 3%).</w:t>
      </w:r>
    </w:p>
    <w:p w14:paraId="0EB521E8" w14:textId="34BDE19A" w:rsidR="00042FC8" w:rsidRPr="00E61EC7" w:rsidRDefault="002A2C48" w:rsidP="00211011">
      <w:r w:rsidRPr="00E61EC7">
        <w:t xml:space="preserve">Adverse events (AEs) by </w:t>
      </w:r>
      <w:proofErr w:type="spellStart"/>
      <w:r w:rsidRPr="00E61EC7">
        <w:t>faricimab</w:t>
      </w:r>
      <w:proofErr w:type="spellEnd"/>
      <w:r w:rsidRPr="00E61EC7">
        <w:t xml:space="preserve"> dosing intervals: The incidences of ocular AEs, </w:t>
      </w:r>
      <w:r w:rsidR="001654B4" w:rsidRPr="00E61EC7">
        <w:t>adverse events of special interest (</w:t>
      </w:r>
      <w:r w:rsidRPr="00E61EC7">
        <w:t>AESI</w:t>
      </w:r>
      <w:r w:rsidR="001654B4" w:rsidRPr="00E61EC7">
        <w:t>)</w:t>
      </w:r>
      <w:r w:rsidRPr="00E61EC7">
        <w:t xml:space="preserve"> and </w:t>
      </w:r>
      <w:r w:rsidR="001654B4" w:rsidRPr="00E61EC7">
        <w:t>serious adverse events (</w:t>
      </w:r>
      <w:r w:rsidRPr="00E61EC7">
        <w:t>SAEs</w:t>
      </w:r>
      <w:r w:rsidR="001654B4" w:rsidRPr="00E61EC7">
        <w:t>)</w:t>
      </w:r>
      <w:r w:rsidRPr="00E61EC7">
        <w:t xml:space="preserve"> were higher in the </w:t>
      </w:r>
      <w:proofErr w:type="spellStart"/>
      <w:r w:rsidRPr="00E61EC7">
        <w:t>faricimab</w:t>
      </w:r>
      <w:proofErr w:type="spellEnd"/>
      <w:r w:rsidRPr="00E61EC7">
        <w:t xml:space="preserve"> </w:t>
      </w:r>
      <w:r w:rsidR="003E5F35" w:rsidRPr="00E61EC7">
        <w:t>every 8</w:t>
      </w:r>
      <w:r w:rsidR="001654B4" w:rsidRPr="00E61EC7">
        <w:t> </w:t>
      </w:r>
      <w:r w:rsidR="003E5F35" w:rsidRPr="00E61EC7">
        <w:t>weeks</w:t>
      </w:r>
      <w:r w:rsidRPr="00E61EC7">
        <w:t xml:space="preserve"> arm (</w:t>
      </w:r>
      <w:r w:rsidR="005B01D2" w:rsidRPr="00E61EC7">
        <w:t>versus</w:t>
      </w:r>
      <w:r w:rsidRPr="00E61EC7">
        <w:t xml:space="preserve"> </w:t>
      </w:r>
      <w:proofErr w:type="spellStart"/>
      <w:r w:rsidRPr="00E61EC7">
        <w:t>faricimab</w:t>
      </w:r>
      <w:proofErr w:type="spellEnd"/>
      <w:r w:rsidRPr="00E61EC7">
        <w:t xml:space="preserve"> </w:t>
      </w:r>
      <w:r w:rsidR="000E4FBF" w:rsidRPr="00E61EC7">
        <w:t>every 12 weeks</w:t>
      </w:r>
      <w:r w:rsidRPr="00E61EC7">
        <w:t xml:space="preserve"> </w:t>
      </w:r>
      <w:r w:rsidR="005B01D2" w:rsidRPr="00E61EC7">
        <w:t>versus</w:t>
      </w:r>
      <w:r w:rsidRPr="00E61EC7">
        <w:t xml:space="preserve"> </w:t>
      </w:r>
      <w:proofErr w:type="spellStart"/>
      <w:r w:rsidRPr="00E61EC7">
        <w:t>faricimab</w:t>
      </w:r>
      <w:proofErr w:type="spellEnd"/>
      <w:r w:rsidRPr="00E61EC7">
        <w:t xml:space="preserve"> </w:t>
      </w:r>
      <w:r w:rsidR="000E4FBF" w:rsidRPr="00E61EC7">
        <w:t>every 16 weeks</w:t>
      </w:r>
      <w:r w:rsidRPr="00E61EC7">
        <w:t xml:space="preserve"> </w:t>
      </w:r>
      <w:r w:rsidR="005B01D2" w:rsidRPr="00E61EC7">
        <w:t>versus</w:t>
      </w:r>
      <w:r w:rsidRPr="00E61EC7">
        <w:t xml:space="preserve"> aflibercept):</w:t>
      </w:r>
    </w:p>
    <w:p w14:paraId="55E26F10" w14:textId="72676CF7" w:rsidR="00042FC8" w:rsidRPr="00E61EC7" w:rsidRDefault="002A2C48" w:rsidP="00211011">
      <w:pPr>
        <w:pStyle w:val="ListBullet"/>
      </w:pPr>
      <w:r w:rsidRPr="0069093B">
        <w:rPr>
          <w:i/>
        </w:rPr>
        <w:t>Ocular AEs</w:t>
      </w:r>
      <w:r w:rsidRPr="00E61EC7">
        <w:t xml:space="preserve">: 49% </w:t>
      </w:r>
      <w:r w:rsidR="005B01D2" w:rsidRPr="00E61EC7">
        <w:t>versus</w:t>
      </w:r>
      <w:r w:rsidRPr="00E61EC7">
        <w:t xml:space="preserve"> 42% </w:t>
      </w:r>
      <w:r w:rsidR="005B01D2" w:rsidRPr="00E61EC7">
        <w:t>versus</w:t>
      </w:r>
      <w:r w:rsidRPr="00E61EC7">
        <w:t xml:space="preserve"> 39% </w:t>
      </w:r>
      <w:r w:rsidR="005B01D2" w:rsidRPr="00E61EC7">
        <w:t>versus</w:t>
      </w:r>
      <w:r w:rsidRPr="00E61EC7">
        <w:t xml:space="preserve"> 40%.</w:t>
      </w:r>
    </w:p>
    <w:p w14:paraId="6ACB91FA" w14:textId="58C92BD7" w:rsidR="00042FC8" w:rsidRPr="00E61EC7" w:rsidRDefault="002A2C48" w:rsidP="00211011">
      <w:pPr>
        <w:pStyle w:val="ListBullet"/>
      </w:pPr>
      <w:r w:rsidRPr="0069093B">
        <w:rPr>
          <w:i/>
        </w:rPr>
        <w:t>Adverse events of special interest</w:t>
      </w:r>
      <w:r w:rsidRPr="00E61EC7">
        <w:t xml:space="preserve">: 3.5% </w:t>
      </w:r>
      <w:r w:rsidR="005B01D2" w:rsidRPr="00E61EC7">
        <w:t>versus</w:t>
      </w:r>
      <w:r w:rsidRPr="00E61EC7">
        <w:t xml:space="preserve"> 1.4% </w:t>
      </w:r>
      <w:r w:rsidR="005B01D2" w:rsidRPr="00E61EC7">
        <w:t>versus</w:t>
      </w:r>
      <w:r w:rsidRPr="00E61EC7">
        <w:t xml:space="preserve"> 0.7% </w:t>
      </w:r>
      <w:r w:rsidR="005B01D2" w:rsidRPr="00E61EC7">
        <w:t>versus</w:t>
      </w:r>
      <w:r w:rsidRPr="00E61EC7">
        <w:t xml:space="preserve"> 2.4%.</w:t>
      </w:r>
    </w:p>
    <w:p w14:paraId="1EAC0382" w14:textId="2B91281E" w:rsidR="00042FC8" w:rsidRPr="00E61EC7" w:rsidRDefault="002A2C48" w:rsidP="00211011">
      <w:pPr>
        <w:pStyle w:val="ListBullet"/>
      </w:pPr>
      <w:r w:rsidRPr="0069093B">
        <w:rPr>
          <w:i/>
        </w:rPr>
        <w:t>Ocular SAEs</w:t>
      </w:r>
      <w:r w:rsidRPr="00E61EC7">
        <w:t xml:space="preserve">: 4.9% </w:t>
      </w:r>
      <w:r w:rsidR="005B01D2" w:rsidRPr="00E61EC7">
        <w:t>versus</w:t>
      </w:r>
      <w:r w:rsidRPr="00E61EC7">
        <w:t xml:space="preserve"> 1.8% </w:t>
      </w:r>
      <w:r w:rsidR="005B01D2" w:rsidRPr="00E61EC7">
        <w:t>versus</w:t>
      </w:r>
      <w:r w:rsidRPr="00E61EC7">
        <w:t xml:space="preserve"> 0.7% </w:t>
      </w:r>
      <w:r w:rsidR="005B01D2" w:rsidRPr="00E61EC7">
        <w:t>versus</w:t>
      </w:r>
      <w:r w:rsidRPr="00E61EC7">
        <w:t xml:space="preserve"> 2.6%.</w:t>
      </w:r>
    </w:p>
    <w:p w14:paraId="480F440E" w14:textId="58154279" w:rsidR="00042FC8" w:rsidRPr="005B6E30" w:rsidRDefault="002A2C48" w:rsidP="00211011">
      <w:pPr>
        <w:pStyle w:val="ListBullet"/>
        <w:rPr>
          <w:lang w:val="fr-CH"/>
        </w:rPr>
      </w:pPr>
      <w:proofErr w:type="spellStart"/>
      <w:r w:rsidRPr="0069093B">
        <w:rPr>
          <w:i/>
          <w:lang w:val="fr-CH"/>
        </w:rPr>
        <w:t>Retinal</w:t>
      </w:r>
      <w:proofErr w:type="spellEnd"/>
      <w:r w:rsidRPr="0069093B">
        <w:rPr>
          <w:i/>
          <w:lang w:val="fr-CH"/>
        </w:rPr>
        <w:t xml:space="preserve"> pigment </w:t>
      </w:r>
      <w:proofErr w:type="spellStart"/>
      <w:r w:rsidRPr="0069093B">
        <w:rPr>
          <w:i/>
          <w:lang w:val="fr-CH"/>
        </w:rPr>
        <w:t>epithelial</w:t>
      </w:r>
      <w:proofErr w:type="spellEnd"/>
      <w:r w:rsidRPr="0069093B">
        <w:rPr>
          <w:i/>
          <w:lang w:val="fr-CH"/>
        </w:rPr>
        <w:t xml:space="preserve"> </w:t>
      </w:r>
      <w:proofErr w:type="spellStart"/>
      <w:proofErr w:type="gramStart"/>
      <w:r w:rsidRPr="0069093B">
        <w:rPr>
          <w:i/>
          <w:lang w:val="fr-CH"/>
        </w:rPr>
        <w:t>tear</w:t>
      </w:r>
      <w:proofErr w:type="spellEnd"/>
      <w:r w:rsidRPr="005B6E30">
        <w:rPr>
          <w:lang w:val="fr-CH"/>
        </w:rPr>
        <w:t>:</w:t>
      </w:r>
      <w:proofErr w:type="gramEnd"/>
      <w:r w:rsidRPr="005B6E30">
        <w:rPr>
          <w:lang w:val="fr-CH"/>
        </w:rPr>
        <w:t xml:space="preserve"> 7.7% </w:t>
      </w:r>
      <w:r w:rsidR="005B01D2" w:rsidRPr="005B6E30">
        <w:rPr>
          <w:lang w:val="fr-CH"/>
        </w:rPr>
        <w:t>versus</w:t>
      </w:r>
      <w:r w:rsidRPr="005B6E30">
        <w:rPr>
          <w:lang w:val="fr-CH"/>
        </w:rPr>
        <w:t xml:space="preserve"> 1.8% </w:t>
      </w:r>
      <w:r w:rsidR="005B01D2" w:rsidRPr="005B6E30">
        <w:rPr>
          <w:lang w:val="fr-CH"/>
        </w:rPr>
        <w:t>versus</w:t>
      </w:r>
      <w:r w:rsidRPr="005B6E30">
        <w:rPr>
          <w:lang w:val="fr-CH"/>
        </w:rPr>
        <w:t xml:space="preserve"> 1.0% </w:t>
      </w:r>
      <w:r w:rsidR="005B01D2" w:rsidRPr="005B6E30">
        <w:rPr>
          <w:lang w:val="fr-CH"/>
        </w:rPr>
        <w:t>versus</w:t>
      </w:r>
      <w:r w:rsidRPr="005B6E30">
        <w:rPr>
          <w:lang w:val="fr-CH"/>
        </w:rPr>
        <w:t xml:space="preserve"> 1.5%.</w:t>
      </w:r>
    </w:p>
    <w:p w14:paraId="0CB29EE9" w14:textId="6E28CF32" w:rsidR="00042FC8" w:rsidRPr="00E61EC7" w:rsidRDefault="002A2C48" w:rsidP="00211011">
      <w:pPr>
        <w:pStyle w:val="ListBullet"/>
      </w:pPr>
      <w:r w:rsidRPr="0069093B">
        <w:rPr>
          <w:i/>
        </w:rPr>
        <w:t>Serious retinal pigment epithelial tear</w:t>
      </w:r>
      <w:r w:rsidRPr="00E61EC7">
        <w:t xml:space="preserve">: 1.4% </w:t>
      </w:r>
      <w:r w:rsidR="005B01D2" w:rsidRPr="00E61EC7">
        <w:t>versus</w:t>
      </w:r>
      <w:r w:rsidRPr="00E61EC7">
        <w:t xml:space="preserve"> 0.5% </w:t>
      </w:r>
      <w:r w:rsidR="005B01D2" w:rsidRPr="00E61EC7">
        <w:t>versus</w:t>
      </w:r>
      <w:r w:rsidRPr="00E61EC7">
        <w:t xml:space="preserve"> 0% </w:t>
      </w:r>
      <w:r w:rsidR="005B01D2" w:rsidRPr="00E61EC7">
        <w:t>versus</w:t>
      </w:r>
      <w:r w:rsidRPr="00E61EC7">
        <w:t xml:space="preserve"> 0%.</w:t>
      </w:r>
    </w:p>
    <w:p w14:paraId="3B87119C" w14:textId="3DE29E52" w:rsidR="00042FC8" w:rsidRPr="00F548E7" w:rsidRDefault="002A2C48" w:rsidP="00211011">
      <w:pPr>
        <w:pStyle w:val="ListBullet"/>
      </w:pPr>
      <w:r w:rsidRPr="00FA50CA">
        <w:rPr>
          <w:i/>
        </w:rPr>
        <w:t>Intraocular inflammation</w:t>
      </w:r>
      <w:r w:rsidRPr="00F548E7">
        <w:t xml:space="preserve">: 4.9% </w:t>
      </w:r>
      <w:r w:rsidR="005B01D2" w:rsidRPr="00F548E7">
        <w:t>versus</w:t>
      </w:r>
      <w:r w:rsidRPr="00F548E7">
        <w:t xml:space="preserve"> 2.</w:t>
      </w:r>
      <w:r w:rsidR="00E500CC">
        <w:t>3</w:t>
      </w:r>
      <w:r w:rsidRPr="00F548E7">
        <w:t xml:space="preserve">% </w:t>
      </w:r>
      <w:r w:rsidR="005B01D2" w:rsidRPr="00F548E7">
        <w:t>versus</w:t>
      </w:r>
      <w:r w:rsidRPr="00F548E7">
        <w:t xml:space="preserve"> 1% </w:t>
      </w:r>
      <w:r w:rsidR="005B01D2" w:rsidRPr="00F548E7">
        <w:t>versus</w:t>
      </w:r>
      <w:r w:rsidRPr="00F548E7">
        <w:t xml:space="preserve"> 1.5%.</w:t>
      </w:r>
    </w:p>
    <w:p w14:paraId="47BB53A8" w14:textId="6CA0B2DD" w:rsidR="00042FC8" w:rsidRPr="00F548E7" w:rsidRDefault="002A2C48" w:rsidP="00211011">
      <w:pPr>
        <w:pStyle w:val="ListBullet"/>
      </w:pPr>
      <w:r w:rsidRPr="00FA50CA">
        <w:rPr>
          <w:i/>
        </w:rPr>
        <w:t xml:space="preserve">Serious </w:t>
      </w:r>
      <w:r w:rsidR="007D085F" w:rsidRPr="00FA50CA">
        <w:rPr>
          <w:i/>
        </w:rPr>
        <w:t>intraocular inflammation</w:t>
      </w:r>
      <w:r w:rsidRPr="00F548E7">
        <w:t xml:space="preserve">: 2.1% </w:t>
      </w:r>
      <w:r w:rsidR="005B01D2" w:rsidRPr="00F548E7">
        <w:t>versus</w:t>
      </w:r>
      <w:r w:rsidRPr="00F548E7">
        <w:t xml:space="preserve"> 0.5% </w:t>
      </w:r>
      <w:r w:rsidR="005B01D2" w:rsidRPr="00F548E7">
        <w:t>versus</w:t>
      </w:r>
      <w:r w:rsidRPr="00F548E7">
        <w:t xml:space="preserve"> 0.3% </w:t>
      </w:r>
      <w:r w:rsidR="005B01D2" w:rsidRPr="00F548E7">
        <w:t>versus</w:t>
      </w:r>
      <w:r w:rsidRPr="00F548E7">
        <w:t xml:space="preserve"> 0.4%.</w:t>
      </w:r>
    </w:p>
    <w:p w14:paraId="78852088" w14:textId="72861FC4" w:rsidR="00042FC8" w:rsidRPr="00E61EC7" w:rsidRDefault="002A2C48" w:rsidP="00211011">
      <w:pPr>
        <w:pStyle w:val="ListBullet"/>
      </w:pPr>
      <w:proofErr w:type="spellStart"/>
      <w:r w:rsidRPr="00FA50CA">
        <w:rPr>
          <w:i/>
        </w:rPr>
        <w:t>Vitritis</w:t>
      </w:r>
      <w:proofErr w:type="spellEnd"/>
      <w:r w:rsidRPr="00E61EC7">
        <w:t>:</w:t>
      </w:r>
      <w:r w:rsidR="00AF7DA3">
        <w:t xml:space="preserve"> 2.8</w:t>
      </w:r>
      <w:r w:rsidRPr="00E61EC7">
        <w:t xml:space="preserve">% </w:t>
      </w:r>
      <w:r w:rsidR="005B01D2" w:rsidRPr="00E61EC7">
        <w:t>versus</w:t>
      </w:r>
      <w:r w:rsidRPr="00E61EC7">
        <w:t xml:space="preserve"> 0 </w:t>
      </w:r>
      <w:r w:rsidR="005B01D2" w:rsidRPr="00E61EC7">
        <w:t>versus</w:t>
      </w:r>
      <w:r w:rsidRPr="00E61EC7">
        <w:t xml:space="preserve"> 0 </w:t>
      </w:r>
      <w:r w:rsidR="005B01D2" w:rsidRPr="00E61EC7">
        <w:t>versus</w:t>
      </w:r>
      <w:r w:rsidRPr="00E61EC7">
        <w:t xml:space="preserve"> 0</w:t>
      </w:r>
      <w:r w:rsidR="00AF7DA3">
        <w:t>.2</w:t>
      </w:r>
      <w:r w:rsidR="00FA50CA">
        <w:t>%</w:t>
      </w:r>
      <w:r w:rsidRPr="00E61EC7">
        <w:t>.</w:t>
      </w:r>
    </w:p>
    <w:p w14:paraId="263DECB5" w14:textId="66E7F4F8" w:rsidR="00202A6D" w:rsidRPr="00AB061A" w:rsidRDefault="002A2C48" w:rsidP="00AB061A">
      <w:pPr>
        <w:pStyle w:val="ListBullet"/>
      </w:pPr>
      <w:r w:rsidRPr="00AB061A">
        <w:rPr>
          <w:i/>
          <w:iCs/>
        </w:rPr>
        <w:t>Non-ocular AEs</w:t>
      </w:r>
      <w:r w:rsidRPr="00AB061A">
        <w:t xml:space="preserve">: 60% </w:t>
      </w:r>
      <w:r w:rsidR="005B01D2" w:rsidRPr="00AB061A">
        <w:t>versus</w:t>
      </w:r>
      <w:r w:rsidRPr="00AB061A">
        <w:t xml:space="preserve"> 61% </w:t>
      </w:r>
      <w:r w:rsidR="005B01D2" w:rsidRPr="00AB061A">
        <w:t>versus</w:t>
      </w:r>
      <w:r w:rsidRPr="00AB061A">
        <w:t xml:space="preserve"> 56% </w:t>
      </w:r>
      <w:r w:rsidR="005B01D2" w:rsidRPr="00AB061A">
        <w:t>versus</w:t>
      </w:r>
      <w:r w:rsidRPr="00AB061A">
        <w:t xml:space="preserve"> 60%.</w:t>
      </w:r>
      <w:r w:rsidRPr="00AB061A">
        <w:br w:type="page"/>
      </w:r>
    </w:p>
    <w:p w14:paraId="5B0D47B9" w14:textId="3F50F52D" w:rsidR="007F4C2E" w:rsidRPr="00E61EC7" w:rsidRDefault="002A2C48" w:rsidP="00DF4190">
      <w:pPr>
        <w:pStyle w:val="FigureTitle"/>
      </w:pPr>
      <w:bookmarkStart w:id="91" w:name="_Ref118313114"/>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21</w:t>
      </w:r>
      <w:r w:rsidR="00C22604" w:rsidRPr="00E61EC7">
        <w:rPr>
          <w:noProof/>
        </w:rPr>
        <w:fldChar w:fldCharType="end"/>
      </w:r>
      <w:bookmarkEnd w:id="91"/>
      <w:r w:rsidRPr="00E61EC7">
        <w:t xml:space="preserve">: </w:t>
      </w:r>
      <w:r w:rsidR="007A62D7" w:rsidRPr="00E61EC7">
        <w:t xml:space="preserve">Pooled </w:t>
      </w:r>
      <w:r w:rsidRPr="00E61EC7">
        <w:t xml:space="preserve">Studies GR40306 </w:t>
      </w:r>
      <w:r w:rsidR="00C2190A">
        <w:t xml:space="preserve">and GR40844 </w:t>
      </w:r>
      <w:r w:rsidRPr="00E61EC7">
        <w:t xml:space="preserve">(TENAYA </w:t>
      </w:r>
      <w:r w:rsidR="00C2190A">
        <w:t xml:space="preserve">and LUCERNE </w:t>
      </w:r>
      <w:r w:rsidRPr="00E61EC7">
        <w:t>trial</w:t>
      </w:r>
      <w:r w:rsidR="00C2190A">
        <w:t>s</w:t>
      </w:r>
      <w:r w:rsidRPr="00E61EC7">
        <w:t xml:space="preserve">) </w:t>
      </w:r>
      <w:r w:rsidR="007C79FD" w:rsidRPr="00E61EC7">
        <w:t>O</w:t>
      </w:r>
      <w:r w:rsidRPr="00E61EC7">
        <w:t xml:space="preserve">cular adverse events with an incidence of 1% </w:t>
      </w:r>
      <w:r w:rsidR="007A62D7" w:rsidRPr="00E61EC7">
        <w:t xml:space="preserve">or higher </w:t>
      </w:r>
      <w:r w:rsidR="007C79FD" w:rsidRPr="00E61EC7">
        <w:t xml:space="preserve">through Week 48 </w:t>
      </w:r>
      <w:r w:rsidRPr="00E61EC7">
        <w:t xml:space="preserve">in the </w:t>
      </w:r>
      <w:r w:rsidR="007A62D7" w:rsidRPr="00E61EC7">
        <w:t xml:space="preserve">study eye in the </w:t>
      </w:r>
      <w:proofErr w:type="spellStart"/>
      <w:r w:rsidR="007A62D7" w:rsidRPr="00E61EC7">
        <w:t>faricimab</w:t>
      </w:r>
      <w:proofErr w:type="spellEnd"/>
      <w:r w:rsidR="007A62D7" w:rsidRPr="00E61EC7">
        <w:t xml:space="preserve"> versus aflibercept arms (pooled safety evaluable population)</w:t>
      </w:r>
    </w:p>
    <w:p w14:paraId="05582B33" w14:textId="73EEADA2" w:rsidR="007C79FD" w:rsidRPr="00E61EC7" w:rsidRDefault="002A2C48" w:rsidP="00DF4190">
      <w:pPr>
        <w:rPr>
          <w:lang w:eastAsia="ja-JP"/>
        </w:rPr>
      </w:pPr>
      <w:r w:rsidRPr="00E61EC7">
        <w:rPr>
          <w:noProof/>
          <w:lang w:val="en-GB" w:eastAsia="en-GB"/>
        </w:rPr>
        <w:drawing>
          <wp:inline distT="0" distB="0" distL="0" distR="0" wp14:anchorId="677EE78C" wp14:editId="0254470A">
            <wp:extent cx="5400040" cy="2769870"/>
            <wp:effectExtent l="0" t="0" r="0" b="0"/>
            <wp:docPr id="40" name="Picture 40" descr="Table 21: Pooled Studies GR40306 and GR40844 (TENAYA and LUCERNE trials) Ocular adverse events with an incidence of 1% or higher through Week 48 in the study eye in the faricimab versus aflibercept arms (pooled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 21: Pooled Studies GR40306 and GR40844 (TENAYA and LUCERNE trials) Ocular adverse events with an incidence of 1% or higher through Week 48 in the study eye in the faricimab versus aflibercept arms (pooled safety evaluable population)"/>
                    <pic:cNvPicPr/>
                  </pic:nvPicPr>
                  <pic:blipFill>
                    <a:blip r:embed="rId48"/>
                    <a:stretch>
                      <a:fillRect/>
                    </a:stretch>
                  </pic:blipFill>
                  <pic:spPr>
                    <a:xfrm>
                      <a:off x="0" y="0"/>
                      <a:ext cx="5400040" cy="2769870"/>
                    </a:xfrm>
                    <a:prstGeom prst="rect">
                      <a:avLst/>
                    </a:prstGeom>
                  </pic:spPr>
                </pic:pic>
              </a:graphicData>
            </a:graphic>
          </wp:inline>
        </w:drawing>
      </w:r>
    </w:p>
    <w:p w14:paraId="2E309D08" w14:textId="3AC667A4" w:rsidR="00CA1B61" w:rsidRPr="00E61EC7" w:rsidRDefault="002A2C48" w:rsidP="00DF4190">
      <w:pPr>
        <w:pStyle w:val="FigureDescription"/>
      </w:pPr>
      <w:r w:rsidRPr="00E61EC7">
        <w:t>Abbreviations: CI = confidence interval; N = number of subjects; n = number of patients with at least one applicable adverse event.</w:t>
      </w:r>
    </w:p>
    <w:p w14:paraId="6A03C852" w14:textId="4A0D8528" w:rsidR="007F4C2E" w:rsidRPr="00E61EC7" w:rsidRDefault="002A2C48" w:rsidP="00DF4190">
      <w:pPr>
        <w:pStyle w:val="FigureDescription"/>
      </w:pPr>
      <w:r w:rsidRPr="00E61EC7">
        <w:t xml:space="preserve">Investigator text for adverse events encoded using </w:t>
      </w:r>
      <w:r w:rsidR="000F70B9" w:rsidRPr="00E61EC7">
        <w:t>Medical Dictionary for Regulatory Activities (</w:t>
      </w:r>
      <w:r w:rsidRPr="00E61EC7">
        <w:t>MedDRA</w:t>
      </w:r>
      <w:r w:rsidR="000F70B9" w:rsidRPr="00E61EC7">
        <w:t>)</w:t>
      </w:r>
      <w:bookmarkStart w:id="92" w:name="_Ref118817666"/>
      <w:r>
        <w:rPr>
          <w:rStyle w:val="FootnoteReference"/>
        </w:rPr>
        <w:footnoteReference w:id="16"/>
      </w:r>
      <w:bookmarkEnd w:id="92"/>
      <w:r w:rsidRPr="00E61EC7">
        <w:t xml:space="preserve"> version 23.1.</w:t>
      </w:r>
    </w:p>
    <w:p w14:paraId="525E1C43" w14:textId="45B92719" w:rsidR="007C79FD" w:rsidRPr="00E61EC7" w:rsidRDefault="002A2C48" w:rsidP="00DF4190">
      <w:pPr>
        <w:pStyle w:val="FigureDescription"/>
      </w:pPr>
      <w:r w:rsidRPr="00E61EC7">
        <w:t xml:space="preserve">Percentages are based on N in the column headings. Includes events with onset up to Day 349 (last day of Week 48 analysis visit window). </w:t>
      </w:r>
      <w:proofErr w:type="spellStart"/>
      <w:r w:rsidRPr="00E61EC7">
        <w:t>Newbombe</w:t>
      </w:r>
      <w:proofErr w:type="spellEnd"/>
      <w:r w:rsidRPr="00E61EC7">
        <w:t xml:space="preserve"> with continuity correction method is used for the difference and 95% CI. The bars represent 95% CI.</w:t>
      </w:r>
    </w:p>
    <w:p w14:paraId="068DE36A" w14:textId="7994DC1B" w:rsidR="00211011" w:rsidRPr="00E61EC7" w:rsidRDefault="002A2C48" w:rsidP="00410AF5">
      <w:pPr>
        <w:pStyle w:val="Heading6"/>
        <w:rPr>
          <w:szCs w:val="28"/>
        </w:rPr>
      </w:pPr>
      <w:r w:rsidRPr="00E61EC7">
        <w:t xml:space="preserve">Pooled </w:t>
      </w:r>
      <w:r w:rsidR="00533A7C" w:rsidRPr="00E61EC7">
        <w:t>Phase III</w:t>
      </w:r>
      <w:r w:rsidRPr="00E61EC7">
        <w:t xml:space="preserve"> </w:t>
      </w:r>
      <w:r w:rsidR="007F4C2E" w:rsidRPr="00E61EC7">
        <w:t xml:space="preserve">diabetic macular oedema </w:t>
      </w:r>
      <w:r w:rsidRPr="00E61EC7">
        <w:t>studies</w:t>
      </w:r>
      <w:r w:rsidR="00410AF5" w:rsidRPr="00E61EC7">
        <w:t xml:space="preserve"> (</w:t>
      </w:r>
      <w:r w:rsidR="007A62D7" w:rsidRPr="00E61EC7">
        <w:rPr>
          <w:szCs w:val="28"/>
        </w:rPr>
        <w:t>Study GR40349 (YOSEMITE trial) and Study GR40398 (RHINE trial)</w:t>
      </w:r>
      <w:r w:rsidR="00410AF5" w:rsidRPr="00E61EC7">
        <w:rPr>
          <w:szCs w:val="28"/>
        </w:rPr>
        <w:t>)</w:t>
      </w:r>
    </w:p>
    <w:p w14:paraId="30AE936D" w14:textId="16FEFB84" w:rsidR="00042FC8" w:rsidRPr="00E61EC7" w:rsidRDefault="002A2C48" w:rsidP="00C470FC">
      <w:r w:rsidRPr="00E61EC7">
        <w:t>The ocular AE incidence (study eye) was comparable across arms (49.7%, 49.2%</w:t>
      </w:r>
      <w:r w:rsidR="007A62D7" w:rsidRPr="00E61EC7">
        <w:t xml:space="preserve"> and </w:t>
      </w:r>
      <w:r w:rsidRPr="00E61EC7">
        <w:t xml:space="preserve">45.4%) with the exception (2% </w:t>
      </w:r>
      <w:r w:rsidR="007A62D7" w:rsidRPr="00E61EC7">
        <w:t xml:space="preserve">or more </w:t>
      </w:r>
      <w:r w:rsidRPr="00E61EC7">
        <w:t>difference in all arms) of cataract (16.0%, 13.6%</w:t>
      </w:r>
      <w:r w:rsidR="007A62D7" w:rsidRPr="00E61EC7">
        <w:t xml:space="preserve"> and</w:t>
      </w:r>
      <w:r w:rsidRPr="00E61EC7">
        <w:t xml:space="preserve"> 12.2%), intraocular pressure increased (5.1%, 3.3%</w:t>
      </w:r>
      <w:r w:rsidR="007A62D7" w:rsidRPr="00E61EC7">
        <w:t xml:space="preserve"> and</w:t>
      </w:r>
      <w:r w:rsidRPr="00E61EC7">
        <w:t xml:space="preserve"> 2.6%), and vitreous floaters (5.2%, 2.5%</w:t>
      </w:r>
      <w:r w:rsidR="007A62D7" w:rsidRPr="00E61EC7">
        <w:t xml:space="preserve"> and</w:t>
      </w:r>
      <w:r w:rsidRPr="00E61EC7">
        <w:t xml:space="preserve"> 2.9%)</w:t>
      </w:r>
      <w:r w:rsidR="007A62D7" w:rsidRPr="00E61EC7">
        <w:t xml:space="preserve"> (see </w:t>
      </w:r>
      <w:r w:rsidR="007A62D7" w:rsidRPr="00E61EC7">
        <w:fldChar w:fldCharType="begin"/>
      </w:r>
      <w:r w:rsidR="007A62D7" w:rsidRPr="00E61EC7">
        <w:instrText xml:space="preserve"> REF _Ref102305094 \h  \* MERGEFORMAT </w:instrText>
      </w:r>
      <w:r w:rsidR="007A62D7" w:rsidRPr="00E61EC7">
        <w:fldChar w:fldCharType="separate"/>
      </w:r>
      <w:r w:rsidR="001E25B5" w:rsidRPr="00E61EC7">
        <w:t xml:space="preserve">Table </w:t>
      </w:r>
      <w:r w:rsidR="001E25B5">
        <w:t>22</w:t>
      </w:r>
      <w:r w:rsidR="007A62D7" w:rsidRPr="00E61EC7">
        <w:fldChar w:fldCharType="end"/>
      </w:r>
      <w:r w:rsidR="007A62D7" w:rsidRPr="00E61EC7">
        <w:t xml:space="preserve"> and </w:t>
      </w:r>
      <w:r w:rsidR="007A62D7" w:rsidRPr="00E61EC7">
        <w:fldChar w:fldCharType="begin"/>
      </w:r>
      <w:r w:rsidR="007A62D7" w:rsidRPr="00E61EC7">
        <w:instrText xml:space="preserve"> REF _Ref102305102 \h  \* MERGEFORMAT </w:instrText>
      </w:r>
      <w:r w:rsidR="007A62D7" w:rsidRPr="00E61EC7">
        <w:fldChar w:fldCharType="separate"/>
      </w:r>
      <w:r w:rsidR="001E25B5" w:rsidRPr="00E61EC7">
        <w:t xml:space="preserve">Table </w:t>
      </w:r>
      <w:r w:rsidR="001E25B5">
        <w:t>23</w:t>
      </w:r>
      <w:r w:rsidR="007A62D7" w:rsidRPr="00E61EC7">
        <w:fldChar w:fldCharType="end"/>
      </w:r>
      <w:r w:rsidR="007A62D7" w:rsidRPr="00E61EC7">
        <w:t xml:space="preserve"> below).</w:t>
      </w:r>
    </w:p>
    <w:p w14:paraId="345A94DD" w14:textId="5A3DFBBF" w:rsidR="00042FC8" w:rsidRPr="00E61EC7" w:rsidRDefault="002A2C48" w:rsidP="00C470FC">
      <w:r w:rsidRPr="00E61EC7">
        <w:t xml:space="preserve">The most common ocular AEs in the study eye (2% </w:t>
      </w:r>
      <w:r w:rsidR="007A62D7" w:rsidRPr="00E61EC7">
        <w:t xml:space="preserve">or higher </w:t>
      </w:r>
      <w:r w:rsidRPr="00E61EC7">
        <w:t xml:space="preserve">incidence) by </w:t>
      </w:r>
      <w:r w:rsidR="001654B4" w:rsidRPr="00E61EC7">
        <w:t>Preferred Term</w:t>
      </w:r>
      <w:r w:rsidRPr="00E61EC7">
        <w:t xml:space="preserve"> were cataract (16.0%, 13.6%</w:t>
      </w:r>
      <w:r w:rsidR="007A62D7" w:rsidRPr="00E61EC7">
        <w:t xml:space="preserve"> and</w:t>
      </w:r>
      <w:r w:rsidRPr="00E61EC7">
        <w:t xml:space="preserve"> 12.2%), conjunctival haemorrhage (8.3%, 7.0%</w:t>
      </w:r>
      <w:r w:rsidR="007A62D7" w:rsidRPr="00E61EC7">
        <w:t xml:space="preserve"> and</w:t>
      </w:r>
      <w:r w:rsidRPr="00E61EC7">
        <w:t xml:space="preserve"> 6.6%), vitreous detachment (4.9%, 4.4%</w:t>
      </w:r>
      <w:r w:rsidR="007A62D7" w:rsidRPr="00E61EC7">
        <w:t xml:space="preserve"> and</w:t>
      </w:r>
      <w:r w:rsidRPr="00E61EC7">
        <w:t xml:space="preserve"> 4.2%), dry eye (4.6%, 4.3%</w:t>
      </w:r>
      <w:r w:rsidR="007A62D7" w:rsidRPr="00E61EC7">
        <w:t xml:space="preserve"> and</w:t>
      </w:r>
      <w:r w:rsidRPr="00E61EC7">
        <w:t xml:space="preserve"> 2.7%), intraocular pressure increased (5.1%, 3.3%</w:t>
      </w:r>
      <w:r w:rsidR="007A62D7" w:rsidRPr="00E61EC7">
        <w:t xml:space="preserve"> and</w:t>
      </w:r>
      <w:r w:rsidRPr="00E61EC7">
        <w:t xml:space="preserve"> 2.6%), vitreous floaters (5.2%, 2.5%</w:t>
      </w:r>
      <w:r w:rsidR="007A62D7" w:rsidRPr="00E61EC7">
        <w:t xml:space="preserve"> and</w:t>
      </w:r>
      <w:r w:rsidRPr="00E61EC7">
        <w:t xml:space="preserve"> 2.9%), eye pain (2.1%, 3.0%</w:t>
      </w:r>
      <w:r w:rsidR="007A62D7" w:rsidRPr="00E61EC7">
        <w:t xml:space="preserve"> and</w:t>
      </w:r>
      <w:r w:rsidRPr="00E61EC7">
        <w:t xml:space="preserve"> 3.4%), diabetic retinal oedema (1.7%, 2.7% and 2.2%), conjunctivitis (1.6%, 2.1%</w:t>
      </w:r>
      <w:r w:rsidR="007A62D7" w:rsidRPr="00E61EC7">
        <w:t xml:space="preserve"> and</w:t>
      </w:r>
      <w:r w:rsidRPr="00E61EC7">
        <w:t xml:space="preserve"> 1.8%), cataract subcapsular (2.2%, 1.6%</w:t>
      </w:r>
      <w:r w:rsidR="007A62D7" w:rsidRPr="00E61EC7">
        <w:t xml:space="preserve"> and</w:t>
      </w:r>
      <w:r w:rsidRPr="00E61EC7">
        <w:t xml:space="preserve"> 1.3%), blepharitis (2.5%, 1.4%</w:t>
      </w:r>
      <w:r w:rsidR="007A62D7" w:rsidRPr="00E61EC7">
        <w:t xml:space="preserve"> and</w:t>
      </w:r>
      <w:r w:rsidRPr="00E61EC7">
        <w:t xml:space="preserve"> 0.6%), and diabetic retinopathy (0.6%, 2.1%</w:t>
      </w:r>
      <w:r w:rsidR="007A62D7" w:rsidRPr="00E61EC7">
        <w:t xml:space="preserve"> and</w:t>
      </w:r>
      <w:r w:rsidRPr="00E61EC7">
        <w:t xml:space="preserve"> 1.1%).</w:t>
      </w:r>
    </w:p>
    <w:p w14:paraId="120DBB14" w14:textId="2B2C33B0" w:rsidR="00042FC8" w:rsidRPr="00E61EC7" w:rsidRDefault="002A2C48" w:rsidP="00C470FC">
      <w:r w:rsidRPr="00E61EC7">
        <w:t>Ocular AEs with a difference of 1%</w:t>
      </w:r>
      <w:r w:rsidR="007A62D7" w:rsidRPr="00E61EC7">
        <w:t xml:space="preserve"> or higher</w:t>
      </w:r>
      <w:r w:rsidRPr="00E61EC7">
        <w:t xml:space="preserve"> between the </w:t>
      </w:r>
      <w:proofErr w:type="spellStart"/>
      <w:r w:rsidRPr="00E61EC7">
        <w:t>faricimab</w:t>
      </w:r>
      <w:proofErr w:type="spellEnd"/>
      <w:r w:rsidRPr="00E61EC7">
        <w:t xml:space="preserve"> </w:t>
      </w:r>
      <w:r w:rsidR="003E5F35" w:rsidRPr="00E61EC7">
        <w:t>every 8 weeks</w:t>
      </w:r>
      <w:r w:rsidRPr="00E61EC7">
        <w:t xml:space="preserve"> and PTI arms, respectively, were cataract (16.0% </w:t>
      </w:r>
      <w:r w:rsidR="005B01D2" w:rsidRPr="00E61EC7">
        <w:t>versus</w:t>
      </w:r>
      <w:r w:rsidRPr="00E61EC7">
        <w:t xml:space="preserve"> 13.6%), conjunctival haemorrhage (8.3% </w:t>
      </w:r>
      <w:r w:rsidR="005B01D2" w:rsidRPr="00E61EC7">
        <w:lastRenderedPageBreak/>
        <w:t>versus</w:t>
      </w:r>
      <w:r w:rsidRPr="00E61EC7">
        <w:t xml:space="preserve"> 7.0%), intraocular pressure increased (5.1% </w:t>
      </w:r>
      <w:r w:rsidR="005B01D2" w:rsidRPr="00E61EC7">
        <w:t>versus</w:t>
      </w:r>
      <w:r w:rsidRPr="00E61EC7">
        <w:t xml:space="preserve"> 3.3%), vitreous floaters (5.2% </w:t>
      </w:r>
      <w:r w:rsidR="005B01D2" w:rsidRPr="00E61EC7">
        <w:t>versus</w:t>
      </w:r>
      <w:r w:rsidRPr="00E61EC7">
        <w:t xml:space="preserve"> 2.5%), diabetic retinal oedema (1.7% </w:t>
      </w:r>
      <w:r w:rsidR="005B01D2" w:rsidRPr="00E61EC7">
        <w:t>versus</w:t>
      </w:r>
      <w:r w:rsidRPr="00E61EC7">
        <w:t xml:space="preserve"> 2.7%), blepharitis (2.5% </w:t>
      </w:r>
      <w:r w:rsidR="005B01D2" w:rsidRPr="00E61EC7">
        <w:t>versus</w:t>
      </w:r>
      <w:r w:rsidRPr="00E61EC7">
        <w:t xml:space="preserve"> 1.4%), diabetic retinopathy (0.6% </w:t>
      </w:r>
      <w:r w:rsidR="005B01D2" w:rsidRPr="00E61EC7">
        <w:t>versus</w:t>
      </w:r>
      <w:r w:rsidRPr="00E61EC7">
        <w:t xml:space="preserve"> 2.1%), lacrimation increased (0.6% </w:t>
      </w:r>
      <w:r w:rsidR="005B01D2" w:rsidRPr="00E61EC7">
        <w:t>versus</w:t>
      </w:r>
      <w:r w:rsidRPr="00E61EC7">
        <w:t xml:space="preserve"> 1.7%), and visual impairment (0.3% </w:t>
      </w:r>
      <w:r w:rsidR="005B01D2" w:rsidRPr="00E61EC7">
        <w:t>versus</w:t>
      </w:r>
      <w:r w:rsidRPr="00E61EC7">
        <w:t xml:space="preserve"> 1.3%).</w:t>
      </w:r>
    </w:p>
    <w:p w14:paraId="33CEAB1C" w14:textId="1A904E57" w:rsidR="00042FC8" w:rsidRPr="00E61EC7" w:rsidRDefault="002A2C48" w:rsidP="00C470FC">
      <w:r w:rsidRPr="00AB061A">
        <w:rPr>
          <w:i/>
        </w:rPr>
        <w:t>Adjusted for number of injections</w:t>
      </w:r>
      <w:r w:rsidRPr="00E61EC7">
        <w:t>: The number of ocular AEs (study eye) per 1000</w:t>
      </w:r>
      <w:r w:rsidR="007A62D7" w:rsidRPr="00E61EC7">
        <w:t> </w:t>
      </w:r>
      <w:r w:rsidRPr="00E61EC7">
        <w:t xml:space="preserve">injections was higher in the </w:t>
      </w:r>
      <w:proofErr w:type="spellStart"/>
      <w:r w:rsidRPr="00E61EC7">
        <w:t>faricimab</w:t>
      </w:r>
      <w:proofErr w:type="spellEnd"/>
      <w:r w:rsidRPr="00E61EC7">
        <w:t xml:space="preserve"> PTI arm compared to the </w:t>
      </w:r>
      <w:proofErr w:type="spellStart"/>
      <w:r w:rsidRPr="00E61EC7">
        <w:t>faricimab</w:t>
      </w:r>
      <w:proofErr w:type="spellEnd"/>
      <w:r w:rsidRPr="00E61EC7">
        <w:t xml:space="preserve"> </w:t>
      </w:r>
      <w:r w:rsidR="003E5F35" w:rsidRPr="00E61EC7">
        <w:t>every 8</w:t>
      </w:r>
      <w:r w:rsidR="007A62D7" w:rsidRPr="00E61EC7">
        <w:t> </w:t>
      </w:r>
      <w:r w:rsidR="003E5F35" w:rsidRPr="00E61EC7">
        <w:t>weeks</w:t>
      </w:r>
      <w:r w:rsidRPr="00E61EC7">
        <w:t xml:space="preserve"> arm, and both were higher than the aflibercept </w:t>
      </w:r>
      <w:r w:rsidR="003E5F35" w:rsidRPr="00E61EC7">
        <w:t>every 8 weeks</w:t>
      </w:r>
      <w:r w:rsidRPr="00E61EC7">
        <w:t xml:space="preserve"> arm (78.26, 85.59</w:t>
      </w:r>
      <w:r w:rsidR="007A62D7" w:rsidRPr="00E61EC7">
        <w:t xml:space="preserve"> and</w:t>
      </w:r>
      <w:r w:rsidRPr="00E61EC7">
        <w:t xml:space="preserve"> 59.41). For every 1000 injections, there were </w:t>
      </w:r>
      <w:r w:rsidR="00AA2E84" w:rsidRPr="00E61EC7">
        <w:t xml:space="preserve">approximately </w:t>
      </w:r>
      <w:r w:rsidRPr="00E61EC7">
        <w:t>20</w:t>
      </w:r>
      <w:r w:rsidR="007A62D7" w:rsidRPr="00E61EC7">
        <w:t xml:space="preserve"> to </w:t>
      </w:r>
      <w:r w:rsidRPr="00E61EC7">
        <w:t xml:space="preserve">25 more ocular AEs in the </w:t>
      </w:r>
      <w:proofErr w:type="spellStart"/>
      <w:r w:rsidRPr="00E61EC7">
        <w:t>faricimab</w:t>
      </w:r>
      <w:proofErr w:type="spellEnd"/>
      <w:r w:rsidRPr="00E61EC7">
        <w:t xml:space="preserve"> arms compared to the aflibercept arm.</w:t>
      </w:r>
    </w:p>
    <w:p w14:paraId="1A871788" w14:textId="1584C56B" w:rsidR="00042FC8" w:rsidRPr="00E61EC7" w:rsidRDefault="002A2C48" w:rsidP="00C470FC">
      <w:r w:rsidRPr="00AB061A">
        <w:rPr>
          <w:i/>
        </w:rPr>
        <w:t>Adjusted for patient</w:t>
      </w:r>
      <w:r w:rsidR="007A62D7" w:rsidRPr="00AB061A">
        <w:rPr>
          <w:i/>
        </w:rPr>
        <w:t xml:space="preserve"> </w:t>
      </w:r>
      <w:r w:rsidRPr="00AB061A">
        <w:rPr>
          <w:i/>
        </w:rPr>
        <w:t>years:</w:t>
      </w:r>
      <w:r w:rsidRPr="00E61EC7">
        <w:t xml:space="preserve"> Exposure</w:t>
      </w:r>
      <w:r w:rsidR="007A62D7" w:rsidRPr="00E61EC7">
        <w:t xml:space="preserve"> </w:t>
      </w:r>
      <w:r w:rsidRPr="00E61EC7">
        <w:t>adjusted incidence rates (events per 100</w:t>
      </w:r>
      <w:r w:rsidR="00200BC2" w:rsidRPr="00E61EC7">
        <w:t> </w:t>
      </w:r>
      <w:r w:rsidR="007A62D7" w:rsidRPr="00E61EC7">
        <w:t>patient years</w:t>
      </w:r>
      <w:r w:rsidRPr="00E61EC7">
        <w:t xml:space="preserve">) for ocular AEs (study eye) was similar between the two </w:t>
      </w:r>
      <w:proofErr w:type="spellStart"/>
      <w:r w:rsidRPr="00E61EC7">
        <w:t>faricimab</w:t>
      </w:r>
      <w:proofErr w:type="spellEnd"/>
      <w:r w:rsidRPr="00E61EC7">
        <w:t xml:space="preserve"> arms but higher compared with the aflibercept arm (58.65</w:t>
      </w:r>
      <w:r w:rsidR="00200BC2" w:rsidRPr="00E61EC7">
        <w:t xml:space="preserve"> of </w:t>
      </w:r>
      <w:r w:rsidRPr="00E61EC7">
        <w:t>100, 55.13</w:t>
      </w:r>
      <w:r w:rsidR="00200BC2" w:rsidRPr="00E61EC7">
        <w:t xml:space="preserve"> of </w:t>
      </w:r>
      <w:r w:rsidRPr="00E61EC7">
        <w:t>100</w:t>
      </w:r>
      <w:r w:rsidR="007A62D7" w:rsidRPr="00E61EC7">
        <w:t xml:space="preserve"> and</w:t>
      </w:r>
      <w:r w:rsidRPr="00E61EC7">
        <w:t xml:space="preserve"> 43.58</w:t>
      </w:r>
      <w:r w:rsidR="00200BC2" w:rsidRPr="00E61EC7">
        <w:t xml:space="preserve"> of </w:t>
      </w:r>
      <w:r w:rsidRPr="00E61EC7">
        <w:t xml:space="preserve">100 </w:t>
      </w:r>
      <w:r w:rsidR="007A62D7" w:rsidRPr="00E61EC7">
        <w:t>patient years</w:t>
      </w:r>
      <w:r w:rsidRPr="00E61EC7">
        <w:t xml:space="preserve">). For every 100 </w:t>
      </w:r>
      <w:r w:rsidR="007A62D7" w:rsidRPr="00E61EC7">
        <w:t>patient years</w:t>
      </w:r>
      <w:r w:rsidRPr="00E61EC7">
        <w:t xml:space="preserve">, there were approximately 15 and 12 more ocular AEs in the </w:t>
      </w:r>
      <w:proofErr w:type="spellStart"/>
      <w:r w:rsidRPr="00E61EC7">
        <w:t>faricimab</w:t>
      </w:r>
      <w:proofErr w:type="spellEnd"/>
      <w:r w:rsidRPr="00E61EC7">
        <w:t xml:space="preserve"> arms compared to the aflibercept arm.</w:t>
      </w:r>
    </w:p>
    <w:p w14:paraId="249D2D1F" w14:textId="0EAE65E3" w:rsidR="007A62D7" w:rsidRPr="00E61EC7" w:rsidRDefault="002A2C48" w:rsidP="00DF4190">
      <w:pPr>
        <w:pStyle w:val="FigureTitle"/>
        <w:rPr>
          <w:lang w:eastAsia="ja-JP"/>
        </w:rPr>
      </w:pPr>
      <w:bookmarkStart w:id="93" w:name="_Ref102305094"/>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22</w:t>
      </w:r>
      <w:r w:rsidR="00C22604" w:rsidRPr="00E61EC7">
        <w:rPr>
          <w:noProof/>
        </w:rPr>
        <w:fldChar w:fldCharType="end"/>
      </w:r>
      <w:bookmarkEnd w:id="93"/>
      <w:r w:rsidR="00200BC2" w:rsidRPr="00E61EC7">
        <w:rPr>
          <w:noProof/>
        </w:rPr>
        <w:t>: Pooled Studies GR40349</w:t>
      </w:r>
      <w:r w:rsidR="00C2190A">
        <w:rPr>
          <w:noProof/>
        </w:rPr>
        <w:t xml:space="preserve"> and </w:t>
      </w:r>
      <w:r w:rsidR="00C2190A">
        <w:t>GR40398</w:t>
      </w:r>
      <w:r w:rsidR="00200BC2" w:rsidRPr="00E61EC7">
        <w:rPr>
          <w:noProof/>
        </w:rPr>
        <w:t xml:space="preserve"> (YOSEMITE </w:t>
      </w:r>
      <w:r w:rsidR="00C2190A">
        <w:rPr>
          <w:noProof/>
        </w:rPr>
        <w:t xml:space="preserve">and RHINE </w:t>
      </w:r>
      <w:r w:rsidR="00200BC2" w:rsidRPr="00E61EC7">
        <w:rPr>
          <w:noProof/>
        </w:rPr>
        <w:t>trial</w:t>
      </w:r>
      <w:r w:rsidR="00C2190A">
        <w:rPr>
          <w:noProof/>
        </w:rPr>
        <w:t>s</w:t>
      </w:r>
      <w:r w:rsidR="00200BC2" w:rsidRPr="00E61EC7">
        <w:rPr>
          <w:noProof/>
        </w:rPr>
        <w:t>)</w:t>
      </w:r>
      <w:r w:rsidRPr="00E61EC7">
        <w:rPr>
          <w:lang w:eastAsia="ja-JP"/>
        </w:rPr>
        <w:t xml:space="preserve"> Ocular </w:t>
      </w:r>
      <w:r w:rsidR="00200BC2" w:rsidRPr="00E61EC7">
        <w:rPr>
          <w:lang w:eastAsia="ja-JP"/>
        </w:rPr>
        <w:t>adverse events</w:t>
      </w:r>
      <w:r w:rsidRPr="00E61EC7">
        <w:rPr>
          <w:lang w:eastAsia="ja-JP"/>
        </w:rPr>
        <w:t xml:space="preserve"> with an incidence of 1%</w:t>
      </w:r>
      <w:r w:rsidR="00200BC2" w:rsidRPr="00E61EC7">
        <w:rPr>
          <w:lang w:eastAsia="ja-JP"/>
        </w:rPr>
        <w:t xml:space="preserve"> or higher</w:t>
      </w:r>
      <w:r w:rsidRPr="00E61EC7">
        <w:rPr>
          <w:lang w:eastAsia="ja-JP"/>
        </w:rPr>
        <w:t xml:space="preserve"> in the </w:t>
      </w:r>
      <w:r w:rsidR="00200BC2" w:rsidRPr="00E61EC7">
        <w:rPr>
          <w:lang w:eastAsia="ja-JP"/>
        </w:rPr>
        <w:t xml:space="preserve">study eye in the </w:t>
      </w:r>
      <w:proofErr w:type="spellStart"/>
      <w:r w:rsidR="00200BC2" w:rsidRPr="00E61EC7">
        <w:rPr>
          <w:lang w:eastAsia="ja-JP"/>
        </w:rPr>
        <w:t>faricimab</w:t>
      </w:r>
      <w:proofErr w:type="spellEnd"/>
      <w:r w:rsidR="00200BC2" w:rsidRPr="00E61EC7">
        <w:rPr>
          <w:lang w:eastAsia="ja-JP"/>
        </w:rPr>
        <w:t xml:space="preserve"> every 8 weeks versus aflibercept every 8 weeks arms (pooled safety</w:t>
      </w:r>
      <w:r w:rsidR="00FB2BF6" w:rsidRPr="00E61EC7">
        <w:rPr>
          <w:lang w:eastAsia="ja-JP"/>
        </w:rPr>
        <w:t xml:space="preserve"> </w:t>
      </w:r>
      <w:r w:rsidR="00200BC2" w:rsidRPr="00E61EC7">
        <w:rPr>
          <w:lang w:eastAsia="ja-JP"/>
        </w:rPr>
        <w:t>evaluable population)</w:t>
      </w:r>
    </w:p>
    <w:p w14:paraId="7E961E90" w14:textId="37079DE3" w:rsidR="00CF4472" w:rsidRPr="00E61EC7" w:rsidRDefault="002A2C48" w:rsidP="00DF4190">
      <w:pPr>
        <w:rPr>
          <w:lang w:eastAsia="ja-JP"/>
        </w:rPr>
      </w:pPr>
      <w:r w:rsidRPr="00E61EC7">
        <w:rPr>
          <w:noProof/>
          <w:lang w:val="en-GB" w:eastAsia="en-GB"/>
        </w:rPr>
        <w:drawing>
          <wp:inline distT="0" distB="0" distL="0" distR="0" wp14:anchorId="49121C73" wp14:editId="53DA5634">
            <wp:extent cx="5287879" cy="3357880"/>
            <wp:effectExtent l="0" t="0" r="8255" b="0"/>
            <wp:docPr id="19" name="Picture 19" descr="Table 22: Pooled Studies GR40349 and GR40398 (YOSEMITE and RHINE trials) Ocular adverse events with an incidence of 1% or higher in the study eye in the faricimab every 8 weeks versus aflibercept every 8 weeks arms (pooled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 22: Pooled Studies GR40349 and GR40398 (YOSEMITE and RHINE trials) Ocular adverse events with an incidence of 1% or higher in the study eye in the faricimab every 8 weeks versus aflibercept every 8 weeks arms (pooled safety evaluable population)"/>
                    <pic:cNvPicPr/>
                  </pic:nvPicPr>
                  <pic:blipFill>
                    <a:blip r:embed="rId49"/>
                    <a:stretch>
                      <a:fillRect/>
                    </a:stretch>
                  </pic:blipFill>
                  <pic:spPr>
                    <a:xfrm>
                      <a:off x="0" y="0"/>
                      <a:ext cx="5290096" cy="3359288"/>
                    </a:xfrm>
                    <a:prstGeom prst="rect">
                      <a:avLst/>
                    </a:prstGeom>
                  </pic:spPr>
                </pic:pic>
              </a:graphicData>
            </a:graphic>
          </wp:inline>
        </w:drawing>
      </w:r>
    </w:p>
    <w:p w14:paraId="04610C1D" w14:textId="4404E448" w:rsidR="00AB061A" w:rsidRDefault="002A2C48" w:rsidP="00DF4190">
      <w:pPr>
        <w:pStyle w:val="FigureDescription"/>
      </w:pPr>
      <w:r w:rsidRPr="00E61EC7">
        <w:t>Abbreviations: CI = confidence interval; N = number of subjects; n = number of patients with at least one applicable adverse event</w:t>
      </w:r>
      <w:r w:rsidR="00C12EA0" w:rsidRPr="00E61EC7">
        <w:t>; Q8W = every 8 weeks</w:t>
      </w:r>
      <w:r w:rsidRPr="00E61EC7">
        <w:t>.</w:t>
      </w:r>
      <w:r w:rsidR="00AB061A">
        <w:br w:type="page"/>
      </w:r>
    </w:p>
    <w:p w14:paraId="66695E4C" w14:textId="5F8C1A68" w:rsidR="007A62D7" w:rsidRPr="00E61EC7" w:rsidRDefault="002A2C48" w:rsidP="00DF4190">
      <w:pPr>
        <w:pStyle w:val="FigureTitle"/>
        <w:rPr>
          <w:lang w:eastAsia="ja-JP"/>
        </w:rPr>
      </w:pPr>
      <w:bookmarkStart w:id="94" w:name="_Ref102305102"/>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23</w:t>
      </w:r>
      <w:r w:rsidR="00C22604" w:rsidRPr="00E61EC7">
        <w:rPr>
          <w:noProof/>
        </w:rPr>
        <w:fldChar w:fldCharType="end"/>
      </w:r>
      <w:bookmarkEnd w:id="94"/>
      <w:r w:rsidR="00200BC2" w:rsidRPr="00E61EC7">
        <w:rPr>
          <w:noProof/>
        </w:rPr>
        <w:t>:</w:t>
      </w:r>
      <w:r w:rsidRPr="00E61EC7">
        <w:t xml:space="preserve"> </w:t>
      </w:r>
      <w:r w:rsidRPr="00E61EC7">
        <w:rPr>
          <w:lang w:eastAsia="ja-JP"/>
        </w:rPr>
        <w:t xml:space="preserve">Pooled </w:t>
      </w:r>
      <w:r w:rsidR="00200BC2" w:rsidRPr="00E61EC7">
        <w:rPr>
          <w:noProof/>
        </w:rPr>
        <w:t xml:space="preserve">Studies GR40349 </w:t>
      </w:r>
      <w:r w:rsidR="00C2190A">
        <w:t xml:space="preserve">and GR40398 </w:t>
      </w:r>
      <w:r w:rsidR="00200BC2" w:rsidRPr="00E61EC7">
        <w:rPr>
          <w:noProof/>
        </w:rPr>
        <w:t>(YOSEMITE</w:t>
      </w:r>
      <w:r w:rsidR="00C2190A">
        <w:rPr>
          <w:noProof/>
        </w:rPr>
        <w:t xml:space="preserve"> and RHINE</w:t>
      </w:r>
      <w:r w:rsidR="00200BC2" w:rsidRPr="00E61EC7">
        <w:rPr>
          <w:noProof/>
        </w:rPr>
        <w:t xml:space="preserve"> trial</w:t>
      </w:r>
      <w:r w:rsidR="00C2190A">
        <w:rPr>
          <w:noProof/>
        </w:rPr>
        <w:t>s</w:t>
      </w:r>
      <w:r w:rsidR="00200BC2" w:rsidRPr="00E61EC7">
        <w:rPr>
          <w:noProof/>
        </w:rPr>
        <w:t xml:space="preserve">) </w:t>
      </w:r>
      <w:r w:rsidRPr="00E61EC7">
        <w:rPr>
          <w:lang w:eastAsia="ja-JP"/>
        </w:rPr>
        <w:t xml:space="preserve">Ocular </w:t>
      </w:r>
      <w:r w:rsidR="00200BC2" w:rsidRPr="00E61EC7">
        <w:rPr>
          <w:lang w:eastAsia="ja-JP"/>
        </w:rPr>
        <w:t>adverse events</w:t>
      </w:r>
      <w:r w:rsidRPr="00E61EC7">
        <w:rPr>
          <w:lang w:eastAsia="ja-JP"/>
        </w:rPr>
        <w:t xml:space="preserve"> with an incidence of 1%</w:t>
      </w:r>
      <w:r w:rsidR="00200BC2" w:rsidRPr="00E61EC7">
        <w:rPr>
          <w:lang w:eastAsia="ja-JP"/>
        </w:rPr>
        <w:t xml:space="preserve"> or higher</w:t>
      </w:r>
      <w:r w:rsidRPr="00E61EC7">
        <w:rPr>
          <w:lang w:eastAsia="ja-JP"/>
        </w:rPr>
        <w:t xml:space="preserve"> in </w:t>
      </w:r>
      <w:r w:rsidR="00200BC2" w:rsidRPr="00E61EC7">
        <w:rPr>
          <w:lang w:eastAsia="ja-JP"/>
        </w:rPr>
        <w:t xml:space="preserve">the study eye in the </w:t>
      </w:r>
      <w:proofErr w:type="spellStart"/>
      <w:r w:rsidR="00200BC2" w:rsidRPr="00E61EC7">
        <w:rPr>
          <w:lang w:eastAsia="ja-JP"/>
        </w:rPr>
        <w:t>faricimab</w:t>
      </w:r>
      <w:proofErr w:type="spellEnd"/>
      <w:r w:rsidR="00200BC2" w:rsidRPr="00E61EC7">
        <w:rPr>
          <w:lang w:eastAsia="ja-JP"/>
        </w:rPr>
        <w:t xml:space="preserve"> </w:t>
      </w:r>
      <w:r w:rsidR="00200BC2" w:rsidRPr="00E61EC7">
        <w:t>personalised treatment interval versus a</w:t>
      </w:r>
      <w:r w:rsidR="00200BC2" w:rsidRPr="00E61EC7">
        <w:rPr>
          <w:lang w:eastAsia="ja-JP"/>
        </w:rPr>
        <w:t>flibercept every 8 weeks arms (pooled safety evaluable population)</w:t>
      </w:r>
    </w:p>
    <w:p w14:paraId="7B181757" w14:textId="0D51ADAD" w:rsidR="00CF4472" w:rsidRPr="00E61EC7" w:rsidRDefault="002A2C48" w:rsidP="00DF4190">
      <w:pPr>
        <w:rPr>
          <w:lang w:eastAsia="ja-JP"/>
        </w:rPr>
      </w:pPr>
      <w:r w:rsidRPr="00E61EC7">
        <w:rPr>
          <w:noProof/>
          <w:lang w:val="en-GB" w:eastAsia="en-GB"/>
        </w:rPr>
        <w:drawing>
          <wp:inline distT="0" distB="0" distL="0" distR="0" wp14:anchorId="0C0613BE" wp14:editId="2231D03E">
            <wp:extent cx="5400040" cy="2776220"/>
            <wp:effectExtent l="0" t="0" r="0" b="5080"/>
            <wp:docPr id="20" name="Picture 20" descr="Table 23: Pooled Studies GR40349 and GR40398 (YOSEMITE and RHINE trials) Ocular adverse events with an incidence of 1% or higher in the study eye in the faricimab personalised treatment interval versus aflibercept every 8 weeks arms (pooled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 23: Pooled Studies GR40349 and GR40398 (YOSEMITE and RHINE trials) Ocular adverse events with an incidence of 1% or higher in the study eye in the faricimab personalised treatment interval versus aflibercept every 8 weeks arms (pooled safety evaluable population)"/>
                    <pic:cNvPicPr/>
                  </pic:nvPicPr>
                  <pic:blipFill>
                    <a:blip r:embed="rId50"/>
                    <a:stretch>
                      <a:fillRect/>
                    </a:stretch>
                  </pic:blipFill>
                  <pic:spPr>
                    <a:xfrm>
                      <a:off x="0" y="0"/>
                      <a:ext cx="5400040" cy="2776220"/>
                    </a:xfrm>
                    <a:prstGeom prst="rect">
                      <a:avLst/>
                    </a:prstGeom>
                  </pic:spPr>
                </pic:pic>
              </a:graphicData>
            </a:graphic>
          </wp:inline>
        </w:drawing>
      </w:r>
    </w:p>
    <w:p w14:paraId="2AC1A54F" w14:textId="1F0D1C4C" w:rsidR="00CF4472" w:rsidRPr="00E61EC7" w:rsidRDefault="002A2C48" w:rsidP="00DF4190">
      <w:pPr>
        <w:pStyle w:val="FigureDescription"/>
      </w:pPr>
      <w:r w:rsidRPr="00E61EC7">
        <w:t>Abbreviations: CI = confidence interval; N = number of subjects; n = number of patients with at least one applicable adverse event</w:t>
      </w:r>
      <w:r w:rsidR="00C12EA0" w:rsidRPr="00E61EC7">
        <w:t>; Q8W = every 8 weeks</w:t>
      </w:r>
      <w:r w:rsidRPr="00E61EC7">
        <w:t>.</w:t>
      </w:r>
    </w:p>
    <w:p w14:paraId="4B9E8563" w14:textId="69C265E6" w:rsidR="00042FC8" w:rsidRPr="00E61EC7" w:rsidRDefault="002A2C48" w:rsidP="00C470FC">
      <w:pPr>
        <w:pStyle w:val="Heading5"/>
      </w:pPr>
      <w:r w:rsidRPr="00E61EC7">
        <w:t>Treatment</w:t>
      </w:r>
      <w:r w:rsidR="00AA2E84" w:rsidRPr="00E61EC7">
        <w:t>-</w:t>
      </w:r>
      <w:r w:rsidRPr="00E61EC7">
        <w:t>related adverse event</w:t>
      </w:r>
      <w:r w:rsidR="00C2190A">
        <w:t>s</w:t>
      </w:r>
      <w:r w:rsidRPr="00E61EC7">
        <w:t xml:space="preserve"> (adverse drug reaction)</w:t>
      </w:r>
    </w:p>
    <w:p w14:paraId="505F88F0" w14:textId="1E6EA2D9" w:rsidR="00C470FC" w:rsidRPr="00E61EC7" w:rsidRDefault="002A2C48" w:rsidP="00C470FC">
      <w:pPr>
        <w:pStyle w:val="Heading6"/>
        <w:rPr>
          <w:szCs w:val="28"/>
        </w:rPr>
      </w:pPr>
      <w:bookmarkStart w:id="95" w:name="_Hlk102305272"/>
      <w:r w:rsidRPr="00E61EC7">
        <w:t xml:space="preserve">Pooled </w:t>
      </w:r>
      <w:r w:rsidR="00533A7C" w:rsidRPr="00E61EC7">
        <w:t>Phase III</w:t>
      </w:r>
      <w:r w:rsidRPr="00E61EC7">
        <w:t xml:space="preserve"> </w:t>
      </w:r>
      <w:r w:rsidR="00200BC2" w:rsidRPr="00E61EC7">
        <w:t xml:space="preserve">neovascular age-related macular degeneration </w:t>
      </w:r>
      <w:r w:rsidR="00410AF5" w:rsidRPr="00E61EC7">
        <w:t xml:space="preserve">(Studies GR40306 (TENAYA trial) and GR40844 (LUCERNE trial)) </w:t>
      </w:r>
      <w:r w:rsidRPr="00E61EC7">
        <w:t xml:space="preserve">and </w:t>
      </w:r>
      <w:r w:rsidR="00200BC2" w:rsidRPr="00E61EC7">
        <w:t xml:space="preserve">diabetic macular oedema </w:t>
      </w:r>
      <w:r w:rsidRPr="00E61EC7">
        <w:t>studies</w:t>
      </w:r>
      <w:bookmarkEnd w:id="95"/>
      <w:r w:rsidR="00410AF5" w:rsidRPr="00E61EC7">
        <w:t xml:space="preserve"> (</w:t>
      </w:r>
      <w:r w:rsidR="00410AF5" w:rsidRPr="00E61EC7">
        <w:rPr>
          <w:szCs w:val="28"/>
        </w:rPr>
        <w:t>Study GR40349 (YOSEMITE trial) and Study GR40398 (RHINE trial))</w:t>
      </w:r>
    </w:p>
    <w:p w14:paraId="1B6FFDA9" w14:textId="4A4046F0" w:rsidR="00042FC8" w:rsidRPr="00E61EC7" w:rsidRDefault="002A2C48" w:rsidP="00C470FC">
      <w:r w:rsidRPr="00E61EC7">
        <w:t xml:space="preserve">The most common pooled </w:t>
      </w:r>
      <w:r w:rsidR="00F86CD2" w:rsidRPr="00E61EC7">
        <w:t>adverse drug reactions (</w:t>
      </w:r>
      <w:r w:rsidRPr="00E61EC7">
        <w:t>ADRs</w:t>
      </w:r>
      <w:r w:rsidR="00F86CD2" w:rsidRPr="00E61EC7">
        <w:t>)</w:t>
      </w:r>
      <w:r w:rsidRPr="00E61EC7">
        <w:t xml:space="preserve"> (2%</w:t>
      </w:r>
      <w:r w:rsidR="00200BC2" w:rsidRPr="00E61EC7">
        <w:t xml:space="preserve"> or higher</w:t>
      </w:r>
      <w:r w:rsidRPr="00E61EC7">
        <w:t xml:space="preserve"> incidence in any treatment arm: combined </w:t>
      </w:r>
      <w:proofErr w:type="spellStart"/>
      <w:r w:rsidRPr="00E61EC7">
        <w:t>faricimab</w:t>
      </w:r>
      <w:proofErr w:type="spellEnd"/>
      <w:r w:rsidRPr="00E61EC7">
        <w:t xml:space="preserve"> arms </w:t>
      </w:r>
      <w:r w:rsidR="005B01D2" w:rsidRPr="00E61EC7">
        <w:t>versus</w:t>
      </w:r>
      <w:r w:rsidRPr="00E61EC7">
        <w:t xml:space="preserve"> aflibercept arm) by </w:t>
      </w:r>
      <w:r w:rsidR="001654B4" w:rsidRPr="00E61EC7">
        <w:t>Preferred Term</w:t>
      </w:r>
      <w:r w:rsidRPr="00E61EC7">
        <w:t xml:space="preserve"> were</w:t>
      </w:r>
      <w:r w:rsidR="00642D73">
        <w:t xml:space="preserve"> </w:t>
      </w:r>
      <w:r w:rsidR="00642D73" w:rsidRPr="005B6E30">
        <w:t>cataract (10.7% v</w:t>
      </w:r>
      <w:r w:rsidR="00D661BF">
        <w:t xml:space="preserve">ersus </w:t>
      </w:r>
      <w:r w:rsidR="00642D73" w:rsidRPr="005B6E30">
        <w:t>7.0</w:t>
      </w:r>
      <w:r w:rsidR="00642D73">
        <w:rPr>
          <w:rFonts w:ascii="Arial" w:hAnsi="Arial" w:cs="Arial"/>
          <w:shd w:val="clear" w:color="auto" w:fill="FFFFFF"/>
        </w:rPr>
        <w:t>%),</w:t>
      </w:r>
      <w:r w:rsidRPr="00E61EC7">
        <w:t xml:space="preserve"> conjunctival haemorrhage (</w:t>
      </w:r>
      <w:r w:rsidR="00642D73">
        <w:t>7.3</w:t>
      </w:r>
      <w:r w:rsidRPr="00E61EC7">
        <w:t xml:space="preserve">% </w:t>
      </w:r>
      <w:r w:rsidR="005B01D2" w:rsidRPr="00E61EC7">
        <w:t>versus</w:t>
      </w:r>
      <w:r w:rsidRPr="00E61EC7">
        <w:t xml:space="preserve"> </w:t>
      </w:r>
      <w:r w:rsidR="00642D73">
        <w:t>7.1</w:t>
      </w:r>
      <w:r w:rsidRPr="00E61EC7">
        <w:t xml:space="preserve">%), </w:t>
      </w:r>
      <w:r w:rsidR="00642D73" w:rsidRPr="00E61EC7">
        <w:t>int</w:t>
      </w:r>
      <w:r w:rsidR="00642D73">
        <w:t>raocular pressure increased (3.6</w:t>
      </w:r>
      <w:r w:rsidR="00642D73" w:rsidRPr="00E61EC7">
        <w:t>% versus</w:t>
      </w:r>
      <w:r w:rsidR="00642D73">
        <w:t xml:space="preserve"> 2.4</w:t>
      </w:r>
      <w:r w:rsidR="00642D73" w:rsidRPr="00E61EC7">
        <w:t>%),</w:t>
      </w:r>
      <w:r w:rsidR="00642D73">
        <w:t xml:space="preserve"> </w:t>
      </w:r>
      <w:r w:rsidRPr="00E61EC7">
        <w:t>vitreous floaters (3.</w:t>
      </w:r>
      <w:r w:rsidR="00642D73">
        <w:t>6</w:t>
      </w:r>
      <w:r w:rsidRPr="00E61EC7">
        <w:t xml:space="preserve">% </w:t>
      </w:r>
      <w:r w:rsidR="005B01D2" w:rsidRPr="00E61EC7">
        <w:t>versus</w:t>
      </w:r>
      <w:r w:rsidRPr="00E61EC7">
        <w:t xml:space="preserve"> </w:t>
      </w:r>
      <w:r w:rsidR="00642D73">
        <w:t>2.3</w:t>
      </w:r>
      <w:r w:rsidRPr="00E61EC7">
        <w:t>%), and eye pain (2.</w:t>
      </w:r>
      <w:r w:rsidR="00642D73">
        <w:t>5</w:t>
      </w:r>
      <w:r w:rsidRPr="00E61EC7">
        <w:t xml:space="preserve">% </w:t>
      </w:r>
      <w:r w:rsidR="005B01D2" w:rsidRPr="00E61EC7">
        <w:t>versus</w:t>
      </w:r>
      <w:r w:rsidRPr="00E61EC7">
        <w:t xml:space="preserve"> 3.</w:t>
      </w:r>
      <w:r w:rsidR="00642D73">
        <w:t>2</w:t>
      </w:r>
      <w:r w:rsidRPr="00E61EC7">
        <w:t>%)</w:t>
      </w:r>
      <w:r w:rsidR="00200BC2" w:rsidRPr="00E61EC7">
        <w:t xml:space="preserve">(see </w:t>
      </w:r>
      <w:r w:rsidR="00200BC2" w:rsidRPr="00E61EC7">
        <w:fldChar w:fldCharType="begin"/>
      </w:r>
      <w:r w:rsidR="00200BC2" w:rsidRPr="00E61EC7">
        <w:instrText xml:space="preserve"> REF _Ref102305299 \h  \* MERGEFORMAT </w:instrText>
      </w:r>
      <w:r w:rsidR="00200BC2" w:rsidRPr="00E61EC7">
        <w:fldChar w:fldCharType="separate"/>
      </w:r>
      <w:r w:rsidR="001E25B5" w:rsidRPr="001E25B5">
        <w:rPr>
          <w:lang w:val="en-US"/>
        </w:rPr>
        <w:t>Table 24</w:t>
      </w:r>
      <w:r w:rsidR="00200BC2" w:rsidRPr="00E61EC7">
        <w:fldChar w:fldCharType="end"/>
      </w:r>
      <w:r w:rsidR="00200BC2" w:rsidRPr="00E61EC7">
        <w:t xml:space="preserve"> below).</w:t>
      </w:r>
    </w:p>
    <w:p w14:paraId="3262F5F1" w14:textId="38293376" w:rsidR="00042FC8" w:rsidRPr="00E61EC7" w:rsidRDefault="002A2C48" w:rsidP="00C470FC">
      <w:r w:rsidRPr="00E61EC7">
        <w:t>The most common pooled serious ADRs (2</w:t>
      </w:r>
      <w:r w:rsidR="00200BC2" w:rsidRPr="00E61EC7">
        <w:t xml:space="preserve"> or more</w:t>
      </w:r>
      <w:r w:rsidRPr="00E61EC7">
        <w:t xml:space="preserve"> patients) were </w:t>
      </w:r>
      <w:r w:rsidR="00657D67">
        <w:t>cataract (0.9% v</w:t>
      </w:r>
      <w:r w:rsidR="00D661BF">
        <w:t>ersus</w:t>
      </w:r>
      <w:r w:rsidR="00657D67">
        <w:t xml:space="preserve"> 0.6%</w:t>
      </w:r>
      <w:r w:rsidR="00657D67" w:rsidRPr="005B6E30">
        <w:t>),</w:t>
      </w:r>
      <w:r w:rsidR="00D661BF" w:rsidRPr="00D661BF">
        <w:t xml:space="preserve"> </w:t>
      </w:r>
      <w:r w:rsidRPr="00D661BF">
        <w:t>uveitis</w:t>
      </w:r>
      <w:r w:rsidRPr="00E61EC7">
        <w:t xml:space="preserve"> (0.3% </w:t>
      </w:r>
      <w:r w:rsidR="005B01D2" w:rsidRPr="00E61EC7">
        <w:t>versus</w:t>
      </w:r>
      <w:r w:rsidRPr="00E61EC7">
        <w:t xml:space="preserve"> 0.1%), retinal pigment epithelial tear (</w:t>
      </w:r>
      <w:proofErr w:type="spellStart"/>
      <w:r w:rsidRPr="00E61EC7">
        <w:t>nAMD</w:t>
      </w:r>
      <w:proofErr w:type="spellEnd"/>
      <w:r w:rsidRPr="00E61EC7">
        <w:t xml:space="preserve"> only; 0.</w:t>
      </w:r>
      <w:r w:rsidR="00A601D0">
        <w:t>2</w:t>
      </w:r>
      <w:r w:rsidRPr="00E61EC7">
        <w:t xml:space="preserve">% </w:t>
      </w:r>
      <w:r w:rsidR="005B01D2" w:rsidRPr="00E61EC7">
        <w:t>versus</w:t>
      </w:r>
      <w:r w:rsidRPr="00E61EC7">
        <w:t xml:space="preserve"> 0), endophthalmitis (0.</w:t>
      </w:r>
      <w:r w:rsidR="00A601D0">
        <w:t>3</w:t>
      </w:r>
      <w:r w:rsidRPr="00E61EC7">
        <w:t xml:space="preserve">% </w:t>
      </w:r>
      <w:r w:rsidR="005B01D2" w:rsidRPr="00E61EC7">
        <w:t>versus</w:t>
      </w:r>
      <w:r w:rsidRPr="00E61EC7">
        <w:t xml:space="preserve"> 0.2%), vitreous haemorrhage (0.</w:t>
      </w:r>
      <w:r w:rsidR="00A601D0">
        <w:t>1</w:t>
      </w:r>
      <w:r w:rsidRPr="00E61EC7">
        <w:t xml:space="preserve">% </w:t>
      </w:r>
      <w:r w:rsidR="005B01D2" w:rsidRPr="00E61EC7">
        <w:t>versus</w:t>
      </w:r>
      <w:r w:rsidRPr="00E61EC7">
        <w:t xml:space="preserve"> 0.</w:t>
      </w:r>
      <w:r w:rsidR="00A601D0">
        <w:t>1</w:t>
      </w:r>
      <w:r w:rsidRPr="00E61EC7">
        <w:t xml:space="preserve">%), </w:t>
      </w:r>
      <w:proofErr w:type="spellStart"/>
      <w:r w:rsidRPr="00E61EC7">
        <w:t>vitritis</w:t>
      </w:r>
      <w:proofErr w:type="spellEnd"/>
      <w:r w:rsidRPr="00E61EC7">
        <w:t xml:space="preserve"> (0.1% </w:t>
      </w:r>
      <w:r w:rsidR="005B01D2" w:rsidRPr="00E61EC7">
        <w:t>versus</w:t>
      </w:r>
      <w:r w:rsidRPr="00E61EC7">
        <w:t xml:space="preserve"> 0), intraocular pressure increased (0.1% </w:t>
      </w:r>
      <w:r w:rsidR="005B01D2" w:rsidRPr="00E61EC7">
        <w:t>versus</w:t>
      </w:r>
      <w:r w:rsidRPr="00E61EC7">
        <w:t xml:space="preserve"> 0) and retinal tear (0.</w:t>
      </w:r>
      <w:r w:rsidR="00A601D0">
        <w:t>2</w:t>
      </w:r>
      <w:r w:rsidRPr="00E61EC7">
        <w:t xml:space="preserve">% </w:t>
      </w:r>
      <w:r w:rsidR="005B01D2" w:rsidRPr="00E61EC7">
        <w:t>versus</w:t>
      </w:r>
      <w:r w:rsidRPr="00E61EC7">
        <w:t xml:space="preserve"> 0). The majority of the serious ADRs resolved, resolved with sequelae, or were resolving by Week 48 for </w:t>
      </w:r>
      <w:proofErr w:type="spellStart"/>
      <w:r w:rsidRPr="00E61EC7">
        <w:t>nAMD</w:t>
      </w:r>
      <w:proofErr w:type="spellEnd"/>
      <w:r w:rsidRPr="00E61EC7">
        <w:t xml:space="preserve"> events and </w:t>
      </w:r>
      <w:r w:rsidR="00A601D0">
        <w:t xml:space="preserve">by the end of the study </w:t>
      </w:r>
      <w:r w:rsidRPr="00E61EC7">
        <w:t xml:space="preserve">for </w:t>
      </w:r>
      <w:r w:rsidR="00F86CD2" w:rsidRPr="00E61EC7">
        <w:t>diabetic macular oedema (</w:t>
      </w:r>
      <w:r w:rsidR="0039584C" w:rsidRPr="00E61EC7">
        <w:t>DMO</w:t>
      </w:r>
      <w:r w:rsidR="00F86CD2" w:rsidRPr="00E61EC7">
        <w:t>)</w:t>
      </w:r>
      <w:r w:rsidRPr="00E61EC7">
        <w:t xml:space="preserve"> events. The serious ADRs not resolved were retinal pigment epithelial tear (4 events)</w:t>
      </w:r>
      <w:r w:rsidR="00A601D0">
        <w:t>, cataract (one event),</w:t>
      </w:r>
      <w:r w:rsidRPr="00E61EC7">
        <w:t xml:space="preserve"> and uveitis (</w:t>
      </w:r>
      <w:r w:rsidR="00200BC2" w:rsidRPr="00E61EC7">
        <w:t>one</w:t>
      </w:r>
      <w:r w:rsidRPr="00E61EC7">
        <w:t xml:space="preserve"> event) for </w:t>
      </w:r>
      <w:r w:rsidR="00C74766">
        <w:t>the</w:t>
      </w:r>
      <w:r w:rsidR="00C74766" w:rsidRPr="00E61EC7">
        <w:t xml:space="preserve"> </w:t>
      </w:r>
      <w:proofErr w:type="spellStart"/>
      <w:r w:rsidRPr="00E61EC7">
        <w:t>nAMD</w:t>
      </w:r>
      <w:proofErr w:type="spellEnd"/>
      <w:r w:rsidRPr="00E61EC7">
        <w:t xml:space="preserve"> indication; and </w:t>
      </w:r>
      <w:r w:rsidR="00A601D0">
        <w:t>cataract (7 events), visual acuity reduced (2 events)</w:t>
      </w:r>
      <w:r w:rsidR="00AF2092">
        <w:t xml:space="preserve"> and endophthalmitis (one event)</w:t>
      </w:r>
      <w:r w:rsidR="00A601D0">
        <w:t xml:space="preserve"> </w:t>
      </w:r>
      <w:r w:rsidRPr="00E61EC7">
        <w:t xml:space="preserve">for </w:t>
      </w:r>
      <w:r w:rsidR="0039584C" w:rsidRPr="00E61EC7">
        <w:t>DMO</w:t>
      </w:r>
      <w:r w:rsidRPr="00E61EC7">
        <w:t>.</w:t>
      </w:r>
    </w:p>
    <w:p w14:paraId="1981E536" w14:textId="1080A6C0" w:rsidR="00042FC8" w:rsidRPr="00E61EC7" w:rsidRDefault="002A2C48" w:rsidP="00C470FC">
      <w:r w:rsidRPr="00E61EC7">
        <w:t>The most common pooled sight</w:t>
      </w:r>
      <w:r w:rsidR="00200BC2" w:rsidRPr="00E61EC7">
        <w:t xml:space="preserve"> </w:t>
      </w:r>
      <w:r w:rsidRPr="00E61EC7">
        <w:t>threatening ADRs were</w:t>
      </w:r>
      <w:r w:rsidR="00AF2092">
        <w:t xml:space="preserve"> cataract (0.9% v</w:t>
      </w:r>
      <w:r w:rsidR="00C2190A">
        <w:t>ersu</w:t>
      </w:r>
      <w:r w:rsidR="00AF2092">
        <w:t xml:space="preserve">s 0.6%), </w:t>
      </w:r>
      <w:r w:rsidRPr="00E61EC7">
        <w:t xml:space="preserve">retinal pigment epithelial tear (0.1% </w:t>
      </w:r>
      <w:r w:rsidR="005B01D2" w:rsidRPr="00E61EC7">
        <w:t>versus</w:t>
      </w:r>
      <w:r w:rsidRPr="00E61EC7">
        <w:t xml:space="preserve"> 0) and </w:t>
      </w:r>
      <w:r w:rsidR="00AF2092">
        <w:t>endophthalmitis (0.1% v</w:t>
      </w:r>
      <w:r w:rsidR="00C2190A">
        <w:t>ersu</w:t>
      </w:r>
      <w:r w:rsidR="00AF2092">
        <w:t>s 0)</w:t>
      </w:r>
      <w:r w:rsidR="00C2190A">
        <w:t xml:space="preserve">. </w:t>
      </w:r>
      <w:proofErr w:type="gramStart"/>
      <w:r w:rsidR="00AF2092" w:rsidRPr="005B6E30">
        <w:t>The majority of</w:t>
      </w:r>
      <w:proofErr w:type="gramEnd"/>
      <w:r w:rsidR="00AF2092" w:rsidRPr="005B6E30">
        <w:t xml:space="preserve"> the pooled </w:t>
      </w:r>
      <w:r w:rsidR="00D661BF" w:rsidRPr="005B6E30">
        <w:t>sight threatening</w:t>
      </w:r>
      <w:r w:rsidR="00AF2092" w:rsidRPr="005B6E30">
        <w:t xml:space="preserve"> ADRs resolved, resolved with sequelae,</w:t>
      </w:r>
      <w:r w:rsidR="00AF2092">
        <w:t xml:space="preserve"> </w:t>
      </w:r>
      <w:r w:rsidR="00AF2092" w:rsidRPr="005B6E30">
        <w:t xml:space="preserve">or were resolving by Week 48 for the </w:t>
      </w:r>
      <w:proofErr w:type="spellStart"/>
      <w:r w:rsidR="00AF2092" w:rsidRPr="005B6E30">
        <w:t>nAMD</w:t>
      </w:r>
      <w:proofErr w:type="spellEnd"/>
      <w:r w:rsidR="00AF2092" w:rsidRPr="005B6E30">
        <w:t xml:space="preserve"> events and by the end of the study for DME events</w:t>
      </w:r>
      <w:r w:rsidR="00AF2092">
        <w:rPr>
          <w:rFonts w:ascii="Arial" w:hAnsi="Arial" w:cs="Arial"/>
          <w:sz w:val="29"/>
          <w:szCs w:val="29"/>
          <w:shd w:val="clear" w:color="auto" w:fill="FFFFFF"/>
        </w:rPr>
        <w:t xml:space="preserve">. </w:t>
      </w:r>
      <w:r w:rsidRPr="00E61EC7">
        <w:t>The ADRs not resolved were retinal pigment epithelial tear (2 events)</w:t>
      </w:r>
      <w:r w:rsidR="00C2190A">
        <w:t xml:space="preserve">, </w:t>
      </w:r>
      <w:r w:rsidRPr="00E61EC7">
        <w:t>vitreous haemorrhage (</w:t>
      </w:r>
      <w:r w:rsidR="00200BC2" w:rsidRPr="00E61EC7">
        <w:t>one</w:t>
      </w:r>
      <w:r w:rsidRPr="00E61EC7">
        <w:t xml:space="preserve"> event)</w:t>
      </w:r>
      <w:r w:rsidR="00AF2092">
        <w:t xml:space="preserve">, and cataract for the </w:t>
      </w:r>
      <w:proofErr w:type="spellStart"/>
      <w:r w:rsidR="00AF2092">
        <w:t>nAMD</w:t>
      </w:r>
      <w:proofErr w:type="spellEnd"/>
      <w:r w:rsidR="00AF2092">
        <w:t xml:space="preserve"> indication; </w:t>
      </w:r>
      <w:r w:rsidRPr="00E61EC7">
        <w:t xml:space="preserve">and </w:t>
      </w:r>
      <w:r w:rsidR="00AF2092">
        <w:t xml:space="preserve">cataract (8 events), visual acuity reduced (2 events), vitreous haemorrhage (2 events), and endophthalmitis (one event) </w:t>
      </w:r>
      <w:r w:rsidRPr="00E61EC7">
        <w:t xml:space="preserve">(for </w:t>
      </w:r>
      <w:r w:rsidR="0039584C" w:rsidRPr="00E61EC7">
        <w:t>DMO</w:t>
      </w:r>
      <w:r w:rsidRPr="00E61EC7">
        <w:t>).</w:t>
      </w:r>
    </w:p>
    <w:p w14:paraId="13083C2C" w14:textId="7282EFA3" w:rsidR="00200BC2" w:rsidRDefault="002A2C48" w:rsidP="00DF4190">
      <w:pPr>
        <w:pStyle w:val="TableTitle"/>
      </w:pPr>
      <w:bookmarkStart w:id="96" w:name="_Ref102305299"/>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24</w:t>
      </w:r>
      <w:r w:rsidR="00C22604" w:rsidRPr="00E61EC7">
        <w:rPr>
          <w:noProof/>
        </w:rPr>
        <w:fldChar w:fldCharType="end"/>
      </w:r>
      <w:bookmarkEnd w:id="96"/>
      <w:r w:rsidRPr="00E61EC7">
        <w:t xml:space="preserve">: Pooled </w:t>
      </w:r>
      <w:r w:rsidR="00410AF5" w:rsidRPr="00E61EC7">
        <w:t>Studies GR40306 (TENAYA trial), GR40844 (LUCERNE trial), GR40349 (YOSEMITE trial) and GR40398 (RHINE trial)</w:t>
      </w:r>
      <w:r w:rsidRPr="00E61EC7">
        <w:t xml:space="preserve"> Adverse drug reactions in the study eye through Week 48 for neovascular age-related macular degeneration and </w:t>
      </w:r>
      <w:r w:rsidR="00657D67">
        <w:t>during the entire study</w:t>
      </w:r>
      <w:r w:rsidRPr="00E61EC7">
        <w:t xml:space="preserve"> for diabetic macular oedema (pooled safety evaluable population)</w:t>
      </w:r>
    </w:p>
    <w:p w14:paraId="66E70CB5" w14:textId="1DAB9E25" w:rsidR="001068F4" w:rsidRPr="00E61EC7" w:rsidRDefault="00657D67" w:rsidP="00441261">
      <w:r>
        <w:rPr>
          <w:noProof/>
          <w:lang w:val="en-GB" w:eastAsia="en-GB"/>
        </w:rPr>
        <w:drawing>
          <wp:inline distT="0" distB="0" distL="0" distR="0" wp14:anchorId="273CE0C2" wp14:editId="79924F97">
            <wp:extent cx="5349240" cy="2987040"/>
            <wp:effectExtent l="0" t="0" r="3810" b="3810"/>
            <wp:docPr id="9" name="Picture 9" descr="Table 24: Pooled Studies GR40306 (TENAYA trial), GR40844 (LUCERNE trial), GR40349 (YOSEMITE trial) and GR40398 (RHINE trial) Adverse drug reactions in the study eye through Week 48 for neovascular age-related macular degeneration and during the entire study for diabetic macular oedema (pooled safety evalua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24: Pooled Studies GR40306 (TENAYA trial), GR40844 (LUCERNE trial), GR40349 (YOSEMITE trial) and GR40398 (RHINE trial) Adverse drug reactions in the study eye through Week 48 for neovascular age-related macular degeneration and during the entire study for diabetic macular oedema (pooled safety evaluable population)"/>
                    <pic:cNvPicPr/>
                  </pic:nvPicPr>
                  <pic:blipFill>
                    <a:blip r:embed="rId51"/>
                    <a:stretch>
                      <a:fillRect/>
                    </a:stretch>
                  </pic:blipFill>
                  <pic:spPr>
                    <a:xfrm>
                      <a:off x="0" y="0"/>
                      <a:ext cx="5349240" cy="2987040"/>
                    </a:xfrm>
                    <a:prstGeom prst="rect">
                      <a:avLst/>
                    </a:prstGeom>
                  </pic:spPr>
                </pic:pic>
              </a:graphicData>
            </a:graphic>
          </wp:inline>
        </w:drawing>
      </w:r>
    </w:p>
    <w:p w14:paraId="175520A6" w14:textId="5C4B1432" w:rsidR="00BA07AB" w:rsidRPr="00E61EC7" w:rsidRDefault="002A2C48" w:rsidP="00DF4190">
      <w:pPr>
        <w:pStyle w:val="TableDescription"/>
      </w:pPr>
      <w:r w:rsidRPr="00E61EC7">
        <w:t xml:space="preserve">Abbreviations: DME = diabetic macular oedema; MedDRA = Medical Dictionary for Regulatory Activities; N = number of subjects; </w:t>
      </w:r>
      <w:proofErr w:type="spellStart"/>
      <w:r w:rsidRPr="00E61EC7">
        <w:t>nAMD</w:t>
      </w:r>
      <w:proofErr w:type="spellEnd"/>
      <w:r w:rsidRPr="00E61EC7">
        <w:t xml:space="preserve"> = neovascular age-related macular degeneration.</w:t>
      </w:r>
    </w:p>
    <w:p w14:paraId="6E690628" w14:textId="35E0769C" w:rsidR="009F781C" w:rsidRPr="00E61EC7" w:rsidRDefault="002A2C48" w:rsidP="00DF4190">
      <w:pPr>
        <w:pStyle w:val="TableDescription"/>
      </w:pPr>
      <w:r w:rsidRPr="00E61EC7">
        <w:t xml:space="preserve">Investigator text for </w:t>
      </w:r>
      <w:r w:rsidR="00BA07AB" w:rsidRPr="00E61EC7">
        <w:t>adverse events</w:t>
      </w:r>
      <w:r w:rsidRPr="00E61EC7">
        <w:t xml:space="preserve"> (AEs) encoded using MedDRA</w:t>
      </w:r>
      <w:r w:rsidR="000F70B9" w:rsidRPr="00E61EC7">
        <w:t>;</w:t>
      </w:r>
      <w:r w:rsidR="000F70B9" w:rsidRPr="00E61EC7">
        <w:rPr>
          <w:vertAlign w:val="superscript"/>
        </w:rPr>
        <w:fldChar w:fldCharType="begin"/>
      </w:r>
      <w:r w:rsidR="000F70B9" w:rsidRPr="00E61EC7">
        <w:rPr>
          <w:vertAlign w:val="superscript"/>
        </w:rPr>
        <w:instrText xml:space="preserve"> NOTEREF _Ref118817666 \h  \* MERGEFORMAT </w:instrText>
      </w:r>
      <w:r w:rsidR="000F70B9" w:rsidRPr="00E61EC7">
        <w:rPr>
          <w:vertAlign w:val="superscript"/>
        </w:rPr>
      </w:r>
      <w:r w:rsidR="000F70B9" w:rsidRPr="00E61EC7">
        <w:rPr>
          <w:vertAlign w:val="superscript"/>
        </w:rPr>
        <w:fldChar w:fldCharType="separate"/>
      </w:r>
      <w:r w:rsidR="001E25B5">
        <w:rPr>
          <w:vertAlign w:val="superscript"/>
        </w:rPr>
        <w:t>15</w:t>
      </w:r>
      <w:r w:rsidR="000F70B9" w:rsidRPr="00E61EC7">
        <w:rPr>
          <w:vertAlign w:val="superscript"/>
        </w:rPr>
        <w:fldChar w:fldCharType="end"/>
      </w:r>
      <w:r w:rsidRPr="00E61EC7">
        <w:t xml:space="preserve"> version 23.1</w:t>
      </w:r>
      <w:r w:rsidR="00657D67">
        <w:t xml:space="preserve"> and MedDRA version 24.0 for DME</w:t>
      </w:r>
      <w:r w:rsidRPr="00E61EC7">
        <w:t>.</w:t>
      </w:r>
    </w:p>
    <w:p w14:paraId="79E50758" w14:textId="738D9DBC" w:rsidR="001068F4" w:rsidRPr="00E61EC7" w:rsidRDefault="002A2C48" w:rsidP="00DF4190">
      <w:pPr>
        <w:pStyle w:val="TableDescription"/>
      </w:pPr>
      <w:r w:rsidRPr="00E61EC7">
        <w:t>Percentages are based on N in the column headings.</w:t>
      </w:r>
    </w:p>
    <w:p w14:paraId="0032628A" w14:textId="36F6D999" w:rsidR="001068F4" w:rsidRPr="00E61EC7" w:rsidRDefault="002A2C48" w:rsidP="00DF4190">
      <w:pPr>
        <w:pStyle w:val="TableDescription"/>
      </w:pPr>
      <w:r w:rsidRPr="00E61EC7">
        <w:t>Personali</w:t>
      </w:r>
      <w:r w:rsidR="00EC0073" w:rsidRPr="00E61EC7">
        <w:t>s</w:t>
      </w:r>
      <w:r w:rsidRPr="00E61EC7">
        <w:t xml:space="preserve">ed </w:t>
      </w:r>
      <w:r w:rsidR="009F781C" w:rsidRPr="00E61EC7">
        <w:t xml:space="preserve">treatment interval </w:t>
      </w:r>
      <w:r w:rsidRPr="00E61EC7">
        <w:t>is from every 4 weeks up to every 16 weeks.</w:t>
      </w:r>
    </w:p>
    <w:p w14:paraId="5C386758" w14:textId="2C808FE1" w:rsidR="001068F4" w:rsidRPr="00E61EC7" w:rsidRDefault="002A2C48" w:rsidP="00DF4190">
      <w:pPr>
        <w:pStyle w:val="TableDescription"/>
      </w:pPr>
      <w:r w:rsidRPr="00E61EC7">
        <w:t xml:space="preserve">For frequency counts by </w:t>
      </w:r>
      <w:r w:rsidR="009F781C" w:rsidRPr="00E61EC7">
        <w:t>Preferred Term</w:t>
      </w:r>
      <w:r w:rsidRPr="00E61EC7">
        <w:t xml:space="preserve">, multiple occurrences of the same </w:t>
      </w:r>
      <w:r w:rsidR="009F781C" w:rsidRPr="00E61EC7">
        <w:t>adverse event</w:t>
      </w:r>
      <w:r w:rsidRPr="00E61EC7">
        <w:t xml:space="preserve"> in an individual are counted only once. For frequency counts of </w:t>
      </w:r>
      <w:r w:rsidR="00EC0073" w:rsidRPr="00E61EC7">
        <w:t>‘</w:t>
      </w:r>
      <w:r w:rsidR="009F781C" w:rsidRPr="00E61EC7">
        <w:t>t</w:t>
      </w:r>
      <w:r w:rsidRPr="00E61EC7">
        <w:t>otal number of events</w:t>
      </w:r>
      <w:r w:rsidR="00EC0073" w:rsidRPr="00E61EC7">
        <w:t>’</w:t>
      </w:r>
      <w:r w:rsidRPr="00E61EC7">
        <w:t xml:space="preserve"> rows, multiple occurrences of the same AE in an individual are counted separately.</w:t>
      </w:r>
    </w:p>
    <w:p w14:paraId="7AE19566" w14:textId="77777777" w:rsidR="001068F4" w:rsidRPr="00E61EC7" w:rsidRDefault="002A2C48" w:rsidP="00DF4190">
      <w:pPr>
        <w:pStyle w:val="TableDescription"/>
      </w:pPr>
      <w:r w:rsidRPr="00E61EC7">
        <w:t xml:space="preserve">For </w:t>
      </w:r>
      <w:proofErr w:type="spellStart"/>
      <w:r w:rsidRPr="00E61EC7">
        <w:t>nAMD</w:t>
      </w:r>
      <w:proofErr w:type="spellEnd"/>
      <w:r w:rsidRPr="00E61EC7">
        <w:t>: Includes AEs with onset up to Day 349 (last day of Week 48 analysis visit window).</w:t>
      </w:r>
    </w:p>
    <w:p w14:paraId="3B2D629D" w14:textId="77FBCB78" w:rsidR="001068F4" w:rsidRPr="00E61EC7" w:rsidRDefault="002A2C48" w:rsidP="00DF4190">
      <w:pPr>
        <w:pStyle w:val="TableDescription"/>
      </w:pPr>
      <w:r w:rsidRPr="00E61EC7">
        <w:t>For DM</w:t>
      </w:r>
      <w:r w:rsidR="00907E1A">
        <w:t>E</w:t>
      </w:r>
      <w:r w:rsidRPr="00E61EC7">
        <w:t xml:space="preserve">: Includes </w:t>
      </w:r>
      <w:r w:rsidR="00657D67">
        <w:t>events</w:t>
      </w:r>
      <w:r w:rsidR="00657D67" w:rsidRPr="00E61EC7">
        <w:t xml:space="preserve"> </w:t>
      </w:r>
      <w:r w:rsidRPr="00E61EC7">
        <w:t xml:space="preserve">with onset </w:t>
      </w:r>
      <w:r w:rsidR="00657D67">
        <w:t>from the first dose of the study drug through the end of study</w:t>
      </w:r>
      <w:r w:rsidRPr="00E61EC7">
        <w:t>.</w:t>
      </w:r>
    </w:p>
    <w:p w14:paraId="068763B1" w14:textId="11B9BF72" w:rsidR="00200BC2" w:rsidRPr="00E61EC7" w:rsidRDefault="002A2C48" w:rsidP="00DF4190">
      <w:pPr>
        <w:pStyle w:val="TableDescription"/>
      </w:pPr>
      <w:r w:rsidRPr="00E61EC7">
        <w:t>Adverse drug reaction</w:t>
      </w:r>
      <w:r w:rsidR="001068F4" w:rsidRPr="00E61EC7">
        <w:t xml:space="preserve"> terms: uveitis, iritis, </w:t>
      </w:r>
      <w:proofErr w:type="spellStart"/>
      <w:r w:rsidR="001068F4" w:rsidRPr="00E61EC7">
        <w:t>vitritis</w:t>
      </w:r>
      <w:proofErr w:type="spellEnd"/>
      <w:r w:rsidR="001068F4" w:rsidRPr="00E61EC7">
        <w:t xml:space="preserve">, </w:t>
      </w:r>
      <w:r w:rsidRPr="00E61EC7">
        <w:t>iridocyclitis</w:t>
      </w:r>
      <w:r w:rsidR="001068F4" w:rsidRPr="00E61EC7">
        <w:t xml:space="preserve">, endophthalmitis, </w:t>
      </w:r>
      <w:proofErr w:type="spellStart"/>
      <w:r w:rsidR="001068F4" w:rsidRPr="00E61EC7">
        <w:t>rhegmatogenous</w:t>
      </w:r>
      <w:proofErr w:type="spellEnd"/>
      <w:r w:rsidR="001068F4" w:rsidRPr="00E61EC7">
        <w:t xml:space="preserve"> retinal detachment, retinal tear, retinal pigment epithelial tear, intraocular pressure increased, conjunctival haemorrhage, ocular hyperaemia, lacrimation increased, vision blurred, visual acuity reduced transiently, vitreous </w:t>
      </w:r>
      <w:r w:rsidRPr="00E61EC7">
        <w:t>haemorrhage</w:t>
      </w:r>
      <w:r w:rsidR="001068F4" w:rsidRPr="00E61EC7">
        <w:t>, vitreous floaters, eye pruritus, eye irritation, ocular discomfort, eye pain, sensation of foreign body</w:t>
      </w:r>
      <w:r w:rsidR="00657D67">
        <w:t>,</w:t>
      </w:r>
      <w:r w:rsidRPr="00E61EC7">
        <w:t xml:space="preserve"> </w:t>
      </w:r>
      <w:r w:rsidR="001068F4" w:rsidRPr="00E61EC7">
        <w:t>corneal abrasion</w:t>
      </w:r>
      <w:r w:rsidR="00657D67">
        <w:t>, cataract, visual acuity reduced and conjunctival hyperaemia</w:t>
      </w:r>
      <w:r w:rsidRPr="00E61EC7">
        <w:t>.</w:t>
      </w:r>
    </w:p>
    <w:p w14:paraId="2743071C" w14:textId="77777777" w:rsidR="00042FC8" w:rsidRPr="00E61EC7" w:rsidRDefault="002A2C48" w:rsidP="00C470FC">
      <w:pPr>
        <w:pStyle w:val="Heading5"/>
      </w:pPr>
      <w:r w:rsidRPr="00E61EC7">
        <w:t>Deaths</w:t>
      </w:r>
    </w:p>
    <w:p w14:paraId="76310420" w14:textId="38CB7F1C" w:rsidR="00C470FC" w:rsidRPr="00E61EC7" w:rsidRDefault="002A2C48" w:rsidP="00410AF5">
      <w:pPr>
        <w:pStyle w:val="Heading6"/>
        <w:rPr>
          <w:szCs w:val="28"/>
        </w:rPr>
      </w:pPr>
      <w:r w:rsidRPr="00E61EC7">
        <w:t xml:space="preserve">Pooled </w:t>
      </w:r>
      <w:r w:rsidR="00533A7C" w:rsidRPr="00E61EC7">
        <w:t>Phase III</w:t>
      </w:r>
      <w:r w:rsidRPr="00E61EC7">
        <w:t xml:space="preserve"> </w:t>
      </w:r>
      <w:r w:rsidR="00200BC2" w:rsidRPr="00E61EC7">
        <w:t xml:space="preserve">neovascular age-related macular degeneration </w:t>
      </w:r>
      <w:r w:rsidRPr="00E61EC7">
        <w:t>studies</w:t>
      </w:r>
      <w:r w:rsidR="00410AF5" w:rsidRPr="00E61EC7">
        <w:t xml:space="preserve"> (</w:t>
      </w:r>
      <w:r w:rsidR="00200BC2" w:rsidRPr="00E61EC7">
        <w:rPr>
          <w:szCs w:val="28"/>
        </w:rPr>
        <w:t>Studies</w:t>
      </w:r>
      <w:r w:rsidR="009F781C" w:rsidRPr="00E61EC7">
        <w:rPr>
          <w:szCs w:val="28"/>
        </w:rPr>
        <w:t> </w:t>
      </w:r>
      <w:r w:rsidR="00200BC2" w:rsidRPr="00E61EC7">
        <w:rPr>
          <w:szCs w:val="28"/>
        </w:rPr>
        <w:t>GR40306 (TENAYA trial) and GR40844 (LUCERNE trial)</w:t>
      </w:r>
      <w:r w:rsidR="00410AF5" w:rsidRPr="00E61EC7">
        <w:rPr>
          <w:szCs w:val="28"/>
        </w:rPr>
        <w:t>)</w:t>
      </w:r>
    </w:p>
    <w:p w14:paraId="51748361" w14:textId="438CF58E" w:rsidR="00042FC8" w:rsidRPr="00E61EC7" w:rsidRDefault="002A2C48" w:rsidP="00C470FC">
      <w:r w:rsidRPr="00E61EC7">
        <w:t>The incidences of deaths were (</w:t>
      </w:r>
      <w:proofErr w:type="spellStart"/>
      <w:r w:rsidRPr="00E61EC7">
        <w:t>faricimab</w:t>
      </w:r>
      <w:proofErr w:type="spellEnd"/>
      <w:r w:rsidRPr="00E61EC7">
        <w:t xml:space="preserve"> </w:t>
      </w:r>
      <w:r w:rsidR="005B01D2" w:rsidRPr="00E61EC7">
        <w:t>versus</w:t>
      </w:r>
      <w:r w:rsidRPr="00E61EC7">
        <w:t xml:space="preserve"> aflibercept): 1.4% </w:t>
      </w:r>
      <w:r w:rsidR="005B01D2" w:rsidRPr="00E61EC7">
        <w:t>versus</w:t>
      </w:r>
      <w:r w:rsidRPr="00E61EC7">
        <w:t xml:space="preserve"> 1.2% through Week 48 and 1.8% </w:t>
      </w:r>
      <w:r w:rsidR="005B01D2" w:rsidRPr="00E61EC7">
        <w:t>versus</w:t>
      </w:r>
      <w:r w:rsidRPr="00E61EC7">
        <w:t xml:space="preserve"> 1.2% through Week 60. The most common reason for deaths was cardiac disorders in 2 (0.3%) and 3 (0.5%) patients in </w:t>
      </w:r>
      <w:proofErr w:type="spellStart"/>
      <w:r w:rsidRPr="00E61EC7">
        <w:t>faricimab</w:t>
      </w:r>
      <w:proofErr w:type="spellEnd"/>
      <w:r w:rsidRPr="00E61EC7">
        <w:t xml:space="preserve"> and aflibercept arms, respectively. None of the deaths were suspected by the investigator to be related to study treatment.</w:t>
      </w:r>
    </w:p>
    <w:p w14:paraId="55D8AD2A" w14:textId="2B1A2136" w:rsidR="00410AF5" w:rsidRPr="00E61EC7" w:rsidRDefault="002A2C48" w:rsidP="00410AF5">
      <w:pPr>
        <w:pStyle w:val="Heading6"/>
      </w:pPr>
      <w:r w:rsidRPr="00E61EC7">
        <w:lastRenderedPageBreak/>
        <w:t xml:space="preserve">Pooled </w:t>
      </w:r>
      <w:r w:rsidR="00533A7C" w:rsidRPr="00E61EC7">
        <w:t>Phase III</w:t>
      </w:r>
      <w:r w:rsidRPr="00E61EC7">
        <w:t xml:space="preserve"> diabetic macular oedema studies (</w:t>
      </w:r>
      <w:r w:rsidRPr="00E61EC7">
        <w:rPr>
          <w:szCs w:val="28"/>
        </w:rPr>
        <w:t>Study GR40349 (YOSEMITE trial) and Study GR40398 (RHINE trial))</w:t>
      </w:r>
    </w:p>
    <w:p w14:paraId="7DE101A4" w14:textId="1E63B3FB" w:rsidR="00042FC8" w:rsidRPr="00E61EC7" w:rsidRDefault="002A2C48" w:rsidP="00C470FC">
      <w:r w:rsidRPr="00E61EC7">
        <w:t xml:space="preserve">Death was reported in 81 patients (28 patients </w:t>
      </w:r>
      <w:r w:rsidR="005B01D2" w:rsidRPr="00E61EC7">
        <w:t>(</w:t>
      </w:r>
      <w:r w:rsidRPr="00E61EC7">
        <w:t>4.4%</w:t>
      </w:r>
      <w:r w:rsidR="005B01D2" w:rsidRPr="00E61EC7">
        <w:t>)</w:t>
      </w:r>
      <w:r w:rsidRPr="00E61EC7">
        <w:t xml:space="preserve">, 30 patients </w:t>
      </w:r>
      <w:r w:rsidR="005B01D2" w:rsidRPr="00E61EC7">
        <w:t>(</w:t>
      </w:r>
      <w:r w:rsidRPr="00E61EC7">
        <w:t>4.7%</w:t>
      </w:r>
      <w:r w:rsidR="005B01D2" w:rsidRPr="00E61EC7">
        <w:t>)</w:t>
      </w:r>
      <w:r w:rsidRPr="00E61EC7">
        <w:t xml:space="preserve">, and 23 patients </w:t>
      </w:r>
      <w:r w:rsidR="005B01D2" w:rsidRPr="00E61EC7">
        <w:t>(</w:t>
      </w:r>
      <w:r w:rsidRPr="00E61EC7">
        <w:t>3.7%</w:t>
      </w:r>
      <w:r w:rsidR="005B01D2" w:rsidRPr="00E61EC7">
        <w:t>)</w:t>
      </w:r>
      <w:r w:rsidRPr="00E61EC7">
        <w:t xml:space="preserve"> in the </w:t>
      </w:r>
      <w:proofErr w:type="spellStart"/>
      <w:r w:rsidRPr="00E61EC7">
        <w:t>faricimab</w:t>
      </w:r>
      <w:proofErr w:type="spellEnd"/>
      <w:r w:rsidRPr="00E61EC7">
        <w:t xml:space="preserve"> </w:t>
      </w:r>
      <w:r w:rsidR="003E5F35" w:rsidRPr="00E61EC7">
        <w:t>every 8 weeks</w:t>
      </w:r>
      <w:r w:rsidRPr="00E61EC7">
        <w:t xml:space="preserve">, </w:t>
      </w:r>
      <w:proofErr w:type="spellStart"/>
      <w:r w:rsidRPr="00E61EC7">
        <w:t>faricimab</w:t>
      </w:r>
      <w:proofErr w:type="spellEnd"/>
      <w:r w:rsidRPr="00E61EC7">
        <w:t xml:space="preserve"> PTI, and aflibercept </w:t>
      </w:r>
      <w:r w:rsidR="003E5F35" w:rsidRPr="00E61EC7">
        <w:t>every 8 weeks</w:t>
      </w:r>
      <w:r w:rsidRPr="00E61EC7">
        <w:t xml:space="preserve"> arms. None of the deaths were suspected by the investigator to be related to study treatment.</w:t>
      </w:r>
    </w:p>
    <w:p w14:paraId="3C08F5E0" w14:textId="77777777" w:rsidR="00042FC8" w:rsidRPr="00E61EC7" w:rsidRDefault="002A2C48" w:rsidP="00C470FC">
      <w:pPr>
        <w:pStyle w:val="Heading5"/>
      </w:pPr>
      <w:r w:rsidRPr="00E61EC7">
        <w:t>Serious adverse events</w:t>
      </w:r>
    </w:p>
    <w:p w14:paraId="0A3BB9A5" w14:textId="66FDCB39" w:rsidR="00C470FC" w:rsidRPr="00E61EC7" w:rsidRDefault="002A2C48" w:rsidP="00C470FC">
      <w:pPr>
        <w:pStyle w:val="Heading6"/>
      </w:pPr>
      <w:r w:rsidRPr="00E61EC7">
        <w:t xml:space="preserve">Pooled </w:t>
      </w:r>
      <w:r w:rsidR="00533A7C" w:rsidRPr="00E61EC7">
        <w:t>Phase III</w:t>
      </w:r>
      <w:r w:rsidRPr="00E61EC7">
        <w:t xml:space="preserve"> </w:t>
      </w:r>
      <w:r w:rsidR="00410AF5" w:rsidRPr="00E61EC7">
        <w:t xml:space="preserve">neovascular age-related macular degeneration </w:t>
      </w:r>
      <w:r w:rsidRPr="00E61EC7">
        <w:t xml:space="preserve">studies </w:t>
      </w:r>
      <w:r w:rsidR="00410AF5" w:rsidRPr="00E61EC7">
        <w:t>(Studies GR40306 (TENAYA trial) and GR40844 (LUCERNE trial))</w:t>
      </w:r>
    </w:p>
    <w:p w14:paraId="3ECD719C" w14:textId="3624AE4A" w:rsidR="00042FC8" w:rsidRPr="00E61EC7" w:rsidRDefault="002A2C48" w:rsidP="00C470FC">
      <w:r w:rsidRPr="00E61EC7">
        <w:t>The incidence of ocular SAEs in the study eye was generally similar between the treatment arms (</w:t>
      </w:r>
      <w:proofErr w:type="spellStart"/>
      <w:r w:rsidRPr="00E61EC7">
        <w:t>faricimab</w:t>
      </w:r>
      <w:proofErr w:type="spellEnd"/>
      <w:r w:rsidRPr="00E61EC7">
        <w:t xml:space="preserve"> and aflibercept): Week 48 SAEs: 1.7% </w:t>
      </w:r>
      <w:r w:rsidR="005B01D2" w:rsidRPr="00E61EC7">
        <w:t>versus</w:t>
      </w:r>
      <w:r w:rsidRPr="00E61EC7">
        <w:t xml:space="preserve"> 2.0%; Week 60 SAEs: 2.1% </w:t>
      </w:r>
      <w:r w:rsidR="005B01D2" w:rsidRPr="00E61EC7">
        <w:t>versus</w:t>
      </w:r>
      <w:r w:rsidRPr="00E61EC7">
        <w:t xml:space="preserve"> 2.6%.</w:t>
      </w:r>
    </w:p>
    <w:p w14:paraId="6A8C4257" w14:textId="3258DC4D" w:rsidR="00042FC8" w:rsidRPr="00E61EC7" w:rsidRDefault="00E93B31" w:rsidP="00C470FC">
      <w:r>
        <w:t>A</w:t>
      </w:r>
      <w:r w:rsidR="009C0F09">
        <w:t>t</w:t>
      </w:r>
      <w:r>
        <w:t xml:space="preserve"> Week 60, t</w:t>
      </w:r>
      <w:r w:rsidR="002A2C48" w:rsidRPr="00E61EC7">
        <w:t xml:space="preserve">he most common ocular SAEs in the study eye (0.3% </w:t>
      </w:r>
      <w:r w:rsidR="005B01D2" w:rsidRPr="00E61EC7">
        <w:t>(</w:t>
      </w:r>
      <w:r w:rsidR="002A2C48" w:rsidRPr="00E61EC7">
        <w:t>2 patients</w:t>
      </w:r>
      <w:r w:rsidR="005B01D2" w:rsidRPr="00E61EC7">
        <w:t>)</w:t>
      </w:r>
      <w:r w:rsidR="002A2C48" w:rsidRPr="00E61EC7">
        <w:t xml:space="preserve"> </w:t>
      </w:r>
      <w:r w:rsidR="00410AF5" w:rsidRPr="00E61EC7">
        <w:t xml:space="preserve">or more </w:t>
      </w:r>
      <w:r w:rsidR="002A2C48" w:rsidRPr="00E61EC7">
        <w:t xml:space="preserve">in any treatment arm) by </w:t>
      </w:r>
      <w:r w:rsidR="001654B4" w:rsidRPr="00E61EC7">
        <w:t>Preferred Term</w:t>
      </w:r>
      <w:r w:rsidR="002A2C48" w:rsidRPr="00E61EC7">
        <w:t xml:space="preserve"> were retinal pigment epithelial tear (0.6% </w:t>
      </w:r>
      <w:r w:rsidR="005B01D2" w:rsidRPr="00E61EC7">
        <w:t>versus</w:t>
      </w:r>
      <w:r w:rsidR="002A2C48" w:rsidRPr="00E61EC7">
        <w:t xml:space="preserve"> 0%), </w:t>
      </w:r>
      <w:proofErr w:type="spellStart"/>
      <w:r w:rsidR="002A2C48" w:rsidRPr="00E61EC7">
        <w:t>nAMD</w:t>
      </w:r>
      <w:proofErr w:type="spellEnd"/>
      <w:r w:rsidR="002A2C48" w:rsidRPr="00E61EC7">
        <w:t xml:space="preserve"> (0.5% </w:t>
      </w:r>
      <w:r w:rsidR="005B01D2" w:rsidRPr="00E61EC7">
        <w:t>versus</w:t>
      </w:r>
      <w:r w:rsidR="002A2C48" w:rsidRPr="00E61EC7">
        <w:t xml:space="preserve"> 0.5%), viral uveitis (0.3% </w:t>
      </w:r>
      <w:r w:rsidR="005B01D2" w:rsidRPr="00E61EC7">
        <w:t>versus</w:t>
      </w:r>
      <w:r w:rsidR="002A2C48" w:rsidRPr="00E61EC7">
        <w:t xml:space="preserve"> 0%), uveitis (0.3% </w:t>
      </w:r>
      <w:r w:rsidR="005B01D2" w:rsidRPr="00E61EC7">
        <w:t>versus</w:t>
      </w:r>
      <w:r w:rsidR="002A2C48" w:rsidRPr="00E61EC7">
        <w:t xml:space="preserve"> 0.2%) and </w:t>
      </w:r>
      <w:proofErr w:type="spellStart"/>
      <w:r w:rsidR="002A2C48" w:rsidRPr="00E61EC7">
        <w:t>vitritis</w:t>
      </w:r>
      <w:proofErr w:type="spellEnd"/>
      <w:r w:rsidR="002A2C48" w:rsidRPr="00E61EC7">
        <w:t xml:space="preserve"> (0.3% </w:t>
      </w:r>
      <w:r w:rsidR="005B01D2" w:rsidRPr="00E61EC7">
        <w:t>versus</w:t>
      </w:r>
      <w:r w:rsidR="002A2C48" w:rsidRPr="00E61EC7">
        <w:t xml:space="preserve"> 0%).</w:t>
      </w:r>
    </w:p>
    <w:p w14:paraId="342C6505" w14:textId="3584EFAB" w:rsidR="00C470FC" w:rsidRPr="00E61EC7" w:rsidRDefault="002A2C48" w:rsidP="00C470FC">
      <w:pPr>
        <w:pStyle w:val="Heading6"/>
      </w:pPr>
      <w:r w:rsidRPr="00E61EC7">
        <w:t xml:space="preserve">Pooled </w:t>
      </w:r>
      <w:r w:rsidR="00533A7C" w:rsidRPr="00E61EC7">
        <w:t>Phase III</w:t>
      </w:r>
      <w:r w:rsidRPr="00E61EC7">
        <w:t xml:space="preserve"> </w:t>
      </w:r>
      <w:r w:rsidR="00410AF5" w:rsidRPr="00E61EC7">
        <w:t xml:space="preserve">diabetic macular oedema </w:t>
      </w:r>
      <w:r w:rsidRPr="00E61EC7">
        <w:t xml:space="preserve">studies </w:t>
      </w:r>
      <w:r w:rsidR="00410AF5" w:rsidRPr="00E61EC7">
        <w:t>(</w:t>
      </w:r>
      <w:r w:rsidR="00410AF5" w:rsidRPr="00E61EC7">
        <w:rPr>
          <w:szCs w:val="28"/>
        </w:rPr>
        <w:t>Study GR40349 (YOSEMITE trial) and Study GR40398 (RHINE trial))</w:t>
      </w:r>
    </w:p>
    <w:p w14:paraId="21D9E730" w14:textId="6C84F73A" w:rsidR="00042FC8" w:rsidRPr="00E61EC7" w:rsidRDefault="002A2C48" w:rsidP="00C470FC">
      <w:r w:rsidRPr="00E61EC7">
        <w:t xml:space="preserve">The incidence of ocular SAEs in the study eye was slightly higher in the </w:t>
      </w:r>
      <w:proofErr w:type="spellStart"/>
      <w:r w:rsidRPr="00E61EC7">
        <w:t>faricimab</w:t>
      </w:r>
      <w:proofErr w:type="spellEnd"/>
      <w:r w:rsidRPr="00E61EC7">
        <w:t xml:space="preserve"> PTI arm compared to the </w:t>
      </w:r>
      <w:proofErr w:type="spellStart"/>
      <w:r w:rsidRPr="00E61EC7">
        <w:t>faricimab</w:t>
      </w:r>
      <w:proofErr w:type="spellEnd"/>
      <w:r w:rsidRPr="00E61EC7">
        <w:t xml:space="preserve"> </w:t>
      </w:r>
      <w:r w:rsidR="003E5F35" w:rsidRPr="00E61EC7">
        <w:t>every 8 weeks</w:t>
      </w:r>
      <w:r w:rsidRPr="00E61EC7">
        <w:t xml:space="preserve"> arm, and the aflibercept </w:t>
      </w:r>
      <w:r w:rsidR="003E5F35" w:rsidRPr="00E61EC7">
        <w:t>every 8 weeks</w:t>
      </w:r>
      <w:r w:rsidRPr="00E61EC7">
        <w:t xml:space="preserve"> arm (26</w:t>
      </w:r>
      <w:r w:rsidR="00410AF5" w:rsidRPr="00E61EC7">
        <w:t> </w:t>
      </w:r>
      <w:r w:rsidRPr="00E61EC7">
        <w:t xml:space="preserve">patients </w:t>
      </w:r>
      <w:r w:rsidR="005B01D2" w:rsidRPr="00E61EC7">
        <w:t>(</w:t>
      </w:r>
      <w:r w:rsidRPr="00E61EC7">
        <w:t>4.1%</w:t>
      </w:r>
      <w:r w:rsidR="005B01D2" w:rsidRPr="00E61EC7">
        <w:t>)</w:t>
      </w:r>
      <w:r w:rsidRPr="00E61EC7">
        <w:t xml:space="preserve">, 34 patients </w:t>
      </w:r>
      <w:r w:rsidR="005B01D2" w:rsidRPr="00E61EC7">
        <w:t>(</w:t>
      </w:r>
      <w:r w:rsidRPr="00E61EC7">
        <w:t>5.4%</w:t>
      </w:r>
      <w:r w:rsidR="005B01D2" w:rsidRPr="00E61EC7">
        <w:t>)</w:t>
      </w:r>
      <w:r w:rsidRPr="00E61EC7">
        <w:t xml:space="preserve">, and 20 patients </w:t>
      </w:r>
      <w:r w:rsidR="005B01D2" w:rsidRPr="00E61EC7">
        <w:t>(</w:t>
      </w:r>
      <w:r w:rsidRPr="00E61EC7">
        <w:t>3.2%</w:t>
      </w:r>
      <w:r w:rsidR="005B01D2" w:rsidRPr="00E61EC7">
        <w:t>)</w:t>
      </w:r>
      <w:r w:rsidRPr="00E61EC7">
        <w:t>).</w:t>
      </w:r>
    </w:p>
    <w:p w14:paraId="3F86DF46" w14:textId="3AD567EC" w:rsidR="00042FC8" w:rsidRPr="00E61EC7" w:rsidRDefault="002A2C48" w:rsidP="00C470FC">
      <w:r w:rsidRPr="00E61EC7">
        <w:t xml:space="preserve">The most common ocular SAEs in the study eye (2 </w:t>
      </w:r>
      <w:r w:rsidR="00410AF5" w:rsidRPr="00E61EC7">
        <w:t xml:space="preserve">or more </w:t>
      </w:r>
      <w:r w:rsidRPr="00E61EC7">
        <w:t xml:space="preserve">patients) were cataract (1.3% </w:t>
      </w:r>
      <w:r w:rsidR="005B01D2" w:rsidRPr="00E61EC7">
        <w:t>versus</w:t>
      </w:r>
      <w:r w:rsidRPr="00E61EC7">
        <w:t xml:space="preserve"> 1.4% </w:t>
      </w:r>
      <w:r w:rsidR="005B01D2" w:rsidRPr="00E61EC7">
        <w:t>versus</w:t>
      </w:r>
      <w:r w:rsidRPr="00E61EC7">
        <w:t xml:space="preserve"> 1.3%), diabetic retinal oedema (0.6% </w:t>
      </w:r>
      <w:r w:rsidR="005B01D2" w:rsidRPr="00E61EC7">
        <w:t>versus</w:t>
      </w:r>
      <w:r w:rsidRPr="00E61EC7">
        <w:t xml:space="preserve"> 0.5% </w:t>
      </w:r>
      <w:r w:rsidR="005B01D2" w:rsidRPr="00E61EC7">
        <w:t>versus</w:t>
      </w:r>
      <w:r w:rsidRPr="00E61EC7">
        <w:t xml:space="preserve"> 0.2%), endophthalmitis (0.3% </w:t>
      </w:r>
      <w:r w:rsidR="005B01D2" w:rsidRPr="00E61EC7">
        <w:t>versus</w:t>
      </w:r>
      <w:r w:rsidRPr="00E61EC7">
        <w:t xml:space="preserve"> 0.6% </w:t>
      </w:r>
      <w:r w:rsidR="005B01D2" w:rsidRPr="00E61EC7">
        <w:t>versus</w:t>
      </w:r>
      <w:r w:rsidRPr="00E61EC7">
        <w:t xml:space="preserve"> 0.2%), diabetic retinopathy (0.2% </w:t>
      </w:r>
      <w:r w:rsidR="005B01D2" w:rsidRPr="00E61EC7">
        <w:t>versus</w:t>
      </w:r>
      <w:r w:rsidRPr="00E61EC7">
        <w:t xml:space="preserve"> 0.2% </w:t>
      </w:r>
      <w:r w:rsidR="005B01D2" w:rsidRPr="00E61EC7">
        <w:t>versus</w:t>
      </w:r>
      <w:r w:rsidRPr="00E61EC7">
        <w:t xml:space="preserve"> 0.5 %).</w:t>
      </w:r>
    </w:p>
    <w:p w14:paraId="34305B2B" w14:textId="77777777" w:rsidR="00042FC8" w:rsidRPr="00E61EC7" w:rsidRDefault="002A2C48" w:rsidP="00C470FC">
      <w:pPr>
        <w:pStyle w:val="Heading5"/>
      </w:pPr>
      <w:r w:rsidRPr="00E61EC7">
        <w:t>Adverse events of special interest</w:t>
      </w:r>
    </w:p>
    <w:p w14:paraId="3E265930" w14:textId="5EA94675" w:rsidR="00042FC8" w:rsidRPr="00E61EC7" w:rsidRDefault="002A2C48" w:rsidP="00C470FC">
      <w:pPr>
        <w:pStyle w:val="Heading6"/>
      </w:pPr>
      <w:r w:rsidRPr="00E61EC7">
        <w:t xml:space="preserve">Pooled </w:t>
      </w:r>
      <w:r w:rsidR="00533A7C" w:rsidRPr="00E61EC7">
        <w:t>Phase III</w:t>
      </w:r>
      <w:r w:rsidRPr="00E61EC7">
        <w:t xml:space="preserve"> </w:t>
      </w:r>
      <w:r w:rsidR="00410AF5" w:rsidRPr="00E61EC7">
        <w:t>neovascular age-related macular degeneration studies</w:t>
      </w:r>
      <w:r w:rsidRPr="00E61EC7">
        <w:t xml:space="preserve"> </w:t>
      </w:r>
      <w:r w:rsidR="00215642" w:rsidRPr="00E61EC7">
        <w:t>(</w:t>
      </w:r>
      <w:r w:rsidR="00410AF5" w:rsidRPr="00E61EC7">
        <w:rPr>
          <w:szCs w:val="28"/>
        </w:rPr>
        <w:t>Studies GR40306 (TENAYA trial) and GR40844 (LUCERNE trial))</w:t>
      </w:r>
    </w:p>
    <w:p w14:paraId="603854BC" w14:textId="5F565D8C" w:rsidR="00042FC8" w:rsidRPr="00E61EC7" w:rsidRDefault="002A2C48" w:rsidP="00C470FC">
      <w:pPr>
        <w:pStyle w:val="ListBullet"/>
      </w:pPr>
      <w:r w:rsidRPr="00E61EC7">
        <w:t>Sight</w:t>
      </w:r>
      <w:r w:rsidR="00410AF5" w:rsidRPr="00E61EC7">
        <w:t xml:space="preserve"> </w:t>
      </w:r>
      <w:r w:rsidRPr="00E61EC7">
        <w:t xml:space="preserve">threatening AESIs in the </w:t>
      </w:r>
      <w:r w:rsidR="00410AF5" w:rsidRPr="00E61EC7">
        <w:t>study eye</w:t>
      </w:r>
      <w:r w:rsidR="00C52737" w:rsidRPr="00E61EC7">
        <w:t xml:space="preserve"> were</w:t>
      </w:r>
      <w:r w:rsidRPr="00E61EC7">
        <w:t xml:space="preserve"> generally similar between treatment arms (</w:t>
      </w:r>
      <w:proofErr w:type="spellStart"/>
      <w:r w:rsidRPr="00E61EC7">
        <w:t>faricimab</w:t>
      </w:r>
      <w:proofErr w:type="spellEnd"/>
      <w:r w:rsidRPr="00E61EC7">
        <w:t xml:space="preserve"> </w:t>
      </w:r>
      <w:r w:rsidR="005B01D2" w:rsidRPr="00E61EC7">
        <w:t>versus</w:t>
      </w:r>
      <w:r w:rsidRPr="00E61EC7">
        <w:t xml:space="preserve"> aflibercept): 1.2% </w:t>
      </w:r>
      <w:r w:rsidR="005B01D2" w:rsidRPr="00E61EC7">
        <w:t>versus</w:t>
      </w:r>
      <w:r w:rsidRPr="00E61EC7">
        <w:t xml:space="preserve"> 1.8% through Week 48; 1.7% </w:t>
      </w:r>
      <w:r w:rsidR="005B01D2" w:rsidRPr="00E61EC7">
        <w:t>versus</w:t>
      </w:r>
      <w:r w:rsidRPr="00E61EC7">
        <w:t xml:space="preserve"> 2.4% through Week 60. Through Week 60, the most common (2</w:t>
      </w:r>
      <w:r w:rsidR="00C52737" w:rsidRPr="00E61EC7">
        <w:t xml:space="preserve"> or more</w:t>
      </w:r>
      <w:r w:rsidRPr="00E61EC7">
        <w:t xml:space="preserve"> patients </w:t>
      </w:r>
      <w:r w:rsidR="005B01D2" w:rsidRPr="00E61EC7">
        <w:t>(</w:t>
      </w:r>
      <w:r w:rsidRPr="00E61EC7">
        <w:t>0.3%</w:t>
      </w:r>
      <w:r w:rsidR="005B01D2" w:rsidRPr="00E61EC7">
        <w:t>)</w:t>
      </w:r>
      <w:r w:rsidRPr="00E61EC7">
        <w:t>) sight</w:t>
      </w:r>
      <w:r w:rsidR="00C52737" w:rsidRPr="00E61EC7">
        <w:t xml:space="preserve"> </w:t>
      </w:r>
      <w:r w:rsidRPr="00E61EC7">
        <w:t>threatening AESIs which caused a decrease of 30</w:t>
      </w:r>
      <w:r w:rsidR="00C52737" w:rsidRPr="00E61EC7">
        <w:t xml:space="preserve"> or more</w:t>
      </w:r>
      <w:r w:rsidRPr="00E61EC7">
        <w:t xml:space="preserve"> </w:t>
      </w:r>
      <w:r w:rsidR="00C87795" w:rsidRPr="00E61EC7">
        <w:t>best corrected visual acuity (</w:t>
      </w:r>
      <w:r w:rsidRPr="00E61EC7">
        <w:t>BCVA</w:t>
      </w:r>
      <w:r w:rsidR="00C87795" w:rsidRPr="00E61EC7">
        <w:t>)</w:t>
      </w:r>
      <w:r w:rsidRPr="00E61EC7">
        <w:t xml:space="preserve"> letters in the study eye was (</w:t>
      </w:r>
      <w:proofErr w:type="spellStart"/>
      <w:r w:rsidRPr="00E61EC7">
        <w:t>faricimab</w:t>
      </w:r>
      <w:proofErr w:type="spellEnd"/>
      <w:r w:rsidRPr="00E61EC7">
        <w:t xml:space="preserve"> </w:t>
      </w:r>
      <w:r w:rsidR="005B01D2" w:rsidRPr="00E61EC7">
        <w:t>versus</w:t>
      </w:r>
      <w:r w:rsidRPr="00E61EC7">
        <w:t xml:space="preserve"> aflibercept): </w:t>
      </w:r>
      <w:proofErr w:type="spellStart"/>
      <w:r w:rsidRPr="00E61EC7">
        <w:t>nAMD</w:t>
      </w:r>
      <w:proofErr w:type="spellEnd"/>
      <w:r w:rsidRPr="00E61EC7">
        <w:t xml:space="preserve"> (0.3% </w:t>
      </w:r>
      <w:r w:rsidR="005B01D2" w:rsidRPr="00E61EC7">
        <w:t>versus</w:t>
      </w:r>
      <w:r w:rsidRPr="00E61EC7">
        <w:t xml:space="preserve"> 0.3%), retinal pigment epithelial tear (0.3% </w:t>
      </w:r>
      <w:r w:rsidR="005B01D2" w:rsidRPr="00E61EC7">
        <w:t>versus</w:t>
      </w:r>
      <w:r w:rsidRPr="00E61EC7">
        <w:t xml:space="preserve"> 0%), and intraocular inflammation (0.3% </w:t>
      </w:r>
      <w:r w:rsidR="005B01D2" w:rsidRPr="00E61EC7">
        <w:t>versus</w:t>
      </w:r>
      <w:r w:rsidRPr="00E61EC7">
        <w:t xml:space="preserve"> 0.2%).</w:t>
      </w:r>
    </w:p>
    <w:p w14:paraId="6C17A961" w14:textId="4B8B249C" w:rsidR="00042FC8" w:rsidRPr="00E61EC7" w:rsidRDefault="002A2C48" w:rsidP="00C470FC">
      <w:pPr>
        <w:pStyle w:val="ListBullet"/>
      </w:pPr>
      <w:r w:rsidRPr="00E61EC7">
        <w:t>Intraocular inflammation</w:t>
      </w:r>
      <w:r w:rsidR="00C52737" w:rsidRPr="00E61EC7">
        <w:t xml:space="preserve"> was </w:t>
      </w:r>
      <w:r w:rsidRPr="00E61EC7">
        <w:t xml:space="preserve">numerically higher for </w:t>
      </w:r>
      <w:proofErr w:type="spellStart"/>
      <w:r w:rsidRPr="00E61EC7">
        <w:t>faricimab</w:t>
      </w:r>
      <w:proofErr w:type="spellEnd"/>
      <w:r w:rsidRPr="00E61EC7">
        <w:t xml:space="preserve"> </w:t>
      </w:r>
      <w:r w:rsidR="005B01D2" w:rsidRPr="00E61EC7">
        <w:t>versus</w:t>
      </w:r>
      <w:r w:rsidRPr="00E61EC7">
        <w:t xml:space="preserve"> aflibercept:</w:t>
      </w:r>
      <w:r w:rsidR="00C52737" w:rsidRPr="00E61EC7">
        <w:t xml:space="preserve"> </w:t>
      </w:r>
      <w:r w:rsidRPr="00E61EC7">
        <w:t xml:space="preserve">2.0% </w:t>
      </w:r>
      <w:r w:rsidR="005B01D2" w:rsidRPr="00E61EC7">
        <w:t>versus</w:t>
      </w:r>
      <w:r w:rsidRPr="00E61EC7">
        <w:t xml:space="preserve"> 1.2% (serious: 0.</w:t>
      </w:r>
      <w:r w:rsidR="00222469">
        <w:t>5</w:t>
      </w:r>
      <w:r w:rsidRPr="00E61EC7">
        <w:t xml:space="preserve">% </w:t>
      </w:r>
      <w:r w:rsidR="005B01D2" w:rsidRPr="00E61EC7">
        <w:t>versus</w:t>
      </w:r>
      <w:r w:rsidRPr="00E61EC7">
        <w:t xml:space="preserve"> 0.</w:t>
      </w:r>
      <w:r w:rsidR="00222469">
        <w:t>2</w:t>
      </w:r>
      <w:r w:rsidR="00907E1A">
        <w:t>%</w:t>
      </w:r>
      <w:r w:rsidRPr="00E61EC7">
        <w:t>)</w:t>
      </w:r>
      <w:r w:rsidR="00C52737" w:rsidRPr="00E61EC7">
        <w:t xml:space="preserve"> at</w:t>
      </w:r>
      <w:r w:rsidRPr="00E61EC7">
        <w:t xml:space="preserve"> </w:t>
      </w:r>
      <w:r w:rsidR="00C52737" w:rsidRPr="00E61EC7">
        <w:t xml:space="preserve">Week 48; </w:t>
      </w:r>
      <w:r w:rsidRPr="00E61EC7">
        <w:t xml:space="preserve">2.3% </w:t>
      </w:r>
      <w:r w:rsidR="005B01D2" w:rsidRPr="00E61EC7">
        <w:t>versus</w:t>
      </w:r>
      <w:r w:rsidRPr="00E61EC7">
        <w:t xml:space="preserve"> 1.5% (serious: 0.</w:t>
      </w:r>
      <w:r w:rsidR="00222469">
        <w:t>5</w:t>
      </w:r>
      <w:r w:rsidRPr="00E61EC7">
        <w:t xml:space="preserve">% </w:t>
      </w:r>
      <w:r w:rsidR="005B01D2" w:rsidRPr="00E61EC7">
        <w:t>versus</w:t>
      </w:r>
      <w:r w:rsidRPr="00E61EC7">
        <w:t xml:space="preserve"> 0.</w:t>
      </w:r>
      <w:r w:rsidR="00222469">
        <w:t>2</w:t>
      </w:r>
      <w:r w:rsidRPr="00E61EC7">
        <w:t>%)</w:t>
      </w:r>
      <w:r w:rsidR="00C52737" w:rsidRPr="00E61EC7">
        <w:t xml:space="preserve"> at Week 60</w:t>
      </w:r>
      <w:r w:rsidRPr="00E61EC7">
        <w:t xml:space="preserve">. The per-injection rate of </w:t>
      </w:r>
      <w:r w:rsidR="007D085F" w:rsidRPr="00E61EC7">
        <w:t>intraocular inflammation</w:t>
      </w:r>
      <w:r w:rsidRPr="00E61EC7">
        <w:t xml:space="preserve"> was 0.38% </w:t>
      </w:r>
      <w:r w:rsidR="005B01D2" w:rsidRPr="00E61EC7">
        <w:t>versus</w:t>
      </w:r>
      <w:r w:rsidRPr="00E61EC7">
        <w:t xml:space="preserve"> 0.18%</w:t>
      </w:r>
      <w:r w:rsidR="0070319D">
        <w:t xml:space="preserve"> at Week 48</w:t>
      </w:r>
      <w:r w:rsidRPr="00E61EC7">
        <w:t xml:space="preserve">. </w:t>
      </w:r>
      <w:r w:rsidR="0070319D">
        <w:t>At Week 60, t</w:t>
      </w:r>
      <w:r w:rsidRPr="00E61EC7">
        <w:t xml:space="preserve">he most frequent </w:t>
      </w:r>
      <w:r w:rsidR="007D085F" w:rsidRPr="00E61EC7">
        <w:t>intraocular inflammation</w:t>
      </w:r>
      <w:r w:rsidRPr="00E61EC7">
        <w:t>s (0.5%</w:t>
      </w:r>
      <w:r w:rsidR="00C52737" w:rsidRPr="00E61EC7">
        <w:t xml:space="preserve"> or higher</w:t>
      </w:r>
      <w:r w:rsidRPr="00E61EC7">
        <w:t xml:space="preserve">) were iritis (0.6% </w:t>
      </w:r>
      <w:r w:rsidR="005B01D2" w:rsidRPr="00E61EC7">
        <w:t>versus</w:t>
      </w:r>
      <w:r w:rsidRPr="00E61EC7">
        <w:t xml:space="preserve"> 0.3%), </w:t>
      </w:r>
      <w:proofErr w:type="spellStart"/>
      <w:r w:rsidRPr="00E61EC7">
        <w:t>vitritis</w:t>
      </w:r>
      <w:proofErr w:type="spellEnd"/>
      <w:r w:rsidRPr="00E61EC7">
        <w:t xml:space="preserve"> (0.6% </w:t>
      </w:r>
      <w:r w:rsidR="005B01D2" w:rsidRPr="00E61EC7">
        <w:t>versus</w:t>
      </w:r>
      <w:r w:rsidRPr="00E61EC7">
        <w:t xml:space="preserve"> 0.2%), uveitis (0.5% </w:t>
      </w:r>
      <w:r w:rsidR="005B01D2" w:rsidRPr="00E61EC7">
        <w:t>versus</w:t>
      </w:r>
      <w:r w:rsidRPr="00E61EC7">
        <w:t xml:space="preserve"> 0.3%), iridocyclitis (0.5% </w:t>
      </w:r>
      <w:r w:rsidR="005B01D2" w:rsidRPr="00E61EC7">
        <w:t>versus</w:t>
      </w:r>
      <w:r w:rsidRPr="00E61EC7">
        <w:t xml:space="preserve"> 0.2%) and post procedural inflammation (0 </w:t>
      </w:r>
      <w:r w:rsidR="005B01D2" w:rsidRPr="00E61EC7">
        <w:t>versus</w:t>
      </w:r>
      <w:r w:rsidRPr="00E61EC7">
        <w:t xml:space="preserve"> 0.5%). The rates of </w:t>
      </w:r>
      <w:r w:rsidR="007D085F" w:rsidRPr="00E61EC7">
        <w:t>intraocular inflammation</w:t>
      </w:r>
      <w:r w:rsidRPr="00E61EC7">
        <w:t xml:space="preserve"> were higher in patients on the </w:t>
      </w:r>
      <w:proofErr w:type="spellStart"/>
      <w:r w:rsidRPr="00E61EC7">
        <w:t>faricimab</w:t>
      </w:r>
      <w:proofErr w:type="spellEnd"/>
      <w:r w:rsidRPr="00E61EC7">
        <w:t xml:space="preserve"> </w:t>
      </w:r>
      <w:r w:rsidR="003E5F35" w:rsidRPr="00E61EC7">
        <w:t>every 8 weeks</w:t>
      </w:r>
      <w:r w:rsidRPr="00E61EC7">
        <w:t xml:space="preserve"> interval than </w:t>
      </w:r>
      <w:r w:rsidR="000E4FBF" w:rsidRPr="00E61EC7">
        <w:t>every 12 weeks</w:t>
      </w:r>
      <w:r w:rsidRPr="00E61EC7">
        <w:t xml:space="preserve"> or </w:t>
      </w:r>
      <w:r w:rsidR="000E4FBF" w:rsidRPr="00E61EC7">
        <w:t>every 16</w:t>
      </w:r>
      <w:r w:rsidR="00C52737" w:rsidRPr="00E61EC7">
        <w:t> </w:t>
      </w:r>
      <w:r w:rsidR="000E4FBF" w:rsidRPr="00E61EC7">
        <w:t>weeks</w:t>
      </w:r>
      <w:r w:rsidRPr="00E61EC7">
        <w:t xml:space="preserve">. </w:t>
      </w:r>
      <w:proofErr w:type="gramStart"/>
      <w:r w:rsidRPr="00E61EC7">
        <w:t>The majority of</w:t>
      </w:r>
      <w:proofErr w:type="gramEnd"/>
      <w:r w:rsidRPr="00E61EC7">
        <w:t xml:space="preserve"> </w:t>
      </w:r>
      <w:r w:rsidR="007D085F" w:rsidRPr="00E61EC7">
        <w:t>intraocular inflammation</w:t>
      </w:r>
      <w:r w:rsidRPr="00E61EC7">
        <w:t xml:space="preserve"> events occurred after 4 to 5 injections of </w:t>
      </w:r>
      <w:proofErr w:type="spellStart"/>
      <w:r w:rsidRPr="00E61EC7">
        <w:t>faricimab</w:t>
      </w:r>
      <w:proofErr w:type="spellEnd"/>
      <w:r w:rsidRPr="00E61EC7">
        <w:t xml:space="preserve"> (range: 1</w:t>
      </w:r>
      <w:r w:rsidR="00C52737" w:rsidRPr="00E61EC7">
        <w:t xml:space="preserve"> to </w:t>
      </w:r>
      <w:r w:rsidRPr="00E61EC7">
        <w:t>8) and after 4 or 6 injections of aflibercept (range: 3</w:t>
      </w:r>
      <w:r w:rsidR="00C52737" w:rsidRPr="00E61EC7">
        <w:t xml:space="preserve"> to </w:t>
      </w:r>
      <w:r w:rsidRPr="00E61EC7">
        <w:t xml:space="preserve">8). The rates of </w:t>
      </w:r>
      <w:r w:rsidR="007D085F" w:rsidRPr="00E61EC7">
        <w:t>intraocular inflammation</w:t>
      </w:r>
      <w:r w:rsidRPr="00E61EC7">
        <w:t xml:space="preserve"> were higher in the </w:t>
      </w:r>
      <w:r w:rsidR="00B0762E" w:rsidRPr="00E61EC7">
        <w:t>anti-drug antibody (ADA)</w:t>
      </w:r>
      <w:r w:rsidRPr="00E61EC7">
        <w:t>-positive subgroup (</w:t>
      </w:r>
      <w:r w:rsidR="00005211">
        <w:t>5</w:t>
      </w:r>
      <w:r w:rsidR="00907E1A">
        <w:t xml:space="preserve"> out of </w:t>
      </w:r>
      <w:r w:rsidR="00005211">
        <w:t>75 patients</w:t>
      </w:r>
      <w:r w:rsidR="00907E1A">
        <w:t xml:space="preserve"> (</w:t>
      </w:r>
      <w:r w:rsidRPr="00E61EC7">
        <w:t>6.8%)</w:t>
      </w:r>
      <w:r w:rsidR="00907E1A">
        <w:t>)</w:t>
      </w:r>
      <w:r w:rsidRPr="00E61EC7">
        <w:t xml:space="preserve"> than in the ADA-negative subgroup (</w:t>
      </w:r>
      <w:r w:rsidR="00005211">
        <w:t>7</w:t>
      </w:r>
      <w:r w:rsidR="00907E1A">
        <w:t xml:space="preserve"> out of </w:t>
      </w:r>
      <w:r w:rsidR="00005211">
        <w:t>582 patients</w:t>
      </w:r>
      <w:r w:rsidR="00907E1A">
        <w:t xml:space="preserve"> (</w:t>
      </w:r>
      <w:r w:rsidRPr="00E61EC7">
        <w:t>1.2%)</w:t>
      </w:r>
      <w:r w:rsidR="00907E1A">
        <w:t>)</w:t>
      </w:r>
      <w:r w:rsidRPr="00E61EC7">
        <w:t xml:space="preserve"> with a trend for </w:t>
      </w:r>
      <w:r w:rsidR="007D085F" w:rsidRPr="00E61EC7">
        <w:t>intraocular inflammation</w:t>
      </w:r>
      <w:r w:rsidRPr="00E61EC7">
        <w:t xml:space="preserve"> onset after an increase in ADA titre.</w:t>
      </w:r>
    </w:p>
    <w:p w14:paraId="62C9DC75" w14:textId="5AE3117C" w:rsidR="00042FC8" w:rsidRPr="00E61EC7" w:rsidRDefault="002A2C48" w:rsidP="00C470FC">
      <w:pPr>
        <w:pStyle w:val="ListBullet"/>
      </w:pPr>
      <w:r w:rsidRPr="00E61EC7">
        <w:lastRenderedPageBreak/>
        <w:t xml:space="preserve">Endophthalmitis was reported in </w:t>
      </w:r>
      <w:r w:rsidR="00C52737" w:rsidRPr="00E61EC7">
        <w:t>one</w:t>
      </w:r>
      <w:r w:rsidRPr="00E61EC7">
        <w:t xml:space="preserve"> (0.2%) patient </w:t>
      </w:r>
      <w:r w:rsidR="00D20E06">
        <w:t xml:space="preserve">in </w:t>
      </w:r>
      <w:r w:rsidRPr="00E61EC7">
        <w:t>aflibercept arm</w:t>
      </w:r>
      <w:r w:rsidR="00D20E06">
        <w:t xml:space="preserve"> and none in </w:t>
      </w:r>
      <w:proofErr w:type="spellStart"/>
      <w:r w:rsidR="00D20E06">
        <w:t>faricimab</w:t>
      </w:r>
      <w:proofErr w:type="spellEnd"/>
      <w:r w:rsidR="00D20E06">
        <w:t xml:space="preserve"> arm at Week 60</w:t>
      </w:r>
      <w:r w:rsidRPr="00E61EC7">
        <w:t>.</w:t>
      </w:r>
    </w:p>
    <w:p w14:paraId="751B55D5" w14:textId="4168D863" w:rsidR="00042FC8" w:rsidRPr="00E61EC7" w:rsidRDefault="002A2C48" w:rsidP="00C470FC">
      <w:pPr>
        <w:pStyle w:val="ListBullet"/>
      </w:pPr>
      <w:r w:rsidRPr="00E61EC7">
        <w:t xml:space="preserve">Retinal </w:t>
      </w:r>
      <w:r w:rsidR="00C52737" w:rsidRPr="00E61EC7">
        <w:t>vasculitis and retinal vascular occlusive disease were</w:t>
      </w:r>
      <w:r w:rsidRPr="00E61EC7">
        <w:t xml:space="preserve"> not reported in the study period.</w:t>
      </w:r>
    </w:p>
    <w:p w14:paraId="34B8CAB6" w14:textId="70378F66" w:rsidR="00042FC8" w:rsidRPr="00E61EC7" w:rsidRDefault="002A2C48" w:rsidP="00C470FC">
      <w:pPr>
        <w:pStyle w:val="ListBullet"/>
      </w:pPr>
      <w:r w:rsidRPr="00E61EC7">
        <w:t xml:space="preserve">Retinal </w:t>
      </w:r>
      <w:r w:rsidR="00C52737" w:rsidRPr="00E61EC7">
        <w:t>pigment epithelial tear was</w:t>
      </w:r>
      <w:r w:rsidRPr="00E61EC7">
        <w:t xml:space="preserve"> numerically higher for </w:t>
      </w:r>
      <w:proofErr w:type="spellStart"/>
      <w:r w:rsidRPr="00E61EC7">
        <w:t>faricimab</w:t>
      </w:r>
      <w:proofErr w:type="spellEnd"/>
      <w:r w:rsidRPr="00E61EC7">
        <w:t xml:space="preserve"> </w:t>
      </w:r>
      <w:r w:rsidR="005B01D2" w:rsidRPr="00E61EC7">
        <w:t>versus</w:t>
      </w:r>
      <w:r w:rsidRPr="00E61EC7">
        <w:t xml:space="preserve"> aflibercept: 2.9% </w:t>
      </w:r>
      <w:r w:rsidR="005B01D2" w:rsidRPr="00E61EC7">
        <w:t>versus</w:t>
      </w:r>
      <w:r w:rsidRPr="00E61EC7">
        <w:t xml:space="preserve"> 1.4% (serious: 0.6% </w:t>
      </w:r>
      <w:r w:rsidR="005B01D2" w:rsidRPr="00E61EC7">
        <w:t>versus</w:t>
      </w:r>
      <w:r w:rsidRPr="00E61EC7">
        <w:t xml:space="preserve"> 0%)</w:t>
      </w:r>
      <w:r w:rsidR="00C52737" w:rsidRPr="00E61EC7">
        <w:t xml:space="preserve"> at Week 48</w:t>
      </w:r>
      <w:r w:rsidRPr="00E61EC7">
        <w:t xml:space="preserve">; 2.9% </w:t>
      </w:r>
      <w:r w:rsidR="005B01D2" w:rsidRPr="00E61EC7">
        <w:t>versus</w:t>
      </w:r>
      <w:r w:rsidRPr="00E61EC7">
        <w:t xml:space="preserve"> 1.5% (serious: 0.6% </w:t>
      </w:r>
      <w:r w:rsidR="005B01D2" w:rsidRPr="00E61EC7">
        <w:t>versus</w:t>
      </w:r>
      <w:r w:rsidRPr="00E61EC7">
        <w:t xml:space="preserve"> 0%)</w:t>
      </w:r>
      <w:r w:rsidR="00C52737" w:rsidRPr="00E61EC7">
        <w:t xml:space="preserve"> at Week 60</w:t>
      </w:r>
      <w:r w:rsidRPr="00E61EC7">
        <w:t xml:space="preserve">. One patient (0.2%) in the </w:t>
      </w:r>
      <w:proofErr w:type="spellStart"/>
      <w:r w:rsidRPr="00E61EC7">
        <w:t>faricimab</w:t>
      </w:r>
      <w:proofErr w:type="spellEnd"/>
      <w:r w:rsidRPr="00E61EC7">
        <w:t xml:space="preserve"> arm experienced </w:t>
      </w:r>
      <w:proofErr w:type="spellStart"/>
      <w:r w:rsidRPr="00E61EC7">
        <w:t>rhegmatogenous</w:t>
      </w:r>
      <w:proofErr w:type="spellEnd"/>
      <w:r w:rsidRPr="00E61EC7">
        <w:t xml:space="preserve"> retinal detachment.</w:t>
      </w:r>
    </w:p>
    <w:p w14:paraId="3B082BF6" w14:textId="73FC582B" w:rsidR="00C470FC" w:rsidRPr="00E61EC7" w:rsidRDefault="002A2C48" w:rsidP="00C470FC">
      <w:pPr>
        <w:pStyle w:val="Heading6"/>
      </w:pPr>
      <w:r w:rsidRPr="00E61EC7">
        <w:t xml:space="preserve">Pooled </w:t>
      </w:r>
      <w:r w:rsidR="00533A7C" w:rsidRPr="00E61EC7">
        <w:t>Phase III</w:t>
      </w:r>
      <w:r w:rsidRPr="00E61EC7">
        <w:t xml:space="preserve"> </w:t>
      </w:r>
      <w:r w:rsidR="00C52737" w:rsidRPr="00E61EC7">
        <w:t xml:space="preserve">diabetic macular oedema </w:t>
      </w:r>
      <w:r w:rsidRPr="00E61EC7">
        <w:t xml:space="preserve">studies </w:t>
      </w:r>
      <w:r w:rsidR="00410AF5" w:rsidRPr="00E61EC7">
        <w:t>(</w:t>
      </w:r>
      <w:r w:rsidR="00410AF5" w:rsidRPr="00E61EC7">
        <w:rPr>
          <w:szCs w:val="28"/>
        </w:rPr>
        <w:t>Study GR40349 (YOSEMITE trial) and Study GR40398 (RHINE trial))</w:t>
      </w:r>
    </w:p>
    <w:p w14:paraId="3045652F" w14:textId="3773DBB8" w:rsidR="00042FC8" w:rsidRPr="00E61EC7" w:rsidRDefault="002A2C48" w:rsidP="00C470FC">
      <w:r w:rsidRPr="00E61EC7">
        <w:t xml:space="preserve">It is generally comparable across treatment arms (4.0% </w:t>
      </w:r>
      <w:r w:rsidR="005B01D2" w:rsidRPr="00E61EC7">
        <w:t>versus</w:t>
      </w:r>
      <w:r w:rsidRPr="00E61EC7">
        <w:t xml:space="preserve"> 5.2% </w:t>
      </w:r>
      <w:r w:rsidR="005B01D2" w:rsidRPr="00E61EC7">
        <w:t>versus</w:t>
      </w:r>
      <w:r w:rsidRPr="00E61EC7">
        <w:t xml:space="preserve"> 3.2%). The exposure adjusted incidence rates for ocular AESIs were comparable across all treatment arms.</w:t>
      </w:r>
    </w:p>
    <w:p w14:paraId="71479756" w14:textId="5EA8AA87" w:rsidR="00042FC8" w:rsidRPr="00E61EC7" w:rsidRDefault="002A2C48" w:rsidP="00C470FC">
      <w:pPr>
        <w:pStyle w:val="ListBullet"/>
      </w:pPr>
      <w:r w:rsidRPr="007146B2">
        <w:rPr>
          <w:i/>
        </w:rPr>
        <w:t>Sight</w:t>
      </w:r>
      <w:r w:rsidR="00C52737" w:rsidRPr="007146B2">
        <w:rPr>
          <w:i/>
        </w:rPr>
        <w:t xml:space="preserve"> </w:t>
      </w:r>
      <w:r w:rsidRPr="007146B2">
        <w:rPr>
          <w:i/>
        </w:rPr>
        <w:t xml:space="preserve">threatening AESIs in the </w:t>
      </w:r>
      <w:r w:rsidR="00410AF5" w:rsidRPr="007146B2">
        <w:rPr>
          <w:i/>
        </w:rPr>
        <w:t>study eye</w:t>
      </w:r>
      <w:r w:rsidRPr="00E61EC7">
        <w:t>: the most common sight</w:t>
      </w:r>
      <w:r w:rsidR="00C52737" w:rsidRPr="00E61EC7">
        <w:t xml:space="preserve"> </w:t>
      </w:r>
      <w:r w:rsidRPr="00E61EC7">
        <w:t>threatening AEs in which caused a decrease of 30</w:t>
      </w:r>
      <w:r w:rsidR="00C52737" w:rsidRPr="00E61EC7">
        <w:t xml:space="preserve"> or more</w:t>
      </w:r>
      <w:r w:rsidRPr="00E61EC7">
        <w:t xml:space="preserve"> letters in </w:t>
      </w:r>
      <w:r w:rsidR="003D5C82" w:rsidRPr="00E61EC7">
        <w:t>visual acuity</w:t>
      </w:r>
      <w:r w:rsidRPr="00E61EC7">
        <w:t xml:space="preserve"> score lasting more than </w:t>
      </w:r>
      <w:r w:rsidR="00C52737" w:rsidRPr="00E61EC7">
        <w:t>one</w:t>
      </w:r>
      <w:r w:rsidRPr="00E61EC7">
        <w:t xml:space="preserve"> hour were cataract (1.1% </w:t>
      </w:r>
      <w:r w:rsidR="005B01D2" w:rsidRPr="00E61EC7">
        <w:t>versus</w:t>
      </w:r>
      <w:r w:rsidRPr="00E61EC7">
        <w:t xml:space="preserve"> 1.4% </w:t>
      </w:r>
      <w:r w:rsidR="005B01D2" w:rsidRPr="00E61EC7">
        <w:t>versus</w:t>
      </w:r>
      <w:r w:rsidRPr="00E61EC7">
        <w:t xml:space="preserve"> 1.3%), diabetic retinal oedema (0.6% </w:t>
      </w:r>
      <w:r w:rsidR="005B01D2" w:rsidRPr="00E61EC7">
        <w:t>versus</w:t>
      </w:r>
      <w:r w:rsidRPr="00E61EC7">
        <w:t xml:space="preserve"> 0.5% </w:t>
      </w:r>
      <w:r w:rsidR="005B01D2" w:rsidRPr="00E61EC7">
        <w:t>versus</w:t>
      </w:r>
      <w:r w:rsidRPr="00E61EC7">
        <w:t xml:space="preserve"> 0.2%), diabetic retinopathy (0.2% </w:t>
      </w:r>
      <w:r w:rsidR="005B01D2" w:rsidRPr="00E61EC7">
        <w:t>versus</w:t>
      </w:r>
      <w:r w:rsidRPr="00E61EC7">
        <w:t xml:space="preserve"> 0.2% </w:t>
      </w:r>
      <w:r w:rsidR="005B01D2" w:rsidRPr="00E61EC7">
        <w:t>versus</w:t>
      </w:r>
      <w:r w:rsidRPr="00E61EC7">
        <w:t xml:space="preserve"> 0.5%), retinal vein occlusion (0 </w:t>
      </w:r>
      <w:r w:rsidR="005B01D2" w:rsidRPr="00E61EC7">
        <w:t>versus</w:t>
      </w:r>
      <w:r w:rsidRPr="00E61EC7">
        <w:t xml:space="preserve"> 0.5% </w:t>
      </w:r>
      <w:r w:rsidR="005B01D2" w:rsidRPr="00E61EC7">
        <w:t>versus</w:t>
      </w:r>
      <w:r w:rsidRPr="00E61EC7">
        <w:t xml:space="preserve"> 0), endophthalmitis (0 </w:t>
      </w:r>
      <w:r w:rsidR="005B01D2" w:rsidRPr="00E61EC7">
        <w:t>versus</w:t>
      </w:r>
      <w:r w:rsidRPr="00E61EC7">
        <w:t xml:space="preserve"> 0.3% </w:t>
      </w:r>
      <w:r w:rsidR="005B01D2" w:rsidRPr="00E61EC7">
        <w:t>versus</w:t>
      </w:r>
      <w:r w:rsidRPr="00E61EC7">
        <w:t xml:space="preserve"> 0), and visual impairment (0 </w:t>
      </w:r>
      <w:r w:rsidR="005B01D2" w:rsidRPr="00E61EC7">
        <w:t>versus</w:t>
      </w:r>
      <w:r w:rsidRPr="00E61EC7">
        <w:t xml:space="preserve"> 0.3% </w:t>
      </w:r>
      <w:r w:rsidR="005B01D2" w:rsidRPr="00E61EC7">
        <w:t>versus</w:t>
      </w:r>
      <w:r w:rsidRPr="00E61EC7">
        <w:t xml:space="preserve"> 0).</w:t>
      </w:r>
    </w:p>
    <w:p w14:paraId="6285A138" w14:textId="56B71E12" w:rsidR="00042FC8" w:rsidRPr="00E61EC7" w:rsidRDefault="002A2C48" w:rsidP="00C470FC">
      <w:pPr>
        <w:pStyle w:val="ListBullet"/>
      </w:pPr>
      <w:r w:rsidRPr="007146B2">
        <w:rPr>
          <w:i/>
        </w:rPr>
        <w:t>Intraocular inflammation</w:t>
      </w:r>
      <w:r w:rsidR="00C2190A">
        <w:rPr>
          <w:i/>
        </w:rPr>
        <w:t>:</w:t>
      </w:r>
      <w:r w:rsidR="00C52737" w:rsidRPr="00E61EC7">
        <w:t xml:space="preserve"> </w:t>
      </w:r>
      <w:r w:rsidRPr="00E61EC7">
        <w:t xml:space="preserve">higher incidence in the </w:t>
      </w:r>
      <w:proofErr w:type="spellStart"/>
      <w:r w:rsidRPr="00E61EC7">
        <w:t>faricimab</w:t>
      </w:r>
      <w:proofErr w:type="spellEnd"/>
      <w:r w:rsidRPr="00E61EC7">
        <w:t xml:space="preserve"> arms as compared to aflibercept (1.4%, 1.7% and 1.1%).</w:t>
      </w:r>
    </w:p>
    <w:p w14:paraId="3B86DF99" w14:textId="07A57F64" w:rsidR="00042FC8" w:rsidRPr="00E61EC7" w:rsidRDefault="002A2C48" w:rsidP="00C470FC">
      <w:pPr>
        <w:pStyle w:val="ListBullet"/>
      </w:pPr>
      <w:r w:rsidRPr="007146B2">
        <w:rPr>
          <w:i/>
        </w:rPr>
        <w:t>Endophthalmitis</w:t>
      </w:r>
      <w:r w:rsidR="00102B5F" w:rsidRPr="00E61EC7">
        <w:t>:</w:t>
      </w:r>
      <w:r w:rsidR="00C2190A">
        <w:t xml:space="preserve"> </w:t>
      </w:r>
      <w:r w:rsidRPr="00E61EC7">
        <w:t xml:space="preserve">0.3% </w:t>
      </w:r>
      <w:r w:rsidR="005B01D2" w:rsidRPr="00E61EC7">
        <w:t>versus</w:t>
      </w:r>
      <w:r w:rsidRPr="00E61EC7">
        <w:t xml:space="preserve"> 0.6% </w:t>
      </w:r>
      <w:r w:rsidR="005B01D2" w:rsidRPr="00E61EC7">
        <w:t>versus</w:t>
      </w:r>
      <w:r w:rsidRPr="00E61EC7">
        <w:t xml:space="preserve"> 0.2%.</w:t>
      </w:r>
    </w:p>
    <w:p w14:paraId="403CCCE5" w14:textId="6C623AD7" w:rsidR="00042FC8" w:rsidRPr="005B6E30" w:rsidRDefault="002A2C48" w:rsidP="00C470FC">
      <w:pPr>
        <w:pStyle w:val="ListBullet"/>
        <w:rPr>
          <w:lang w:val="fr-CH"/>
        </w:rPr>
      </w:pPr>
      <w:proofErr w:type="spellStart"/>
      <w:r w:rsidRPr="007146B2">
        <w:rPr>
          <w:i/>
          <w:lang w:val="fr-CH"/>
        </w:rPr>
        <w:t>Retinal</w:t>
      </w:r>
      <w:proofErr w:type="spellEnd"/>
      <w:r w:rsidRPr="007146B2">
        <w:rPr>
          <w:i/>
          <w:lang w:val="fr-CH"/>
        </w:rPr>
        <w:t xml:space="preserve"> </w:t>
      </w:r>
      <w:proofErr w:type="spellStart"/>
      <w:r w:rsidR="00C52737" w:rsidRPr="007146B2">
        <w:rPr>
          <w:i/>
          <w:lang w:val="fr-CH"/>
        </w:rPr>
        <w:t>vasculitis</w:t>
      </w:r>
      <w:proofErr w:type="spellEnd"/>
      <w:r w:rsidR="00C52737" w:rsidRPr="007146B2">
        <w:rPr>
          <w:i/>
          <w:lang w:val="fr-CH"/>
        </w:rPr>
        <w:t xml:space="preserve"> and </w:t>
      </w:r>
      <w:proofErr w:type="spellStart"/>
      <w:r w:rsidR="00C52737" w:rsidRPr="007146B2">
        <w:rPr>
          <w:i/>
          <w:lang w:val="fr-CH"/>
        </w:rPr>
        <w:t>retinal</w:t>
      </w:r>
      <w:proofErr w:type="spellEnd"/>
      <w:r w:rsidR="00C52737" w:rsidRPr="007146B2">
        <w:rPr>
          <w:i/>
          <w:lang w:val="fr-CH"/>
        </w:rPr>
        <w:t xml:space="preserve"> </w:t>
      </w:r>
      <w:proofErr w:type="spellStart"/>
      <w:r w:rsidR="00C52737" w:rsidRPr="007146B2">
        <w:rPr>
          <w:i/>
          <w:lang w:val="fr-CH"/>
        </w:rPr>
        <w:t>vascular</w:t>
      </w:r>
      <w:proofErr w:type="spellEnd"/>
      <w:r w:rsidR="00C52737" w:rsidRPr="007146B2">
        <w:rPr>
          <w:i/>
          <w:lang w:val="fr-CH"/>
        </w:rPr>
        <w:t xml:space="preserve"> occlusive </w:t>
      </w:r>
      <w:proofErr w:type="spellStart"/>
      <w:proofErr w:type="gramStart"/>
      <w:r w:rsidR="00C52737" w:rsidRPr="007146B2">
        <w:rPr>
          <w:i/>
          <w:lang w:val="fr-CH"/>
        </w:rPr>
        <w:t>disease</w:t>
      </w:r>
      <w:proofErr w:type="spellEnd"/>
      <w:r w:rsidR="00102B5F" w:rsidRPr="005B6E30">
        <w:rPr>
          <w:lang w:val="fr-CH"/>
        </w:rPr>
        <w:t>:</w:t>
      </w:r>
      <w:proofErr w:type="gramEnd"/>
      <w:r w:rsidRPr="005B6E30">
        <w:rPr>
          <w:lang w:val="fr-CH"/>
        </w:rPr>
        <w:t xml:space="preserve"> 0.3% </w:t>
      </w:r>
      <w:r w:rsidR="005B01D2" w:rsidRPr="005B6E30">
        <w:rPr>
          <w:lang w:val="fr-CH"/>
        </w:rPr>
        <w:t>versus</w:t>
      </w:r>
      <w:r w:rsidRPr="005B6E30">
        <w:rPr>
          <w:lang w:val="fr-CH"/>
        </w:rPr>
        <w:t xml:space="preserve"> 0.9% </w:t>
      </w:r>
      <w:r w:rsidR="005B01D2" w:rsidRPr="005B6E30">
        <w:rPr>
          <w:lang w:val="fr-CH"/>
        </w:rPr>
        <w:t>versus</w:t>
      </w:r>
      <w:r w:rsidRPr="005B6E30">
        <w:rPr>
          <w:lang w:val="fr-CH"/>
        </w:rPr>
        <w:t xml:space="preserve"> 0.6%.</w:t>
      </w:r>
    </w:p>
    <w:p w14:paraId="778D3EA3" w14:textId="7F15CB84" w:rsidR="00042FC8" w:rsidRPr="00E61EC7" w:rsidRDefault="002A2C48" w:rsidP="00C470FC">
      <w:pPr>
        <w:pStyle w:val="ListBullet"/>
      </w:pPr>
      <w:r w:rsidRPr="007146B2">
        <w:rPr>
          <w:i/>
        </w:rPr>
        <w:t xml:space="preserve">Retinal </w:t>
      </w:r>
      <w:r w:rsidR="00C52737" w:rsidRPr="007146B2">
        <w:rPr>
          <w:i/>
        </w:rPr>
        <w:t>pigment epithelial tear</w:t>
      </w:r>
      <w:r w:rsidR="00C2190A">
        <w:t>: this</w:t>
      </w:r>
      <w:r w:rsidR="00C52737" w:rsidRPr="00E61EC7">
        <w:t xml:space="preserve"> was</w:t>
      </w:r>
      <w:r w:rsidRPr="00E61EC7">
        <w:t xml:space="preserve"> not considered an AESI for </w:t>
      </w:r>
      <w:r w:rsidR="0039584C" w:rsidRPr="00E61EC7">
        <w:t>DMO</w:t>
      </w:r>
      <w:r w:rsidRPr="00E61EC7">
        <w:t>.</w:t>
      </w:r>
    </w:p>
    <w:p w14:paraId="00A8DE11" w14:textId="1E6E25F3" w:rsidR="00042FC8" w:rsidRPr="00E61EC7" w:rsidRDefault="002A2C48" w:rsidP="00C470FC">
      <w:pPr>
        <w:pStyle w:val="Heading5"/>
      </w:pPr>
      <w:r w:rsidRPr="00E61EC7">
        <w:t xml:space="preserve">Non-ocular </w:t>
      </w:r>
      <w:r w:rsidR="00C52737" w:rsidRPr="00E61EC7">
        <w:t>adverse events</w:t>
      </w:r>
    </w:p>
    <w:p w14:paraId="45C213DF" w14:textId="2B8128CD" w:rsidR="00C470FC" w:rsidRPr="00E61EC7" w:rsidRDefault="002A2C48" w:rsidP="00C470FC">
      <w:pPr>
        <w:pStyle w:val="Heading6"/>
      </w:pPr>
      <w:r w:rsidRPr="00E61EC7">
        <w:t xml:space="preserve">Pooled </w:t>
      </w:r>
      <w:r w:rsidR="00533A7C" w:rsidRPr="00E61EC7">
        <w:t>Phase III</w:t>
      </w:r>
      <w:r w:rsidRPr="00E61EC7">
        <w:t xml:space="preserve"> </w:t>
      </w:r>
      <w:r w:rsidR="00C52737" w:rsidRPr="00E61EC7">
        <w:t xml:space="preserve">neovascular age-related macular degeneration </w:t>
      </w:r>
      <w:r w:rsidRPr="00E61EC7">
        <w:t xml:space="preserve">studies </w:t>
      </w:r>
      <w:r w:rsidR="00215642" w:rsidRPr="00E61EC7">
        <w:t>(</w:t>
      </w:r>
      <w:r w:rsidR="00410AF5" w:rsidRPr="00E61EC7">
        <w:rPr>
          <w:szCs w:val="28"/>
        </w:rPr>
        <w:t>Studies GR40306 (TENAYA trial) and GR40844 (LUCERNE trial)</w:t>
      </w:r>
      <w:r w:rsidR="00215642" w:rsidRPr="00E61EC7">
        <w:t>)</w:t>
      </w:r>
    </w:p>
    <w:p w14:paraId="695BE68C" w14:textId="2A65871C" w:rsidR="00042FC8" w:rsidRPr="00E61EC7" w:rsidRDefault="002A2C48" w:rsidP="00C470FC">
      <w:r w:rsidRPr="00E61EC7">
        <w:t>The incidence of non-ocular AEs</w:t>
      </w:r>
      <w:r w:rsidR="00C52737" w:rsidRPr="00E61EC7">
        <w:t xml:space="preserve"> or </w:t>
      </w:r>
      <w:r w:rsidRPr="00E61EC7">
        <w:t>SAEs was generally similar between treatment arms (</w:t>
      </w:r>
      <w:proofErr w:type="spellStart"/>
      <w:r w:rsidRPr="00E61EC7">
        <w:t>faricimab</w:t>
      </w:r>
      <w:proofErr w:type="spellEnd"/>
      <w:r w:rsidRPr="00E61EC7">
        <w:t xml:space="preserve"> </w:t>
      </w:r>
      <w:r w:rsidR="005B01D2" w:rsidRPr="00E61EC7">
        <w:t>versus</w:t>
      </w:r>
      <w:r w:rsidRPr="00E61EC7">
        <w:t xml:space="preserve"> aflibercept): through Week 48: 52% </w:t>
      </w:r>
      <w:r w:rsidR="005B01D2" w:rsidRPr="00E61EC7">
        <w:t>versus</w:t>
      </w:r>
      <w:r w:rsidRPr="00E61EC7">
        <w:t xml:space="preserve"> 55% (SAEs: 10% </w:t>
      </w:r>
      <w:r w:rsidR="005B01D2" w:rsidRPr="00E61EC7">
        <w:t>versus</w:t>
      </w:r>
      <w:r w:rsidRPr="00E61EC7">
        <w:t xml:space="preserve"> 12%) and through Week 60: 58% </w:t>
      </w:r>
      <w:r w:rsidR="005B01D2" w:rsidRPr="00E61EC7">
        <w:t>versus</w:t>
      </w:r>
      <w:r w:rsidRPr="00E61EC7">
        <w:t xml:space="preserve"> 60% (SAEs: 11% </w:t>
      </w:r>
      <w:r w:rsidR="005B01D2" w:rsidRPr="00E61EC7">
        <w:t>versus</w:t>
      </w:r>
      <w:r w:rsidRPr="00E61EC7">
        <w:t xml:space="preserve"> 14%).</w:t>
      </w:r>
    </w:p>
    <w:p w14:paraId="05A887CB" w14:textId="198A3149" w:rsidR="00042FC8" w:rsidRPr="00E61EC7" w:rsidRDefault="002A2C48" w:rsidP="00C470FC">
      <w:r w:rsidRPr="00E61EC7">
        <w:t>The incidence of externally adjudicated Anti-platelet Trialists’ Collaboration (APTC)-defined arterial thromboembolic events were (</w:t>
      </w:r>
      <w:proofErr w:type="spellStart"/>
      <w:r w:rsidRPr="00E61EC7">
        <w:t>faricimab</w:t>
      </w:r>
      <w:proofErr w:type="spellEnd"/>
      <w:r w:rsidRPr="00E61EC7">
        <w:t xml:space="preserve"> </w:t>
      </w:r>
      <w:r w:rsidR="005B01D2" w:rsidRPr="00E61EC7">
        <w:t>versus</w:t>
      </w:r>
      <w:r w:rsidRPr="00E61EC7">
        <w:t xml:space="preserve"> aflibercept): 1.1% </w:t>
      </w:r>
      <w:r w:rsidR="005B01D2" w:rsidRPr="00E61EC7">
        <w:t>versus</w:t>
      </w:r>
      <w:r w:rsidRPr="00E61EC7">
        <w:t xml:space="preserve"> 0.9% through Week 48 and 2.0% </w:t>
      </w:r>
      <w:r w:rsidR="005B01D2" w:rsidRPr="00E61EC7">
        <w:t>versus</w:t>
      </w:r>
      <w:r w:rsidRPr="00E61EC7">
        <w:t xml:space="preserve"> 1.5% through Week 60. The most common APTC</w:t>
      </w:r>
      <w:r w:rsidR="00DB7EAB" w:rsidRPr="00E61EC7">
        <w:noBreakHyphen/>
      </w:r>
      <w:r w:rsidRPr="00E61EC7">
        <w:t xml:space="preserve">defined </w:t>
      </w:r>
      <w:r w:rsidR="00FC46B4" w:rsidRPr="00E61EC7">
        <w:t xml:space="preserve">arterial thromboembolic events </w:t>
      </w:r>
      <w:r w:rsidRPr="00E61EC7">
        <w:t>(0.5%</w:t>
      </w:r>
      <w:r w:rsidR="00102B5F" w:rsidRPr="00E61EC7">
        <w:t xml:space="preserve"> or higher</w:t>
      </w:r>
      <w:r w:rsidRPr="00E61EC7">
        <w:t>) were cerebrovascular accident, acute myocardial infarction, and cardiac failure which were reported in similar incidences between treatment arms.</w:t>
      </w:r>
    </w:p>
    <w:p w14:paraId="6DBCE6E5" w14:textId="589BF0AC" w:rsidR="00C470FC" w:rsidRPr="00E61EC7" w:rsidRDefault="002A2C48" w:rsidP="00C470FC">
      <w:pPr>
        <w:pStyle w:val="Heading6"/>
      </w:pPr>
      <w:r w:rsidRPr="00E61EC7">
        <w:rPr>
          <w:lang w:eastAsia="ja-JP"/>
        </w:rPr>
        <w:t xml:space="preserve">Pooled </w:t>
      </w:r>
      <w:r w:rsidR="00533A7C" w:rsidRPr="00E61EC7">
        <w:rPr>
          <w:lang w:eastAsia="ja-JP"/>
        </w:rPr>
        <w:t>Phase III</w:t>
      </w:r>
      <w:r w:rsidRPr="00E61EC7">
        <w:rPr>
          <w:lang w:eastAsia="ja-JP"/>
        </w:rPr>
        <w:t xml:space="preserve"> </w:t>
      </w:r>
      <w:r w:rsidR="00C52737" w:rsidRPr="00E61EC7">
        <w:t xml:space="preserve">diabetic macular oedema studies </w:t>
      </w:r>
      <w:r w:rsidR="00410AF5" w:rsidRPr="00E61EC7">
        <w:rPr>
          <w:lang w:eastAsia="ja-JP"/>
        </w:rPr>
        <w:t>(</w:t>
      </w:r>
      <w:r w:rsidR="00410AF5" w:rsidRPr="00E61EC7">
        <w:t>(</w:t>
      </w:r>
      <w:r w:rsidR="00410AF5" w:rsidRPr="00E61EC7">
        <w:rPr>
          <w:szCs w:val="28"/>
        </w:rPr>
        <w:t>Study GR40349 (YOSEMITE trial) and Study GR40398 (RHINE trial))</w:t>
      </w:r>
    </w:p>
    <w:p w14:paraId="2D6E2A26" w14:textId="685CE8A2" w:rsidR="00042FC8" w:rsidRPr="00E61EC7" w:rsidRDefault="002A2C48" w:rsidP="00C470FC">
      <w:r w:rsidRPr="00E61EC7">
        <w:t>The incidence of non-ocular AEs</w:t>
      </w:r>
      <w:r w:rsidR="00102B5F" w:rsidRPr="00E61EC7">
        <w:t xml:space="preserve"> or </w:t>
      </w:r>
      <w:r w:rsidRPr="00E61EC7">
        <w:t>SAEs was generally similar between treatment arms: 73.0%, 74.2%, 75.7% with the incidence of non-ocular AEs suspected by the investigator to be related to study treatment being comparable across all treatment arms (0.6%, 0.8%, 1.1%).</w:t>
      </w:r>
    </w:p>
    <w:p w14:paraId="7653BE81" w14:textId="744C806C" w:rsidR="00042FC8" w:rsidRPr="00E61EC7" w:rsidRDefault="002A2C48" w:rsidP="00C470FC">
      <w:r w:rsidRPr="00E61EC7">
        <w:t xml:space="preserve">The following events had a 2% </w:t>
      </w:r>
      <w:r w:rsidR="00102B5F" w:rsidRPr="00E61EC7">
        <w:t xml:space="preserve">or more </w:t>
      </w:r>
      <w:r w:rsidRPr="00E61EC7">
        <w:t xml:space="preserve">difference: nasopharyngitis (9.2%, 7.1%, 10.9%), urinary tract infection (4.9%, 5.1%, 8.2%), </w:t>
      </w:r>
      <w:r w:rsidR="00DB7EAB" w:rsidRPr="00E61EC7">
        <w:t>coronavirus disease 2019 (</w:t>
      </w:r>
      <w:r w:rsidRPr="00E61EC7">
        <w:t>COVID-19</w:t>
      </w:r>
      <w:r w:rsidR="00DB7EAB" w:rsidRPr="00E61EC7">
        <w:t>)</w:t>
      </w:r>
      <w:r w:rsidRPr="00E61EC7">
        <w:t xml:space="preserve"> (4.9%, 7.3%, and 4.3%), sinusitis (4.1%, 2.1%, 2.9%), diabetes mellitus (2.9%, 2.5%, 0.8%), back pain (4.4%, 2.2%, 2.1%), hypertension (7.0%, 9.3% 8.8%), and chronic kidney disease (4.6%, 1.7%, 3.0%).</w:t>
      </w:r>
    </w:p>
    <w:p w14:paraId="05C05EBE" w14:textId="6320A90A" w:rsidR="00042FC8" w:rsidRPr="00E61EC7" w:rsidRDefault="002A2C48" w:rsidP="00C470FC">
      <w:r w:rsidRPr="00E61EC7">
        <w:lastRenderedPageBreak/>
        <w:t xml:space="preserve">The most common non-ocular AEs (5% </w:t>
      </w:r>
      <w:r w:rsidR="00102B5F" w:rsidRPr="00E61EC7">
        <w:t xml:space="preserve">or higher </w:t>
      </w:r>
      <w:r w:rsidRPr="00E61EC7">
        <w:t>incidence were nasopharyngitis (9.2%, 7.1%, 10.9%), hypertension (7.0%, 9.3%, 8.8%), urinary tract infection (4.9%, 5.1%, 8.2%), COVID-19 (4.9%, 7.3, 4.3%), and fall (5.6%, 4.7%, and 3.8%).</w:t>
      </w:r>
    </w:p>
    <w:p w14:paraId="3FFF4683" w14:textId="4B71F2B7" w:rsidR="00042FC8" w:rsidRPr="00E61EC7" w:rsidRDefault="002A2C48" w:rsidP="00C470FC">
      <w:r w:rsidRPr="00E61EC7">
        <w:t xml:space="preserve">The number of adjudicated APTC-defined </w:t>
      </w:r>
      <w:r w:rsidR="00DB7EAB" w:rsidRPr="00E61EC7">
        <w:t xml:space="preserve">arterial thromboembolic events </w:t>
      </w:r>
      <w:r w:rsidRPr="00E61EC7">
        <w:t>per 1000</w:t>
      </w:r>
      <w:r w:rsidR="00DB7EAB" w:rsidRPr="00E61EC7">
        <w:t> </w:t>
      </w:r>
      <w:r w:rsidRPr="00E61EC7">
        <w:t>injections during the entire study was 3.98, 4.02, and 3.83. The number of APTC</w:t>
      </w:r>
      <w:r w:rsidR="00DB7EAB" w:rsidRPr="00E61EC7">
        <w:noBreakHyphen/>
      </w:r>
      <w:r w:rsidRPr="00E61EC7">
        <w:t>defined deaths per 1000 injections was 1.87, 2.01, and 1.68.</w:t>
      </w:r>
    </w:p>
    <w:p w14:paraId="3F40DEDD" w14:textId="43610557" w:rsidR="00042FC8" w:rsidRPr="00E61EC7" w:rsidRDefault="002A2C48" w:rsidP="00C470FC">
      <w:pPr>
        <w:pStyle w:val="Heading5"/>
      </w:pPr>
      <w:r w:rsidRPr="00E61EC7">
        <w:t xml:space="preserve">Immunogenicity and </w:t>
      </w:r>
      <w:r w:rsidR="00E0115A" w:rsidRPr="00E61EC7">
        <w:t>anti-drug antibodies</w:t>
      </w:r>
    </w:p>
    <w:p w14:paraId="36B2A4DE" w14:textId="453DE7F4" w:rsidR="00042FC8" w:rsidRPr="00E61EC7" w:rsidRDefault="002A2C48" w:rsidP="00C470FC">
      <w:r w:rsidRPr="00E61EC7">
        <w:t xml:space="preserve">Through end of </w:t>
      </w:r>
      <w:r w:rsidR="000D30F0">
        <w:t>the DM</w:t>
      </w:r>
      <w:r w:rsidR="00C2190A">
        <w:t>O</w:t>
      </w:r>
      <w:r w:rsidR="000D30F0">
        <w:t xml:space="preserve"> </w:t>
      </w:r>
      <w:r w:rsidRPr="00E61EC7">
        <w:t xml:space="preserve">studies (up to Week 100), 128 patients were </w:t>
      </w:r>
      <w:r w:rsidR="00C2190A">
        <w:t>antidrug antibody (</w:t>
      </w:r>
      <w:r w:rsidRPr="00E61EC7">
        <w:t>ADA</w:t>
      </w:r>
      <w:r w:rsidR="00C2190A">
        <w:t>)</w:t>
      </w:r>
      <w:r w:rsidRPr="00E61EC7">
        <w:t>-positive at any point, of which 8 patients were treatment-unaffected ADA-positive.</w:t>
      </w:r>
    </w:p>
    <w:p w14:paraId="7E6BB7A7" w14:textId="049911B5" w:rsidR="00042FC8" w:rsidRPr="00E61EC7" w:rsidRDefault="002A2C48" w:rsidP="00C470FC">
      <w:r w:rsidRPr="00E61EC7">
        <w:t xml:space="preserve">The incidence of treatment-emergent ADA-positive patients was low and comparable across the </w:t>
      </w:r>
      <w:proofErr w:type="spellStart"/>
      <w:r w:rsidRPr="00E61EC7">
        <w:t>faricimab</w:t>
      </w:r>
      <w:proofErr w:type="spellEnd"/>
      <w:r w:rsidRPr="00E61EC7">
        <w:t xml:space="preserve"> treatment arms (9.8% in the </w:t>
      </w:r>
      <w:proofErr w:type="spellStart"/>
      <w:r w:rsidRPr="00E61EC7">
        <w:t>faricimab</w:t>
      </w:r>
      <w:proofErr w:type="spellEnd"/>
      <w:r w:rsidRPr="00E61EC7">
        <w:t xml:space="preserve"> </w:t>
      </w:r>
      <w:r w:rsidR="003E5F35" w:rsidRPr="00E61EC7">
        <w:t>every 8 weeks</w:t>
      </w:r>
      <w:r w:rsidRPr="00E61EC7">
        <w:t xml:space="preserve"> arm and 9.4% in the </w:t>
      </w:r>
      <w:proofErr w:type="spellStart"/>
      <w:r w:rsidRPr="00E61EC7">
        <w:t>faricimab</w:t>
      </w:r>
      <w:proofErr w:type="spellEnd"/>
      <w:r w:rsidRPr="00E61EC7">
        <w:t xml:space="preserve"> PTI arm with a similar median time to onset of ADA (approximately 28</w:t>
      </w:r>
      <w:r w:rsidR="00102B5F" w:rsidRPr="00E61EC7">
        <w:t> </w:t>
      </w:r>
      <w:r w:rsidRPr="00E61EC7">
        <w:t>weeks).</w:t>
      </w:r>
    </w:p>
    <w:p w14:paraId="05718E2A" w14:textId="2A4F28D7" w:rsidR="00042FC8" w:rsidRPr="00E61EC7" w:rsidRDefault="002A2C48" w:rsidP="00C470FC">
      <w:r w:rsidRPr="00E61EC7">
        <w:t>There were differences in incidence when comparing ADA</w:t>
      </w:r>
      <w:r w:rsidR="00CC16D0" w:rsidRPr="00E61EC7">
        <w:t>-</w:t>
      </w:r>
      <w:r w:rsidRPr="00E61EC7">
        <w:t xml:space="preserve">positive </w:t>
      </w:r>
      <w:r w:rsidR="005B01D2" w:rsidRPr="00E61EC7">
        <w:t>versus</w:t>
      </w:r>
      <w:r w:rsidRPr="00E61EC7">
        <w:t xml:space="preserve"> ADA</w:t>
      </w:r>
      <w:r w:rsidR="00CC16D0" w:rsidRPr="00E61EC7">
        <w:t>-</w:t>
      </w:r>
      <w:r w:rsidRPr="00E61EC7">
        <w:t>negative pooled groups:</w:t>
      </w:r>
    </w:p>
    <w:p w14:paraId="7067848C" w14:textId="44A04E7B" w:rsidR="00042FC8" w:rsidRPr="00E61EC7" w:rsidRDefault="002A2C48" w:rsidP="00C470FC">
      <w:pPr>
        <w:pStyle w:val="ListBullet"/>
      </w:pPr>
      <w:r w:rsidRPr="007146B2">
        <w:rPr>
          <w:i/>
        </w:rPr>
        <w:t>Ocular AEs</w:t>
      </w:r>
      <w:r w:rsidRPr="00E61EC7">
        <w:t xml:space="preserve">: 60.9% </w:t>
      </w:r>
      <w:r w:rsidR="005B01D2" w:rsidRPr="00E61EC7">
        <w:t>versus</w:t>
      </w:r>
      <w:r w:rsidRPr="00E61EC7">
        <w:t xml:space="preserve"> 48.5%</w:t>
      </w:r>
      <w:r w:rsidR="00102B5F" w:rsidRPr="00E61EC7">
        <w:t>.</w:t>
      </w:r>
    </w:p>
    <w:p w14:paraId="4E54DDE7" w14:textId="54EF9648" w:rsidR="00042FC8" w:rsidRPr="00E61EC7" w:rsidRDefault="002A2C48" w:rsidP="00C470FC">
      <w:pPr>
        <w:pStyle w:val="ListBullet"/>
      </w:pPr>
      <w:r w:rsidRPr="007146B2">
        <w:rPr>
          <w:i/>
        </w:rPr>
        <w:t>Ocular SAEs</w:t>
      </w:r>
      <w:r w:rsidRPr="00E61EC7">
        <w:t xml:space="preserve">: 10.9% </w:t>
      </w:r>
      <w:r w:rsidR="005B01D2" w:rsidRPr="00E61EC7">
        <w:t>versus</w:t>
      </w:r>
      <w:r w:rsidRPr="00E61EC7">
        <w:t xml:space="preserve"> 4.0%</w:t>
      </w:r>
      <w:r w:rsidR="00102B5F" w:rsidRPr="00E61EC7">
        <w:t>.</w:t>
      </w:r>
    </w:p>
    <w:p w14:paraId="28D1C840" w14:textId="6414BD86" w:rsidR="00042FC8" w:rsidRPr="00E61EC7" w:rsidRDefault="002A2C48" w:rsidP="00C470FC">
      <w:pPr>
        <w:pStyle w:val="ListBullet"/>
      </w:pPr>
      <w:r w:rsidRPr="007146B2">
        <w:rPr>
          <w:i/>
        </w:rPr>
        <w:t>Adverse events leading to withdrawal from study treatment</w:t>
      </w:r>
      <w:r w:rsidRPr="00E61EC7">
        <w:t xml:space="preserve">: 7.0% </w:t>
      </w:r>
      <w:r w:rsidR="005B01D2" w:rsidRPr="00E61EC7">
        <w:t>versus</w:t>
      </w:r>
      <w:r w:rsidRPr="00E61EC7">
        <w:t xml:space="preserve"> 0.7%</w:t>
      </w:r>
      <w:r w:rsidR="00102B5F" w:rsidRPr="00E61EC7">
        <w:t>.</w:t>
      </w:r>
    </w:p>
    <w:p w14:paraId="12FC1738" w14:textId="1D481485" w:rsidR="00042FC8" w:rsidRPr="00E61EC7" w:rsidRDefault="002A2C48" w:rsidP="00C470FC">
      <w:pPr>
        <w:pStyle w:val="ListBullet"/>
      </w:pPr>
      <w:r w:rsidRPr="007146B2">
        <w:rPr>
          <w:i/>
        </w:rPr>
        <w:t>Intraocular inflammation</w:t>
      </w:r>
      <w:r w:rsidRPr="00E61EC7">
        <w:t>: 11.7</w:t>
      </w:r>
      <w:r w:rsidR="00AA2BE6">
        <w:t>% (15</w:t>
      </w:r>
      <w:r w:rsidR="00907E1A">
        <w:t xml:space="preserve"> out of </w:t>
      </w:r>
      <w:r w:rsidR="00AA2BE6">
        <w:t>128 patients)</w:t>
      </w:r>
      <w:r w:rsidRPr="00E61EC7">
        <w:t xml:space="preserve"> </w:t>
      </w:r>
      <w:r w:rsidR="005B01D2" w:rsidRPr="00E61EC7">
        <w:t>versus</w:t>
      </w:r>
      <w:r w:rsidRPr="00E61EC7">
        <w:t xml:space="preserve"> 0.4%</w:t>
      </w:r>
      <w:r w:rsidR="00AA2BE6">
        <w:t xml:space="preserve"> (5</w:t>
      </w:r>
      <w:r w:rsidR="00907E1A">
        <w:t xml:space="preserve"> out of </w:t>
      </w:r>
      <w:r w:rsidR="00AA2BE6">
        <w:t>1124 patients)</w:t>
      </w:r>
      <w:r w:rsidRPr="00E61EC7">
        <w:t>.</w:t>
      </w:r>
    </w:p>
    <w:p w14:paraId="6C137C42" w14:textId="77777777" w:rsidR="00042FC8" w:rsidRPr="00E61EC7" w:rsidRDefault="002A2C48" w:rsidP="00C470FC">
      <w:r w:rsidRPr="00E61EC7">
        <w:t>The numbers may be too small to draw definite conclusions. A neutralising antibody assay was not conducted.</w:t>
      </w:r>
    </w:p>
    <w:p w14:paraId="71AC2A07" w14:textId="77777777" w:rsidR="008E7846" w:rsidRPr="00E61EC7" w:rsidRDefault="002A2C48" w:rsidP="007B6132">
      <w:pPr>
        <w:pStyle w:val="Heading3"/>
        <w:rPr>
          <w:lang w:eastAsia="en-AU"/>
        </w:rPr>
      </w:pPr>
      <w:bookmarkStart w:id="97" w:name="_Toc314842514"/>
      <w:bookmarkStart w:id="98" w:name="_Toc129701777"/>
      <w:r w:rsidRPr="00E61EC7">
        <w:rPr>
          <w:lang w:eastAsia="en-AU"/>
        </w:rPr>
        <w:t>Risk management plan</w:t>
      </w:r>
      <w:bookmarkEnd w:id="97"/>
      <w:bookmarkEnd w:id="98"/>
    </w:p>
    <w:p w14:paraId="72B6D283" w14:textId="5E83E4C2" w:rsidR="008E5203" w:rsidRPr="00E61EC7" w:rsidRDefault="002A2C48" w:rsidP="00E0115A">
      <w:bookmarkStart w:id="99" w:name="_Toc247691531"/>
      <w:bookmarkStart w:id="100" w:name="_Toc314842515"/>
      <w:bookmarkStart w:id="101" w:name="_Toc196046505"/>
      <w:bookmarkStart w:id="102" w:name="_Toc196046949"/>
      <w:r w:rsidRPr="00E61EC7">
        <w:t>The sponsor has submitted EU-</w:t>
      </w:r>
      <w:r w:rsidR="00E0115A" w:rsidRPr="00E61EC7">
        <w:t>risk management plan (</w:t>
      </w:r>
      <w:r w:rsidRPr="00E61EC7">
        <w:t>RMP</w:t>
      </w:r>
      <w:r w:rsidR="00E0115A" w:rsidRPr="00E61EC7">
        <w:t>)</w:t>
      </w:r>
      <w:r w:rsidRPr="00E61EC7">
        <w:t xml:space="preserve"> version 1.0 (date</w:t>
      </w:r>
      <w:r w:rsidR="00E0115A" w:rsidRPr="00E61EC7">
        <w:t>d</w:t>
      </w:r>
      <w:r w:rsidRPr="00E61EC7">
        <w:t xml:space="preserve"> 19</w:t>
      </w:r>
      <w:r w:rsidR="00E0115A" w:rsidRPr="00E61EC7">
        <w:t> </w:t>
      </w:r>
      <w:r w:rsidRPr="00E61EC7">
        <w:t>May</w:t>
      </w:r>
      <w:r w:rsidR="00E0115A" w:rsidRPr="00E61EC7">
        <w:t> </w:t>
      </w:r>
      <w:r w:rsidRPr="00E61EC7">
        <w:t xml:space="preserve">2021; </w:t>
      </w:r>
      <w:r w:rsidR="00E0115A" w:rsidRPr="00E61EC7">
        <w:t>data lock point (</w:t>
      </w:r>
      <w:r w:rsidRPr="00E61EC7">
        <w:t>DLP</w:t>
      </w:r>
      <w:r w:rsidR="00E0115A" w:rsidRPr="00E61EC7">
        <w:t>)</w:t>
      </w:r>
      <w:r w:rsidRPr="00E61EC7">
        <w:t xml:space="preserve"> 26 October 2020) and</w:t>
      </w:r>
      <w:r w:rsidR="00E0115A" w:rsidRPr="00E61EC7">
        <w:t xml:space="preserve"> Australia specific annex</w:t>
      </w:r>
      <w:r w:rsidRPr="00E61EC7">
        <w:t xml:space="preserve"> </w:t>
      </w:r>
      <w:r w:rsidR="00E0115A" w:rsidRPr="00E61EC7">
        <w:t>(</w:t>
      </w:r>
      <w:r w:rsidRPr="00E61EC7">
        <w:t>ASA</w:t>
      </w:r>
      <w:r w:rsidR="00E0115A" w:rsidRPr="00E61EC7">
        <w:t>)</w:t>
      </w:r>
      <w:r w:rsidRPr="00E61EC7">
        <w:t xml:space="preserve"> version 1.0 (dated 21 June 2021) in support of this </w:t>
      </w:r>
      <w:r w:rsidR="005A61F8" w:rsidRPr="00E61EC7">
        <w:t>submission</w:t>
      </w:r>
      <w:r w:rsidRPr="00E61EC7">
        <w:t xml:space="preserve">. At the second round of evaluation, the sponsor provided draft EU-RMP version 1.1 (no date; DLP 3 September 2021) and ASA version 1.1 (dated 28 January 2022). At the third round of evaluation, the sponsor submitted EU-RMP version 1.1 (dated 4 March </w:t>
      </w:r>
      <w:proofErr w:type="gramStart"/>
      <w:r w:rsidRPr="00E61EC7">
        <w:t>2022;</w:t>
      </w:r>
      <w:proofErr w:type="gramEnd"/>
      <w:r w:rsidRPr="00E61EC7">
        <w:t xml:space="preserve"> DLP 31 October 2021) and ASA version 1.2 (date 30 March 2022). In response to the third round of RMP evaluation report, the sponsor submitted ASA version 1.3 (dated 28 April 2022).</w:t>
      </w:r>
    </w:p>
    <w:p w14:paraId="368583C6" w14:textId="5F94B96C" w:rsidR="00441261" w:rsidRDefault="002A2C48" w:rsidP="0074163C">
      <w:r w:rsidRPr="00E61EC7">
        <w:t xml:space="preserve">The summary of safety concerns and their associated risk monitoring and mitigation strategies are summarised in </w:t>
      </w:r>
      <w:r w:rsidR="00ED6B6F" w:rsidRPr="00E61EC7">
        <w:fldChar w:fldCharType="begin"/>
      </w:r>
      <w:r w:rsidR="00ED6B6F" w:rsidRPr="00E61EC7">
        <w:instrText xml:space="preserve"> REF _Ref97629131 \h </w:instrText>
      </w:r>
      <w:r w:rsidR="00E0115A" w:rsidRPr="00E61EC7">
        <w:instrText xml:space="preserve"> \* MERGEFORMAT </w:instrText>
      </w:r>
      <w:r w:rsidR="00ED6B6F" w:rsidRPr="00E61EC7">
        <w:fldChar w:fldCharType="separate"/>
      </w:r>
      <w:r w:rsidR="001E25B5" w:rsidRPr="00E61EC7">
        <w:t xml:space="preserve">Table </w:t>
      </w:r>
      <w:r w:rsidR="001E25B5">
        <w:rPr>
          <w:noProof/>
        </w:rPr>
        <w:t>25</w:t>
      </w:r>
      <w:r w:rsidR="00ED6B6F" w:rsidRPr="00E61EC7">
        <w:fldChar w:fldCharType="end"/>
      </w:r>
      <w:r w:rsidRPr="00E61EC7">
        <w:t xml:space="preserve">. Further information regarding </w:t>
      </w:r>
      <w:r w:rsidR="00CC5044" w:rsidRPr="00E61EC7">
        <w:t>the TGA</w:t>
      </w:r>
      <w:r w:rsidR="00BF7063" w:rsidRPr="00E61EC7">
        <w:t>’</w:t>
      </w:r>
      <w:r w:rsidR="00CC5044" w:rsidRPr="00E61EC7">
        <w:t>s r</w:t>
      </w:r>
      <w:r w:rsidRPr="00E61EC7">
        <w:t xml:space="preserve">isk management approach can be found in </w:t>
      </w:r>
      <w:hyperlink r:id="rId52" w:history="1">
        <w:r w:rsidRPr="00E61EC7">
          <w:rPr>
            <w:rStyle w:val="Hyperlink"/>
          </w:rPr>
          <w:t>risk management plans for medicines and biologicals</w:t>
        </w:r>
      </w:hyperlink>
      <w:r w:rsidRPr="00E61EC7">
        <w:t xml:space="preserve"> and </w:t>
      </w:r>
      <w:hyperlink r:id="rId53" w:history="1">
        <w:r w:rsidRPr="00E61EC7">
          <w:rPr>
            <w:rStyle w:val="Hyperlink"/>
          </w:rPr>
          <w:t>the TGA's risk management approach</w:t>
        </w:r>
      </w:hyperlink>
      <w:r w:rsidRPr="00E61EC7">
        <w:t>.</w:t>
      </w:r>
      <w:r w:rsidR="00441261">
        <w:br w:type="page"/>
      </w:r>
    </w:p>
    <w:p w14:paraId="3B1D04F1" w14:textId="44BEA08E" w:rsidR="0074163C" w:rsidRPr="00E61EC7" w:rsidRDefault="002A2C48" w:rsidP="0074163C">
      <w:pPr>
        <w:pStyle w:val="TableTitle"/>
      </w:pPr>
      <w:bookmarkStart w:id="103" w:name="_Ref97629131"/>
      <w:r w:rsidRPr="00E61EC7">
        <w:lastRenderedPageBreak/>
        <w:t xml:space="preserve">Table </w:t>
      </w:r>
      <w:r w:rsidR="00C22604" w:rsidRPr="00E61EC7">
        <w:fldChar w:fldCharType="begin"/>
      </w:r>
      <w:r>
        <w:instrText xml:space="preserve"> SEQ Table \* ARABIC </w:instrText>
      </w:r>
      <w:r w:rsidR="00C22604" w:rsidRPr="00E61EC7">
        <w:fldChar w:fldCharType="separate"/>
      </w:r>
      <w:r w:rsidR="001E25B5">
        <w:rPr>
          <w:noProof/>
        </w:rPr>
        <w:t>25</w:t>
      </w:r>
      <w:r w:rsidR="00C22604" w:rsidRPr="00E61EC7">
        <w:rPr>
          <w:noProof/>
        </w:rPr>
        <w:fldChar w:fldCharType="end"/>
      </w:r>
      <w:bookmarkEnd w:id="103"/>
      <w:r w:rsidRPr="00E61EC7">
        <w:t>: Summary of safety concerns</w:t>
      </w:r>
    </w:p>
    <w:tbl>
      <w:tblPr>
        <w:tblStyle w:val="TableTGAblue"/>
        <w:tblW w:w="8354" w:type="dxa"/>
        <w:tblLayout w:type="fixed"/>
        <w:tblLook w:val="04A0" w:firstRow="1" w:lastRow="0" w:firstColumn="1" w:lastColumn="0" w:noHBand="0" w:noVBand="1"/>
      </w:tblPr>
      <w:tblGrid>
        <w:gridCol w:w="1327"/>
        <w:gridCol w:w="2774"/>
        <w:gridCol w:w="992"/>
        <w:gridCol w:w="1134"/>
        <w:gridCol w:w="993"/>
        <w:gridCol w:w="1134"/>
      </w:tblGrid>
      <w:tr w:rsidR="00B0264A" w14:paraId="3153012E" w14:textId="77777777" w:rsidTr="00B0264A">
        <w:trPr>
          <w:cnfStyle w:val="100000000000" w:firstRow="1" w:lastRow="0" w:firstColumn="0" w:lastColumn="0" w:oddVBand="0" w:evenVBand="0" w:oddHBand="0" w:evenHBand="0" w:firstRowFirstColumn="0" w:firstRowLastColumn="0" w:lastRowFirstColumn="0" w:lastRowLastColumn="0"/>
          <w:trHeight w:val="131"/>
        </w:trPr>
        <w:tc>
          <w:tcPr>
            <w:tcW w:w="4101" w:type="dxa"/>
            <w:gridSpan w:val="2"/>
            <w:vMerge w:val="restart"/>
            <w:tcBorders>
              <w:right w:val="single" w:sz="8" w:space="0" w:color="auto"/>
            </w:tcBorders>
          </w:tcPr>
          <w:p w14:paraId="7A04D429" w14:textId="77777777" w:rsidR="008E5203" w:rsidRPr="00E61EC7" w:rsidRDefault="002A2C48" w:rsidP="008E5203">
            <w:pPr>
              <w:pStyle w:val="Tabletext"/>
              <w:ind w:left="0" w:right="0"/>
            </w:pPr>
            <w:r w:rsidRPr="00E61EC7">
              <w:t>Summary of safety concerns</w:t>
            </w:r>
          </w:p>
        </w:tc>
        <w:tc>
          <w:tcPr>
            <w:tcW w:w="2126" w:type="dxa"/>
            <w:gridSpan w:val="2"/>
            <w:tcBorders>
              <w:left w:val="single" w:sz="8" w:space="0" w:color="auto"/>
              <w:right w:val="single" w:sz="8" w:space="0" w:color="auto"/>
            </w:tcBorders>
          </w:tcPr>
          <w:p w14:paraId="264C1C36" w14:textId="77777777" w:rsidR="008E5203" w:rsidRPr="00E61EC7" w:rsidRDefault="002A2C48" w:rsidP="008E5203">
            <w:pPr>
              <w:pStyle w:val="Tabletext"/>
              <w:ind w:left="0" w:right="0"/>
              <w:rPr>
                <w:sz w:val="18"/>
              </w:rPr>
            </w:pPr>
            <w:r w:rsidRPr="00E61EC7">
              <w:rPr>
                <w:sz w:val="18"/>
              </w:rPr>
              <w:t>Pharmacovigilance</w:t>
            </w:r>
          </w:p>
        </w:tc>
        <w:tc>
          <w:tcPr>
            <w:tcW w:w="2127" w:type="dxa"/>
            <w:gridSpan w:val="2"/>
            <w:tcBorders>
              <w:left w:val="single" w:sz="8" w:space="0" w:color="auto"/>
            </w:tcBorders>
          </w:tcPr>
          <w:p w14:paraId="50E30C12" w14:textId="77777777" w:rsidR="008E5203" w:rsidRPr="00E61EC7" w:rsidRDefault="002A2C48" w:rsidP="008E5203">
            <w:pPr>
              <w:pStyle w:val="Tabletext"/>
              <w:ind w:left="0" w:right="0"/>
              <w:rPr>
                <w:sz w:val="18"/>
              </w:rPr>
            </w:pPr>
            <w:r w:rsidRPr="00E61EC7">
              <w:rPr>
                <w:sz w:val="18"/>
              </w:rPr>
              <w:t>Risk Minimisation</w:t>
            </w:r>
          </w:p>
        </w:tc>
      </w:tr>
      <w:tr w:rsidR="00B0264A" w14:paraId="03F3FCD9" w14:textId="77777777" w:rsidTr="00B0264A">
        <w:trPr>
          <w:trHeight w:val="150"/>
        </w:trPr>
        <w:tc>
          <w:tcPr>
            <w:tcW w:w="4101" w:type="dxa"/>
            <w:gridSpan w:val="2"/>
            <w:vMerge/>
            <w:tcBorders>
              <w:right w:val="single" w:sz="8" w:space="0" w:color="auto"/>
            </w:tcBorders>
            <w:shd w:val="clear" w:color="auto" w:fill="006DA7"/>
          </w:tcPr>
          <w:p w14:paraId="5861181A" w14:textId="77777777" w:rsidR="008E5203" w:rsidRPr="00E61EC7" w:rsidRDefault="008E5203" w:rsidP="008E5203">
            <w:pPr>
              <w:pStyle w:val="Tabletext"/>
              <w:ind w:left="0" w:right="0"/>
              <w:rPr>
                <w:b/>
                <w:color w:val="FFFFFF" w:themeColor="background1"/>
              </w:rPr>
            </w:pPr>
          </w:p>
        </w:tc>
        <w:tc>
          <w:tcPr>
            <w:tcW w:w="992" w:type="dxa"/>
            <w:tcBorders>
              <w:left w:val="single" w:sz="8" w:space="0" w:color="auto"/>
            </w:tcBorders>
            <w:shd w:val="clear" w:color="auto" w:fill="006DA7"/>
          </w:tcPr>
          <w:p w14:paraId="1FE687D9" w14:textId="77777777" w:rsidR="008E5203" w:rsidRPr="00E61EC7" w:rsidRDefault="002A2C48" w:rsidP="008E5203">
            <w:pPr>
              <w:pStyle w:val="Tabletext"/>
              <w:ind w:left="0" w:right="0"/>
              <w:rPr>
                <w:b/>
                <w:color w:val="FFFFFF" w:themeColor="background1"/>
                <w:sz w:val="18"/>
              </w:rPr>
            </w:pPr>
            <w:r w:rsidRPr="00E61EC7">
              <w:rPr>
                <w:b/>
                <w:color w:val="FFFFFF" w:themeColor="background1"/>
                <w:sz w:val="18"/>
              </w:rPr>
              <w:t>Routine</w:t>
            </w:r>
          </w:p>
        </w:tc>
        <w:tc>
          <w:tcPr>
            <w:tcW w:w="1134" w:type="dxa"/>
            <w:shd w:val="clear" w:color="auto" w:fill="006DA7"/>
          </w:tcPr>
          <w:p w14:paraId="69F6409C" w14:textId="77777777" w:rsidR="008E5203" w:rsidRPr="00E61EC7" w:rsidRDefault="002A2C48" w:rsidP="008E5203">
            <w:pPr>
              <w:pStyle w:val="Tabletext"/>
              <w:ind w:left="0" w:right="0"/>
              <w:rPr>
                <w:b/>
                <w:color w:val="FFFFFF" w:themeColor="background1"/>
                <w:sz w:val="18"/>
              </w:rPr>
            </w:pPr>
            <w:r w:rsidRPr="00E61EC7">
              <w:rPr>
                <w:b/>
                <w:color w:val="FFFFFF" w:themeColor="background1"/>
                <w:sz w:val="18"/>
              </w:rPr>
              <w:t>Additional</w:t>
            </w:r>
          </w:p>
        </w:tc>
        <w:tc>
          <w:tcPr>
            <w:tcW w:w="993" w:type="dxa"/>
            <w:shd w:val="clear" w:color="auto" w:fill="006DA7"/>
          </w:tcPr>
          <w:p w14:paraId="27198407" w14:textId="77777777" w:rsidR="008E5203" w:rsidRPr="00E61EC7" w:rsidRDefault="002A2C48" w:rsidP="008E5203">
            <w:pPr>
              <w:pStyle w:val="Tabletext"/>
              <w:ind w:left="0" w:right="0"/>
              <w:rPr>
                <w:b/>
                <w:color w:val="FFFFFF" w:themeColor="background1"/>
                <w:sz w:val="18"/>
              </w:rPr>
            </w:pPr>
            <w:r w:rsidRPr="00E61EC7">
              <w:rPr>
                <w:b/>
                <w:color w:val="FFFFFF" w:themeColor="background1"/>
                <w:sz w:val="18"/>
              </w:rPr>
              <w:t>Routine</w:t>
            </w:r>
          </w:p>
        </w:tc>
        <w:tc>
          <w:tcPr>
            <w:tcW w:w="1134" w:type="dxa"/>
            <w:shd w:val="clear" w:color="auto" w:fill="006DA7"/>
          </w:tcPr>
          <w:p w14:paraId="18EAD4D7" w14:textId="77777777" w:rsidR="008E5203" w:rsidRPr="00E61EC7" w:rsidRDefault="002A2C48" w:rsidP="008E5203">
            <w:pPr>
              <w:pStyle w:val="Tabletext"/>
              <w:ind w:left="0" w:right="0"/>
              <w:rPr>
                <w:b/>
                <w:color w:val="FFFFFF" w:themeColor="background1"/>
                <w:sz w:val="18"/>
              </w:rPr>
            </w:pPr>
            <w:r w:rsidRPr="00E61EC7">
              <w:rPr>
                <w:b/>
                <w:color w:val="FFFFFF" w:themeColor="background1"/>
                <w:sz w:val="18"/>
              </w:rPr>
              <w:t>Additional</w:t>
            </w:r>
          </w:p>
        </w:tc>
      </w:tr>
      <w:tr w:rsidR="00B0264A" w14:paraId="0484AF39" w14:textId="77777777" w:rsidTr="00B0264A">
        <w:trPr>
          <w:trHeight w:val="137"/>
        </w:trPr>
        <w:tc>
          <w:tcPr>
            <w:tcW w:w="1327" w:type="dxa"/>
            <w:vMerge w:val="restart"/>
          </w:tcPr>
          <w:p w14:paraId="4237C1E9" w14:textId="77777777" w:rsidR="008E5203" w:rsidRPr="00E61EC7" w:rsidRDefault="002A2C48" w:rsidP="008E5203">
            <w:pPr>
              <w:pStyle w:val="Tabletext"/>
              <w:ind w:left="0" w:right="0"/>
              <w:rPr>
                <w:b/>
              </w:rPr>
            </w:pPr>
            <w:r w:rsidRPr="00E61EC7">
              <w:rPr>
                <w:b/>
              </w:rPr>
              <w:t>Important identified risks</w:t>
            </w:r>
          </w:p>
        </w:tc>
        <w:tc>
          <w:tcPr>
            <w:tcW w:w="2774" w:type="dxa"/>
          </w:tcPr>
          <w:p w14:paraId="7016E082" w14:textId="77777777" w:rsidR="008E5203" w:rsidRPr="00E61EC7" w:rsidRDefault="002A2C48" w:rsidP="008E5203">
            <w:pPr>
              <w:pStyle w:val="Tabletext"/>
              <w:ind w:left="0" w:right="0"/>
            </w:pPr>
            <w:r w:rsidRPr="00E61EC7">
              <w:t>Infectious endophthalmitis</w:t>
            </w:r>
          </w:p>
        </w:tc>
        <w:tc>
          <w:tcPr>
            <w:tcW w:w="992" w:type="dxa"/>
          </w:tcPr>
          <w:p w14:paraId="38AFC567" w14:textId="77777777" w:rsidR="008E5203" w:rsidRPr="00E61EC7" w:rsidRDefault="002A2C48" w:rsidP="008E5203">
            <w:pPr>
              <w:pStyle w:val="Tabletext"/>
              <w:ind w:left="0" w:right="0"/>
              <w:jc w:val="center"/>
            </w:pPr>
            <w:r w:rsidRPr="00E61EC7">
              <w:rPr>
                <w:rFonts w:ascii="Wingdings" w:hAnsi="Wingdings"/>
              </w:rPr>
              <w:sym w:font="Wingdings" w:char="F0FC"/>
            </w:r>
            <w:r w:rsidRPr="00E61EC7">
              <w:t>*</w:t>
            </w:r>
          </w:p>
        </w:tc>
        <w:tc>
          <w:tcPr>
            <w:tcW w:w="1134" w:type="dxa"/>
          </w:tcPr>
          <w:p w14:paraId="4A34C2BB" w14:textId="77777777" w:rsidR="008E5203" w:rsidRPr="00E61EC7" w:rsidRDefault="002A2C48" w:rsidP="008E5203">
            <w:pPr>
              <w:pStyle w:val="Tabletext"/>
              <w:ind w:left="0" w:right="0"/>
              <w:jc w:val="center"/>
            </w:pPr>
            <w:r w:rsidRPr="00E61EC7">
              <w:rPr>
                <w:rFonts w:ascii="Wingdings" w:hAnsi="Wingdings"/>
              </w:rPr>
              <w:sym w:font="Wingdings" w:char="F0FC"/>
            </w:r>
          </w:p>
        </w:tc>
        <w:tc>
          <w:tcPr>
            <w:tcW w:w="993" w:type="dxa"/>
          </w:tcPr>
          <w:p w14:paraId="651F5041" w14:textId="77777777" w:rsidR="008E5203" w:rsidRPr="00E61EC7" w:rsidRDefault="002A2C48" w:rsidP="008E5203">
            <w:pPr>
              <w:pStyle w:val="Tabletext"/>
              <w:ind w:left="0" w:right="0"/>
              <w:jc w:val="center"/>
            </w:pPr>
            <w:r w:rsidRPr="00E61EC7">
              <w:rPr>
                <w:rFonts w:ascii="Wingdings" w:hAnsi="Wingdings"/>
              </w:rPr>
              <w:sym w:font="Wingdings" w:char="F0FC"/>
            </w:r>
          </w:p>
        </w:tc>
        <w:tc>
          <w:tcPr>
            <w:tcW w:w="1134" w:type="dxa"/>
          </w:tcPr>
          <w:p w14:paraId="7D56C306" w14:textId="77777777" w:rsidR="008E5203" w:rsidRPr="00E61EC7" w:rsidRDefault="002A2C48" w:rsidP="008E5203">
            <w:pPr>
              <w:pStyle w:val="Tabletext"/>
              <w:ind w:left="0" w:right="0"/>
              <w:jc w:val="center"/>
            </w:pPr>
            <w:r w:rsidRPr="00E61EC7">
              <w:rPr>
                <w:rFonts w:ascii="Wingdings" w:hAnsi="Wingdings"/>
              </w:rPr>
              <w:sym w:font="Wingdings" w:char="F0FC"/>
            </w:r>
            <w:r w:rsidRPr="00E61EC7">
              <w:t>†</w:t>
            </w:r>
          </w:p>
        </w:tc>
      </w:tr>
      <w:tr w:rsidR="00B0264A" w14:paraId="2B1D7907" w14:textId="77777777" w:rsidTr="00B0264A">
        <w:trPr>
          <w:trHeight w:val="187"/>
        </w:trPr>
        <w:tc>
          <w:tcPr>
            <w:tcW w:w="1327" w:type="dxa"/>
            <w:vMerge/>
          </w:tcPr>
          <w:p w14:paraId="7142E2DD" w14:textId="77777777" w:rsidR="008E5203" w:rsidRPr="00E61EC7" w:rsidRDefault="008E5203" w:rsidP="008E5203">
            <w:pPr>
              <w:pStyle w:val="Tabletext"/>
              <w:ind w:left="0" w:right="0"/>
              <w:rPr>
                <w:b/>
              </w:rPr>
            </w:pPr>
          </w:p>
        </w:tc>
        <w:tc>
          <w:tcPr>
            <w:tcW w:w="2774" w:type="dxa"/>
          </w:tcPr>
          <w:p w14:paraId="2E062B3A" w14:textId="77777777" w:rsidR="008E5203" w:rsidRPr="00E61EC7" w:rsidRDefault="002A2C48" w:rsidP="008E5203">
            <w:pPr>
              <w:pStyle w:val="Tabletext"/>
              <w:ind w:left="0" w:right="0"/>
            </w:pPr>
            <w:r w:rsidRPr="00E61EC7">
              <w:t>Intraocular inflammation</w:t>
            </w:r>
          </w:p>
        </w:tc>
        <w:tc>
          <w:tcPr>
            <w:tcW w:w="992" w:type="dxa"/>
          </w:tcPr>
          <w:p w14:paraId="3DB51C1F" w14:textId="77777777" w:rsidR="008E5203" w:rsidRPr="00E61EC7" w:rsidRDefault="002A2C48" w:rsidP="008E5203">
            <w:pPr>
              <w:pStyle w:val="Tabletext"/>
              <w:ind w:left="0" w:right="0"/>
              <w:jc w:val="center"/>
            </w:pPr>
            <w:r w:rsidRPr="00E61EC7">
              <w:rPr>
                <w:rFonts w:ascii="Wingdings" w:hAnsi="Wingdings"/>
              </w:rPr>
              <w:sym w:font="Wingdings" w:char="F0FC"/>
            </w:r>
            <w:r w:rsidRPr="00E61EC7">
              <w:t>*</w:t>
            </w:r>
          </w:p>
        </w:tc>
        <w:tc>
          <w:tcPr>
            <w:tcW w:w="1134" w:type="dxa"/>
          </w:tcPr>
          <w:p w14:paraId="6804B91C" w14:textId="77777777" w:rsidR="008E5203" w:rsidRPr="00E61EC7" w:rsidRDefault="002A2C48" w:rsidP="008E5203">
            <w:pPr>
              <w:pStyle w:val="Tabletext"/>
              <w:ind w:left="0" w:right="0"/>
              <w:jc w:val="center"/>
            </w:pPr>
            <w:r w:rsidRPr="00E61EC7">
              <w:rPr>
                <w:rFonts w:ascii="Wingdings" w:hAnsi="Wingdings"/>
              </w:rPr>
              <w:sym w:font="Wingdings" w:char="F0FC"/>
            </w:r>
          </w:p>
        </w:tc>
        <w:tc>
          <w:tcPr>
            <w:tcW w:w="993" w:type="dxa"/>
          </w:tcPr>
          <w:p w14:paraId="183E5DF0" w14:textId="77777777" w:rsidR="008E5203" w:rsidRPr="00E61EC7" w:rsidRDefault="002A2C48" w:rsidP="008E5203">
            <w:pPr>
              <w:pStyle w:val="Tabletext"/>
              <w:ind w:left="0" w:right="0"/>
              <w:jc w:val="center"/>
            </w:pPr>
            <w:r w:rsidRPr="00E61EC7">
              <w:rPr>
                <w:rFonts w:ascii="Wingdings" w:hAnsi="Wingdings"/>
              </w:rPr>
              <w:sym w:font="Wingdings" w:char="F0FC"/>
            </w:r>
          </w:p>
        </w:tc>
        <w:tc>
          <w:tcPr>
            <w:tcW w:w="1134" w:type="dxa"/>
          </w:tcPr>
          <w:p w14:paraId="2BA66FD8" w14:textId="77777777" w:rsidR="008E5203" w:rsidRPr="00E61EC7" w:rsidRDefault="002A2C48" w:rsidP="008E5203">
            <w:pPr>
              <w:pStyle w:val="Tabletext"/>
              <w:ind w:left="0" w:right="0"/>
              <w:jc w:val="center"/>
            </w:pPr>
            <w:r w:rsidRPr="00E61EC7">
              <w:rPr>
                <w:rFonts w:ascii="Wingdings" w:hAnsi="Wingdings"/>
              </w:rPr>
              <w:sym w:font="Wingdings" w:char="F0FC"/>
            </w:r>
            <w:r w:rsidRPr="00E61EC7">
              <w:t>†</w:t>
            </w:r>
          </w:p>
        </w:tc>
      </w:tr>
      <w:tr w:rsidR="00B0264A" w14:paraId="44E92AA6" w14:textId="77777777" w:rsidTr="00B0264A">
        <w:trPr>
          <w:trHeight w:val="187"/>
        </w:trPr>
        <w:tc>
          <w:tcPr>
            <w:tcW w:w="1327" w:type="dxa"/>
            <w:vMerge/>
          </w:tcPr>
          <w:p w14:paraId="24B8C6EE" w14:textId="77777777" w:rsidR="008E5203" w:rsidRPr="00E61EC7" w:rsidRDefault="008E5203" w:rsidP="008E5203">
            <w:pPr>
              <w:pStyle w:val="Tabletext"/>
              <w:ind w:left="0" w:right="0"/>
              <w:rPr>
                <w:b/>
              </w:rPr>
            </w:pPr>
          </w:p>
        </w:tc>
        <w:tc>
          <w:tcPr>
            <w:tcW w:w="2774" w:type="dxa"/>
          </w:tcPr>
          <w:p w14:paraId="5FB45394" w14:textId="77777777" w:rsidR="008E5203" w:rsidRPr="00E61EC7" w:rsidRDefault="002A2C48" w:rsidP="008E5203">
            <w:pPr>
              <w:pStyle w:val="Tabletext"/>
              <w:ind w:left="0" w:right="0"/>
            </w:pPr>
            <w:r w:rsidRPr="00E61EC7">
              <w:t>Retinal tear/detachment (ASA only)</w:t>
            </w:r>
          </w:p>
        </w:tc>
        <w:tc>
          <w:tcPr>
            <w:tcW w:w="992" w:type="dxa"/>
          </w:tcPr>
          <w:p w14:paraId="23F73AAC" w14:textId="77777777" w:rsidR="008E5203" w:rsidRPr="00E61EC7" w:rsidRDefault="002A2C48" w:rsidP="008E5203">
            <w:pPr>
              <w:pStyle w:val="Tabletext"/>
              <w:ind w:left="0" w:right="0"/>
              <w:jc w:val="center"/>
            </w:pPr>
            <w:r w:rsidRPr="00E61EC7">
              <w:t>–</w:t>
            </w:r>
          </w:p>
        </w:tc>
        <w:tc>
          <w:tcPr>
            <w:tcW w:w="1134" w:type="dxa"/>
          </w:tcPr>
          <w:p w14:paraId="5E928D28" w14:textId="77777777" w:rsidR="008E5203" w:rsidRPr="00E61EC7" w:rsidRDefault="002A2C48" w:rsidP="008E5203">
            <w:pPr>
              <w:pStyle w:val="Tabletext"/>
              <w:ind w:left="0" w:right="0"/>
              <w:jc w:val="center"/>
            </w:pPr>
            <w:r w:rsidRPr="00E61EC7">
              <w:t>–</w:t>
            </w:r>
          </w:p>
        </w:tc>
        <w:tc>
          <w:tcPr>
            <w:tcW w:w="993" w:type="dxa"/>
          </w:tcPr>
          <w:p w14:paraId="373E2BF8" w14:textId="77777777" w:rsidR="008E5203" w:rsidRPr="00E61EC7" w:rsidRDefault="002A2C48" w:rsidP="008E5203">
            <w:pPr>
              <w:pStyle w:val="Tabletext"/>
              <w:ind w:left="0" w:right="0"/>
              <w:jc w:val="center"/>
            </w:pPr>
            <w:r w:rsidRPr="00E61EC7">
              <w:rPr>
                <w:rFonts w:ascii="Wingdings" w:hAnsi="Wingdings"/>
              </w:rPr>
              <w:sym w:font="Wingdings" w:char="F0FC"/>
            </w:r>
          </w:p>
        </w:tc>
        <w:tc>
          <w:tcPr>
            <w:tcW w:w="1134" w:type="dxa"/>
          </w:tcPr>
          <w:p w14:paraId="6729AD45" w14:textId="77777777" w:rsidR="008E5203" w:rsidRPr="00E61EC7" w:rsidRDefault="002A2C48" w:rsidP="008E5203">
            <w:pPr>
              <w:pStyle w:val="Tabletext"/>
              <w:ind w:left="0" w:right="0"/>
              <w:jc w:val="center"/>
            </w:pPr>
            <w:r w:rsidRPr="00E61EC7">
              <w:rPr>
                <w:rFonts w:ascii="Wingdings" w:hAnsi="Wingdings"/>
              </w:rPr>
              <w:sym w:font="Wingdings" w:char="F0FC"/>
            </w:r>
            <w:r w:rsidRPr="00E61EC7">
              <w:t>†</w:t>
            </w:r>
          </w:p>
        </w:tc>
      </w:tr>
      <w:tr w:rsidR="00B0264A" w14:paraId="28DEC4D6" w14:textId="77777777" w:rsidTr="00B0264A">
        <w:trPr>
          <w:trHeight w:val="187"/>
        </w:trPr>
        <w:tc>
          <w:tcPr>
            <w:tcW w:w="1327" w:type="dxa"/>
          </w:tcPr>
          <w:p w14:paraId="40160270" w14:textId="77777777" w:rsidR="008E5203" w:rsidRPr="00E61EC7" w:rsidRDefault="002A2C48" w:rsidP="008E5203">
            <w:pPr>
              <w:pStyle w:val="Tabletext"/>
              <w:ind w:left="0" w:right="0"/>
              <w:rPr>
                <w:b/>
              </w:rPr>
            </w:pPr>
            <w:r w:rsidRPr="00E61EC7">
              <w:rPr>
                <w:b/>
              </w:rPr>
              <w:t>Important potential risks</w:t>
            </w:r>
          </w:p>
        </w:tc>
        <w:tc>
          <w:tcPr>
            <w:tcW w:w="2774" w:type="dxa"/>
          </w:tcPr>
          <w:p w14:paraId="27685E40" w14:textId="77777777" w:rsidR="008E5203" w:rsidRPr="00E61EC7" w:rsidRDefault="002A2C48" w:rsidP="008E5203">
            <w:pPr>
              <w:pStyle w:val="Tabletext"/>
              <w:ind w:left="0" w:right="0"/>
            </w:pPr>
            <w:r w:rsidRPr="00E61EC7">
              <w:t>None</w:t>
            </w:r>
          </w:p>
        </w:tc>
        <w:tc>
          <w:tcPr>
            <w:tcW w:w="992" w:type="dxa"/>
          </w:tcPr>
          <w:p w14:paraId="69F495BD" w14:textId="77777777" w:rsidR="008E5203" w:rsidRPr="00E61EC7" w:rsidRDefault="002A2C48" w:rsidP="008E5203">
            <w:pPr>
              <w:pStyle w:val="Tabletext"/>
              <w:ind w:left="0" w:right="0"/>
              <w:jc w:val="center"/>
            </w:pPr>
            <w:r w:rsidRPr="00E61EC7">
              <w:t>–</w:t>
            </w:r>
          </w:p>
        </w:tc>
        <w:tc>
          <w:tcPr>
            <w:tcW w:w="1134" w:type="dxa"/>
          </w:tcPr>
          <w:p w14:paraId="6721615A" w14:textId="77777777" w:rsidR="008E5203" w:rsidRPr="00E61EC7" w:rsidRDefault="002A2C48" w:rsidP="008E5203">
            <w:pPr>
              <w:pStyle w:val="Tabletext"/>
              <w:ind w:left="0" w:right="0"/>
              <w:jc w:val="center"/>
            </w:pPr>
            <w:r w:rsidRPr="00E61EC7">
              <w:t>–</w:t>
            </w:r>
          </w:p>
        </w:tc>
        <w:tc>
          <w:tcPr>
            <w:tcW w:w="993" w:type="dxa"/>
          </w:tcPr>
          <w:p w14:paraId="06A0B6E8" w14:textId="77777777" w:rsidR="008E5203" w:rsidRPr="00E61EC7" w:rsidRDefault="002A2C48" w:rsidP="008E5203">
            <w:pPr>
              <w:pStyle w:val="Tabletext"/>
              <w:ind w:left="0" w:right="0"/>
              <w:jc w:val="center"/>
            </w:pPr>
            <w:r w:rsidRPr="00E61EC7">
              <w:t>–</w:t>
            </w:r>
          </w:p>
        </w:tc>
        <w:tc>
          <w:tcPr>
            <w:tcW w:w="1134" w:type="dxa"/>
          </w:tcPr>
          <w:p w14:paraId="5E958366" w14:textId="77777777" w:rsidR="008E5203" w:rsidRPr="00E61EC7" w:rsidRDefault="002A2C48" w:rsidP="008E5203">
            <w:pPr>
              <w:pStyle w:val="Tabletext"/>
              <w:ind w:left="0" w:right="0"/>
              <w:jc w:val="center"/>
            </w:pPr>
            <w:r w:rsidRPr="00E61EC7">
              <w:t>–</w:t>
            </w:r>
          </w:p>
        </w:tc>
      </w:tr>
      <w:tr w:rsidR="00B0264A" w14:paraId="52E2C142" w14:textId="77777777" w:rsidTr="00B0264A">
        <w:trPr>
          <w:trHeight w:val="187"/>
        </w:trPr>
        <w:tc>
          <w:tcPr>
            <w:tcW w:w="1327" w:type="dxa"/>
          </w:tcPr>
          <w:p w14:paraId="053204FC" w14:textId="77777777" w:rsidR="008E5203" w:rsidRPr="00E61EC7" w:rsidRDefault="002A2C48" w:rsidP="008E5203">
            <w:pPr>
              <w:pStyle w:val="Tabletext"/>
              <w:ind w:left="0" w:right="0"/>
              <w:rPr>
                <w:b/>
              </w:rPr>
            </w:pPr>
            <w:r w:rsidRPr="00E61EC7">
              <w:rPr>
                <w:b/>
              </w:rPr>
              <w:t>Missing information</w:t>
            </w:r>
          </w:p>
        </w:tc>
        <w:tc>
          <w:tcPr>
            <w:tcW w:w="2774" w:type="dxa"/>
          </w:tcPr>
          <w:p w14:paraId="6AF5F6B6" w14:textId="49A1BED7" w:rsidR="008E5203" w:rsidRPr="00E61EC7" w:rsidRDefault="002A2C48" w:rsidP="008E5203">
            <w:pPr>
              <w:pStyle w:val="Tabletext"/>
              <w:ind w:left="0" w:right="0"/>
            </w:pPr>
            <w:r w:rsidRPr="00E61EC7">
              <w:t>Long</w:t>
            </w:r>
            <w:r w:rsidR="00CC16D0" w:rsidRPr="00E61EC7">
              <w:t>-</w:t>
            </w:r>
            <w:r w:rsidRPr="00E61EC7">
              <w:t>term safety</w:t>
            </w:r>
          </w:p>
        </w:tc>
        <w:tc>
          <w:tcPr>
            <w:tcW w:w="992" w:type="dxa"/>
          </w:tcPr>
          <w:p w14:paraId="790682AC" w14:textId="77777777" w:rsidR="008E5203" w:rsidRPr="00E61EC7" w:rsidRDefault="002A2C48" w:rsidP="008E5203">
            <w:pPr>
              <w:pStyle w:val="Tabletext"/>
              <w:ind w:left="0" w:right="0"/>
              <w:jc w:val="center"/>
            </w:pPr>
            <w:r w:rsidRPr="00E61EC7">
              <w:rPr>
                <w:rFonts w:ascii="Wingdings" w:hAnsi="Wingdings"/>
              </w:rPr>
              <w:sym w:font="Wingdings" w:char="F0FC"/>
            </w:r>
          </w:p>
        </w:tc>
        <w:tc>
          <w:tcPr>
            <w:tcW w:w="1134" w:type="dxa"/>
          </w:tcPr>
          <w:p w14:paraId="09D009AF" w14:textId="77777777" w:rsidR="008E5203" w:rsidRPr="00E61EC7" w:rsidRDefault="002A2C48" w:rsidP="008E5203">
            <w:pPr>
              <w:pStyle w:val="Tabletext"/>
              <w:ind w:left="0" w:right="0"/>
              <w:jc w:val="center"/>
            </w:pPr>
            <w:r w:rsidRPr="00E61EC7">
              <w:rPr>
                <w:rFonts w:ascii="Wingdings" w:hAnsi="Wingdings"/>
              </w:rPr>
              <w:sym w:font="Wingdings" w:char="F0FC"/>
            </w:r>
            <w:r w:rsidRPr="00E61EC7">
              <w:t>‡</w:t>
            </w:r>
          </w:p>
        </w:tc>
        <w:tc>
          <w:tcPr>
            <w:tcW w:w="993" w:type="dxa"/>
          </w:tcPr>
          <w:p w14:paraId="0D10222B" w14:textId="77777777" w:rsidR="008E5203" w:rsidRPr="00E61EC7" w:rsidRDefault="002A2C48" w:rsidP="008E5203">
            <w:pPr>
              <w:pStyle w:val="Tabletext"/>
              <w:ind w:left="0" w:right="0"/>
              <w:jc w:val="center"/>
            </w:pPr>
            <w:r w:rsidRPr="00E61EC7">
              <w:t>–</w:t>
            </w:r>
          </w:p>
        </w:tc>
        <w:tc>
          <w:tcPr>
            <w:tcW w:w="1134" w:type="dxa"/>
          </w:tcPr>
          <w:p w14:paraId="3EFB89D0" w14:textId="77777777" w:rsidR="008E5203" w:rsidRPr="00E61EC7" w:rsidRDefault="002A2C48" w:rsidP="008E5203">
            <w:pPr>
              <w:pStyle w:val="Tabletext"/>
              <w:ind w:left="0" w:right="0"/>
              <w:jc w:val="center"/>
            </w:pPr>
            <w:r w:rsidRPr="00E61EC7">
              <w:t>–</w:t>
            </w:r>
          </w:p>
        </w:tc>
      </w:tr>
    </w:tbl>
    <w:p w14:paraId="601CF2DE" w14:textId="77777777" w:rsidR="008E5203" w:rsidRPr="00E61EC7" w:rsidRDefault="002A2C48" w:rsidP="008E5203">
      <w:pPr>
        <w:pStyle w:val="TableDescription"/>
      </w:pPr>
      <w:r w:rsidRPr="00E61EC7">
        <w:t>* Follow up questionnaires</w:t>
      </w:r>
    </w:p>
    <w:p w14:paraId="519E0C15" w14:textId="77777777" w:rsidR="008E5203" w:rsidRPr="00E61EC7" w:rsidRDefault="002A2C48" w:rsidP="008E5203">
      <w:pPr>
        <w:pStyle w:val="TableDescription"/>
      </w:pPr>
      <w:r w:rsidRPr="00E61EC7">
        <w:t>† Patient/Carer Guide</w:t>
      </w:r>
    </w:p>
    <w:p w14:paraId="0AA45AC6" w14:textId="72F86762" w:rsidR="008E5203" w:rsidRPr="00E61EC7" w:rsidRDefault="002A2C48" w:rsidP="008E5203">
      <w:pPr>
        <w:pStyle w:val="TableDescription"/>
      </w:pPr>
      <w:r w:rsidRPr="00E61EC7">
        <w:t xml:space="preserve">‡ Study GR42691 and </w:t>
      </w:r>
      <w:r w:rsidR="00796D18">
        <w:t>S</w:t>
      </w:r>
      <w:r w:rsidRPr="00E61EC7">
        <w:t>tudy GR41987</w:t>
      </w:r>
    </w:p>
    <w:p w14:paraId="5E3B17C6" w14:textId="6471BF55" w:rsidR="008E5203" w:rsidRPr="00E61EC7" w:rsidRDefault="002A2C48" w:rsidP="008E5203">
      <w:pPr>
        <w:pStyle w:val="ListBullet"/>
      </w:pPr>
      <w:r w:rsidRPr="00E61EC7">
        <w:t xml:space="preserve">The summary of safety concerns aligns with the EU-RMP, however the sponsor at </w:t>
      </w:r>
      <w:r w:rsidR="00102B5F" w:rsidRPr="00E61EC7">
        <w:t xml:space="preserve">the first </w:t>
      </w:r>
      <w:r w:rsidRPr="00E61EC7">
        <w:t xml:space="preserve">round </w:t>
      </w:r>
      <w:r w:rsidR="00102B5F" w:rsidRPr="00E61EC7">
        <w:t>of evaluation</w:t>
      </w:r>
      <w:r w:rsidRPr="00E61EC7">
        <w:t xml:space="preserve"> is requested to include the important identified risks of ‘retinal tear/detachment’ and ‘hypersensitivity and immunogenicity’ to the summary of safety concerns. This recommendation remains outstanding at </w:t>
      </w:r>
      <w:r w:rsidR="00102B5F" w:rsidRPr="00E61EC7">
        <w:t xml:space="preserve">the second </w:t>
      </w:r>
      <w:r w:rsidRPr="00E61EC7">
        <w:t xml:space="preserve">round </w:t>
      </w:r>
      <w:r w:rsidR="00102B5F" w:rsidRPr="00E61EC7">
        <w:t>of evaluation</w:t>
      </w:r>
      <w:r w:rsidRPr="00E61EC7">
        <w:t xml:space="preserve">, and the sponsor is again asked to add ‘retinal detachment/tear’ to the safety specification. As changes to the PI relating to ‘hypersensitivity and immunogenicity’ have mitigated this risk, it is acceptable from an RMP perspective not to include this safety concern. At </w:t>
      </w:r>
      <w:r w:rsidR="00102B5F" w:rsidRPr="00E61EC7">
        <w:t xml:space="preserve">the second </w:t>
      </w:r>
      <w:r w:rsidRPr="00E61EC7">
        <w:t xml:space="preserve">round </w:t>
      </w:r>
      <w:r w:rsidR="00102B5F" w:rsidRPr="00E61EC7">
        <w:t>of evaluation,</w:t>
      </w:r>
      <w:r w:rsidRPr="00E61EC7">
        <w:t xml:space="preserve"> the sponsor has responded to </w:t>
      </w:r>
      <w:r w:rsidR="00624B51" w:rsidRPr="00E61EC7">
        <w:t xml:space="preserve">questions from the </w:t>
      </w:r>
      <w:r w:rsidRPr="00E61EC7">
        <w:t>clinical evaluat</w:t>
      </w:r>
      <w:r w:rsidR="00624B51" w:rsidRPr="00E61EC7">
        <w:t>ion</w:t>
      </w:r>
      <w:r w:rsidRPr="00E61EC7">
        <w:t xml:space="preserve">, which are relevant to the RMP, and changes have been made to the </w:t>
      </w:r>
      <w:r w:rsidR="00796D18">
        <w:t>S</w:t>
      </w:r>
      <w:r w:rsidR="00DB7EAB" w:rsidRPr="00E61EC7">
        <w:t xml:space="preserve">ummary of </w:t>
      </w:r>
      <w:r w:rsidR="00796D18">
        <w:t>P</w:t>
      </w:r>
      <w:r w:rsidR="00DB7EAB" w:rsidRPr="00E61EC7">
        <w:t xml:space="preserve">roduct </w:t>
      </w:r>
      <w:r w:rsidR="00796D18">
        <w:t>C</w:t>
      </w:r>
      <w:r w:rsidR="00DB7EAB" w:rsidRPr="00E61EC7">
        <w:t>haracteristics (</w:t>
      </w:r>
      <w:r w:rsidRPr="00E61EC7">
        <w:t>SmPC</w:t>
      </w:r>
      <w:r w:rsidR="00DB7EAB" w:rsidRPr="00E61EC7">
        <w:t>)</w:t>
      </w:r>
      <w:r w:rsidRPr="00E61EC7">
        <w:t xml:space="preserve"> and PI. At </w:t>
      </w:r>
      <w:r w:rsidR="00102B5F" w:rsidRPr="00E61EC7">
        <w:t xml:space="preserve">the third </w:t>
      </w:r>
      <w:r w:rsidRPr="00E61EC7">
        <w:t xml:space="preserve">round </w:t>
      </w:r>
      <w:r w:rsidR="00102B5F" w:rsidRPr="00E61EC7">
        <w:t xml:space="preserve">of </w:t>
      </w:r>
      <w:r w:rsidR="00624B51" w:rsidRPr="00E61EC7">
        <w:t>evaluation</w:t>
      </w:r>
      <w:r w:rsidRPr="00E61EC7">
        <w:t>, the sponsor has added the missing information ‘long</w:t>
      </w:r>
      <w:r w:rsidR="00CC16D0" w:rsidRPr="00E61EC7">
        <w:t>-</w:t>
      </w:r>
      <w:r w:rsidRPr="00E61EC7">
        <w:t>term safety’ to the ASA to align with the EU-</w:t>
      </w:r>
      <w:proofErr w:type="gramStart"/>
      <w:r w:rsidRPr="00E61EC7">
        <w:t>RMP, and</w:t>
      </w:r>
      <w:proofErr w:type="gramEnd"/>
      <w:r w:rsidRPr="00E61EC7">
        <w:t xml:space="preserve"> added the important identified risk of ‘retinal detachment/tear’ to the summary of safety concerns as requested. The summary of safety concerns is acceptable.</w:t>
      </w:r>
    </w:p>
    <w:p w14:paraId="1C0BE977" w14:textId="5BE0049E" w:rsidR="008E5203" w:rsidRPr="00E61EC7" w:rsidRDefault="002A2C48" w:rsidP="008E5203">
      <w:pPr>
        <w:pStyle w:val="ListBullet"/>
      </w:pPr>
      <w:r w:rsidRPr="00E61EC7">
        <w:t xml:space="preserve">Routine pharmacovigilance is proposed for all safety concerns. At </w:t>
      </w:r>
      <w:r w:rsidR="00102B5F" w:rsidRPr="00E61EC7">
        <w:t xml:space="preserve">the second </w:t>
      </w:r>
      <w:r w:rsidRPr="00E61EC7">
        <w:t xml:space="preserve">round </w:t>
      </w:r>
      <w:r w:rsidR="00102B5F" w:rsidRPr="00E61EC7">
        <w:t>of evaluation,</w:t>
      </w:r>
      <w:r w:rsidRPr="00E61EC7">
        <w:t xml:space="preserve"> the sponsor has included follow-up questionnaires as a routine pharmacovigilance activity in the EU-RMP and ASA. A planned EU only activity to evaluate the effectiveness of risk minimisation materials has been removed from the EU-RMP, and two open label extension studies have been added. At </w:t>
      </w:r>
      <w:r w:rsidR="00102B5F" w:rsidRPr="00E61EC7">
        <w:t xml:space="preserve">the third </w:t>
      </w:r>
      <w:r w:rsidRPr="00E61EC7">
        <w:t xml:space="preserve">round </w:t>
      </w:r>
      <w:r w:rsidR="00102B5F" w:rsidRPr="00E61EC7">
        <w:t>of evaluation</w:t>
      </w:r>
      <w:r w:rsidRPr="00E61EC7">
        <w:t xml:space="preserve">, the sponsor has added these studies to the ASA as requested. However, there are administrative errors in the pharmacovigilance plan in the ASA, and these should be corrected with the next RMP update. The pharmacovigilance plan is acceptable, subject to administrative corrections to the ASA that the sponsor is instructed to make. In response to the </w:t>
      </w:r>
      <w:r w:rsidR="00102B5F" w:rsidRPr="00E61EC7">
        <w:t xml:space="preserve">third </w:t>
      </w:r>
      <w:r w:rsidRPr="00E61EC7">
        <w:t xml:space="preserve">round </w:t>
      </w:r>
      <w:r w:rsidR="00102B5F" w:rsidRPr="00E61EC7">
        <w:t xml:space="preserve">of </w:t>
      </w:r>
      <w:r w:rsidRPr="00E61EC7">
        <w:t>RMP evaluation report</w:t>
      </w:r>
      <w:r w:rsidR="00102B5F" w:rsidRPr="00E61EC7">
        <w:t>,</w:t>
      </w:r>
      <w:r w:rsidRPr="00E61EC7">
        <w:t xml:space="preserve"> the sponsor has corrected the pharmacovigilance plan in the ASA as requested and the pharmacovigilance plan is acceptable.</w:t>
      </w:r>
    </w:p>
    <w:p w14:paraId="1008283D" w14:textId="1B6832B8" w:rsidR="008E5203" w:rsidRPr="00E61EC7" w:rsidRDefault="002A2C48" w:rsidP="008E5203">
      <w:pPr>
        <w:pStyle w:val="ListBullet"/>
      </w:pPr>
      <w:r w:rsidRPr="00E61EC7">
        <w:t xml:space="preserve">Routine and additional risk minimisation is proposed for all safety concerns. At </w:t>
      </w:r>
      <w:r w:rsidR="00102B5F" w:rsidRPr="00E61EC7">
        <w:t xml:space="preserve">the second </w:t>
      </w:r>
      <w:r w:rsidRPr="00E61EC7">
        <w:t xml:space="preserve">round </w:t>
      </w:r>
      <w:r w:rsidR="00102B5F" w:rsidRPr="00E61EC7">
        <w:t>of evaluation,</w:t>
      </w:r>
      <w:r w:rsidRPr="00E61EC7">
        <w:t xml:space="preserve"> the sponsor does not agree to add a traumatic cataract warning to the PI and </w:t>
      </w:r>
      <w:r w:rsidR="00DB7EAB" w:rsidRPr="00E61EC7">
        <w:t>Consumer Medicines Information (</w:t>
      </w:r>
      <w:r w:rsidRPr="00E61EC7">
        <w:t>CMI</w:t>
      </w:r>
      <w:r w:rsidR="00DB7EAB" w:rsidRPr="00E61EC7">
        <w:t>)</w:t>
      </w:r>
      <w:r w:rsidRPr="00E61EC7">
        <w:t xml:space="preserve"> as requested. This is acceptable from an RMP perspective, subject to the outcome of the negotiation by the </w:t>
      </w:r>
      <w:r w:rsidRPr="00E61EC7">
        <w:lastRenderedPageBreak/>
        <w:t>clinical evaluat</w:t>
      </w:r>
      <w:r w:rsidR="00EC0073" w:rsidRPr="00E61EC7">
        <w:t>ion</w:t>
      </w:r>
      <w:r w:rsidRPr="00E61EC7">
        <w:t xml:space="preserve">. Additional risk minimisation is proposed in the form of a patient/carer guide, which the sponsor has provided for review as requested. The guide is acceptable. The sponsor agrees to evaluate the effectiveness of additional risk minimisation materials in Australia using outcome indicators, and the ASA has been updated accordingly. The sponsor commits to development of patient materials in audio format, and this commitment has been added to the ASA at </w:t>
      </w:r>
      <w:r w:rsidR="002E1B7C" w:rsidRPr="00E61EC7">
        <w:t xml:space="preserve">the third </w:t>
      </w:r>
      <w:r w:rsidRPr="00E61EC7">
        <w:t xml:space="preserve">round </w:t>
      </w:r>
      <w:r w:rsidR="002E1B7C" w:rsidRPr="00E61EC7">
        <w:t>of evaluation</w:t>
      </w:r>
      <w:r w:rsidRPr="00E61EC7">
        <w:t>. The CMI has been revised as requested and the risk minimisation plan is acceptable.</w:t>
      </w:r>
    </w:p>
    <w:p w14:paraId="51008730" w14:textId="77777777" w:rsidR="008E7846" w:rsidRPr="00E61EC7" w:rsidRDefault="002A2C48" w:rsidP="008E7846">
      <w:pPr>
        <w:pStyle w:val="Heading3"/>
      </w:pPr>
      <w:bookmarkStart w:id="104" w:name="_Toc129701778"/>
      <w:r w:rsidRPr="00E61EC7">
        <w:t>Risk-benefit analysis</w:t>
      </w:r>
      <w:bookmarkEnd w:id="99"/>
      <w:bookmarkEnd w:id="100"/>
      <w:bookmarkEnd w:id="104"/>
    </w:p>
    <w:p w14:paraId="1C4F2723" w14:textId="77777777" w:rsidR="0074163C" w:rsidRPr="00E61EC7" w:rsidRDefault="002A2C48" w:rsidP="0074163C">
      <w:pPr>
        <w:pStyle w:val="Heading4"/>
      </w:pPr>
      <w:bookmarkStart w:id="105" w:name="_Toc98931932"/>
      <w:r w:rsidRPr="00E61EC7">
        <w:t>Delegate’s considerations</w:t>
      </w:r>
      <w:bookmarkEnd w:id="105"/>
    </w:p>
    <w:p w14:paraId="5258435D" w14:textId="13588C1B" w:rsidR="00C470FC" w:rsidRPr="00E61EC7" w:rsidRDefault="002A2C48" w:rsidP="00C470FC">
      <w:pPr>
        <w:pStyle w:val="Heading5"/>
      </w:pPr>
      <w:r w:rsidRPr="00E61EC7">
        <w:t xml:space="preserve">Proposed indication: </w:t>
      </w:r>
      <w:bookmarkStart w:id="106" w:name="_Hlk118317499"/>
      <w:r w:rsidR="00CC514D" w:rsidRPr="00E61EC7">
        <w:t>neovascular age-related macular degeneration</w:t>
      </w:r>
      <w:bookmarkEnd w:id="106"/>
    </w:p>
    <w:p w14:paraId="1F1D3681" w14:textId="4A21E829" w:rsidR="00C470FC" w:rsidRPr="00E61EC7" w:rsidRDefault="002A2C48" w:rsidP="00C470FC">
      <w:proofErr w:type="spellStart"/>
      <w:r w:rsidRPr="00E61EC7">
        <w:t>Faricimab</w:t>
      </w:r>
      <w:proofErr w:type="spellEnd"/>
      <w:r w:rsidRPr="00E61EC7">
        <w:t xml:space="preserve"> has been evaluated in two identically designed </w:t>
      </w:r>
      <w:r w:rsidR="00533A7C" w:rsidRPr="00E61EC7">
        <w:t>Phase III</w:t>
      </w:r>
      <w:r w:rsidRPr="00E61EC7">
        <w:t xml:space="preserve"> studies (</w:t>
      </w:r>
      <w:r w:rsidR="00796D18">
        <w:t xml:space="preserve">Studies GR40306 and GR40844; also known as the </w:t>
      </w:r>
      <w:r w:rsidRPr="00E61EC7">
        <w:t>TENAYA and LUCERNE</w:t>
      </w:r>
      <w:r w:rsidR="00215642" w:rsidRPr="00E61EC7">
        <w:t xml:space="preserve"> trials</w:t>
      </w:r>
      <w:r w:rsidRPr="00E61EC7">
        <w:t xml:space="preserve">) as compared to aflibercept in patients with </w:t>
      </w:r>
      <w:r w:rsidR="00796D18" w:rsidRPr="00E61EC7">
        <w:t xml:space="preserve">neovascular age-related macular degeneration </w:t>
      </w:r>
      <w:r w:rsidR="00796D18">
        <w:t>(</w:t>
      </w:r>
      <w:proofErr w:type="spellStart"/>
      <w:r w:rsidRPr="00E61EC7">
        <w:t>nAMD</w:t>
      </w:r>
      <w:proofErr w:type="spellEnd"/>
      <w:r w:rsidR="00796D18">
        <w:t>)</w:t>
      </w:r>
      <w:r w:rsidRPr="00E61EC7">
        <w:t>.</w:t>
      </w:r>
    </w:p>
    <w:p w14:paraId="3EC0C609" w14:textId="57E34739" w:rsidR="00C470FC" w:rsidRPr="00E61EC7" w:rsidRDefault="002A2C48" w:rsidP="00C470FC">
      <w:pPr>
        <w:pStyle w:val="Heading6"/>
      </w:pPr>
      <w:r w:rsidRPr="00E61EC7">
        <w:t>Non-inferiority to aflibercept</w:t>
      </w:r>
    </w:p>
    <w:p w14:paraId="047A1294" w14:textId="56F0DDA5" w:rsidR="00C470FC" w:rsidRPr="00E61EC7" w:rsidRDefault="002A2C48" w:rsidP="00C470FC">
      <w:pPr>
        <w:rPr>
          <w:rFonts w:asciiTheme="minorHAnsi" w:hAnsiTheme="minorHAnsi" w:cstheme="minorHAnsi"/>
        </w:rPr>
      </w:pPr>
      <w:r w:rsidRPr="00E61EC7">
        <w:rPr>
          <w:rFonts w:asciiTheme="minorHAnsi" w:hAnsiTheme="minorHAnsi" w:cstheme="minorHAnsi"/>
        </w:rPr>
        <w:t xml:space="preserve">Both </w:t>
      </w:r>
      <w:r w:rsidR="00533A7C" w:rsidRPr="00E61EC7">
        <w:rPr>
          <w:rFonts w:asciiTheme="minorHAnsi" w:hAnsiTheme="minorHAnsi" w:cstheme="minorHAnsi"/>
        </w:rPr>
        <w:t>Phase III</w:t>
      </w:r>
      <w:r w:rsidRPr="00E61EC7">
        <w:rPr>
          <w:rFonts w:asciiTheme="minorHAnsi" w:hAnsiTheme="minorHAnsi" w:cstheme="minorHAnsi"/>
        </w:rPr>
        <w:t xml:space="preserve"> studies (TENAYA and LUCERNE</w:t>
      </w:r>
      <w:r w:rsidR="00215642" w:rsidRPr="00E61EC7">
        <w:rPr>
          <w:rFonts w:asciiTheme="minorHAnsi" w:hAnsiTheme="minorHAnsi" w:cstheme="minorHAnsi"/>
        </w:rPr>
        <w:t xml:space="preserve"> trials</w:t>
      </w:r>
      <w:r w:rsidRPr="00E61EC7">
        <w:rPr>
          <w:rFonts w:asciiTheme="minorHAnsi" w:hAnsiTheme="minorHAnsi" w:cstheme="minorHAnsi"/>
        </w:rPr>
        <w:t xml:space="preserve">) demonstrated that </w:t>
      </w:r>
      <w:proofErr w:type="spellStart"/>
      <w:r w:rsidRPr="00E61EC7">
        <w:rPr>
          <w:rFonts w:asciiTheme="minorHAnsi" w:hAnsiTheme="minorHAnsi" w:cstheme="minorHAnsi"/>
        </w:rPr>
        <w:t>faricimab</w:t>
      </w:r>
      <w:proofErr w:type="spellEnd"/>
      <w:r w:rsidRPr="00E61EC7">
        <w:rPr>
          <w:rFonts w:asciiTheme="minorHAnsi" w:hAnsiTheme="minorHAnsi" w:cstheme="minorHAnsi"/>
        </w:rPr>
        <w:t xml:space="preserve"> was non-inferior to aflibercept at the primary endpoint, defined as the mean change from </w:t>
      </w:r>
      <w:r w:rsidR="005B01D2" w:rsidRPr="00E61EC7">
        <w:rPr>
          <w:rFonts w:asciiTheme="minorHAnsi" w:hAnsiTheme="minorHAnsi" w:cstheme="minorHAnsi"/>
        </w:rPr>
        <w:t>Baseline</w:t>
      </w:r>
      <w:r w:rsidRPr="00E61EC7">
        <w:rPr>
          <w:rFonts w:asciiTheme="minorHAnsi" w:hAnsiTheme="minorHAnsi" w:cstheme="minorHAnsi"/>
        </w:rPr>
        <w:t xml:space="preserve"> in </w:t>
      </w:r>
      <w:r w:rsidR="00C87795" w:rsidRPr="00E61EC7">
        <w:rPr>
          <w:rFonts w:asciiTheme="minorHAnsi" w:hAnsiTheme="minorHAnsi" w:cstheme="minorHAnsi"/>
        </w:rPr>
        <w:t>best corrected visual acuity (</w:t>
      </w:r>
      <w:r w:rsidRPr="00E61EC7">
        <w:rPr>
          <w:rFonts w:asciiTheme="minorHAnsi" w:hAnsiTheme="minorHAnsi" w:cstheme="minorHAnsi"/>
        </w:rPr>
        <w:t>BCVA</w:t>
      </w:r>
      <w:r w:rsidR="00C87795" w:rsidRPr="00E61EC7">
        <w:rPr>
          <w:rFonts w:asciiTheme="minorHAnsi" w:hAnsiTheme="minorHAnsi" w:cstheme="minorHAnsi"/>
        </w:rPr>
        <w:t>)</w:t>
      </w:r>
      <w:r w:rsidRPr="00E61EC7">
        <w:rPr>
          <w:rFonts w:asciiTheme="minorHAnsi" w:hAnsiTheme="minorHAnsi" w:cstheme="minorHAnsi"/>
        </w:rPr>
        <w:t xml:space="preserve"> in the study eye based on an average at Weeks 40</w:t>
      </w:r>
      <w:r w:rsidR="00CC514D" w:rsidRPr="00E61EC7">
        <w:rPr>
          <w:rFonts w:asciiTheme="minorHAnsi" w:hAnsiTheme="minorHAnsi" w:cstheme="minorHAnsi"/>
        </w:rPr>
        <w:t xml:space="preserve">, </w:t>
      </w:r>
      <w:r w:rsidRPr="00E61EC7">
        <w:rPr>
          <w:rFonts w:asciiTheme="minorHAnsi" w:hAnsiTheme="minorHAnsi" w:cstheme="minorHAnsi"/>
        </w:rPr>
        <w:t>44</w:t>
      </w:r>
      <w:r w:rsidR="00CC514D" w:rsidRPr="00E61EC7">
        <w:rPr>
          <w:rFonts w:asciiTheme="minorHAnsi" w:hAnsiTheme="minorHAnsi" w:cstheme="minorHAnsi"/>
        </w:rPr>
        <w:t xml:space="preserve"> and </w:t>
      </w:r>
      <w:r w:rsidRPr="00E61EC7">
        <w:rPr>
          <w:rFonts w:asciiTheme="minorHAnsi" w:hAnsiTheme="minorHAnsi" w:cstheme="minorHAnsi"/>
        </w:rPr>
        <w:t xml:space="preserve">48. The adjusted mean difference (95% CI) between the </w:t>
      </w:r>
      <w:proofErr w:type="spellStart"/>
      <w:r w:rsidRPr="00E61EC7">
        <w:rPr>
          <w:rFonts w:asciiTheme="minorHAnsi" w:hAnsiTheme="minorHAnsi" w:cstheme="minorHAnsi"/>
        </w:rPr>
        <w:t>faricimab</w:t>
      </w:r>
      <w:proofErr w:type="spellEnd"/>
      <w:r w:rsidRPr="00E61EC7">
        <w:rPr>
          <w:rFonts w:asciiTheme="minorHAnsi" w:hAnsiTheme="minorHAnsi" w:cstheme="minorHAnsi"/>
        </w:rPr>
        <w:t xml:space="preserve"> and aflibercept arms was 0.7</w:t>
      </w:r>
      <w:r w:rsidR="00CC514D" w:rsidRPr="00E61EC7">
        <w:rPr>
          <w:rFonts w:asciiTheme="minorHAnsi" w:hAnsiTheme="minorHAnsi" w:cstheme="minorHAnsi"/>
        </w:rPr>
        <w:t> </w:t>
      </w:r>
      <w:r w:rsidRPr="00E61EC7">
        <w:rPr>
          <w:rFonts w:asciiTheme="minorHAnsi" w:hAnsiTheme="minorHAnsi" w:cstheme="minorHAnsi"/>
        </w:rPr>
        <w:t>(</w:t>
      </w:r>
      <w:r w:rsidR="00CC514D" w:rsidRPr="00E61EC7">
        <w:rPr>
          <w:rFonts w:asciiTheme="minorHAnsi" w:hAnsiTheme="minorHAnsi" w:cstheme="minorHAnsi"/>
        </w:rPr>
        <w:noBreakHyphen/>
      </w:r>
      <w:r w:rsidRPr="00E61EC7">
        <w:rPr>
          <w:rFonts w:asciiTheme="minorHAnsi" w:hAnsiTheme="minorHAnsi" w:cstheme="minorHAnsi"/>
        </w:rPr>
        <w:t xml:space="preserve">1.1, 2.5) and 0.0 (-1.7, 1.8) in </w:t>
      </w:r>
      <w:r w:rsidR="00215642" w:rsidRPr="00E61EC7">
        <w:rPr>
          <w:rFonts w:asciiTheme="minorHAnsi" w:hAnsiTheme="minorHAnsi" w:cstheme="minorHAnsi"/>
        </w:rPr>
        <w:t xml:space="preserve">the </w:t>
      </w:r>
      <w:r w:rsidRPr="00E61EC7">
        <w:rPr>
          <w:rFonts w:asciiTheme="minorHAnsi" w:hAnsiTheme="minorHAnsi" w:cstheme="minorHAnsi"/>
        </w:rPr>
        <w:t>TENAYA and LUCERNE</w:t>
      </w:r>
      <w:r w:rsidR="00215642" w:rsidRPr="00E61EC7">
        <w:rPr>
          <w:rFonts w:asciiTheme="minorHAnsi" w:hAnsiTheme="minorHAnsi" w:cstheme="minorHAnsi"/>
        </w:rPr>
        <w:t xml:space="preserve"> trials</w:t>
      </w:r>
      <w:r w:rsidRPr="00E61EC7">
        <w:rPr>
          <w:rFonts w:asciiTheme="minorHAnsi" w:hAnsiTheme="minorHAnsi" w:cstheme="minorHAnsi"/>
        </w:rPr>
        <w:t xml:space="preserve">, respectively. The lower bound of the 95% CI was greater than the pre-specified non-inferiority margin, </w:t>
      </w:r>
      <w:r w:rsidR="00CC514D" w:rsidRPr="00E61EC7">
        <w:rPr>
          <w:rFonts w:asciiTheme="minorHAnsi" w:hAnsiTheme="minorHAnsi" w:cstheme="minorHAnsi"/>
        </w:rPr>
        <w:noBreakHyphen/>
      </w:r>
      <w:r w:rsidRPr="00E61EC7">
        <w:rPr>
          <w:rFonts w:asciiTheme="minorHAnsi" w:hAnsiTheme="minorHAnsi" w:cstheme="minorHAnsi"/>
        </w:rPr>
        <w:t>4</w:t>
      </w:r>
      <w:r w:rsidR="00CC514D" w:rsidRPr="00E61EC7">
        <w:rPr>
          <w:rFonts w:asciiTheme="minorHAnsi" w:hAnsiTheme="minorHAnsi" w:cstheme="minorHAnsi"/>
        </w:rPr>
        <w:t> </w:t>
      </w:r>
      <w:r w:rsidRPr="00E61EC7">
        <w:rPr>
          <w:rFonts w:asciiTheme="minorHAnsi" w:hAnsiTheme="minorHAnsi" w:cstheme="minorHAnsi"/>
        </w:rPr>
        <w:t>BCVA letters.</w:t>
      </w:r>
    </w:p>
    <w:p w14:paraId="5A2759EF" w14:textId="516A4781" w:rsidR="00C470FC" w:rsidRPr="00E61EC7" w:rsidRDefault="002A2C48" w:rsidP="00C470FC">
      <w:pPr>
        <w:rPr>
          <w:rFonts w:asciiTheme="minorHAnsi" w:hAnsiTheme="minorHAnsi" w:cstheme="minorHAnsi"/>
        </w:rPr>
      </w:pPr>
      <w:r w:rsidRPr="00E61EC7">
        <w:rPr>
          <w:rFonts w:asciiTheme="minorHAnsi" w:hAnsiTheme="minorHAnsi" w:cstheme="minorHAnsi"/>
        </w:rPr>
        <w:t xml:space="preserve">The non-inferiority finding for the primary endpoint was supported in the </w:t>
      </w:r>
      <w:r w:rsidR="00FC46B4" w:rsidRPr="00E61EC7">
        <w:rPr>
          <w:rFonts w:asciiTheme="minorHAnsi" w:hAnsiTheme="minorHAnsi" w:cstheme="minorHAnsi"/>
        </w:rPr>
        <w:t>per</w:t>
      </w:r>
      <w:r w:rsidR="00FC46B4" w:rsidRPr="00E61EC7">
        <w:rPr>
          <w:rFonts w:asciiTheme="minorHAnsi" w:hAnsiTheme="minorHAnsi" w:cstheme="minorHAnsi"/>
        </w:rPr>
        <w:noBreakHyphen/>
        <w:t>protocol (</w:t>
      </w:r>
      <w:r w:rsidRPr="00E61EC7">
        <w:rPr>
          <w:rFonts w:asciiTheme="minorHAnsi" w:hAnsiTheme="minorHAnsi" w:cstheme="minorHAnsi"/>
        </w:rPr>
        <w:t>PP</w:t>
      </w:r>
      <w:r w:rsidR="00FC46B4" w:rsidRPr="00E61EC7">
        <w:rPr>
          <w:rFonts w:asciiTheme="minorHAnsi" w:hAnsiTheme="minorHAnsi" w:cstheme="minorHAnsi"/>
        </w:rPr>
        <w:t>)</w:t>
      </w:r>
      <w:r w:rsidRPr="00E61EC7">
        <w:rPr>
          <w:rFonts w:asciiTheme="minorHAnsi" w:hAnsiTheme="minorHAnsi" w:cstheme="minorHAnsi"/>
        </w:rPr>
        <w:t xml:space="preserve"> </w:t>
      </w:r>
      <w:r w:rsidR="00CC514D" w:rsidRPr="00E61EC7">
        <w:rPr>
          <w:rFonts w:asciiTheme="minorHAnsi" w:hAnsiTheme="minorHAnsi" w:cstheme="minorHAnsi"/>
        </w:rPr>
        <w:t xml:space="preserve">population </w:t>
      </w:r>
      <w:r w:rsidRPr="00E61EC7">
        <w:rPr>
          <w:rFonts w:asciiTheme="minorHAnsi" w:hAnsiTheme="minorHAnsi" w:cstheme="minorHAnsi"/>
        </w:rPr>
        <w:t>and sensitivity</w:t>
      </w:r>
      <w:r w:rsidR="00CC514D" w:rsidRPr="00E61EC7">
        <w:rPr>
          <w:rFonts w:asciiTheme="minorHAnsi" w:hAnsiTheme="minorHAnsi" w:cstheme="minorHAnsi"/>
        </w:rPr>
        <w:t xml:space="preserve"> or </w:t>
      </w:r>
      <w:r w:rsidRPr="00E61EC7">
        <w:rPr>
          <w:rFonts w:asciiTheme="minorHAnsi" w:hAnsiTheme="minorHAnsi" w:cstheme="minorHAnsi"/>
        </w:rPr>
        <w:t>supplementary analyses with different handling strategies for intercurrent event and missing data. Primary efficacy in evaluable subgroups (</w:t>
      </w:r>
      <w:r w:rsidR="005B01D2" w:rsidRPr="00E61EC7">
        <w:rPr>
          <w:rFonts w:asciiTheme="minorHAnsi" w:hAnsiTheme="minorHAnsi" w:cstheme="minorHAnsi"/>
        </w:rPr>
        <w:t>for example</w:t>
      </w:r>
      <w:r w:rsidRPr="00E61EC7">
        <w:rPr>
          <w:rFonts w:asciiTheme="minorHAnsi" w:hAnsiTheme="minorHAnsi" w:cstheme="minorHAnsi"/>
        </w:rPr>
        <w:t xml:space="preserve">, age, gender, race, baseline visual acuity, </w:t>
      </w:r>
      <w:r w:rsidR="0039584C" w:rsidRPr="00E61EC7">
        <w:t>choroidal neovascularisation</w:t>
      </w:r>
      <w:r w:rsidRPr="00E61EC7">
        <w:rPr>
          <w:rFonts w:asciiTheme="minorHAnsi" w:hAnsiTheme="minorHAnsi" w:cstheme="minorHAnsi"/>
        </w:rPr>
        <w:t xml:space="preserve"> lesion location) was generally consistent with the results in the overall population.</w:t>
      </w:r>
    </w:p>
    <w:p w14:paraId="32B1F912" w14:textId="532B5E85" w:rsidR="00C470FC" w:rsidRDefault="002A2C48" w:rsidP="00C470FC">
      <w:pPr>
        <w:rPr>
          <w:rFonts w:asciiTheme="minorHAnsi" w:hAnsiTheme="minorHAnsi" w:cstheme="minorHAnsi"/>
        </w:rPr>
      </w:pPr>
      <w:r w:rsidRPr="00E61EC7">
        <w:rPr>
          <w:rFonts w:asciiTheme="minorHAnsi" w:hAnsiTheme="minorHAnsi" w:cstheme="minorHAnsi"/>
        </w:rPr>
        <w:t xml:space="preserve">The non-inferiority finding of the mean change from </w:t>
      </w:r>
      <w:r w:rsidR="005B01D2" w:rsidRPr="00E61EC7">
        <w:rPr>
          <w:rFonts w:asciiTheme="minorHAnsi" w:hAnsiTheme="minorHAnsi" w:cstheme="minorHAnsi"/>
        </w:rPr>
        <w:t>Baseline</w:t>
      </w:r>
      <w:r w:rsidRPr="00E61EC7">
        <w:rPr>
          <w:rFonts w:asciiTheme="minorHAnsi" w:hAnsiTheme="minorHAnsi" w:cstheme="minorHAnsi"/>
        </w:rPr>
        <w:t xml:space="preserve"> in BCVA at Week</w:t>
      </w:r>
      <w:r w:rsidR="00CC514D" w:rsidRPr="00E61EC7">
        <w:rPr>
          <w:rFonts w:asciiTheme="minorHAnsi" w:hAnsiTheme="minorHAnsi" w:cstheme="minorHAnsi"/>
        </w:rPr>
        <w:t>s</w:t>
      </w:r>
      <w:r w:rsidRPr="00E61EC7">
        <w:rPr>
          <w:rFonts w:asciiTheme="minorHAnsi" w:hAnsiTheme="minorHAnsi" w:cstheme="minorHAnsi"/>
        </w:rPr>
        <w:t xml:space="preserve"> 40</w:t>
      </w:r>
      <w:r w:rsidR="00CC514D" w:rsidRPr="00E61EC7">
        <w:rPr>
          <w:rFonts w:asciiTheme="minorHAnsi" w:hAnsiTheme="minorHAnsi" w:cstheme="minorHAnsi"/>
        </w:rPr>
        <w:t xml:space="preserve">, </w:t>
      </w:r>
      <w:r w:rsidRPr="00E61EC7">
        <w:rPr>
          <w:rFonts w:asciiTheme="minorHAnsi" w:hAnsiTheme="minorHAnsi" w:cstheme="minorHAnsi"/>
        </w:rPr>
        <w:t>44</w:t>
      </w:r>
      <w:r w:rsidR="00CC514D" w:rsidRPr="00E61EC7">
        <w:rPr>
          <w:rFonts w:asciiTheme="minorHAnsi" w:hAnsiTheme="minorHAnsi" w:cstheme="minorHAnsi"/>
        </w:rPr>
        <w:t xml:space="preserve"> and </w:t>
      </w:r>
      <w:r w:rsidRPr="00E61EC7">
        <w:rPr>
          <w:rFonts w:asciiTheme="minorHAnsi" w:hAnsiTheme="minorHAnsi" w:cstheme="minorHAnsi"/>
        </w:rPr>
        <w:t xml:space="preserve">48 was also supported by the mean change from </w:t>
      </w:r>
      <w:r w:rsidR="005B01D2" w:rsidRPr="00E61EC7">
        <w:rPr>
          <w:rFonts w:asciiTheme="minorHAnsi" w:hAnsiTheme="minorHAnsi" w:cstheme="minorHAnsi"/>
        </w:rPr>
        <w:t>Baseline</w:t>
      </w:r>
      <w:r w:rsidRPr="00E61EC7">
        <w:rPr>
          <w:rFonts w:asciiTheme="minorHAnsi" w:hAnsiTheme="minorHAnsi" w:cstheme="minorHAnsi"/>
        </w:rPr>
        <w:t xml:space="preserve"> in BCVA at Week</w:t>
      </w:r>
      <w:r w:rsidR="00CC514D" w:rsidRPr="00E61EC7">
        <w:rPr>
          <w:rFonts w:asciiTheme="minorHAnsi" w:hAnsiTheme="minorHAnsi" w:cstheme="minorHAnsi"/>
        </w:rPr>
        <w:t>s</w:t>
      </w:r>
      <w:r w:rsidRPr="00E61EC7">
        <w:rPr>
          <w:rFonts w:asciiTheme="minorHAnsi" w:hAnsiTheme="minorHAnsi" w:cstheme="minorHAnsi"/>
        </w:rPr>
        <w:t xml:space="preserve"> 52</w:t>
      </w:r>
      <w:r w:rsidR="00CC514D" w:rsidRPr="00E61EC7">
        <w:rPr>
          <w:rFonts w:asciiTheme="minorHAnsi" w:hAnsiTheme="minorHAnsi" w:cstheme="minorHAnsi"/>
        </w:rPr>
        <w:t xml:space="preserve">, </w:t>
      </w:r>
      <w:r w:rsidRPr="00E61EC7">
        <w:rPr>
          <w:rFonts w:asciiTheme="minorHAnsi" w:hAnsiTheme="minorHAnsi" w:cstheme="minorHAnsi"/>
        </w:rPr>
        <w:t>56</w:t>
      </w:r>
      <w:r w:rsidR="00CC514D" w:rsidRPr="00E61EC7">
        <w:rPr>
          <w:rFonts w:asciiTheme="minorHAnsi" w:hAnsiTheme="minorHAnsi" w:cstheme="minorHAnsi"/>
        </w:rPr>
        <w:t xml:space="preserve"> and </w:t>
      </w:r>
      <w:r w:rsidRPr="00E61EC7">
        <w:rPr>
          <w:rFonts w:asciiTheme="minorHAnsi" w:hAnsiTheme="minorHAnsi" w:cstheme="minorHAnsi"/>
        </w:rPr>
        <w:t xml:space="preserve">60. The adjusted mean difference (95% CI) between the </w:t>
      </w:r>
      <w:proofErr w:type="spellStart"/>
      <w:r w:rsidRPr="00E61EC7">
        <w:rPr>
          <w:rFonts w:asciiTheme="minorHAnsi" w:hAnsiTheme="minorHAnsi" w:cstheme="minorHAnsi"/>
        </w:rPr>
        <w:t>faricimab</w:t>
      </w:r>
      <w:proofErr w:type="spellEnd"/>
      <w:r w:rsidRPr="00E61EC7">
        <w:rPr>
          <w:rFonts w:asciiTheme="minorHAnsi" w:hAnsiTheme="minorHAnsi" w:cstheme="minorHAnsi"/>
        </w:rPr>
        <w:t xml:space="preserve"> and aflibercept arms at Week</w:t>
      </w:r>
      <w:r w:rsidR="00CC514D" w:rsidRPr="00E61EC7">
        <w:rPr>
          <w:rFonts w:asciiTheme="minorHAnsi" w:hAnsiTheme="minorHAnsi" w:cstheme="minorHAnsi"/>
        </w:rPr>
        <w:t>s </w:t>
      </w:r>
      <w:r w:rsidRPr="00E61EC7">
        <w:rPr>
          <w:rFonts w:asciiTheme="minorHAnsi" w:hAnsiTheme="minorHAnsi" w:cstheme="minorHAnsi"/>
        </w:rPr>
        <w:t>52</w:t>
      </w:r>
      <w:r w:rsidR="00CC514D" w:rsidRPr="00E61EC7">
        <w:rPr>
          <w:rFonts w:asciiTheme="minorHAnsi" w:hAnsiTheme="minorHAnsi" w:cstheme="minorHAnsi"/>
        </w:rPr>
        <w:t xml:space="preserve">, </w:t>
      </w:r>
      <w:r w:rsidRPr="00E61EC7">
        <w:rPr>
          <w:rFonts w:asciiTheme="minorHAnsi" w:hAnsiTheme="minorHAnsi" w:cstheme="minorHAnsi"/>
        </w:rPr>
        <w:t>56</w:t>
      </w:r>
      <w:r w:rsidR="00CC514D" w:rsidRPr="00E61EC7">
        <w:rPr>
          <w:rFonts w:asciiTheme="minorHAnsi" w:hAnsiTheme="minorHAnsi" w:cstheme="minorHAnsi"/>
        </w:rPr>
        <w:t xml:space="preserve"> and </w:t>
      </w:r>
      <w:r w:rsidRPr="00E61EC7">
        <w:rPr>
          <w:rFonts w:asciiTheme="minorHAnsi" w:hAnsiTheme="minorHAnsi" w:cstheme="minorHAnsi"/>
        </w:rPr>
        <w:t xml:space="preserve">60 was 0.7 (-1.2, 2.7) and -0.6 (-2.4, 1.3) in </w:t>
      </w:r>
      <w:r w:rsidR="00215642" w:rsidRPr="00E61EC7">
        <w:rPr>
          <w:rFonts w:asciiTheme="minorHAnsi" w:hAnsiTheme="minorHAnsi" w:cstheme="minorHAnsi"/>
        </w:rPr>
        <w:t xml:space="preserve">the </w:t>
      </w:r>
      <w:r w:rsidRPr="00E61EC7">
        <w:rPr>
          <w:rFonts w:asciiTheme="minorHAnsi" w:hAnsiTheme="minorHAnsi" w:cstheme="minorHAnsi"/>
        </w:rPr>
        <w:t>TENAYA and LUCERNE</w:t>
      </w:r>
      <w:r w:rsidR="00215642" w:rsidRPr="00E61EC7">
        <w:rPr>
          <w:rFonts w:asciiTheme="minorHAnsi" w:hAnsiTheme="minorHAnsi" w:cstheme="minorHAnsi"/>
        </w:rPr>
        <w:t xml:space="preserve"> trials</w:t>
      </w:r>
      <w:r w:rsidRPr="00E61EC7">
        <w:rPr>
          <w:rFonts w:asciiTheme="minorHAnsi" w:hAnsiTheme="minorHAnsi" w:cstheme="minorHAnsi"/>
        </w:rPr>
        <w:t xml:space="preserve">, respectively. The mean change from </w:t>
      </w:r>
      <w:r w:rsidR="005B01D2" w:rsidRPr="00E61EC7">
        <w:rPr>
          <w:rFonts w:asciiTheme="minorHAnsi" w:hAnsiTheme="minorHAnsi" w:cstheme="minorHAnsi"/>
        </w:rPr>
        <w:t>Baseline</w:t>
      </w:r>
      <w:r w:rsidRPr="00E61EC7">
        <w:rPr>
          <w:rFonts w:asciiTheme="minorHAnsi" w:hAnsiTheme="minorHAnsi" w:cstheme="minorHAnsi"/>
        </w:rPr>
        <w:t xml:space="preserve"> in BCVA were generally maintained over 60 weeks.</w:t>
      </w:r>
    </w:p>
    <w:p w14:paraId="41D5EE01" w14:textId="6D0B0518" w:rsidR="00B56869" w:rsidRPr="00E61EC7" w:rsidRDefault="00B56869" w:rsidP="00C470FC">
      <w:pPr>
        <w:rPr>
          <w:rFonts w:asciiTheme="minorHAnsi" w:hAnsiTheme="minorHAnsi" w:cstheme="minorHAnsi"/>
        </w:rPr>
      </w:pPr>
      <w:r>
        <w:rPr>
          <w:rFonts w:asciiTheme="minorHAnsi" w:hAnsiTheme="minorHAnsi" w:cstheme="minorHAnsi"/>
        </w:rPr>
        <w:t xml:space="preserve">Superiority of </w:t>
      </w:r>
      <w:proofErr w:type="spellStart"/>
      <w:r>
        <w:rPr>
          <w:rFonts w:asciiTheme="minorHAnsi" w:hAnsiTheme="minorHAnsi" w:cstheme="minorHAnsi"/>
        </w:rPr>
        <w:t>faricimab</w:t>
      </w:r>
      <w:proofErr w:type="spellEnd"/>
      <w:r>
        <w:rPr>
          <w:rFonts w:asciiTheme="minorHAnsi" w:hAnsiTheme="minorHAnsi" w:cstheme="minorHAnsi"/>
        </w:rPr>
        <w:t xml:space="preserve"> over aflibercept was not shown.</w:t>
      </w:r>
    </w:p>
    <w:p w14:paraId="72467826" w14:textId="77777777" w:rsidR="00C470FC" w:rsidRPr="00E61EC7" w:rsidRDefault="002A2C48" w:rsidP="006E0091">
      <w:pPr>
        <w:pStyle w:val="Heading6"/>
      </w:pPr>
      <w:r w:rsidRPr="00E61EC7">
        <w:t>Studied patient population</w:t>
      </w:r>
    </w:p>
    <w:p w14:paraId="147C45E4" w14:textId="3DB5C77E" w:rsidR="00C470FC" w:rsidRPr="00E61EC7" w:rsidRDefault="002A2C48" w:rsidP="00C470FC">
      <w:pPr>
        <w:spacing w:line="240" w:lineRule="auto"/>
      </w:pPr>
      <w:r w:rsidRPr="00E61EC7">
        <w:t>The studied patient population was p</w:t>
      </w:r>
      <w:r w:rsidRPr="00E61EC7">
        <w:rPr>
          <w:rFonts w:asciiTheme="minorHAnsi" w:hAnsiTheme="minorHAnsi" w:cstheme="minorHAnsi"/>
        </w:rPr>
        <w:t>atients aged 50 years</w:t>
      </w:r>
      <w:r w:rsidR="00CC514D" w:rsidRPr="00E61EC7">
        <w:rPr>
          <w:rFonts w:asciiTheme="minorHAnsi" w:hAnsiTheme="minorHAnsi" w:cstheme="minorHAnsi"/>
        </w:rPr>
        <w:t xml:space="preserve"> and older</w:t>
      </w:r>
      <w:r w:rsidRPr="00E61EC7">
        <w:rPr>
          <w:rFonts w:asciiTheme="minorHAnsi" w:hAnsiTheme="minorHAnsi" w:cstheme="minorHAnsi"/>
        </w:rPr>
        <w:t xml:space="preserve"> with treatment-naïve </w:t>
      </w:r>
      <w:r w:rsidR="0039584C" w:rsidRPr="00E61EC7">
        <w:t>choroidal neovascularisation</w:t>
      </w:r>
      <w:r w:rsidRPr="00E61EC7">
        <w:rPr>
          <w:rFonts w:asciiTheme="minorHAnsi" w:hAnsiTheme="minorHAnsi" w:cstheme="minorHAnsi"/>
        </w:rPr>
        <w:t xml:space="preserve"> secondary to </w:t>
      </w:r>
      <w:proofErr w:type="spellStart"/>
      <w:r w:rsidRPr="00E61EC7">
        <w:rPr>
          <w:rFonts w:asciiTheme="minorHAnsi" w:hAnsiTheme="minorHAnsi" w:cstheme="minorHAnsi"/>
        </w:rPr>
        <w:t>nAMD</w:t>
      </w:r>
      <w:proofErr w:type="spellEnd"/>
      <w:r w:rsidRPr="00E61EC7">
        <w:rPr>
          <w:rFonts w:asciiTheme="minorHAnsi" w:hAnsiTheme="minorHAnsi" w:cstheme="minorHAnsi"/>
        </w:rPr>
        <w:t>. The indication may need to be restricted to the population group studied (</w:t>
      </w:r>
      <w:r w:rsidR="005B01D2" w:rsidRPr="00E61EC7">
        <w:rPr>
          <w:rFonts w:asciiTheme="minorHAnsi" w:hAnsiTheme="minorHAnsi" w:cstheme="minorHAnsi"/>
        </w:rPr>
        <w:t>for example,</w:t>
      </w:r>
      <w:r w:rsidRPr="00E61EC7">
        <w:rPr>
          <w:rFonts w:asciiTheme="minorHAnsi" w:hAnsiTheme="minorHAnsi" w:cstheme="minorHAnsi"/>
        </w:rPr>
        <w:t xml:space="preserve"> treatment-naïve patients).</w:t>
      </w:r>
    </w:p>
    <w:p w14:paraId="3209A0DC" w14:textId="77777777" w:rsidR="00B56869" w:rsidRPr="00E61EC7" w:rsidRDefault="002A2C48" w:rsidP="00B56869">
      <w:pPr>
        <w:pStyle w:val="Heading6"/>
      </w:pPr>
      <w:r w:rsidRPr="00E61EC7">
        <w:t xml:space="preserve">Dosing considerations: </w:t>
      </w:r>
      <w:r w:rsidR="00B56869" w:rsidRPr="00E61EC7">
        <w:t>Dosing regimen implications on efficacy</w:t>
      </w:r>
    </w:p>
    <w:p w14:paraId="48453A5A" w14:textId="73A610F6" w:rsidR="00C470FC" w:rsidRPr="00E61EC7" w:rsidRDefault="002A2C48" w:rsidP="00C470FC">
      <w:r w:rsidRPr="00E61EC7">
        <w:t xml:space="preserve">At Week 48, 22%, 33% and 45% of patients received </w:t>
      </w:r>
      <w:proofErr w:type="spellStart"/>
      <w:r w:rsidRPr="00E61EC7">
        <w:t>faricimab</w:t>
      </w:r>
      <w:proofErr w:type="spellEnd"/>
      <w:r w:rsidRPr="00E61EC7">
        <w:t xml:space="preserve"> treatment on </w:t>
      </w:r>
      <w:r w:rsidR="003E5F35" w:rsidRPr="00E61EC7">
        <w:t>every 8</w:t>
      </w:r>
      <w:r w:rsidR="00CC514D" w:rsidRPr="00E61EC7">
        <w:t> </w:t>
      </w:r>
      <w:r w:rsidR="003E5F35" w:rsidRPr="00E61EC7">
        <w:t>weeks</w:t>
      </w:r>
      <w:r w:rsidRPr="00E61EC7">
        <w:t xml:space="preserve">, </w:t>
      </w:r>
      <w:r w:rsidR="000E4FBF" w:rsidRPr="00E61EC7">
        <w:t xml:space="preserve">every 12 </w:t>
      </w:r>
      <w:proofErr w:type="gramStart"/>
      <w:r w:rsidR="000E4FBF" w:rsidRPr="00E61EC7">
        <w:t>weeks</w:t>
      </w:r>
      <w:proofErr w:type="gramEnd"/>
      <w:r w:rsidRPr="00E61EC7">
        <w:t xml:space="preserve"> and </w:t>
      </w:r>
      <w:r w:rsidR="000E4FBF" w:rsidRPr="00E61EC7">
        <w:t>every 16 weeks</w:t>
      </w:r>
      <w:r w:rsidRPr="00E61EC7">
        <w:t xml:space="preserve"> intervals, respectively. At Week 60, the percentages were 21%, 33% and 46%, respectively. However, these results depended on the non-validated disease activity criteria used in the clinical trials.</w:t>
      </w:r>
    </w:p>
    <w:p w14:paraId="22DC658A" w14:textId="51D43176" w:rsidR="00C470FC" w:rsidRPr="00E61EC7" w:rsidRDefault="002A2C48" w:rsidP="00C470FC">
      <w:r w:rsidRPr="00E61EC7">
        <w:lastRenderedPageBreak/>
        <w:t xml:space="preserve">The mean change in BCVA from </w:t>
      </w:r>
      <w:r w:rsidR="005B01D2" w:rsidRPr="00E61EC7">
        <w:t>Baseline</w:t>
      </w:r>
      <w:r w:rsidRPr="00E61EC7">
        <w:t xml:space="preserve"> in patients on </w:t>
      </w:r>
      <w:proofErr w:type="spellStart"/>
      <w:r w:rsidRPr="00E61EC7">
        <w:t>faricimab</w:t>
      </w:r>
      <w:proofErr w:type="spellEnd"/>
      <w:r w:rsidRPr="00E61EC7">
        <w:t xml:space="preserve"> </w:t>
      </w:r>
      <w:r w:rsidR="000E4FBF" w:rsidRPr="00E61EC7">
        <w:t>every 16 weeks</w:t>
      </w:r>
      <w:r w:rsidRPr="00E61EC7">
        <w:t xml:space="preserve"> interval was numerically greater than those on aflibercept </w:t>
      </w:r>
      <w:r w:rsidR="003E5F35" w:rsidRPr="00E61EC7">
        <w:t>every 8 weeks</w:t>
      </w:r>
      <w:r w:rsidRPr="00E61EC7">
        <w:t xml:space="preserve"> at Week</w:t>
      </w:r>
      <w:r w:rsidR="00CC514D" w:rsidRPr="00E61EC7">
        <w:t>s</w:t>
      </w:r>
      <w:r w:rsidRPr="00E61EC7">
        <w:t xml:space="preserve"> 40</w:t>
      </w:r>
      <w:r w:rsidR="00CC514D" w:rsidRPr="00E61EC7">
        <w:t xml:space="preserve">, </w:t>
      </w:r>
      <w:r w:rsidRPr="00E61EC7">
        <w:t>44</w:t>
      </w:r>
      <w:r w:rsidR="00CC514D" w:rsidRPr="00E61EC7">
        <w:t xml:space="preserve"> and </w:t>
      </w:r>
      <w:r w:rsidRPr="00E61EC7">
        <w:t>48 and at Week 52</w:t>
      </w:r>
      <w:r w:rsidR="00CC514D" w:rsidRPr="00E61EC7">
        <w:t xml:space="preserve">, </w:t>
      </w:r>
      <w:r w:rsidRPr="00E61EC7">
        <w:t>56</w:t>
      </w:r>
      <w:r w:rsidR="00CC514D" w:rsidRPr="00E61EC7">
        <w:t xml:space="preserve"> and </w:t>
      </w:r>
      <w:r w:rsidRPr="00E61EC7">
        <w:t>60 (</w:t>
      </w:r>
      <w:r w:rsidR="00CC514D" w:rsidRPr="00E61EC7">
        <w:t xml:space="preserve">see </w:t>
      </w:r>
      <w:r w:rsidRPr="00E61EC7">
        <w:fldChar w:fldCharType="begin"/>
      </w:r>
      <w:r w:rsidRPr="00E61EC7">
        <w:instrText xml:space="preserve"> REF _Ref102560219 \h  \* MERGEFORMAT </w:instrText>
      </w:r>
      <w:r w:rsidRPr="00E61EC7">
        <w:fldChar w:fldCharType="separate"/>
      </w:r>
      <w:r w:rsidR="001E25B5" w:rsidRPr="00E61EC7">
        <w:t xml:space="preserve">Table </w:t>
      </w:r>
      <w:r w:rsidR="001E25B5">
        <w:t>26</w:t>
      </w:r>
      <w:r w:rsidRPr="00E61EC7">
        <w:fldChar w:fldCharType="end"/>
      </w:r>
      <w:r w:rsidR="00CC514D" w:rsidRPr="00E61EC7">
        <w:t xml:space="preserve"> below</w:t>
      </w:r>
      <w:r w:rsidRPr="00E61EC7">
        <w:t xml:space="preserve">). This was not tested statistically. The mean BCVA changes from </w:t>
      </w:r>
      <w:r w:rsidR="00533A7C" w:rsidRPr="00E61EC7">
        <w:t>Baseline</w:t>
      </w:r>
      <w:r w:rsidRPr="00E61EC7">
        <w:t xml:space="preserve"> in the study eye on three </w:t>
      </w:r>
      <w:proofErr w:type="spellStart"/>
      <w:r w:rsidRPr="00E61EC7">
        <w:t>faricimab</w:t>
      </w:r>
      <w:proofErr w:type="spellEnd"/>
      <w:r w:rsidRPr="00E61EC7">
        <w:t xml:space="preserve"> treatment intervals were generally maintained through Week 60.</w:t>
      </w:r>
    </w:p>
    <w:p w14:paraId="7C30269C" w14:textId="2DD07129" w:rsidR="00C470FC" w:rsidRPr="00E61EC7" w:rsidRDefault="002A2C48" w:rsidP="00C470FC">
      <w:r w:rsidRPr="00E61EC7">
        <w:t>Up to Week 60, patient</w:t>
      </w:r>
      <w:r w:rsidR="00D66CE9">
        <w:t>s</w:t>
      </w:r>
      <w:r w:rsidRPr="00E61EC7">
        <w:t xml:space="preserve"> treated with </w:t>
      </w:r>
      <w:proofErr w:type="spellStart"/>
      <w:r w:rsidRPr="00E61EC7">
        <w:t>faricimab</w:t>
      </w:r>
      <w:proofErr w:type="spellEnd"/>
      <w:r w:rsidRPr="00E61EC7">
        <w:t xml:space="preserve"> 6 mg </w:t>
      </w:r>
      <w:r w:rsidR="000E4FBF" w:rsidRPr="00E61EC7">
        <w:t>every 16 weeks</w:t>
      </w:r>
      <w:r w:rsidRPr="00E61EC7">
        <w:t xml:space="preserve"> could have received two injections less than patients treated with aflibercept 2 mg </w:t>
      </w:r>
      <w:r w:rsidR="003E5F35" w:rsidRPr="00E61EC7">
        <w:t>every 8 weeks</w:t>
      </w:r>
      <w:r w:rsidRPr="00E61EC7">
        <w:t xml:space="preserve"> dosing (</w:t>
      </w:r>
      <w:r w:rsidR="00CC514D" w:rsidRPr="00E61EC7">
        <w:t xml:space="preserve">see </w:t>
      </w:r>
      <w:r w:rsidRPr="00E61EC7">
        <w:fldChar w:fldCharType="begin"/>
      </w:r>
      <w:r w:rsidRPr="00E61EC7">
        <w:instrText xml:space="preserve"> REF _Ref102560659 \h  \* MERGEFORMAT </w:instrText>
      </w:r>
      <w:r w:rsidRPr="00E61EC7">
        <w:fldChar w:fldCharType="separate"/>
      </w:r>
      <w:r w:rsidR="001E25B5" w:rsidRPr="00E61EC7">
        <w:t xml:space="preserve">Table </w:t>
      </w:r>
      <w:r w:rsidR="001E25B5">
        <w:t>27</w:t>
      </w:r>
      <w:r w:rsidRPr="00E61EC7">
        <w:fldChar w:fldCharType="end"/>
      </w:r>
      <w:r w:rsidR="00CC514D" w:rsidRPr="00E61EC7">
        <w:t xml:space="preserve"> below</w:t>
      </w:r>
      <w:r w:rsidRPr="00E61EC7">
        <w:t>), while achieving a change in BCVA which was similar to aflibercept 2</w:t>
      </w:r>
      <w:r w:rsidR="00CC514D" w:rsidRPr="00E61EC7">
        <w:t> </w:t>
      </w:r>
      <w:r w:rsidRPr="00E61EC7">
        <w:t xml:space="preserve">mg </w:t>
      </w:r>
      <w:r w:rsidR="003E5F35" w:rsidRPr="00E61EC7">
        <w:t>every 8 weeks</w:t>
      </w:r>
      <w:r w:rsidRPr="00E61EC7">
        <w:t xml:space="preserve"> with an acceptable safety profile. A personalised dosing regimen beyond Week 60 has not been assessed for the </w:t>
      </w:r>
      <w:proofErr w:type="spellStart"/>
      <w:r w:rsidRPr="00E61EC7">
        <w:t>nAMD</w:t>
      </w:r>
      <w:proofErr w:type="spellEnd"/>
      <w:r w:rsidRPr="00E61EC7">
        <w:t xml:space="preserve"> indication</w:t>
      </w:r>
      <w:r w:rsidR="00815850">
        <w:t xml:space="preserve"> as the studies were still ongoing</w:t>
      </w:r>
      <w:r w:rsidRPr="00E61EC7">
        <w:t>.</w:t>
      </w:r>
    </w:p>
    <w:p w14:paraId="5E4639D0" w14:textId="614F9918" w:rsidR="00C470FC" w:rsidRPr="00E61EC7" w:rsidRDefault="002A2C48" w:rsidP="00DF4190">
      <w:pPr>
        <w:pStyle w:val="TableTitle"/>
      </w:pPr>
      <w:bookmarkStart w:id="107" w:name="_Ref102560219"/>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26</w:t>
      </w:r>
      <w:r w:rsidR="00C22604" w:rsidRPr="00E61EC7">
        <w:rPr>
          <w:noProof/>
        </w:rPr>
        <w:fldChar w:fldCharType="end"/>
      </w:r>
      <w:bookmarkEnd w:id="107"/>
      <w:r w:rsidR="00CC514D" w:rsidRPr="00E61EC7">
        <w:t>:</w:t>
      </w:r>
      <w:r w:rsidRPr="00E61EC7">
        <w:t xml:space="preserve"> Studies GR40306 and GR40844 (</w:t>
      </w:r>
      <w:r w:rsidR="00896B16" w:rsidRPr="00E61EC7">
        <w:t xml:space="preserve">TENAYA </w:t>
      </w:r>
      <w:r w:rsidR="00896B16">
        <w:t xml:space="preserve">and </w:t>
      </w:r>
      <w:r w:rsidRPr="00E61EC7">
        <w:t>LUCERNE</w:t>
      </w:r>
      <w:r w:rsidR="00215642" w:rsidRPr="00E61EC7">
        <w:t xml:space="preserve"> trial</w:t>
      </w:r>
      <w:r w:rsidR="00896B16">
        <w:t>s</w:t>
      </w:r>
      <w:r w:rsidRPr="00E61EC7">
        <w:t xml:space="preserve">) Change from </w:t>
      </w:r>
      <w:r w:rsidR="00533A7C" w:rsidRPr="00E61EC7">
        <w:t>Baseline</w:t>
      </w:r>
      <w:r w:rsidRPr="00E61EC7">
        <w:t xml:space="preserve"> in </w:t>
      </w:r>
      <w:r w:rsidR="00CC514D" w:rsidRPr="00E61EC7">
        <w:t xml:space="preserve">best corrected visual acuity </w:t>
      </w:r>
      <w:r w:rsidRPr="00E61EC7">
        <w:t>in the study eye averaged over Weeks</w:t>
      </w:r>
      <w:r w:rsidR="00FB2BF6" w:rsidRPr="00E61EC7">
        <w:t> </w:t>
      </w:r>
      <w:r w:rsidRPr="00E61EC7">
        <w:t>52, 56</w:t>
      </w:r>
      <w:r w:rsidR="00CC514D" w:rsidRPr="00E61EC7">
        <w:t xml:space="preserve"> and</w:t>
      </w:r>
      <w:r w:rsidRPr="00E61EC7">
        <w:t xml:space="preserve"> 60 by </w:t>
      </w:r>
      <w:proofErr w:type="spellStart"/>
      <w:r w:rsidRPr="00E61EC7">
        <w:t>faricimab</w:t>
      </w:r>
      <w:proofErr w:type="spellEnd"/>
      <w:r w:rsidRPr="00E61EC7">
        <w:t xml:space="preserve"> treatment interval (</w:t>
      </w:r>
      <w:r w:rsidR="00CC514D" w:rsidRPr="00E61EC7">
        <w:t>intent-to-treat</w:t>
      </w:r>
      <w:r w:rsidRPr="00E61EC7">
        <w:t xml:space="preserve"> population)</w:t>
      </w:r>
    </w:p>
    <w:p w14:paraId="6E54D8E3" w14:textId="2976A358" w:rsidR="00B77897" w:rsidRPr="00E61EC7" w:rsidRDefault="002A2C48" w:rsidP="00DF4190">
      <w:r w:rsidRPr="00E61EC7">
        <w:rPr>
          <w:noProof/>
          <w:lang w:val="en-GB" w:eastAsia="en-GB"/>
        </w:rPr>
        <w:drawing>
          <wp:inline distT="0" distB="0" distL="0" distR="0" wp14:anchorId="03E4E867" wp14:editId="414DEE9C">
            <wp:extent cx="3938769" cy="2819759"/>
            <wp:effectExtent l="0" t="0" r="5080" b="0"/>
            <wp:docPr id="17" name="Picture 17" descr="Table 26: Studies GR40306 and GR40844 (TENAYA and LUCERNE trials) Change from Baseline in best corrected visual acuity in the study eye averaged over Weeks 52, 56 and 60 by faricimab treatment interval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 26: Studies GR40306 and GR40844 (TENAYA and LUCERNE trials) Change from Baseline in best corrected visual acuity in the study eye averaged over Weeks 52, 56 and 60 by faricimab treatment interval (intent-to-treat population)"/>
                    <pic:cNvPicPr/>
                  </pic:nvPicPr>
                  <pic:blipFill>
                    <a:blip r:embed="rId54"/>
                    <a:stretch>
                      <a:fillRect/>
                    </a:stretch>
                  </pic:blipFill>
                  <pic:spPr>
                    <a:xfrm>
                      <a:off x="0" y="0"/>
                      <a:ext cx="3955229" cy="2831543"/>
                    </a:xfrm>
                    <a:prstGeom prst="rect">
                      <a:avLst/>
                    </a:prstGeom>
                  </pic:spPr>
                </pic:pic>
              </a:graphicData>
            </a:graphic>
          </wp:inline>
        </w:drawing>
      </w:r>
    </w:p>
    <w:p w14:paraId="2FC9A6B0" w14:textId="6640F477" w:rsidR="00B77897" w:rsidRPr="00E61EC7" w:rsidRDefault="002A2C48" w:rsidP="00DF4190">
      <w:pPr>
        <w:pStyle w:val="TableDescription"/>
      </w:pPr>
      <w:r w:rsidRPr="00E61EC7">
        <w:t xml:space="preserve">Abbreviations: </w:t>
      </w:r>
      <w:r w:rsidR="00C719EA" w:rsidRPr="00E61EC7">
        <w:t xml:space="preserve">CI = confidence interval; n = number of subjects in group; </w:t>
      </w:r>
      <w:r w:rsidRPr="00E61EC7">
        <w:t>Q8W = every 8 weeks; Q12W = every 12 weeks; Q16W = every 16 weeks; SD = standard deviation.</w:t>
      </w:r>
    </w:p>
    <w:p w14:paraId="45A97BFD" w14:textId="77777777" w:rsidR="007146B2" w:rsidRDefault="002A2C48" w:rsidP="00DF4190">
      <w:pPr>
        <w:pStyle w:val="TableDescription"/>
      </w:pPr>
      <w:r w:rsidRPr="00E61EC7">
        <w:t>95% CI is a rounding of 95.03% CI.</w:t>
      </w:r>
    </w:p>
    <w:p w14:paraId="289BCBFB" w14:textId="4B3EDCCD" w:rsidR="00B77897" w:rsidRPr="00E61EC7" w:rsidRDefault="002A2C48" w:rsidP="00DF4190">
      <w:pPr>
        <w:pStyle w:val="TableDescription"/>
      </w:pPr>
      <w:r w:rsidRPr="00E61EC7">
        <w:t>n is patients with at least one non-missing assessment at Weeks 52, 56 and 60.</w:t>
      </w:r>
    </w:p>
    <w:p w14:paraId="68D5FEA7" w14:textId="48AC295A" w:rsidR="00C470FC" w:rsidRPr="00E61EC7" w:rsidRDefault="002A2C48" w:rsidP="00DF4190">
      <w:pPr>
        <w:pStyle w:val="TableTitle"/>
      </w:pPr>
      <w:bookmarkStart w:id="108" w:name="_Ref102560659"/>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27</w:t>
      </w:r>
      <w:r w:rsidR="00C22604" w:rsidRPr="00E61EC7">
        <w:rPr>
          <w:noProof/>
        </w:rPr>
        <w:fldChar w:fldCharType="end"/>
      </w:r>
      <w:bookmarkEnd w:id="108"/>
      <w:r w:rsidR="00CC514D" w:rsidRPr="00E61EC7">
        <w:t>:</w:t>
      </w:r>
      <w:r w:rsidRPr="00E61EC7">
        <w:t xml:space="preserve"> Studies GR40306 and GR40844 (</w:t>
      </w:r>
      <w:r w:rsidR="00054A12" w:rsidRPr="00E61EC7">
        <w:t xml:space="preserve">TENAYA </w:t>
      </w:r>
      <w:r w:rsidR="00054A12">
        <w:t xml:space="preserve">and </w:t>
      </w:r>
      <w:r w:rsidRPr="00E61EC7">
        <w:t>LUCERNE</w:t>
      </w:r>
      <w:r w:rsidR="00215642" w:rsidRPr="00E61EC7">
        <w:t xml:space="preserve"> trial</w:t>
      </w:r>
      <w:r w:rsidR="00054A12">
        <w:t>s</w:t>
      </w:r>
      <w:r w:rsidRPr="00E61EC7">
        <w:t>) Distribution of number of injections until Week 60 (</w:t>
      </w:r>
      <w:r w:rsidR="00FB2BF6" w:rsidRPr="00E61EC7">
        <w:t xml:space="preserve">intent-to-treat </w:t>
      </w:r>
      <w:r w:rsidRPr="00E61EC7">
        <w:t>population)</w:t>
      </w:r>
    </w:p>
    <w:p w14:paraId="74974D78" w14:textId="0CAB5A5E" w:rsidR="00C470FC" w:rsidRPr="00E61EC7" w:rsidRDefault="002A2C48" w:rsidP="00DF4190">
      <w:r w:rsidRPr="00E61EC7">
        <w:rPr>
          <w:noProof/>
          <w:lang w:val="en-GB" w:eastAsia="en-GB"/>
        </w:rPr>
        <w:drawing>
          <wp:inline distT="0" distB="0" distL="0" distR="0" wp14:anchorId="48E5944F" wp14:editId="7321D732">
            <wp:extent cx="5107212" cy="2189617"/>
            <wp:effectExtent l="0" t="0" r="0" b="1270"/>
            <wp:docPr id="98" name="Picture 98" descr="Table 27: Studies GR40306 and GR40844 (TENAYA and LUCERNE trials) Distribution of number of injections until Week 60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able 27: Studies GR40306 and GR40844 (TENAYA and LUCERNE trials) Distribution of number of injections until Week 60 (intent-to-treat population)"/>
                    <pic:cNvPicPr>
                      <a:picLocks noChangeAspect="1" noChangeArrowheads="1"/>
                    </pic:cNvPicPr>
                  </pic:nvPicPr>
                  <pic:blipFill>
                    <a:blip r:embed="rId55">
                      <a:extLst>
                        <a:ext uri="{28A0092B-C50C-407E-A947-70E740481C1C}">
                          <a14:useLocalDpi xmlns:a14="http://schemas.microsoft.com/office/drawing/2010/main" val="0"/>
                        </a:ext>
                      </a:extLst>
                    </a:blip>
                    <a:srcRect l="246" t="20803" r="37641"/>
                    <a:stretch>
                      <a:fillRect/>
                    </a:stretch>
                  </pic:blipFill>
                  <pic:spPr bwMode="auto">
                    <a:xfrm>
                      <a:off x="0" y="0"/>
                      <a:ext cx="5137750" cy="2202710"/>
                    </a:xfrm>
                    <a:prstGeom prst="rect">
                      <a:avLst/>
                    </a:prstGeom>
                    <a:noFill/>
                    <a:ln>
                      <a:noFill/>
                    </a:ln>
                    <a:extLst>
                      <a:ext uri="{53640926-AAD7-44D8-BBD7-CCE9431645EC}">
                        <a14:shadowObscured xmlns:a14="http://schemas.microsoft.com/office/drawing/2010/main"/>
                      </a:ext>
                    </a:extLst>
                  </pic:spPr>
                </pic:pic>
              </a:graphicData>
            </a:graphic>
          </wp:inline>
        </w:drawing>
      </w:r>
    </w:p>
    <w:p w14:paraId="24B66CCA" w14:textId="64EF62F4" w:rsidR="00CF4472" w:rsidRPr="00E61EC7" w:rsidRDefault="002A2C48" w:rsidP="00DF4190">
      <w:pPr>
        <w:pStyle w:val="TableDescription"/>
      </w:pPr>
      <w:r w:rsidRPr="00E61EC7">
        <w:t>Abbreviation: N = number of subjects.</w:t>
      </w:r>
    </w:p>
    <w:p w14:paraId="6B83D7A6" w14:textId="77777777" w:rsidR="00C470FC" w:rsidRPr="00E61EC7" w:rsidRDefault="002A2C48" w:rsidP="00C470FC">
      <w:pPr>
        <w:pStyle w:val="Heading6"/>
      </w:pPr>
      <w:r w:rsidRPr="00E61EC7">
        <w:lastRenderedPageBreak/>
        <w:t>Translation to clinical practice</w:t>
      </w:r>
    </w:p>
    <w:p w14:paraId="3BF4DA3D" w14:textId="77777777" w:rsidR="00C470FC" w:rsidRPr="00E61EC7" w:rsidRDefault="002A2C48" w:rsidP="00C470FC">
      <w:r w:rsidRPr="00E61EC7">
        <w:t xml:space="preserve">In the proposed PI, the sponsor proposes the following posology wording for </w:t>
      </w:r>
      <w:proofErr w:type="spellStart"/>
      <w:r w:rsidRPr="00E61EC7">
        <w:t>nAMD</w:t>
      </w:r>
      <w:proofErr w:type="spellEnd"/>
      <w:r w:rsidRPr="00E61EC7">
        <w:t>:</w:t>
      </w:r>
    </w:p>
    <w:p w14:paraId="3B653565" w14:textId="77777777" w:rsidR="00C470FC" w:rsidRPr="00E61EC7" w:rsidRDefault="002A2C48" w:rsidP="00C470FC">
      <w:pPr>
        <w:ind w:left="720"/>
        <w:rPr>
          <w:i/>
          <w:iCs/>
        </w:rPr>
      </w:pPr>
      <w:r w:rsidRPr="00E61EC7">
        <w:rPr>
          <w:i/>
          <w:iCs/>
        </w:rPr>
        <w:t xml:space="preserve">The recommended dose for </w:t>
      </w:r>
      <w:proofErr w:type="spellStart"/>
      <w:r w:rsidRPr="00E61EC7">
        <w:rPr>
          <w:i/>
          <w:iCs/>
        </w:rPr>
        <w:t>Vabysmo</w:t>
      </w:r>
      <w:proofErr w:type="spellEnd"/>
      <w:r w:rsidRPr="00E61EC7">
        <w:rPr>
          <w:i/>
          <w:iCs/>
        </w:rPr>
        <w:t xml:space="preserve"> is 6 mg (0.05 mL) administered by intravitreal injection every 4 weeks (monthly) for the first 4 doses. Thereafter, based on the physician’s judgment of the individual patient’s visual and/or anatomic outcomes, </w:t>
      </w:r>
      <w:proofErr w:type="spellStart"/>
      <w:r w:rsidRPr="00E61EC7">
        <w:rPr>
          <w:i/>
          <w:iCs/>
        </w:rPr>
        <w:t>Vabysmo</w:t>
      </w:r>
      <w:proofErr w:type="spellEnd"/>
      <w:r w:rsidRPr="00E61EC7">
        <w:rPr>
          <w:i/>
          <w:iCs/>
        </w:rPr>
        <w:t xml:space="preserve"> should be administered every 16 weeks (4 months) with some patients requiring dosing at </w:t>
      </w:r>
      <w:proofErr w:type="gramStart"/>
      <w:r w:rsidRPr="00E61EC7">
        <w:rPr>
          <w:i/>
          <w:iCs/>
        </w:rPr>
        <w:t>12 week</w:t>
      </w:r>
      <w:proofErr w:type="gramEnd"/>
      <w:r w:rsidRPr="00E61EC7">
        <w:rPr>
          <w:i/>
          <w:iCs/>
        </w:rPr>
        <w:t xml:space="preserve"> (3 month) or 8 week (2 month) intervals. Monitoring between the dosing visits should be scheduled based on the patient's status and at the physician's discretion.</w:t>
      </w:r>
    </w:p>
    <w:p w14:paraId="34BE385D" w14:textId="77777777" w:rsidR="00C470FC" w:rsidRPr="00E61EC7" w:rsidRDefault="002A2C48" w:rsidP="00C470FC">
      <w:r w:rsidRPr="00E61EC7">
        <w:t xml:space="preserve">For </w:t>
      </w:r>
      <w:proofErr w:type="spellStart"/>
      <w:r w:rsidRPr="00E61EC7">
        <w:t>nAMD</w:t>
      </w:r>
      <w:proofErr w:type="spellEnd"/>
      <w:r w:rsidRPr="00E61EC7">
        <w:t>, the main dosing issues appear to be:</w:t>
      </w:r>
    </w:p>
    <w:p w14:paraId="00850501" w14:textId="71CF33F1" w:rsidR="00C470FC" w:rsidRPr="00E61EC7" w:rsidRDefault="002A2C48" w:rsidP="00C470FC">
      <w:pPr>
        <w:pStyle w:val="ListBullet"/>
      </w:pPr>
      <w:r w:rsidRPr="00E61EC7">
        <w:t>The proposed regimen does not exactly follow the regimen tested in the pivotal trials (</w:t>
      </w:r>
      <w:r w:rsidR="005B01D2" w:rsidRPr="00E61EC7">
        <w:t>for example,</w:t>
      </w:r>
      <w:r w:rsidRPr="00E61EC7">
        <w:t xml:space="preserve"> the first dose adjustment assessment in clinical trial occurred at Week 20, leading to the fifth injection given at least 8 weeks after the fourth by default). However, the proposed dosing may give prescriber more freedom.</w:t>
      </w:r>
    </w:p>
    <w:p w14:paraId="0A1DBA34" w14:textId="4023F6E9" w:rsidR="00C470FC" w:rsidRPr="00E61EC7" w:rsidRDefault="002A2C48" w:rsidP="00C470FC">
      <w:pPr>
        <w:pStyle w:val="ListBullet"/>
      </w:pPr>
      <w:r w:rsidRPr="00E61EC7">
        <w:t xml:space="preserve">The wording is rather vague and non-prescriptive regarding the nature of the ocular assessment needed to adjust the dose (other than a reference to the clinical trial </w:t>
      </w:r>
      <w:r w:rsidR="00FB2BF6" w:rsidRPr="00E61EC7">
        <w:t>S</w:t>
      </w:r>
      <w:r w:rsidRPr="00E61EC7">
        <w:t>ection 5.1</w:t>
      </w:r>
      <w:r w:rsidR="00F9755C" w:rsidRPr="00E61EC7">
        <w:t xml:space="preserve"> of the PI</w:t>
      </w:r>
      <w:r w:rsidRPr="00E61EC7">
        <w:t>).</w:t>
      </w:r>
    </w:p>
    <w:p w14:paraId="317D1145" w14:textId="77777777" w:rsidR="00C470FC" w:rsidRPr="00E61EC7" w:rsidRDefault="002A2C48" w:rsidP="00C470FC">
      <w:pPr>
        <w:pStyle w:val="ListBullet"/>
      </w:pPr>
      <w:r w:rsidRPr="00E61EC7">
        <w:t xml:space="preserve">The wording is rather vague and non-prescriptive </w:t>
      </w:r>
      <w:proofErr w:type="gramStart"/>
      <w:r w:rsidRPr="00E61EC7">
        <w:t>with regard to</w:t>
      </w:r>
      <w:proofErr w:type="gramEnd"/>
      <w:r w:rsidRPr="00E61EC7">
        <w:t xml:space="preserve"> the dose adjustments to be made.</w:t>
      </w:r>
    </w:p>
    <w:p w14:paraId="260C41C6" w14:textId="77777777" w:rsidR="00C470FC" w:rsidRPr="00E61EC7" w:rsidRDefault="002A2C48" w:rsidP="00C470FC">
      <w:pPr>
        <w:pStyle w:val="ListBullet"/>
      </w:pPr>
      <w:r w:rsidRPr="00E61EC7">
        <w:t>There is no recommendation on when treatment should be stopped.</w:t>
      </w:r>
    </w:p>
    <w:p w14:paraId="6D90ACF4" w14:textId="1D58DE6D" w:rsidR="00C470FC" w:rsidRPr="00E61EC7" w:rsidRDefault="002A2C48" w:rsidP="00C470FC">
      <w:pPr>
        <w:pStyle w:val="Heading5"/>
      </w:pPr>
      <w:r w:rsidRPr="00E61EC7">
        <w:t xml:space="preserve">Proposed indication: </w:t>
      </w:r>
      <w:r w:rsidR="005F3D4A" w:rsidRPr="00E61EC7">
        <w:t xml:space="preserve">diabetic macular </w:t>
      </w:r>
      <w:r w:rsidR="00102B5F" w:rsidRPr="00E61EC7">
        <w:t>o</w:t>
      </w:r>
      <w:r w:rsidR="005F3D4A" w:rsidRPr="00E61EC7">
        <w:t>edema</w:t>
      </w:r>
    </w:p>
    <w:p w14:paraId="6247FA1C" w14:textId="77E77677" w:rsidR="00C470FC" w:rsidRPr="00E61EC7" w:rsidRDefault="002A2C48" w:rsidP="00C470FC">
      <w:proofErr w:type="spellStart"/>
      <w:r w:rsidRPr="00E61EC7">
        <w:t>Faricimab</w:t>
      </w:r>
      <w:proofErr w:type="spellEnd"/>
      <w:r w:rsidRPr="00E61EC7">
        <w:t xml:space="preserve"> is a bispecific antibody which targets </w:t>
      </w:r>
      <w:r w:rsidR="0039584C" w:rsidRPr="00E61EC7">
        <w:t>vascular endothelial growth factor A (</w:t>
      </w:r>
      <w:r w:rsidRPr="00E61EC7">
        <w:t>VEGF-A</w:t>
      </w:r>
      <w:r w:rsidR="0039584C" w:rsidRPr="00E61EC7">
        <w:t>)</w:t>
      </w:r>
      <w:r w:rsidRPr="00E61EC7">
        <w:t xml:space="preserve"> and </w:t>
      </w:r>
      <w:r w:rsidR="005C538E" w:rsidRPr="00E61EC7">
        <w:t>angiopoietin-2 (</w:t>
      </w:r>
      <w:r w:rsidRPr="00E61EC7">
        <w:t>Ang-2</w:t>
      </w:r>
      <w:r w:rsidR="005C538E" w:rsidRPr="00E61EC7">
        <w:t>)</w:t>
      </w:r>
      <w:r w:rsidRPr="00E61EC7">
        <w:t xml:space="preserve">, both of which are implicated in the pathophysiology of </w:t>
      </w:r>
      <w:r w:rsidR="00F86CD2" w:rsidRPr="00E61EC7">
        <w:t>diabetic macular oedema (</w:t>
      </w:r>
      <w:r w:rsidR="0039584C" w:rsidRPr="00E61EC7">
        <w:t>DMO</w:t>
      </w:r>
      <w:r w:rsidR="00F86CD2" w:rsidRPr="00E61EC7">
        <w:t>)</w:t>
      </w:r>
      <w:r w:rsidRPr="00E61EC7">
        <w:t>.</w:t>
      </w:r>
    </w:p>
    <w:p w14:paraId="7E52EC8B" w14:textId="3CF0444C" w:rsidR="00C470FC" w:rsidRPr="00E61EC7" w:rsidRDefault="002A2C48" w:rsidP="00C470FC">
      <w:proofErr w:type="spellStart"/>
      <w:r w:rsidRPr="00E61EC7">
        <w:t>Faricimab</w:t>
      </w:r>
      <w:proofErr w:type="spellEnd"/>
      <w:r w:rsidRPr="00E61EC7">
        <w:t xml:space="preserve"> has been evaluated in two identically designed </w:t>
      </w:r>
      <w:r w:rsidR="00533A7C" w:rsidRPr="00E61EC7">
        <w:t>Phase III</w:t>
      </w:r>
      <w:r w:rsidRPr="00E61EC7">
        <w:t xml:space="preserve"> studies (YOSEMITE and RHINE</w:t>
      </w:r>
      <w:r w:rsidR="00FB2BF6" w:rsidRPr="00E61EC7">
        <w:t xml:space="preserve"> trials</w:t>
      </w:r>
      <w:r w:rsidRPr="00E61EC7">
        <w:t xml:space="preserve">) as compared to aflibercept in patients with </w:t>
      </w:r>
      <w:r w:rsidR="0039584C" w:rsidRPr="00E61EC7">
        <w:t>DMO</w:t>
      </w:r>
      <w:r w:rsidRPr="00E61EC7">
        <w:t xml:space="preserve">. Both studies evaluated two dosing regimens of </w:t>
      </w:r>
      <w:proofErr w:type="spellStart"/>
      <w:r w:rsidRPr="00E61EC7">
        <w:t>faricimab</w:t>
      </w:r>
      <w:proofErr w:type="spellEnd"/>
      <w:r w:rsidRPr="00E61EC7">
        <w:t xml:space="preserve">: </w:t>
      </w:r>
      <w:r w:rsidR="003E5F35" w:rsidRPr="00E61EC7">
        <w:t>every 8 weeks</w:t>
      </w:r>
      <w:r w:rsidRPr="00E61EC7">
        <w:t xml:space="preserve"> and </w:t>
      </w:r>
      <w:r w:rsidR="00FC46B4" w:rsidRPr="00E61EC7">
        <w:t>personalised treatment interval (PTI)</w:t>
      </w:r>
      <w:r w:rsidRPr="00E61EC7">
        <w:t xml:space="preserve"> dosing.</w:t>
      </w:r>
    </w:p>
    <w:p w14:paraId="4E4991AC" w14:textId="64C7FD97" w:rsidR="00C470FC" w:rsidRPr="00E61EC7" w:rsidRDefault="002A2C48" w:rsidP="00C470FC">
      <w:pPr>
        <w:pStyle w:val="Heading6"/>
      </w:pPr>
      <w:r w:rsidRPr="00E61EC7">
        <w:t>Non-inferiority to aflibercept</w:t>
      </w:r>
    </w:p>
    <w:p w14:paraId="77665304" w14:textId="2DF6FBC2" w:rsidR="00C470FC" w:rsidRPr="00E61EC7" w:rsidRDefault="002A2C48" w:rsidP="00C470FC">
      <w:r w:rsidRPr="00E61EC7">
        <w:t>Both studies met their primary endpoint and demonstrated non-inferiority of both dosing regimens (</w:t>
      </w:r>
      <w:r w:rsidR="003E5F35" w:rsidRPr="00E61EC7">
        <w:t>every 8 weeks</w:t>
      </w:r>
      <w:r w:rsidRPr="00E61EC7">
        <w:t xml:space="preserve"> and PTI) as compared to aflibercept </w:t>
      </w:r>
      <w:r w:rsidR="003E5F35" w:rsidRPr="00E61EC7">
        <w:t>every 8 weeks</w:t>
      </w:r>
      <w:r w:rsidRPr="00E61EC7">
        <w:t xml:space="preserve"> regimen on the primary endpoint of mean change from </w:t>
      </w:r>
      <w:r w:rsidR="00533A7C" w:rsidRPr="00E61EC7">
        <w:t>Baseline</w:t>
      </w:r>
      <w:r w:rsidRPr="00E61EC7">
        <w:t xml:space="preserve"> in BCVA averaged over 48</w:t>
      </w:r>
      <w:r w:rsidR="00FB2BF6" w:rsidRPr="00E61EC7">
        <w:t xml:space="preserve">, </w:t>
      </w:r>
      <w:r w:rsidRPr="00E61EC7">
        <w:t>52</w:t>
      </w:r>
      <w:r w:rsidR="00FB2BF6" w:rsidRPr="00E61EC7">
        <w:t xml:space="preserve"> and </w:t>
      </w:r>
      <w:r w:rsidRPr="00E61EC7">
        <w:t>56</w:t>
      </w:r>
      <w:r w:rsidR="00FB2BF6" w:rsidRPr="00E61EC7">
        <w:t> </w:t>
      </w:r>
      <w:r w:rsidRPr="00E61EC7">
        <w:t>weeks.</w:t>
      </w:r>
    </w:p>
    <w:p w14:paraId="2B8BB0FF" w14:textId="6B940E0D" w:rsidR="00C470FC" w:rsidRPr="00E61EC7" w:rsidRDefault="002A2C48" w:rsidP="00C470FC">
      <w:r w:rsidRPr="00E61EC7">
        <w:t xml:space="preserve">The pooled data from both studies showed that the mean change from </w:t>
      </w:r>
      <w:r w:rsidR="00533A7C" w:rsidRPr="00E61EC7">
        <w:t>Baseline</w:t>
      </w:r>
      <w:r w:rsidRPr="00E61EC7">
        <w:t xml:space="preserve"> in BCVA in the </w:t>
      </w:r>
      <w:r w:rsidR="00FC46B4" w:rsidRPr="00E61EC7">
        <w:t>intent-to-treat (</w:t>
      </w:r>
      <w:r w:rsidRPr="00E61EC7">
        <w:t>ITT</w:t>
      </w:r>
      <w:r w:rsidR="00FC46B4" w:rsidRPr="00E61EC7">
        <w:t>)</w:t>
      </w:r>
      <w:r w:rsidRPr="00E61EC7">
        <w:t xml:space="preserve"> population at Week</w:t>
      </w:r>
      <w:r w:rsidR="00FB2BF6" w:rsidRPr="00E61EC7">
        <w:t>s</w:t>
      </w:r>
      <w:r w:rsidRPr="00E61EC7">
        <w:t xml:space="preserve"> 48</w:t>
      </w:r>
      <w:r w:rsidR="00FB2BF6" w:rsidRPr="00E61EC7">
        <w:t xml:space="preserve">, </w:t>
      </w:r>
      <w:r w:rsidRPr="00E61EC7">
        <w:t>52</w:t>
      </w:r>
      <w:r w:rsidR="00FB2BF6" w:rsidRPr="00E61EC7">
        <w:t xml:space="preserve"> and </w:t>
      </w:r>
      <w:r w:rsidRPr="00E61EC7">
        <w:t xml:space="preserve">56 was 11.2, 11.2 and 10.5 letters in the </w:t>
      </w:r>
      <w:proofErr w:type="spellStart"/>
      <w:r w:rsidRPr="00E61EC7">
        <w:t>faricimab</w:t>
      </w:r>
      <w:proofErr w:type="spellEnd"/>
      <w:r w:rsidRPr="00E61EC7">
        <w:t xml:space="preserve"> </w:t>
      </w:r>
      <w:r w:rsidR="003E5F35" w:rsidRPr="00E61EC7">
        <w:t>every 8 weeks</w:t>
      </w:r>
      <w:r w:rsidRPr="00E61EC7">
        <w:t xml:space="preserve">, </w:t>
      </w:r>
      <w:proofErr w:type="spellStart"/>
      <w:r w:rsidRPr="00E61EC7">
        <w:t>faricimab</w:t>
      </w:r>
      <w:proofErr w:type="spellEnd"/>
      <w:r w:rsidRPr="00E61EC7">
        <w:t xml:space="preserve"> PTI and aflibercept arms. The difference in adjusted mean (95%</w:t>
      </w:r>
      <w:r w:rsidR="00FB2BF6" w:rsidRPr="00E61EC7">
        <w:t> </w:t>
      </w:r>
      <w:r w:rsidRPr="00E61EC7">
        <w:t xml:space="preserve">CI) was 0.7 (-0.4, 1.7) and 0.6 (-0.4, 1.7) for the </w:t>
      </w:r>
      <w:proofErr w:type="spellStart"/>
      <w:r w:rsidRPr="00E61EC7">
        <w:t>faricimab</w:t>
      </w:r>
      <w:proofErr w:type="spellEnd"/>
      <w:r w:rsidRPr="00E61EC7">
        <w:t xml:space="preserve"> </w:t>
      </w:r>
      <w:r w:rsidR="003E5F35" w:rsidRPr="00E61EC7">
        <w:t>every 8 weeks</w:t>
      </w:r>
      <w:r w:rsidRPr="00E61EC7">
        <w:t xml:space="preserve"> </w:t>
      </w:r>
      <w:r w:rsidR="005B01D2" w:rsidRPr="00E61EC7">
        <w:t>versus</w:t>
      </w:r>
      <w:r w:rsidRPr="00E61EC7">
        <w:t xml:space="preserve"> aflibercept and the </w:t>
      </w:r>
      <w:proofErr w:type="spellStart"/>
      <w:r w:rsidRPr="00E61EC7">
        <w:t>faricimab</w:t>
      </w:r>
      <w:proofErr w:type="spellEnd"/>
      <w:r w:rsidRPr="00E61EC7">
        <w:t xml:space="preserve"> PTI </w:t>
      </w:r>
      <w:r w:rsidR="005B01D2" w:rsidRPr="00E61EC7">
        <w:t>versus</w:t>
      </w:r>
      <w:r w:rsidRPr="00E61EC7">
        <w:t xml:space="preserve"> aflibercept.</w:t>
      </w:r>
    </w:p>
    <w:p w14:paraId="2911F9E2" w14:textId="14315867" w:rsidR="00C470FC" w:rsidRPr="00E61EC7" w:rsidRDefault="002A2C48" w:rsidP="00C470FC">
      <w:r w:rsidRPr="00E61EC7">
        <w:t>Pooled data for the results at Week</w:t>
      </w:r>
      <w:r w:rsidR="00FB2BF6" w:rsidRPr="00E61EC7">
        <w:t>s</w:t>
      </w:r>
      <w:r w:rsidRPr="00E61EC7">
        <w:t xml:space="preserve"> 92</w:t>
      </w:r>
      <w:r w:rsidR="00FB2BF6" w:rsidRPr="00E61EC7">
        <w:t xml:space="preserve">, </w:t>
      </w:r>
      <w:r w:rsidRPr="00E61EC7">
        <w:t>96</w:t>
      </w:r>
      <w:r w:rsidR="00FB2BF6" w:rsidRPr="00E61EC7">
        <w:t xml:space="preserve"> and </w:t>
      </w:r>
      <w:r w:rsidRPr="00E61EC7">
        <w:t xml:space="preserve">100 appear not to be available, but the results appear to be similar (individual study results in </w:t>
      </w:r>
      <w:r w:rsidRPr="00E61EC7">
        <w:fldChar w:fldCharType="begin"/>
      </w:r>
      <w:r w:rsidRPr="00E61EC7">
        <w:instrText xml:space="preserve"> REF _Ref102554724 \h  \* MERGEFORMAT </w:instrText>
      </w:r>
      <w:r w:rsidRPr="00E61EC7">
        <w:fldChar w:fldCharType="separate"/>
      </w:r>
      <w:r w:rsidR="001E25B5" w:rsidRPr="00E61EC7">
        <w:t xml:space="preserve">Table </w:t>
      </w:r>
      <w:r w:rsidR="001E25B5">
        <w:t>14</w:t>
      </w:r>
      <w:r w:rsidRPr="00E61EC7">
        <w:fldChar w:fldCharType="end"/>
      </w:r>
      <w:r w:rsidRPr="00E61EC7">
        <w:t xml:space="preserve"> and </w:t>
      </w:r>
      <w:r w:rsidRPr="00E61EC7">
        <w:fldChar w:fldCharType="begin"/>
      </w:r>
      <w:r w:rsidRPr="00E61EC7">
        <w:instrText xml:space="preserve"> REF _Ref102554733 \h  \* MERGEFORMAT </w:instrText>
      </w:r>
      <w:r w:rsidRPr="00E61EC7">
        <w:fldChar w:fldCharType="separate"/>
      </w:r>
      <w:r w:rsidR="001E25B5" w:rsidRPr="00E61EC7">
        <w:t xml:space="preserve">Table </w:t>
      </w:r>
      <w:r w:rsidR="001E25B5">
        <w:t>16</w:t>
      </w:r>
      <w:r w:rsidRPr="00E61EC7">
        <w:fldChar w:fldCharType="end"/>
      </w:r>
      <w:r w:rsidR="00F214A4" w:rsidRPr="00E61EC7">
        <w:t xml:space="preserve"> above</w:t>
      </w:r>
      <w:r w:rsidRPr="00E61EC7">
        <w:t>).</w:t>
      </w:r>
    </w:p>
    <w:p w14:paraId="31AC2560" w14:textId="2B0F4DC0" w:rsidR="00C470FC" w:rsidRPr="00E61EC7" w:rsidRDefault="002A2C48" w:rsidP="00C470FC">
      <w:r w:rsidRPr="00E61EC7">
        <w:t xml:space="preserve">This is a clinically meaningful improvement in visual acuity in patients with </w:t>
      </w:r>
      <w:r w:rsidR="0039584C" w:rsidRPr="00E61EC7">
        <w:t>DMO</w:t>
      </w:r>
      <w:r w:rsidRPr="00E61EC7">
        <w:t xml:space="preserve"> in both </w:t>
      </w:r>
      <w:r w:rsidR="00E25A41" w:rsidRPr="00E61EC7">
        <w:t>treatment-naïve</w:t>
      </w:r>
      <w:r w:rsidRPr="00E61EC7">
        <w:t xml:space="preserve"> and ITT populations.</w:t>
      </w:r>
    </w:p>
    <w:p w14:paraId="2E38FC24" w14:textId="12DD7CE1" w:rsidR="00C470FC" w:rsidRPr="00E61EC7" w:rsidRDefault="00B56869" w:rsidP="00C470FC">
      <w:r>
        <w:t>N</w:t>
      </w:r>
      <w:r w:rsidR="002A2C48" w:rsidRPr="00E61EC7">
        <w:t>either of the dosing regimens achieved superiority over aflibercept in either the ITT population or in the treatment</w:t>
      </w:r>
      <w:r w:rsidR="00534ABA" w:rsidRPr="00E61EC7">
        <w:t>-</w:t>
      </w:r>
      <w:r w:rsidR="002A2C48" w:rsidRPr="00E61EC7">
        <w:t>naïve sub-group.</w:t>
      </w:r>
    </w:p>
    <w:p w14:paraId="5B2DBFD4" w14:textId="77777777" w:rsidR="00C470FC" w:rsidRPr="00E61EC7" w:rsidRDefault="002A2C48" w:rsidP="00C470FC">
      <w:pPr>
        <w:pStyle w:val="Heading6"/>
      </w:pPr>
      <w:r w:rsidRPr="00E61EC7">
        <w:lastRenderedPageBreak/>
        <w:t>Supportive non-primary endpoints</w:t>
      </w:r>
    </w:p>
    <w:p w14:paraId="0524FE30" w14:textId="2A5298AD" w:rsidR="00C470FC" w:rsidRPr="00E61EC7" w:rsidRDefault="002A2C48" w:rsidP="00C470FC">
      <w:r w:rsidRPr="00E61EC7">
        <w:t>The conclusion of non-inferiority from the primary endpoint was well</w:t>
      </w:r>
      <w:r w:rsidR="00F9755C" w:rsidRPr="00E61EC7">
        <w:t xml:space="preserve"> </w:t>
      </w:r>
      <w:r w:rsidRPr="00E61EC7">
        <w:t>supported by the results from the key secondary endpoint and other secondary endpoints. These endpoints included parameters of visual function (</w:t>
      </w:r>
      <w:r w:rsidR="005B01D2" w:rsidRPr="00E61EC7">
        <w:t>for example,</w:t>
      </w:r>
      <w:r w:rsidRPr="00E61EC7">
        <w:t xml:space="preserve"> proportion of good responders on BCVA</w:t>
      </w:r>
      <w:r w:rsidR="00F9755C" w:rsidRPr="00E61EC7">
        <w:t xml:space="preserve"> and</w:t>
      </w:r>
      <w:r w:rsidRPr="00E61EC7">
        <w:t xml:space="preserve"> change in BCVA over time), disease severity (</w:t>
      </w:r>
      <w:r w:rsidR="005B01D2" w:rsidRPr="00E61EC7">
        <w:t>for example,</w:t>
      </w:r>
      <w:r w:rsidRPr="00E61EC7">
        <w:t xml:space="preserve"> 2</w:t>
      </w:r>
      <w:r w:rsidR="00F9755C" w:rsidRPr="00E61EC7">
        <w:t xml:space="preserve">, </w:t>
      </w:r>
      <w:r w:rsidRPr="00E61EC7">
        <w:t>3</w:t>
      </w:r>
      <w:r w:rsidR="00F9755C" w:rsidRPr="00E61EC7">
        <w:t xml:space="preserve"> or </w:t>
      </w:r>
      <w:r w:rsidRPr="00E61EC7">
        <w:t xml:space="preserve">4-step change </w:t>
      </w:r>
      <w:r w:rsidR="00F9755C" w:rsidRPr="00E61EC7">
        <w:t xml:space="preserve">or higher </w:t>
      </w:r>
      <w:r w:rsidRPr="00E61EC7">
        <w:t xml:space="preserve">in </w:t>
      </w:r>
      <w:r w:rsidR="00F86CD2" w:rsidRPr="00E61EC7">
        <w:t>diabetic retinopathy severity</w:t>
      </w:r>
      <w:r w:rsidRPr="00E61EC7">
        <w:t xml:space="preserve"> from </w:t>
      </w:r>
      <w:r w:rsidR="00533A7C" w:rsidRPr="00E61EC7">
        <w:t>Baseline</w:t>
      </w:r>
      <w:r w:rsidRPr="00E61EC7">
        <w:t xml:space="preserve"> to </w:t>
      </w:r>
      <w:r w:rsidR="00F9755C" w:rsidRPr="00E61EC7">
        <w:t xml:space="preserve">Week </w:t>
      </w:r>
      <w:r w:rsidRPr="00E61EC7">
        <w:t xml:space="preserve">52 as measured by the </w:t>
      </w:r>
      <w:r w:rsidR="00F95A22" w:rsidRPr="00E61EC7">
        <w:t>early treatment diabetic retinopathy study (ETDRS)</w:t>
      </w:r>
      <w:r w:rsidR="00F86CD2" w:rsidRPr="00E61EC7">
        <w:t xml:space="preserve"> Diabetic Retinopathy Severity Scale</w:t>
      </w:r>
      <w:r w:rsidRPr="00E61EC7">
        <w:t>), anatomical</w:t>
      </w:r>
      <w:r w:rsidR="00F9755C" w:rsidRPr="00E61EC7">
        <w:t xml:space="preserve"> or </w:t>
      </w:r>
      <w:r w:rsidRPr="00E61EC7">
        <w:t>morphological changes (</w:t>
      </w:r>
      <w:r w:rsidR="005B01D2" w:rsidRPr="00E61EC7">
        <w:t>for example,</w:t>
      </w:r>
      <w:r w:rsidRPr="00E61EC7">
        <w:t xml:space="preserve"> </w:t>
      </w:r>
      <w:r w:rsidR="00C87795" w:rsidRPr="00E61EC7">
        <w:t>central subfield thickness (</w:t>
      </w:r>
      <w:r w:rsidRPr="00E61EC7">
        <w:t>CST</w:t>
      </w:r>
      <w:r w:rsidR="00C87795" w:rsidRPr="00E61EC7">
        <w:t>)</w:t>
      </w:r>
      <w:r w:rsidRPr="00E61EC7">
        <w:t>) and patient reported outcomes (</w:t>
      </w:r>
      <w:r w:rsidR="00F95A22" w:rsidRPr="00E61EC7">
        <w:t>National Eye Institute 25-Item Visual Function Questionnaire</w:t>
      </w:r>
      <w:r w:rsidRPr="00E61EC7">
        <w:t>).</w:t>
      </w:r>
      <w:r>
        <w:rPr>
          <w:rStyle w:val="FootnoteReference"/>
        </w:rPr>
        <w:footnoteReference w:id="17"/>
      </w:r>
    </w:p>
    <w:p w14:paraId="77382690" w14:textId="77777777" w:rsidR="00C470FC" w:rsidRPr="00E61EC7" w:rsidRDefault="002A2C48" w:rsidP="00C470FC">
      <w:r w:rsidRPr="00E61EC7">
        <w:t xml:space="preserve">Both dosing regimens of </w:t>
      </w:r>
      <w:proofErr w:type="spellStart"/>
      <w:r w:rsidRPr="00E61EC7">
        <w:t>faricimab</w:t>
      </w:r>
      <w:proofErr w:type="spellEnd"/>
      <w:r w:rsidRPr="00E61EC7">
        <w:t xml:space="preserve"> showed comparable effects to aflibercept on all these endpoints, but for some of the anatomical endpoints such as CST, both </w:t>
      </w:r>
      <w:proofErr w:type="spellStart"/>
      <w:r w:rsidRPr="00E61EC7">
        <w:t>faricimab</w:t>
      </w:r>
      <w:proofErr w:type="spellEnd"/>
      <w:r w:rsidRPr="00E61EC7">
        <w:t xml:space="preserve"> regimens showed a numerically, but not statistically significant greater reduction (compared to aflibercept) across both studies. However, the clinical relevance of this has not been established.</w:t>
      </w:r>
    </w:p>
    <w:p w14:paraId="402C6C2E" w14:textId="38EBAA80" w:rsidR="00C470FC" w:rsidRPr="00E61EC7" w:rsidRDefault="002A2C48" w:rsidP="00C470FC">
      <w:r w:rsidRPr="00E61EC7">
        <w:t xml:space="preserve">On the key secondary endpoint of proportion of patients with a 2-step </w:t>
      </w:r>
      <w:r w:rsidR="00F86CD2" w:rsidRPr="00E61EC7">
        <w:t>diabetic retinopathy severity</w:t>
      </w:r>
      <w:r w:rsidRPr="00E61EC7">
        <w:t xml:space="preserve"> improvement</w:t>
      </w:r>
      <w:r w:rsidR="00F9755C" w:rsidRPr="00E61EC7">
        <w:t xml:space="preserve"> or higher</w:t>
      </w:r>
      <w:r w:rsidRPr="00E61EC7">
        <w:t xml:space="preserve"> from </w:t>
      </w:r>
      <w:r w:rsidR="00533A7C" w:rsidRPr="00E61EC7">
        <w:t>Baseline</w:t>
      </w:r>
      <w:r w:rsidRPr="00E61EC7">
        <w:t xml:space="preserve"> on the ETDRS </w:t>
      </w:r>
      <w:r w:rsidR="00F86CD2" w:rsidRPr="00E61EC7">
        <w:t>Diabetic Retinopathy Severity Scale</w:t>
      </w:r>
      <w:r w:rsidRPr="00E61EC7">
        <w:t xml:space="preserve"> with a clinically relevant benefit in all three treatment arms. For this endpoint, non-inferiority was only demonstrated in the YOSEMITE </w:t>
      </w:r>
      <w:r w:rsidR="00F9755C" w:rsidRPr="00E61EC7">
        <w:t>trial</w:t>
      </w:r>
      <w:r w:rsidRPr="00E61EC7">
        <w:t xml:space="preserve"> and the pooled data, but not in </w:t>
      </w:r>
      <w:r w:rsidR="00F9755C" w:rsidRPr="00E61EC7">
        <w:t xml:space="preserve">the </w:t>
      </w:r>
      <w:r w:rsidRPr="00E61EC7">
        <w:t>RHINE</w:t>
      </w:r>
      <w:r w:rsidR="00F9755C" w:rsidRPr="00E61EC7">
        <w:t xml:space="preserve"> trial</w:t>
      </w:r>
      <w:r w:rsidRPr="00E61EC7">
        <w:t>.</w:t>
      </w:r>
    </w:p>
    <w:p w14:paraId="577E486F" w14:textId="16BD6730" w:rsidR="00C470FC" w:rsidRPr="00E61EC7" w:rsidRDefault="00B56869" w:rsidP="00B56869">
      <w:pPr>
        <w:pStyle w:val="Heading6"/>
      </w:pPr>
      <w:r>
        <w:t>Dosing considerations: a</w:t>
      </w:r>
      <w:r w:rsidR="002A2C48" w:rsidRPr="00B56869">
        <w:t>natomical</w:t>
      </w:r>
      <w:r w:rsidR="002A2C48" w:rsidRPr="00E61EC7">
        <w:t xml:space="preserve"> endpoint (</w:t>
      </w:r>
      <w:r w:rsidR="005B01D2" w:rsidRPr="00E61EC7">
        <w:t>for example,</w:t>
      </w:r>
      <w:r w:rsidR="002A2C48" w:rsidRPr="00E61EC7">
        <w:t xml:space="preserve"> </w:t>
      </w:r>
      <w:r w:rsidR="000E4FBF" w:rsidRPr="00E61EC7">
        <w:t>central subfield thickness</w:t>
      </w:r>
      <w:r w:rsidR="002A2C48" w:rsidRPr="00E61EC7">
        <w:t xml:space="preserve">) implications on </w:t>
      </w:r>
      <w:r w:rsidR="000E4FBF" w:rsidRPr="00E61EC7">
        <w:t xml:space="preserve">personalised treatment interval </w:t>
      </w:r>
      <w:r w:rsidR="002A2C48" w:rsidRPr="00E61EC7">
        <w:t>dosing</w:t>
      </w:r>
    </w:p>
    <w:p w14:paraId="22ADB77F" w14:textId="77777777" w:rsidR="00C470FC" w:rsidRPr="00E61EC7" w:rsidRDefault="002A2C48" w:rsidP="00C470FC">
      <w:r w:rsidRPr="00E61EC7">
        <w:t xml:space="preserve">The sponsor considers that the greater effect on anatomical endpoints could translate to a longer duration of action for </w:t>
      </w:r>
      <w:proofErr w:type="spellStart"/>
      <w:r w:rsidRPr="00E61EC7">
        <w:t>faricimab</w:t>
      </w:r>
      <w:proofErr w:type="spellEnd"/>
      <w:r w:rsidRPr="00E61EC7">
        <w:t xml:space="preserve"> allowing it to be administered less frequently than aflibercept. This was tested in the PTI regimen, where based on a clinical algorithm, patients were progressively treated at longer intervals provided they did not show any significant progression of disease based on change in CST and BCVA.</w:t>
      </w:r>
    </w:p>
    <w:p w14:paraId="7D654F8F" w14:textId="7B2C4FAF" w:rsidR="00C470FC" w:rsidRPr="00E61EC7" w:rsidRDefault="00B56869" w:rsidP="00B56869">
      <w:pPr>
        <w:pStyle w:val="Heading6"/>
      </w:pPr>
      <w:r>
        <w:t>Dosing considerations: e</w:t>
      </w:r>
      <w:r w:rsidR="002A2C48" w:rsidRPr="00E61EC7">
        <w:t xml:space="preserve">fficacy comparison of </w:t>
      </w:r>
      <w:proofErr w:type="spellStart"/>
      <w:r w:rsidR="002A2C48" w:rsidRPr="00E61EC7">
        <w:t>faricimab</w:t>
      </w:r>
      <w:proofErr w:type="spellEnd"/>
      <w:r w:rsidR="002A2C48" w:rsidRPr="00E61EC7">
        <w:t xml:space="preserve"> </w:t>
      </w:r>
      <w:r w:rsidR="003E5F35" w:rsidRPr="00E61EC7">
        <w:t>every 8 weeks</w:t>
      </w:r>
      <w:r w:rsidR="002A2C48" w:rsidRPr="00E61EC7">
        <w:t xml:space="preserve"> </w:t>
      </w:r>
      <w:r w:rsidR="005B01D2" w:rsidRPr="00E61EC7">
        <w:t>versus</w:t>
      </w:r>
      <w:r w:rsidR="002A2C48" w:rsidRPr="00E61EC7">
        <w:t xml:space="preserve"> </w:t>
      </w:r>
      <w:r w:rsidR="000E4FBF" w:rsidRPr="00E61EC7">
        <w:t xml:space="preserve">personalised treatment interval </w:t>
      </w:r>
      <w:r w:rsidR="002A2C48" w:rsidRPr="00E61EC7">
        <w:t>dosing</w:t>
      </w:r>
    </w:p>
    <w:p w14:paraId="32AA2BA5" w14:textId="7C62F048" w:rsidR="00C470FC" w:rsidRPr="00E61EC7" w:rsidRDefault="002A2C48" w:rsidP="00C470FC">
      <w:r w:rsidRPr="00E61EC7">
        <w:t xml:space="preserve">As the clinical experience with the extended intervals of </w:t>
      </w:r>
      <w:r w:rsidR="000E4FBF" w:rsidRPr="00E61EC7">
        <w:t>every 12 weeks</w:t>
      </w:r>
      <w:r w:rsidRPr="00E61EC7">
        <w:t xml:space="preserve"> and </w:t>
      </w:r>
      <w:r w:rsidR="000E4FBF" w:rsidRPr="00E61EC7">
        <w:t>every 16</w:t>
      </w:r>
      <w:r w:rsidR="00F9755C" w:rsidRPr="00E61EC7">
        <w:t> </w:t>
      </w:r>
      <w:r w:rsidR="000E4FBF" w:rsidRPr="00E61EC7">
        <w:t>weeks</w:t>
      </w:r>
      <w:r w:rsidRPr="00E61EC7">
        <w:t xml:space="preserve"> is for limited cycles in a proportion of the patient population randomised to PTI in the 52-week data presented, the sponsor has submitted updated clinical study reports of both studies including data through week 100. The change from </w:t>
      </w:r>
      <w:r w:rsidR="00533A7C" w:rsidRPr="00E61EC7">
        <w:t>Baseline</w:t>
      </w:r>
      <w:r w:rsidRPr="00E61EC7">
        <w:t xml:space="preserve"> to </w:t>
      </w:r>
      <w:r w:rsidR="00F9755C" w:rsidRPr="00E61EC7">
        <w:t xml:space="preserve">Week </w:t>
      </w:r>
      <w:r w:rsidRPr="00E61EC7">
        <w:t xml:space="preserve">100 in BCVA as determined as an average of </w:t>
      </w:r>
      <w:r w:rsidR="00F9755C" w:rsidRPr="00E61EC7">
        <w:t xml:space="preserve">Weeks </w:t>
      </w:r>
      <w:r w:rsidRPr="00E61EC7">
        <w:t>92</w:t>
      </w:r>
      <w:r w:rsidR="00F9755C" w:rsidRPr="00E61EC7">
        <w:t xml:space="preserve">, </w:t>
      </w:r>
      <w:r w:rsidRPr="00E61EC7">
        <w:t>96</w:t>
      </w:r>
      <w:r w:rsidR="00F9755C" w:rsidRPr="00E61EC7">
        <w:t xml:space="preserve"> and </w:t>
      </w:r>
      <w:r w:rsidRPr="00E61EC7">
        <w:t xml:space="preserve">100 in </w:t>
      </w:r>
      <w:proofErr w:type="spellStart"/>
      <w:r w:rsidRPr="00E61EC7">
        <w:t>faricimab</w:t>
      </w:r>
      <w:proofErr w:type="spellEnd"/>
      <w:r w:rsidRPr="00E61EC7">
        <w:t xml:space="preserve"> PTI arm was shown to be comparable to both </w:t>
      </w:r>
      <w:proofErr w:type="spellStart"/>
      <w:r w:rsidRPr="00E61EC7">
        <w:t>faricimab</w:t>
      </w:r>
      <w:proofErr w:type="spellEnd"/>
      <w:r w:rsidRPr="00E61EC7">
        <w:t xml:space="preserve"> </w:t>
      </w:r>
      <w:r w:rsidR="003E5F35" w:rsidRPr="00E61EC7">
        <w:t>every 8 weeks</w:t>
      </w:r>
      <w:r w:rsidRPr="00E61EC7">
        <w:t xml:space="preserve"> and aflibercept </w:t>
      </w:r>
      <w:r w:rsidR="003E5F35" w:rsidRPr="00E61EC7">
        <w:t>every 8 weeks</w:t>
      </w:r>
      <w:r w:rsidRPr="00E61EC7">
        <w:t xml:space="preserve"> in both studies.</w:t>
      </w:r>
    </w:p>
    <w:p w14:paraId="455914CF" w14:textId="5B6F8B51" w:rsidR="00C470FC" w:rsidRPr="00E61EC7" w:rsidRDefault="002A2C48" w:rsidP="00C470FC">
      <w:r w:rsidRPr="00E61EC7">
        <w:t xml:space="preserve">Further, all other secondary endpoints also showed a similar relevant and significant effect in the </w:t>
      </w:r>
      <w:proofErr w:type="spellStart"/>
      <w:r w:rsidRPr="00E61EC7">
        <w:t>faricimab</w:t>
      </w:r>
      <w:proofErr w:type="spellEnd"/>
      <w:r w:rsidRPr="00E61EC7">
        <w:t xml:space="preserve"> PTI arm comparable to the other two arms. This effect was achieved with 60% and 64.5% of patients in the PTI arms of </w:t>
      </w:r>
      <w:r w:rsidR="00F9755C" w:rsidRPr="00E61EC7">
        <w:t xml:space="preserve">the </w:t>
      </w:r>
      <w:r w:rsidRPr="00E61EC7">
        <w:t>YOSEMITE and RHINE</w:t>
      </w:r>
      <w:r w:rsidR="00F9755C" w:rsidRPr="00E61EC7">
        <w:t xml:space="preserve"> trials</w:t>
      </w:r>
      <w:r w:rsidRPr="00E61EC7">
        <w:t xml:space="preserve">, respectively reaching </w:t>
      </w:r>
      <w:r w:rsidR="000E4FBF" w:rsidRPr="00E61EC7">
        <w:t>every 16 weeks</w:t>
      </w:r>
      <w:r w:rsidRPr="00E61EC7">
        <w:t xml:space="preserve"> dosing frequency at </w:t>
      </w:r>
      <w:r w:rsidR="00F9755C" w:rsidRPr="00E61EC7">
        <w:t xml:space="preserve">Week </w:t>
      </w:r>
      <w:r w:rsidRPr="00E61EC7">
        <w:t xml:space="preserve">100 (an increase from the 52.8% and 51% who had achieved this dosing frequency at </w:t>
      </w:r>
      <w:r w:rsidR="00F9755C" w:rsidRPr="00E61EC7">
        <w:t xml:space="preserve">Week </w:t>
      </w:r>
      <w:r w:rsidRPr="00E61EC7">
        <w:t>52).</w:t>
      </w:r>
    </w:p>
    <w:p w14:paraId="05802810" w14:textId="05EB6815" w:rsidR="00C470FC" w:rsidRPr="00E61EC7" w:rsidRDefault="002A2C48" w:rsidP="00C470FC">
      <w:r w:rsidRPr="00E61EC7">
        <w:t xml:space="preserve">In the YOSEMITE </w:t>
      </w:r>
      <w:r w:rsidR="00F9755C" w:rsidRPr="00E61EC7">
        <w:t>trial</w:t>
      </w:r>
      <w:r w:rsidRPr="00E61EC7">
        <w:t xml:space="preserve">, the </w:t>
      </w:r>
      <w:proofErr w:type="spellStart"/>
      <w:r w:rsidRPr="00E61EC7">
        <w:t>faricimab</w:t>
      </w:r>
      <w:proofErr w:type="spellEnd"/>
      <w:r w:rsidRPr="00E61EC7">
        <w:t xml:space="preserve"> PTI results were marginally numerically better than for </w:t>
      </w:r>
      <w:proofErr w:type="spellStart"/>
      <w:r w:rsidRPr="00E61EC7">
        <w:t>faricimab</w:t>
      </w:r>
      <w:proofErr w:type="spellEnd"/>
      <w:r w:rsidRPr="00E61EC7">
        <w:t xml:space="preserve"> </w:t>
      </w:r>
      <w:r w:rsidR="003E5F35" w:rsidRPr="00E61EC7">
        <w:t>every 8 weeks</w:t>
      </w:r>
      <w:r w:rsidRPr="00E61EC7">
        <w:t xml:space="preserve">, while the opposite is observed in </w:t>
      </w:r>
      <w:r w:rsidR="00F9755C" w:rsidRPr="00E61EC7">
        <w:t xml:space="preserve">the </w:t>
      </w:r>
      <w:r w:rsidRPr="00E61EC7">
        <w:t>RHINE</w:t>
      </w:r>
      <w:r w:rsidR="00F9755C" w:rsidRPr="00E61EC7">
        <w:t xml:space="preserve"> trial</w:t>
      </w:r>
      <w:r w:rsidRPr="00E61EC7">
        <w:t>. This may be due to variability.</w:t>
      </w:r>
    </w:p>
    <w:p w14:paraId="208D9FA4" w14:textId="6DF9F611" w:rsidR="00C470FC" w:rsidRPr="00E61EC7" w:rsidRDefault="00B56869" w:rsidP="00B56869">
      <w:pPr>
        <w:pStyle w:val="Heading6"/>
      </w:pPr>
      <w:r>
        <w:lastRenderedPageBreak/>
        <w:t>Dosing considerations: i</w:t>
      </w:r>
      <w:r w:rsidR="002A2C48" w:rsidRPr="00E61EC7">
        <w:t xml:space="preserve">njection number comparison of </w:t>
      </w:r>
      <w:proofErr w:type="spellStart"/>
      <w:r w:rsidR="002A2C48" w:rsidRPr="00E61EC7">
        <w:t>faricimab</w:t>
      </w:r>
      <w:proofErr w:type="spellEnd"/>
      <w:r w:rsidR="002A2C48" w:rsidRPr="00E61EC7">
        <w:t xml:space="preserve"> </w:t>
      </w:r>
      <w:r w:rsidR="003E5F35" w:rsidRPr="00E61EC7">
        <w:t>every 8 weeks</w:t>
      </w:r>
      <w:r w:rsidR="002A2C48" w:rsidRPr="00E61EC7">
        <w:t xml:space="preserve"> </w:t>
      </w:r>
      <w:r w:rsidR="005B01D2" w:rsidRPr="00E61EC7">
        <w:t>versus</w:t>
      </w:r>
      <w:r w:rsidR="002A2C48" w:rsidRPr="00E61EC7">
        <w:t xml:space="preserve"> </w:t>
      </w:r>
      <w:r w:rsidR="000E4FBF" w:rsidRPr="00E61EC7">
        <w:t xml:space="preserve">personalised treatment interval </w:t>
      </w:r>
      <w:r w:rsidR="002A2C48" w:rsidRPr="00E61EC7">
        <w:t>dosing</w:t>
      </w:r>
    </w:p>
    <w:p w14:paraId="74322866" w14:textId="49DD4B59" w:rsidR="00C470FC" w:rsidRPr="00E61EC7" w:rsidRDefault="002A2C48" w:rsidP="00C470FC">
      <w:r w:rsidRPr="00E61EC7">
        <w:t>The distribution of number of injections until Week 96</w:t>
      </w:r>
      <w:r w:rsidR="00F9755C" w:rsidRPr="00E61EC7">
        <w:t xml:space="preserve"> in the </w:t>
      </w:r>
      <w:r w:rsidR="00FC46B4" w:rsidRPr="00E61EC7">
        <w:t>ITT</w:t>
      </w:r>
      <w:r w:rsidRPr="00E61EC7">
        <w:t xml:space="preserve"> population in </w:t>
      </w:r>
      <w:r w:rsidR="00F9755C" w:rsidRPr="00E61EC7">
        <w:t xml:space="preserve">the </w:t>
      </w:r>
      <w:r w:rsidRPr="00E61EC7">
        <w:t xml:space="preserve">YOSEMITE and RHINE </w:t>
      </w:r>
      <w:r w:rsidR="00F9755C" w:rsidRPr="00E61EC7">
        <w:t xml:space="preserve">trials </w:t>
      </w:r>
      <w:r w:rsidRPr="00E61EC7">
        <w:t xml:space="preserve">is shown in </w:t>
      </w:r>
      <w:r w:rsidRPr="00E61EC7">
        <w:fldChar w:fldCharType="begin"/>
      </w:r>
      <w:r w:rsidRPr="00E61EC7">
        <w:instrText xml:space="preserve"> REF _Ref102554354 \h  \* MERGEFORMAT </w:instrText>
      </w:r>
      <w:r w:rsidRPr="00E61EC7">
        <w:fldChar w:fldCharType="separate"/>
      </w:r>
      <w:r w:rsidR="001E25B5" w:rsidRPr="00E61EC7">
        <w:t xml:space="preserve">Table </w:t>
      </w:r>
      <w:r w:rsidR="001E25B5">
        <w:t>28</w:t>
      </w:r>
      <w:r w:rsidRPr="00E61EC7">
        <w:fldChar w:fldCharType="end"/>
      </w:r>
      <w:r w:rsidR="00F9755C" w:rsidRPr="00E61EC7">
        <w:t xml:space="preserve"> below</w:t>
      </w:r>
      <w:r w:rsidRPr="00E61EC7">
        <w:t>.</w:t>
      </w:r>
    </w:p>
    <w:p w14:paraId="081B7EDD" w14:textId="77777777" w:rsidR="00F9755C" w:rsidRPr="00E61EC7" w:rsidRDefault="002A2C48" w:rsidP="00F9755C">
      <w:r w:rsidRPr="00E61EC7">
        <w:t xml:space="preserve">In both studies, most patients in the </w:t>
      </w:r>
      <w:proofErr w:type="spellStart"/>
      <w:r w:rsidRPr="00E61EC7">
        <w:t>faricimab</w:t>
      </w:r>
      <w:proofErr w:type="spellEnd"/>
      <w:r w:rsidRPr="00E61EC7">
        <w:t xml:space="preserve"> </w:t>
      </w:r>
      <w:r w:rsidR="003E5F35" w:rsidRPr="00E61EC7">
        <w:t>every 8 weeks</w:t>
      </w:r>
      <w:r w:rsidRPr="00E61EC7">
        <w:t xml:space="preserve"> received 14 to 15 injections, and mostly 9 to 14 injections in the PTI arm. A lower number of injections may be able to reduce ADRs and comparatively improve compliance and quality of life.</w:t>
      </w:r>
    </w:p>
    <w:p w14:paraId="0E61E239" w14:textId="4748E271" w:rsidR="00F9755C" w:rsidRPr="00E61EC7" w:rsidRDefault="002A2C48" w:rsidP="00F9755C">
      <w:r w:rsidRPr="00E61EC7">
        <w:t>But differences in exposure (</w:t>
      </w:r>
      <w:r w:rsidR="00F214A4" w:rsidRPr="00E61EC7">
        <w:t xml:space="preserve">see </w:t>
      </w:r>
      <w:r w:rsidRPr="00E61EC7">
        <w:fldChar w:fldCharType="begin"/>
      </w:r>
      <w:r w:rsidRPr="00E61EC7">
        <w:instrText xml:space="preserve"> REF _Ref118319022 \h  \* MERGEFORMAT </w:instrText>
      </w:r>
      <w:r w:rsidRPr="00E61EC7">
        <w:fldChar w:fldCharType="separate"/>
      </w:r>
      <w:r w:rsidR="001E25B5" w:rsidRPr="00E61EC7">
        <w:t xml:space="preserve">Figure </w:t>
      </w:r>
      <w:r w:rsidR="001E25B5">
        <w:rPr>
          <w:noProof/>
        </w:rPr>
        <w:t>1</w:t>
      </w:r>
      <w:r w:rsidRPr="00E61EC7">
        <w:fldChar w:fldCharType="end"/>
      </w:r>
      <w:r w:rsidR="00F214A4" w:rsidRPr="00E61EC7">
        <w:t xml:space="preserve"> above</w:t>
      </w:r>
      <w:r w:rsidRPr="00E61EC7">
        <w:t xml:space="preserve">), </w:t>
      </w:r>
      <w:proofErr w:type="gramStart"/>
      <w:r w:rsidRPr="00E61EC7">
        <w:t>in particular for</w:t>
      </w:r>
      <w:proofErr w:type="gramEnd"/>
      <w:r w:rsidRPr="00E61EC7">
        <w:t xml:space="preserve"> every 16 weeks maintenance dosing, appeared not to have affected efficacy.</w:t>
      </w:r>
    </w:p>
    <w:p w14:paraId="3E624DA9" w14:textId="0CD15024" w:rsidR="00C470FC" w:rsidRPr="00E61EC7" w:rsidRDefault="002A2C48" w:rsidP="00DF4190">
      <w:pPr>
        <w:pStyle w:val="TableTitle"/>
      </w:pPr>
      <w:bookmarkStart w:id="109" w:name="_Ref102554354"/>
      <w:r w:rsidRPr="00E61EC7">
        <w:t xml:space="preserve">Table </w:t>
      </w:r>
      <w:r w:rsidR="00C22604" w:rsidRPr="00E61EC7">
        <w:fldChar w:fldCharType="begin"/>
      </w:r>
      <w:r>
        <w:instrText xml:space="preserve"> SEQ Table \* ARABIC </w:instrText>
      </w:r>
      <w:r w:rsidR="00C22604" w:rsidRPr="00E61EC7">
        <w:fldChar w:fldCharType="separate"/>
      </w:r>
      <w:r w:rsidR="001E25B5">
        <w:rPr>
          <w:noProof/>
        </w:rPr>
        <w:t>28</w:t>
      </w:r>
      <w:r w:rsidR="00C22604" w:rsidRPr="00E61EC7">
        <w:rPr>
          <w:noProof/>
        </w:rPr>
        <w:fldChar w:fldCharType="end"/>
      </w:r>
      <w:bookmarkEnd w:id="109"/>
      <w:r w:rsidR="00F9755C" w:rsidRPr="00E61EC7">
        <w:t>:</w:t>
      </w:r>
      <w:r w:rsidRPr="00E61EC7">
        <w:t xml:space="preserve"> </w:t>
      </w:r>
      <w:r w:rsidR="00F9755C" w:rsidRPr="00E61EC7">
        <w:t>S</w:t>
      </w:r>
      <w:r w:rsidRPr="00E61EC7">
        <w:t>tudies GR40349 and GR40398 (</w:t>
      </w:r>
      <w:r w:rsidR="00896B16" w:rsidRPr="00E61EC7">
        <w:t xml:space="preserve">YOSEMITE </w:t>
      </w:r>
      <w:r w:rsidR="00896B16">
        <w:t xml:space="preserve">and </w:t>
      </w:r>
      <w:r w:rsidRPr="00E61EC7">
        <w:t>RHINE</w:t>
      </w:r>
      <w:r w:rsidR="00F9755C" w:rsidRPr="00E61EC7">
        <w:t xml:space="preserve"> trial</w:t>
      </w:r>
      <w:r w:rsidR="00896B16">
        <w:t>s</w:t>
      </w:r>
      <w:r w:rsidRPr="00E61EC7">
        <w:t>) Distribution of number of injections until Week 96 (</w:t>
      </w:r>
      <w:r w:rsidR="00F9755C" w:rsidRPr="00E61EC7">
        <w:t>intent-to-treat</w:t>
      </w:r>
      <w:r w:rsidRPr="00E61EC7">
        <w:t xml:space="preserve"> population)</w:t>
      </w:r>
    </w:p>
    <w:p w14:paraId="27380E1B" w14:textId="22122E1A" w:rsidR="00CF4472" w:rsidRPr="00E61EC7" w:rsidRDefault="002A2C48" w:rsidP="00DF4190">
      <w:r w:rsidRPr="00E61EC7">
        <w:rPr>
          <w:noProof/>
          <w:lang w:val="en-GB" w:eastAsia="en-GB"/>
        </w:rPr>
        <w:drawing>
          <wp:inline distT="0" distB="0" distL="0" distR="0" wp14:anchorId="452313C5" wp14:editId="07DD9966">
            <wp:extent cx="5400040" cy="2799080"/>
            <wp:effectExtent l="0" t="0" r="0" b="1270"/>
            <wp:docPr id="21" name="Picture 21" descr="Table 28: Studies GR40349 and GR40398 (YOSEMITE and RHINE trials) Distribution of number of injections until Week 96 (intent-to-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 28: Studies GR40349 and GR40398 (YOSEMITE and RHINE trials) Distribution of number of injections until Week 96 (intent-to-treat population)"/>
                    <pic:cNvPicPr/>
                  </pic:nvPicPr>
                  <pic:blipFill>
                    <a:blip r:embed="rId56"/>
                    <a:stretch>
                      <a:fillRect/>
                    </a:stretch>
                  </pic:blipFill>
                  <pic:spPr>
                    <a:xfrm>
                      <a:off x="0" y="0"/>
                      <a:ext cx="5400040" cy="2799080"/>
                    </a:xfrm>
                    <a:prstGeom prst="rect">
                      <a:avLst/>
                    </a:prstGeom>
                  </pic:spPr>
                </pic:pic>
              </a:graphicData>
            </a:graphic>
          </wp:inline>
        </w:drawing>
      </w:r>
    </w:p>
    <w:p w14:paraId="2E7F6254" w14:textId="2961D001" w:rsidR="00895222" w:rsidRPr="00E61EC7" w:rsidRDefault="002A2C48" w:rsidP="00DF4190">
      <w:pPr>
        <w:pStyle w:val="TableDescription"/>
      </w:pPr>
      <w:r w:rsidRPr="00E61EC7">
        <w:t>Abbreviation</w:t>
      </w:r>
      <w:r w:rsidR="00DF0916">
        <w:t>s</w:t>
      </w:r>
      <w:r w:rsidRPr="00E61EC7">
        <w:t>: N = number of subjects</w:t>
      </w:r>
      <w:r w:rsidR="00B349D4">
        <w:t xml:space="preserve">; PTI = </w:t>
      </w:r>
      <w:r w:rsidR="00B349D4" w:rsidRPr="00E61EC7">
        <w:t>personalised treatment interval</w:t>
      </w:r>
      <w:r w:rsidR="00B349D4">
        <w:t xml:space="preserve">; </w:t>
      </w:r>
      <w:r w:rsidR="00B349D4" w:rsidRPr="00E61EC7">
        <w:t>Q8W = every 8 weeks</w:t>
      </w:r>
      <w:r w:rsidRPr="00E61EC7">
        <w:t>.</w:t>
      </w:r>
    </w:p>
    <w:p w14:paraId="36340103" w14:textId="6E98E4B5" w:rsidR="00895222" w:rsidRPr="00E61EC7" w:rsidRDefault="002A2C48" w:rsidP="00DF4190">
      <w:pPr>
        <w:pStyle w:val="TableDescription"/>
      </w:pPr>
      <w:r w:rsidRPr="00E61EC7">
        <w:t>personalised treatment interval is from every 4 weeks up to every 16 weeks.</w:t>
      </w:r>
    </w:p>
    <w:p w14:paraId="1FA9B547" w14:textId="77777777" w:rsidR="00C470FC" w:rsidRPr="00E61EC7" w:rsidRDefault="002A2C48" w:rsidP="00C470FC">
      <w:pPr>
        <w:pStyle w:val="Heading6"/>
      </w:pPr>
      <w:r w:rsidRPr="00E61EC7">
        <w:t>Translation to clinical practice</w:t>
      </w:r>
    </w:p>
    <w:p w14:paraId="4C9C3989" w14:textId="4CD17FD1" w:rsidR="00C470FC" w:rsidRPr="00E61EC7" w:rsidRDefault="002A2C48" w:rsidP="00C470FC">
      <w:r w:rsidRPr="00E61EC7">
        <w:t xml:space="preserve">The proposed dosing initially follows the PTI dosing regimen in </w:t>
      </w:r>
      <w:r w:rsidR="00F9755C" w:rsidRPr="00E61EC7">
        <w:t xml:space="preserve">the </w:t>
      </w:r>
      <w:r w:rsidRPr="00E61EC7">
        <w:t>YOSEMITE and RHINE</w:t>
      </w:r>
      <w:r w:rsidR="00F9755C" w:rsidRPr="00E61EC7">
        <w:t xml:space="preserve"> trials</w:t>
      </w:r>
      <w:r w:rsidRPr="00E61EC7">
        <w:t>: 4 injections until Week 12. This is followed by a treat</w:t>
      </w:r>
      <w:r w:rsidR="00F9755C" w:rsidRPr="00E61EC7">
        <w:t xml:space="preserve"> </w:t>
      </w:r>
      <w:r w:rsidRPr="00E61EC7">
        <w:t>and</w:t>
      </w:r>
      <w:r w:rsidR="00F9755C" w:rsidRPr="00E61EC7">
        <w:t xml:space="preserve"> </w:t>
      </w:r>
      <w:r w:rsidRPr="00E61EC7">
        <w:t>extend approach, presumably based o</w:t>
      </w:r>
      <w:r w:rsidR="00102B5F" w:rsidRPr="00E61EC7">
        <w:t>n</w:t>
      </w:r>
      <w:r w:rsidRPr="00E61EC7">
        <w:t xml:space="preserve"> the PTI schedule used in the </w:t>
      </w:r>
      <w:r w:rsidR="00533A7C" w:rsidRPr="00E61EC7">
        <w:t>Phase III</w:t>
      </w:r>
      <w:r w:rsidRPr="00E61EC7">
        <w:t xml:space="preserve"> clinical trials.</w:t>
      </w:r>
    </w:p>
    <w:p w14:paraId="20582752" w14:textId="336859A9" w:rsidR="00C470FC" w:rsidRPr="00E61EC7" w:rsidRDefault="002A2C48" w:rsidP="00C470FC">
      <w:r w:rsidRPr="00E61EC7">
        <w:t xml:space="preserve">In the proposed PI, the sponsor proposes the following posology wording for </w:t>
      </w:r>
      <w:r w:rsidR="0039584C" w:rsidRPr="00E61EC7">
        <w:t>DMO</w:t>
      </w:r>
      <w:r w:rsidRPr="00E61EC7">
        <w:t>:</w:t>
      </w:r>
    </w:p>
    <w:p w14:paraId="70E93380" w14:textId="45504171" w:rsidR="00C470FC" w:rsidRPr="00E61EC7" w:rsidRDefault="002A2C48" w:rsidP="00C470FC">
      <w:pPr>
        <w:ind w:left="720"/>
        <w:rPr>
          <w:i/>
          <w:iCs/>
        </w:rPr>
      </w:pPr>
      <w:r w:rsidRPr="00E61EC7">
        <w:rPr>
          <w:i/>
          <w:iCs/>
        </w:rPr>
        <w:t xml:space="preserve">The recommended dose for </w:t>
      </w:r>
      <w:proofErr w:type="spellStart"/>
      <w:r w:rsidRPr="00E61EC7">
        <w:rPr>
          <w:i/>
          <w:iCs/>
        </w:rPr>
        <w:t>Vabysmo</w:t>
      </w:r>
      <w:proofErr w:type="spellEnd"/>
      <w:r w:rsidRPr="00E61EC7">
        <w:rPr>
          <w:i/>
          <w:iCs/>
        </w:rPr>
        <w:t xml:space="preserve"> is 6 mg (0.05 mL) administered by intravitreal injection every 4 weeks (monthly) for the first 4 doses. Thereafter, treatment may be individualised using a treat-and-extend approach. Based on the physician's judgement of the individual patient’s anatomic and/or visual outcomes, the dosing interval may be extended up to every 16 weeks (4 months), in increments of up to 4 weeks. If anatomic and/or visual outcomes change, the treatment interval should be adjusted accordingly (see </w:t>
      </w:r>
      <w:r w:rsidR="00F9755C" w:rsidRPr="00E61EC7">
        <w:rPr>
          <w:i/>
          <w:iCs/>
        </w:rPr>
        <w:t xml:space="preserve">Section </w:t>
      </w:r>
      <w:r w:rsidRPr="00E61EC7">
        <w:rPr>
          <w:i/>
          <w:iCs/>
        </w:rPr>
        <w:t>5.1).</w:t>
      </w:r>
    </w:p>
    <w:p w14:paraId="3D69B6FA" w14:textId="77777777" w:rsidR="00C470FC" w:rsidRPr="00E61EC7" w:rsidRDefault="002A2C48" w:rsidP="00C470FC">
      <w:pPr>
        <w:ind w:left="720"/>
        <w:rPr>
          <w:i/>
          <w:iCs/>
        </w:rPr>
      </w:pPr>
      <w:r w:rsidRPr="00E61EC7">
        <w:rPr>
          <w:i/>
          <w:iCs/>
        </w:rPr>
        <w:t>Monitoring between the dosing visits should be scheduled based on the patient's status and at the physician's discretion.</w:t>
      </w:r>
    </w:p>
    <w:p w14:paraId="1B9D69DE" w14:textId="6DB886D3" w:rsidR="00C470FC" w:rsidRPr="00E61EC7" w:rsidRDefault="002A2C48" w:rsidP="00C470FC">
      <w:r w:rsidRPr="00E61EC7">
        <w:t xml:space="preserve">For </w:t>
      </w:r>
      <w:r w:rsidR="0039584C" w:rsidRPr="00E61EC7">
        <w:t>DMO</w:t>
      </w:r>
      <w:r w:rsidRPr="00E61EC7">
        <w:t>, the main issues appear to be:</w:t>
      </w:r>
    </w:p>
    <w:p w14:paraId="00F32359" w14:textId="4D797CDF" w:rsidR="00C470FC" w:rsidRPr="00E61EC7" w:rsidRDefault="002A2C48" w:rsidP="00C470FC">
      <w:pPr>
        <w:pStyle w:val="ListBullet"/>
      </w:pPr>
      <w:r w:rsidRPr="00E61EC7">
        <w:t xml:space="preserve">The wording is rather vague and non-prescriptive regarding the nature of the ocular assessment needed to adjust the dose (other than a reference to the clinical trial </w:t>
      </w:r>
      <w:r w:rsidR="00F9755C" w:rsidRPr="00E61EC7">
        <w:t xml:space="preserve">Section </w:t>
      </w:r>
      <w:r w:rsidRPr="00E61EC7">
        <w:t>5.1</w:t>
      </w:r>
      <w:r w:rsidR="00F9755C" w:rsidRPr="00E61EC7">
        <w:t xml:space="preserve"> of the PI</w:t>
      </w:r>
      <w:r w:rsidRPr="00E61EC7">
        <w:t>).</w:t>
      </w:r>
    </w:p>
    <w:p w14:paraId="0A9FBB91" w14:textId="77777777" w:rsidR="00C470FC" w:rsidRPr="00E61EC7" w:rsidRDefault="002A2C48" w:rsidP="00C470FC">
      <w:pPr>
        <w:pStyle w:val="ListBullet"/>
      </w:pPr>
      <w:r w:rsidRPr="00E61EC7">
        <w:lastRenderedPageBreak/>
        <w:t xml:space="preserve">The wording is rather vague and non-prescriptive </w:t>
      </w:r>
      <w:proofErr w:type="gramStart"/>
      <w:r w:rsidRPr="00E61EC7">
        <w:t>with regard to</w:t>
      </w:r>
      <w:proofErr w:type="gramEnd"/>
      <w:r w:rsidRPr="00E61EC7">
        <w:t xml:space="preserve"> the dose adjustments to be made.</w:t>
      </w:r>
    </w:p>
    <w:p w14:paraId="2CEB5FED" w14:textId="77777777" w:rsidR="00C470FC" w:rsidRPr="00E61EC7" w:rsidRDefault="002A2C48" w:rsidP="00C470FC">
      <w:pPr>
        <w:pStyle w:val="ListBullet"/>
      </w:pPr>
      <w:r w:rsidRPr="00E61EC7">
        <w:t>There is no recommendation on when treatment should be stopped.</w:t>
      </w:r>
    </w:p>
    <w:p w14:paraId="0ED5D462" w14:textId="77777777" w:rsidR="00C470FC" w:rsidRPr="00E61EC7" w:rsidRDefault="002A2C48" w:rsidP="00C470FC">
      <w:pPr>
        <w:pStyle w:val="Heading5"/>
      </w:pPr>
      <w:r w:rsidRPr="00E61EC7">
        <w:t>Safety</w:t>
      </w:r>
    </w:p>
    <w:p w14:paraId="3C416FD8" w14:textId="7E6D7830" w:rsidR="00C470FC" w:rsidRPr="00E61EC7" w:rsidRDefault="002A2C48" w:rsidP="00C470FC">
      <w:r w:rsidRPr="00E61EC7">
        <w:t xml:space="preserve">In the pivotal studies, the overall incidence of all </w:t>
      </w:r>
      <w:r w:rsidR="001654B4" w:rsidRPr="00E61EC7">
        <w:t>adverse events (AEs)</w:t>
      </w:r>
      <w:r w:rsidRPr="00E61EC7">
        <w:t xml:space="preserve"> and ocular </w:t>
      </w:r>
      <w:r w:rsidR="001654B4" w:rsidRPr="00E61EC7">
        <w:t>AEs</w:t>
      </w:r>
      <w:r w:rsidRPr="00E61EC7">
        <w:t xml:space="preserve"> was generally comparable across the treatment arms.</w:t>
      </w:r>
    </w:p>
    <w:p w14:paraId="356C8CCF" w14:textId="2A7D0F04" w:rsidR="00C470FC" w:rsidRPr="00E61EC7" w:rsidRDefault="002A2C48" w:rsidP="00C470FC">
      <w:r w:rsidRPr="00E61EC7">
        <w:t xml:space="preserve">Overall, </w:t>
      </w:r>
      <w:proofErr w:type="spellStart"/>
      <w:r w:rsidRPr="00E61EC7">
        <w:t>faricimab</w:t>
      </w:r>
      <w:proofErr w:type="spellEnd"/>
      <w:r w:rsidRPr="00E61EC7">
        <w:t xml:space="preserve"> appears to have an acceptable safety profile which is comparable to or may have a slightly worse safety profile as compared to aflibercept.</w:t>
      </w:r>
    </w:p>
    <w:p w14:paraId="2062A4C9" w14:textId="62CC10B5" w:rsidR="00C470FC" w:rsidRPr="00E61EC7" w:rsidRDefault="002A2C48" w:rsidP="00C470FC">
      <w:r w:rsidRPr="00E61EC7">
        <w:t xml:space="preserve">Given the short treatment duration (60 weeks) and few numbers of </w:t>
      </w:r>
      <w:r w:rsidR="00475997" w:rsidRPr="00E61EC7">
        <w:t>intravitreal</w:t>
      </w:r>
      <w:r w:rsidRPr="00E61EC7">
        <w:t xml:space="preserve"> injections in the </w:t>
      </w:r>
      <w:proofErr w:type="spellStart"/>
      <w:r w:rsidRPr="00E61EC7">
        <w:t>faricimab</w:t>
      </w:r>
      <w:proofErr w:type="spellEnd"/>
      <w:r w:rsidRPr="00E61EC7">
        <w:t xml:space="preserve"> </w:t>
      </w:r>
      <w:proofErr w:type="spellStart"/>
      <w:r w:rsidRPr="00E61EC7">
        <w:t>nAMD</w:t>
      </w:r>
      <w:proofErr w:type="spellEnd"/>
      <w:r w:rsidRPr="00E61EC7">
        <w:t xml:space="preserve"> clinical trials, the safety of </w:t>
      </w:r>
      <w:proofErr w:type="spellStart"/>
      <w:r w:rsidRPr="00E61EC7">
        <w:t>faricimab</w:t>
      </w:r>
      <w:proofErr w:type="spellEnd"/>
      <w:r w:rsidRPr="00E61EC7">
        <w:t xml:space="preserve"> beyond that study period could not be sufficiently assessed.</w:t>
      </w:r>
    </w:p>
    <w:p w14:paraId="035886B8" w14:textId="5535A000" w:rsidR="00C470FC" w:rsidRPr="00E61EC7" w:rsidRDefault="002A2C48" w:rsidP="00F9755C">
      <w:pPr>
        <w:pStyle w:val="Heading5"/>
      </w:pPr>
      <w:r w:rsidRPr="00E61EC7">
        <w:t>Immunogenicity</w:t>
      </w:r>
    </w:p>
    <w:p w14:paraId="7634F032" w14:textId="1DAD9FC8" w:rsidR="00C470FC" w:rsidRPr="00E61EC7" w:rsidRDefault="002A2C48" w:rsidP="00C470FC">
      <w:r w:rsidRPr="00E61EC7">
        <w:t>Anti</w:t>
      </w:r>
      <w:r w:rsidR="00306183" w:rsidRPr="00E61EC7">
        <w:t>-</w:t>
      </w:r>
      <w:r w:rsidRPr="00E61EC7">
        <w:t xml:space="preserve">drug antibodies were detected in over 9% of </w:t>
      </w:r>
      <w:r w:rsidR="0039584C" w:rsidRPr="00E61EC7">
        <w:t>DMO</w:t>
      </w:r>
      <w:r w:rsidRPr="00E61EC7">
        <w:t xml:space="preserve"> patients receiving </w:t>
      </w:r>
      <w:proofErr w:type="spellStart"/>
      <w:r w:rsidRPr="00E61EC7">
        <w:t>faricimab</w:t>
      </w:r>
      <w:proofErr w:type="spellEnd"/>
      <w:r w:rsidRPr="00E61EC7">
        <w:t xml:space="preserve"> (9.8% in the </w:t>
      </w:r>
      <w:proofErr w:type="spellStart"/>
      <w:r w:rsidRPr="00E61EC7">
        <w:t>faricimab</w:t>
      </w:r>
      <w:proofErr w:type="spellEnd"/>
      <w:r w:rsidRPr="00E61EC7">
        <w:t xml:space="preserve"> </w:t>
      </w:r>
      <w:r w:rsidR="003E5F35" w:rsidRPr="00E61EC7">
        <w:t>every 8 weeks</w:t>
      </w:r>
      <w:r w:rsidRPr="00E61EC7">
        <w:t xml:space="preserve"> arm and 9.4% in the </w:t>
      </w:r>
      <w:proofErr w:type="spellStart"/>
      <w:r w:rsidRPr="00E61EC7">
        <w:t>faricimab</w:t>
      </w:r>
      <w:proofErr w:type="spellEnd"/>
      <w:r w:rsidRPr="00E61EC7">
        <w:t xml:space="preserve"> PTI arm with a similar median time to onset of </w:t>
      </w:r>
      <w:r w:rsidR="00B0762E" w:rsidRPr="00E61EC7">
        <w:t>anti-drug antibody (</w:t>
      </w:r>
      <w:r w:rsidRPr="00E61EC7">
        <w:t>ADA</w:t>
      </w:r>
      <w:r w:rsidR="00B0762E" w:rsidRPr="00E61EC7">
        <w:t>)</w:t>
      </w:r>
      <w:r w:rsidRPr="00E61EC7">
        <w:t xml:space="preserve"> (approximately 28 weeks). The incidence of intraocular inflammation in </w:t>
      </w:r>
      <w:r w:rsidR="0039584C" w:rsidRPr="00E61EC7">
        <w:t>DMO</w:t>
      </w:r>
      <w:r w:rsidRPr="00E61EC7">
        <w:t xml:space="preserve"> patients with ADAs in 11.7% as compared to 0.4% in the non</w:t>
      </w:r>
      <w:r w:rsidR="00F9755C" w:rsidRPr="00E61EC7">
        <w:noBreakHyphen/>
      </w:r>
      <w:r w:rsidRPr="00E61EC7">
        <w:t>ADA population suggests a causative link. The numbers are too small to draw definite conclusions. A neutralising antibody assay was not conducted for any of the studies.</w:t>
      </w:r>
    </w:p>
    <w:p w14:paraId="67EFA692" w14:textId="41A78D4E" w:rsidR="00C470FC" w:rsidRPr="00E61EC7" w:rsidRDefault="002A2C48" w:rsidP="00C470FC">
      <w:r w:rsidRPr="00E61EC7">
        <w:t xml:space="preserve">The situation in the </w:t>
      </w:r>
      <w:proofErr w:type="spellStart"/>
      <w:r w:rsidRPr="00E61EC7">
        <w:t>nAMD</w:t>
      </w:r>
      <w:proofErr w:type="spellEnd"/>
      <w:r w:rsidRPr="00E61EC7">
        <w:t xml:space="preserve"> studies was comparable to the </w:t>
      </w:r>
      <w:r w:rsidR="0039584C" w:rsidRPr="00E61EC7">
        <w:t>DMO</w:t>
      </w:r>
      <w:r w:rsidRPr="00E61EC7">
        <w:t xml:space="preserve"> studies, but fewer data were available (Week 112 data are not available).</w:t>
      </w:r>
    </w:p>
    <w:p w14:paraId="0B672BA8" w14:textId="6DE01F15" w:rsidR="00C470FC" w:rsidRPr="00E61EC7" w:rsidRDefault="002A2C48" w:rsidP="00C470FC">
      <w:r w:rsidRPr="00E61EC7">
        <w:t xml:space="preserve">The </w:t>
      </w:r>
      <w:r w:rsidR="00F95A22" w:rsidRPr="00E61EC7">
        <w:t>population pharmacokinetic (</w:t>
      </w:r>
      <w:proofErr w:type="spellStart"/>
      <w:r w:rsidRPr="00E61EC7">
        <w:t>PopPK</w:t>
      </w:r>
      <w:proofErr w:type="spellEnd"/>
      <w:r w:rsidR="00F95A22" w:rsidRPr="00E61EC7">
        <w:t>)</w:t>
      </w:r>
      <w:r w:rsidRPr="00E61EC7">
        <w:t xml:space="preserve"> covariate analyses showed that plasma ADA </w:t>
      </w:r>
      <w:proofErr w:type="gramStart"/>
      <w:r w:rsidRPr="00E61EC7">
        <w:t>had an effect on</w:t>
      </w:r>
      <w:proofErr w:type="gramEnd"/>
      <w:r w:rsidRPr="00E61EC7">
        <w:t xml:space="preserve"> vitreous elimination </w:t>
      </w:r>
      <w:r w:rsidR="00F95A22" w:rsidRPr="00E61EC7">
        <w:t>half-life</w:t>
      </w:r>
      <w:r w:rsidRPr="00E61EC7">
        <w:t xml:space="preserve"> (30.4% higher ocular elimination rate). ADA</w:t>
      </w:r>
      <w:r w:rsidR="00CC16D0" w:rsidRPr="00E61EC7">
        <w:t>-</w:t>
      </w:r>
      <w:r w:rsidRPr="00E61EC7">
        <w:t>positive patients had 23.4% lower ocular exposure at steady state compared with ADA</w:t>
      </w:r>
      <w:r w:rsidR="00CC16D0" w:rsidRPr="00E61EC7">
        <w:t>-</w:t>
      </w:r>
      <w:r w:rsidRPr="00E61EC7">
        <w:t>negative patients. Presence of plasma ADA had no effect on the plasma exposure.</w:t>
      </w:r>
    </w:p>
    <w:p w14:paraId="613B8704" w14:textId="77777777" w:rsidR="0074163C" w:rsidRPr="00E61EC7" w:rsidRDefault="002A2C48" w:rsidP="0074163C">
      <w:pPr>
        <w:pStyle w:val="Heading4"/>
      </w:pPr>
      <w:bookmarkStart w:id="110" w:name="_Toc98931933"/>
      <w:r w:rsidRPr="00E61EC7">
        <w:t>Proposed action</w:t>
      </w:r>
      <w:bookmarkEnd w:id="110"/>
    </w:p>
    <w:p w14:paraId="74E5A1DC" w14:textId="7E14051B" w:rsidR="00CC514D" w:rsidRPr="00E61EC7" w:rsidRDefault="002A2C48" w:rsidP="00CC514D">
      <w:r w:rsidRPr="00E61EC7">
        <w:t xml:space="preserve">While a decision </w:t>
      </w:r>
      <w:r w:rsidR="00DB6520">
        <w:t>was</w:t>
      </w:r>
      <w:r w:rsidR="00DB6520" w:rsidRPr="00E61EC7">
        <w:t xml:space="preserve"> </w:t>
      </w:r>
      <w:r w:rsidRPr="00E61EC7">
        <w:t xml:space="preserve">yet to be made, at </w:t>
      </w:r>
      <w:r w:rsidR="00DB6520">
        <w:t>the time,</w:t>
      </w:r>
      <w:r w:rsidRPr="00E61EC7">
        <w:t xml:space="preserve"> </w:t>
      </w:r>
      <w:r w:rsidR="00F00C64" w:rsidRPr="00E61EC7">
        <w:t xml:space="preserve">the Delegate </w:t>
      </w:r>
      <w:r w:rsidR="00DB6520">
        <w:t>was</w:t>
      </w:r>
      <w:r w:rsidR="00DB6520" w:rsidRPr="00E61EC7">
        <w:t xml:space="preserve"> </w:t>
      </w:r>
      <w:r w:rsidRPr="00E61EC7">
        <w:t>inclined to approve the registration of the product.</w:t>
      </w:r>
    </w:p>
    <w:p w14:paraId="287F6398" w14:textId="4BEB6D65" w:rsidR="00CC514D" w:rsidRPr="00E61EC7" w:rsidRDefault="002A2C48" w:rsidP="00CC514D">
      <w:r w:rsidRPr="00E61EC7">
        <w:t xml:space="preserve">Were the registration supported, </w:t>
      </w:r>
      <w:r w:rsidR="00F00C64" w:rsidRPr="00E61EC7">
        <w:t>the Delegate</w:t>
      </w:r>
      <w:r w:rsidRPr="00E61EC7">
        <w:t xml:space="preserve"> would propose the following additional conditions of registration:</w:t>
      </w:r>
    </w:p>
    <w:p w14:paraId="0A0663C6" w14:textId="20CA41C2" w:rsidR="00CC514D" w:rsidRPr="00E61EC7" w:rsidRDefault="002A2C48" w:rsidP="00CC514D">
      <w:pPr>
        <w:pStyle w:val="ListBullet"/>
      </w:pPr>
      <w:r w:rsidRPr="00E61EC7">
        <w:t>Submission of final reports for all relevant ongoing studies.</w:t>
      </w:r>
    </w:p>
    <w:p w14:paraId="394DB346" w14:textId="77777777" w:rsidR="0074163C" w:rsidRPr="00E61EC7" w:rsidRDefault="002A2C48" w:rsidP="0074163C">
      <w:pPr>
        <w:pStyle w:val="Heading4"/>
      </w:pPr>
      <w:bookmarkStart w:id="111" w:name="_Toc98931936"/>
      <w:bookmarkStart w:id="112" w:name="_Toc247691532"/>
      <w:bookmarkStart w:id="113" w:name="_Toc314842516"/>
      <w:bookmarkEnd w:id="38"/>
      <w:bookmarkEnd w:id="101"/>
      <w:bookmarkEnd w:id="102"/>
      <w:r w:rsidRPr="00E61EC7">
        <w:t>Advisory Committee considerations</w:t>
      </w:r>
      <w:bookmarkEnd w:id="111"/>
    </w:p>
    <w:p w14:paraId="74E35C18" w14:textId="5223D541" w:rsidR="0074163C" w:rsidRPr="00E61EC7" w:rsidRDefault="002A2C48" w:rsidP="0074163C">
      <w:pPr>
        <w:rPr>
          <w:bCs/>
        </w:rPr>
      </w:pPr>
      <w:r w:rsidRPr="00E61EC7">
        <w:rPr>
          <w:bCs/>
        </w:rPr>
        <w:t xml:space="preserve">The </w:t>
      </w:r>
      <w:hyperlink r:id="rId57" w:history="1">
        <w:r w:rsidRPr="00E61EC7">
          <w:rPr>
            <w:rStyle w:val="Hyperlink"/>
            <w:szCs w:val="21"/>
          </w:rPr>
          <w:t>Advisory Committee on Medicines (ACM)</w:t>
        </w:r>
      </w:hyperlink>
      <w:r w:rsidRPr="00E61EC7">
        <w:rPr>
          <w:szCs w:val="21"/>
        </w:rPr>
        <w:t>,</w:t>
      </w:r>
      <w:r w:rsidRPr="00E61EC7">
        <w:rPr>
          <w:bCs/>
        </w:rPr>
        <w:t xml:space="preserve"> having considered the evaluations and the Delegate’s overview, as well as the sponsor’s response to these documents, advised the following.</w:t>
      </w:r>
    </w:p>
    <w:p w14:paraId="5150F27D" w14:textId="77777777" w:rsidR="0074163C" w:rsidRPr="00E61EC7" w:rsidRDefault="002A2C48" w:rsidP="0074163C">
      <w:pPr>
        <w:pStyle w:val="Heading5"/>
      </w:pPr>
      <w:r w:rsidRPr="00E61EC7">
        <w:t>Specific advice to the Delegate</w:t>
      </w:r>
    </w:p>
    <w:p w14:paraId="37065D66" w14:textId="2511A545" w:rsidR="00EC165B" w:rsidRPr="00DF0916" w:rsidRDefault="002A2C48" w:rsidP="00DF0916">
      <w:pPr>
        <w:pStyle w:val="Numberbullet0"/>
        <w:numPr>
          <w:ilvl w:val="0"/>
          <w:numId w:val="12"/>
        </w:numPr>
        <w:rPr>
          <w:b/>
          <w:bCs/>
          <w:i/>
          <w:iCs/>
        </w:rPr>
      </w:pPr>
      <w:r w:rsidRPr="00DF0916">
        <w:rPr>
          <w:b/>
          <w:bCs/>
          <w:i/>
          <w:iCs/>
        </w:rPr>
        <w:t xml:space="preserve">The final Week 112 data from </w:t>
      </w:r>
      <w:r w:rsidR="00DB6520">
        <w:rPr>
          <w:b/>
          <w:bCs/>
          <w:i/>
          <w:iCs/>
        </w:rPr>
        <w:t>Studies GR40306 and GR40844 (</w:t>
      </w:r>
      <w:r w:rsidR="00215642" w:rsidRPr="00DF0916">
        <w:rPr>
          <w:b/>
          <w:bCs/>
          <w:i/>
          <w:iCs/>
        </w:rPr>
        <w:t xml:space="preserve">the </w:t>
      </w:r>
      <w:r w:rsidRPr="00DF0916">
        <w:rPr>
          <w:b/>
          <w:bCs/>
          <w:i/>
          <w:iCs/>
        </w:rPr>
        <w:t>TENAYA and LUCERNE</w:t>
      </w:r>
      <w:r w:rsidR="00215642" w:rsidRPr="00DF0916">
        <w:rPr>
          <w:b/>
          <w:bCs/>
          <w:i/>
          <w:iCs/>
        </w:rPr>
        <w:t xml:space="preserve"> trials</w:t>
      </w:r>
      <w:r w:rsidR="00DB6520">
        <w:rPr>
          <w:b/>
          <w:bCs/>
          <w:i/>
          <w:iCs/>
        </w:rPr>
        <w:t>)</w:t>
      </w:r>
      <w:r w:rsidRPr="00DF0916">
        <w:rPr>
          <w:b/>
          <w:bCs/>
          <w:i/>
          <w:iCs/>
        </w:rPr>
        <w:t xml:space="preserve"> are not available at this stage. From the available data, only non-inferiority, but not superiority over aflibercept has been demonstrated for the </w:t>
      </w:r>
      <w:r w:rsidR="00E0115A" w:rsidRPr="00DF0916">
        <w:rPr>
          <w:b/>
          <w:bCs/>
          <w:i/>
          <w:iCs/>
        </w:rPr>
        <w:t>neovascular age-related macular degeneration</w:t>
      </w:r>
      <w:r w:rsidR="00DB6520">
        <w:rPr>
          <w:b/>
          <w:bCs/>
          <w:i/>
          <w:iCs/>
        </w:rPr>
        <w:t xml:space="preserve"> (</w:t>
      </w:r>
      <w:proofErr w:type="spellStart"/>
      <w:r w:rsidR="00DB6520">
        <w:rPr>
          <w:b/>
          <w:bCs/>
          <w:i/>
          <w:iCs/>
        </w:rPr>
        <w:t>nAMD</w:t>
      </w:r>
      <w:proofErr w:type="spellEnd"/>
      <w:r w:rsidR="00DB6520">
        <w:rPr>
          <w:b/>
          <w:bCs/>
          <w:i/>
          <w:iCs/>
        </w:rPr>
        <w:t>)</w:t>
      </w:r>
      <w:r w:rsidR="00E0115A" w:rsidRPr="00DF0916">
        <w:rPr>
          <w:b/>
          <w:bCs/>
          <w:i/>
          <w:iCs/>
        </w:rPr>
        <w:t xml:space="preserve"> </w:t>
      </w:r>
      <w:r w:rsidRPr="00DF0916">
        <w:rPr>
          <w:b/>
          <w:bCs/>
          <w:i/>
          <w:iCs/>
        </w:rPr>
        <w:t xml:space="preserve">indication. The sought </w:t>
      </w:r>
      <w:proofErr w:type="spellStart"/>
      <w:r w:rsidRPr="00DF0916">
        <w:rPr>
          <w:b/>
          <w:bCs/>
          <w:i/>
          <w:iCs/>
        </w:rPr>
        <w:t>nAMD</w:t>
      </w:r>
      <w:proofErr w:type="spellEnd"/>
      <w:r w:rsidRPr="00DF0916">
        <w:rPr>
          <w:b/>
          <w:bCs/>
          <w:i/>
          <w:iCs/>
        </w:rPr>
        <w:t xml:space="preserve"> indication is broader than the population studied and includes non-treatment</w:t>
      </w:r>
      <w:r w:rsidR="00534ABA" w:rsidRPr="00DF0916">
        <w:rPr>
          <w:b/>
          <w:bCs/>
          <w:i/>
          <w:iCs/>
        </w:rPr>
        <w:t>-</w:t>
      </w:r>
      <w:r w:rsidRPr="00DF0916">
        <w:rPr>
          <w:b/>
          <w:bCs/>
          <w:i/>
          <w:iCs/>
        </w:rPr>
        <w:t>naïve patients.</w:t>
      </w:r>
    </w:p>
    <w:p w14:paraId="0A39D618" w14:textId="4E495954" w:rsidR="00EC165B" w:rsidRPr="00E61EC7" w:rsidRDefault="002A2C48" w:rsidP="00EC165B">
      <w:pPr>
        <w:pStyle w:val="Numberbullet0"/>
        <w:numPr>
          <w:ilvl w:val="0"/>
          <w:numId w:val="0"/>
        </w:numPr>
        <w:ind w:left="425"/>
        <w:rPr>
          <w:b/>
          <w:bCs/>
          <w:i/>
          <w:iCs/>
        </w:rPr>
      </w:pPr>
      <w:r w:rsidRPr="00E61EC7">
        <w:rPr>
          <w:b/>
          <w:bCs/>
          <w:i/>
          <w:iCs/>
        </w:rPr>
        <w:lastRenderedPageBreak/>
        <w:t xml:space="preserve">Can the ACM comment on whether the available data are sufficient for registration of a </w:t>
      </w:r>
      <w:r w:rsidR="00E0115A" w:rsidRPr="00E61EC7">
        <w:rPr>
          <w:b/>
          <w:bCs/>
          <w:i/>
          <w:iCs/>
        </w:rPr>
        <w:t xml:space="preserve">neovascular age-related macular degeneration </w:t>
      </w:r>
      <w:r w:rsidRPr="00E61EC7">
        <w:rPr>
          <w:b/>
          <w:bCs/>
          <w:i/>
          <w:iCs/>
        </w:rPr>
        <w:t>indication and whether the indication should be restricted further?</w:t>
      </w:r>
    </w:p>
    <w:p w14:paraId="67D7077F" w14:textId="77777777" w:rsidR="00EC165B" w:rsidRPr="00E61EC7" w:rsidRDefault="002A2C48" w:rsidP="00EC165B">
      <w:r w:rsidRPr="00E61EC7">
        <w:t xml:space="preserve">The ACM was of the view that the available data are sufficient for the registration of the </w:t>
      </w:r>
      <w:proofErr w:type="spellStart"/>
      <w:r w:rsidRPr="00E61EC7">
        <w:t>nAMD</w:t>
      </w:r>
      <w:proofErr w:type="spellEnd"/>
      <w:r w:rsidRPr="00E61EC7">
        <w:t xml:space="preserve"> indication as proposed.</w:t>
      </w:r>
    </w:p>
    <w:p w14:paraId="3F47767E" w14:textId="77777777" w:rsidR="00EC165B" w:rsidRPr="00E61EC7" w:rsidRDefault="002A2C48" w:rsidP="00EC165B">
      <w:r w:rsidRPr="00E61EC7">
        <w:t>The ACM agreed that non-inferiority has been satisfactorily established with treatment over 60 weeks and this is acceptable. The ACM did however note that submission of the final Week 112 data once available would provide greater reassurance, particularly regarding safety outcomes.</w:t>
      </w:r>
    </w:p>
    <w:p w14:paraId="33999412" w14:textId="3E785E59" w:rsidR="00EC165B" w:rsidRPr="00E61EC7" w:rsidRDefault="002A2C48" w:rsidP="00EC165B">
      <w:pPr>
        <w:pStyle w:val="Numberbullet0"/>
        <w:rPr>
          <w:b/>
          <w:bCs/>
          <w:i/>
          <w:iCs/>
        </w:rPr>
      </w:pPr>
      <w:r w:rsidRPr="00E61EC7">
        <w:rPr>
          <w:b/>
          <w:bCs/>
          <w:i/>
          <w:iCs/>
        </w:rPr>
        <w:t xml:space="preserve">Assuming </w:t>
      </w:r>
      <w:proofErr w:type="spellStart"/>
      <w:r w:rsidR="00533A7C" w:rsidRPr="00E61EC7">
        <w:rPr>
          <w:b/>
          <w:bCs/>
          <w:i/>
          <w:iCs/>
        </w:rPr>
        <w:t>Vabysmo</w:t>
      </w:r>
      <w:proofErr w:type="spellEnd"/>
      <w:r w:rsidRPr="00E61EC7">
        <w:rPr>
          <w:b/>
          <w:bCs/>
          <w:i/>
          <w:iCs/>
        </w:rPr>
        <w:t xml:space="preserve"> is registered for </w:t>
      </w:r>
      <w:r w:rsidR="00E0115A" w:rsidRPr="00E61EC7">
        <w:rPr>
          <w:b/>
          <w:bCs/>
          <w:i/>
          <w:iCs/>
        </w:rPr>
        <w:t>neovascular age-related macular degeneration</w:t>
      </w:r>
      <w:r w:rsidRPr="00E61EC7">
        <w:rPr>
          <w:b/>
          <w:bCs/>
          <w:i/>
          <w:iCs/>
        </w:rPr>
        <w:t xml:space="preserve">, can the ACM comment on the appropriateness of the sponsor-proposed dosing regimen, </w:t>
      </w:r>
      <w:proofErr w:type="gramStart"/>
      <w:r w:rsidRPr="00E61EC7">
        <w:rPr>
          <w:b/>
          <w:bCs/>
          <w:i/>
          <w:iCs/>
        </w:rPr>
        <w:t>and also</w:t>
      </w:r>
      <w:proofErr w:type="gramEnd"/>
      <w:r w:rsidRPr="00E61EC7">
        <w:rPr>
          <w:b/>
          <w:bCs/>
          <w:i/>
          <w:iCs/>
        </w:rPr>
        <w:t xml:space="preserve"> comment on the appropriate communication of a suitable regimen to the prescriber in the </w:t>
      </w:r>
      <w:r w:rsidR="007F2B30" w:rsidRPr="00E61EC7">
        <w:rPr>
          <w:b/>
          <w:bCs/>
          <w:i/>
          <w:iCs/>
        </w:rPr>
        <w:t>Product Information</w:t>
      </w:r>
      <w:r w:rsidRPr="00E61EC7">
        <w:rPr>
          <w:b/>
          <w:bCs/>
          <w:i/>
          <w:iCs/>
        </w:rPr>
        <w:t xml:space="preserve"> or otherwise?</w:t>
      </w:r>
    </w:p>
    <w:p w14:paraId="25D23747" w14:textId="77777777" w:rsidR="00EC165B" w:rsidRPr="00E61EC7" w:rsidRDefault="002A2C48" w:rsidP="00EC165B">
      <w:r w:rsidRPr="00E61EC7">
        <w:t xml:space="preserve">The ACM commented that the translation of the clinical trial dosing regimen into clinical practice would be difficult. The ACM noted that within Australia, physicians use the treat and extend dosing interval approach as standard for </w:t>
      </w:r>
      <w:proofErr w:type="spellStart"/>
      <w:r w:rsidRPr="00E61EC7">
        <w:t>nAMD</w:t>
      </w:r>
      <w:proofErr w:type="spellEnd"/>
      <w:r w:rsidRPr="00E61EC7">
        <w:t xml:space="preserve"> patients. The ACM acknowledged the importance of aligning with the regimen outlined within the clinical trial wherever possible but also agreed that it is important to take into consideration the Australian clinical context and as such recommended that the Product Information dosing section should include the option for the physician to treat per disease activity and at the physician’s discretion, and suggested the following wording:</w:t>
      </w:r>
    </w:p>
    <w:p w14:paraId="0C9F763D" w14:textId="4B1D8D49" w:rsidR="00EC165B" w:rsidRPr="00E61EC7" w:rsidRDefault="002A2C48" w:rsidP="00EC165B">
      <w:pPr>
        <w:ind w:left="720"/>
        <w:rPr>
          <w:i/>
          <w:iCs/>
        </w:rPr>
      </w:pPr>
      <w:r w:rsidRPr="00E61EC7">
        <w:rPr>
          <w:i/>
          <w:iCs/>
        </w:rPr>
        <w:t xml:space="preserve">The recommended dose for </w:t>
      </w:r>
      <w:proofErr w:type="spellStart"/>
      <w:r w:rsidRPr="00E61EC7">
        <w:rPr>
          <w:i/>
          <w:iCs/>
        </w:rPr>
        <w:t>Vabysmo</w:t>
      </w:r>
      <w:proofErr w:type="spellEnd"/>
      <w:r w:rsidRPr="00E61EC7">
        <w:rPr>
          <w:i/>
          <w:iCs/>
        </w:rPr>
        <w:t xml:space="preserve"> is 6 mg (0.05 mL) administered by intravitreal injection every 4 weeks (monthly) for the first 4 doses. Thereafter, an assessment of disease activity based on anatomic and visual outcomes is recommended so treatment can be individualised. In patients without disease activity, administration of </w:t>
      </w:r>
      <w:proofErr w:type="spellStart"/>
      <w:r w:rsidRPr="00E61EC7">
        <w:rPr>
          <w:i/>
          <w:iCs/>
        </w:rPr>
        <w:t>Vabysmo</w:t>
      </w:r>
      <w:proofErr w:type="spellEnd"/>
      <w:r w:rsidRPr="00E61EC7">
        <w:rPr>
          <w:i/>
          <w:iCs/>
        </w:rPr>
        <w:t xml:space="preserve"> up to 16 weeks (4 months) should be considered. In patients with disease activity, treatment every 4 to 12 weeks (3 months) should be considered.</w:t>
      </w:r>
    </w:p>
    <w:p w14:paraId="5C87B4A9" w14:textId="47C209A7" w:rsidR="00EC165B" w:rsidRPr="00E61EC7" w:rsidRDefault="002A2C48" w:rsidP="00EC165B">
      <w:pPr>
        <w:ind w:left="720"/>
        <w:rPr>
          <w:i/>
          <w:iCs/>
        </w:rPr>
      </w:pPr>
      <w:r w:rsidRPr="00E61EC7">
        <w:rPr>
          <w:i/>
          <w:iCs/>
        </w:rPr>
        <w:t>Continued monitoring of disease activity is recommended. Monitoring between the dosing visits should be scheduled based on the patient's status and at the physician's clinical judgment.</w:t>
      </w:r>
    </w:p>
    <w:p w14:paraId="5D2AA191" w14:textId="083F9C67" w:rsidR="00EC165B" w:rsidRPr="00E61EC7" w:rsidRDefault="002A2C48" w:rsidP="00EC165B">
      <w:pPr>
        <w:pStyle w:val="Numberbullet0"/>
        <w:rPr>
          <w:b/>
          <w:bCs/>
          <w:i/>
          <w:iCs/>
        </w:rPr>
      </w:pPr>
      <w:r w:rsidRPr="00E61EC7">
        <w:rPr>
          <w:b/>
          <w:bCs/>
          <w:i/>
          <w:iCs/>
        </w:rPr>
        <w:t xml:space="preserve">Based on the data up to Week 100 data from </w:t>
      </w:r>
      <w:r w:rsidR="00DB6520">
        <w:rPr>
          <w:b/>
          <w:bCs/>
          <w:i/>
          <w:iCs/>
        </w:rPr>
        <w:t xml:space="preserve">Studies GR40349 and </w:t>
      </w:r>
      <w:r w:rsidR="006E0091">
        <w:rPr>
          <w:b/>
          <w:bCs/>
          <w:i/>
          <w:iCs/>
        </w:rPr>
        <w:t>GR</w:t>
      </w:r>
      <w:r w:rsidR="00DB6520">
        <w:rPr>
          <w:b/>
          <w:bCs/>
          <w:i/>
          <w:iCs/>
        </w:rPr>
        <w:t>40398 (</w:t>
      </w:r>
      <w:r w:rsidR="00F00C64" w:rsidRPr="00E61EC7">
        <w:rPr>
          <w:b/>
          <w:bCs/>
          <w:i/>
          <w:iCs/>
        </w:rPr>
        <w:t xml:space="preserve">the </w:t>
      </w:r>
      <w:r w:rsidRPr="00E61EC7">
        <w:rPr>
          <w:b/>
          <w:bCs/>
          <w:i/>
          <w:iCs/>
        </w:rPr>
        <w:t>YOSEMITE and RHINE</w:t>
      </w:r>
      <w:r w:rsidR="00F00C64" w:rsidRPr="00E61EC7">
        <w:rPr>
          <w:b/>
          <w:bCs/>
          <w:i/>
          <w:iCs/>
        </w:rPr>
        <w:t xml:space="preserve"> trials</w:t>
      </w:r>
      <w:r w:rsidR="00DB6520">
        <w:rPr>
          <w:b/>
          <w:bCs/>
          <w:i/>
          <w:iCs/>
        </w:rPr>
        <w:t>)</w:t>
      </w:r>
      <w:r w:rsidRPr="00E61EC7">
        <w:rPr>
          <w:b/>
          <w:bCs/>
          <w:i/>
          <w:iCs/>
        </w:rPr>
        <w:t>, only non</w:t>
      </w:r>
      <w:r w:rsidR="00F00C64" w:rsidRPr="00E61EC7">
        <w:rPr>
          <w:b/>
          <w:bCs/>
          <w:i/>
          <w:iCs/>
        </w:rPr>
        <w:noBreakHyphen/>
      </w:r>
      <w:r w:rsidRPr="00E61EC7">
        <w:rPr>
          <w:b/>
          <w:bCs/>
          <w:i/>
          <w:iCs/>
        </w:rPr>
        <w:t xml:space="preserve">inferiority, but not superiority over aflibercept has been demonstrated for the </w:t>
      </w:r>
      <w:r w:rsidR="00E0115A" w:rsidRPr="00E61EC7">
        <w:rPr>
          <w:b/>
          <w:bCs/>
          <w:i/>
          <w:iCs/>
        </w:rPr>
        <w:t xml:space="preserve">diabetic macular oedema </w:t>
      </w:r>
      <w:r w:rsidRPr="00E61EC7">
        <w:rPr>
          <w:b/>
          <w:bCs/>
          <w:i/>
          <w:iCs/>
        </w:rPr>
        <w:t>indication.</w:t>
      </w:r>
    </w:p>
    <w:p w14:paraId="47852047" w14:textId="2C6FD5A3" w:rsidR="00EC165B" w:rsidRPr="00E61EC7" w:rsidRDefault="002A2C48" w:rsidP="00EC165B">
      <w:pPr>
        <w:pStyle w:val="Numberbullet0"/>
        <w:numPr>
          <w:ilvl w:val="0"/>
          <w:numId w:val="0"/>
        </w:numPr>
        <w:ind w:left="425"/>
        <w:rPr>
          <w:b/>
          <w:bCs/>
          <w:i/>
          <w:iCs/>
        </w:rPr>
      </w:pPr>
      <w:r w:rsidRPr="00E61EC7">
        <w:rPr>
          <w:b/>
          <w:bCs/>
          <w:i/>
          <w:iCs/>
        </w:rPr>
        <w:t xml:space="preserve">Can the ACM comment on whether the available data are sufficient for registration of a </w:t>
      </w:r>
      <w:r w:rsidR="00E0115A" w:rsidRPr="00E61EC7">
        <w:rPr>
          <w:b/>
          <w:bCs/>
          <w:i/>
          <w:iCs/>
        </w:rPr>
        <w:t xml:space="preserve">diabetic macular oedema </w:t>
      </w:r>
      <w:r w:rsidRPr="00E61EC7">
        <w:rPr>
          <w:b/>
          <w:bCs/>
          <w:i/>
          <w:iCs/>
        </w:rPr>
        <w:t>indication?</w:t>
      </w:r>
    </w:p>
    <w:p w14:paraId="59340D26" w14:textId="1EB80C05" w:rsidR="00EC165B" w:rsidRPr="00E61EC7" w:rsidRDefault="002A2C48" w:rsidP="00EC165B">
      <w:r w:rsidRPr="00E61EC7">
        <w:t xml:space="preserve">The ACM discussed and commented that non-inferiority of </w:t>
      </w:r>
      <w:proofErr w:type="spellStart"/>
      <w:r w:rsidRPr="00E61EC7">
        <w:t>faricimab</w:t>
      </w:r>
      <w:proofErr w:type="spellEnd"/>
      <w:r w:rsidRPr="00E61EC7">
        <w:t xml:space="preserve"> to an existing treatment for </w:t>
      </w:r>
      <w:r w:rsidR="00E0115A" w:rsidRPr="00E61EC7">
        <w:t>diabetic macular oedema (</w:t>
      </w:r>
      <w:r w:rsidRPr="00E61EC7">
        <w:t>DMO</w:t>
      </w:r>
      <w:r w:rsidR="00E0115A" w:rsidRPr="00E61EC7">
        <w:t xml:space="preserve">) </w:t>
      </w:r>
      <w:r w:rsidRPr="00E61EC7">
        <w:t>/</w:t>
      </w:r>
      <w:r w:rsidR="00E0115A" w:rsidRPr="00E61EC7">
        <w:t xml:space="preserve"> diabetic macular </w:t>
      </w:r>
      <w:proofErr w:type="spellStart"/>
      <w:r w:rsidR="00E0115A" w:rsidRPr="00E61EC7">
        <w:t>edema</w:t>
      </w:r>
      <w:proofErr w:type="spellEnd"/>
      <w:r w:rsidR="00E0115A" w:rsidRPr="00E61EC7">
        <w:t xml:space="preserve"> (</w:t>
      </w:r>
      <w:r w:rsidRPr="00E61EC7">
        <w:t>DME</w:t>
      </w:r>
      <w:r w:rsidR="00E0115A" w:rsidRPr="00E61EC7">
        <w:t>)</w:t>
      </w:r>
      <w:r w:rsidRPr="00E61EC7">
        <w:t xml:space="preserve"> is appropriate and sufficient for registration of the DMO/DME indication. Further, the ACM noted that the effect was durable over 100 weeks.</w:t>
      </w:r>
    </w:p>
    <w:p w14:paraId="3CE93DFA" w14:textId="7EC9CB94" w:rsidR="00EC165B" w:rsidRPr="00E61EC7" w:rsidRDefault="002A2C48" w:rsidP="00EC165B">
      <w:pPr>
        <w:pStyle w:val="Numberbullet0"/>
        <w:rPr>
          <w:b/>
          <w:bCs/>
          <w:i/>
          <w:iCs/>
        </w:rPr>
      </w:pPr>
      <w:r w:rsidRPr="00E61EC7">
        <w:rPr>
          <w:b/>
          <w:bCs/>
          <w:i/>
          <w:iCs/>
        </w:rPr>
        <w:t xml:space="preserve">Assuming that </w:t>
      </w:r>
      <w:proofErr w:type="spellStart"/>
      <w:r w:rsidR="00533A7C" w:rsidRPr="00E61EC7">
        <w:rPr>
          <w:b/>
          <w:bCs/>
          <w:i/>
          <w:iCs/>
        </w:rPr>
        <w:t>Vabysmo</w:t>
      </w:r>
      <w:proofErr w:type="spellEnd"/>
      <w:r w:rsidRPr="00E61EC7">
        <w:rPr>
          <w:b/>
          <w:bCs/>
          <w:i/>
          <w:iCs/>
        </w:rPr>
        <w:t xml:space="preserve"> is registered for </w:t>
      </w:r>
      <w:r w:rsidR="00E0115A" w:rsidRPr="00E61EC7">
        <w:rPr>
          <w:b/>
          <w:bCs/>
          <w:i/>
          <w:iCs/>
        </w:rPr>
        <w:t>diabetic macular oedema</w:t>
      </w:r>
      <w:r w:rsidRPr="00E61EC7">
        <w:rPr>
          <w:b/>
          <w:bCs/>
          <w:i/>
          <w:iCs/>
        </w:rPr>
        <w:t xml:space="preserve">, can the ACM comment on the appropriateness of the sponsor-proposed dosing regimen, </w:t>
      </w:r>
      <w:proofErr w:type="gramStart"/>
      <w:r w:rsidRPr="00E61EC7">
        <w:rPr>
          <w:b/>
          <w:bCs/>
          <w:i/>
          <w:iCs/>
        </w:rPr>
        <w:t>and also</w:t>
      </w:r>
      <w:proofErr w:type="gramEnd"/>
      <w:r w:rsidRPr="00E61EC7">
        <w:rPr>
          <w:b/>
          <w:bCs/>
          <w:i/>
          <w:iCs/>
        </w:rPr>
        <w:t xml:space="preserve"> comment on the appropriate communication of a suitable regimen to the prescriber in the </w:t>
      </w:r>
      <w:r w:rsidR="007F2B30" w:rsidRPr="00E61EC7">
        <w:rPr>
          <w:b/>
          <w:bCs/>
          <w:i/>
          <w:iCs/>
        </w:rPr>
        <w:t>Product Information</w:t>
      </w:r>
      <w:r w:rsidRPr="00E61EC7">
        <w:rPr>
          <w:b/>
          <w:bCs/>
          <w:i/>
          <w:iCs/>
        </w:rPr>
        <w:t xml:space="preserve"> or otherwise?</w:t>
      </w:r>
    </w:p>
    <w:p w14:paraId="5AFB6B1F" w14:textId="77777777" w:rsidR="00EC165B" w:rsidRPr="00E61EC7" w:rsidRDefault="002A2C48" w:rsidP="00EC165B">
      <w:r w:rsidRPr="00E61EC7">
        <w:t>The ACM suggested the following wording for the dosing regimen:</w:t>
      </w:r>
    </w:p>
    <w:p w14:paraId="7A497327" w14:textId="36531730" w:rsidR="00EC165B" w:rsidRPr="00E61EC7" w:rsidRDefault="002A2C48" w:rsidP="00EC165B">
      <w:pPr>
        <w:ind w:left="360"/>
        <w:rPr>
          <w:i/>
          <w:iCs/>
        </w:rPr>
      </w:pPr>
      <w:r w:rsidRPr="00E61EC7">
        <w:rPr>
          <w:i/>
          <w:iCs/>
        </w:rPr>
        <w:t xml:space="preserve">The recommended dose for </w:t>
      </w:r>
      <w:proofErr w:type="spellStart"/>
      <w:r w:rsidRPr="00E61EC7">
        <w:rPr>
          <w:i/>
          <w:iCs/>
        </w:rPr>
        <w:t>Vabysmo</w:t>
      </w:r>
      <w:proofErr w:type="spellEnd"/>
      <w:r w:rsidRPr="00E61EC7">
        <w:rPr>
          <w:i/>
          <w:iCs/>
        </w:rPr>
        <w:t xml:space="preserve"> is 6 mg (0.05 mL) administered by intravitreal injection every 4 weeks (monthly) for the first 4 doses. Thereafter, treatment may be individualised using a treat-and-extend approach. Based on the physician's judgment of the individual patient’s anatomic and visual outcomes, the dosing interval may be </w:t>
      </w:r>
      <w:r w:rsidRPr="00E61EC7">
        <w:rPr>
          <w:i/>
          <w:iCs/>
        </w:rPr>
        <w:lastRenderedPageBreak/>
        <w:t xml:space="preserve">extended up to every 16 weeks (4 months). If anatomic or visual outcomes change, the treatment interval should be adjusted accordingly (see </w:t>
      </w:r>
      <w:r w:rsidR="00F00C64" w:rsidRPr="00E61EC7">
        <w:rPr>
          <w:i/>
          <w:iCs/>
        </w:rPr>
        <w:t xml:space="preserve">Section </w:t>
      </w:r>
      <w:r w:rsidRPr="00E61EC7">
        <w:rPr>
          <w:i/>
          <w:iCs/>
        </w:rPr>
        <w:t>5.1).</w:t>
      </w:r>
    </w:p>
    <w:p w14:paraId="6ED398C6" w14:textId="6662DAEC" w:rsidR="00EC165B" w:rsidRPr="00E61EC7" w:rsidRDefault="002A2C48" w:rsidP="00EC165B">
      <w:pPr>
        <w:ind w:left="360"/>
        <w:rPr>
          <w:i/>
          <w:iCs/>
        </w:rPr>
      </w:pPr>
      <w:r w:rsidRPr="00E61EC7">
        <w:rPr>
          <w:i/>
          <w:iCs/>
        </w:rPr>
        <w:t>Continued monitoring of disease activity and individualisation of dosing is recommended. Monitoring between the dosing visits should be scheduled based on the patient's status and at the physician's clinical judgment</w:t>
      </w:r>
      <w:r w:rsidR="00AA2E84" w:rsidRPr="00E61EC7">
        <w:rPr>
          <w:i/>
          <w:iCs/>
        </w:rPr>
        <w:t>.</w:t>
      </w:r>
    </w:p>
    <w:p w14:paraId="4698DCA4" w14:textId="4E8DE9FF" w:rsidR="00EC165B" w:rsidRPr="00E61EC7" w:rsidRDefault="002A2C48" w:rsidP="00EC165B">
      <w:pPr>
        <w:pStyle w:val="Numberbullet0"/>
        <w:rPr>
          <w:b/>
          <w:bCs/>
          <w:i/>
          <w:iCs/>
        </w:rPr>
      </w:pPr>
      <w:r w:rsidRPr="00E61EC7">
        <w:rPr>
          <w:b/>
          <w:bCs/>
          <w:i/>
          <w:iCs/>
        </w:rPr>
        <w:t xml:space="preserve">The committee is also requested to provide advice on any other issues that it thinks may be relevant to a decision on </w:t>
      </w:r>
      <w:proofErr w:type="gramStart"/>
      <w:r w:rsidRPr="00E61EC7">
        <w:rPr>
          <w:b/>
          <w:bCs/>
          <w:i/>
          <w:iCs/>
        </w:rPr>
        <w:t>whether or not</w:t>
      </w:r>
      <w:proofErr w:type="gramEnd"/>
      <w:r w:rsidRPr="00E61EC7">
        <w:rPr>
          <w:b/>
          <w:bCs/>
          <w:i/>
          <w:iCs/>
        </w:rPr>
        <w:t xml:space="preserve"> to approve this </w:t>
      </w:r>
      <w:r w:rsidR="005A61F8" w:rsidRPr="00E61EC7">
        <w:rPr>
          <w:b/>
          <w:bCs/>
          <w:i/>
          <w:iCs/>
        </w:rPr>
        <w:t>submission</w:t>
      </w:r>
      <w:r w:rsidRPr="00E61EC7">
        <w:rPr>
          <w:b/>
          <w:bCs/>
          <w:i/>
          <w:iCs/>
        </w:rPr>
        <w:t>.</w:t>
      </w:r>
    </w:p>
    <w:p w14:paraId="71554B07" w14:textId="2C206E98" w:rsidR="00EC165B" w:rsidRPr="00E61EC7" w:rsidRDefault="002A2C48" w:rsidP="00EC165B">
      <w:r w:rsidRPr="00E61EC7">
        <w:t xml:space="preserve">The ACM discussed the spelling of </w:t>
      </w:r>
      <w:proofErr w:type="spellStart"/>
      <w:r w:rsidRPr="00E61EC7">
        <w:t>edema</w:t>
      </w:r>
      <w:proofErr w:type="spellEnd"/>
      <w:r w:rsidRPr="00E61EC7">
        <w:t xml:space="preserve"> / </w:t>
      </w:r>
      <w:r w:rsidR="00102B5F" w:rsidRPr="00E61EC7">
        <w:t>o</w:t>
      </w:r>
      <w:r w:rsidRPr="00E61EC7">
        <w:t xml:space="preserve">edema and advised that within Australia oedema is generally used, but to avoid confusion the ACM advised that both spellings of diabetic macular </w:t>
      </w:r>
      <w:proofErr w:type="spellStart"/>
      <w:r w:rsidRPr="00E61EC7">
        <w:t>edema</w:t>
      </w:r>
      <w:proofErr w:type="spellEnd"/>
      <w:r w:rsidRPr="00E61EC7">
        <w:t xml:space="preserve"> (DME) and diabetic macular oedema (DMO) should be listed in the </w:t>
      </w:r>
      <w:r w:rsidR="007F2B30" w:rsidRPr="00E61EC7">
        <w:t>Product Information (</w:t>
      </w:r>
      <w:r w:rsidRPr="00E61EC7">
        <w:t>PI</w:t>
      </w:r>
      <w:r w:rsidR="007F2B30" w:rsidRPr="00E61EC7">
        <w:t>)</w:t>
      </w:r>
      <w:r w:rsidRPr="00E61EC7">
        <w:t>.</w:t>
      </w:r>
    </w:p>
    <w:p w14:paraId="702C485F" w14:textId="77777777" w:rsidR="00EC165B" w:rsidRPr="00E61EC7" w:rsidRDefault="002A2C48" w:rsidP="00EC165B">
      <w:r w:rsidRPr="00E61EC7">
        <w:t>The ACM noted the lack of clinical validity of the composite disease assessment criteria in the PI. The ACM advised that the PI should include the clinical trial assessment criteria.</w:t>
      </w:r>
    </w:p>
    <w:p w14:paraId="6DE15607" w14:textId="3E2B72B8" w:rsidR="00EC165B" w:rsidRPr="00E61EC7" w:rsidRDefault="002A2C48" w:rsidP="00EC165B">
      <w:r w:rsidRPr="00E61EC7">
        <w:t>The ACM queried the reason for the withholding treatment statement within the PI noting that anti-VEGF at or around the time of cataract surgery is common in patients with DMO/DME. The ACM advised that the following statement in the PI, ‘</w:t>
      </w:r>
      <w:r w:rsidRPr="00E61EC7">
        <w:rPr>
          <w:i/>
          <w:iCs/>
        </w:rPr>
        <w:t xml:space="preserve">Withholding treatment </w:t>
      </w:r>
      <w:r w:rsidR="00263448" w:rsidRPr="00E61EC7">
        <w:rPr>
          <w:i/>
          <w:iCs/>
        </w:rPr>
        <w:t>-</w:t>
      </w:r>
      <w:r w:rsidRPr="00E61EC7">
        <w:rPr>
          <w:i/>
          <w:iCs/>
        </w:rPr>
        <w:t xml:space="preserve"> ‘performed or planned intraocular surgery within the previous or next 28 days; treatment should not be resumed earlier than the next scheduled treatment</w:t>
      </w:r>
      <w:r w:rsidRPr="00E61EC7">
        <w:t>’ should include ‘</w:t>
      </w:r>
      <w:r w:rsidRPr="00E61EC7">
        <w:rPr>
          <w:i/>
          <w:iCs/>
        </w:rPr>
        <w:t>at the physician's discretion</w:t>
      </w:r>
      <w:r w:rsidRPr="00E61EC7">
        <w:t>’ to allow the physician to assess the individual patient and their condition.</w:t>
      </w:r>
    </w:p>
    <w:p w14:paraId="78AE2B92" w14:textId="3C3D4D06" w:rsidR="00EC165B" w:rsidRPr="00E61EC7" w:rsidRDefault="002A2C48" w:rsidP="00EC165B">
      <w:r w:rsidRPr="00E61EC7">
        <w:t xml:space="preserve">The ACM indicated that additional clarification regarding the duration of treatment could be beneficial and suggested that ‘Duration of treatment for DMO/DME is adjusted accordingly to clinical response’ and ‘Duration of treatment for </w:t>
      </w:r>
      <w:proofErr w:type="spellStart"/>
      <w:r w:rsidRPr="00E61EC7">
        <w:t>nAMD</w:t>
      </w:r>
      <w:proofErr w:type="spellEnd"/>
      <w:r w:rsidRPr="00E61EC7">
        <w:t xml:space="preserve"> is likely to be long</w:t>
      </w:r>
      <w:r w:rsidR="00CC16D0" w:rsidRPr="00E61EC7">
        <w:t>-</w:t>
      </w:r>
      <w:r w:rsidRPr="00E61EC7">
        <w:t>term treatment’ could be used within the PI.</w:t>
      </w:r>
    </w:p>
    <w:p w14:paraId="4F80C4F0" w14:textId="77777777" w:rsidR="0074163C" w:rsidRPr="00E61EC7" w:rsidRDefault="002A2C48" w:rsidP="0074163C">
      <w:pPr>
        <w:pStyle w:val="Heading5"/>
      </w:pPr>
      <w:r w:rsidRPr="00E61EC7">
        <w:t>Conclusion</w:t>
      </w:r>
    </w:p>
    <w:p w14:paraId="15008F76" w14:textId="77777777" w:rsidR="00EC165B" w:rsidRPr="00E61EC7" w:rsidRDefault="002A2C48" w:rsidP="00EC165B">
      <w:r w:rsidRPr="00E61EC7">
        <w:t>The ACM considered this product to have an overall positive benefit-risk profile for the indication:</w:t>
      </w:r>
    </w:p>
    <w:p w14:paraId="518C4F93" w14:textId="1ACCFF36" w:rsidR="00EC165B" w:rsidRPr="00E61EC7" w:rsidRDefault="002A2C48" w:rsidP="00EC165B">
      <w:pPr>
        <w:ind w:left="360"/>
        <w:rPr>
          <w:i/>
          <w:iCs/>
        </w:rPr>
      </w:pPr>
      <w:proofErr w:type="spellStart"/>
      <w:r w:rsidRPr="00E61EC7">
        <w:rPr>
          <w:i/>
          <w:iCs/>
        </w:rPr>
        <w:t>Vabysmo</w:t>
      </w:r>
      <w:proofErr w:type="spellEnd"/>
      <w:r w:rsidRPr="00E61EC7">
        <w:rPr>
          <w:i/>
          <w:iCs/>
        </w:rPr>
        <w:t xml:space="preserve"> is a bispecific angiopoietin-2 (Ang-2) and vascular endothelial growth factor (VEGF) inhibitor indicated for the treatment of:</w:t>
      </w:r>
    </w:p>
    <w:p w14:paraId="0ED58C9A" w14:textId="45677968" w:rsidR="00EC165B" w:rsidRPr="00E61EC7" w:rsidRDefault="002A2C48" w:rsidP="00EC165B">
      <w:pPr>
        <w:pStyle w:val="ListBullet"/>
        <w:ind w:left="720"/>
        <w:rPr>
          <w:i/>
          <w:iCs/>
        </w:rPr>
      </w:pPr>
      <w:r w:rsidRPr="00E61EC7">
        <w:rPr>
          <w:i/>
          <w:iCs/>
        </w:rPr>
        <w:t>Neovascular (wet) age-related macular degeneration (</w:t>
      </w:r>
      <w:proofErr w:type="spellStart"/>
      <w:r w:rsidRPr="00E61EC7">
        <w:rPr>
          <w:i/>
          <w:iCs/>
        </w:rPr>
        <w:t>nAMD</w:t>
      </w:r>
      <w:proofErr w:type="spellEnd"/>
      <w:r w:rsidRPr="00E61EC7">
        <w:rPr>
          <w:i/>
          <w:iCs/>
        </w:rPr>
        <w:t>)</w:t>
      </w:r>
    </w:p>
    <w:p w14:paraId="317FAD63" w14:textId="77777777" w:rsidR="00EC165B" w:rsidRPr="00E61EC7" w:rsidRDefault="002A2C48" w:rsidP="00EC165B">
      <w:pPr>
        <w:pStyle w:val="ListBullet"/>
        <w:ind w:left="720"/>
        <w:rPr>
          <w:i/>
          <w:iCs/>
        </w:rPr>
      </w:pPr>
      <w:r w:rsidRPr="00E61EC7">
        <w:rPr>
          <w:i/>
          <w:iCs/>
        </w:rPr>
        <w:t>Diabetic macular oedema (DMO).</w:t>
      </w:r>
    </w:p>
    <w:p w14:paraId="11CDE048" w14:textId="77777777" w:rsidR="008E7846" w:rsidRPr="00E61EC7" w:rsidRDefault="002A2C48" w:rsidP="00D212F3">
      <w:pPr>
        <w:pStyle w:val="Heading2"/>
      </w:pPr>
      <w:bookmarkStart w:id="114" w:name="_Toc129701779"/>
      <w:r w:rsidRPr="00E61EC7">
        <w:t>Outcome</w:t>
      </w:r>
      <w:bookmarkEnd w:id="112"/>
      <w:bookmarkEnd w:id="113"/>
      <w:bookmarkEnd w:id="114"/>
    </w:p>
    <w:p w14:paraId="2221DDB6" w14:textId="1F8F7CE5" w:rsidR="0074163C" w:rsidRPr="00E61EC7" w:rsidRDefault="002A2C48" w:rsidP="0074163C">
      <w:bookmarkStart w:id="115" w:name="_Toc247691533"/>
      <w:bookmarkStart w:id="116" w:name="_Toc314842517"/>
      <w:r w:rsidRPr="00E61EC7">
        <w:t xml:space="preserve">Based on a review of quality, </w:t>
      </w:r>
      <w:r w:rsidR="00CC5044" w:rsidRPr="00E61EC7">
        <w:t>safety,</w:t>
      </w:r>
      <w:r w:rsidRPr="00E61EC7">
        <w:t xml:space="preserve"> and efficacy, the TGA approved the registration of </w:t>
      </w:r>
      <w:proofErr w:type="spellStart"/>
      <w:r w:rsidR="00610CCA" w:rsidRPr="00E61EC7">
        <w:t>Vabysmo</w:t>
      </w:r>
      <w:proofErr w:type="spellEnd"/>
      <w:r w:rsidRPr="00E61EC7">
        <w:t xml:space="preserve"> (</w:t>
      </w:r>
      <w:proofErr w:type="spellStart"/>
      <w:r w:rsidR="00610CCA" w:rsidRPr="00E61EC7">
        <w:t>faricimab</w:t>
      </w:r>
      <w:proofErr w:type="spellEnd"/>
      <w:r w:rsidRPr="00E61EC7">
        <w:t xml:space="preserve">) </w:t>
      </w:r>
      <w:r w:rsidR="004D04E2" w:rsidRPr="00E61EC7">
        <w:t>120 mg/mL</w:t>
      </w:r>
      <w:r w:rsidRPr="00E61EC7">
        <w:t xml:space="preserve">, </w:t>
      </w:r>
      <w:r w:rsidR="004D04E2" w:rsidRPr="00E61EC7">
        <w:t>solution for injection</w:t>
      </w:r>
      <w:r w:rsidRPr="00E61EC7">
        <w:t xml:space="preserve">, </w:t>
      </w:r>
      <w:r w:rsidR="004D04E2" w:rsidRPr="00E61EC7">
        <w:t>vial</w:t>
      </w:r>
      <w:r w:rsidRPr="00E61EC7">
        <w:t>, indicated for:</w:t>
      </w:r>
    </w:p>
    <w:p w14:paraId="5E56CB29" w14:textId="77777777" w:rsidR="00610CCA" w:rsidRPr="00E61EC7" w:rsidRDefault="002A2C48" w:rsidP="00610CCA">
      <w:pPr>
        <w:ind w:left="360"/>
        <w:rPr>
          <w:i/>
          <w:iCs/>
        </w:rPr>
      </w:pPr>
      <w:proofErr w:type="spellStart"/>
      <w:r w:rsidRPr="00E61EC7">
        <w:rPr>
          <w:i/>
          <w:iCs/>
        </w:rPr>
        <w:t>Vabysmo</w:t>
      </w:r>
      <w:proofErr w:type="spellEnd"/>
      <w:r w:rsidRPr="00E61EC7">
        <w:rPr>
          <w:i/>
          <w:iCs/>
        </w:rPr>
        <w:t xml:space="preserve"> is indicated for the treatment of:</w:t>
      </w:r>
    </w:p>
    <w:p w14:paraId="42BCDF4D" w14:textId="77777777" w:rsidR="00610CCA" w:rsidRPr="00E61EC7" w:rsidRDefault="002A2C48" w:rsidP="00610CCA">
      <w:pPr>
        <w:pStyle w:val="ListBullet"/>
        <w:ind w:left="720"/>
        <w:rPr>
          <w:i/>
          <w:iCs/>
        </w:rPr>
      </w:pPr>
      <w:r w:rsidRPr="00E61EC7">
        <w:rPr>
          <w:i/>
          <w:iCs/>
        </w:rPr>
        <w:t>Neovascular (wet) age-related macular degeneration (</w:t>
      </w:r>
      <w:proofErr w:type="spellStart"/>
      <w:r w:rsidRPr="00E61EC7">
        <w:rPr>
          <w:i/>
          <w:iCs/>
        </w:rPr>
        <w:t>nAMD</w:t>
      </w:r>
      <w:proofErr w:type="spellEnd"/>
      <w:r w:rsidRPr="00E61EC7">
        <w:rPr>
          <w:i/>
          <w:iCs/>
        </w:rPr>
        <w:t>)</w:t>
      </w:r>
    </w:p>
    <w:p w14:paraId="173094F6" w14:textId="5BBABE7E" w:rsidR="0074163C" w:rsidRPr="00E61EC7" w:rsidRDefault="002A2C48" w:rsidP="00610CCA">
      <w:pPr>
        <w:pStyle w:val="ListBullet"/>
        <w:ind w:left="720"/>
        <w:rPr>
          <w:i/>
          <w:iCs/>
        </w:rPr>
      </w:pPr>
      <w:r w:rsidRPr="00E61EC7">
        <w:rPr>
          <w:i/>
          <w:iCs/>
        </w:rPr>
        <w:t>Diabetic macular oedema (DMO).</w:t>
      </w:r>
    </w:p>
    <w:p w14:paraId="282C069F" w14:textId="77777777" w:rsidR="00D23139" w:rsidRPr="00E61EC7" w:rsidRDefault="002A2C48" w:rsidP="00D212F3">
      <w:pPr>
        <w:pStyle w:val="Heading3"/>
      </w:pPr>
      <w:bookmarkStart w:id="117" w:name="_Toc129701780"/>
      <w:r w:rsidRPr="00E61EC7">
        <w:t>Specific conditions of registration applying to these goods</w:t>
      </w:r>
      <w:bookmarkEnd w:id="117"/>
    </w:p>
    <w:p w14:paraId="6AE0F9CB" w14:textId="3B195636" w:rsidR="004D04E2" w:rsidRPr="00E61EC7" w:rsidRDefault="002A2C48" w:rsidP="004D04E2">
      <w:pPr>
        <w:pStyle w:val="ListBullet"/>
      </w:pPr>
      <w:proofErr w:type="spellStart"/>
      <w:r w:rsidRPr="00E61EC7">
        <w:t>Vabysmo</w:t>
      </w:r>
      <w:proofErr w:type="spellEnd"/>
      <w:r w:rsidRPr="00E61EC7">
        <w:t xml:space="preserve"> (</w:t>
      </w:r>
      <w:proofErr w:type="spellStart"/>
      <w:r w:rsidRPr="00E61EC7">
        <w:t>faricimab</w:t>
      </w:r>
      <w:proofErr w:type="spellEnd"/>
      <w:r w:rsidRPr="00E61EC7">
        <w:t xml:space="preserve">) is to be included in the Black Triangle Scheme. The PI and CMI for </w:t>
      </w:r>
      <w:proofErr w:type="spellStart"/>
      <w:r w:rsidRPr="00E61EC7">
        <w:t>Vabysmo</w:t>
      </w:r>
      <w:proofErr w:type="spellEnd"/>
      <w:r w:rsidRPr="00E61EC7">
        <w:t xml:space="preserve"> must include the black triangle symbol and mandatory accompanying </w:t>
      </w:r>
      <w:r w:rsidRPr="00E61EC7">
        <w:lastRenderedPageBreak/>
        <w:t>text for five years, which starts from the date that the sponsor notifies the TGA of supply of the product.</w:t>
      </w:r>
    </w:p>
    <w:p w14:paraId="15C3BB4A" w14:textId="651E070F" w:rsidR="004D04E2" w:rsidRPr="00E61EC7" w:rsidRDefault="002A2C48" w:rsidP="004D04E2">
      <w:pPr>
        <w:pStyle w:val="ListBullet"/>
      </w:pPr>
      <w:r w:rsidRPr="00E61EC7">
        <w:t xml:space="preserve">The </w:t>
      </w:r>
      <w:proofErr w:type="spellStart"/>
      <w:r w:rsidRPr="00E61EC7">
        <w:t>Vabysmo</w:t>
      </w:r>
      <w:proofErr w:type="spellEnd"/>
      <w:r w:rsidRPr="00E61EC7">
        <w:t xml:space="preserve"> EU-</w:t>
      </w:r>
      <w:r w:rsidR="00F00C64" w:rsidRPr="00E61EC7">
        <w:t xml:space="preserve">risk management plan </w:t>
      </w:r>
      <w:r w:rsidRPr="00E61EC7">
        <w:t xml:space="preserve">(RMP) (version 1.1, dated 4 March 2022, data lock point 31 October 2021), with Australian </w:t>
      </w:r>
      <w:r w:rsidR="00F00C64" w:rsidRPr="00E61EC7">
        <w:t xml:space="preserve">specific annex </w:t>
      </w:r>
      <w:r w:rsidRPr="00E61EC7">
        <w:t>(version 1.2, dated 30</w:t>
      </w:r>
      <w:r w:rsidR="00F00C64" w:rsidRPr="00E61EC7">
        <w:t> </w:t>
      </w:r>
      <w:r w:rsidRPr="00E61EC7">
        <w:t xml:space="preserve">March 2022), included with </w:t>
      </w:r>
      <w:r w:rsidR="00F00C64" w:rsidRPr="00E61EC7">
        <w:t xml:space="preserve">Submission </w:t>
      </w:r>
      <w:r w:rsidRPr="00E61EC7">
        <w:t>PM-2021-02671-1-5, to be revised to the satisfaction of the TGA, and any subsequent revisions, as agreed with the TGA, will be implemented in Australia.</w:t>
      </w:r>
    </w:p>
    <w:p w14:paraId="48C28E81" w14:textId="3919FBBF" w:rsidR="004D04E2" w:rsidRPr="00E61EC7" w:rsidRDefault="002A2C48" w:rsidP="004D04E2">
      <w:pPr>
        <w:pStyle w:val="ListBullet"/>
        <w:numPr>
          <w:ilvl w:val="0"/>
          <w:numId w:val="0"/>
        </w:numPr>
        <w:ind w:left="360"/>
      </w:pPr>
      <w:r w:rsidRPr="00E61EC7">
        <w:t>An obligatory component of risk management plans is routine pharmacovigilance. Routine pharmacovigilance includes the submission of periodic safety update reports (PSURs).</w:t>
      </w:r>
    </w:p>
    <w:p w14:paraId="42528CE5" w14:textId="5048C6B7" w:rsidR="004D04E2" w:rsidRPr="00E61EC7" w:rsidRDefault="002A2C48" w:rsidP="004D04E2">
      <w:pPr>
        <w:pStyle w:val="ListBullet"/>
        <w:numPr>
          <w:ilvl w:val="0"/>
          <w:numId w:val="0"/>
        </w:numPr>
        <w:ind w:left="360"/>
      </w:pPr>
      <w:r w:rsidRPr="00E61EC7">
        <w:t xml:space="preserve">Unless agreed separately between the supplier who is the recipient of the approval and the TGA, the first report must be submitted to TGA no later than 15 calendar months after the date of </w:t>
      </w:r>
      <w:r w:rsidR="00F00C64" w:rsidRPr="00E61EC7">
        <w:t>the</w:t>
      </w:r>
      <w:r w:rsidRPr="00E61EC7">
        <w:t xml:space="preserve"> approval letter. The subsequent reports must be submitted no less frequently than annually from the date of the first submitted report until the period covered by such reports is not less than three years from the date of </w:t>
      </w:r>
      <w:r w:rsidR="00F00C64" w:rsidRPr="00E61EC7">
        <w:t>the</w:t>
      </w:r>
      <w:r w:rsidRPr="00E61EC7">
        <w:t xml:space="preserve"> approval letter. The annual submission may be made up of two PSURs each covering six months. If the sponsor wishes, the </w:t>
      </w:r>
      <w:proofErr w:type="gramStart"/>
      <w:r w:rsidRPr="00E61EC7">
        <w:t>six monthly</w:t>
      </w:r>
      <w:proofErr w:type="gramEnd"/>
      <w:r w:rsidRPr="00E61EC7">
        <w:t xml:space="preserve"> reports may be submitted separately as they become available.</w:t>
      </w:r>
    </w:p>
    <w:p w14:paraId="252A9269" w14:textId="3E099955" w:rsidR="004D04E2" w:rsidRPr="00E61EC7" w:rsidRDefault="002A2C48" w:rsidP="004D04E2">
      <w:pPr>
        <w:pStyle w:val="ListBullet"/>
        <w:numPr>
          <w:ilvl w:val="0"/>
          <w:numId w:val="0"/>
        </w:numPr>
        <w:ind w:left="360"/>
      </w:pPr>
      <w:r w:rsidRPr="00E61EC7">
        <w:t xml:space="preserve">If the product is approved in the EU during the three years period, reports can be provided in line with the published list of EU reference dates no less frequently than annually from the date of the first submitted report until the period covered by such reports is not less than three years from the date of </w:t>
      </w:r>
      <w:r w:rsidR="00F00C64" w:rsidRPr="00E61EC7">
        <w:t>the</w:t>
      </w:r>
      <w:r w:rsidRPr="00E61EC7">
        <w:t xml:space="preserve"> approval letter.</w:t>
      </w:r>
    </w:p>
    <w:p w14:paraId="38C71844" w14:textId="2D028CEA" w:rsidR="004D04E2" w:rsidRPr="00E61EC7" w:rsidRDefault="002A2C48" w:rsidP="004D04E2">
      <w:pPr>
        <w:pStyle w:val="ListBullet"/>
        <w:numPr>
          <w:ilvl w:val="0"/>
          <w:numId w:val="0"/>
        </w:numPr>
        <w:ind w:left="360"/>
      </w:pPr>
      <w:r w:rsidRPr="00E61EC7">
        <w:t xml:space="preserve">The reports are to at least meet the requirements for PSURs as described in the European Medicines Agency’s Guideline on </w:t>
      </w:r>
      <w:r w:rsidR="00F00C64" w:rsidRPr="00E61EC7">
        <w:t xml:space="preserve">Good Pharmacovigilance Practices </w:t>
      </w:r>
      <w:r w:rsidRPr="00E61EC7">
        <w:t xml:space="preserve">(GVP) Module VII-periodic safety update report </w:t>
      </w:r>
      <w:r w:rsidR="00F00C64" w:rsidRPr="00E61EC7">
        <w:t>([</w:t>
      </w:r>
      <w:r w:rsidR="00AB2343" w:rsidRPr="00E61EC7">
        <w:t>Revision</w:t>
      </w:r>
      <w:r w:rsidR="00F00C64" w:rsidRPr="00E61EC7">
        <w:t>]</w:t>
      </w:r>
      <w:r w:rsidRPr="00E61EC7">
        <w:t xml:space="preserve"> 1), Part VII.B Structures and processes. Note that submission of a PSUR does not constitute an application to vary the registration. Each report must have been prepared within ninety calendar days of the data lock point for that report.</w:t>
      </w:r>
    </w:p>
    <w:p w14:paraId="708952FA" w14:textId="6953A3FB" w:rsidR="004D04E2" w:rsidRPr="00E61EC7" w:rsidRDefault="002A2C48" w:rsidP="004D04E2">
      <w:pPr>
        <w:pStyle w:val="ListBullet"/>
      </w:pPr>
      <w:r w:rsidRPr="00E61EC7">
        <w:t xml:space="preserve">The final clinical study reports (CSR) for Study GR40306 </w:t>
      </w:r>
      <w:r w:rsidR="00215642" w:rsidRPr="00E61EC7">
        <w:t>[</w:t>
      </w:r>
      <w:r w:rsidRPr="00E61EC7">
        <w:t>TENAYA</w:t>
      </w:r>
      <w:r w:rsidR="00215642" w:rsidRPr="00E61EC7">
        <w:t xml:space="preserve"> trial]</w:t>
      </w:r>
      <w:r w:rsidRPr="00E61EC7">
        <w:t xml:space="preserve"> and Study GR40844 </w:t>
      </w:r>
      <w:r w:rsidR="00215642" w:rsidRPr="00E61EC7">
        <w:t>[</w:t>
      </w:r>
      <w:r w:rsidRPr="00E61EC7">
        <w:t>LUCERNE</w:t>
      </w:r>
      <w:r w:rsidR="00215642" w:rsidRPr="00E61EC7">
        <w:t xml:space="preserve"> trial]</w:t>
      </w:r>
      <w:r w:rsidRPr="00E61EC7">
        <w:t xml:space="preserve"> should be submitted to the TGA, once available.</w:t>
      </w:r>
    </w:p>
    <w:p w14:paraId="62BDFF82" w14:textId="0186AC67" w:rsidR="004D04E2" w:rsidRPr="00E61EC7" w:rsidRDefault="002A2C48" w:rsidP="004D04E2">
      <w:pPr>
        <w:pStyle w:val="ListBullet"/>
      </w:pPr>
      <w:r w:rsidRPr="00E61EC7">
        <w:t>For all injectable products the Product Information must be included with the product as a package insert.</w:t>
      </w:r>
    </w:p>
    <w:p w14:paraId="5DB2DB05" w14:textId="77777777" w:rsidR="008E7846" w:rsidRPr="00E61EC7" w:rsidRDefault="002A2C48" w:rsidP="00D23139">
      <w:pPr>
        <w:pStyle w:val="Heading2"/>
      </w:pPr>
      <w:bookmarkStart w:id="118" w:name="_Toc129701781"/>
      <w:r w:rsidRPr="00E61EC7">
        <w:t xml:space="preserve">Attachment 1. Product </w:t>
      </w:r>
      <w:r w:rsidR="00AA0ED0" w:rsidRPr="00E61EC7">
        <w:t>I</w:t>
      </w:r>
      <w:r w:rsidRPr="00E61EC7">
        <w:t>nformation</w:t>
      </w:r>
      <w:bookmarkEnd w:id="115"/>
      <w:bookmarkEnd w:id="116"/>
      <w:bookmarkEnd w:id="118"/>
    </w:p>
    <w:p w14:paraId="318938C4" w14:textId="7D9075AD" w:rsidR="00523A21" w:rsidRPr="00E61EC7" w:rsidRDefault="002A2C48" w:rsidP="00C80137">
      <w:r w:rsidRPr="00E61EC7">
        <w:t xml:space="preserve">The PI for </w:t>
      </w:r>
      <w:proofErr w:type="spellStart"/>
      <w:r w:rsidR="00610CCA" w:rsidRPr="00E61EC7">
        <w:t>Vabysmo</w:t>
      </w:r>
      <w:proofErr w:type="spellEnd"/>
      <w:r w:rsidR="0074163C" w:rsidRPr="00E61EC7">
        <w:t xml:space="preserve"> </w:t>
      </w:r>
      <w:r w:rsidRPr="00E61EC7">
        <w:t>approved with the submission which is described in this AusPAR is at Attachment 1.</w:t>
      </w:r>
      <w:r w:rsidR="00CC5044" w:rsidRPr="00E61EC7">
        <w:t xml:space="preserve"> </w:t>
      </w:r>
      <w:r w:rsidR="0074163C" w:rsidRPr="00E61EC7">
        <w:t xml:space="preserve">For the most recent PI, please refer to the TGA </w:t>
      </w:r>
      <w:hyperlink r:id="rId58" w:history="1">
        <w:r w:rsidR="0074163C" w:rsidRPr="00E61EC7">
          <w:rPr>
            <w:rStyle w:val="Hyperlink"/>
          </w:rPr>
          <w:t>PI/CMI search facility</w:t>
        </w:r>
        <w:r w:rsidR="0074163C" w:rsidRPr="00E61EC7">
          <w:rPr>
            <w:rStyle w:val="Hyperlink"/>
            <w:color w:val="auto"/>
            <w:u w:val="none"/>
          </w:rPr>
          <w:t>.</w:t>
        </w:r>
      </w:hyperlink>
    </w:p>
    <w:p w14:paraId="5A16F7F5" w14:textId="0D992F63" w:rsidR="00744121" w:rsidRPr="00E61EC7" w:rsidRDefault="002A2C48" w:rsidP="00744121">
      <w:r w:rsidRPr="00E61EC7">
        <w:br w:type="page"/>
      </w:r>
    </w:p>
    <w:p w14:paraId="3E33500A" w14:textId="77777777" w:rsidR="00C80137" w:rsidRPr="00E61EC7" w:rsidRDefault="00C80137" w:rsidP="003A7F6C">
      <w:pPr>
        <w:pStyle w:val="TableTitle"/>
        <w:sectPr w:rsidR="00C80137" w:rsidRPr="00E61EC7" w:rsidSect="00B452CE">
          <w:headerReference w:type="even" r:id="rId59"/>
          <w:headerReference w:type="default" r:id="rId60"/>
          <w:headerReference w:type="first" r:id="rId61"/>
          <w:footerReference w:type="first" r:id="rId62"/>
          <w:pgSz w:w="11906" w:h="16838" w:code="9"/>
          <w:pgMar w:top="834" w:right="1701" w:bottom="1191" w:left="1701" w:header="907" w:footer="216" w:gutter="0"/>
          <w:cols w:space="708"/>
          <w:docGrid w:linePitch="360"/>
        </w:sectPr>
      </w:pPr>
    </w:p>
    <w:tbl>
      <w:tblPr>
        <w:tblW w:w="9175" w:type="dxa"/>
        <w:tblInd w:w="3" w:type="dxa"/>
        <w:tblLayout w:type="fixed"/>
        <w:tblCellMar>
          <w:left w:w="0" w:type="dxa"/>
          <w:right w:w="0" w:type="dxa"/>
        </w:tblCellMar>
        <w:tblLook w:val="04A0" w:firstRow="1" w:lastRow="0" w:firstColumn="1" w:lastColumn="0" w:noHBand="0" w:noVBand="1"/>
      </w:tblPr>
      <w:tblGrid>
        <w:gridCol w:w="9175"/>
      </w:tblGrid>
      <w:tr w:rsidR="00B0264A" w14:paraId="78A8BB57" w14:textId="77777777" w:rsidTr="00A05FA4">
        <w:trPr>
          <w:trHeight w:hRule="exact" w:val="704"/>
        </w:trPr>
        <w:tc>
          <w:tcPr>
            <w:tcW w:w="9175" w:type="dxa"/>
          </w:tcPr>
          <w:p w14:paraId="519267E6" w14:textId="77777777" w:rsidR="001C32CD" w:rsidRPr="00E61EC7" w:rsidRDefault="002A2C48" w:rsidP="00A05FA4">
            <w:pPr>
              <w:pStyle w:val="TGASignoff"/>
            </w:pPr>
            <w:r w:rsidRPr="00E61EC7">
              <w:lastRenderedPageBreak/>
              <w:t>Therapeutic Goods Administration</w:t>
            </w:r>
          </w:p>
        </w:tc>
      </w:tr>
      <w:tr w:rsidR="00B0264A" w:rsidRPr="00E15AD3" w14:paraId="6039D8DC" w14:textId="77777777" w:rsidTr="00A05FA4">
        <w:trPr>
          <w:trHeight w:val="1221"/>
        </w:trPr>
        <w:tc>
          <w:tcPr>
            <w:tcW w:w="9175" w:type="dxa"/>
            <w:tcMar>
              <w:top w:w="28" w:type="dxa"/>
            </w:tcMar>
          </w:tcPr>
          <w:p w14:paraId="7C28022C" w14:textId="77777777" w:rsidR="001C32CD" w:rsidRPr="00E61EC7" w:rsidRDefault="002A2C48" w:rsidP="00A05FA4">
            <w:pPr>
              <w:pStyle w:val="Address"/>
            </w:pPr>
            <w:r w:rsidRPr="00E61EC7">
              <w:t>PO Box 100 Woden ACT 2606 Australia</w:t>
            </w:r>
          </w:p>
          <w:p w14:paraId="25E83EB5" w14:textId="29FF7099" w:rsidR="001C32CD" w:rsidRPr="00E15AD3" w:rsidRDefault="002A2C48" w:rsidP="00A05FA4">
            <w:pPr>
              <w:pStyle w:val="Address"/>
              <w:rPr>
                <w:lang w:val="fr-FR"/>
              </w:rPr>
            </w:pPr>
            <w:proofErr w:type="gramStart"/>
            <w:r w:rsidRPr="00E15AD3">
              <w:rPr>
                <w:lang w:val="fr-FR"/>
              </w:rPr>
              <w:t>Email:</w:t>
            </w:r>
            <w:proofErr w:type="gramEnd"/>
            <w:r w:rsidRPr="00E15AD3">
              <w:rPr>
                <w:lang w:val="fr-FR"/>
              </w:rPr>
              <w:t xml:space="preserve"> </w:t>
            </w:r>
            <w:hyperlink r:id="rId63" w:history="1">
              <w:r w:rsidRPr="00E15AD3">
                <w:rPr>
                  <w:rStyle w:val="Hyperlink"/>
                  <w:lang w:val="fr-FR"/>
                </w:rPr>
                <w:t>info@tga.gov.au</w:t>
              </w:r>
            </w:hyperlink>
            <w:r w:rsidRPr="00E15AD3">
              <w:rPr>
                <w:lang w:val="fr-FR"/>
              </w:rPr>
              <w:t xml:space="preserve">  Phone: 1800 020 653  Fax: 02 6232 8605</w:t>
            </w:r>
          </w:p>
          <w:p w14:paraId="59BA6ECF" w14:textId="478F7612" w:rsidR="001C32CD" w:rsidRPr="00E15AD3" w:rsidRDefault="003523E0" w:rsidP="00A05FA4">
            <w:pPr>
              <w:pStyle w:val="Address"/>
              <w:spacing w:line="260" w:lineRule="atLeast"/>
              <w:rPr>
                <w:b/>
                <w:color w:val="0000FF"/>
                <w:u w:val="single"/>
                <w:lang w:val="fr-FR"/>
              </w:rPr>
            </w:pPr>
            <w:hyperlink r:id="rId64" w:history="1">
              <w:r w:rsidR="007C6B9B" w:rsidRPr="00E15AD3">
                <w:rPr>
                  <w:rStyle w:val="Hyperlink"/>
                  <w:b/>
                  <w:lang w:val="fr-FR"/>
                </w:rPr>
                <w:t>https://www.tga.gov.au</w:t>
              </w:r>
            </w:hyperlink>
          </w:p>
        </w:tc>
      </w:tr>
    </w:tbl>
    <w:p w14:paraId="26414BB6" w14:textId="77777777" w:rsidR="00774E1D" w:rsidRPr="00E15AD3" w:rsidRDefault="00774E1D" w:rsidP="004C239D">
      <w:pPr>
        <w:rPr>
          <w:lang w:val="fr-FR"/>
        </w:rPr>
      </w:pPr>
    </w:p>
    <w:sectPr w:rsidR="00774E1D" w:rsidRPr="00E15AD3" w:rsidSect="001C32CD">
      <w:headerReference w:type="even" r:id="rId65"/>
      <w:headerReference w:type="default" r:id="rId66"/>
      <w:footerReference w:type="default" r:id="rId67"/>
      <w:headerReference w:type="first" r:id="rId68"/>
      <w:footerReference w:type="first" r:id="rId69"/>
      <w:pgSz w:w="11906" w:h="16838" w:code="9"/>
      <w:pgMar w:top="13467" w:right="1701" w:bottom="426" w:left="1701" w:header="90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555EA" w14:textId="77777777" w:rsidR="008450DF" w:rsidRDefault="008450DF">
      <w:pPr>
        <w:spacing w:before="0" w:after="0" w:line="240" w:lineRule="auto"/>
      </w:pPr>
      <w:r>
        <w:separator/>
      </w:r>
    </w:p>
  </w:endnote>
  <w:endnote w:type="continuationSeparator" w:id="0">
    <w:p w14:paraId="728B4832" w14:textId="77777777" w:rsidR="008450DF" w:rsidRDefault="008450DF">
      <w:pPr>
        <w:spacing w:before="0" w:after="0" w:line="240" w:lineRule="auto"/>
      </w:pPr>
      <w:r>
        <w:continuationSeparator/>
      </w:r>
    </w:p>
  </w:endnote>
  <w:endnote w:type="continuationNotice" w:id="1">
    <w:p w14:paraId="7853EF6D" w14:textId="77777777" w:rsidR="008450DF" w:rsidRDefault="008450D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Wingdings 3">
    <w:panose1 w:val="05040102010807070707"/>
    <w:charset w:val="02"/>
    <w:family w:val="roman"/>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64609E" w14:paraId="7AFBC110" w14:textId="77777777" w:rsidTr="00DB750B">
      <w:trPr>
        <w:trHeight w:val="269"/>
      </w:trPr>
      <w:tc>
        <w:tcPr>
          <w:tcW w:w="7371" w:type="dxa"/>
          <w:tcMar>
            <w:top w:w="142" w:type="dxa"/>
            <w:bottom w:w="0" w:type="dxa"/>
          </w:tcMar>
        </w:tcPr>
        <w:p w14:paraId="373ADC35" w14:textId="36883FFF" w:rsidR="0064609E" w:rsidRPr="00487162" w:rsidRDefault="0064609E" w:rsidP="00460036">
          <w:pPr>
            <w:pStyle w:val="Footer"/>
          </w:pPr>
          <w:r w:rsidRPr="00487162">
            <w:t>AusPA</w:t>
          </w:r>
          <w:r>
            <w:t xml:space="preserve">R - </w:t>
          </w:r>
          <w:proofErr w:type="spellStart"/>
          <w:r w:rsidRPr="00610CCA">
            <w:t>Vabysmo</w:t>
          </w:r>
          <w:proofErr w:type="spellEnd"/>
          <w:r w:rsidRPr="00610CCA">
            <w:t xml:space="preserve"> </w:t>
          </w:r>
          <w:r>
            <w:t>-</w:t>
          </w:r>
          <w:r w:rsidRPr="00460036">
            <w:t xml:space="preserve"> </w:t>
          </w:r>
          <w:proofErr w:type="spellStart"/>
          <w:r w:rsidRPr="00610CCA">
            <w:t>faricimab</w:t>
          </w:r>
          <w:proofErr w:type="spellEnd"/>
          <w:r w:rsidRPr="00610CCA">
            <w:t xml:space="preserve"> </w:t>
          </w:r>
          <w:r>
            <w:t xml:space="preserve">- </w:t>
          </w:r>
          <w:r w:rsidRPr="00610CCA">
            <w:t>Roche Products Pty Limited</w:t>
          </w:r>
          <w:r>
            <w:t xml:space="preserve"> - </w:t>
          </w:r>
          <w:r w:rsidRPr="00610CCA">
            <w:t>PM-2021-02671-1-5</w:t>
          </w:r>
          <w:r>
            <w:br/>
          </w:r>
          <w:r w:rsidR="00CD49E0">
            <w:t>Final 14 March 2023</w:t>
          </w:r>
        </w:p>
      </w:tc>
      <w:tc>
        <w:tcPr>
          <w:tcW w:w="1490" w:type="dxa"/>
          <w:tcMar>
            <w:top w:w="142" w:type="dxa"/>
            <w:bottom w:w="0" w:type="dxa"/>
          </w:tcMar>
        </w:tcPr>
        <w:p w14:paraId="681EA70E" w14:textId="24B75C73" w:rsidR="0064609E" w:rsidRPr="00487162" w:rsidRDefault="0064609E" w:rsidP="00DB750B">
          <w:pPr>
            <w:pStyle w:val="Footer"/>
            <w:jc w:val="right"/>
          </w:pPr>
          <w:r w:rsidRPr="00487162">
            <w:t xml:space="preserve">Page </w:t>
          </w:r>
          <w:r>
            <w:fldChar w:fldCharType="begin"/>
          </w:r>
          <w:r>
            <w:instrText xml:space="preserve"> PAGE  \* Arabic </w:instrText>
          </w:r>
          <w:r>
            <w:fldChar w:fldCharType="separate"/>
          </w:r>
          <w:r w:rsidR="00DE3A1F">
            <w:rPr>
              <w:noProof/>
            </w:rPr>
            <w:t>5</w:t>
          </w:r>
          <w:r>
            <w:fldChar w:fldCharType="end"/>
          </w:r>
          <w:r w:rsidRPr="00487162">
            <w:t xml:space="preserve"> of </w:t>
          </w:r>
          <w:fldSimple w:instr=" NUMPAGES  \* Arabic ">
            <w:r w:rsidR="00DE3A1F">
              <w:rPr>
                <w:noProof/>
              </w:rPr>
              <w:t>73</w:t>
            </w:r>
          </w:fldSimple>
        </w:p>
      </w:tc>
    </w:tr>
  </w:tbl>
  <w:p w14:paraId="272A821E" w14:textId="77777777" w:rsidR="0064609E" w:rsidRDefault="0064609E" w:rsidP="003D1E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64609E" w14:paraId="528C1F50" w14:textId="77777777" w:rsidTr="00E45619">
      <w:trPr>
        <w:trHeight w:val="269"/>
      </w:trPr>
      <w:tc>
        <w:tcPr>
          <w:tcW w:w="4519" w:type="dxa"/>
          <w:tcBorders>
            <w:top w:val="single" w:sz="4" w:space="0" w:color="auto"/>
          </w:tcBorders>
          <w:tcMar>
            <w:top w:w="142" w:type="dxa"/>
            <w:bottom w:w="0" w:type="dxa"/>
          </w:tcMar>
        </w:tcPr>
        <w:p w14:paraId="055EB838" w14:textId="77777777" w:rsidR="0064609E" w:rsidRPr="00487162" w:rsidRDefault="0064609E" w:rsidP="00FE1DEE">
          <w:pPr>
            <w:pStyle w:val="Footer"/>
          </w:pPr>
          <w:r w:rsidRPr="00487162">
            <w:t>Document title, Part #, Section # - Section title</w:t>
          </w:r>
        </w:p>
        <w:p w14:paraId="1DCDE1BC" w14:textId="77777777" w:rsidR="0064609E" w:rsidRPr="00487162" w:rsidRDefault="0064609E" w:rsidP="00FE1DEE">
          <w:pPr>
            <w:pStyle w:val="Footer"/>
          </w:pPr>
          <w:r w:rsidRPr="00487162">
            <w:t>V1.0 October 2010</w:t>
          </w:r>
        </w:p>
      </w:tc>
      <w:tc>
        <w:tcPr>
          <w:tcW w:w="4342" w:type="dxa"/>
          <w:tcBorders>
            <w:top w:val="single" w:sz="4" w:space="0" w:color="auto"/>
          </w:tcBorders>
          <w:tcMar>
            <w:top w:w="142" w:type="dxa"/>
            <w:bottom w:w="0" w:type="dxa"/>
          </w:tcMar>
        </w:tcPr>
        <w:p w14:paraId="7E59B545" w14:textId="77777777" w:rsidR="0064609E" w:rsidRPr="00487162" w:rsidRDefault="0064609E"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21</w:t>
            </w:r>
          </w:fldSimple>
        </w:p>
      </w:tc>
    </w:tr>
  </w:tbl>
  <w:p w14:paraId="649A14A8" w14:textId="77777777" w:rsidR="0064609E" w:rsidRDefault="006460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494DE" w14:textId="77777777" w:rsidR="0064609E" w:rsidRPr="001C32CD" w:rsidRDefault="0064609E" w:rsidP="001C32C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64609E" w14:paraId="52C638EE" w14:textId="77777777" w:rsidTr="0010601F">
      <w:trPr>
        <w:trHeight w:val="108"/>
      </w:trPr>
      <w:tc>
        <w:tcPr>
          <w:tcW w:w="8875" w:type="dxa"/>
          <w:gridSpan w:val="2"/>
          <w:tcBorders>
            <w:bottom w:val="single" w:sz="4" w:space="0" w:color="auto"/>
          </w:tcBorders>
          <w:tcMar>
            <w:right w:w="284" w:type="dxa"/>
          </w:tcMar>
        </w:tcPr>
        <w:p w14:paraId="7E9D670A" w14:textId="77777777" w:rsidR="0064609E" w:rsidRDefault="0064609E" w:rsidP="006E08B3">
          <w:pPr>
            <w:pStyle w:val="Heading3"/>
          </w:pPr>
          <w:r>
            <w:t>Copyright</w:t>
          </w:r>
        </w:p>
        <w:p w14:paraId="7786EB6E" w14:textId="77777777" w:rsidR="0064609E" w:rsidRDefault="0064609E" w:rsidP="006E08B3">
          <w:r>
            <w:rPr>
              <w:rFonts w:cs="Arial"/>
            </w:rPr>
            <w:t>©</w:t>
          </w:r>
          <w:r>
            <w:t xml:space="preserve"> Commonwealth of Australia [add year]</w:t>
          </w:r>
        </w:p>
        <w:p w14:paraId="0E02E475" w14:textId="77777777" w:rsidR="0064609E" w:rsidRDefault="0064609E" w:rsidP="006E08B3"/>
        <w:p w14:paraId="20031BF8" w14:textId="77777777" w:rsidR="0064609E" w:rsidRDefault="0064609E"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w:t>
          </w:r>
          <w:proofErr w:type="gramStart"/>
          <w:r>
            <w:t xml:space="preserve">at  </w:t>
          </w:r>
          <w:r w:rsidRPr="006E08B3">
            <w:t>http://www.ag.gov.au/cca</w:t>
          </w:r>
          <w:proofErr w:type="gramEnd"/>
        </w:p>
        <w:p w14:paraId="3254CD2A" w14:textId="77777777" w:rsidR="0064609E" w:rsidRDefault="0064609E" w:rsidP="006E08B3"/>
        <w:p w14:paraId="7A4F9673" w14:textId="77777777" w:rsidR="0064609E" w:rsidRDefault="0064609E" w:rsidP="006E08B3">
          <w:pPr>
            <w:pStyle w:val="Heading3"/>
          </w:pPr>
          <w:r>
            <w:t>Confidentiality</w:t>
          </w:r>
        </w:p>
        <w:p w14:paraId="5A4BC3F2" w14:textId="77777777" w:rsidR="0064609E" w:rsidRDefault="0064609E"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27A8F2A8" w14:textId="77777777" w:rsidR="0064609E" w:rsidRDefault="0064609E" w:rsidP="006E08B3"/>
        <w:p w14:paraId="1771E569" w14:textId="77777777" w:rsidR="0064609E" w:rsidRDefault="0064609E" w:rsidP="006E08B3">
          <w:r>
            <w:t>For submission made by individuals, all personal details, other than your name, will be removed from your submission before it is published on the TGA’s Internet site.</w:t>
          </w:r>
        </w:p>
        <w:p w14:paraId="077AA079" w14:textId="77777777" w:rsidR="0064609E" w:rsidRDefault="0064609E" w:rsidP="006E08B3"/>
        <w:p w14:paraId="066B05B2" w14:textId="77777777" w:rsidR="0064609E" w:rsidRDefault="0064609E" w:rsidP="006E08B3">
          <w:r>
            <w:t>In addition, a list of parties making submissions will be published. If you do not wish to be identified with your submission you must specifically request this in the space provided in the submission coversheet.</w:t>
          </w:r>
        </w:p>
      </w:tc>
    </w:tr>
    <w:tr w:rsidR="0064609E" w14:paraId="39BF6777" w14:textId="77777777" w:rsidTr="0010601F">
      <w:trPr>
        <w:trHeight w:val="417"/>
      </w:trPr>
      <w:tc>
        <w:tcPr>
          <w:tcW w:w="4519" w:type="dxa"/>
          <w:tcBorders>
            <w:top w:val="single" w:sz="4" w:space="0" w:color="auto"/>
          </w:tcBorders>
          <w:tcMar>
            <w:top w:w="142" w:type="dxa"/>
            <w:bottom w:w="0" w:type="dxa"/>
          </w:tcMar>
        </w:tcPr>
        <w:p w14:paraId="1982F64E" w14:textId="77777777" w:rsidR="0064609E" w:rsidRDefault="0064609E" w:rsidP="006E08B3">
          <w:r>
            <w:t>Document title, Part #, Section # - Section title</w:t>
          </w:r>
        </w:p>
        <w:p w14:paraId="502FBAC5" w14:textId="77777777" w:rsidR="0064609E" w:rsidRDefault="0064609E" w:rsidP="006E08B3">
          <w:r>
            <w:t>V1.0 October 2010</w:t>
          </w:r>
        </w:p>
      </w:tc>
      <w:tc>
        <w:tcPr>
          <w:tcW w:w="4356" w:type="dxa"/>
          <w:tcBorders>
            <w:top w:val="single" w:sz="4" w:space="0" w:color="auto"/>
          </w:tcBorders>
          <w:tcMar>
            <w:top w:w="142" w:type="dxa"/>
            <w:bottom w:w="0" w:type="dxa"/>
          </w:tcMar>
        </w:tcPr>
        <w:p w14:paraId="521CE664" w14:textId="77777777" w:rsidR="0064609E" w:rsidRDefault="0064609E"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21</w:t>
            </w:r>
          </w:fldSimple>
          <w:r>
            <w:t xml:space="preserve">  </w:t>
          </w:r>
        </w:p>
      </w:tc>
    </w:tr>
  </w:tbl>
  <w:p w14:paraId="7EF11199" w14:textId="77777777" w:rsidR="0064609E" w:rsidRDefault="0064609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756A83" w14:textId="77777777" w:rsidR="008450DF" w:rsidRDefault="008450DF" w:rsidP="00C40A36">
      <w:pPr>
        <w:spacing w:after="0"/>
      </w:pPr>
      <w:r>
        <w:separator/>
      </w:r>
    </w:p>
  </w:footnote>
  <w:footnote w:type="continuationSeparator" w:id="0">
    <w:p w14:paraId="1816F134" w14:textId="77777777" w:rsidR="008450DF" w:rsidRDefault="008450DF" w:rsidP="00C40A36">
      <w:pPr>
        <w:spacing w:after="0"/>
      </w:pPr>
      <w:r>
        <w:continuationSeparator/>
      </w:r>
    </w:p>
  </w:footnote>
  <w:footnote w:type="continuationNotice" w:id="1">
    <w:p w14:paraId="27EE4744" w14:textId="77777777" w:rsidR="008450DF" w:rsidRDefault="008450DF">
      <w:pPr>
        <w:spacing w:before="0" w:after="0" w:line="240" w:lineRule="auto"/>
      </w:pPr>
    </w:p>
  </w:footnote>
  <w:footnote w:id="2">
    <w:p w14:paraId="4E7575CC" w14:textId="220DD968" w:rsidR="00F17930" w:rsidRPr="00CD49E0" w:rsidRDefault="00F17930">
      <w:pPr>
        <w:pStyle w:val="FootnoteText"/>
        <w:rPr>
          <w:lang w:val="en-GB"/>
        </w:rPr>
      </w:pPr>
      <w:r>
        <w:rPr>
          <w:rStyle w:val="FootnoteReference"/>
        </w:rPr>
        <w:footnoteRef/>
      </w:r>
      <w:r>
        <w:t xml:space="preserve"> </w:t>
      </w:r>
      <w:r w:rsidRPr="00F17930">
        <w:t>Davis</w:t>
      </w:r>
      <w:r w:rsidR="00CD49E0">
        <w:t>,</w:t>
      </w:r>
      <w:r w:rsidRPr="00F17930">
        <w:t xml:space="preserve"> M</w:t>
      </w:r>
      <w:r w:rsidR="00CD49E0">
        <w:t>.</w:t>
      </w:r>
      <w:r w:rsidRPr="00F17930">
        <w:t>D</w:t>
      </w:r>
      <w:r w:rsidR="00CD49E0">
        <w:t>.</w:t>
      </w:r>
      <w:r w:rsidRPr="00F17930">
        <w:t xml:space="preserve"> et al. The Age</w:t>
      </w:r>
      <w:r w:rsidR="00CD49E0" w:rsidRPr="00F17930">
        <w:t>-</w:t>
      </w:r>
      <w:r w:rsidRPr="00F17930">
        <w:t xml:space="preserve">Related Eye Disease Study </w:t>
      </w:r>
      <w:r w:rsidR="00CD49E0" w:rsidRPr="00F17930">
        <w:t xml:space="preserve">Severity Scale </w:t>
      </w:r>
      <w:r w:rsidR="00CD49E0">
        <w:t>f</w:t>
      </w:r>
      <w:r w:rsidR="00CD49E0" w:rsidRPr="00F17930">
        <w:t>or Age-Related Macular Degeneration</w:t>
      </w:r>
      <w:r w:rsidRPr="00F17930">
        <w:t xml:space="preserve">: AREDS Report No. </w:t>
      </w:r>
      <w:proofErr w:type="gramStart"/>
      <w:r w:rsidRPr="00F17930">
        <w:t>17</w:t>
      </w:r>
      <w:r w:rsidR="00CD49E0">
        <w:t>,</w:t>
      </w:r>
      <w:r w:rsidRPr="00F17930">
        <w:t>.</w:t>
      </w:r>
      <w:proofErr w:type="gramEnd"/>
      <w:r w:rsidRPr="00F17930">
        <w:t xml:space="preserve"> </w:t>
      </w:r>
      <w:r w:rsidRPr="00CD49E0">
        <w:rPr>
          <w:i/>
        </w:rPr>
        <w:t xml:space="preserve">Arch </w:t>
      </w:r>
      <w:proofErr w:type="spellStart"/>
      <w:r w:rsidRPr="00CD49E0">
        <w:rPr>
          <w:i/>
        </w:rPr>
        <w:t>Ophthalmol</w:t>
      </w:r>
      <w:proofErr w:type="spellEnd"/>
      <w:r w:rsidRPr="00CD49E0">
        <w:rPr>
          <w:i/>
        </w:rPr>
        <w:t>.</w:t>
      </w:r>
      <w:r w:rsidRPr="00F17930">
        <w:t xml:space="preserve"> 2005;</w:t>
      </w:r>
      <w:r w:rsidR="00CD49E0">
        <w:t xml:space="preserve"> </w:t>
      </w:r>
      <w:r w:rsidRPr="00F17930">
        <w:t>123(11):1484-1498.</w:t>
      </w:r>
    </w:p>
  </w:footnote>
  <w:footnote w:id="3">
    <w:p w14:paraId="54DA73B2" w14:textId="7FDFB920" w:rsidR="0064609E" w:rsidRDefault="0064609E">
      <w:pPr>
        <w:pStyle w:val="FootnoteText"/>
      </w:pPr>
      <w:r>
        <w:rPr>
          <w:rStyle w:val="FootnoteReference"/>
        </w:rPr>
        <w:footnoteRef/>
      </w:r>
      <w:r>
        <w:t xml:space="preserve"> </w:t>
      </w:r>
      <w:r w:rsidRPr="00624B51">
        <w:t>Lucentis (ranibizumab) was first registered on the ARTG on 10 November 2008 (ARTG number: 148325).</w:t>
      </w:r>
    </w:p>
  </w:footnote>
  <w:footnote w:id="4">
    <w:p w14:paraId="32C96FD8" w14:textId="15A9C250" w:rsidR="0064609E" w:rsidRDefault="0064609E">
      <w:pPr>
        <w:pStyle w:val="FootnoteText"/>
      </w:pPr>
      <w:r>
        <w:rPr>
          <w:rStyle w:val="FootnoteReference"/>
        </w:rPr>
        <w:footnoteRef/>
      </w:r>
      <w:r>
        <w:t xml:space="preserve"> </w:t>
      </w:r>
      <w:r w:rsidRPr="00624B51">
        <w:t>Eylea (aflibercept) was first registered on the ARTG on 7 March 2012 (ARTG number</w:t>
      </w:r>
      <w:r>
        <w:t>s</w:t>
      </w:r>
      <w:r w:rsidRPr="00624B51">
        <w:t xml:space="preserve">: 180859 </w:t>
      </w:r>
      <w:r>
        <w:t xml:space="preserve">and </w:t>
      </w:r>
      <w:r w:rsidRPr="00624B51">
        <w:t>180860).</w:t>
      </w:r>
    </w:p>
  </w:footnote>
  <w:footnote w:id="5">
    <w:p w14:paraId="43249A75" w14:textId="5B1F1AD7" w:rsidR="0064609E" w:rsidRDefault="0064609E">
      <w:pPr>
        <w:pStyle w:val="FootnoteText"/>
      </w:pPr>
      <w:r>
        <w:rPr>
          <w:rStyle w:val="FootnoteReference"/>
        </w:rPr>
        <w:footnoteRef/>
      </w:r>
      <w:r>
        <w:t xml:space="preserve"> </w:t>
      </w:r>
      <w:proofErr w:type="spellStart"/>
      <w:r w:rsidRPr="00624B51">
        <w:t>Beovu</w:t>
      </w:r>
      <w:proofErr w:type="spellEnd"/>
      <w:r w:rsidRPr="00624B51">
        <w:t xml:space="preserve"> (brolucizumab) was first registered on the ARTG on 16 January 2020 (ARTG number: 313680</w:t>
      </w:r>
      <w:r>
        <w:t xml:space="preserve"> and</w:t>
      </w:r>
      <w:r w:rsidRPr="00624B51">
        <w:t xml:space="preserve"> 313681).</w:t>
      </w:r>
    </w:p>
  </w:footnote>
  <w:footnote w:id="6">
    <w:p w14:paraId="74BB68D2" w14:textId="36FBB89A" w:rsidR="0064609E" w:rsidRDefault="0064609E">
      <w:pPr>
        <w:pStyle w:val="FootnoteText"/>
      </w:pPr>
      <w:r>
        <w:rPr>
          <w:rStyle w:val="FootnoteReference"/>
        </w:rPr>
        <w:footnoteRef/>
      </w:r>
      <w:r>
        <w:t xml:space="preserve"> </w:t>
      </w:r>
      <w:r w:rsidRPr="00306183">
        <w:t xml:space="preserve">A </w:t>
      </w:r>
      <w:r w:rsidRPr="00306183">
        <w:rPr>
          <w:b/>
          <w:bCs/>
        </w:rPr>
        <w:t>Category 3 application</w:t>
      </w:r>
      <w:r w:rsidRPr="00306183">
        <w:t xml:space="preserve"> relates to updates to the quality data of medicines already included on the Australian Register of Therapeutic Goods (ARTG) which, in the opinion of the TGA, do not need to be supported by clinical, non-clinical or bioequivalence data.</w:t>
      </w:r>
    </w:p>
  </w:footnote>
  <w:footnote w:id="7">
    <w:p w14:paraId="4FF78149" w14:textId="336B63E5" w:rsidR="0064609E" w:rsidRDefault="0064609E">
      <w:pPr>
        <w:pStyle w:val="FootnoteText"/>
      </w:pPr>
      <w:r>
        <w:rPr>
          <w:rStyle w:val="FootnoteReference"/>
        </w:rPr>
        <w:footnoteRef/>
      </w:r>
      <w:r>
        <w:t xml:space="preserve"> </w:t>
      </w:r>
      <w:r w:rsidRPr="009F6CA9">
        <w:t>European Medicines Agency (EMA), Committee for medicinal products for human use (CHMP), ICH guideline S6 (R1) - preclinical safety evaluation of biotechnology-derived pharmaceuticals, EMA/CHMP/ICH/731268/1998, June 2011.</w:t>
      </w:r>
    </w:p>
  </w:footnote>
  <w:footnote w:id="8">
    <w:p w14:paraId="5A266BF1" w14:textId="7793FA03" w:rsidR="0064609E" w:rsidRDefault="0064609E">
      <w:pPr>
        <w:pStyle w:val="FootnoteText"/>
      </w:pPr>
      <w:r>
        <w:rPr>
          <w:rStyle w:val="FootnoteReference"/>
        </w:rPr>
        <w:footnoteRef/>
      </w:r>
      <w:r>
        <w:t xml:space="preserve"> </w:t>
      </w:r>
      <w:r w:rsidRPr="00306183">
        <w:rPr>
          <w:b/>
          <w:bCs/>
        </w:rPr>
        <w:t>Good Laboratory Practice</w:t>
      </w:r>
      <w:r w:rsidRPr="00306183">
        <w:t xml:space="preserve"> is a code of standards following the International Council on Harmonisation (ICH) relevant to testing of medicines in laboratories during drug development.</w:t>
      </w:r>
    </w:p>
  </w:footnote>
  <w:footnote w:id="9">
    <w:p w14:paraId="5D9E27F9" w14:textId="67E9201E" w:rsidR="0064609E" w:rsidRDefault="0064609E" w:rsidP="009F6CA9">
      <w:pPr>
        <w:pStyle w:val="FootnoteText"/>
      </w:pPr>
      <w:r>
        <w:rPr>
          <w:rStyle w:val="FootnoteReference"/>
        </w:rPr>
        <w:footnoteRef/>
      </w:r>
      <w:r>
        <w:t xml:space="preserve"> </w:t>
      </w:r>
      <w:r w:rsidRPr="009F6CA9">
        <w:rPr>
          <w:b/>
          <w:bCs/>
        </w:rPr>
        <w:t>Pregnancy Category C</w:t>
      </w:r>
      <w:r>
        <w:t xml:space="preserve">: Drugs which, owing to their pharmacological effects, have </w:t>
      </w:r>
      <w:proofErr w:type="gramStart"/>
      <w:r>
        <w:t>caused</w:t>
      </w:r>
      <w:proofErr w:type="gramEnd"/>
      <w:r>
        <w:t xml:space="preserve"> or may be suspected of causing, harmful effects on the human </w:t>
      </w:r>
      <w:proofErr w:type="spellStart"/>
      <w:r>
        <w:t>fetus</w:t>
      </w:r>
      <w:proofErr w:type="spellEnd"/>
      <w:r>
        <w:t xml:space="preserve"> or neonate without causing malformations. These effects may be reversible. Accompanying texts should be consulted for further details.</w:t>
      </w:r>
    </w:p>
  </w:footnote>
  <w:footnote w:id="10">
    <w:p w14:paraId="2CA76866" w14:textId="73C352A2" w:rsidR="0064609E" w:rsidRDefault="0064609E" w:rsidP="009F6CA9">
      <w:pPr>
        <w:pStyle w:val="FootnoteText"/>
      </w:pPr>
      <w:r>
        <w:rPr>
          <w:rStyle w:val="FootnoteReference"/>
        </w:rPr>
        <w:footnoteRef/>
      </w:r>
      <w:r>
        <w:t xml:space="preserve"> </w:t>
      </w:r>
      <w:r w:rsidRPr="009F6CA9">
        <w:rPr>
          <w:b/>
          <w:bCs/>
        </w:rPr>
        <w:t>Pregnancy Category D</w:t>
      </w:r>
      <w:r>
        <w:t>: Drugs which have caused, are suspected to have caused or may be expected to cause, an increased incidence of human fetal malformations or irreversible damage. These drugs may also have adverse pharmacological effects. Accompanying texts should be consulted for further details.</w:t>
      </w:r>
    </w:p>
  </w:footnote>
  <w:footnote w:id="11">
    <w:p w14:paraId="31F2E76E" w14:textId="77777777" w:rsidR="0064609E" w:rsidRDefault="0064609E" w:rsidP="0075642C">
      <w:pPr>
        <w:pStyle w:val="FootnoteText"/>
      </w:pPr>
      <w:r>
        <w:rPr>
          <w:rStyle w:val="FootnoteReference"/>
        </w:rPr>
        <w:footnoteRef/>
      </w:r>
      <w:r>
        <w:t xml:space="preserve"> The QT interval is the time from the start of the QRS wave complex to the end of the corresponding T wave. It approximates to the time taken for ventricular depolarisation and repolarisation</w:t>
      </w:r>
      <w:proofErr w:type="gramStart"/>
      <w:r>
        <w:t>, that is to say, the</w:t>
      </w:r>
      <w:proofErr w:type="gramEnd"/>
      <w:r>
        <w:t xml:space="preserve"> period of ventricular systole from ventricular isovolumetric contraction to isovolumetric relaxation.</w:t>
      </w:r>
    </w:p>
    <w:p w14:paraId="246E99E8" w14:textId="3286233C" w:rsidR="0064609E" w:rsidRDefault="0064609E" w:rsidP="0075642C">
      <w:pPr>
        <w:pStyle w:val="FootnoteText"/>
      </w:pPr>
      <w:r>
        <w:t xml:space="preserve">The </w:t>
      </w:r>
      <w:r w:rsidRPr="0075642C">
        <w:rPr>
          <w:b/>
          <w:bCs/>
        </w:rPr>
        <w:t>corrected QT interval (QTc)</w:t>
      </w:r>
      <w:r>
        <w:t> estimates the QT interval at a standard heart rate. This allows comparison of QT values over time at different heart rates and improves detection of patients at increased risk of arrhythmias.</w:t>
      </w:r>
    </w:p>
  </w:footnote>
  <w:footnote w:id="12">
    <w:p w14:paraId="5654D632" w14:textId="3ADC317A" w:rsidR="0064609E" w:rsidRDefault="0064609E">
      <w:pPr>
        <w:pStyle w:val="FootnoteText"/>
      </w:pPr>
      <w:r>
        <w:rPr>
          <w:rStyle w:val="FootnoteReference"/>
        </w:rPr>
        <w:footnoteRef/>
      </w:r>
      <w:r>
        <w:t xml:space="preserve"> </w:t>
      </w:r>
      <w:r w:rsidRPr="00FC46B4">
        <w:t xml:space="preserve">The randomised clinical trials analysed by the </w:t>
      </w:r>
      <w:r w:rsidRPr="00FC46B4">
        <w:rPr>
          <w:b/>
          <w:bCs/>
        </w:rPr>
        <w:t>intention-to-treat (ITT)</w:t>
      </w:r>
      <w:r w:rsidRPr="00FC46B4">
        <w:t xml:space="preserve"> approach provide unbiased comparisons among the treatment groups. In the ITT population, none of the subjects are excluded, regardless of treatment compliance or attrition due to dropout or crossover, and the subjects are analysed according to the randomisation scheme. A modified intention-to-treat analysis (</w:t>
      </w:r>
      <w:proofErr w:type="spellStart"/>
      <w:r w:rsidRPr="00FC46B4">
        <w:t>mITT</w:t>
      </w:r>
      <w:proofErr w:type="spellEnd"/>
      <w:r w:rsidRPr="00FC46B4">
        <w:t xml:space="preserve">) may sometimes be conducted excluding </w:t>
      </w:r>
      <w:proofErr w:type="gramStart"/>
      <w:r w:rsidRPr="00FC46B4">
        <w:t>subjects</w:t>
      </w:r>
      <w:proofErr w:type="gramEnd"/>
      <w:r w:rsidRPr="00FC46B4">
        <w:t xml:space="preserve"> post-randomisation.</w:t>
      </w:r>
    </w:p>
  </w:footnote>
  <w:footnote w:id="13">
    <w:p w14:paraId="00B9104E" w14:textId="3DF9E276" w:rsidR="0064609E" w:rsidRDefault="0064609E">
      <w:pPr>
        <w:pStyle w:val="FootnoteText"/>
      </w:pPr>
      <w:r>
        <w:rPr>
          <w:rStyle w:val="FootnoteReference"/>
        </w:rPr>
        <w:footnoteRef/>
      </w:r>
      <w:r>
        <w:t xml:space="preserve"> </w:t>
      </w:r>
      <w:r w:rsidRPr="00FC46B4">
        <w:t xml:space="preserve">The </w:t>
      </w:r>
      <w:r w:rsidRPr="00FC46B4">
        <w:rPr>
          <w:b/>
          <w:bCs/>
        </w:rPr>
        <w:t>per-protocol (PP)</w:t>
      </w:r>
      <w:r w:rsidRPr="00FC46B4">
        <w:t xml:space="preserve"> analysis is restricted to the participants who strictly adhered to the protocol. Also known as ‘on-treatment’ analysis.</w:t>
      </w:r>
    </w:p>
  </w:footnote>
  <w:footnote w:id="14">
    <w:p w14:paraId="12CD0A5A" w14:textId="69DEC3C7" w:rsidR="0064609E" w:rsidRDefault="0064609E">
      <w:pPr>
        <w:pStyle w:val="FootnoteText"/>
      </w:pPr>
      <w:r>
        <w:rPr>
          <w:rStyle w:val="FootnoteReference"/>
        </w:rPr>
        <w:footnoteRef/>
      </w:r>
      <w:r>
        <w:t xml:space="preserve"> </w:t>
      </w:r>
      <w:r w:rsidRPr="00DB7EAB">
        <w:rPr>
          <w:b/>
          <w:bCs/>
        </w:rPr>
        <w:t>Good Clinical Practice</w:t>
      </w:r>
      <w:r w:rsidRPr="00DB7EAB">
        <w:t xml:space="preserve"> is a code of international standards and guidance following the International Council on Harmonisation (ICH) concerning the design, conduct, performance, monitoring, auditing, recording, </w:t>
      </w:r>
      <w:proofErr w:type="gramStart"/>
      <w:r w:rsidRPr="00DB7EAB">
        <w:t>analysis</w:t>
      </w:r>
      <w:proofErr w:type="gramEnd"/>
      <w:r w:rsidRPr="00DB7EAB">
        <w:t xml:space="preserve"> and reporting of clinical trials. Good Clinical Practice provides assurance that a study’s results are credible and accurate and that the rights and confidentiality of the study subjects are protected.</w:t>
      </w:r>
    </w:p>
  </w:footnote>
  <w:footnote w:id="15">
    <w:p w14:paraId="787E31E8" w14:textId="2FDBF485" w:rsidR="0064609E" w:rsidRDefault="0064609E">
      <w:pPr>
        <w:pStyle w:val="FootnoteText"/>
      </w:pPr>
      <w:r>
        <w:rPr>
          <w:rStyle w:val="FootnoteReference"/>
        </w:rPr>
        <w:footnoteRef/>
      </w:r>
      <w:r>
        <w:t xml:space="preserve"> </w:t>
      </w:r>
      <w:r w:rsidRPr="00DB7EAB">
        <w:rPr>
          <w:b/>
          <w:bCs/>
        </w:rPr>
        <w:t>Haemoglobin A1c or glycated haemoglobin (HbA1c)</w:t>
      </w:r>
      <w:r w:rsidRPr="00DB7EAB">
        <w:t xml:space="preserve"> is a minor component of haemoglobin chemically linked to glucose. Levels of HbA1c vary and are relative to the overall blood glucose concentration. Unlike a blood glucose concentration, levels of HbA1c are not influenced by daily fluctuations in the blood glucose concentration but reflect the average glucose levels over the prior 6 to 8 weeks. Measurement of HbA1c is used in the diagnosis of diabetes mellitus and is useful indicator of how well the blood glucose level has been controlled in the recent past and may be used to monitor the effects of diet, exercise, and drug therapy on blood glucose in patients with diabetes. In healthy people without diabetes, the HbA1c level is less than 7 percent of total haemoglobin.</w:t>
      </w:r>
    </w:p>
  </w:footnote>
  <w:footnote w:id="16">
    <w:p w14:paraId="03BA1C90" w14:textId="00B3DF06" w:rsidR="0064609E" w:rsidRDefault="0064609E">
      <w:pPr>
        <w:pStyle w:val="FootnoteText"/>
      </w:pPr>
      <w:r>
        <w:rPr>
          <w:rStyle w:val="FootnoteReference"/>
        </w:rPr>
        <w:footnoteRef/>
      </w:r>
      <w:r>
        <w:t xml:space="preserve"> </w:t>
      </w:r>
      <w:r w:rsidRPr="000F70B9">
        <w:t xml:space="preserve">The </w:t>
      </w:r>
      <w:r w:rsidRPr="000F70B9">
        <w:rPr>
          <w:b/>
          <w:bCs/>
        </w:rPr>
        <w:t>Medical Dictionary for Regulatory Activities (MedDRA)</w:t>
      </w:r>
      <w:r w:rsidRPr="000F70B9">
        <w:t xml:space="preserve"> is a single standardised international medical terminology, developed as a project of the International Council for Harmonisation of Technical Requirements for Pharmaceuticals for Human Use (ICH) which can be used for regulatory communication and evaluation of data pertaining to medicinal products for human use. As a result, MedDRA is designed for use in the registration, </w:t>
      </w:r>
      <w:proofErr w:type="gramStart"/>
      <w:r w:rsidRPr="000F70B9">
        <w:t>documentation</w:t>
      </w:r>
      <w:proofErr w:type="gramEnd"/>
      <w:r w:rsidRPr="000F70B9">
        <w:t xml:space="preserve"> and safety monitoring of medicinal products through all phases of the development cycle (that is, from clinical trials to post-marketing surveillance). Furthermore, MedDRA supports ICH electronic communication within the ICH’s Electronic Common Technical Document (eCTD) and the E2B Individual Case Safety Report.</w:t>
      </w:r>
    </w:p>
  </w:footnote>
  <w:footnote w:id="17">
    <w:p w14:paraId="3DB7E9EF" w14:textId="440D402B" w:rsidR="0064609E" w:rsidRDefault="0064609E" w:rsidP="008038D3">
      <w:pPr>
        <w:pStyle w:val="FootnoteText"/>
      </w:pPr>
      <w:r>
        <w:rPr>
          <w:rStyle w:val="FootnoteReference"/>
        </w:rPr>
        <w:footnoteRef/>
      </w:r>
      <w:r>
        <w:t xml:space="preserve"> The </w:t>
      </w:r>
      <w:r w:rsidRPr="008038D3">
        <w:rPr>
          <w:b/>
          <w:bCs/>
        </w:rPr>
        <w:t>National Eye Institute 25-Item Visual Function Questionnaire (NEI VFQ-25)</w:t>
      </w:r>
      <w:r>
        <w:t xml:space="preserve"> is a survey that measures the dimensions of self-reported vision-targeted health status that are most important for persons who have chronic eye diseases.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E87C9" w14:textId="77777777" w:rsidR="0064609E" w:rsidRDefault="0064609E" w:rsidP="00E45619">
    <w:pPr>
      <w:pStyle w:val="Header"/>
    </w:pPr>
    <w:r>
      <w:t>Therapeutic Goods Administration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14833" w14:textId="77777777" w:rsidR="0064609E" w:rsidRDefault="0064609E">
    <w:pPr>
      <w:rPr>
        <w:noProof/>
        <w:lang w:eastAsia="en-AU"/>
      </w:rPr>
    </w:pPr>
    <w:r w:rsidRPr="00347824">
      <w:rPr>
        <w:noProof/>
        <w:lang w:val="en-GB" w:eastAsia="en-GB"/>
      </w:rPr>
      <w:drawing>
        <wp:anchor distT="0" distB="0" distL="114300" distR="114300" simplePos="0" relativeHeight="251658240" behindDoc="1" locked="0" layoutInCell="1" allowOverlap="1" wp14:anchorId="1C432B71" wp14:editId="57E64B1E">
          <wp:simplePos x="0" y="0"/>
          <wp:positionH relativeFrom="column">
            <wp:posOffset>-1089660</wp:posOffset>
          </wp:positionH>
          <wp:positionV relativeFrom="paragraph">
            <wp:posOffset>-585470</wp:posOffset>
          </wp:positionV>
          <wp:extent cx="7572375" cy="10706100"/>
          <wp:effectExtent l="19050" t="0" r="0" b="0"/>
          <wp:wrapNone/>
          <wp:docPr id="11"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SPAR-BG-HQ03.gif"/>
                  <pic:cNvPicPr/>
                </pic:nvPicPr>
                <pic:blipFill>
                  <a:blip r:embed="rId1"/>
                  <a:stretch>
                    <a:fillRect/>
                  </a:stretch>
                </pic:blipFill>
                <pic:spPr>
                  <a:xfrm>
                    <a:off x="0" y="0"/>
                    <a:ext cx="7568736" cy="107061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E54B0" w14:textId="77777777" w:rsidR="0064609E" w:rsidRDefault="0064609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B714B" w14:textId="77777777" w:rsidR="0064609E" w:rsidRDefault="0064609E">
    <w:pPr>
      <w:pStyle w:val="Header"/>
    </w:pPr>
    <w:r>
      <w:t>Therapeutic Goods Administration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373E1" w14:textId="77777777" w:rsidR="0064609E" w:rsidRDefault="0064609E">
    <w:pPr>
      <w:pStyle w:val="Header"/>
    </w:pPr>
    <w:r>
      <w:t>Therapeutic Goods Administration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A79E6" w14:textId="77777777" w:rsidR="0064609E" w:rsidRDefault="0064609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48175" w14:textId="77777777" w:rsidR="0064609E" w:rsidRDefault="0064609E" w:rsidP="004C239D">
    <w:pPr>
      <w:pStyle w:val="HeaderNoLin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4710F" w14:textId="77777777" w:rsidR="0064609E" w:rsidRDefault="0064609E" w:rsidP="006E08B3">
    <w:r>
      <w:t>Therapeutic Goods Administration</w:t>
    </w:r>
  </w:p>
  <w:p w14:paraId="7E72108F" w14:textId="77777777" w:rsidR="0064609E" w:rsidRDefault="0064609E" w:rsidP="006D03E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EB4420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E9108CD"/>
    <w:multiLevelType w:val="hybridMultilevel"/>
    <w:tmpl w:val="4EF6C806"/>
    <w:lvl w:ilvl="0" w:tplc="77AA335A">
      <w:start w:val="1"/>
      <w:numFmt w:val="bullet"/>
      <w:pStyle w:val="Bulletlist"/>
      <w:lvlText w:val=""/>
      <w:lvlJc w:val="left"/>
      <w:pPr>
        <w:ind w:left="720" w:hanging="360"/>
      </w:pPr>
      <w:rPr>
        <w:rFonts w:ascii="Symbol" w:hAnsi="Symbol" w:hint="default"/>
        <w:color w:val="auto"/>
      </w:rPr>
    </w:lvl>
    <w:lvl w:ilvl="1" w:tplc="8FDEBD9C">
      <w:start w:val="1"/>
      <w:numFmt w:val="bullet"/>
      <w:lvlText w:val="o"/>
      <w:lvlJc w:val="left"/>
      <w:pPr>
        <w:ind w:left="1440" w:hanging="360"/>
      </w:pPr>
      <w:rPr>
        <w:rFonts w:ascii="Courier New" w:hAnsi="Courier New" w:cs="Courier New" w:hint="default"/>
      </w:rPr>
    </w:lvl>
    <w:lvl w:ilvl="2" w:tplc="B4D4D0B0" w:tentative="1">
      <w:start w:val="1"/>
      <w:numFmt w:val="bullet"/>
      <w:lvlText w:val=""/>
      <w:lvlJc w:val="left"/>
      <w:pPr>
        <w:ind w:left="2160" w:hanging="360"/>
      </w:pPr>
      <w:rPr>
        <w:rFonts w:ascii="Wingdings" w:hAnsi="Wingdings" w:hint="default"/>
      </w:rPr>
    </w:lvl>
    <w:lvl w:ilvl="3" w:tplc="83A4B42A" w:tentative="1">
      <w:start w:val="1"/>
      <w:numFmt w:val="bullet"/>
      <w:lvlText w:val=""/>
      <w:lvlJc w:val="left"/>
      <w:pPr>
        <w:ind w:left="2880" w:hanging="360"/>
      </w:pPr>
      <w:rPr>
        <w:rFonts w:ascii="Symbol" w:hAnsi="Symbol" w:hint="default"/>
      </w:rPr>
    </w:lvl>
    <w:lvl w:ilvl="4" w:tplc="38964C14" w:tentative="1">
      <w:start w:val="1"/>
      <w:numFmt w:val="bullet"/>
      <w:lvlText w:val="o"/>
      <w:lvlJc w:val="left"/>
      <w:pPr>
        <w:ind w:left="3600" w:hanging="360"/>
      </w:pPr>
      <w:rPr>
        <w:rFonts w:ascii="Courier New" w:hAnsi="Courier New" w:cs="Courier New" w:hint="default"/>
      </w:rPr>
    </w:lvl>
    <w:lvl w:ilvl="5" w:tplc="E9A64508" w:tentative="1">
      <w:start w:val="1"/>
      <w:numFmt w:val="bullet"/>
      <w:lvlText w:val=""/>
      <w:lvlJc w:val="left"/>
      <w:pPr>
        <w:ind w:left="4320" w:hanging="360"/>
      </w:pPr>
      <w:rPr>
        <w:rFonts w:ascii="Wingdings" w:hAnsi="Wingdings" w:hint="default"/>
      </w:rPr>
    </w:lvl>
    <w:lvl w:ilvl="6" w:tplc="D0305102" w:tentative="1">
      <w:start w:val="1"/>
      <w:numFmt w:val="bullet"/>
      <w:lvlText w:val=""/>
      <w:lvlJc w:val="left"/>
      <w:pPr>
        <w:ind w:left="5040" w:hanging="360"/>
      </w:pPr>
      <w:rPr>
        <w:rFonts w:ascii="Symbol" w:hAnsi="Symbol" w:hint="default"/>
      </w:rPr>
    </w:lvl>
    <w:lvl w:ilvl="7" w:tplc="2160BE3C" w:tentative="1">
      <w:start w:val="1"/>
      <w:numFmt w:val="bullet"/>
      <w:lvlText w:val="o"/>
      <w:lvlJc w:val="left"/>
      <w:pPr>
        <w:ind w:left="5760" w:hanging="360"/>
      </w:pPr>
      <w:rPr>
        <w:rFonts w:ascii="Courier New" w:hAnsi="Courier New" w:cs="Courier New" w:hint="default"/>
      </w:rPr>
    </w:lvl>
    <w:lvl w:ilvl="8" w:tplc="BBEAA9E2" w:tentative="1">
      <w:start w:val="1"/>
      <w:numFmt w:val="bullet"/>
      <w:lvlText w:val=""/>
      <w:lvlJc w:val="left"/>
      <w:pPr>
        <w:ind w:left="6480" w:hanging="360"/>
      </w:pPr>
      <w:rPr>
        <w:rFonts w:ascii="Wingdings" w:hAnsi="Wingdings" w:hint="default"/>
      </w:rPr>
    </w:lvl>
  </w:abstractNum>
  <w:abstractNum w:abstractNumId="2" w15:restartNumberingAfterBreak="0">
    <w:nsid w:val="10053F11"/>
    <w:multiLevelType w:val="multilevel"/>
    <w:tmpl w:val="575CEDB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15:restartNumberingAfterBreak="0">
    <w:nsid w:val="168F13E9"/>
    <w:multiLevelType w:val="multilevel"/>
    <w:tmpl w:val="DD825074"/>
    <w:styleLink w:val="ListBullets"/>
    <w:lvl w:ilvl="0">
      <w:start w:val="1"/>
      <w:numFmt w:val="bullet"/>
      <w:pStyle w:val="ListBullet"/>
      <w:lvlText w:val="•"/>
      <w:lvlJc w:val="left"/>
      <w:pPr>
        <w:ind w:left="360" w:hanging="360"/>
      </w:pPr>
      <w:rPr>
        <w:rFonts w:ascii="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 w15:restartNumberingAfterBreak="0">
    <w:nsid w:val="3AC02909"/>
    <w:multiLevelType w:val="hybridMultilevel"/>
    <w:tmpl w:val="0BF2B618"/>
    <w:lvl w:ilvl="0" w:tplc="430441E2">
      <w:start w:val="1"/>
      <w:numFmt w:val="bullet"/>
      <w:pStyle w:val="Bullet2"/>
      <w:lvlText w:val="-"/>
      <w:lvlJc w:val="left"/>
      <w:pPr>
        <w:tabs>
          <w:tab w:val="num" w:pos="567"/>
        </w:tabs>
        <w:ind w:left="567" w:hanging="283"/>
      </w:pPr>
      <w:rPr>
        <w:rFonts w:ascii="Arial" w:hAnsi="Arial" w:hint="default"/>
      </w:rPr>
    </w:lvl>
    <w:lvl w:ilvl="1" w:tplc="CE563FF6" w:tentative="1">
      <w:start w:val="1"/>
      <w:numFmt w:val="bullet"/>
      <w:lvlText w:val="o"/>
      <w:lvlJc w:val="left"/>
      <w:pPr>
        <w:tabs>
          <w:tab w:val="num" w:pos="1724"/>
        </w:tabs>
        <w:ind w:left="1724" w:hanging="360"/>
      </w:pPr>
      <w:rPr>
        <w:rFonts w:ascii="Courier New" w:hAnsi="Courier New" w:cs="Courier New" w:hint="default"/>
      </w:rPr>
    </w:lvl>
    <w:lvl w:ilvl="2" w:tplc="0E764032" w:tentative="1">
      <w:start w:val="1"/>
      <w:numFmt w:val="bullet"/>
      <w:lvlText w:val=""/>
      <w:lvlJc w:val="left"/>
      <w:pPr>
        <w:tabs>
          <w:tab w:val="num" w:pos="2444"/>
        </w:tabs>
        <w:ind w:left="2444" w:hanging="360"/>
      </w:pPr>
      <w:rPr>
        <w:rFonts w:ascii="Wingdings" w:hAnsi="Wingdings" w:hint="default"/>
      </w:rPr>
    </w:lvl>
    <w:lvl w:ilvl="3" w:tplc="42D0A2BA" w:tentative="1">
      <w:start w:val="1"/>
      <w:numFmt w:val="bullet"/>
      <w:lvlText w:val=""/>
      <w:lvlJc w:val="left"/>
      <w:pPr>
        <w:tabs>
          <w:tab w:val="num" w:pos="3164"/>
        </w:tabs>
        <w:ind w:left="3164" w:hanging="360"/>
      </w:pPr>
      <w:rPr>
        <w:rFonts w:ascii="Symbol" w:hAnsi="Symbol" w:hint="default"/>
      </w:rPr>
    </w:lvl>
    <w:lvl w:ilvl="4" w:tplc="449EDE58" w:tentative="1">
      <w:start w:val="1"/>
      <w:numFmt w:val="bullet"/>
      <w:lvlText w:val="o"/>
      <w:lvlJc w:val="left"/>
      <w:pPr>
        <w:tabs>
          <w:tab w:val="num" w:pos="3884"/>
        </w:tabs>
        <w:ind w:left="3884" w:hanging="360"/>
      </w:pPr>
      <w:rPr>
        <w:rFonts w:ascii="Courier New" w:hAnsi="Courier New" w:cs="Courier New" w:hint="default"/>
      </w:rPr>
    </w:lvl>
    <w:lvl w:ilvl="5" w:tplc="6DA83324" w:tentative="1">
      <w:start w:val="1"/>
      <w:numFmt w:val="bullet"/>
      <w:lvlText w:val=""/>
      <w:lvlJc w:val="left"/>
      <w:pPr>
        <w:tabs>
          <w:tab w:val="num" w:pos="4604"/>
        </w:tabs>
        <w:ind w:left="4604" w:hanging="360"/>
      </w:pPr>
      <w:rPr>
        <w:rFonts w:ascii="Wingdings" w:hAnsi="Wingdings" w:hint="default"/>
      </w:rPr>
    </w:lvl>
    <w:lvl w:ilvl="6" w:tplc="59464CD6" w:tentative="1">
      <w:start w:val="1"/>
      <w:numFmt w:val="bullet"/>
      <w:lvlText w:val=""/>
      <w:lvlJc w:val="left"/>
      <w:pPr>
        <w:tabs>
          <w:tab w:val="num" w:pos="5324"/>
        </w:tabs>
        <w:ind w:left="5324" w:hanging="360"/>
      </w:pPr>
      <w:rPr>
        <w:rFonts w:ascii="Symbol" w:hAnsi="Symbol" w:hint="default"/>
      </w:rPr>
    </w:lvl>
    <w:lvl w:ilvl="7" w:tplc="4260E810" w:tentative="1">
      <w:start w:val="1"/>
      <w:numFmt w:val="bullet"/>
      <w:lvlText w:val="o"/>
      <w:lvlJc w:val="left"/>
      <w:pPr>
        <w:tabs>
          <w:tab w:val="num" w:pos="6044"/>
        </w:tabs>
        <w:ind w:left="6044" w:hanging="360"/>
      </w:pPr>
      <w:rPr>
        <w:rFonts w:ascii="Courier New" w:hAnsi="Courier New" w:cs="Courier New" w:hint="default"/>
      </w:rPr>
    </w:lvl>
    <w:lvl w:ilvl="8" w:tplc="6C80C50E" w:tentative="1">
      <w:start w:val="1"/>
      <w:numFmt w:val="bullet"/>
      <w:lvlText w:val=""/>
      <w:lvlJc w:val="left"/>
      <w:pPr>
        <w:tabs>
          <w:tab w:val="num" w:pos="6764"/>
        </w:tabs>
        <w:ind w:left="6764" w:hanging="360"/>
      </w:pPr>
      <w:rPr>
        <w:rFonts w:ascii="Wingdings" w:hAnsi="Wingdings" w:hint="default"/>
      </w:rPr>
    </w:lvl>
  </w:abstractNum>
  <w:abstractNum w:abstractNumId="5" w15:restartNumberingAfterBreak="0">
    <w:nsid w:val="407B72D5"/>
    <w:multiLevelType w:val="hybridMultilevel"/>
    <w:tmpl w:val="3878B570"/>
    <w:lvl w:ilvl="0" w:tplc="9684B6C2">
      <w:start w:val="1"/>
      <w:numFmt w:val="bullet"/>
      <w:lvlText w:val=""/>
      <w:lvlJc w:val="left"/>
      <w:pPr>
        <w:ind w:left="720" w:hanging="360"/>
      </w:pPr>
      <w:rPr>
        <w:rFonts w:ascii="Symbol" w:hAnsi="Symbol" w:hint="default"/>
      </w:rPr>
    </w:lvl>
    <w:lvl w:ilvl="1" w:tplc="C01EE5C0" w:tentative="1">
      <w:start w:val="1"/>
      <w:numFmt w:val="bullet"/>
      <w:lvlText w:val="o"/>
      <w:lvlJc w:val="left"/>
      <w:pPr>
        <w:ind w:left="1440" w:hanging="360"/>
      </w:pPr>
      <w:rPr>
        <w:rFonts w:ascii="Courier New" w:hAnsi="Courier New" w:cs="Courier New" w:hint="default"/>
      </w:rPr>
    </w:lvl>
    <w:lvl w:ilvl="2" w:tplc="7EDE89E4" w:tentative="1">
      <w:start w:val="1"/>
      <w:numFmt w:val="bullet"/>
      <w:lvlText w:val=""/>
      <w:lvlJc w:val="left"/>
      <w:pPr>
        <w:ind w:left="2160" w:hanging="360"/>
      </w:pPr>
      <w:rPr>
        <w:rFonts w:ascii="Wingdings" w:hAnsi="Wingdings" w:hint="default"/>
      </w:rPr>
    </w:lvl>
    <w:lvl w:ilvl="3" w:tplc="66A66896" w:tentative="1">
      <w:start w:val="1"/>
      <w:numFmt w:val="bullet"/>
      <w:lvlText w:val=""/>
      <w:lvlJc w:val="left"/>
      <w:pPr>
        <w:ind w:left="2880" w:hanging="360"/>
      </w:pPr>
      <w:rPr>
        <w:rFonts w:ascii="Symbol" w:hAnsi="Symbol" w:hint="default"/>
      </w:rPr>
    </w:lvl>
    <w:lvl w:ilvl="4" w:tplc="C9D2152A" w:tentative="1">
      <w:start w:val="1"/>
      <w:numFmt w:val="bullet"/>
      <w:lvlText w:val="o"/>
      <w:lvlJc w:val="left"/>
      <w:pPr>
        <w:ind w:left="3600" w:hanging="360"/>
      </w:pPr>
      <w:rPr>
        <w:rFonts w:ascii="Courier New" w:hAnsi="Courier New" w:cs="Courier New" w:hint="default"/>
      </w:rPr>
    </w:lvl>
    <w:lvl w:ilvl="5" w:tplc="2B303340" w:tentative="1">
      <w:start w:val="1"/>
      <w:numFmt w:val="bullet"/>
      <w:lvlText w:val=""/>
      <w:lvlJc w:val="left"/>
      <w:pPr>
        <w:ind w:left="4320" w:hanging="360"/>
      </w:pPr>
      <w:rPr>
        <w:rFonts w:ascii="Wingdings" w:hAnsi="Wingdings" w:hint="default"/>
      </w:rPr>
    </w:lvl>
    <w:lvl w:ilvl="6" w:tplc="961E80A6" w:tentative="1">
      <w:start w:val="1"/>
      <w:numFmt w:val="bullet"/>
      <w:lvlText w:val=""/>
      <w:lvlJc w:val="left"/>
      <w:pPr>
        <w:ind w:left="5040" w:hanging="360"/>
      </w:pPr>
      <w:rPr>
        <w:rFonts w:ascii="Symbol" w:hAnsi="Symbol" w:hint="default"/>
      </w:rPr>
    </w:lvl>
    <w:lvl w:ilvl="7" w:tplc="D4BCB66E" w:tentative="1">
      <w:start w:val="1"/>
      <w:numFmt w:val="bullet"/>
      <w:lvlText w:val="o"/>
      <w:lvlJc w:val="left"/>
      <w:pPr>
        <w:ind w:left="5760" w:hanging="360"/>
      </w:pPr>
      <w:rPr>
        <w:rFonts w:ascii="Courier New" w:hAnsi="Courier New" w:cs="Courier New" w:hint="default"/>
      </w:rPr>
    </w:lvl>
    <w:lvl w:ilvl="8" w:tplc="18B4F1AC" w:tentative="1">
      <w:start w:val="1"/>
      <w:numFmt w:val="bullet"/>
      <w:lvlText w:val=""/>
      <w:lvlJc w:val="left"/>
      <w:pPr>
        <w:ind w:left="6480" w:hanging="360"/>
      </w:pPr>
      <w:rPr>
        <w:rFonts w:ascii="Wingdings" w:hAnsi="Wingdings" w:hint="default"/>
      </w:rPr>
    </w:lvl>
  </w:abstractNum>
  <w:abstractNum w:abstractNumId="6" w15:restartNumberingAfterBreak="0">
    <w:nsid w:val="489B15D7"/>
    <w:multiLevelType w:val="hybridMultilevel"/>
    <w:tmpl w:val="3D2E60CC"/>
    <w:lvl w:ilvl="0" w:tplc="68A2A806">
      <w:start w:val="1"/>
      <w:numFmt w:val="bullet"/>
      <w:pStyle w:val="Bulletpoint"/>
      <w:lvlText w:val=""/>
      <w:lvlJc w:val="left"/>
      <w:pPr>
        <w:tabs>
          <w:tab w:val="num" w:pos="369"/>
        </w:tabs>
        <w:ind w:left="369" w:hanging="227"/>
      </w:pPr>
      <w:rPr>
        <w:rFonts w:ascii="Symbol" w:hAnsi="Symbol" w:hint="default"/>
        <w:position w:val="0"/>
        <w:sz w:val="22"/>
        <w:szCs w:val="22"/>
      </w:rPr>
    </w:lvl>
    <w:lvl w:ilvl="1" w:tplc="9B4ADC5A" w:tentative="1">
      <w:start w:val="1"/>
      <w:numFmt w:val="bullet"/>
      <w:lvlText w:val="o"/>
      <w:lvlJc w:val="left"/>
      <w:pPr>
        <w:tabs>
          <w:tab w:val="num" w:pos="1440"/>
        </w:tabs>
        <w:ind w:left="1440" w:hanging="360"/>
      </w:pPr>
      <w:rPr>
        <w:rFonts w:ascii="Courier New" w:hAnsi="Courier New" w:cs="Symbol" w:hint="default"/>
      </w:rPr>
    </w:lvl>
    <w:lvl w:ilvl="2" w:tplc="E7EAA49C" w:tentative="1">
      <w:start w:val="1"/>
      <w:numFmt w:val="bullet"/>
      <w:lvlText w:val=""/>
      <w:lvlJc w:val="left"/>
      <w:pPr>
        <w:tabs>
          <w:tab w:val="num" w:pos="2160"/>
        </w:tabs>
        <w:ind w:left="2160" w:hanging="360"/>
      </w:pPr>
      <w:rPr>
        <w:rFonts w:ascii="Wingdings" w:hAnsi="Wingdings" w:hint="default"/>
      </w:rPr>
    </w:lvl>
    <w:lvl w:ilvl="3" w:tplc="7D0CBDEC" w:tentative="1">
      <w:start w:val="1"/>
      <w:numFmt w:val="bullet"/>
      <w:lvlText w:val=""/>
      <w:lvlJc w:val="left"/>
      <w:pPr>
        <w:tabs>
          <w:tab w:val="num" w:pos="2880"/>
        </w:tabs>
        <w:ind w:left="2880" w:hanging="360"/>
      </w:pPr>
      <w:rPr>
        <w:rFonts w:ascii="Symbol" w:hAnsi="Symbol" w:hint="default"/>
      </w:rPr>
    </w:lvl>
    <w:lvl w:ilvl="4" w:tplc="A0A68BB4" w:tentative="1">
      <w:start w:val="1"/>
      <w:numFmt w:val="bullet"/>
      <w:lvlText w:val="o"/>
      <w:lvlJc w:val="left"/>
      <w:pPr>
        <w:tabs>
          <w:tab w:val="num" w:pos="3600"/>
        </w:tabs>
        <w:ind w:left="3600" w:hanging="360"/>
      </w:pPr>
      <w:rPr>
        <w:rFonts w:ascii="Courier New" w:hAnsi="Courier New" w:cs="Symbol" w:hint="default"/>
      </w:rPr>
    </w:lvl>
    <w:lvl w:ilvl="5" w:tplc="0504D076" w:tentative="1">
      <w:start w:val="1"/>
      <w:numFmt w:val="bullet"/>
      <w:lvlText w:val=""/>
      <w:lvlJc w:val="left"/>
      <w:pPr>
        <w:tabs>
          <w:tab w:val="num" w:pos="4320"/>
        </w:tabs>
        <w:ind w:left="4320" w:hanging="360"/>
      </w:pPr>
      <w:rPr>
        <w:rFonts w:ascii="Wingdings" w:hAnsi="Wingdings" w:hint="default"/>
      </w:rPr>
    </w:lvl>
    <w:lvl w:ilvl="6" w:tplc="F28C7014" w:tentative="1">
      <w:start w:val="1"/>
      <w:numFmt w:val="bullet"/>
      <w:lvlText w:val=""/>
      <w:lvlJc w:val="left"/>
      <w:pPr>
        <w:tabs>
          <w:tab w:val="num" w:pos="5040"/>
        </w:tabs>
        <w:ind w:left="5040" w:hanging="360"/>
      </w:pPr>
      <w:rPr>
        <w:rFonts w:ascii="Symbol" w:hAnsi="Symbol" w:hint="default"/>
      </w:rPr>
    </w:lvl>
    <w:lvl w:ilvl="7" w:tplc="4FF02CC2" w:tentative="1">
      <w:start w:val="1"/>
      <w:numFmt w:val="bullet"/>
      <w:lvlText w:val="o"/>
      <w:lvlJc w:val="left"/>
      <w:pPr>
        <w:tabs>
          <w:tab w:val="num" w:pos="5760"/>
        </w:tabs>
        <w:ind w:left="5760" w:hanging="360"/>
      </w:pPr>
      <w:rPr>
        <w:rFonts w:ascii="Courier New" w:hAnsi="Courier New" w:cs="Symbol" w:hint="default"/>
      </w:rPr>
    </w:lvl>
    <w:lvl w:ilvl="8" w:tplc="71E02EB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6510165"/>
    <w:multiLevelType w:val="hybridMultilevel"/>
    <w:tmpl w:val="779C06D8"/>
    <w:lvl w:ilvl="0" w:tplc="23F27604">
      <w:start w:val="1"/>
      <w:numFmt w:val="bullet"/>
      <w:lvlText w:val="o"/>
      <w:lvlJc w:val="left"/>
      <w:pPr>
        <w:ind w:left="1004" w:hanging="360"/>
      </w:pPr>
      <w:rPr>
        <w:rFonts w:ascii="Courier New" w:hAnsi="Courier New" w:cs="Courier New" w:hint="default"/>
      </w:rPr>
    </w:lvl>
    <w:lvl w:ilvl="1" w:tplc="E670EA30" w:tentative="1">
      <w:start w:val="1"/>
      <w:numFmt w:val="bullet"/>
      <w:lvlText w:val="o"/>
      <w:lvlJc w:val="left"/>
      <w:pPr>
        <w:ind w:left="1724" w:hanging="360"/>
      </w:pPr>
      <w:rPr>
        <w:rFonts w:ascii="Courier New" w:hAnsi="Courier New" w:cs="Courier New" w:hint="default"/>
      </w:rPr>
    </w:lvl>
    <w:lvl w:ilvl="2" w:tplc="DFAA1722" w:tentative="1">
      <w:start w:val="1"/>
      <w:numFmt w:val="bullet"/>
      <w:lvlText w:val=""/>
      <w:lvlJc w:val="left"/>
      <w:pPr>
        <w:ind w:left="2444" w:hanging="360"/>
      </w:pPr>
      <w:rPr>
        <w:rFonts w:ascii="Wingdings" w:hAnsi="Wingdings" w:hint="default"/>
      </w:rPr>
    </w:lvl>
    <w:lvl w:ilvl="3" w:tplc="E774D534" w:tentative="1">
      <w:start w:val="1"/>
      <w:numFmt w:val="bullet"/>
      <w:lvlText w:val=""/>
      <w:lvlJc w:val="left"/>
      <w:pPr>
        <w:ind w:left="3164" w:hanging="360"/>
      </w:pPr>
      <w:rPr>
        <w:rFonts w:ascii="Symbol" w:hAnsi="Symbol" w:hint="default"/>
      </w:rPr>
    </w:lvl>
    <w:lvl w:ilvl="4" w:tplc="E9CA81A8" w:tentative="1">
      <w:start w:val="1"/>
      <w:numFmt w:val="bullet"/>
      <w:lvlText w:val="o"/>
      <w:lvlJc w:val="left"/>
      <w:pPr>
        <w:ind w:left="3884" w:hanging="360"/>
      </w:pPr>
      <w:rPr>
        <w:rFonts w:ascii="Courier New" w:hAnsi="Courier New" w:cs="Courier New" w:hint="default"/>
      </w:rPr>
    </w:lvl>
    <w:lvl w:ilvl="5" w:tplc="9A5EA05A" w:tentative="1">
      <w:start w:val="1"/>
      <w:numFmt w:val="bullet"/>
      <w:lvlText w:val=""/>
      <w:lvlJc w:val="left"/>
      <w:pPr>
        <w:ind w:left="4604" w:hanging="360"/>
      </w:pPr>
      <w:rPr>
        <w:rFonts w:ascii="Wingdings" w:hAnsi="Wingdings" w:hint="default"/>
      </w:rPr>
    </w:lvl>
    <w:lvl w:ilvl="6" w:tplc="0570E4EA" w:tentative="1">
      <w:start w:val="1"/>
      <w:numFmt w:val="bullet"/>
      <w:lvlText w:val=""/>
      <w:lvlJc w:val="left"/>
      <w:pPr>
        <w:ind w:left="5324" w:hanging="360"/>
      </w:pPr>
      <w:rPr>
        <w:rFonts w:ascii="Symbol" w:hAnsi="Symbol" w:hint="default"/>
      </w:rPr>
    </w:lvl>
    <w:lvl w:ilvl="7" w:tplc="8D1A9462" w:tentative="1">
      <w:start w:val="1"/>
      <w:numFmt w:val="bullet"/>
      <w:lvlText w:val="o"/>
      <w:lvlJc w:val="left"/>
      <w:pPr>
        <w:ind w:left="6044" w:hanging="360"/>
      </w:pPr>
      <w:rPr>
        <w:rFonts w:ascii="Courier New" w:hAnsi="Courier New" w:cs="Courier New" w:hint="default"/>
      </w:rPr>
    </w:lvl>
    <w:lvl w:ilvl="8" w:tplc="0B0E798A" w:tentative="1">
      <w:start w:val="1"/>
      <w:numFmt w:val="bullet"/>
      <w:lvlText w:val=""/>
      <w:lvlJc w:val="left"/>
      <w:pPr>
        <w:ind w:left="6764" w:hanging="360"/>
      </w:pPr>
      <w:rPr>
        <w:rFonts w:ascii="Wingdings" w:hAnsi="Wingdings" w:hint="default"/>
      </w:rPr>
    </w:lvl>
  </w:abstractNum>
  <w:abstractNum w:abstractNumId="8" w15:restartNumberingAfterBreak="0">
    <w:nsid w:val="6D214E8B"/>
    <w:multiLevelType w:val="hybridMultilevel"/>
    <w:tmpl w:val="4426C4F8"/>
    <w:lvl w:ilvl="0" w:tplc="86B433C6">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BE02ED3C" w:tentative="1">
      <w:start w:val="1"/>
      <w:numFmt w:val="bullet"/>
      <w:lvlText w:val="o"/>
      <w:lvlJc w:val="left"/>
      <w:pPr>
        <w:tabs>
          <w:tab w:val="num" w:pos="1440"/>
        </w:tabs>
        <w:ind w:left="1440" w:hanging="360"/>
      </w:pPr>
      <w:rPr>
        <w:rFonts w:ascii="Courier New" w:hAnsi="Courier New" w:cs="Courier New" w:hint="default"/>
      </w:rPr>
    </w:lvl>
    <w:lvl w:ilvl="2" w:tplc="D92280C4" w:tentative="1">
      <w:start w:val="1"/>
      <w:numFmt w:val="bullet"/>
      <w:lvlText w:val=""/>
      <w:lvlJc w:val="left"/>
      <w:pPr>
        <w:tabs>
          <w:tab w:val="num" w:pos="2160"/>
        </w:tabs>
        <w:ind w:left="2160" w:hanging="360"/>
      </w:pPr>
      <w:rPr>
        <w:rFonts w:ascii="Wingdings" w:hAnsi="Wingdings" w:hint="default"/>
      </w:rPr>
    </w:lvl>
    <w:lvl w:ilvl="3" w:tplc="50960CA8" w:tentative="1">
      <w:start w:val="1"/>
      <w:numFmt w:val="bullet"/>
      <w:lvlText w:val=""/>
      <w:lvlJc w:val="left"/>
      <w:pPr>
        <w:tabs>
          <w:tab w:val="num" w:pos="2880"/>
        </w:tabs>
        <w:ind w:left="2880" w:hanging="360"/>
      </w:pPr>
      <w:rPr>
        <w:rFonts w:ascii="Symbol" w:hAnsi="Symbol" w:hint="default"/>
      </w:rPr>
    </w:lvl>
    <w:lvl w:ilvl="4" w:tplc="E9447ED8" w:tentative="1">
      <w:start w:val="1"/>
      <w:numFmt w:val="bullet"/>
      <w:lvlText w:val="o"/>
      <w:lvlJc w:val="left"/>
      <w:pPr>
        <w:tabs>
          <w:tab w:val="num" w:pos="3600"/>
        </w:tabs>
        <w:ind w:left="3600" w:hanging="360"/>
      </w:pPr>
      <w:rPr>
        <w:rFonts w:ascii="Courier New" w:hAnsi="Courier New" w:cs="Courier New" w:hint="default"/>
      </w:rPr>
    </w:lvl>
    <w:lvl w:ilvl="5" w:tplc="A5EAAC16" w:tentative="1">
      <w:start w:val="1"/>
      <w:numFmt w:val="bullet"/>
      <w:lvlText w:val=""/>
      <w:lvlJc w:val="left"/>
      <w:pPr>
        <w:tabs>
          <w:tab w:val="num" w:pos="4320"/>
        </w:tabs>
        <w:ind w:left="4320" w:hanging="360"/>
      </w:pPr>
      <w:rPr>
        <w:rFonts w:ascii="Wingdings" w:hAnsi="Wingdings" w:hint="default"/>
      </w:rPr>
    </w:lvl>
    <w:lvl w:ilvl="6" w:tplc="718C9D18" w:tentative="1">
      <w:start w:val="1"/>
      <w:numFmt w:val="bullet"/>
      <w:lvlText w:val=""/>
      <w:lvlJc w:val="left"/>
      <w:pPr>
        <w:tabs>
          <w:tab w:val="num" w:pos="5040"/>
        </w:tabs>
        <w:ind w:left="5040" w:hanging="360"/>
      </w:pPr>
      <w:rPr>
        <w:rFonts w:ascii="Symbol" w:hAnsi="Symbol" w:hint="default"/>
      </w:rPr>
    </w:lvl>
    <w:lvl w:ilvl="7" w:tplc="482077B4" w:tentative="1">
      <w:start w:val="1"/>
      <w:numFmt w:val="bullet"/>
      <w:lvlText w:val="o"/>
      <w:lvlJc w:val="left"/>
      <w:pPr>
        <w:tabs>
          <w:tab w:val="num" w:pos="5760"/>
        </w:tabs>
        <w:ind w:left="5760" w:hanging="360"/>
      </w:pPr>
      <w:rPr>
        <w:rFonts w:ascii="Courier New" w:hAnsi="Courier New" w:cs="Courier New" w:hint="default"/>
      </w:rPr>
    </w:lvl>
    <w:lvl w:ilvl="8" w:tplc="C4B4DA56"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2"/>
  </w:num>
  <w:num w:numId="3">
    <w:abstractNumId w:val="3"/>
  </w:num>
  <w:num w:numId="4">
    <w:abstractNumId w:val="2"/>
  </w:num>
  <w:num w:numId="5">
    <w:abstractNumId w:val="6"/>
  </w:num>
  <w:num w:numId="6">
    <w:abstractNumId w:val="4"/>
  </w:num>
  <w:num w:numId="7">
    <w:abstractNumId w:val="8"/>
  </w:num>
  <w:num w:numId="8">
    <w:abstractNumId w:val="1"/>
  </w:num>
  <w:num w:numId="9">
    <w:abstractNumId w:val="7"/>
  </w:num>
  <w:num w:numId="10">
    <w:abstractNumId w:val="5"/>
  </w:num>
  <w:num w:numId="11">
    <w:abstractNumId w:val="0"/>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drawingGridHorizontalSpacing w:val="11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09EE"/>
    <w:rsid w:val="00000353"/>
    <w:rsid w:val="00002031"/>
    <w:rsid w:val="00004734"/>
    <w:rsid w:val="00005211"/>
    <w:rsid w:val="00006B22"/>
    <w:rsid w:val="00006FAB"/>
    <w:rsid w:val="0001276A"/>
    <w:rsid w:val="0002162F"/>
    <w:rsid w:val="0002354C"/>
    <w:rsid w:val="000246AE"/>
    <w:rsid w:val="00025C67"/>
    <w:rsid w:val="00031B78"/>
    <w:rsid w:val="00035CEC"/>
    <w:rsid w:val="00042FC8"/>
    <w:rsid w:val="000431BF"/>
    <w:rsid w:val="00044772"/>
    <w:rsid w:val="0004541C"/>
    <w:rsid w:val="000501C6"/>
    <w:rsid w:val="000549AD"/>
    <w:rsid w:val="00054A12"/>
    <w:rsid w:val="0005559E"/>
    <w:rsid w:val="000604D6"/>
    <w:rsid w:val="000734D8"/>
    <w:rsid w:val="00077775"/>
    <w:rsid w:val="000819DA"/>
    <w:rsid w:val="00090471"/>
    <w:rsid w:val="00090A22"/>
    <w:rsid w:val="0009335F"/>
    <w:rsid w:val="00096754"/>
    <w:rsid w:val="00096AA7"/>
    <w:rsid w:val="000A3AED"/>
    <w:rsid w:val="000A4894"/>
    <w:rsid w:val="000B2E46"/>
    <w:rsid w:val="000B3532"/>
    <w:rsid w:val="000B3A75"/>
    <w:rsid w:val="000B5B6D"/>
    <w:rsid w:val="000B743F"/>
    <w:rsid w:val="000B75E1"/>
    <w:rsid w:val="000C00C2"/>
    <w:rsid w:val="000C07CD"/>
    <w:rsid w:val="000C3FFD"/>
    <w:rsid w:val="000C4D4A"/>
    <w:rsid w:val="000C6670"/>
    <w:rsid w:val="000C690F"/>
    <w:rsid w:val="000C7D4E"/>
    <w:rsid w:val="000D1295"/>
    <w:rsid w:val="000D2994"/>
    <w:rsid w:val="000D30F0"/>
    <w:rsid w:val="000D391B"/>
    <w:rsid w:val="000D3D6D"/>
    <w:rsid w:val="000D4FC7"/>
    <w:rsid w:val="000E1E45"/>
    <w:rsid w:val="000E4FBF"/>
    <w:rsid w:val="000E6196"/>
    <w:rsid w:val="000F4869"/>
    <w:rsid w:val="000F511C"/>
    <w:rsid w:val="000F5B42"/>
    <w:rsid w:val="000F6E6F"/>
    <w:rsid w:val="000F70B9"/>
    <w:rsid w:val="00102B5F"/>
    <w:rsid w:val="0010601F"/>
    <w:rsid w:val="001068F4"/>
    <w:rsid w:val="0010788A"/>
    <w:rsid w:val="00107A31"/>
    <w:rsid w:val="00110AD9"/>
    <w:rsid w:val="00110EA5"/>
    <w:rsid w:val="00111B41"/>
    <w:rsid w:val="00112F56"/>
    <w:rsid w:val="0011380B"/>
    <w:rsid w:val="00115D19"/>
    <w:rsid w:val="00117C1F"/>
    <w:rsid w:val="00122C2E"/>
    <w:rsid w:val="00124ACD"/>
    <w:rsid w:val="00125318"/>
    <w:rsid w:val="001261AC"/>
    <w:rsid w:val="001302EB"/>
    <w:rsid w:val="001305A2"/>
    <w:rsid w:val="00132FE7"/>
    <w:rsid w:val="00133238"/>
    <w:rsid w:val="00133A1B"/>
    <w:rsid w:val="0014197B"/>
    <w:rsid w:val="001447CD"/>
    <w:rsid w:val="001516B1"/>
    <w:rsid w:val="00153E31"/>
    <w:rsid w:val="00154C9A"/>
    <w:rsid w:val="00154EBB"/>
    <w:rsid w:val="00156316"/>
    <w:rsid w:val="00161181"/>
    <w:rsid w:val="0016153C"/>
    <w:rsid w:val="00161D56"/>
    <w:rsid w:val="00162D14"/>
    <w:rsid w:val="00163780"/>
    <w:rsid w:val="00164544"/>
    <w:rsid w:val="00165389"/>
    <w:rsid w:val="001654B4"/>
    <w:rsid w:val="00173F7A"/>
    <w:rsid w:val="0017693F"/>
    <w:rsid w:val="0018110E"/>
    <w:rsid w:val="00181684"/>
    <w:rsid w:val="001843C6"/>
    <w:rsid w:val="001850E0"/>
    <w:rsid w:val="00185407"/>
    <w:rsid w:val="001973AC"/>
    <w:rsid w:val="001A03AF"/>
    <w:rsid w:val="001A2158"/>
    <w:rsid w:val="001A4894"/>
    <w:rsid w:val="001A525F"/>
    <w:rsid w:val="001A5A00"/>
    <w:rsid w:val="001A66B8"/>
    <w:rsid w:val="001B0466"/>
    <w:rsid w:val="001B09F9"/>
    <w:rsid w:val="001B1DA4"/>
    <w:rsid w:val="001B5573"/>
    <w:rsid w:val="001B5C90"/>
    <w:rsid w:val="001B6448"/>
    <w:rsid w:val="001C32CD"/>
    <w:rsid w:val="001C3B24"/>
    <w:rsid w:val="001D19C5"/>
    <w:rsid w:val="001D22F6"/>
    <w:rsid w:val="001D2984"/>
    <w:rsid w:val="001D6844"/>
    <w:rsid w:val="001E07CF"/>
    <w:rsid w:val="001E25B5"/>
    <w:rsid w:val="001E359E"/>
    <w:rsid w:val="001E59F1"/>
    <w:rsid w:val="001F2CEE"/>
    <w:rsid w:val="001F49EB"/>
    <w:rsid w:val="001F6CBA"/>
    <w:rsid w:val="00200BC2"/>
    <w:rsid w:val="00201D4E"/>
    <w:rsid w:val="00202A6D"/>
    <w:rsid w:val="00206D48"/>
    <w:rsid w:val="0020724E"/>
    <w:rsid w:val="002076C9"/>
    <w:rsid w:val="002108DC"/>
    <w:rsid w:val="00210F68"/>
    <w:rsid w:val="00211011"/>
    <w:rsid w:val="00215143"/>
    <w:rsid w:val="00215642"/>
    <w:rsid w:val="0022093B"/>
    <w:rsid w:val="00220B8A"/>
    <w:rsid w:val="00222469"/>
    <w:rsid w:val="002257F3"/>
    <w:rsid w:val="002314EA"/>
    <w:rsid w:val="00233456"/>
    <w:rsid w:val="002339A5"/>
    <w:rsid w:val="00250271"/>
    <w:rsid w:val="00250F35"/>
    <w:rsid w:val="002572A9"/>
    <w:rsid w:val="00257848"/>
    <w:rsid w:val="002578E8"/>
    <w:rsid w:val="00263448"/>
    <w:rsid w:val="0027084A"/>
    <w:rsid w:val="00271E85"/>
    <w:rsid w:val="00280265"/>
    <w:rsid w:val="0028234A"/>
    <w:rsid w:val="002828EF"/>
    <w:rsid w:val="002843D5"/>
    <w:rsid w:val="00286434"/>
    <w:rsid w:val="00286C59"/>
    <w:rsid w:val="002903BD"/>
    <w:rsid w:val="00291957"/>
    <w:rsid w:val="002942D1"/>
    <w:rsid w:val="0029501A"/>
    <w:rsid w:val="002A0289"/>
    <w:rsid w:val="002A2C48"/>
    <w:rsid w:val="002A3721"/>
    <w:rsid w:val="002B1638"/>
    <w:rsid w:val="002B3624"/>
    <w:rsid w:val="002C6A77"/>
    <w:rsid w:val="002C6CEC"/>
    <w:rsid w:val="002C76F5"/>
    <w:rsid w:val="002D0952"/>
    <w:rsid w:val="002E1B7C"/>
    <w:rsid w:val="002E40B3"/>
    <w:rsid w:val="002E4C9A"/>
    <w:rsid w:val="002F11F8"/>
    <w:rsid w:val="002F3F56"/>
    <w:rsid w:val="002F44B5"/>
    <w:rsid w:val="002F5122"/>
    <w:rsid w:val="00306183"/>
    <w:rsid w:val="00311AC0"/>
    <w:rsid w:val="00316941"/>
    <w:rsid w:val="003176FC"/>
    <w:rsid w:val="003239BD"/>
    <w:rsid w:val="00324E45"/>
    <w:rsid w:val="0032504C"/>
    <w:rsid w:val="0032583B"/>
    <w:rsid w:val="00327883"/>
    <w:rsid w:val="00332685"/>
    <w:rsid w:val="00332715"/>
    <w:rsid w:val="00332AEF"/>
    <w:rsid w:val="00334A53"/>
    <w:rsid w:val="00335504"/>
    <w:rsid w:val="00340C18"/>
    <w:rsid w:val="003442FD"/>
    <w:rsid w:val="00344F6E"/>
    <w:rsid w:val="003459CA"/>
    <w:rsid w:val="00347824"/>
    <w:rsid w:val="00350567"/>
    <w:rsid w:val="00350C7E"/>
    <w:rsid w:val="003521E8"/>
    <w:rsid w:val="003523E0"/>
    <w:rsid w:val="00353E17"/>
    <w:rsid w:val="00360DD3"/>
    <w:rsid w:val="0036692D"/>
    <w:rsid w:val="00370CE3"/>
    <w:rsid w:val="00371CFE"/>
    <w:rsid w:val="003728F3"/>
    <w:rsid w:val="003735BC"/>
    <w:rsid w:val="0037496E"/>
    <w:rsid w:val="00383221"/>
    <w:rsid w:val="00386150"/>
    <w:rsid w:val="00386B48"/>
    <w:rsid w:val="003874CE"/>
    <w:rsid w:val="00390900"/>
    <w:rsid w:val="00394C86"/>
    <w:rsid w:val="0039584C"/>
    <w:rsid w:val="003970C2"/>
    <w:rsid w:val="003A3E05"/>
    <w:rsid w:val="003A7F6C"/>
    <w:rsid w:val="003B265A"/>
    <w:rsid w:val="003B4D60"/>
    <w:rsid w:val="003B748D"/>
    <w:rsid w:val="003B7E39"/>
    <w:rsid w:val="003C0788"/>
    <w:rsid w:val="003C58DC"/>
    <w:rsid w:val="003C7AB1"/>
    <w:rsid w:val="003D1E62"/>
    <w:rsid w:val="003D49FF"/>
    <w:rsid w:val="003D5C82"/>
    <w:rsid w:val="003E0B99"/>
    <w:rsid w:val="003E2486"/>
    <w:rsid w:val="003E3208"/>
    <w:rsid w:val="003E5F35"/>
    <w:rsid w:val="003F0B04"/>
    <w:rsid w:val="003F10C4"/>
    <w:rsid w:val="003F2ECF"/>
    <w:rsid w:val="003F523A"/>
    <w:rsid w:val="0040134E"/>
    <w:rsid w:val="00410AF5"/>
    <w:rsid w:val="004124E1"/>
    <w:rsid w:val="00426538"/>
    <w:rsid w:val="00426698"/>
    <w:rsid w:val="00431500"/>
    <w:rsid w:val="004334C7"/>
    <w:rsid w:val="00440A2D"/>
    <w:rsid w:val="00441261"/>
    <w:rsid w:val="00441C3F"/>
    <w:rsid w:val="00444D1A"/>
    <w:rsid w:val="004457D9"/>
    <w:rsid w:val="0045186A"/>
    <w:rsid w:val="00454BDC"/>
    <w:rsid w:val="004564A7"/>
    <w:rsid w:val="00456765"/>
    <w:rsid w:val="00460036"/>
    <w:rsid w:val="004617BF"/>
    <w:rsid w:val="00463201"/>
    <w:rsid w:val="00463658"/>
    <w:rsid w:val="004637A0"/>
    <w:rsid w:val="004722CC"/>
    <w:rsid w:val="00475997"/>
    <w:rsid w:val="00482C64"/>
    <w:rsid w:val="00487162"/>
    <w:rsid w:val="00490483"/>
    <w:rsid w:val="004936E4"/>
    <w:rsid w:val="00494E60"/>
    <w:rsid w:val="00497487"/>
    <w:rsid w:val="004A0107"/>
    <w:rsid w:val="004A2771"/>
    <w:rsid w:val="004A2A3E"/>
    <w:rsid w:val="004A6189"/>
    <w:rsid w:val="004A7390"/>
    <w:rsid w:val="004B6F4B"/>
    <w:rsid w:val="004B7B76"/>
    <w:rsid w:val="004B7CD8"/>
    <w:rsid w:val="004C0268"/>
    <w:rsid w:val="004C239D"/>
    <w:rsid w:val="004C2B1B"/>
    <w:rsid w:val="004C2DCA"/>
    <w:rsid w:val="004C4FBE"/>
    <w:rsid w:val="004C61D2"/>
    <w:rsid w:val="004D04E2"/>
    <w:rsid w:val="004E0F26"/>
    <w:rsid w:val="004F0C4A"/>
    <w:rsid w:val="004F0F38"/>
    <w:rsid w:val="004F47D6"/>
    <w:rsid w:val="00500337"/>
    <w:rsid w:val="00501921"/>
    <w:rsid w:val="00505417"/>
    <w:rsid w:val="005078F9"/>
    <w:rsid w:val="00515F53"/>
    <w:rsid w:val="0052149B"/>
    <w:rsid w:val="00523A21"/>
    <w:rsid w:val="005272F1"/>
    <w:rsid w:val="00530354"/>
    <w:rsid w:val="00530F71"/>
    <w:rsid w:val="00533A7C"/>
    <w:rsid w:val="00534ABA"/>
    <w:rsid w:val="0053625B"/>
    <w:rsid w:val="00542DC1"/>
    <w:rsid w:val="005434C6"/>
    <w:rsid w:val="00543B39"/>
    <w:rsid w:val="00545CDB"/>
    <w:rsid w:val="00546154"/>
    <w:rsid w:val="00550096"/>
    <w:rsid w:val="0055120C"/>
    <w:rsid w:val="005514FE"/>
    <w:rsid w:val="00555280"/>
    <w:rsid w:val="00557DA8"/>
    <w:rsid w:val="00557FF9"/>
    <w:rsid w:val="00562327"/>
    <w:rsid w:val="00562D2D"/>
    <w:rsid w:val="00564DA5"/>
    <w:rsid w:val="005674AF"/>
    <w:rsid w:val="005711D5"/>
    <w:rsid w:val="00576378"/>
    <w:rsid w:val="00577130"/>
    <w:rsid w:val="00577945"/>
    <w:rsid w:val="00577E38"/>
    <w:rsid w:val="00585322"/>
    <w:rsid w:val="005857C6"/>
    <w:rsid w:val="005911CF"/>
    <w:rsid w:val="00592F6E"/>
    <w:rsid w:val="00593AD1"/>
    <w:rsid w:val="005970C3"/>
    <w:rsid w:val="005A61F8"/>
    <w:rsid w:val="005A68B6"/>
    <w:rsid w:val="005A79F5"/>
    <w:rsid w:val="005A7D28"/>
    <w:rsid w:val="005B01D2"/>
    <w:rsid w:val="005B2ABC"/>
    <w:rsid w:val="005B6E30"/>
    <w:rsid w:val="005B7DB3"/>
    <w:rsid w:val="005C494B"/>
    <w:rsid w:val="005C538E"/>
    <w:rsid w:val="005C5570"/>
    <w:rsid w:val="005C5B66"/>
    <w:rsid w:val="005C6141"/>
    <w:rsid w:val="005C79A4"/>
    <w:rsid w:val="005D358F"/>
    <w:rsid w:val="005D4F1B"/>
    <w:rsid w:val="005D5442"/>
    <w:rsid w:val="005F0A71"/>
    <w:rsid w:val="005F3D4A"/>
    <w:rsid w:val="005F453B"/>
    <w:rsid w:val="00600319"/>
    <w:rsid w:val="00603F32"/>
    <w:rsid w:val="006057AD"/>
    <w:rsid w:val="00605AD4"/>
    <w:rsid w:val="00610CCA"/>
    <w:rsid w:val="006136D7"/>
    <w:rsid w:val="006215C5"/>
    <w:rsid w:val="006222BD"/>
    <w:rsid w:val="00623BD0"/>
    <w:rsid w:val="00624B51"/>
    <w:rsid w:val="00625A52"/>
    <w:rsid w:val="00625A6E"/>
    <w:rsid w:val="00632398"/>
    <w:rsid w:val="00640FC3"/>
    <w:rsid w:val="00642020"/>
    <w:rsid w:val="00642D73"/>
    <w:rsid w:val="006430EE"/>
    <w:rsid w:val="00643CE5"/>
    <w:rsid w:val="0064609E"/>
    <w:rsid w:val="00647F76"/>
    <w:rsid w:val="00651460"/>
    <w:rsid w:val="0065337B"/>
    <w:rsid w:val="0065419D"/>
    <w:rsid w:val="00657D67"/>
    <w:rsid w:val="006603BC"/>
    <w:rsid w:val="006604D8"/>
    <w:rsid w:val="00664A5B"/>
    <w:rsid w:val="0066735C"/>
    <w:rsid w:val="00671499"/>
    <w:rsid w:val="006763D2"/>
    <w:rsid w:val="00680738"/>
    <w:rsid w:val="00680C08"/>
    <w:rsid w:val="006828A1"/>
    <w:rsid w:val="006901BA"/>
    <w:rsid w:val="0069093B"/>
    <w:rsid w:val="006916A0"/>
    <w:rsid w:val="006931B1"/>
    <w:rsid w:val="006A15C0"/>
    <w:rsid w:val="006A1D12"/>
    <w:rsid w:val="006A2965"/>
    <w:rsid w:val="006A2CD9"/>
    <w:rsid w:val="006A58A8"/>
    <w:rsid w:val="006B5C6F"/>
    <w:rsid w:val="006C0507"/>
    <w:rsid w:val="006C157D"/>
    <w:rsid w:val="006C3E2A"/>
    <w:rsid w:val="006C642F"/>
    <w:rsid w:val="006D03E5"/>
    <w:rsid w:val="006D5D3E"/>
    <w:rsid w:val="006E0091"/>
    <w:rsid w:val="006E08B3"/>
    <w:rsid w:val="006E360B"/>
    <w:rsid w:val="006E7D4A"/>
    <w:rsid w:val="006F17AC"/>
    <w:rsid w:val="006F25B8"/>
    <w:rsid w:val="006F5611"/>
    <w:rsid w:val="006F572E"/>
    <w:rsid w:val="006F78F9"/>
    <w:rsid w:val="0070319D"/>
    <w:rsid w:val="007046D6"/>
    <w:rsid w:val="00705DB0"/>
    <w:rsid w:val="00710CFD"/>
    <w:rsid w:val="00714210"/>
    <w:rsid w:val="007146B2"/>
    <w:rsid w:val="0072292E"/>
    <w:rsid w:val="00722B57"/>
    <w:rsid w:val="007230FA"/>
    <w:rsid w:val="007272A5"/>
    <w:rsid w:val="00730F8A"/>
    <w:rsid w:val="00731F00"/>
    <w:rsid w:val="0073526A"/>
    <w:rsid w:val="00735A8C"/>
    <w:rsid w:val="0074163C"/>
    <w:rsid w:val="0074253D"/>
    <w:rsid w:val="00743A64"/>
    <w:rsid w:val="00744121"/>
    <w:rsid w:val="0074429B"/>
    <w:rsid w:val="00747CF3"/>
    <w:rsid w:val="0075628A"/>
    <w:rsid w:val="0075642C"/>
    <w:rsid w:val="007615BC"/>
    <w:rsid w:val="00762F05"/>
    <w:rsid w:val="007650C8"/>
    <w:rsid w:val="007652FF"/>
    <w:rsid w:val="00765E6D"/>
    <w:rsid w:val="007703EF"/>
    <w:rsid w:val="00770CAC"/>
    <w:rsid w:val="00770EF1"/>
    <w:rsid w:val="0077131A"/>
    <w:rsid w:val="00773EF7"/>
    <w:rsid w:val="00774E1D"/>
    <w:rsid w:val="007765D8"/>
    <w:rsid w:val="0077675A"/>
    <w:rsid w:val="00780355"/>
    <w:rsid w:val="007819FD"/>
    <w:rsid w:val="00785717"/>
    <w:rsid w:val="00785721"/>
    <w:rsid w:val="00793A59"/>
    <w:rsid w:val="00796D18"/>
    <w:rsid w:val="007A0237"/>
    <w:rsid w:val="007A46F5"/>
    <w:rsid w:val="007A5DB9"/>
    <w:rsid w:val="007A62D7"/>
    <w:rsid w:val="007A6505"/>
    <w:rsid w:val="007B388D"/>
    <w:rsid w:val="007B6132"/>
    <w:rsid w:val="007B615A"/>
    <w:rsid w:val="007B6E9F"/>
    <w:rsid w:val="007C075B"/>
    <w:rsid w:val="007C1216"/>
    <w:rsid w:val="007C1AF7"/>
    <w:rsid w:val="007C6B9B"/>
    <w:rsid w:val="007C79FD"/>
    <w:rsid w:val="007D085F"/>
    <w:rsid w:val="007D410C"/>
    <w:rsid w:val="007D53B6"/>
    <w:rsid w:val="007E3CC6"/>
    <w:rsid w:val="007F2B30"/>
    <w:rsid w:val="007F398F"/>
    <w:rsid w:val="007F4C2E"/>
    <w:rsid w:val="008038D3"/>
    <w:rsid w:val="00804D99"/>
    <w:rsid w:val="00805D27"/>
    <w:rsid w:val="00806DCB"/>
    <w:rsid w:val="00807161"/>
    <w:rsid w:val="008110BC"/>
    <w:rsid w:val="00815850"/>
    <w:rsid w:val="00820DC6"/>
    <w:rsid w:val="00821776"/>
    <w:rsid w:val="00826ACF"/>
    <w:rsid w:val="00831637"/>
    <w:rsid w:val="008321F5"/>
    <w:rsid w:val="00832369"/>
    <w:rsid w:val="00833200"/>
    <w:rsid w:val="00833ED8"/>
    <w:rsid w:val="00834660"/>
    <w:rsid w:val="00836BC2"/>
    <w:rsid w:val="00840816"/>
    <w:rsid w:val="008450DF"/>
    <w:rsid w:val="0085039D"/>
    <w:rsid w:val="0085156D"/>
    <w:rsid w:val="00852B28"/>
    <w:rsid w:val="0085641B"/>
    <w:rsid w:val="00857136"/>
    <w:rsid w:val="00860DD8"/>
    <w:rsid w:val="00865B03"/>
    <w:rsid w:val="00870F41"/>
    <w:rsid w:val="00871BF4"/>
    <w:rsid w:val="00875A6B"/>
    <w:rsid w:val="00880C83"/>
    <w:rsid w:val="0088184D"/>
    <w:rsid w:val="00883E1C"/>
    <w:rsid w:val="00885B11"/>
    <w:rsid w:val="00886D15"/>
    <w:rsid w:val="00887DD8"/>
    <w:rsid w:val="00891BA9"/>
    <w:rsid w:val="00894D27"/>
    <w:rsid w:val="00895222"/>
    <w:rsid w:val="00896018"/>
    <w:rsid w:val="008960DD"/>
    <w:rsid w:val="0089635C"/>
    <w:rsid w:val="00896B16"/>
    <w:rsid w:val="008A2B9D"/>
    <w:rsid w:val="008A3D9F"/>
    <w:rsid w:val="008A45D0"/>
    <w:rsid w:val="008A5E0B"/>
    <w:rsid w:val="008A6D59"/>
    <w:rsid w:val="008B0E22"/>
    <w:rsid w:val="008B4B03"/>
    <w:rsid w:val="008B517F"/>
    <w:rsid w:val="008B596F"/>
    <w:rsid w:val="008C159F"/>
    <w:rsid w:val="008C1623"/>
    <w:rsid w:val="008C1850"/>
    <w:rsid w:val="008C3A60"/>
    <w:rsid w:val="008C51A9"/>
    <w:rsid w:val="008D45DF"/>
    <w:rsid w:val="008D6103"/>
    <w:rsid w:val="008E5203"/>
    <w:rsid w:val="008E7846"/>
    <w:rsid w:val="008F02E5"/>
    <w:rsid w:val="008F1CCC"/>
    <w:rsid w:val="008F2967"/>
    <w:rsid w:val="008F6943"/>
    <w:rsid w:val="00902A21"/>
    <w:rsid w:val="00907E1A"/>
    <w:rsid w:val="00907F56"/>
    <w:rsid w:val="00912625"/>
    <w:rsid w:val="009136ED"/>
    <w:rsid w:val="0091523F"/>
    <w:rsid w:val="00920330"/>
    <w:rsid w:val="009219D7"/>
    <w:rsid w:val="00921EF2"/>
    <w:rsid w:val="00922D53"/>
    <w:rsid w:val="00923693"/>
    <w:rsid w:val="00923B70"/>
    <w:rsid w:val="00924482"/>
    <w:rsid w:val="009265DC"/>
    <w:rsid w:val="00930237"/>
    <w:rsid w:val="00937C17"/>
    <w:rsid w:val="00940A89"/>
    <w:rsid w:val="00941F77"/>
    <w:rsid w:val="00942B85"/>
    <w:rsid w:val="00944C26"/>
    <w:rsid w:val="00946EA5"/>
    <w:rsid w:val="009523C4"/>
    <w:rsid w:val="009556D7"/>
    <w:rsid w:val="00960520"/>
    <w:rsid w:val="00960CB7"/>
    <w:rsid w:val="00963C08"/>
    <w:rsid w:val="0097259D"/>
    <w:rsid w:val="009752A5"/>
    <w:rsid w:val="00984C7B"/>
    <w:rsid w:val="0098585A"/>
    <w:rsid w:val="00991735"/>
    <w:rsid w:val="00993D88"/>
    <w:rsid w:val="009A4CED"/>
    <w:rsid w:val="009A690D"/>
    <w:rsid w:val="009A6D16"/>
    <w:rsid w:val="009B1717"/>
    <w:rsid w:val="009B1D12"/>
    <w:rsid w:val="009B416B"/>
    <w:rsid w:val="009B4329"/>
    <w:rsid w:val="009B6084"/>
    <w:rsid w:val="009C0F09"/>
    <w:rsid w:val="009C2A52"/>
    <w:rsid w:val="009C4BD5"/>
    <w:rsid w:val="009D72F7"/>
    <w:rsid w:val="009D7B77"/>
    <w:rsid w:val="009E0BB0"/>
    <w:rsid w:val="009E313D"/>
    <w:rsid w:val="009E3920"/>
    <w:rsid w:val="009E3FBB"/>
    <w:rsid w:val="009E5A87"/>
    <w:rsid w:val="009F0C3F"/>
    <w:rsid w:val="009F24A8"/>
    <w:rsid w:val="009F2673"/>
    <w:rsid w:val="009F37C3"/>
    <w:rsid w:val="009F5645"/>
    <w:rsid w:val="009F6CA9"/>
    <w:rsid w:val="009F7353"/>
    <w:rsid w:val="009F781C"/>
    <w:rsid w:val="00A01F57"/>
    <w:rsid w:val="00A04F85"/>
    <w:rsid w:val="00A05E66"/>
    <w:rsid w:val="00A05FA4"/>
    <w:rsid w:val="00A102E4"/>
    <w:rsid w:val="00A1122E"/>
    <w:rsid w:val="00A1219C"/>
    <w:rsid w:val="00A12C42"/>
    <w:rsid w:val="00A12E54"/>
    <w:rsid w:val="00A14DF7"/>
    <w:rsid w:val="00A15BD0"/>
    <w:rsid w:val="00A21C81"/>
    <w:rsid w:val="00A22D57"/>
    <w:rsid w:val="00A24AB3"/>
    <w:rsid w:val="00A3246D"/>
    <w:rsid w:val="00A32F9E"/>
    <w:rsid w:val="00A33E14"/>
    <w:rsid w:val="00A340C8"/>
    <w:rsid w:val="00A36FA7"/>
    <w:rsid w:val="00A41620"/>
    <w:rsid w:val="00A44DDB"/>
    <w:rsid w:val="00A475B7"/>
    <w:rsid w:val="00A47751"/>
    <w:rsid w:val="00A47AF7"/>
    <w:rsid w:val="00A47C3E"/>
    <w:rsid w:val="00A50226"/>
    <w:rsid w:val="00A55168"/>
    <w:rsid w:val="00A601D0"/>
    <w:rsid w:val="00A60BAD"/>
    <w:rsid w:val="00A64CB7"/>
    <w:rsid w:val="00A746CA"/>
    <w:rsid w:val="00A75787"/>
    <w:rsid w:val="00A77F87"/>
    <w:rsid w:val="00A80B5B"/>
    <w:rsid w:val="00A84E36"/>
    <w:rsid w:val="00A90A8D"/>
    <w:rsid w:val="00A9188D"/>
    <w:rsid w:val="00A964D1"/>
    <w:rsid w:val="00AA09C5"/>
    <w:rsid w:val="00AA0ED0"/>
    <w:rsid w:val="00AA0EF4"/>
    <w:rsid w:val="00AA2BE6"/>
    <w:rsid w:val="00AA2E84"/>
    <w:rsid w:val="00AB061A"/>
    <w:rsid w:val="00AB2343"/>
    <w:rsid w:val="00AB2442"/>
    <w:rsid w:val="00AB5D80"/>
    <w:rsid w:val="00AB6A41"/>
    <w:rsid w:val="00AC2B40"/>
    <w:rsid w:val="00AC2BB2"/>
    <w:rsid w:val="00AC2C3C"/>
    <w:rsid w:val="00AC512D"/>
    <w:rsid w:val="00AC5137"/>
    <w:rsid w:val="00AD0083"/>
    <w:rsid w:val="00AD2139"/>
    <w:rsid w:val="00AD3935"/>
    <w:rsid w:val="00AE27B0"/>
    <w:rsid w:val="00AE386D"/>
    <w:rsid w:val="00AE65EB"/>
    <w:rsid w:val="00AE67A7"/>
    <w:rsid w:val="00AE792E"/>
    <w:rsid w:val="00AF0656"/>
    <w:rsid w:val="00AF1D94"/>
    <w:rsid w:val="00AF2092"/>
    <w:rsid w:val="00AF2313"/>
    <w:rsid w:val="00AF52BB"/>
    <w:rsid w:val="00AF60C5"/>
    <w:rsid w:val="00AF7DA3"/>
    <w:rsid w:val="00B009C6"/>
    <w:rsid w:val="00B01548"/>
    <w:rsid w:val="00B0264A"/>
    <w:rsid w:val="00B0436A"/>
    <w:rsid w:val="00B0762E"/>
    <w:rsid w:val="00B130C5"/>
    <w:rsid w:val="00B13EBD"/>
    <w:rsid w:val="00B1406F"/>
    <w:rsid w:val="00B21D29"/>
    <w:rsid w:val="00B24C18"/>
    <w:rsid w:val="00B25034"/>
    <w:rsid w:val="00B33588"/>
    <w:rsid w:val="00B33863"/>
    <w:rsid w:val="00B349D4"/>
    <w:rsid w:val="00B37541"/>
    <w:rsid w:val="00B37D17"/>
    <w:rsid w:val="00B4175E"/>
    <w:rsid w:val="00B41B65"/>
    <w:rsid w:val="00B41C85"/>
    <w:rsid w:val="00B452CE"/>
    <w:rsid w:val="00B46CDF"/>
    <w:rsid w:val="00B53249"/>
    <w:rsid w:val="00B54C25"/>
    <w:rsid w:val="00B56869"/>
    <w:rsid w:val="00B600C1"/>
    <w:rsid w:val="00B612C5"/>
    <w:rsid w:val="00B63DA9"/>
    <w:rsid w:val="00B76B91"/>
    <w:rsid w:val="00B77897"/>
    <w:rsid w:val="00B77EB1"/>
    <w:rsid w:val="00B811C6"/>
    <w:rsid w:val="00B83759"/>
    <w:rsid w:val="00B855B0"/>
    <w:rsid w:val="00B92E08"/>
    <w:rsid w:val="00B93C8B"/>
    <w:rsid w:val="00B97805"/>
    <w:rsid w:val="00BA07AB"/>
    <w:rsid w:val="00BA29AF"/>
    <w:rsid w:val="00BA434B"/>
    <w:rsid w:val="00BB0B78"/>
    <w:rsid w:val="00BB2F0A"/>
    <w:rsid w:val="00BB34FC"/>
    <w:rsid w:val="00BB75D6"/>
    <w:rsid w:val="00BC0CC2"/>
    <w:rsid w:val="00BC622A"/>
    <w:rsid w:val="00BC78D3"/>
    <w:rsid w:val="00BE0A78"/>
    <w:rsid w:val="00BE16B4"/>
    <w:rsid w:val="00BE6542"/>
    <w:rsid w:val="00BE79F0"/>
    <w:rsid w:val="00BF046D"/>
    <w:rsid w:val="00BF1190"/>
    <w:rsid w:val="00BF3774"/>
    <w:rsid w:val="00BF37FB"/>
    <w:rsid w:val="00BF5D04"/>
    <w:rsid w:val="00BF7063"/>
    <w:rsid w:val="00C009AA"/>
    <w:rsid w:val="00C03E92"/>
    <w:rsid w:val="00C10358"/>
    <w:rsid w:val="00C1164D"/>
    <w:rsid w:val="00C12EA0"/>
    <w:rsid w:val="00C16861"/>
    <w:rsid w:val="00C1713A"/>
    <w:rsid w:val="00C202CE"/>
    <w:rsid w:val="00C2190A"/>
    <w:rsid w:val="00C21A09"/>
    <w:rsid w:val="00C22604"/>
    <w:rsid w:val="00C34133"/>
    <w:rsid w:val="00C346AB"/>
    <w:rsid w:val="00C34EE7"/>
    <w:rsid w:val="00C37CC8"/>
    <w:rsid w:val="00C404A6"/>
    <w:rsid w:val="00C40A36"/>
    <w:rsid w:val="00C42542"/>
    <w:rsid w:val="00C44419"/>
    <w:rsid w:val="00C45BF6"/>
    <w:rsid w:val="00C45E7B"/>
    <w:rsid w:val="00C470FC"/>
    <w:rsid w:val="00C471B1"/>
    <w:rsid w:val="00C525A2"/>
    <w:rsid w:val="00C52737"/>
    <w:rsid w:val="00C52E24"/>
    <w:rsid w:val="00C57BA7"/>
    <w:rsid w:val="00C6316B"/>
    <w:rsid w:val="00C634A9"/>
    <w:rsid w:val="00C64586"/>
    <w:rsid w:val="00C646FB"/>
    <w:rsid w:val="00C6685D"/>
    <w:rsid w:val="00C70A36"/>
    <w:rsid w:val="00C70D53"/>
    <w:rsid w:val="00C719EA"/>
    <w:rsid w:val="00C73D0B"/>
    <w:rsid w:val="00C74766"/>
    <w:rsid w:val="00C74F5C"/>
    <w:rsid w:val="00C76523"/>
    <w:rsid w:val="00C76A94"/>
    <w:rsid w:val="00C772FF"/>
    <w:rsid w:val="00C80137"/>
    <w:rsid w:val="00C801AF"/>
    <w:rsid w:val="00C80256"/>
    <w:rsid w:val="00C81486"/>
    <w:rsid w:val="00C85C54"/>
    <w:rsid w:val="00C87795"/>
    <w:rsid w:val="00C94CD4"/>
    <w:rsid w:val="00C95C71"/>
    <w:rsid w:val="00C97052"/>
    <w:rsid w:val="00C9747E"/>
    <w:rsid w:val="00CA1B61"/>
    <w:rsid w:val="00CA2462"/>
    <w:rsid w:val="00CB0331"/>
    <w:rsid w:val="00CB6BC0"/>
    <w:rsid w:val="00CC16D0"/>
    <w:rsid w:val="00CC1B7C"/>
    <w:rsid w:val="00CC1C73"/>
    <w:rsid w:val="00CC5044"/>
    <w:rsid w:val="00CC514D"/>
    <w:rsid w:val="00CC727F"/>
    <w:rsid w:val="00CD3B35"/>
    <w:rsid w:val="00CD49E0"/>
    <w:rsid w:val="00CD5091"/>
    <w:rsid w:val="00CE170A"/>
    <w:rsid w:val="00CE2C72"/>
    <w:rsid w:val="00CE4BC5"/>
    <w:rsid w:val="00CE6184"/>
    <w:rsid w:val="00CF15C3"/>
    <w:rsid w:val="00CF208C"/>
    <w:rsid w:val="00CF2B6F"/>
    <w:rsid w:val="00CF2F3E"/>
    <w:rsid w:val="00CF4472"/>
    <w:rsid w:val="00CF4A4C"/>
    <w:rsid w:val="00CF58B6"/>
    <w:rsid w:val="00CF5DAD"/>
    <w:rsid w:val="00D0062D"/>
    <w:rsid w:val="00D017ED"/>
    <w:rsid w:val="00D040D3"/>
    <w:rsid w:val="00D04C65"/>
    <w:rsid w:val="00D108E7"/>
    <w:rsid w:val="00D14D9F"/>
    <w:rsid w:val="00D153D8"/>
    <w:rsid w:val="00D201D2"/>
    <w:rsid w:val="00D20E06"/>
    <w:rsid w:val="00D212F3"/>
    <w:rsid w:val="00D224FE"/>
    <w:rsid w:val="00D23139"/>
    <w:rsid w:val="00D269A9"/>
    <w:rsid w:val="00D312FB"/>
    <w:rsid w:val="00D3555E"/>
    <w:rsid w:val="00D36B71"/>
    <w:rsid w:val="00D425BB"/>
    <w:rsid w:val="00D42DEB"/>
    <w:rsid w:val="00D4308F"/>
    <w:rsid w:val="00D453FA"/>
    <w:rsid w:val="00D544B5"/>
    <w:rsid w:val="00D558FD"/>
    <w:rsid w:val="00D56348"/>
    <w:rsid w:val="00D6493E"/>
    <w:rsid w:val="00D65F74"/>
    <w:rsid w:val="00D661BF"/>
    <w:rsid w:val="00D66CE9"/>
    <w:rsid w:val="00D67386"/>
    <w:rsid w:val="00D7195D"/>
    <w:rsid w:val="00D72CBA"/>
    <w:rsid w:val="00D7301E"/>
    <w:rsid w:val="00D74772"/>
    <w:rsid w:val="00D77AD8"/>
    <w:rsid w:val="00D80CE3"/>
    <w:rsid w:val="00D831F3"/>
    <w:rsid w:val="00D83AE1"/>
    <w:rsid w:val="00D843E8"/>
    <w:rsid w:val="00D854AC"/>
    <w:rsid w:val="00D855D4"/>
    <w:rsid w:val="00D86264"/>
    <w:rsid w:val="00D8687E"/>
    <w:rsid w:val="00D902C9"/>
    <w:rsid w:val="00D93466"/>
    <w:rsid w:val="00D97C3F"/>
    <w:rsid w:val="00DA0D63"/>
    <w:rsid w:val="00DA1124"/>
    <w:rsid w:val="00DA64CB"/>
    <w:rsid w:val="00DB06B8"/>
    <w:rsid w:val="00DB217A"/>
    <w:rsid w:val="00DB6124"/>
    <w:rsid w:val="00DB6520"/>
    <w:rsid w:val="00DB6D7E"/>
    <w:rsid w:val="00DB6E22"/>
    <w:rsid w:val="00DB750B"/>
    <w:rsid w:val="00DB75B7"/>
    <w:rsid w:val="00DB7EAB"/>
    <w:rsid w:val="00DC0A2F"/>
    <w:rsid w:val="00DC1948"/>
    <w:rsid w:val="00DC6E02"/>
    <w:rsid w:val="00DC780B"/>
    <w:rsid w:val="00DD010F"/>
    <w:rsid w:val="00DD28CD"/>
    <w:rsid w:val="00DE02AE"/>
    <w:rsid w:val="00DE39D1"/>
    <w:rsid w:val="00DE3A1F"/>
    <w:rsid w:val="00DE45C7"/>
    <w:rsid w:val="00DF0916"/>
    <w:rsid w:val="00DF1D7F"/>
    <w:rsid w:val="00DF2746"/>
    <w:rsid w:val="00DF4190"/>
    <w:rsid w:val="00DF4BE4"/>
    <w:rsid w:val="00DF7C6F"/>
    <w:rsid w:val="00E0115A"/>
    <w:rsid w:val="00E02382"/>
    <w:rsid w:val="00E02FB4"/>
    <w:rsid w:val="00E04A37"/>
    <w:rsid w:val="00E05A45"/>
    <w:rsid w:val="00E06337"/>
    <w:rsid w:val="00E100A4"/>
    <w:rsid w:val="00E13FC7"/>
    <w:rsid w:val="00E14FC6"/>
    <w:rsid w:val="00E15AD3"/>
    <w:rsid w:val="00E20571"/>
    <w:rsid w:val="00E235F7"/>
    <w:rsid w:val="00E23659"/>
    <w:rsid w:val="00E239D4"/>
    <w:rsid w:val="00E25A41"/>
    <w:rsid w:val="00E26130"/>
    <w:rsid w:val="00E33D42"/>
    <w:rsid w:val="00E40B22"/>
    <w:rsid w:val="00E44ED1"/>
    <w:rsid w:val="00E45619"/>
    <w:rsid w:val="00E4588F"/>
    <w:rsid w:val="00E46DA3"/>
    <w:rsid w:val="00E500CC"/>
    <w:rsid w:val="00E51BB1"/>
    <w:rsid w:val="00E55CB0"/>
    <w:rsid w:val="00E5769A"/>
    <w:rsid w:val="00E61EC7"/>
    <w:rsid w:val="00E623BC"/>
    <w:rsid w:val="00E624A5"/>
    <w:rsid w:val="00E64BA4"/>
    <w:rsid w:val="00E6620E"/>
    <w:rsid w:val="00E66C7C"/>
    <w:rsid w:val="00E66E49"/>
    <w:rsid w:val="00E7344E"/>
    <w:rsid w:val="00E765F2"/>
    <w:rsid w:val="00E82474"/>
    <w:rsid w:val="00E82665"/>
    <w:rsid w:val="00E84630"/>
    <w:rsid w:val="00E869FD"/>
    <w:rsid w:val="00E86F73"/>
    <w:rsid w:val="00E93B31"/>
    <w:rsid w:val="00E94AE0"/>
    <w:rsid w:val="00EA04C5"/>
    <w:rsid w:val="00EA5E55"/>
    <w:rsid w:val="00EA6252"/>
    <w:rsid w:val="00EA7E7A"/>
    <w:rsid w:val="00EB0798"/>
    <w:rsid w:val="00EB36D6"/>
    <w:rsid w:val="00EB40AD"/>
    <w:rsid w:val="00EB43D7"/>
    <w:rsid w:val="00EB586E"/>
    <w:rsid w:val="00EB5FC8"/>
    <w:rsid w:val="00EC0073"/>
    <w:rsid w:val="00EC165B"/>
    <w:rsid w:val="00EC1C3A"/>
    <w:rsid w:val="00EC463D"/>
    <w:rsid w:val="00EC71F6"/>
    <w:rsid w:val="00EC7A85"/>
    <w:rsid w:val="00ED2922"/>
    <w:rsid w:val="00ED3CAD"/>
    <w:rsid w:val="00ED5A41"/>
    <w:rsid w:val="00ED6B6F"/>
    <w:rsid w:val="00ED707C"/>
    <w:rsid w:val="00EE1DE8"/>
    <w:rsid w:val="00EE27C2"/>
    <w:rsid w:val="00EE481A"/>
    <w:rsid w:val="00EE738A"/>
    <w:rsid w:val="00EF4BAD"/>
    <w:rsid w:val="00EF59DC"/>
    <w:rsid w:val="00F00C64"/>
    <w:rsid w:val="00F0168C"/>
    <w:rsid w:val="00F0310F"/>
    <w:rsid w:val="00F033EC"/>
    <w:rsid w:val="00F04F68"/>
    <w:rsid w:val="00F06C48"/>
    <w:rsid w:val="00F1180F"/>
    <w:rsid w:val="00F12670"/>
    <w:rsid w:val="00F14B27"/>
    <w:rsid w:val="00F17930"/>
    <w:rsid w:val="00F214A4"/>
    <w:rsid w:val="00F3148D"/>
    <w:rsid w:val="00F325C5"/>
    <w:rsid w:val="00F32FE0"/>
    <w:rsid w:val="00F35298"/>
    <w:rsid w:val="00F465BF"/>
    <w:rsid w:val="00F47333"/>
    <w:rsid w:val="00F47E37"/>
    <w:rsid w:val="00F53C07"/>
    <w:rsid w:val="00F548E7"/>
    <w:rsid w:val="00F54B65"/>
    <w:rsid w:val="00F63DBF"/>
    <w:rsid w:val="00F640B6"/>
    <w:rsid w:val="00F66DF2"/>
    <w:rsid w:val="00F71B72"/>
    <w:rsid w:val="00F74E0A"/>
    <w:rsid w:val="00F8036D"/>
    <w:rsid w:val="00F809EE"/>
    <w:rsid w:val="00F80E40"/>
    <w:rsid w:val="00F848D9"/>
    <w:rsid w:val="00F86CD2"/>
    <w:rsid w:val="00F876C9"/>
    <w:rsid w:val="00F92108"/>
    <w:rsid w:val="00F931CE"/>
    <w:rsid w:val="00F950B1"/>
    <w:rsid w:val="00F95A22"/>
    <w:rsid w:val="00F9755C"/>
    <w:rsid w:val="00FA4BBA"/>
    <w:rsid w:val="00FA5069"/>
    <w:rsid w:val="00FA50CA"/>
    <w:rsid w:val="00FA5B82"/>
    <w:rsid w:val="00FA639E"/>
    <w:rsid w:val="00FB0445"/>
    <w:rsid w:val="00FB2BF6"/>
    <w:rsid w:val="00FC1FCA"/>
    <w:rsid w:val="00FC25E4"/>
    <w:rsid w:val="00FC46B4"/>
    <w:rsid w:val="00FC4EF7"/>
    <w:rsid w:val="00FC6582"/>
    <w:rsid w:val="00FD02BD"/>
    <w:rsid w:val="00FD0824"/>
    <w:rsid w:val="00FD119B"/>
    <w:rsid w:val="00FD1EDC"/>
    <w:rsid w:val="00FD25A0"/>
    <w:rsid w:val="00FD470F"/>
    <w:rsid w:val="00FD6DD4"/>
    <w:rsid w:val="00FE1D09"/>
    <w:rsid w:val="00FE1DEE"/>
    <w:rsid w:val="00FE6B37"/>
    <w:rsid w:val="00FF2126"/>
    <w:rsid w:val="00FF27AF"/>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7B81A"/>
  <w15:docId w15:val="{DED32134-653E-4FCF-85E8-8544C655C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0" w:defUnhideWhenUsed="0" w:defQFormat="0" w:count="376">
    <w:lsdException w:name="Normal" w:uiPriority="1"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D3935"/>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4722CC"/>
    <w:pPr>
      <w:keepNext/>
      <w:keepLines/>
      <w:spacing w:before="480"/>
      <w:outlineLvl w:val="1"/>
    </w:pPr>
    <w:rPr>
      <w:rFonts w:ascii="Arial" w:eastAsia="Times New Roman" w:hAnsi="Arial"/>
      <w:b/>
      <w:bCs/>
      <w:sz w:val="32"/>
      <w:szCs w:val="26"/>
    </w:rPr>
  </w:style>
  <w:style w:type="paragraph" w:styleId="Heading3">
    <w:name w:val="heading 3"/>
    <w:basedOn w:val="Normal"/>
    <w:next w:val="Normal"/>
    <w:link w:val="Heading3Char"/>
    <w:qFormat/>
    <w:rsid w:val="00EF59DC"/>
    <w:pPr>
      <w:keepNext/>
      <w:keepLines/>
      <w:spacing w:before="480" w:after="0" w:line="220" w:lineRule="atLeast"/>
      <w:outlineLvl w:val="2"/>
    </w:pPr>
    <w:rPr>
      <w:rFonts w:ascii="Arial" w:eastAsia="Times New Roman" w:hAnsi="Arial"/>
      <w:b/>
      <w:bCs/>
      <w:sz w:val="26"/>
      <w:szCs w:val="21"/>
    </w:rPr>
  </w:style>
  <w:style w:type="paragraph" w:styleId="Heading4">
    <w:name w:val="heading 4"/>
    <w:basedOn w:val="Normal"/>
    <w:next w:val="Normal"/>
    <w:link w:val="Heading4Char"/>
    <w:qFormat/>
    <w:rsid w:val="00AD0083"/>
    <w:pPr>
      <w:keepNext/>
      <w:spacing w:before="360" w:after="0" w:line="220" w:lineRule="atLeast"/>
      <w:outlineLvl w:val="3"/>
    </w:pPr>
    <w:rPr>
      <w:b/>
      <w:bCs/>
      <w:szCs w:val="21"/>
    </w:rPr>
  </w:style>
  <w:style w:type="paragraph" w:styleId="Heading5">
    <w:name w:val="heading 5"/>
    <w:basedOn w:val="Normal"/>
    <w:next w:val="Normal"/>
    <w:link w:val="Heading5Char"/>
    <w:qFormat/>
    <w:rsid w:val="004722CC"/>
    <w:pPr>
      <w:keepNext/>
      <w:keepLines/>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577130"/>
    <w:pPr>
      <w:keepNext/>
      <w:spacing w:line="220" w:lineRule="atLeast"/>
      <w:outlineLvl w:val="5"/>
    </w:pPr>
    <w:rPr>
      <w:rFonts w:eastAsia="Times New Roman"/>
      <w:bCs/>
      <w:i/>
      <w:szCs w:val="21"/>
    </w:rPr>
  </w:style>
  <w:style w:type="paragraph" w:styleId="Heading7">
    <w:name w:val="heading 7"/>
    <w:basedOn w:val="Normal"/>
    <w:next w:val="Normal"/>
    <w:link w:val="Heading7Char"/>
    <w:qFormat/>
    <w:rsid w:val="00770CAC"/>
    <w:pPr>
      <w:keepNext/>
      <w:spacing w:after="60" w:line="180" w:lineRule="atLeast"/>
      <w:outlineLvl w:val="6"/>
    </w:pPr>
    <w:rPr>
      <w:rFonts w:eastAsia="Times New Roman"/>
      <w:bCs/>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AD3935"/>
    <w:rPr>
      <w:rFonts w:ascii="Arial" w:eastAsia="Times New Roman" w:hAnsi="Arial" w:cs="Times New Roman"/>
      <w:b/>
      <w:bCs/>
      <w:sz w:val="32"/>
      <w:szCs w:val="26"/>
    </w:rPr>
  </w:style>
  <w:style w:type="character" w:customStyle="1" w:styleId="Heading3Char">
    <w:name w:val="Heading 3 Char"/>
    <w:basedOn w:val="DefaultParagraphFont"/>
    <w:link w:val="Heading3"/>
    <w:rsid w:val="00EF59DC"/>
    <w:rPr>
      <w:rFonts w:ascii="Arial" w:eastAsia="Times New Roman" w:hAnsi="Arial" w:cs="Times New Roman"/>
      <w:b/>
      <w:bCs/>
      <w:sz w:val="26"/>
      <w:szCs w:val="21"/>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9556D7"/>
    <w:pPr>
      <w:framePr w:hSpace="180" w:wrap="around" w:vAnchor="text" w:hAnchor="margin" w:y="9863"/>
      <w:suppressOverlap/>
    </w:pPr>
    <w:rPr>
      <w:rFonts w:ascii="Arial" w:hAnsi="Arial" w:cs="Arial"/>
      <w:b/>
      <w:color w:val="002C47"/>
      <w:sz w:val="36"/>
      <w:szCs w:val="36"/>
    </w:rPr>
  </w:style>
  <w:style w:type="character" w:customStyle="1" w:styleId="DateChar">
    <w:name w:val="Date Char"/>
    <w:basedOn w:val="DefaultParagraphFont"/>
    <w:link w:val="Date"/>
    <w:uiPriority w:val="99"/>
    <w:rsid w:val="009556D7"/>
    <w:rPr>
      <w:rFonts w:ascii="Arial" w:eastAsia="Cambria" w:hAnsi="Arial" w:cs="Arial"/>
      <w:b/>
      <w:color w:val="002C47"/>
      <w:sz w:val="36"/>
      <w:szCs w:val="36"/>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1B5C90"/>
    <w:pPr>
      <w:keepNext/>
      <w:spacing w:line="220" w:lineRule="atLeast"/>
    </w:pPr>
    <w:rPr>
      <w:b/>
    </w:rPr>
  </w:style>
  <w:style w:type="character" w:customStyle="1" w:styleId="Heading4Char">
    <w:name w:val="Heading 4 Char"/>
    <w:basedOn w:val="DefaultParagraphFont"/>
    <w:link w:val="Heading4"/>
    <w:rsid w:val="00AD3935"/>
    <w:rPr>
      <w:rFonts w:ascii="Cambria" w:eastAsia="Cambria" w:hAnsi="Cambria" w:cs="Times New Roman"/>
      <w:b/>
      <w:bCs/>
      <w:szCs w:val="21"/>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AD393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577130"/>
    <w:rPr>
      <w:rFonts w:ascii="Cambria" w:eastAsia="Times New Roman" w:hAnsi="Cambria" w:cs="Times New Roman"/>
      <w:bCs/>
      <w:i/>
      <w:szCs w:val="21"/>
    </w:rPr>
  </w:style>
  <w:style w:type="character" w:customStyle="1" w:styleId="Heading7Char">
    <w:name w:val="Heading 7 Char"/>
    <w:basedOn w:val="DefaultParagraphFont"/>
    <w:link w:val="Heading7"/>
    <w:rsid w:val="00770CAC"/>
    <w:rPr>
      <w:rFonts w:ascii="Cambria" w:eastAsia="Times New Roman" w:hAnsi="Cambria" w:cs="Times New Roman"/>
      <w:bCs/>
      <w:sz w:val="20"/>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C74F5C"/>
    <w:pPr>
      <w:outlineLvl w:val="1"/>
    </w:pPr>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6E360B"/>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C74F5C"/>
    <w:pPr>
      <w:spacing w:before="240"/>
      <w:outlineLvl w:val="1"/>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9556D7"/>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9556D7"/>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500337"/>
    <w:pPr>
      <w:spacing w:line="240" w:lineRule="auto"/>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F3148D"/>
    <w:rPr>
      <w:sz w:val="19"/>
    </w:rPr>
  </w:style>
  <w:style w:type="table" w:customStyle="1" w:styleId="TableTGAblue">
    <w:name w:val="Table TGA blue"/>
    <w:basedOn w:val="TableNormal"/>
    <w:uiPriority w:val="99"/>
    <w:qFormat/>
    <w:rsid w:val="00FD119B"/>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table" w:customStyle="1" w:styleId="TableTGAblack">
    <w:name w:val="Table TGA black"/>
    <w:basedOn w:val="TableNormal"/>
    <w:uiPriority w:val="99"/>
    <w:rsid w:val="00EE1DE8"/>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qFormat/>
    <w:rsid w:val="002E40B3"/>
    <w:pPr>
      <w:keepNext/>
    </w:pPr>
    <w:rPr>
      <w:b/>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9556D7"/>
    <w:pPr>
      <w:framePr w:hSpace="180" w:wrap="around" w:vAnchor="page" w:hAnchor="text" w:y="3316"/>
      <w:spacing w:after="480" w:line="240" w:lineRule="auto"/>
      <w:contextualSpacing/>
      <w:outlineLvl w:val="0"/>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9556D7"/>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rsid w:val="00F3148D"/>
    <w:pPr>
      <w:tabs>
        <w:tab w:val="right" w:pos="8505"/>
      </w:tabs>
      <w:spacing w:after="200"/>
    </w:pPr>
    <w:rPr>
      <w:rFonts w:ascii="Arial" w:hAnsi="Arial"/>
      <w:b/>
      <w:sz w:val="32"/>
    </w:rPr>
  </w:style>
  <w:style w:type="paragraph" w:styleId="TOC2">
    <w:name w:val="toc 2"/>
    <w:basedOn w:val="Normal"/>
    <w:next w:val="Normal"/>
    <w:uiPriority w:val="39"/>
    <w:rsid w:val="00F3148D"/>
    <w:pPr>
      <w:tabs>
        <w:tab w:val="right" w:leader="underscore" w:pos="8505"/>
      </w:tabs>
      <w:spacing w:after="100"/>
      <w:ind w:left="624"/>
    </w:pPr>
    <w:rPr>
      <w:b/>
      <w:sz w:val="25"/>
    </w:rPr>
  </w:style>
  <w:style w:type="paragraph" w:styleId="TOC3">
    <w:name w:val="toc 3"/>
    <w:basedOn w:val="Normal"/>
    <w:next w:val="Normal"/>
    <w:uiPriority w:val="39"/>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iPriority w:val="99"/>
    <w:unhideWhenUsed/>
    <w:rsid w:val="001B5C90"/>
    <w:pPr>
      <w:spacing w:before="0" w:after="0" w:line="240" w:lineRule="auto"/>
    </w:pPr>
    <w:rPr>
      <w:sz w:val="18"/>
      <w:szCs w:val="20"/>
    </w:rPr>
  </w:style>
  <w:style w:type="character" w:customStyle="1" w:styleId="FootnoteTextChar">
    <w:name w:val="Footnote Text Char"/>
    <w:basedOn w:val="DefaultParagraphFont"/>
    <w:link w:val="FootnoteText"/>
    <w:uiPriority w:val="99"/>
    <w:rsid w:val="001B5C90"/>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1B5C90"/>
    <w:rPr>
      <w:vertAlign w:val="superscript"/>
    </w:rPr>
  </w:style>
  <w:style w:type="paragraph" w:customStyle="1" w:styleId="Quotation">
    <w:name w:val="Quotation"/>
    <w:basedOn w:val="Normal"/>
    <w:next w:val="Normal"/>
    <w:uiPriority w:val="4"/>
    <w:qFormat/>
    <w:rsid w:val="00E13FC7"/>
    <w:pPr>
      <w:spacing w:after="180"/>
      <w:ind w:left="425"/>
    </w:pPr>
    <w:rPr>
      <w:rFonts w:eastAsiaTheme="minorEastAsia" w:cstheme="minorBidi"/>
      <w:sz w:val="20"/>
      <w:lang w:eastAsia="zh-TW"/>
    </w:rPr>
  </w:style>
  <w:style w:type="paragraph" w:customStyle="1" w:styleId="Comment">
    <w:name w:val="Comment"/>
    <w:basedOn w:val="Normal"/>
    <w:next w:val="Normal"/>
    <w:uiPriority w:val="1"/>
    <w:qFormat/>
    <w:rsid w:val="00DD28CD"/>
    <w:pPr>
      <w:ind w:left="992" w:hanging="992"/>
    </w:pPr>
  </w:style>
  <w:style w:type="paragraph" w:styleId="EndnoteText">
    <w:name w:val="endnote text"/>
    <w:basedOn w:val="Normal"/>
    <w:link w:val="EndnoteTextChar"/>
    <w:uiPriority w:val="99"/>
    <w:semiHidden/>
    <w:unhideWhenUsed/>
    <w:rsid w:val="000E619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0E6196"/>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0E6196"/>
    <w:rPr>
      <w:vertAlign w:val="superscript"/>
    </w:rPr>
  </w:style>
  <w:style w:type="character" w:styleId="CommentReference">
    <w:name w:val="annotation reference"/>
    <w:basedOn w:val="DefaultParagraphFont"/>
    <w:uiPriority w:val="99"/>
    <w:semiHidden/>
    <w:unhideWhenUsed/>
    <w:rsid w:val="00EC463D"/>
    <w:rPr>
      <w:sz w:val="16"/>
      <w:szCs w:val="16"/>
    </w:rPr>
  </w:style>
  <w:style w:type="paragraph" w:styleId="CommentText">
    <w:name w:val="annotation text"/>
    <w:aliases w:val="Comment Text Char Char Char Char Char Char1 Ch,Comment Text Char Char1,Comment Text Char Char1 Char Char,Comment Text Char1 Char Char Char Char1 Char,Comment Text Char2 Char Char,Comment Text Char2 Char Char Char Char"/>
    <w:basedOn w:val="Normal"/>
    <w:link w:val="CommentTextChar"/>
    <w:uiPriority w:val="99"/>
    <w:unhideWhenUsed/>
    <w:rsid w:val="00EC463D"/>
    <w:pPr>
      <w:spacing w:line="240" w:lineRule="auto"/>
    </w:pPr>
    <w:rPr>
      <w:sz w:val="20"/>
      <w:szCs w:val="20"/>
    </w:rPr>
  </w:style>
  <w:style w:type="character" w:customStyle="1" w:styleId="CommentTextChar">
    <w:name w:val="Comment Text Char"/>
    <w:aliases w:val="Comment Text Char Char Char Char Char Char1 Ch Char,Comment Text Char Char1 Char,Comment Text Char Char1 Char Char Char,Comment Text Char1 Char Char Char Char1 Char Char,Comment Text Char2 Char Char Char"/>
    <w:basedOn w:val="DefaultParagraphFont"/>
    <w:link w:val="CommentText"/>
    <w:uiPriority w:val="99"/>
    <w:rsid w:val="00EC463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EC463D"/>
    <w:rPr>
      <w:b/>
      <w:bCs/>
    </w:rPr>
  </w:style>
  <w:style w:type="character" w:customStyle="1" w:styleId="CommentSubjectChar">
    <w:name w:val="Comment Subject Char"/>
    <w:basedOn w:val="CommentTextChar"/>
    <w:link w:val="CommentSubject"/>
    <w:uiPriority w:val="99"/>
    <w:semiHidden/>
    <w:rsid w:val="00EC463D"/>
    <w:rPr>
      <w:rFonts w:ascii="Cambria" w:eastAsia="Cambria" w:hAnsi="Cambria" w:cs="Times New Roman"/>
      <w:b/>
      <w:bCs/>
      <w:sz w:val="20"/>
      <w:szCs w:val="20"/>
    </w:rPr>
  </w:style>
  <w:style w:type="paragraph" w:styleId="Revision">
    <w:name w:val="Revision"/>
    <w:hidden/>
    <w:uiPriority w:val="99"/>
    <w:semiHidden/>
    <w:rsid w:val="003442FD"/>
    <w:pPr>
      <w:spacing w:after="0" w:line="240" w:lineRule="auto"/>
    </w:pPr>
    <w:rPr>
      <w:rFonts w:ascii="Cambria" w:eastAsia="Cambria" w:hAnsi="Cambria" w:cs="Times New Roman"/>
    </w:rPr>
  </w:style>
  <w:style w:type="paragraph" w:customStyle="1" w:styleId="Instructions">
    <w:name w:val="Instructions"/>
    <w:basedOn w:val="Normal"/>
    <w:next w:val="Normal"/>
    <w:uiPriority w:val="1"/>
    <w:qFormat/>
    <w:rsid w:val="00EE27C2"/>
    <w:rPr>
      <w:i/>
      <w:color w:val="007099"/>
    </w:rPr>
  </w:style>
  <w:style w:type="paragraph" w:customStyle="1" w:styleId="Tabletitle0">
    <w:name w:val="Table title"/>
    <w:basedOn w:val="Normal"/>
    <w:next w:val="Normal"/>
    <w:rsid w:val="009F2673"/>
    <w:pPr>
      <w:keepNext/>
      <w:spacing w:after="180"/>
    </w:pPr>
    <w:rPr>
      <w:b/>
      <w:szCs w:val="20"/>
    </w:rPr>
  </w:style>
  <w:style w:type="character" w:customStyle="1" w:styleId="UnresolvedMention1">
    <w:name w:val="Unresolved Mention1"/>
    <w:basedOn w:val="DefaultParagraphFont"/>
    <w:uiPriority w:val="99"/>
    <w:semiHidden/>
    <w:unhideWhenUsed/>
    <w:rsid w:val="009F2673"/>
    <w:rPr>
      <w:color w:val="605E5C"/>
      <w:shd w:val="clear" w:color="auto" w:fill="E1DFDD"/>
    </w:rPr>
  </w:style>
  <w:style w:type="paragraph" w:styleId="ListParagraph">
    <w:name w:val="List Paragraph"/>
    <w:basedOn w:val="Normal"/>
    <w:uiPriority w:val="34"/>
    <w:qFormat/>
    <w:rsid w:val="00EC165B"/>
    <w:pPr>
      <w:ind w:left="720"/>
      <w:contextualSpacing/>
    </w:pPr>
  </w:style>
  <w:style w:type="paragraph" w:customStyle="1" w:styleId="Bulletpoint">
    <w:name w:val="Bullet point"/>
    <w:basedOn w:val="Normal"/>
    <w:rsid w:val="00EC165B"/>
    <w:pPr>
      <w:numPr>
        <w:numId w:val="5"/>
      </w:numPr>
      <w:tabs>
        <w:tab w:val="clear" w:pos="369"/>
        <w:tab w:val="left" w:pos="397"/>
        <w:tab w:val="num" w:pos="511"/>
      </w:tabs>
      <w:spacing w:before="0" w:after="180" w:line="252" w:lineRule="auto"/>
      <w:ind w:left="0" w:firstLine="0"/>
    </w:pPr>
    <w:rPr>
      <w:rFonts w:ascii="Times New Roman" w:eastAsia="Times New Roman" w:hAnsi="Times New Roman"/>
      <w:snapToGrid w:val="0"/>
      <w:kern w:val="16"/>
      <w:szCs w:val="24"/>
    </w:rPr>
  </w:style>
  <w:style w:type="paragraph" w:customStyle="1" w:styleId="FigureCaption">
    <w:name w:val="Figure Caption"/>
    <w:basedOn w:val="Normal"/>
    <w:qFormat/>
    <w:rsid w:val="00042FC8"/>
    <w:pPr>
      <w:adjustRightInd w:val="0"/>
      <w:snapToGrid w:val="0"/>
      <w:spacing w:before="180" w:after="180" w:line="259" w:lineRule="auto"/>
    </w:pPr>
    <w:rPr>
      <w:rFonts w:ascii="Times New Roman" w:eastAsia="MS Mincho" w:hAnsi="Times New Roman"/>
      <w:sz w:val="24"/>
      <w:szCs w:val="20"/>
      <w:lang w:eastAsia="ja-JP"/>
    </w:rPr>
  </w:style>
  <w:style w:type="paragraph" w:customStyle="1" w:styleId="TableCaption">
    <w:name w:val="Table Caption"/>
    <w:basedOn w:val="FigureCaption"/>
    <w:qFormat/>
    <w:rsid w:val="00042FC8"/>
    <w:pPr>
      <w:spacing w:after="240"/>
    </w:pPr>
    <w:rPr>
      <w:sz w:val="17"/>
    </w:rPr>
  </w:style>
  <w:style w:type="table" w:customStyle="1" w:styleId="TableTGA2">
    <w:name w:val="Table TGA 2"/>
    <w:basedOn w:val="TableNormal"/>
    <w:uiPriority w:val="99"/>
    <w:rsid w:val="00042FC8"/>
    <w:pPr>
      <w:spacing w:before="60" w:after="0" w:line="240" w:lineRule="auto"/>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rPr>
      <w:cantSplit/>
    </w:trPr>
    <w:tcPr>
      <w:shd w:val="clear" w:color="auto" w:fill="auto"/>
    </w:tcPr>
    <w:tblStylePr w:type="firstRow">
      <w:pPr>
        <w:wordWrap/>
        <w:spacing w:beforeLines="0" w:beforeAutospacing="0" w:afterLines="0" w:afterAutospacing="0"/>
      </w:pPr>
      <w:rPr>
        <w:rFonts w:ascii="Cambria" w:hAnsi="Cambria"/>
        <w:b/>
        <w:color w:val="FFFFFF"/>
        <w:sz w:val="22"/>
      </w:rPr>
      <w:tblPr/>
      <w:trPr>
        <w:tblHeader/>
      </w:trPr>
      <w:tcPr>
        <w:shd w:val="clear" w:color="auto" w:fill="000000"/>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Subject">
    <w:name w:val="Subject"/>
    <w:basedOn w:val="Normal"/>
    <w:qFormat/>
    <w:rsid w:val="00042FC8"/>
    <w:pPr>
      <w:adjustRightInd w:val="0"/>
      <w:snapToGrid w:val="0"/>
      <w:spacing w:before="180" w:after="180" w:line="259" w:lineRule="auto"/>
    </w:pPr>
    <w:rPr>
      <w:rFonts w:ascii="Times New Roman" w:eastAsia="MS Mincho" w:hAnsi="Times New Roman"/>
      <w:b/>
      <w:sz w:val="24"/>
      <w:szCs w:val="20"/>
      <w:lang w:eastAsia="ja-JP"/>
    </w:rPr>
  </w:style>
  <w:style w:type="paragraph" w:customStyle="1" w:styleId="Addressee">
    <w:name w:val="Addressee"/>
    <w:basedOn w:val="Normal"/>
    <w:qFormat/>
    <w:rsid w:val="00042FC8"/>
    <w:pPr>
      <w:adjustRightInd w:val="0"/>
      <w:snapToGrid w:val="0"/>
      <w:spacing w:before="180" w:after="180" w:line="259" w:lineRule="auto"/>
    </w:pPr>
    <w:rPr>
      <w:rFonts w:ascii="Times New Roman" w:eastAsia="MS Mincho" w:hAnsi="Times New Roman"/>
      <w:sz w:val="24"/>
      <w:szCs w:val="20"/>
      <w:lang w:eastAsia="ja-JP"/>
    </w:rPr>
  </w:style>
  <w:style w:type="character" w:customStyle="1" w:styleId="ABN">
    <w:name w:val="ABN"/>
    <w:basedOn w:val="DefaultParagraphFont"/>
    <w:uiPriority w:val="1"/>
    <w:qFormat/>
    <w:rsid w:val="00042FC8"/>
    <w:rPr>
      <w:rFonts w:ascii="Arial" w:hAnsi="Arial"/>
      <w:color w:val="002C47"/>
      <w:sz w:val="14"/>
    </w:rPr>
  </w:style>
  <w:style w:type="paragraph" w:customStyle="1" w:styleId="BodyCopy">
    <w:name w:val="Body Copy"/>
    <w:basedOn w:val="Normal"/>
    <w:qFormat/>
    <w:rsid w:val="00042FC8"/>
    <w:pPr>
      <w:adjustRightInd w:val="0"/>
      <w:snapToGrid w:val="0"/>
      <w:spacing w:before="180" w:after="180" w:line="259" w:lineRule="auto"/>
    </w:pPr>
    <w:rPr>
      <w:rFonts w:ascii="Times New Roman" w:eastAsia="MS Mincho" w:hAnsi="Times New Roman"/>
      <w:sz w:val="24"/>
      <w:szCs w:val="20"/>
      <w:lang w:eastAsia="ja-JP"/>
    </w:rPr>
  </w:style>
  <w:style w:type="paragraph" w:customStyle="1" w:styleId="Standard">
    <w:name w:val="Standard"/>
    <w:basedOn w:val="Normal"/>
    <w:link w:val="StandardChar"/>
    <w:qFormat/>
    <w:rsid w:val="00042FC8"/>
    <w:pPr>
      <w:spacing w:before="0" w:after="220" w:line="252" w:lineRule="auto"/>
    </w:pPr>
    <w:rPr>
      <w:rFonts w:ascii="Times New Roman" w:eastAsia="Times New Roman" w:hAnsi="Times New Roman"/>
      <w:snapToGrid w:val="0"/>
      <w:kern w:val="16"/>
      <w:sz w:val="23"/>
      <w:szCs w:val="24"/>
    </w:rPr>
  </w:style>
  <w:style w:type="character" w:customStyle="1" w:styleId="StandardChar">
    <w:name w:val="Standard Char"/>
    <w:basedOn w:val="DefaultParagraphFont"/>
    <w:link w:val="Standard"/>
    <w:rsid w:val="00042FC8"/>
    <w:rPr>
      <w:rFonts w:ascii="Times New Roman" w:eastAsia="Times New Roman" w:hAnsi="Times New Roman" w:cs="Times New Roman"/>
      <w:snapToGrid w:val="0"/>
      <w:kern w:val="16"/>
      <w:sz w:val="23"/>
      <w:szCs w:val="24"/>
    </w:rPr>
  </w:style>
  <w:style w:type="paragraph" w:customStyle="1" w:styleId="PISubsection">
    <w:name w:val="PI Subsection"/>
    <w:basedOn w:val="Standard"/>
    <w:next w:val="Standard"/>
    <w:rsid w:val="00042FC8"/>
    <w:pPr>
      <w:keepNext/>
      <w:spacing w:after="120"/>
    </w:pPr>
    <w:rPr>
      <w:b/>
      <w:i/>
      <w:kern w:val="2"/>
      <w:sz w:val="22"/>
    </w:rPr>
  </w:style>
  <w:style w:type="paragraph" w:customStyle="1" w:styleId="TableHeading">
    <w:name w:val="Table Heading"/>
    <w:basedOn w:val="Normal"/>
    <w:rsid w:val="00042FC8"/>
    <w:pPr>
      <w:spacing w:before="0" w:after="160" w:line="259" w:lineRule="auto"/>
    </w:pPr>
    <w:rPr>
      <w:rFonts w:ascii="Calibri" w:eastAsia="Calibri" w:hAnsi="Calibri"/>
      <w:b/>
      <w:color w:val="FFFFFF"/>
      <w:sz w:val="20"/>
      <w:szCs w:val="24"/>
    </w:rPr>
  </w:style>
  <w:style w:type="paragraph" w:customStyle="1" w:styleId="Bullet2">
    <w:name w:val="Bullet 2"/>
    <w:basedOn w:val="Normal"/>
    <w:rsid w:val="00042FC8"/>
    <w:pPr>
      <w:numPr>
        <w:numId w:val="6"/>
      </w:numPr>
      <w:spacing w:before="0" w:after="0" w:line="240" w:lineRule="auto"/>
    </w:pPr>
    <w:rPr>
      <w:rFonts w:ascii="Times New Roman" w:eastAsia="Times New Roman" w:hAnsi="Times New Roman"/>
      <w:kern w:val="24"/>
      <w:sz w:val="24"/>
      <w:szCs w:val="24"/>
      <w:lang w:eastAsia="en-AU"/>
    </w:rPr>
  </w:style>
  <w:style w:type="paragraph" w:customStyle="1" w:styleId="Instructions1">
    <w:name w:val="Instructions 1"/>
    <w:basedOn w:val="Normal"/>
    <w:qFormat/>
    <w:rsid w:val="00042FC8"/>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after="160" w:line="240" w:lineRule="auto"/>
    </w:pPr>
    <w:rPr>
      <w:rFonts w:ascii="Calibri" w:eastAsia="Times New Roman" w:hAnsi="Calibri" w:cs="Calibri"/>
      <w:color w:val="FF0000"/>
      <w:kern w:val="16"/>
      <w:sz w:val="24"/>
      <w:szCs w:val="24"/>
      <w:lang w:eastAsia="en-AU"/>
    </w:rPr>
  </w:style>
  <w:style w:type="paragraph" w:customStyle="1" w:styleId="TableBullet">
    <w:name w:val="Table Bullet"/>
    <w:basedOn w:val="Normal"/>
    <w:rsid w:val="00042FC8"/>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imes New Roman" w:eastAsia="Times New Roman" w:hAnsi="Times New Roman"/>
      <w:kern w:val="16"/>
      <w:sz w:val="20"/>
      <w:szCs w:val="24"/>
      <w:lang w:eastAsia="en-AU"/>
    </w:rPr>
  </w:style>
  <w:style w:type="paragraph" w:customStyle="1" w:styleId="Comment1">
    <w:name w:val="Comment 1"/>
    <w:basedOn w:val="Normal"/>
    <w:next w:val="Normal"/>
    <w:qFormat/>
    <w:rsid w:val="00042FC8"/>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 w:val="24"/>
      <w:szCs w:val="20"/>
      <w:lang w:eastAsia="en-AU"/>
    </w:rPr>
  </w:style>
  <w:style w:type="paragraph" w:styleId="TOC4">
    <w:name w:val="toc 4"/>
    <w:basedOn w:val="Normal"/>
    <w:next w:val="Normal"/>
    <w:autoRedefine/>
    <w:uiPriority w:val="39"/>
    <w:unhideWhenUsed/>
    <w:rsid w:val="00042FC8"/>
    <w:pPr>
      <w:spacing w:before="0" w:after="100" w:line="276" w:lineRule="auto"/>
      <w:ind w:left="660"/>
    </w:pPr>
    <w:rPr>
      <w:rFonts w:asciiTheme="minorHAnsi" w:eastAsiaTheme="minorEastAsia" w:hAnsiTheme="minorHAnsi" w:cstheme="minorBidi"/>
      <w:sz w:val="24"/>
      <w:szCs w:val="24"/>
      <w:lang w:eastAsia="en-AU"/>
    </w:rPr>
  </w:style>
  <w:style w:type="paragraph" w:styleId="TOC5">
    <w:name w:val="toc 5"/>
    <w:basedOn w:val="Normal"/>
    <w:next w:val="Normal"/>
    <w:autoRedefine/>
    <w:uiPriority w:val="39"/>
    <w:unhideWhenUsed/>
    <w:rsid w:val="00042FC8"/>
    <w:pPr>
      <w:spacing w:before="0" w:after="100" w:line="276" w:lineRule="auto"/>
      <w:ind w:left="880"/>
    </w:pPr>
    <w:rPr>
      <w:rFonts w:asciiTheme="minorHAnsi" w:eastAsiaTheme="minorEastAsia" w:hAnsiTheme="minorHAnsi" w:cstheme="minorBidi"/>
      <w:sz w:val="24"/>
      <w:szCs w:val="24"/>
      <w:lang w:eastAsia="en-AU"/>
    </w:rPr>
  </w:style>
  <w:style w:type="paragraph" w:styleId="TOC6">
    <w:name w:val="toc 6"/>
    <w:basedOn w:val="Normal"/>
    <w:next w:val="Normal"/>
    <w:autoRedefine/>
    <w:uiPriority w:val="39"/>
    <w:unhideWhenUsed/>
    <w:rsid w:val="00042FC8"/>
    <w:pPr>
      <w:spacing w:before="0" w:after="100" w:line="276" w:lineRule="auto"/>
      <w:ind w:left="1100"/>
    </w:pPr>
    <w:rPr>
      <w:rFonts w:asciiTheme="minorHAnsi" w:eastAsiaTheme="minorEastAsia" w:hAnsiTheme="minorHAnsi" w:cstheme="minorBidi"/>
      <w:sz w:val="24"/>
      <w:szCs w:val="24"/>
      <w:lang w:eastAsia="en-AU"/>
    </w:rPr>
  </w:style>
  <w:style w:type="paragraph" w:styleId="TOC7">
    <w:name w:val="toc 7"/>
    <w:basedOn w:val="Normal"/>
    <w:next w:val="Normal"/>
    <w:autoRedefine/>
    <w:uiPriority w:val="39"/>
    <w:unhideWhenUsed/>
    <w:rsid w:val="00042FC8"/>
    <w:pPr>
      <w:spacing w:before="0" w:after="100" w:line="276" w:lineRule="auto"/>
      <w:ind w:left="1320"/>
    </w:pPr>
    <w:rPr>
      <w:rFonts w:asciiTheme="minorHAnsi" w:eastAsiaTheme="minorEastAsia" w:hAnsiTheme="minorHAnsi" w:cstheme="minorBidi"/>
      <w:sz w:val="24"/>
      <w:szCs w:val="24"/>
      <w:lang w:eastAsia="en-AU"/>
    </w:rPr>
  </w:style>
  <w:style w:type="paragraph" w:styleId="TOC8">
    <w:name w:val="toc 8"/>
    <w:basedOn w:val="Normal"/>
    <w:next w:val="Normal"/>
    <w:autoRedefine/>
    <w:uiPriority w:val="39"/>
    <w:unhideWhenUsed/>
    <w:rsid w:val="00042FC8"/>
    <w:pPr>
      <w:spacing w:before="0" w:after="100" w:line="276" w:lineRule="auto"/>
      <w:ind w:left="1540"/>
    </w:pPr>
    <w:rPr>
      <w:rFonts w:asciiTheme="minorHAnsi" w:eastAsiaTheme="minorEastAsia" w:hAnsiTheme="minorHAnsi" w:cstheme="minorBidi"/>
      <w:sz w:val="24"/>
      <w:szCs w:val="24"/>
      <w:lang w:eastAsia="en-AU"/>
    </w:rPr>
  </w:style>
  <w:style w:type="paragraph" w:styleId="TOC9">
    <w:name w:val="toc 9"/>
    <w:basedOn w:val="Normal"/>
    <w:next w:val="Normal"/>
    <w:autoRedefine/>
    <w:uiPriority w:val="39"/>
    <w:unhideWhenUsed/>
    <w:rsid w:val="00042FC8"/>
    <w:pPr>
      <w:spacing w:before="0" w:after="100" w:line="276" w:lineRule="auto"/>
      <w:ind w:left="1760"/>
    </w:pPr>
    <w:rPr>
      <w:rFonts w:asciiTheme="minorHAnsi" w:eastAsiaTheme="minorEastAsia" w:hAnsiTheme="minorHAnsi" w:cstheme="minorBidi"/>
      <w:sz w:val="24"/>
      <w:szCs w:val="24"/>
      <w:lang w:eastAsia="en-AU"/>
    </w:rPr>
  </w:style>
  <w:style w:type="paragraph" w:customStyle="1" w:styleId="Caption1">
    <w:name w:val="Caption1"/>
    <w:basedOn w:val="Normal"/>
    <w:link w:val="captionChar"/>
    <w:qFormat/>
    <w:rsid w:val="00042FC8"/>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60" w:line="240" w:lineRule="auto"/>
      <w:outlineLvl w:val="6"/>
    </w:pPr>
    <w:rPr>
      <w:rFonts w:ascii="Times New Roman" w:eastAsia="Times New Roman" w:hAnsi="Times New Roman"/>
      <w:b/>
      <w:bCs/>
      <w:kern w:val="16"/>
      <w:sz w:val="24"/>
      <w:szCs w:val="24"/>
      <w:lang w:eastAsia="en-AU"/>
    </w:rPr>
  </w:style>
  <w:style w:type="paragraph" w:styleId="TableofFigures">
    <w:name w:val="table of figures"/>
    <w:basedOn w:val="Normal"/>
    <w:next w:val="Normal"/>
    <w:uiPriority w:val="99"/>
    <w:unhideWhenUsed/>
    <w:rsid w:val="00042FC8"/>
    <w:pPr>
      <w:spacing w:before="0" w:after="0" w:line="259" w:lineRule="auto"/>
    </w:pPr>
    <w:rPr>
      <w:rFonts w:ascii="Times New Roman" w:eastAsiaTheme="minorHAnsi" w:hAnsi="Times New Roman"/>
      <w:sz w:val="24"/>
      <w:szCs w:val="24"/>
    </w:rPr>
  </w:style>
  <w:style w:type="character" w:customStyle="1" w:styleId="captionChar">
    <w:name w:val="caption Char"/>
    <w:basedOn w:val="DefaultParagraphFont"/>
    <w:link w:val="Caption1"/>
    <w:rsid w:val="00042FC8"/>
    <w:rPr>
      <w:rFonts w:ascii="Times New Roman" w:eastAsia="Times New Roman" w:hAnsi="Times New Roman" w:cs="Times New Roman"/>
      <w:b/>
      <w:bCs/>
      <w:kern w:val="16"/>
      <w:sz w:val="24"/>
      <w:szCs w:val="24"/>
      <w:lang w:eastAsia="en-AU"/>
    </w:rPr>
  </w:style>
  <w:style w:type="paragraph" w:customStyle="1" w:styleId="AFPstyle">
    <w:name w:val="AFPstyle"/>
    <w:basedOn w:val="Normal"/>
    <w:rsid w:val="00042FC8"/>
    <w:pPr>
      <w:spacing w:before="0" w:after="160" w:line="360" w:lineRule="auto"/>
      <w:jc w:val="both"/>
    </w:pPr>
    <w:rPr>
      <w:rFonts w:ascii="Times New Roman" w:eastAsia="SimSun" w:hAnsi="Times New Roman"/>
      <w:sz w:val="24"/>
      <w:szCs w:val="20"/>
      <w:lang w:val="en-GB" w:eastAsia="zh-CN"/>
    </w:rPr>
  </w:style>
  <w:style w:type="character" w:customStyle="1" w:styleId="TabletextChar">
    <w:name w:val="Table text Char"/>
    <w:basedOn w:val="StandardChar"/>
    <w:link w:val="Tabletext"/>
    <w:rsid w:val="00042FC8"/>
    <w:rPr>
      <w:rFonts w:ascii="Cambria" w:eastAsia="Cambria" w:hAnsi="Cambria" w:cs="Times New Roman"/>
      <w:snapToGrid/>
      <w:kern w:val="16"/>
      <w:sz w:val="19"/>
      <w:szCs w:val="24"/>
    </w:rPr>
  </w:style>
  <w:style w:type="paragraph" w:customStyle="1" w:styleId="ReviewersComments">
    <w:name w:val="Reviewer's Comments"/>
    <w:basedOn w:val="CommentText"/>
    <w:next w:val="Normal"/>
    <w:qFormat/>
    <w:rsid w:val="00042FC8"/>
    <w:pPr>
      <w:shd w:val="clear" w:color="auto" w:fill="F3F3F3"/>
      <w:spacing w:before="0" w:after="160"/>
      <w:contextualSpacing/>
      <w:jc w:val="both"/>
    </w:pPr>
    <w:rPr>
      <w:rFonts w:ascii="Calibri" w:eastAsia="Times New Roman" w:hAnsi="Calibri" w:cs="Calibri"/>
      <w:i/>
      <w:lang w:val="en-CA"/>
    </w:rPr>
  </w:style>
  <w:style w:type="paragraph" w:customStyle="1" w:styleId="SectionHeading">
    <w:name w:val="Section Heading"/>
    <w:basedOn w:val="Standard"/>
    <w:next w:val="Standard"/>
    <w:link w:val="SectionHeadingCharChar"/>
    <w:rsid w:val="00042FC8"/>
    <w:pPr>
      <w:keepNext/>
      <w:spacing w:after="180"/>
      <w:outlineLvl w:val="0"/>
    </w:pPr>
    <w:rPr>
      <w:b/>
      <w:caps/>
      <w:sz w:val="24"/>
    </w:rPr>
  </w:style>
  <w:style w:type="character" w:customStyle="1" w:styleId="SectionHeadingCharChar">
    <w:name w:val="Section Heading Char Char"/>
    <w:basedOn w:val="DefaultParagraphFont"/>
    <w:link w:val="SectionHeading"/>
    <w:rsid w:val="00042FC8"/>
    <w:rPr>
      <w:rFonts w:ascii="Times New Roman" w:eastAsia="Times New Roman" w:hAnsi="Times New Roman" w:cs="Times New Roman"/>
      <w:b/>
      <w:caps/>
      <w:snapToGrid w:val="0"/>
      <w:kern w:val="16"/>
      <w:sz w:val="24"/>
      <w:szCs w:val="24"/>
    </w:rPr>
  </w:style>
  <w:style w:type="paragraph" w:customStyle="1" w:styleId="Bulletlist">
    <w:name w:val="Bullet list"/>
    <w:basedOn w:val="Standard"/>
    <w:link w:val="BulletlistChar"/>
    <w:qFormat/>
    <w:rsid w:val="00042FC8"/>
    <w:pPr>
      <w:numPr>
        <w:numId w:val="8"/>
      </w:numPr>
      <w:spacing w:after="180"/>
      <w:ind w:left="426" w:hanging="284"/>
    </w:pPr>
    <w:rPr>
      <w:kern w:val="2"/>
    </w:rPr>
  </w:style>
  <w:style w:type="character" w:customStyle="1" w:styleId="BulletlistChar">
    <w:name w:val="Bullet list Char"/>
    <w:basedOn w:val="StandardChar"/>
    <w:link w:val="Bulletlist"/>
    <w:rsid w:val="00042FC8"/>
    <w:rPr>
      <w:rFonts w:ascii="Times New Roman" w:eastAsia="Times New Roman" w:hAnsi="Times New Roman" w:cs="Times New Roman"/>
      <w:snapToGrid w:val="0"/>
      <w:kern w:val="2"/>
      <w:sz w:val="23"/>
      <w:szCs w:val="24"/>
    </w:rPr>
  </w:style>
  <w:style w:type="paragraph" w:customStyle="1" w:styleId="TableText0">
    <w:name w:val="Table Text"/>
    <w:basedOn w:val="Normal"/>
    <w:next w:val="Normal"/>
    <w:rsid w:val="00263448"/>
    <w:pPr>
      <w:spacing w:before="60" w:after="60" w:line="259" w:lineRule="auto"/>
    </w:pPr>
    <w:rPr>
      <w:rFonts w:asciiTheme="minorHAnsi" w:eastAsia="Times New Roman"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tga.copyright@tga.gov.au" TargetMode="External"/><Relationship Id="rId18" Type="http://schemas.openxmlformats.org/officeDocument/2006/relationships/hyperlink" Target="https://www.tga.gov.au/australia-canada-singapore-switzerland-united-kingdom-access-consortium" TargetMode="External"/><Relationship Id="rId26" Type="http://schemas.openxmlformats.org/officeDocument/2006/relationships/image" Target="media/image5.png"/><Relationship Id="rId39" Type="http://schemas.openxmlformats.org/officeDocument/2006/relationships/image" Target="media/image18.png"/><Relationship Id="rId21" Type="http://schemas.openxmlformats.org/officeDocument/2006/relationships/hyperlink" Target="http://www.tga.gov.au/ws-labs-index"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2.emf"/><Relationship Id="rId63" Type="http://schemas.openxmlformats.org/officeDocument/2006/relationships/hyperlink" Target="mailto:info@tga.gov.au" TargetMode="External"/><Relationship Id="rId68"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tga.gov.au"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hyperlink" Target="https://www.tga.gov.au/tgas-risk-management-approach" TargetMode="External"/><Relationship Id="rId58" Type="http://schemas.openxmlformats.org/officeDocument/2006/relationships/hyperlink" Target="https://www.tga.gov.au/picmi-search-facility" TargetMode="External"/><Relationship Id="rId66" Type="http://schemas.openxmlformats.org/officeDocument/2006/relationships/header" Target="header7.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hyperlink" Target="https://www.tga.gov.au/committee/advisory-committee-medicines-acm" TargetMode="External"/><Relationship Id="rId61" Type="http://schemas.openxmlformats.org/officeDocument/2006/relationships/header" Target="header5.xml"/><Relationship Id="rId10" Type="http://schemas.openxmlformats.org/officeDocument/2006/relationships/endnotes" Target="endnotes.xml"/><Relationship Id="rId19" Type="http://schemas.openxmlformats.org/officeDocument/2006/relationships/hyperlink" Target="https://www.tga.gov.au/picmi-search-facility"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hyperlink" Target="https://www.tga.gov.au/publication/risk-management-plans-medicines-and-biologicals" TargetMode="External"/><Relationship Id="rId60" Type="http://schemas.openxmlformats.org/officeDocument/2006/relationships/header" Target="header4.xml"/><Relationship Id="rId65"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http://www.tga.gov.au/industry/pm-argpm-guidance-7.htm"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3.png"/><Relationship Id="rId64" Type="http://schemas.openxmlformats.org/officeDocument/2006/relationships/hyperlink" Target="https://www.tga.gov.au" TargetMode="External"/><Relationship Id="rId69"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hyperlink" Target="https://www.tga.gov.au/australian-public-assessment-report-auspar-guidance" TargetMode="External"/><Relationship Id="rId17" Type="http://schemas.openxmlformats.org/officeDocument/2006/relationships/hyperlink" Target="https://www.tga.gov.au/black-triangle-scheme"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header" Target="header3.xml"/><Relationship Id="rId67" Type="http://schemas.openxmlformats.org/officeDocument/2006/relationships/footer" Target="footer3.xml"/><Relationship Id="rId20" Type="http://schemas.openxmlformats.org/officeDocument/2006/relationships/hyperlink" Target="https://www.tga.gov.au/resources/resource/international-scientific-guidelines/international-scientific-guideline-ich-guideline-s6-r1-preclinical-safety-evaluation-biotechnology-derived-pharmaceuticals" TargetMode="External"/><Relationship Id="rId41" Type="http://schemas.openxmlformats.org/officeDocument/2006/relationships/image" Target="media/image20.png"/><Relationship Id="rId54" Type="http://schemas.openxmlformats.org/officeDocument/2006/relationships/image" Target="media/image31.png"/><Relationship Id="rId62" Type="http://schemas.openxmlformats.org/officeDocument/2006/relationships/footer" Target="footer2.xml"/><Relationship Id="rId7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00E213A71808D4CBC098919BE2E26F1" ma:contentTypeVersion="4" ma:contentTypeDescription="Create a new document." ma:contentTypeScope="" ma:versionID="88cd60ed62e36981ca17baf5a85d89e9">
  <xsd:schema xmlns:xsd="http://www.w3.org/2001/XMLSchema" xmlns:xs="http://www.w3.org/2001/XMLSchema" xmlns:p="http://schemas.microsoft.com/office/2006/metadata/properties" xmlns:ns1="http://schemas.microsoft.com/sharepoint/v3" xmlns:ns2="92e925ae-22e3-4f20-8799-b918533b6b5b" targetNamespace="http://schemas.microsoft.com/office/2006/metadata/properties" ma:root="true" ma:fieldsID="4800913b64f414fa5975948a3dded05a" ns1:_="" ns2:_="">
    <xsd:import namespace="http://schemas.microsoft.com/sharepoint/v3"/>
    <xsd:import namespace="92e925ae-22e3-4f20-8799-b918533b6b5b"/>
    <xsd:element name="properties">
      <xsd:complexType>
        <xsd:sequence>
          <xsd:element name="documentManagement">
            <xsd:complexType>
              <xsd:all>
                <xsd:element ref="ns1:_dlc_ExpireDateSaved" minOccurs="0"/>
                <xsd:element ref="ns1:_dlc_ExpireDate" minOccurs="0"/>
                <xsd:element ref="ns1:_dlc_Exempt"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pireDateSaved" ma:index="8" nillable="true" ma:displayName="Original Expiration Date" ma:hidden="true" ma:internalName="_dlc_ExpireDateSaved" ma:readOnly="true">
      <xsd:simpleType>
        <xsd:restriction base="dms:DateTime"/>
      </xsd:simpleType>
    </xsd:element>
    <xsd:element name="_dlc_ExpireDate" ma:index="9" nillable="true" ma:displayName="Expiration Date" ma:description="" ma:hidden="true" ma:indexed="true" ma:internalName="_dlc_ExpireDate" ma:readOnly="true">
      <xsd:simpleType>
        <xsd:restriction base="dms:DateTime"/>
      </xsd:simpleType>
    </xsd:element>
    <xsd:element name="_dlc_Exempt" ma:index="10"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2e925ae-22e3-4f20-8799-b918533b6b5b"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ExpireDate xmlns="http://schemas.microsoft.com/sharepoint/v3">2032-11-18T19:05:25+00:00</_dlc_ExpireDate>
    <_dlc_ExpireDateSaved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0EBBB0-5CDF-436A-8724-F3D0EC453D50}">
  <ds:schemaRefs>
    <ds:schemaRef ds:uri="http://schemas.openxmlformats.org/officeDocument/2006/bibliography"/>
  </ds:schemaRefs>
</ds:datastoreItem>
</file>

<file path=customXml/itemProps2.xml><?xml version="1.0" encoding="utf-8"?>
<ds:datastoreItem xmlns:ds="http://schemas.openxmlformats.org/officeDocument/2006/customXml" ds:itemID="{408AF7D7-F067-4302-806A-03907281DA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2e925ae-22e3-4f20-8799-b918533b6b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48C82BC-CDC8-4726-9CF7-8080EF678CD9}">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36988608-FB96-4E37-858F-27031B25721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21996</Words>
  <Characters>125383</Characters>
  <Application>Microsoft Office Word</Application>
  <DocSecurity>0</DocSecurity>
  <Lines>1044</Lines>
  <Paragraphs>294</Paragraphs>
  <ScaleCrop>false</ScaleCrop>
  <HeadingPairs>
    <vt:vector size="2" baseType="variant">
      <vt:variant>
        <vt:lpstr>Title</vt:lpstr>
      </vt:variant>
      <vt:variant>
        <vt:i4>1</vt:i4>
      </vt:variant>
    </vt:vector>
  </HeadingPairs>
  <TitlesOfParts>
    <vt:vector size="1" baseType="lpstr">
      <vt:lpstr>Australian public assessment report for Vabysmo</vt:lpstr>
    </vt:vector>
  </TitlesOfParts>
  <Company>Department of Health and Aged Care, Therapeutic Goods Administration</Company>
  <LinksUpToDate>false</LinksUpToDate>
  <CharactersWithSpaces>147085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Vabysmo</dc:title>
  <dc:subject>prescription medicines</dc:subject>
  <dc:creator>Therapeutic Goods Administration</dc:creator>
  <cp:lastModifiedBy>LACK, Janet</cp:lastModifiedBy>
  <cp:revision>2</cp:revision>
  <cp:lastPrinted>2019-08-14T04:30:00Z</cp:lastPrinted>
  <dcterms:created xsi:type="dcterms:W3CDTF">2023-03-29T21:25:00Z</dcterms:created>
  <dcterms:modified xsi:type="dcterms:W3CDTF">2023-03-29T21:25:00Z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policyId">
    <vt:lpwstr>/team/IDM10/Repository</vt:lpwstr>
  </property>
  <property fmtid="{D5CDD505-2E9C-101B-9397-08002B2CF9AE}" pid="3" name="ContentTypeId">
    <vt:lpwstr>0x010100000E213A71808D4CBC098919BE2E26F1</vt:lpwstr>
  </property>
  <property fmtid="{D5CDD505-2E9C-101B-9397-08002B2CF9AE}" pid="4" name="ItemRetentionFormula">
    <vt:lpwstr>&lt;formula id="Microsoft.Office.RecordsManagement.PolicyFeatures.Expiration.Formula.BuiltIn"&gt;&lt;number&gt;10&lt;/number&gt;&lt;property&gt;Modified&lt;/property&gt;&lt;propertyId&gt;28cf69c5-fa48-462a-b5cd-27b6f9d2bd5f&lt;/propertyId&gt;&lt;period&gt;years&lt;/period&gt;&lt;/formula&gt;</vt:lpwstr>
  </property>
</Properties>
</file>