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A626" w14:textId="0E315712" w:rsidR="00834C48" w:rsidRPr="00A807D3" w:rsidRDefault="00834C48" w:rsidP="00834C48">
      <w:pPr>
        <w:jc w:val="center"/>
        <w:rPr>
          <w:b/>
          <w:color w:val="auto"/>
          <w:sz w:val="28"/>
          <w:szCs w:val="28"/>
        </w:rPr>
      </w:pPr>
      <w:r w:rsidRPr="00A807D3">
        <w:rPr>
          <w:b/>
          <w:color w:val="auto"/>
          <w:sz w:val="28"/>
          <w:szCs w:val="28"/>
        </w:rPr>
        <w:t>AUSTRALIAN PRODUCT INFORMATION</w:t>
      </w:r>
    </w:p>
    <w:p w14:paraId="2BD3E8C8" w14:textId="09F143A2" w:rsidR="00834C48" w:rsidRDefault="00362475" w:rsidP="00834C48">
      <w:pPr>
        <w:jc w:val="center"/>
        <w:rPr>
          <w:b/>
          <w:color w:val="auto"/>
          <w:sz w:val="28"/>
          <w:szCs w:val="28"/>
        </w:rPr>
      </w:pPr>
      <w:proofErr w:type="spellStart"/>
      <w:r>
        <w:rPr>
          <w:b/>
          <w:color w:val="auto"/>
          <w:sz w:val="28"/>
          <w:szCs w:val="28"/>
        </w:rPr>
        <w:t>V</w:t>
      </w:r>
      <w:r w:rsidR="00E00D93">
        <w:rPr>
          <w:b/>
          <w:color w:val="auto"/>
          <w:sz w:val="28"/>
          <w:szCs w:val="28"/>
        </w:rPr>
        <w:t>abys</w:t>
      </w:r>
      <w:r w:rsidR="00E00D93" w:rsidRPr="00A807D3">
        <w:rPr>
          <w:b/>
          <w:color w:val="auto"/>
          <w:sz w:val="28"/>
          <w:szCs w:val="28"/>
        </w:rPr>
        <w:t>mo</w:t>
      </w:r>
      <w:proofErr w:type="spellEnd"/>
      <w:r w:rsidR="00875FD7" w:rsidRPr="00A807D3">
        <w:rPr>
          <w:b/>
          <w:color w:val="auto"/>
          <w:sz w:val="28"/>
          <w:szCs w:val="28"/>
          <w:vertAlign w:val="superscript"/>
        </w:rPr>
        <w:t>®</w:t>
      </w:r>
      <w:r w:rsidR="00834C48" w:rsidRPr="00A807D3">
        <w:rPr>
          <w:b/>
          <w:color w:val="auto"/>
          <w:sz w:val="28"/>
          <w:szCs w:val="28"/>
        </w:rPr>
        <w:t xml:space="preserve"> (</w:t>
      </w:r>
      <w:proofErr w:type="spellStart"/>
      <w:r>
        <w:rPr>
          <w:b/>
          <w:color w:val="auto"/>
          <w:sz w:val="28"/>
          <w:szCs w:val="28"/>
        </w:rPr>
        <w:t>far</w:t>
      </w:r>
      <w:r w:rsidR="00875FD7" w:rsidRPr="00A807D3">
        <w:rPr>
          <w:b/>
          <w:color w:val="auto"/>
          <w:sz w:val="28"/>
          <w:szCs w:val="28"/>
        </w:rPr>
        <w:t>i</w:t>
      </w:r>
      <w:r>
        <w:rPr>
          <w:b/>
          <w:color w:val="auto"/>
          <w:sz w:val="28"/>
          <w:szCs w:val="28"/>
        </w:rPr>
        <w:t>cim</w:t>
      </w:r>
      <w:r w:rsidR="00875FD7" w:rsidRPr="00A807D3">
        <w:rPr>
          <w:b/>
          <w:color w:val="auto"/>
          <w:sz w:val="28"/>
          <w:szCs w:val="28"/>
        </w:rPr>
        <w:t>ab</w:t>
      </w:r>
      <w:proofErr w:type="spellEnd"/>
      <w:r w:rsidR="00834C48" w:rsidRPr="00A807D3">
        <w:rPr>
          <w:b/>
          <w:color w:val="auto"/>
          <w:sz w:val="28"/>
          <w:szCs w:val="28"/>
        </w:rPr>
        <w:t>)</w:t>
      </w:r>
    </w:p>
    <w:p w14:paraId="3B457DA1" w14:textId="77777777" w:rsidR="00666925" w:rsidRPr="00A807D3" w:rsidRDefault="00666925" w:rsidP="00834C48">
      <w:pPr>
        <w:jc w:val="center"/>
        <w:rPr>
          <w:color w:val="auto"/>
        </w:rPr>
      </w:pPr>
    </w:p>
    <w:p w14:paraId="269CE54B" w14:textId="6A71BF02" w:rsidR="00666925" w:rsidRPr="00945535" w:rsidRDefault="00666925" w:rsidP="00666925">
      <w:pPr>
        <w:tabs>
          <w:tab w:val="left" w:pos="284"/>
        </w:tabs>
        <w:spacing w:after="240"/>
      </w:pPr>
      <w:r w:rsidRPr="00945535">
        <w:rPr>
          <w:noProof/>
          <w:lang w:val="en-AU" w:eastAsia="zh-CN"/>
        </w:rPr>
        <mc:AlternateContent>
          <mc:Choice Requires="wps">
            <w:drawing>
              <wp:inline distT="0" distB="0" distL="0" distR="0" wp14:anchorId="6C15228B" wp14:editId="01DB2676">
                <wp:extent cx="252095" cy="252095"/>
                <wp:effectExtent l="0" t="0" r="0" b="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4BD5" w14:textId="77777777" w:rsidR="00206E8A" w:rsidRPr="00BE2A26" w:rsidRDefault="00206E8A" w:rsidP="00666925">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6C15228B" id="_x0000_t202" coordsize="21600,21600" o:spt="202" path="m,l,21600r21600,l21600,xe">
                <v:stroke joinstyle="miter"/>
                <v:path gradientshapeok="t" o:connecttype="rect"/>
              </v:shapetype>
              <v:shape id="Text Box 5"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6E5B4BD5" w14:textId="77777777" w:rsidR="00206E8A" w:rsidRPr="00BE2A26" w:rsidRDefault="00206E8A" w:rsidP="00666925">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945535">
        <w:t xml:space="preserve">This medicinal product is subject to additional monitoring in Australia. This will allow quick identification of new safety information. Healthcare professionals are asked to report any suspected adverse events at </w:t>
      </w:r>
      <w:hyperlink r:id="rId8" w:history="1">
        <w:r w:rsidRPr="00945535">
          <w:rPr>
            <w:rStyle w:val="Hyperlink"/>
          </w:rPr>
          <w:t>https://www.tga.gov.au/reporting-problems</w:t>
        </w:r>
      </w:hyperlink>
      <w:r w:rsidRPr="00945535">
        <w:t>.</w:t>
      </w:r>
    </w:p>
    <w:p w14:paraId="7B960690" w14:textId="77777777" w:rsidR="00834C48" w:rsidRPr="00A807D3" w:rsidRDefault="00834C48">
      <w:pPr>
        <w:rPr>
          <w:color w:val="auto"/>
          <w:sz w:val="22"/>
          <w:szCs w:val="22"/>
        </w:rPr>
      </w:pPr>
    </w:p>
    <w:p w14:paraId="67A3DD47" w14:textId="01972CEA" w:rsidR="00D52399" w:rsidRPr="00A807D3" w:rsidRDefault="006C73C2" w:rsidP="0087549F">
      <w:pPr>
        <w:pStyle w:val="Heading1"/>
        <w:numPr>
          <w:ilvl w:val="0"/>
          <w:numId w:val="3"/>
        </w:numPr>
        <w:spacing w:before="0"/>
        <w:rPr>
          <w:color w:val="auto"/>
        </w:rPr>
      </w:pPr>
      <w:r w:rsidRPr="00A807D3">
        <w:rPr>
          <w:color w:val="auto"/>
        </w:rPr>
        <w:t>NAME OF THE MEDICINE</w:t>
      </w:r>
    </w:p>
    <w:p w14:paraId="2D77363B" w14:textId="0D26CDF6" w:rsidR="00875FD7" w:rsidRPr="00A807D3" w:rsidRDefault="00B72105" w:rsidP="009F4C5B">
      <w:pPr>
        <w:spacing w:after="240"/>
        <w:rPr>
          <w:color w:val="auto"/>
        </w:rPr>
      </w:pPr>
      <w:proofErr w:type="spellStart"/>
      <w:r w:rsidRPr="00B72105">
        <w:rPr>
          <w:color w:val="auto"/>
        </w:rPr>
        <w:t>Faricimab</w:t>
      </w:r>
      <w:proofErr w:type="spellEnd"/>
    </w:p>
    <w:p w14:paraId="51683A4B" w14:textId="77777777" w:rsidR="00D52399" w:rsidRPr="00A807D3" w:rsidRDefault="00615052" w:rsidP="009F4C5B">
      <w:pPr>
        <w:pStyle w:val="Heading1"/>
        <w:numPr>
          <w:ilvl w:val="0"/>
          <w:numId w:val="3"/>
        </w:numPr>
        <w:spacing w:before="0"/>
        <w:rPr>
          <w:color w:val="auto"/>
        </w:rPr>
      </w:pPr>
      <w:r w:rsidRPr="00A807D3">
        <w:rPr>
          <w:color w:val="auto"/>
        </w:rPr>
        <w:t>QUALITATIVE AND QUANTITATIVE COMPOSITION</w:t>
      </w:r>
    </w:p>
    <w:p w14:paraId="381A5AB4" w14:textId="7C613010" w:rsidR="00D52399" w:rsidRPr="00666925" w:rsidRDefault="00666925" w:rsidP="00666925">
      <w:pPr>
        <w:spacing w:after="240"/>
        <w:rPr>
          <w:color w:val="auto"/>
        </w:rPr>
      </w:pPr>
      <w:r>
        <w:rPr>
          <w:color w:val="auto"/>
        </w:rPr>
        <w:t>Each</w:t>
      </w:r>
      <w:r w:rsidR="00063C81" w:rsidRPr="00A807D3">
        <w:rPr>
          <w:color w:val="auto"/>
        </w:rPr>
        <w:t xml:space="preserve"> </w:t>
      </w:r>
      <w:r>
        <w:rPr>
          <w:color w:val="auto"/>
        </w:rPr>
        <w:t>vial</w:t>
      </w:r>
      <w:r w:rsidR="00C61D87">
        <w:rPr>
          <w:color w:val="auto"/>
        </w:rPr>
        <w:t xml:space="preserve"> of </w:t>
      </w:r>
      <w:r w:rsidR="00B72105">
        <w:rPr>
          <w:color w:val="auto"/>
        </w:rPr>
        <w:t>0.24</w:t>
      </w:r>
      <w:r w:rsidR="00C61D87" w:rsidRPr="00A807D3">
        <w:rPr>
          <w:color w:val="auto"/>
        </w:rPr>
        <w:t xml:space="preserve"> mL</w:t>
      </w:r>
      <w:r w:rsidR="00063C81" w:rsidRPr="00A807D3">
        <w:rPr>
          <w:color w:val="auto"/>
        </w:rPr>
        <w:t xml:space="preserve"> contain</w:t>
      </w:r>
      <w:r>
        <w:rPr>
          <w:color w:val="auto"/>
        </w:rPr>
        <w:t>s</w:t>
      </w:r>
      <w:r w:rsidR="00063C81" w:rsidRPr="00A807D3">
        <w:rPr>
          <w:color w:val="auto"/>
        </w:rPr>
        <w:t xml:space="preserve"> </w:t>
      </w:r>
      <w:r w:rsidR="00B72105">
        <w:rPr>
          <w:color w:val="auto"/>
        </w:rPr>
        <w:t>28.8</w:t>
      </w:r>
      <w:r w:rsidR="00063C81" w:rsidRPr="00A807D3">
        <w:rPr>
          <w:color w:val="auto"/>
        </w:rPr>
        <w:t xml:space="preserve"> mg of </w:t>
      </w:r>
      <w:proofErr w:type="spellStart"/>
      <w:r w:rsidR="00B72105">
        <w:rPr>
          <w:color w:val="auto"/>
        </w:rPr>
        <w:t>f</w:t>
      </w:r>
      <w:r w:rsidR="00B72105" w:rsidRPr="00666925">
        <w:rPr>
          <w:color w:val="auto"/>
        </w:rPr>
        <w:t>a</w:t>
      </w:r>
      <w:r w:rsidR="00B72105">
        <w:rPr>
          <w:color w:val="auto"/>
        </w:rPr>
        <w:t>r</w:t>
      </w:r>
      <w:r w:rsidR="00B72105" w:rsidRPr="00666925">
        <w:rPr>
          <w:color w:val="auto"/>
        </w:rPr>
        <w:t>i</w:t>
      </w:r>
      <w:r w:rsidR="00B72105">
        <w:rPr>
          <w:color w:val="auto"/>
        </w:rPr>
        <w:t>cima</w:t>
      </w:r>
      <w:r w:rsidR="00B72105" w:rsidRPr="00666925">
        <w:rPr>
          <w:color w:val="auto"/>
        </w:rPr>
        <w:t>b</w:t>
      </w:r>
      <w:proofErr w:type="spellEnd"/>
      <w:r w:rsidR="00063C81" w:rsidRPr="00A807D3">
        <w:rPr>
          <w:color w:val="auto"/>
        </w:rPr>
        <w:t xml:space="preserve"> </w:t>
      </w:r>
      <w:r w:rsidR="00C61D87">
        <w:rPr>
          <w:color w:val="auto"/>
        </w:rPr>
        <w:t>at a concentration of 1</w:t>
      </w:r>
      <w:r w:rsidR="00B72105">
        <w:rPr>
          <w:color w:val="auto"/>
        </w:rPr>
        <w:t>2</w:t>
      </w:r>
      <w:r w:rsidR="00C61D87">
        <w:rPr>
          <w:color w:val="auto"/>
        </w:rPr>
        <w:t>0 mg/</w:t>
      </w:r>
      <w:proofErr w:type="spellStart"/>
      <w:r w:rsidR="00C61D87">
        <w:rPr>
          <w:color w:val="auto"/>
        </w:rPr>
        <w:t>mL</w:t>
      </w:r>
      <w:r w:rsidR="00063C81" w:rsidRPr="00A807D3">
        <w:rPr>
          <w:color w:val="auto"/>
        </w:rPr>
        <w:t>.</w:t>
      </w:r>
      <w:proofErr w:type="spellEnd"/>
      <w:r w:rsidR="00063C81" w:rsidRPr="00A807D3">
        <w:rPr>
          <w:color w:val="auto"/>
        </w:rPr>
        <w:t xml:space="preserve"> </w:t>
      </w:r>
      <w:r w:rsidRPr="00666925">
        <w:rPr>
          <w:color w:val="auto"/>
        </w:rPr>
        <w:t>This provides a usable amount to</w:t>
      </w:r>
      <w:r>
        <w:rPr>
          <w:color w:val="auto"/>
        </w:rPr>
        <w:t xml:space="preserve"> </w:t>
      </w:r>
      <w:r w:rsidRPr="00666925">
        <w:rPr>
          <w:color w:val="auto"/>
        </w:rPr>
        <w:t>deliver a single dose of 0.</w:t>
      </w:r>
      <w:r w:rsidR="00B72105">
        <w:rPr>
          <w:color w:val="auto"/>
        </w:rPr>
        <w:t>05</w:t>
      </w:r>
      <w:r w:rsidRPr="00666925">
        <w:rPr>
          <w:color w:val="auto"/>
        </w:rPr>
        <w:t xml:space="preserve"> mL solution </w:t>
      </w:r>
      <w:r w:rsidR="00B72105">
        <w:rPr>
          <w:color w:val="auto"/>
        </w:rPr>
        <w:t xml:space="preserve">containing 6 mg of </w:t>
      </w:r>
      <w:proofErr w:type="spellStart"/>
      <w:r w:rsidR="00B72105">
        <w:rPr>
          <w:color w:val="auto"/>
        </w:rPr>
        <w:t>f</w:t>
      </w:r>
      <w:r w:rsidRPr="00666925">
        <w:rPr>
          <w:color w:val="auto"/>
        </w:rPr>
        <w:t>a</w:t>
      </w:r>
      <w:r w:rsidR="00B72105">
        <w:rPr>
          <w:color w:val="auto"/>
        </w:rPr>
        <w:t>r</w:t>
      </w:r>
      <w:r w:rsidRPr="00666925">
        <w:rPr>
          <w:color w:val="auto"/>
        </w:rPr>
        <w:t>i</w:t>
      </w:r>
      <w:r w:rsidR="00B72105">
        <w:rPr>
          <w:color w:val="auto"/>
        </w:rPr>
        <w:t>cima</w:t>
      </w:r>
      <w:r w:rsidRPr="00666925">
        <w:rPr>
          <w:color w:val="auto"/>
        </w:rPr>
        <w:t>b</w:t>
      </w:r>
      <w:proofErr w:type="spellEnd"/>
      <w:r w:rsidR="00B72105">
        <w:rPr>
          <w:color w:val="auto"/>
        </w:rPr>
        <w:t>.</w:t>
      </w:r>
      <w:r w:rsidRPr="00666925">
        <w:rPr>
          <w:color w:val="auto"/>
        </w:rPr>
        <w:t xml:space="preserve"> </w:t>
      </w:r>
    </w:p>
    <w:p w14:paraId="66168F91" w14:textId="77777777" w:rsidR="00D52399" w:rsidRPr="00A807D3" w:rsidRDefault="00615052" w:rsidP="009F4C5B">
      <w:pPr>
        <w:spacing w:after="240"/>
        <w:rPr>
          <w:color w:val="auto"/>
          <w:u w:val="single"/>
        </w:rPr>
      </w:pPr>
      <w:bookmarkStart w:id="0" w:name="_gjdgxs" w:colFirst="0" w:colLast="0"/>
      <w:bookmarkEnd w:id="0"/>
      <w:r w:rsidRPr="00A807D3">
        <w:rPr>
          <w:color w:val="auto"/>
        </w:rPr>
        <w:t>For the full list of excipients, see section 6.1</w:t>
      </w:r>
      <w:r w:rsidR="009F4C5B" w:rsidRPr="00A807D3">
        <w:rPr>
          <w:color w:val="auto"/>
        </w:rPr>
        <w:t xml:space="preserve"> List of excipients</w:t>
      </w:r>
      <w:r w:rsidRPr="00A807D3">
        <w:rPr>
          <w:color w:val="auto"/>
        </w:rPr>
        <w:t>.</w:t>
      </w:r>
    </w:p>
    <w:p w14:paraId="0A8EA843" w14:textId="77777777" w:rsidR="00D52399" w:rsidRPr="00A807D3" w:rsidRDefault="00615052" w:rsidP="009F4C5B">
      <w:pPr>
        <w:pStyle w:val="Heading1"/>
        <w:numPr>
          <w:ilvl w:val="0"/>
          <w:numId w:val="3"/>
        </w:numPr>
        <w:spacing w:before="0"/>
        <w:rPr>
          <w:color w:val="auto"/>
        </w:rPr>
      </w:pPr>
      <w:r w:rsidRPr="00A807D3">
        <w:rPr>
          <w:color w:val="auto"/>
        </w:rPr>
        <w:t>PHARMACEUTICAL FORM</w:t>
      </w:r>
    </w:p>
    <w:p w14:paraId="051C9054" w14:textId="5E1A9D10" w:rsidR="00875FD7" w:rsidRPr="00A807D3" w:rsidRDefault="00666925" w:rsidP="00666925">
      <w:pPr>
        <w:spacing w:after="240"/>
        <w:rPr>
          <w:color w:val="auto"/>
        </w:rPr>
      </w:pPr>
      <w:r>
        <w:rPr>
          <w:color w:val="auto"/>
        </w:rPr>
        <w:t>Solution for injection</w:t>
      </w:r>
      <w:r w:rsidRPr="00A807D3">
        <w:rPr>
          <w:color w:val="auto"/>
        </w:rPr>
        <w:t xml:space="preserve"> for intravitreal use.</w:t>
      </w:r>
    </w:p>
    <w:p w14:paraId="33D987B6" w14:textId="36017801" w:rsidR="00063C81" w:rsidRPr="00A807D3" w:rsidRDefault="00666925" w:rsidP="00666925">
      <w:pPr>
        <w:spacing w:after="240"/>
        <w:rPr>
          <w:color w:val="auto"/>
        </w:rPr>
      </w:pPr>
      <w:r w:rsidRPr="00666925">
        <w:rPr>
          <w:color w:val="auto"/>
        </w:rPr>
        <w:t>C</w:t>
      </w:r>
      <w:r w:rsidR="00063C81" w:rsidRPr="00A807D3">
        <w:rPr>
          <w:color w:val="auto"/>
        </w:rPr>
        <w:t xml:space="preserve">lear </w:t>
      </w:r>
      <w:r w:rsidR="00B72105">
        <w:rPr>
          <w:color w:val="auto"/>
        </w:rPr>
        <w:t>to</w:t>
      </w:r>
      <w:r w:rsidR="00063C81" w:rsidRPr="00A807D3">
        <w:rPr>
          <w:color w:val="auto"/>
        </w:rPr>
        <w:t xml:space="preserve"> opalescent, colo</w:t>
      </w:r>
      <w:r w:rsidR="000A3096">
        <w:rPr>
          <w:color w:val="auto"/>
        </w:rPr>
        <w:t>u</w:t>
      </w:r>
      <w:r w:rsidR="00063C81" w:rsidRPr="00A807D3">
        <w:rPr>
          <w:color w:val="auto"/>
        </w:rPr>
        <w:t>rless to brown</w:t>
      </w:r>
      <w:r w:rsidR="00B72105">
        <w:rPr>
          <w:color w:val="auto"/>
        </w:rPr>
        <w:t>ish-yellow</w:t>
      </w:r>
      <w:r w:rsidR="00063C81" w:rsidRPr="00A807D3">
        <w:rPr>
          <w:color w:val="auto"/>
        </w:rPr>
        <w:t xml:space="preserve"> liquid.</w:t>
      </w:r>
    </w:p>
    <w:p w14:paraId="71C40DFB" w14:textId="77777777" w:rsidR="00D52399" w:rsidRPr="00A807D3" w:rsidRDefault="00615052" w:rsidP="009F4C5B">
      <w:pPr>
        <w:pStyle w:val="Heading1"/>
        <w:numPr>
          <w:ilvl w:val="0"/>
          <w:numId w:val="3"/>
        </w:numPr>
        <w:spacing w:before="0"/>
        <w:rPr>
          <w:color w:val="auto"/>
        </w:rPr>
      </w:pPr>
      <w:r w:rsidRPr="00A807D3">
        <w:rPr>
          <w:color w:val="auto"/>
        </w:rPr>
        <w:t>CLINICAL PARTICULARS</w:t>
      </w:r>
    </w:p>
    <w:p w14:paraId="09593C17" w14:textId="77777777" w:rsidR="00D52399" w:rsidRPr="00A807D3" w:rsidRDefault="00902EBE" w:rsidP="009F4C5B">
      <w:pPr>
        <w:pStyle w:val="Heading2"/>
        <w:numPr>
          <w:ilvl w:val="0"/>
          <w:numId w:val="1"/>
        </w:numPr>
        <w:spacing w:before="0"/>
        <w:ind w:hanging="786"/>
        <w:rPr>
          <w:color w:val="auto"/>
        </w:rPr>
      </w:pPr>
      <w:r w:rsidRPr="00A807D3">
        <w:rPr>
          <w:color w:val="auto"/>
        </w:rPr>
        <w:t>THERAPEUTIC INDICATIONS</w:t>
      </w:r>
    </w:p>
    <w:p w14:paraId="010AE30A" w14:textId="2A5E6936" w:rsidR="00B72105" w:rsidRPr="00B72105" w:rsidRDefault="00B72105" w:rsidP="00B72105">
      <w:pPr>
        <w:pStyle w:val="Paragraph"/>
        <w:spacing w:after="0"/>
        <w:rPr>
          <w:sz w:val="24"/>
        </w:rPr>
      </w:pPr>
      <w:proofErr w:type="spellStart"/>
      <w:r w:rsidRPr="00B72105">
        <w:rPr>
          <w:sz w:val="24"/>
        </w:rPr>
        <w:t>V</w:t>
      </w:r>
      <w:r w:rsidR="00E00D93" w:rsidRPr="00B72105">
        <w:rPr>
          <w:sz w:val="24"/>
        </w:rPr>
        <w:t>abysmo</w:t>
      </w:r>
      <w:proofErr w:type="spellEnd"/>
      <w:r w:rsidRPr="00B72105">
        <w:rPr>
          <w:sz w:val="24"/>
        </w:rPr>
        <w:t xml:space="preserve"> is </w:t>
      </w:r>
      <w:r>
        <w:rPr>
          <w:sz w:val="24"/>
        </w:rPr>
        <w:t>indicated for the treatment of:</w:t>
      </w:r>
    </w:p>
    <w:p w14:paraId="19B4AFCE" w14:textId="1662B76F" w:rsidR="00B72105" w:rsidRPr="00B72105" w:rsidRDefault="00B72105" w:rsidP="00B72105">
      <w:pPr>
        <w:pStyle w:val="Paragraph"/>
        <w:numPr>
          <w:ilvl w:val="0"/>
          <w:numId w:val="8"/>
        </w:numPr>
        <w:spacing w:after="0"/>
        <w:rPr>
          <w:sz w:val="24"/>
        </w:rPr>
      </w:pPr>
      <w:r w:rsidRPr="00B72105">
        <w:rPr>
          <w:sz w:val="24"/>
        </w:rPr>
        <w:t>Neovascular (wet) age-related macular degeneration (</w:t>
      </w:r>
      <w:proofErr w:type="spellStart"/>
      <w:r w:rsidRPr="00B72105">
        <w:rPr>
          <w:sz w:val="24"/>
        </w:rPr>
        <w:t>nAMD</w:t>
      </w:r>
      <w:proofErr w:type="spellEnd"/>
      <w:r w:rsidRPr="00B72105">
        <w:rPr>
          <w:sz w:val="24"/>
        </w:rPr>
        <w:t>)</w:t>
      </w:r>
    </w:p>
    <w:p w14:paraId="2FB871B3" w14:textId="7E1B3848" w:rsidR="00875FD7" w:rsidRPr="00B72105" w:rsidRDefault="00B72105" w:rsidP="00B72105">
      <w:pPr>
        <w:pStyle w:val="Paragraph"/>
        <w:numPr>
          <w:ilvl w:val="0"/>
          <w:numId w:val="8"/>
        </w:numPr>
        <w:spacing w:after="120"/>
        <w:rPr>
          <w:sz w:val="24"/>
          <w:lang w:val="pt-BR" w:eastAsia="en-GB"/>
        </w:rPr>
      </w:pPr>
      <w:r w:rsidRPr="00B72105">
        <w:rPr>
          <w:sz w:val="24"/>
          <w:lang w:val="pt-BR"/>
        </w:rPr>
        <w:t xml:space="preserve">Diabetic macular </w:t>
      </w:r>
      <w:r w:rsidR="007C0FEE">
        <w:rPr>
          <w:sz w:val="24"/>
          <w:lang w:val="pt-BR"/>
        </w:rPr>
        <w:t>o</w:t>
      </w:r>
      <w:r w:rsidRPr="00B72105">
        <w:rPr>
          <w:sz w:val="24"/>
          <w:lang w:val="pt-BR"/>
        </w:rPr>
        <w:t>edema (DM</w:t>
      </w:r>
      <w:r w:rsidR="00186B1A">
        <w:rPr>
          <w:sz w:val="24"/>
          <w:lang w:val="pt-BR"/>
        </w:rPr>
        <w:t>O</w:t>
      </w:r>
      <w:r w:rsidRPr="00B72105">
        <w:rPr>
          <w:sz w:val="24"/>
          <w:lang w:val="pt-BR"/>
        </w:rPr>
        <w:t>)</w:t>
      </w:r>
      <w:r w:rsidR="005C5D1D" w:rsidRPr="00B72105">
        <w:rPr>
          <w:sz w:val="24"/>
          <w:lang w:val="pt-BR" w:eastAsia="en-GB"/>
        </w:rPr>
        <w:t>.</w:t>
      </w:r>
    </w:p>
    <w:p w14:paraId="51EEB884" w14:textId="77777777" w:rsidR="00D52399" w:rsidRPr="00A807D3" w:rsidRDefault="00902EBE" w:rsidP="00A8585F">
      <w:pPr>
        <w:pStyle w:val="Heading2"/>
        <w:numPr>
          <w:ilvl w:val="1"/>
          <w:numId w:val="2"/>
        </w:numPr>
        <w:ind w:left="0" w:firstLine="0"/>
        <w:rPr>
          <w:color w:val="auto"/>
        </w:rPr>
      </w:pPr>
      <w:r w:rsidRPr="00A807D3">
        <w:rPr>
          <w:color w:val="auto"/>
        </w:rPr>
        <w:t>DOSE AND METHOD OF ADMINISTRATION</w:t>
      </w:r>
    </w:p>
    <w:p w14:paraId="22462E06" w14:textId="4D6CF714" w:rsidR="00B72105" w:rsidRPr="00B72105" w:rsidRDefault="00B72105" w:rsidP="00B72105">
      <w:pPr>
        <w:spacing w:after="120"/>
      </w:pPr>
      <w:r w:rsidRPr="00B72105">
        <w:t xml:space="preserve">For intravitreal injection only. </w:t>
      </w:r>
      <w:proofErr w:type="spellStart"/>
      <w:r w:rsidRPr="00B72105">
        <w:t>V</w:t>
      </w:r>
      <w:r w:rsidR="00E00D93" w:rsidRPr="00B72105">
        <w:t>abysmo</w:t>
      </w:r>
      <w:proofErr w:type="spellEnd"/>
      <w:r w:rsidRPr="00B72105">
        <w:t xml:space="preserve"> must be administered by a qualified physician experienced in intravitreal injections. Each vial should only be used for the treatment of a single eye.</w:t>
      </w:r>
    </w:p>
    <w:p w14:paraId="4E298DA6" w14:textId="096D31D9" w:rsidR="00D52399" w:rsidRPr="00B72105" w:rsidRDefault="00615052" w:rsidP="004A0DFD">
      <w:pPr>
        <w:pStyle w:val="Heading3"/>
      </w:pPr>
      <w:r w:rsidRPr="00B72105">
        <w:t>Dos</w:t>
      </w:r>
      <w:r w:rsidR="00F5220C" w:rsidRPr="00B72105">
        <w:t>age</w:t>
      </w:r>
    </w:p>
    <w:p w14:paraId="55D45B0F" w14:textId="77777777" w:rsidR="00B03DB2" w:rsidRPr="00B03DB2" w:rsidRDefault="00B03DB2" w:rsidP="00B03DB2">
      <w:pPr>
        <w:keepNext/>
        <w:autoSpaceDE w:val="0"/>
        <w:autoSpaceDN w:val="0"/>
        <w:adjustRightInd w:val="0"/>
        <w:snapToGrid w:val="0"/>
        <w:spacing w:after="120" w:line="300" w:lineRule="atLeast"/>
        <w:rPr>
          <w:b/>
          <w:i/>
          <w:color w:val="auto"/>
        </w:rPr>
      </w:pPr>
      <w:r w:rsidRPr="00B03DB2">
        <w:rPr>
          <w:b/>
          <w:i/>
          <w:color w:val="auto"/>
        </w:rPr>
        <w:t>Neovascular (wet) age-related macular degeneration (</w:t>
      </w:r>
      <w:proofErr w:type="spellStart"/>
      <w:r w:rsidRPr="00B03DB2">
        <w:rPr>
          <w:b/>
          <w:i/>
          <w:color w:val="auto"/>
        </w:rPr>
        <w:t>nAMD</w:t>
      </w:r>
      <w:proofErr w:type="spellEnd"/>
      <w:r w:rsidRPr="00B03DB2">
        <w:rPr>
          <w:b/>
          <w:i/>
          <w:color w:val="auto"/>
        </w:rPr>
        <w:t>)</w:t>
      </w:r>
    </w:p>
    <w:p w14:paraId="29AA82A8" w14:textId="25DDD122" w:rsidR="001D44E3" w:rsidRPr="00206E8A" w:rsidRDefault="00B03DB2" w:rsidP="006A7913">
      <w:pPr>
        <w:spacing w:after="120"/>
      </w:pPr>
      <w:r w:rsidRPr="00B03DB2">
        <w:t xml:space="preserve">The recommended dose for </w:t>
      </w:r>
      <w:proofErr w:type="spellStart"/>
      <w:r w:rsidRPr="00B03DB2">
        <w:t>V</w:t>
      </w:r>
      <w:r w:rsidR="00E00D93" w:rsidRPr="00B03DB2">
        <w:t>abysmo</w:t>
      </w:r>
      <w:proofErr w:type="spellEnd"/>
      <w:r w:rsidRPr="00B03DB2">
        <w:t xml:space="preserve"> is 6 mg (0.05 mL) administered by intravitreal injection every 4 weeks for the first </w:t>
      </w:r>
      <w:r w:rsidRPr="00206E8A">
        <w:t>4 doses</w:t>
      </w:r>
      <w:r w:rsidR="00F93985" w:rsidRPr="00206E8A">
        <w:t xml:space="preserve">. Thereafter, </w:t>
      </w:r>
      <w:r w:rsidR="00A32630" w:rsidRPr="00206E8A">
        <w:t>a</w:t>
      </w:r>
      <w:r w:rsidR="001D44E3" w:rsidRPr="00206E8A">
        <w:t xml:space="preserve">n assessment of disease activity </w:t>
      </w:r>
      <w:r w:rsidR="00F93985" w:rsidRPr="00206E8A">
        <w:t xml:space="preserve">based on </w:t>
      </w:r>
      <w:r w:rsidR="001D44E3" w:rsidRPr="00206E8A">
        <w:t xml:space="preserve">anatomic and/or visual outcomes is recommended </w:t>
      </w:r>
      <w:r w:rsidR="00206E8A" w:rsidRPr="00206E8A">
        <w:t xml:space="preserve">20 - </w:t>
      </w:r>
      <w:r w:rsidR="001D44E3" w:rsidRPr="00206E8A">
        <w:t xml:space="preserve">24 weeks after treatment initiation so treatment can be individualised. </w:t>
      </w:r>
      <w:r w:rsidR="00186B1A" w:rsidRPr="00206E8A">
        <w:t>Based on this assessment, i</w:t>
      </w:r>
      <w:r w:rsidR="001D44E3" w:rsidRPr="00206E8A">
        <w:t>n patients without dise</w:t>
      </w:r>
      <w:r w:rsidR="00514534">
        <w:t xml:space="preserve">ase activity, administration of </w:t>
      </w:r>
      <w:proofErr w:type="spellStart"/>
      <w:r w:rsidR="001D44E3" w:rsidRPr="00206E8A">
        <w:t>Vabysmo</w:t>
      </w:r>
      <w:proofErr w:type="spellEnd"/>
      <w:r w:rsidR="001D44E3" w:rsidRPr="00206E8A">
        <w:t xml:space="preserve"> every 16 weeks should be considered. </w:t>
      </w:r>
      <w:r w:rsidR="00186B1A" w:rsidRPr="00206E8A">
        <w:t>Based on this assessment, in</w:t>
      </w:r>
      <w:r w:rsidR="001D44E3" w:rsidRPr="00206E8A">
        <w:t xml:space="preserve"> patients with disease activity, treatment every 8 weeks or 12 weeks</w:t>
      </w:r>
      <w:r w:rsidR="00206E8A" w:rsidRPr="00206E8A">
        <w:t xml:space="preserve"> </w:t>
      </w:r>
      <w:r w:rsidR="001D44E3" w:rsidRPr="00206E8A">
        <w:t>should be considered</w:t>
      </w:r>
      <w:r w:rsidR="00F953D1" w:rsidRPr="00206E8A">
        <w:t xml:space="preserve"> (see section 5.1)</w:t>
      </w:r>
      <w:r w:rsidR="001D44E3" w:rsidRPr="00206E8A">
        <w:t>.</w:t>
      </w:r>
      <w:r w:rsidR="00F93985" w:rsidRPr="00206E8A">
        <w:t xml:space="preserve"> </w:t>
      </w:r>
    </w:p>
    <w:p w14:paraId="4EB62C55" w14:textId="4AD871C5" w:rsidR="00B03DB2" w:rsidRPr="00206E8A" w:rsidRDefault="00186B1A" w:rsidP="00F93985">
      <w:pPr>
        <w:pStyle w:val="Paragraph"/>
        <w:keepNext/>
        <w:spacing w:after="120"/>
        <w:rPr>
          <w:sz w:val="24"/>
        </w:rPr>
      </w:pPr>
      <w:r w:rsidRPr="00206E8A">
        <w:rPr>
          <w:sz w:val="24"/>
        </w:rPr>
        <w:lastRenderedPageBreak/>
        <w:t xml:space="preserve">Continued monitoring of disease activity and </w:t>
      </w:r>
      <w:proofErr w:type="spellStart"/>
      <w:r w:rsidRPr="00206E8A">
        <w:rPr>
          <w:sz w:val="24"/>
        </w:rPr>
        <w:t>individualisation</w:t>
      </w:r>
      <w:proofErr w:type="spellEnd"/>
      <w:r w:rsidRPr="00206E8A">
        <w:rPr>
          <w:sz w:val="24"/>
        </w:rPr>
        <w:t xml:space="preserve"> of dosing is recommended. </w:t>
      </w:r>
      <w:r w:rsidR="00B03DB2" w:rsidRPr="00206E8A">
        <w:rPr>
          <w:sz w:val="24"/>
        </w:rPr>
        <w:t>Monitoring between the dosing visits should be scheduled based on the patient's status and at</w:t>
      </w:r>
      <w:r w:rsidR="00B03DB2" w:rsidRPr="008659D0">
        <w:rPr>
          <w:sz w:val="24"/>
        </w:rPr>
        <w:t xml:space="preserve"> the physic</w:t>
      </w:r>
      <w:r w:rsidR="00621701" w:rsidRPr="008659D0">
        <w:rPr>
          <w:sz w:val="24"/>
        </w:rPr>
        <w:t xml:space="preserve">ian's </w:t>
      </w:r>
      <w:r w:rsidRPr="00206E8A">
        <w:rPr>
          <w:sz w:val="24"/>
        </w:rPr>
        <w:t>clinical judgement</w:t>
      </w:r>
      <w:r w:rsidR="00B03DB2" w:rsidRPr="00206E8A">
        <w:rPr>
          <w:sz w:val="24"/>
        </w:rPr>
        <w:t>.</w:t>
      </w:r>
      <w:r w:rsidR="001D44E3" w:rsidRPr="00206E8A">
        <w:t xml:space="preserve"> </w:t>
      </w:r>
    </w:p>
    <w:p w14:paraId="3DCFA992" w14:textId="67E795C6" w:rsidR="00B03DB2" w:rsidRPr="00206E8A" w:rsidRDefault="00B03DB2" w:rsidP="00B03DB2">
      <w:pPr>
        <w:keepNext/>
        <w:autoSpaceDE w:val="0"/>
        <w:autoSpaceDN w:val="0"/>
        <w:adjustRightInd w:val="0"/>
        <w:snapToGrid w:val="0"/>
        <w:spacing w:after="120" w:line="300" w:lineRule="atLeast"/>
        <w:rPr>
          <w:b/>
          <w:i/>
          <w:color w:val="auto"/>
        </w:rPr>
      </w:pPr>
      <w:r w:rsidRPr="00206E8A">
        <w:rPr>
          <w:b/>
          <w:i/>
          <w:color w:val="auto"/>
        </w:rPr>
        <w:t>Diabetic macular oedema (DM</w:t>
      </w:r>
      <w:r w:rsidR="00186B1A" w:rsidRPr="00206E8A">
        <w:rPr>
          <w:b/>
          <w:i/>
          <w:color w:val="auto"/>
        </w:rPr>
        <w:t>O</w:t>
      </w:r>
      <w:r w:rsidRPr="00206E8A">
        <w:rPr>
          <w:b/>
          <w:i/>
          <w:color w:val="auto"/>
        </w:rPr>
        <w:t>)</w:t>
      </w:r>
    </w:p>
    <w:p w14:paraId="6F550D30" w14:textId="1E6376D6" w:rsidR="002418EA" w:rsidRPr="00206E8A" w:rsidRDefault="00B03DB2" w:rsidP="002418EA">
      <w:pPr>
        <w:pStyle w:val="Paragraph"/>
        <w:keepNext/>
        <w:spacing w:after="120"/>
        <w:rPr>
          <w:sz w:val="24"/>
        </w:rPr>
      </w:pPr>
      <w:r w:rsidRPr="00206E8A">
        <w:rPr>
          <w:sz w:val="24"/>
        </w:rPr>
        <w:t xml:space="preserve">The recommended dose for </w:t>
      </w:r>
      <w:proofErr w:type="spellStart"/>
      <w:r w:rsidRPr="00206E8A">
        <w:rPr>
          <w:sz w:val="24"/>
        </w:rPr>
        <w:t>V</w:t>
      </w:r>
      <w:r w:rsidR="00E00D93" w:rsidRPr="00206E8A">
        <w:rPr>
          <w:sz w:val="24"/>
        </w:rPr>
        <w:t>abysmo</w:t>
      </w:r>
      <w:proofErr w:type="spellEnd"/>
      <w:r w:rsidRPr="00206E8A">
        <w:rPr>
          <w:sz w:val="24"/>
        </w:rPr>
        <w:t xml:space="preserve"> is 6 mg (0.05 mL) administered by intravitreal injection every 4 weeks for the first 4 doses</w:t>
      </w:r>
      <w:r w:rsidR="00F93985" w:rsidRPr="00206E8A">
        <w:rPr>
          <w:sz w:val="24"/>
        </w:rPr>
        <w:t xml:space="preserve">. </w:t>
      </w:r>
      <w:r w:rsidR="002418EA" w:rsidRPr="00206E8A">
        <w:rPr>
          <w:sz w:val="24"/>
        </w:rPr>
        <w:t xml:space="preserve">Thereafter, treatment may be </w:t>
      </w:r>
      <w:proofErr w:type="spellStart"/>
      <w:r w:rsidR="002418EA" w:rsidRPr="00206E8A">
        <w:rPr>
          <w:sz w:val="24"/>
        </w:rPr>
        <w:t>individualised</w:t>
      </w:r>
      <w:proofErr w:type="spellEnd"/>
      <w:r w:rsidR="002418EA" w:rsidRPr="00206E8A">
        <w:rPr>
          <w:sz w:val="24"/>
        </w:rPr>
        <w:t xml:space="preserve"> usi</w:t>
      </w:r>
      <w:r w:rsidR="001D44E3" w:rsidRPr="00206E8A">
        <w:rPr>
          <w:sz w:val="24"/>
        </w:rPr>
        <w:t>ng a treat-and-extend approach</w:t>
      </w:r>
      <w:r w:rsidR="00186B1A" w:rsidRPr="00206E8A">
        <w:t xml:space="preserve"> </w:t>
      </w:r>
      <w:r w:rsidR="00186B1A" w:rsidRPr="00206E8A">
        <w:rPr>
          <w:sz w:val="24"/>
        </w:rPr>
        <w:t>following an assessment of the individual patient's anatomic and</w:t>
      </w:r>
      <w:r w:rsidR="005263E1" w:rsidRPr="00206E8A">
        <w:rPr>
          <w:sz w:val="24"/>
        </w:rPr>
        <w:t>/or</w:t>
      </w:r>
      <w:r w:rsidR="00186B1A" w:rsidRPr="00206E8A">
        <w:rPr>
          <w:sz w:val="24"/>
        </w:rPr>
        <w:t xml:space="preserve"> visual outcomes</w:t>
      </w:r>
      <w:r w:rsidR="001D44E3" w:rsidRPr="00206E8A">
        <w:rPr>
          <w:sz w:val="24"/>
        </w:rPr>
        <w:t>.</w:t>
      </w:r>
      <w:r w:rsidR="002418EA" w:rsidRPr="00206E8A">
        <w:rPr>
          <w:sz w:val="24"/>
        </w:rPr>
        <w:t xml:space="preserve"> </w:t>
      </w:r>
      <w:r w:rsidR="00186B1A" w:rsidRPr="00206E8A">
        <w:rPr>
          <w:sz w:val="24"/>
        </w:rPr>
        <w:t>Following the outcome of this assessment,</w:t>
      </w:r>
      <w:r w:rsidR="005263E1" w:rsidRPr="00206E8A">
        <w:rPr>
          <w:sz w:val="24"/>
        </w:rPr>
        <w:t xml:space="preserve"> </w:t>
      </w:r>
      <w:r w:rsidR="002418EA" w:rsidRPr="00206E8A">
        <w:rPr>
          <w:sz w:val="24"/>
        </w:rPr>
        <w:t xml:space="preserve">the dosing interval may </w:t>
      </w:r>
      <w:r w:rsidR="00186B1A" w:rsidRPr="00206E8A">
        <w:rPr>
          <w:sz w:val="24"/>
        </w:rPr>
        <w:t xml:space="preserve">remain at every 4 weeks, or may </w:t>
      </w:r>
      <w:r w:rsidR="002418EA" w:rsidRPr="00206E8A">
        <w:rPr>
          <w:sz w:val="24"/>
        </w:rPr>
        <w:t>be e</w:t>
      </w:r>
      <w:r w:rsidR="001D44E3" w:rsidRPr="00206E8A">
        <w:rPr>
          <w:sz w:val="24"/>
        </w:rPr>
        <w:t xml:space="preserve">xtended </w:t>
      </w:r>
      <w:r w:rsidR="002418EA" w:rsidRPr="00206E8A">
        <w:rPr>
          <w:sz w:val="24"/>
        </w:rPr>
        <w:t xml:space="preserve">in </w:t>
      </w:r>
      <w:r w:rsidR="005263E1" w:rsidRPr="00206E8A">
        <w:rPr>
          <w:sz w:val="24"/>
        </w:rPr>
        <w:t xml:space="preserve">4 week </w:t>
      </w:r>
      <w:r w:rsidR="002418EA" w:rsidRPr="00206E8A">
        <w:rPr>
          <w:sz w:val="24"/>
        </w:rPr>
        <w:t>increments</w:t>
      </w:r>
      <w:r w:rsidR="00206E8A" w:rsidRPr="00206E8A">
        <w:rPr>
          <w:sz w:val="24"/>
        </w:rPr>
        <w:t xml:space="preserve"> </w:t>
      </w:r>
      <w:r w:rsidR="006A7913">
        <w:rPr>
          <w:sz w:val="24"/>
        </w:rPr>
        <w:t xml:space="preserve">up to </w:t>
      </w:r>
      <w:r w:rsidR="005263E1" w:rsidRPr="00206E8A">
        <w:rPr>
          <w:sz w:val="24"/>
        </w:rPr>
        <w:t>every 16 weeks</w:t>
      </w:r>
      <w:r w:rsidR="002418EA" w:rsidRPr="00206E8A">
        <w:rPr>
          <w:sz w:val="24"/>
        </w:rPr>
        <w:t xml:space="preserve">. If anatomic or visual outcomes change, the treatment interval should be adjusted accordingly (see section 5.1). </w:t>
      </w:r>
    </w:p>
    <w:p w14:paraId="116C305F" w14:textId="657C2769" w:rsidR="00B03DB2" w:rsidRPr="00206E8A" w:rsidRDefault="00186B1A" w:rsidP="002418EA">
      <w:pPr>
        <w:pStyle w:val="Paragraph"/>
        <w:keepNext/>
        <w:spacing w:after="120"/>
        <w:rPr>
          <w:sz w:val="24"/>
        </w:rPr>
      </w:pPr>
      <w:r w:rsidRPr="00206E8A">
        <w:rPr>
          <w:sz w:val="24"/>
        </w:rPr>
        <w:t xml:space="preserve">Continued monitoring of disease activity and </w:t>
      </w:r>
      <w:proofErr w:type="spellStart"/>
      <w:r w:rsidRPr="00206E8A">
        <w:rPr>
          <w:sz w:val="24"/>
        </w:rPr>
        <w:t>individualisation</w:t>
      </w:r>
      <w:proofErr w:type="spellEnd"/>
      <w:r w:rsidRPr="00206E8A">
        <w:rPr>
          <w:sz w:val="24"/>
        </w:rPr>
        <w:t xml:space="preserve"> of dosing is recommended. </w:t>
      </w:r>
      <w:r w:rsidR="002418EA" w:rsidRPr="00206E8A">
        <w:rPr>
          <w:sz w:val="24"/>
        </w:rPr>
        <w:t xml:space="preserve">Monitoring between the dosing visits should be scheduled based on the patient's status and at the physician's </w:t>
      </w:r>
      <w:r w:rsidRPr="00206E8A">
        <w:rPr>
          <w:sz w:val="24"/>
        </w:rPr>
        <w:t>clinical judgement</w:t>
      </w:r>
      <w:r w:rsidR="002418EA" w:rsidRPr="00206E8A">
        <w:rPr>
          <w:sz w:val="24"/>
        </w:rPr>
        <w:t>.</w:t>
      </w:r>
      <w:r w:rsidR="001D44E3" w:rsidRPr="00206E8A">
        <w:rPr>
          <w:sz w:val="24"/>
        </w:rPr>
        <w:t xml:space="preserve"> </w:t>
      </w:r>
    </w:p>
    <w:p w14:paraId="2754B53D" w14:textId="77777777" w:rsidR="001A4D6F" w:rsidRPr="00206E8A" w:rsidRDefault="001A4D6F" w:rsidP="004A0DFD">
      <w:pPr>
        <w:pStyle w:val="Heading3"/>
      </w:pPr>
      <w:r w:rsidRPr="00206E8A">
        <w:t>Duration of Treatment</w:t>
      </w:r>
    </w:p>
    <w:p w14:paraId="54DF3999" w14:textId="7A061A2C" w:rsidR="00B03DB2" w:rsidRPr="00206E8A" w:rsidRDefault="00B03DB2" w:rsidP="00B03DB2">
      <w:pPr>
        <w:spacing w:after="120"/>
        <w:rPr>
          <w:color w:val="auto"/>
          <w:lang w:val="en-US" w:eastAsia="en-US"/>
        </w:rPr>
      </w:pPr>
      <w:proofErr w:type="spellStart"/>
      <w:r w:rsidRPr="00206E8A">
        <w:rPr>
          <w:color w:val="auto"/>
          <w:lang w:val="en-US" w:eastAsia="en-US"/>
        </w:rPr>
        <w:t>V</w:t>
      </w:r>
      <w:r w:rsidR="00E00D93" w:rsidRPr="00206E8A">
        <w:rPr>
          <w:color w:val="auto"/>
          <w:lang w:val="en-US" w:eastAsia="en-US"/>
        </w:rPr>
        <w:t>abysmo</w:t>
      </w:r>
      <w:proofErr w:type="spellEnd"/>
      <w:r w:rsidRPr="00206E8A">
        <w:rPr>
          <w:color w:val="auto"/>
          <w:lang w:val="en-US" w:eastAsia="en-US"/>
        </w:rPr>
        <w:t xml:space="preserve"> is intended for long-term treatment.</w:t>
      </w:r>
      <w:r w:rsidR="00E4252B" w:rsidRPr="00206E8A">
        <w:rPr>
          <w:color w:val="auto"/>
          <w:lang w:val="en-US" w:eastAsia="en-US"/>
        </w:rPr>
        <w:t xml:space="preserve"> The duration of treatment for DMO is adjusted accordingly to clinical response. The duration of treatment for </w:t>
      </w:r>
      <w:proofErr w:type="spellStart"/>
      <w:r w:rsidR="00E4252B" w:rsidRPr="00206E8A">
        <w:rPr>
          <w:color w:val="auto"/>
          <w:lang w:val="en-US" w:eastAsia="en-US"/>
        </w:rPr>
        <w:t>nAMD</w:t>
      </w:r>
      <w:proofErr w:type="spellEnd"/>
      <w:r w:rsidR="00E4252B" w:rsidRPr="00206E8A">
        <w:rPr>
          <w:color w:val="auto"/>
          <w:lang w:val="en-US" w:eastAsia="en-US"/>
        </w:rPr>
        <w:t xml:space="preserve"> is likely to be long term treatment.</w:t>
      </w:r>
    </w:p>
    <w:p w14:paraId="5726FA73" w14:textId="32F3432F" w:rsidR="00E4252B" w:rsidRPr="00B03DB2" w:rsidRDefault="00E4252B" w:rsidP="00B03DB2">
      <w:pPr>
        <w:spacing w:after="120"/>
        <w:rPr>
          <w:color w:val="auto"/>
          <w:lang w:val="en-US" w:eastAsia="en-US"/>
        </w:rPr>
      </w:pPr>
      <w:r w:rsidRPr="00206E8A">
        <w:rPr>
          <w:lang w:eastAsia="zh-CN"/>
        </w:rPr>
        <w:t xml:space="preserve">If visual and/or anatomic outcomes indicate that the patient is not benefitting from continued treatment, </w:t>
      </w:r>
      <w:proofErr w:type="spellStart"/>
      <w:r w:rsidRPr="00206E8A">
        <w:rPr>
          <w:lang w:eastAsia="zh-CN"/>
        </w:rPr>
        <w:t>Vabysmo</w:t>
      </w:r>
      <w:proofErr w:type="spellEnd"/>
      <w:r w:rsidRPr="00206E8A">
        <w:rPr>
          <w:lang w:eastAsia="zh-CN"/>
        </w:rPr>
        <w:t xml:space="preserve"> should be discontinued.</w:t>
      </w:r>
    </w:p>
    <w:p w14:paraId="66EA99E2" w14:textId="1BFA2F67" w:rsidR="001A4D6F" w:rsidRPr="00A807D3" w:rsidRDefault="00B03DB2" w:rsidP="004A0DFD">
      <w:pPr>
        <w:pStyle w:val="Heading3"/>
      </w:pPr>
      <w:r>
        <w:t>Delayed or Missed Dose</w:t>
      </w:r>
    </w:p>
    <w:p w14:paraId="7A5E7BB5" w14:textId="77777777" w:rsidR="00B03DB2" w:rsidRPr="00B03DB2" w:rsidRDefault="00B03DB2" w:rsidP="00B03DB2">
      <w:pPr>
        <w:pStyle w:val="Paragraph"/>
        <w:keepNext/>
        <w:spacing w:after="120"/>
        <w:rPr>
          <w:sz w:val="24"/>
          <w:lang w:val="en-NZ" w:eastAsia="zh-CN"/>
        </w:rPr>
      </w:pPr>
      <w:r w:rsidRPr="00B03DB2">
        <w:rPr>
          <w:sz w:val="24"/>
          <w:lang w:val="en-NZ" w:eastAsia="zh-CN"/>
        </w:rPr>
        <w:t>If a dose is delayed or missed, the patient should return to be assessed by physician at the next available visit and continue dosing depending on physician’s discretion.</w:t>
      </w:r>
    </w:p>
    <w:p w14:paraId="4458A9F4" w14:textId="0C1008BF" w:rsidR="001A4D6F" w:rsidRPr="00A807D3" w:rsidRDefault="00B03DB2" w:rsidP="004A0DFD">
      <w:pPr>
        <w:pStyle w:val="Heading3"/>
      </w:pPr>
      <w:r>
        <w:t>Dose Modification</w:t>
      </w:r>
    </w:p>
    <w:p w14:paraId="7BF283C0" w14:textId="58552D1D" w:rsidR="0063078C" w:rsidRPr="005C5D1D" w:rsidRDefault="00B03DB2" w:rsidP="005C5D1D">
      <w:pPr>
        <w:tabs>
          <w:tab w:val="left" w:pos="1065"/>
        </w:tabs>
        <w:spacing w:after="120" w:line="300" w:lineRule="atLeast"/>
        <w:rPr>
          <w:color w:val="auto"/>
        </w:rPr>
      </w:pPr>
      <w:r w:rsidRPr="00B03DB2">
        <w:rPr>
          <w:color w:val="auto"/>
        </w:rPr>
        <w:t xml:space="preserve">No dose modifications of </w:t>
      </w:r>
      <w:proofErr w:type="spellStart"/>
      <w:r w:rsidRPr="00B03DB2">
        <w:rPr>
          <w:color w:val="auto"/>
        </w:rPr>
        <w:t>V</w:t>
      </w:r>
      <w:r w:rsidR="00E00D93" w:rsidRPr="00B03DB2">
        <w:rPr>
          <w:color w:val="auto"/>
        </w:rPr>
        <w:t>abysmo</w:t>
      </w:r>
      <w:proofErr w:type="spellEnd"/>
      <w:r w:rsidRPr="00B03DB2">
        <w:rPr>
          <w:color w:val="auto"/>
        </w:rPr>
        <w:t xml:space="preserve"> are recommended.</w:t>
      </w:r>
    </w:p>
    <w:p w14:paraId="7B92FF6E" w14:textId="77777777" w:rsidR="00666925" w:rsidRPr="00B03DB2" w:rsidRDefault="00666925" w:rsidP="004A0DFD">
      <w:pPr>
        <w:pStyle w:val="Heading3"/>
      </w:pPr>
      <w:r w:rsidRPr="00B03DB2">
        <w:t>Special populations</w:t>
      </w:r>
    </w:p>
    <w:p w14:paraId="515E1EA3" w14:textId="2E4E8122" w:rsidR="00666925" w:rsidRPr="00B03DB2" w:rsidRDefault="00666925" w:rsidP="00B03DB2">
      <w:pPr>
        <w:pStyle w:val="Heading4"/>
        <w:spacing w:before="0"/>
        <w:rPr>
          <w:color w:val="auto"/>
        </w:rPr>
      </w:pPr>
      <w:r w:rsidRPr="00B03DB2">
        <w:rPr>
          <w:color w:val="auto"/>
        </w:rPr>
        <w:t>P</w:t>
      </w:r>
      <w:r w:rsidR="000A3096" w:rsidRPr="00B03DB2">
        <w:rPr>
          <w:color w:val="auto"/>
        </w:rPr>
        <w:t>a</w:t>
      </w:r>
      <w:r w:rsidRPr="00B03DB2">
        <w:rPr>
          <w:color w:val="auto"/>
        </w:rPr>
        <w:t>ediatric use</w:t>
      </w:r>
    </w:p>
    <w:p w14:paraId="7012252C" w14:textId="3D607151" w:rsidR="00B03DB2" w:rsidRDefault="00B03DB2" w:rsidP="00B03DB2">
      <w:pPr>
        <w:spacing w:after="120"/>
        <w:rPr>
          <w:lang w:val="en-US" w:eastAsia="en-US"/>
        </w:rPr>
      </w:pPr>
      <w:r w:rsidRPr="00B03DB2">
        <w:rPr>
          <w:lang w:val="en-US" w:eastAsia="en-US"/>
        </w:rPr>
        <w:t xml:space="preserve">The safety and efficacy of </w:t>
      </w:r>
      <w:proofErr w:type="spellStart"/>
      <w:r w:rsidRPr="00B03DB2">
        <w:rPr>
          <w:lang w:val="en-US" w:eastAsia="en-US"/>
        </w:rPr>
        <w:t>V</w:t>
      </w:r>
      <w:r w:rsidR="00E00D93" w:rsidRPr="00B03DB2">
        <w:rPr>
          <w:lang w:val="en-US" w:eastAsia="en-US"/>
        </w:rPr>
        <w:t>abysmo</w:t>
      </w:r>
      <w:proofErr w:type="spellEnd"/>
      <w:r w:rsidRPr="00B03DB2">
        <w:rPr>
          <w:lang w:val="en-US" w:eastAsia="en-US"/>
        </w:rPr>
        <w:t xml:space="preserve"> in pediatric patients have not been established.</w:t>
      </w:r>
    </w:p>
    <w:p w14:paraId="05E47601" w14:textId="2D63FDF3" w:rsidR="00666925" w:rsidRPr="00B03DB2" w:rsidRDefault="00666925" w:rsidP="00B03DB2">
      <w:pPr>
        <w:pStyle w:val="Heading4"/>
        <w:spacing w:before="0"/>
        <w:rPr>
          <w:color w:val="auto"/>
        </w:rPr>
      </w:pPr>
      <w:r w:rsidRPr="00B03DB2">
        <w:rPr>
          <w:color w:val="auto"/>
        </w:rPr>
        <w:t>Geriatric use</w:t>
      </w:r>
    </w:p>
    <w:p w14:paraId="288FC268" w14:textId="742BF83D" w:rsidR="00666925" w:rsidRPr="00A4304C" w:rsidRDefault="00B03DB2" w:rsidP="00666925">
      <w:pPr>
        <w:pStyle w:val="Paragraph"/>
        <w:spacing w:after="120"/>
        <w:rPr>
          <w:sz w:val="24"/>
        </w:rPr>
      </w:pPr>
      <w:r w:rsidRPr="00B03DB2">
        <w:rPr>
          <w:sz w:val="24"/>
        </w:rPr>
        <w:t xml:space="preserve">No dose adjustment is required in patients ≥ 65 years of age (see section </w:t>
      </w:r>
      <w:r w:rsidR="00820652">
        <w:rPr>
          <w:sz w:val="24"/>
        </w:rPr>
        <w:t>5.2</w:t>
      </w:r>
      <w:r w:rsidR="003E4887">
        <w:rPr>
          <w:sz w:val="24"/>
        </w:rPr>
        <w:t>)</w:t>
      </w:r>
      <w:r w:rsidR="00666925" w:rsidRPr="00A4304C">
        <w:rPr>
          <w:sz w:val="24"/>
        </w:rPr>
        <w:t>.</w:t>
      </w:r>
    </w:p>
    <w:p w14:paraId="6296F244" w14:textId="77777777" w:rsidR="00666925" w:rsidRPr="00B03DB2" w:rsidRDefault="00666925" w:rsidP="00B03DB2">
      <w:pPr>
        <w:pStyle w:val="Heading4"/>
        <w:spacing w:before="0"/>
        <w:rPr>
          <w:color w:val="auto"/>
        </w:rPr>
      </w:pPr>
      <w:r w:rsidRPr="00B03DB2">
        <w:rPr>
          <w:color w:val="auto"/>
        </w:rPr>
        <w:t>Renal Impairment</w:t>
      </w:r>
    </w:p>
    <w:p w14:paraId="53D8F763" w14:textId="40BBADBD" w:rsidR="00666925" w:rsidRPr="00A4304C" w:rsidRDefault="00B03DB2" w:rsidP="00B03DB2">
      <w:pPr>
        <w:pStyle w:val="Paragraph"/>
        <w:spacing w:after="120"/>
        <w:rPr>
          <w:sz w:val="24"/>
        </w:rPr>
      </w:pPr>
      <w:r w:rsidRPr="00B03DB2">
        <w:rPr>
          <w:sz w:val="24"/>
        </w:rPr>
        <w:t>No dose adjustment is required in patients with renal impairment</w:t>
      </w:r>
      <w:r w:rsidR="00820652">
        <w:rPr>
          <w:sz w:val="24"/>
        </w:rPr>
        <w:t xml:space="preserve"> (see section 5.2)</w:t>
      </w:r>
      <w:r w:rsidRPr="00B03DB2">
        <w:rPr>
          <w:sz w:val="24"/>
        </w:rPr>
        <w:t>.</w:t>
      </w:r>
    </w:p>
    <w:p w14:paraId="60DFE4DB" w14:textId="77777777" w:rsidR="00666925" w:rsidRPr="00B03DB2" w:rsidRDefault="00666925" w:rsidP="00B03DB2">
      <w:pPr>
        <w:pStyle w:val="Heading4"/>
        <w:spacing w:before="0"/>
        <w:rPr>
          <w:color w:val="auto"/>
        </w:rPr>
      </w:pPr>
      <w:r w:rsidRPr="00B03DB2">
        <w:rPr>
          <w:color w:val="auto"/>
        </w:rPr>
        <w:t>Hepatic Impairment</w:t>
      </w:r>
    </w:p>
    <w:p w14:paraId="1494E3E7" w14:textId="6CAF50B7" w:rsidR="00820652" w:rsidRDefault="00B03DB2" w:rsidP="00B03DB2">
      <w:pPr>
        <w:pStyle w:val="Paragraph"/>
        <w:spacing w:after="120"/>
        <w:rPr>
          <w:sz w:val="24"/>
        </w:rPr>
      </w:pPr>
      <w:r w:rsidRPr="00B03DB2">
        <w:rPr>
          <w:sz w:val="24"/>
        </w:rPr>
        <w:t>No dose adjustment is required in p</w:t>
      </w:r>
      <w:r>
        <w:rPr>
          <w:sz w:val="24"/>
        </w:rPr>
        <w:t>atients with hepatic impairment</w:t>
      </w:r>
      <w:r w:rsidR="00820652">
        <w:rPr>
          <w:sz w:val="24"/>
        </w:rPr>
        <w:t xml:space="preserve"> (see section 5.2)</w:t>
      </w:r>
      <w:r w:rsidR="00666925" w:rsidRPr="00A4304C">
        <w:rPr>
          <w:sz w:val="24"/>
        </w:rPr>
        <w:t>.</w:t>
      </w:r>
    </w:p>
    <w:p w14:paraId="6377D31D" w14:textId="77777777" w:rsidR="00820652" w:rsidRPr="00A807D3" w:rsidRDefault="00820652" w:rsidP="004A0DFD">
      <w:pPr>
        <w:pStyle w:val="Heading3"/>
      </w:pPr>
      <w:r>
        <w:t>Method of Administration</w:t>
      </w:r>
    </w:p>
    <w:p w14:paraId="4D0CBD05" w14:textId="1EE57C1F" w:rsidR="00820652" w:rsidRDefault="00820652" w:rsidP="006E1D51">
      <w:pPr>
        <w:pStyle w:val="Paragraph"/>
        <w:rPr>
          <w:lang w:val="en-NZ" w:eastAsia="en-AU"/>
        </w:rPr>
      </w:pPr>
      <w:r>
        <w:rPr>
          <w:lang w:val="en-NZ" w:eastAsia="en-AU"/>
        </w:rPr>
        <w:lastRenderedPageBreak/>
        <w:t xml:space="preserve">Single-use vial for intravitreal use </w:t>
      </w:r>
      <w:r w:rsidR="004A0DFD">
        <w:rPr>
          <w:lang w:val="en-NZ" w:eastAsia="en-AU"/>
        </w:rPr>
        <w:t xml:space="preserve">in one patient </w:t>
      </w:r>
      <w:r>
        <w:rPr>
          <w:lang w:val="en-NZ" w:eastAsia="en-AU"/>
        </w:rPr>
        <w:t>only.</w:t>
      </w:r>
      <w:r w:rsidR="004A0DFD">
        <w:rPr>
          <w:lang w:val="en-NZ" w:eastAsia="en-AU"/>
        </w:rPr>
        <w:t xml:space="preserve"> Discard any residue.</w:t>
      </w:r>
    </w:p>
    <w:p w14:paraId="7F989062" w14:textId="77777777" w:rsidR="00820652" w:rsidRPr="00B03DB2" w:rsidRDefault="00820652" w:rsidP="006E1D51">
      <w:pPr>
        <w:pStyle w:val="Paragraph"/>
        <w:rPr>
          <w:lang w:val="en-NZ" w:eastAsia="en-AU"/>
        </w:rPr>
      </w:pPr>
      <w:r w:rsidRPr="00B03DB2">
        <w:rPr>
          <w:lang w:val="en-NZ" w:eastAsia="en-AU"/>
        </w:rPr>
        <w:t>Immediately following the intravitreal injection, patients should be monitored for elevation in intraocular pressure. Appropriate monitoring may consist of a check for perfusion of the optic nerve head or tonometry. If required, sterile equipment for paracentesis should be available.</w:t>
      </w:r>
    </w:p>
    <w:p w14:paraId="1AE7ECED" w14:textId="7B002881" w:rsidR="00820652" w:rsidRDefault="00820652" w:rsidP="00820652">
      <w:pPr>
        <w:pStyle w:val="Paragraph"/>
        <w:keepNext/>
        <w:spacing w:after="120"/>
        <w:rPr>
          <w:sz w:val="24"/>
          <w:lang w:val="en-NZ" w:eastAsia="en-AU"/>
        </w:rPr>
      </w:pPr>
      <w:r w:rsidRPr="00B03DB2">
        <w:rPr>
          <w:sz w:val="24"/>
          <w:lang w:val="en-NZ" w:eastAsia="en-AU"/>
        </w:rPr>
        <w:t>Following intravitreal injection patients should be instructed to report any symptoms suggestive of endophthalmitis (</w:t>
      </w:r>
      <w:proofErr w:type="gramStart"/>
      <w:r w:rsidRPr="00B03DB2">
        <w:rPr>
          <w:sz w:val="24"/>
          <w:lang w:val="en-NZ" w:eastAsia="en-AU"/>
        </w:rPr>
        <w:t>e.g.</w:t>
      </w:r>
      <w:proofErr w:type="gramEnd"/>
      <w:r w:rsidRPr="00B03DB2">
        <w:rPr>
          <w:sz w:val="24"/>
          <w:lang w:val="en-NZ" w:eastAsia="en-AU"/>
        </w:rPr>
        <w:t xml:space="preserve"> vision loss, eye pain, redness of the eye, photophobia, blurring of vision) without delay.</w:t>
      </w:r>
    </w:p>
    <w:p w14:paraId="501EC550" w14:textId="77777777" w:rsidR="00514534" w:rsidRPr="00514534" w:rsidRDefault="00514534" w:rsidP="00514534"/>
    <w:p w14:paraId="435E8DB9" w14:textId="77777777" w:rsidR="00D96B66" w:rsidRPr="001D5564" w:rsidRDefault="00F90FA1" w:rsidP="001D5564">
      <w:pPr>
        <w:pStyle w:val="Heading4"/>
        <w:spacing w:before="0"/>
        <w:rPr>
          <w:color w:val="auto"/>
        </w:rPr>
      </w:pPr>
      <w:r w:rsidRPr="001D5564">
        <w:rPr>
          <w:color w:val="auto"/>
        </w:rPr>
        <w:t xml:space="preserve">Instructions for use and handling of </w:t>
      </w:r>
      <w:proofErr w:type="spellStart"/>
      <w:r w:rsidRPr="001D5564">
        <w:rPr>
          <w:color w:val="auto"/>
        </w:rPr>
        <w:t>Vabysmo</w:t>
      </w:r>
      <w:proofErr w:type="spellEnd"/>
    </w:p>
    <w:p w14:paraId="180232F7" w14:textId="091CEB18" w:rsidR="00D96B66" w:rsidRDefault="00F90FA1" w:rsidP="00D96B66">
      <w:pPr>
        <w:pStyle w:val="Paragraph"/>
        <w:keepNext/>
        <w:spacing w:after="120"/>
        <w:rPr>
          <w:sz w:val="24"/>
          <w:lang w:val="en-NZ" w:eastAsia="en-AU"/>
        </w:rPr>
      </w:pPr>
      <w:proofErr w:type="spellStart"/>
      <w:r w:rsidRPr="00B03DB2">
        <w:rPr>
          <w:sz w:val="24"/>
          <w:lang w:val="en-NZ" w:eastAsia="en-AU"/>
        </w:rPr>
        <w:t>Vabysmo</w:t>
      </w:r>
      <w:proofErr w:type="spellEnd"/>
      <w:r w:rsidRPr="00B03DB2">
        <w:rPr>
          <w:sz w:val="24"/>
          <w:lang w:val="en-NZ" w:eastAsia="en-AU"/>
        </w:rPr>
        <w:t xml:space="preserve"> should be inspected visually for particulate matter and discoloration prior to administration.</w:t>
      </w:r>
      <w:r>
        <w:rPr>
          <w:sz w:val="24"/>
          <w:lang w:val="en-NZ" w:eastAsia="en-AU"/>
        </w:rPr>
        <w:t xml:space="preserve"> </w:t>
      </w:r>
      <w:proofErr w:type="spellStart"/>
      <w:r w:rsidR="005B05F2" w:rsidRPr="005B05F2">
        <w:rPr>
          <w:sz w:val="24"/>
          <w:lang w:val="en-NZ" w:eastAsia="en-AU"/>
        </w:rPr>
        <w:t>Vabysmo</w:t>
      </w:r>
      <w:proofErr w:type="spellEnd"/>
      <w:r w:rsidR="005B05F2" w:rsidRPr="005B05F2">
        <w:rPr>
          <w:sz w:val="24"/>
          <w:lang w:val="en-NZ" w:eastAsia="en-AU"/>
        </w:rPr>
        <w:t xml:space="preserve"> is a clear to opalescent and </w:t>
      </w:r>
      <w:r w:rsidR="007238C9" w:rsidRPr="005B05F2">
        <w:rPr>
          <w:sz w:val="24"/>
          <w:lang w:val="en-NZ" w:eastAsia="en-AU"/>
        </w:rPr>
        <w:t>colourless</w:t>
      </w:r>
      <w:r w:rsidR="005B05F2" w:rsidRPr="005B05F2">
        <w:rPr>
          <w:sz w:val="24"/>
          <w:lang w:val="en-NZ" w:eastAsia="en-AU"/>
        </w:rPr>
        <w:t xml:space="preserve"> to brownish-yellow liquid solution</w:t>
      </w:r>
      <w:r w:rsidR="005B05F2">
        <w:rPr>
          <w:sz w:val="24"/>
          <w:lang w:val="en-NZ" w:eastAsia="en-AU"/>
        </w:rPr>
        <w:t xml:space="preserve">. </w:t>
      </w:r>
      <w:r>
        <w:rPr>
          <w:sz w:val="24"/>
          <w:lang w:val="en-NZ" w:eastAsia="en-AU"/>
        </w:rPr>
        <w:t xml:space="preserve">Do not use the vial if particles, </w:t>
      </w:r>
      <w:proofErr w:type="gramStart"/>
      <w:r>
        <w:rPr>
          <w:sz w:val="24"/>
          <w:lang w:val="en-NZ" w:eastAsia="en-AU"/>
        </w:rPr>
        <w:t>cloudiness</w:t>
      </w:r>
      <w:proofErr w:type="gramEnd"/>
      <w:r>
        <w:rPr>
          <w:sz w:val="24"/>
          <w:lang w:val="en-NZ" w:eastAsia="en-AU"/>
        </w:rPr>
        <w:t xml:space="preserve"> or discolouration are visible.</w:t>
      </w:r>
      <w:r w:rsidR="00D96B66">
        <w:rPr>
          <w:sz w:val="24"/>
          <w:lang w:val="en-NZ" w:eastAsia="en-AU"/>
        </w:rPr>
        <w:t xml:space="preserve"> </w:t>
      </w:r>
      <w:r>
        <w:rPr>
          <w:sz w:val="24"/>
          <w:lang w:val="en-NZ" w:eastAsia="en-AU"/>
        </w:rPr>
        <w:t xml:space="preserve">Allow the </w:t>
      </w:r>
      <w:proofErr w:type="spellStart"/>
      <w:r>
        <w:rPr>
          <w:sz w:val="24"/>
          <w:lang w:val="en-NZ" w:eastAsia="en-AU"/>
        </w:rPr>
        <w:t>Vabysmo</w:t>
      </w:r>
      <w:proofErr w:type="spellEnd"/>
      <w:r>
        <w:rPr>
          <w:sz w:val="24"/>
          <w:lang w:val="en-NZ" w:eastAsia="en-AU"/>
        </w:rPr>
        <w:t xml:space="preserve"> vial to reach room temperature (20</w:t>
      </w:r>
      <w:r w:rsidRPr="00F90FA1">
        <w:rPr>
          <w:sz w:val="24"/>
          <w:lang w:val="en-NZ" w:eastAsia="en-AU"/>
        </w:rPr>
        <w:t xml:space="preserve">°C </w:t>
      </w:r>
      <w:r>
        <w:rPr>
          <w:sz w:val="24"/>
          <w:lang w:val="en-NZ" w:eastAsia="en-AU"/>
        </w:rPr>
        <w:t xml:space="preserve">to </w:t>
      </w:r>
      <w:r w:rsidRPr="00F90FA1">
        <w:rPr>
          <w:sz w:val="24"/>
          <w:lang w:val="en-NZ" w:eastAsia="en-AU"/>
        </w:rPr>
        <w:t>25°C</w:t>
      </w:r>
      <w:r>
        <w:rPr>
          <w:sz w:val="24"/>
          <w:lang w:val="en-NZ" w:eastAsia="en-AU"/>
        </w:rPr>
        <w:t xml:space="preserve">) before use. Keep the vial in the original carton to protect from light. </w:t>
      </w:r>
      <w:r w:rsidR="00071E22">
        <w:rPr>
          <w:sz w:val="24"/>
          <w:lang w:val="en-NZ" w:eastAsia="en-AU"/>
        </w:rPr>
        <w:t>The</w:t>
      </w:r>
      <w:r w:rsidRPr="00F90FA1">
        <w:rPr>
          <w:sz w:val="24"/>
          <w:lang w:val="en-NZ" w:eastAsia="en-AU"/>
        </w:rPr>
        <w:t xml:space="preserve"> unopened </w:t>
      </w:r>
      <w:proofErr w:type="spellStart"/>
      <w:r>
        <w:rPr>
          <w:sz w:val="24"/>
          <w:lang w:val="en-NZ" w:eastAsia="en-AU"/>
        </w:rPr>
        <w:t>Vabysmo</w:t>
      </w:r>
      <w:proofErr w:type="spellEnd"/>
      <w:r>
        <w:rPr>
          <w:sz w:val="24"/>
          <w:lang w:val="en-NZ" w:eastAsia="en-AU"/>
        </w:rPr>
        <w:t xml:space="preserve"> </w:t>
      </w:r>
      <w:r w:rsidRPr="00F90FA1">
        <w:rPr>
          <w:sz w:val="24"/>
          <w:lang w:val="en-NZ" w:eastAsia="en-AU"/>
        </w:rPr>
        <w:t xml:space="preserve">vial may be stored at room temperature (25°C) for up to 24 hours. </w:t>
      </w:r>
    </w:p>
    <w:p w14:paraId="1B7CE518" w14:textId="29496242" w:rsidR="00F90FA1" w:rsidRDefault="00D96B66" w:rsidP="001D5564">
      <w:pPr>
        <w:pStyle w:val="Heading5"/>
      </w:pPr>
      <w:r>
        <w:t xml:space="preserve">Preparation of the </w:t>
      </w:r>
      <w:r w:rsidRPr="00F90FA1">
        <w:t>intravitreal injection</w:t>
      </w:r>
      <w:r>
        <w:t>:</w:t>
      </w:r>
    </w:p>
    <w:p w14:paraId="38F8DF98" w14:textId="7BA985E7" w:rsidR="00D96B66" w:rsidRPr="00514534" w:rsidRDefault="005B05F2" w:rsidP="007238C9">
      <w:pPr>
        <w:pStyle w:val="ListParagraph"/>
        <w:numPr>
          <w:ilvl w:val="0"/>
          <w:numId w:val="19"/>
        </w:numPr>
        <w:spacing w:after="120"/>
        <w:contextualSpacing w:val="0"/>
      </w:pPr>
      <w:r w:rsidRPr="00514534">
        <w:t>Use aseptic technique to carry out the preparation of the intravitreal injection</w:t>
      </w:r>
      <w:r w:rsidR="00D96B66" w:rsidRPr="00514534">
        <w:t>.</w:t>
      </w:r>
    </w:p>
    <w:p w14:paraId="40DF8796" w14:textId="18D36798" w:rsidR="00D96B66" w:rsidRPr="00514534" w:rsidRDefault="005B05F2" w:rsidP="007238C9">
      <w:pPr>
        <w:pStyle w:val="ListParagraph"/>
        <w:numPr>
          <w:ilvl w:val="0"/>
          <w:numId w:val="19"/>
        </w:numPr>
        <w:spacing w:after="120"/>
        <w:contextualSpacing w:val="0"/>
      </w:pPr>
      <w:r w:rsidRPr="00514534">
        <w:t>To ensure all liquid settles at the bottom of the vial, place the vial upright on a flat surface (for about 1 minute) after removal from packaging. Gently tap the vial with your finger, as liquid may stick to the top of the vial.</w:t>
      </w:r>
    </w:p>
    <w:p w14:paraId="77874892" w14:textId="44615C15" w:rsidR="00D96B66" w:rsidRDefault="00D96B66" w:rsidP="007238C9">
      <w:pPr>
        <w:pStyle w:val="ListParagraph"/>
        <w:numPr>
          <w:ilvl w:val="0"/>
          <w:numId w:val="19"/>
        </w:numPr>
        <w:spacing w:after="120"/>
        <w:contextualSpacing w:val="0"/>
      </w:pPr>
      <w:r w:rsidRPr="00514534">
        <w:t>Remove the</w:t>
      </w:r>
      <w:r w:rsidRPr="00A91CB3">
        <w:t xml:space="preserve"> flip-off cap </w:t>
      </w:r>
      <w:r w:rsidR="005B05F2" w:rsidRPr="00A91CB3">
        <w:t xml:space="preserve">from the </w:t>
      </w:r>
      <w:r w:rsidRPr="00045CCD">
        <w:t>vial and</w:t>
      </w:r>
      <w:r w:rsidRPr="00D96B66">
        <w:t xml:space="preserve"> </w:t>
      </w:r>
      <w:r>
        <w:t>disinfect the vial septum.</w:t>
      </w:r>
    </w:p>
    <w:p w14:paraId="19AC0DEA" w14:textId="0F9D4675" w:rsidR="00D96B66" w:rsidRPr="00514534" w:rsidRDefault="00D96B66" w:rsidP="007238C9">
      <w:pPr>
        <w:pStyle w:val="ListParagraph"/>
        <w:numPr>
          <w:ilvl w:val="0"/>
          <w:numId w:val="19"/>
        </w:numPr>
        <w:spacing w:after="120"/>
        <w:contextualSpacing w:val="0"/>
      </w:pPr>
      <w:r w:rsidRPr="00514534">
        <w:t xml:space="preserve">Firmly attach the included 18 G x 1½ inch transfer filter needle onto a 1 mL </w:t>
      </w:r>
      <w:proofErr w:type="spellStart"/>
      <w:r w:rsidRPr="00514534">
        <w:t>Luer</w:t>
      </w:r>
      <w:proofErr w:type="spellEnd"/>
      <w:r w:rsidRPr="00514534">
        <w:t xml:space="preserve"> lock syringe</w:t>
      </w:r>
      <w:r w:rsidR="001D5564" w:rsidRPr="00514534">
        <w:t>.</w:t>
      </w:r>
    </w:p>
    <w:p w14:paraId="595A3062" w14:textId="25BF97D8" w:rsidR="00D96B66" w:rsidRPr="00514534" w:rsidRDefault="00D96B66" w:rsidP="007238C9">
      <w:pPr>
        <w:pStyle w:val="ListParagraph"/>
        <w:numPr>
          <w:ilvl w:val="0"/>
          <w:numId w:val="19"/>
        </w:numPr>
        <w:spacing w:after="120"/>
        <w:contextualSpacing w:val="0"/>
      </w:pPr>
      <w:r w:rsidRPr="00514534">
        <w:t>Push the transfer filter needle into the centre of the vial septum until the needle is completely inserted into the vial. Tilt the vial slightly so that the needle touches the bottom edge of the vial</w:t>
      </w:r>
      <w:r w:rsidR="001D5564" w:rsidRPr="00514534">
        <w:t>.</w:t>
      </w:r>
    </w:p>
    <w:p w14:paraId="6F14FCCA" w14:textId="01EEC4DE" w:rsidR="00010B6F" w:rsidRPr="00514534" w:rsidRDefault="00010B6F" w:rsidP="007238C9">
      <w:pPr>
        <w:pStyle w:val="ListParagraph"/>
        <w:spacing w:after="120"/>
        <w:contextualSpacing w:val="0"/>
      </w:pPr>
      <w:r w:rsidRPr="00514534">
        <w:rPr>
          <w:noProof/>
          <w:lang w:val="en-AU" w:eastAsia="zh-CN"/>
        </w:rPr>
        <w:drawing>
          <wp:inline distT="0" distB="0" distL="0" distR="0" wp14:anchorId="40032CB9" wp14:editId="54D79843">
            <wp:extent cx="1595177" cy="1388458"/>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llustrations for Master IFU - Vial copackaged with transfer filter needle 2mL Faricimab V1_Figure 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9129" cy="1391898"/>
                    </a:xfrm>
                    <a:prstGeom prst="rect">
                      <a:avLst/>
                    </a:prstGeom>
                  </pic:spPr>
                </pic:pic>
              </a:graphicData>
            </a:graphic>
          </wp:inline>
        </w:drawing>
      </w:r>
    </w:p>
    <w:p w14:paraId="7C2FB05B" w14:textId="365EABD1" w:rsidR="00D96B66" w:rsidRPr="00514534" w:rsidRDefault="00D96B66" w:rsidP="007238C9">
      <w:pPr>
        <w:pStyle w:val="ListParagraph"/>
        <w:numPr>
          <w:ilvl w:val="0"/>
          <w:numId w:val="19"/>
        </w:numPr>
        <w:spacing w:after="120"/>
        <w:contextualSpacing w:val="0"/>
      </w:pPr>
      <w:r w:rsidRPr="00514534">
        <w:t xml:space="preserve">Hold the vial slightly inclined and </w:t>
      </w:r>
      <w:r w:rsidRPr="007238C9">
        <w:rPr>
          <w:b/>
        </w:rPr>
        <w:t>slowly</w:t>
      </w:r>
      <w:r w:rsidRPr="00514534">
        <w:t xml:space="preserve"> withdraw all the liquid from the vial. The bevel of the transfer filter needle must be kept submerged in the liquid, to avoid introduction of air</w:t>
      </w:r>
      <w:r w:rsidR="001D5564" w:rsidRPr="00514534">
        <w:t>.</w:t>
      </w:r>
    </w:p>
    <w:p w14:paraId="7740AE94" w14:textId="77D2F1AA" w:rsidR="00010B6F" w:rsidRPr="00514534" w:rsidRDefault="00010B6F" w:rsidP="007238C9">
      <w:pPr>
        <w:pStyle w:val="ListParagraph"/>
        <w:spacing w:after="120"/>
        <w:contextualSpacing w:val="0"/>
      </w:pPr>
      <w:r w:rsidRPr="00514534">
        <w:rPr>
          <w:noProof/>
          <w:lang w:val="en-AU" w:eastAsia="zh-CN"/>
        </w:rPr>
        <w:lastRenderedPageBreak/>
        <w:drawing>
          <wp:inline distT="0" distB="0" distL="0" distR="0" wp14:anchorId="734EAD2C" wp14:editId="0AAA4C76">
            <wp:extent cx="1069675" cy="10696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llustrations for Master IFU - Vial copackaged with transfer filter needle 2mL Faricimab V1_Figure H.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4051" cy="1074051"/>
                    </a:xfrm>
                    <a:prstGeom prst="rect">
                      <a:avLst/>
                    </a:prstGeom>
                  </pic:spPr>
                </pic:pic>
              </a:graphicData>
            </a:graphic>
          </wp:inline>
        </w:drawing>
      </w:r>
    </w:p>
    <w:p w14:paraId="7D03CA6B" w14:textId="68A18AC2" w:rsidR="00010B6F" w:rsidRPr="00514534" w:rsidRDefault="00D96B66" w:rsidP="007238C9">
      <w:pPr>
        <w:pStyle w:val="ListParagraph"/>
        <w:numPr>
          <w:ilvl w:val="0"/>
          <w:numId w:val="19"/>
        </w:numPr>
        <w:spacing w:after="120"/>
        <w:contextualSpacing w:val="0"/>
      </w:pPr>
      <w:r w:rsidRPr="00514534">
        <w:t xml:space="preserve">Ensure that the plunger rod is drawn sufficiently back when emptying the vial, </w:t>
      </w:r>
      <w:proofErr w:type="gramStart"/>
      <w:r w:rsidRPr="00514534">
        <w:t>in order to</w:t>
      </w:r>
      <w:proofErr w:type="gramEnd"/>
      <w:r w:rsidRPr="00514534">
        <w:t xml:space="preserve"> completely empty the transfer filter needle</w:t>
      </w:r>
      <w:r w:rsidR="001D5564" w:rsidRPr="00514534">
        <w:t>.</w:t>
      </w:r>
    </w:p>
    <w:p w14:paraId="03B33AB7" w14:textId="697ACA27" w:rsidR="00D96B66" w:rsidRPr="00514534" w:rsidRDefault="00D96B66" w:rsidP="007238C9">
      <w:pPr>
        <w:pStyle w:val="ListParagraph"/>
        <w:numPr>
          <w:ilvl w:val="0"/>
          <w:numId w:val="19"/>
        </w:numPr>
        <w:spacing w:after="120"/>
        <w:contextualSpacing w:val="0"/>
      </w:pPr>
      <w:r w:rsidRPr="00514534">
        <w:t xml:space="preserve">Disconnect the transfer filter needle from the syringe and </w:t>
      </w:r>
      <w:r w:rsidR="00010B6F" w:rsidRPr="00514534">
        <w:t xml:space="preserve">appropriately </w:t>
      </w:r>
      <w:r w:rsidRPr="00514534">
        <w:t>dispose of it</w:t>
      </w:r>
      <w:r w:rsidR="00010B6F" w:rsidRPr="00514534">
        <w:t xml:space="preserve">. </w:t>
      </w:r>
      <w:r w:rsidR="00010B6F" w:rsidRPr="007238C9">
        <w:rPr>
          <w:b/>
        </w:rPr>
        <w:t>Do not use the transfer filter needle for the intravitreal injection.</w:t>
      </w:r>
    </w:p>
    <w:p w14:paraId="6C42FD4B" w14:textId="3A58C1D2" w:rsidR="00D96B66" w:rsidRPr="00514534" w:rsidRDefault="00D96B66" w:rsidP="007238C9">
      <w:pPr>
        <w:pStyle w:val="ListParagraph"/>
        <w:numPr>
          <w:ilvl w:val="0"/>
          <w:numId w:val="19"/>
        </w:numPr>
        <w:spacing w:after="120"/>
        <w:contextualSpacing w:val="0"/>
      </w:pPr>
      <w:r w:rsidRPr="00514534">
        <w:t>Ase</w:t>
      </w:r>
      <w:r w:rsidR="001D5564" w:rsidRPr="00514534">
        <w:t>ptically and firmly attach a 30 G</w:t>
      </w:r>
      <w:r w:rsidRPr="00514534">
        <w:t xml:space="preserve"> x ½ inch injection needle onto the </w:t>
      </w:r>
      <w:proofErr w:type="spellStart"/>
      <w:r w:rsidRPr="00514534">
        <w:t>Luer</w:t>
      </w:r>
      <w:proofErr w:type="spellEnd"/>
      <w:r w:rsidRPr="00514534">
        <w:t xml:space="preserve"> lock syringe</w:t>
      </w:r>
      <w:r w:rsidR="001D5564" w:rsidRPr="00514534">
        <w:t>.</w:t>
      </w:r>
    </w:p>
    <w:p w14:paraId="25D74DC2" w14:textId="7AC63F17" w:rsidR="00D96B66" w:rsidRPr="00514534" w:rsidRDefault="001D5564" w:rsidP="007238C9">
      <w:pPr>
        <w:pStyle w:val="ListParagraph"/>
        <w:numPr>
          <w:ilvl w:val="0"/>
          <w:numId w:val="19"/>
        </w:numPr>
        <w:spacing w:after="120"/>
        <w:contextualSpacing w:val="0"/>
      </w:pPr>
      <w:r w:rsidRPr="00514534">
        <w:t>H</w:t>
      </w:r>
      <w:r w:rsidR="00D96B66" w:rsidRPr="00514534">
        <w:t>old the syringe with the needle pointing up</w:t>
      </w:r>
      <w:r w:rsidRPr="00514534">
        <w:t xml:space="preserve"> to check for air bubbles</w:t>
      </w:r>
      <w:r w:rsidR="00D96B66" w:rsidRPr="00514534">
        <w:t>. If there are any air bubbles, gently tap the syringe with your finger until the bubbles rise to the top</w:t>
      </w:r>
      <w:r w:rsidRPr="00514534">
        <w:t>.</w:t>
      </w:r>
    </w:p>
    <w:p w14:paraId="497C88ED" w14:textId="69AD09FA" w:rsidR="00010B6F" w:rsidRPr="00514534" w:rsidRDefault="00010B6F" w:rsidP="007238C9">
      <w:pPr>
        <w:pStyle w:val="ListParagraph"/>
        <w:spacing w:after="120"/>
        <w:contextualSpacing w:val="0"/>
      </w:pPr>
      <w:r w:rsidRPr="00514534">
        <w:rPr>
          <w:noProof/>
          <w:lang w:val="en-AU" w:eastAsia="zh-CN"/>
        </w:rPr>
        <w:drawing>
          <wp:inline distT="0" distB="0" distL="0" distR="0" wp14:anchorId="2E64AFD0" wp14:editId="67B978EE">
            <wp:extent cx="2259159" cy="1862919"/>
            <wp:effectExtent l="0" t="0" r="8255"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llustrations for Master IFU - Vial copackaged with transfer filter needle 2mL Faricimab V1_Figure J.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2079" cy="1865327"/>
                    </a:xfrm>
                    <a:prstGeom prst="rect">
                      <a:avLst/>
                    </a:prstGeom>
                  </pic:spPr>
                </pic:pic>
              </a:graphicData>
            </a:graphic>
          </wp:inline>
        </w:drawing>
      </w:r>
    </w:p>
    <w:p w14:paraId="390B2769" w14:textId="17532782" w:rsidR="00D96B66" w:rsidRPr="00514534" w:rsidRDefault="00D96B66" w:rsidP="007238C9">
      <w:pPr>
        <w:pStyle w:val="ListParagraph"/>
        <w:numPr>
          <w:ilvl w:val="0"/>
          <w:numId w:val="19"/>
        </w:numPr>
        <w:spacing w:after="120"/>
        <w:contextualSpacing w:val="0"/>
      </w:pPr>
      <w:r w:rsidRPr="00514534">
        <w:t xml:space="preserve">Carefully expel the air from the syringe and needle and </w:t>
      </w:r>
      <w:r w:rsidRPr="007238C9">
        <w:rPr>
          <w:b/>
        </w:rPr>
        <w:t>slowly</w:t>
      </w:r>
      <w:r w:rsidRPr="00514534">
        <w:t xml:space="preserve"> depress the plunger to align the rubber stopper tip to the 0.05 mL dose mark. </w:t>
      </w:r>
    </w:p>
    <w:p w14:paraId="07BE40E0" w14:textId="735FB39E" w:rsidR="00010B6F" w:rsidRPr="00514534" w:rsidRDefault="00010B6F" w:rsidP="007238C9">
      <w:pPr>
        <w:pStyle w:val="ListParagraph"/>
        <w:spacing w:after="120"/>
        <w:contextualSpacing w:val="0"/>
      </w:pPr>
      <w:r w:rsidRPr="00514534">
        <w:rPr>
          <w:noProof/>
          <w:lang w:val="en-AU" w:eastAsia="zh-CN"/>
        </w:rPr>
        <w:drawing>
          <wp:inline distT="0" distB="0" distL="0" distR="0" wp14:anchorId="5489B953" wp14:editId="4297965F">
            <wp:extent cx="2676626" cy="191068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llustrations for Master IFU - Vial copackaged with transfer filter needle 2mL Faricimab V1_Figure 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9527" cy="1941311"/>
                    </a:xfrm>
                    <a:prstGeom prst="rect">
                      <a:avLst/>
                    </a:prstGeom>
                  </pic:spPr>
                </pic:pic>
              </a:graphicData>
            </a:graphic>
          </wp:inline>
        </w:drawing>
      </w:r>
    </w:p>
    <w:p w14:paraId="397AB859" w14:textId="48438A99" w:rsidR="00010B6F" w:rsidRPr="00514534" w:rsidRDefault="00010B6F" w:rsidP="007238C9">
      <w:pPr>
        <w:pStyle w:val="ListParagraph"/>
        <w:numPr>
          <w:ilvl w:val="0"/>
          <w:numId w:val="19"/>
        </w:numPr>
        <w:spacing w:after="120"/>
        <w:contextualSpacing w:val="0"/>
      </w:pPr>
      <w:r w:rsidRPr="00514534">
        <w:t xml:space="preserve">Ensure that the injection is given </w:t>
      </w:r>
      <w:r w:rsidRPr="007238C9">
        <w:rPr>
          <w:b/>
        </w:rPr>
        <w:t>immediately</w:t>
      </w:r>
      <w:r w:rsidRPr="00514534">
        <w:t xml:space="preserve"> after preparation of the dose.</w:t>
      </w:r>
    </w:p>
    <w:p w14:paraId="6228DBC8" w14:textId="21A54D55" w:rsidR="005B05F2" w:rsidRPr="00514534" w:rsidRDefault="005B05F2" w:rsidP="007238C9">
      <w:pPr>
        <w:pStyle w:val="ListParagraph"/>
        <w:numPr>
          <w:ilvl w:val="0"/>
          <w:numId w:val="19"/>
        </w:numPr>
        <w:spacing w:after="120"/>
        <w:contextualSpacing w:val="0"/>
      </w:pPr>
      <w:r w:rsidRPr="00514534">
        <w:t xml:space="preserve">Inject slowly until the rubber stopper reaches the end of the syringe to deliver the volume of 0.05 </w:t>
      </w:r>
      <w:proofErr w:type="spellStart"/>
      <w:r w:rsidRPr="00514534">
        <w:t>mL.</w:t>
      </w:r>
      <w:proofErr w:type="spellEnd"/>
      <w:r w:rsidRPr="00514534">
        <w:t xml:space="preserve"> Confirm delivery of the full dose by checking that the rubber stopper has reached the end of the syringe barrel.</w:t>
      </w:r>
    </w:p>
    <w:p w14:paraId="338D54F3" w14:textId="24500912" w:rsidR="00820652" w:rsidRPr="00206E8A" w:rsidRDefault="00010B6F" w:rsidP="007238C9">
      <w:pPr>
        <w:pStyle w:val="ListParagraph"/>
        <w:numPr>
          <w:ilvl w:val="0"/>
          <w:numId w:val="19"/>
        </w:numPr>
        <w:spacing w:after="120"/>
        <w:contextualSpacing w:val="0"/>
      </w:pPr>
      <w:r w:rsidRPr="00514534">
        <w:t>Dispose of any waste material or unused</w:t>
      </w:r>
      <w:r>
        <w:t xml:space="preserve"> medicinal product.</w:t>
      </w:r>
    </w:p>
    <w:p w14:paraId="6FCF726E" w14:textId="77777777" w:rsidR="00D52399" w:rsidRPr="00A807D3" w:rsidRDefault="00902EBE" w:rsidP="009F4C5B">
      <w:pPr>
        <w:pStyle w:val="Heading2"/>
        <w:numPr>
          <w:ilvl w:val="1"/>
          <w:numId w:val="2"/>
        </w:numPr>
        <w:spacing w:before="0"/>
        <w:ind w:left="0" w:firstLine="0"/>
        <w:rPr>
          <w:color w:val="auto"/>
        </w:rPr>
      </w:pPr>
      <w:r w:rsidRPr="00A807D3">
        <w:rPr>
          <w:color w:val="auto"/>
        </w:rPr>
        <w:lastRenderedPageBreak/>
        <w:t>CONTRAINDICATIONS</w:t>
      </w:r>
    </w:p>
    <w:p w14:paraId="0E22D2AD" w14:textId="77777777" w:rsidR="00820652" w:rsidRDefault="00B03DB2" w:rsidP="00B03DB2">
      <w:pPr>
        <w:spacing w:after="120"/>
        <w:rPr>
          <w:color w:val="auto"/>
          <w:lang w:val="en-US" w:eastAsia="en-US"/>
        </w:rPr>
      </w:pPr>
      <w:proofErr w:type="spellStart"/>
      <w:r w:rsidRPr="00B03DB2">
        <w:rPr>
          <w:color w:val="auto"/>
          <w:lang w:val="en-US" w:eastAsia="en-US"/>
        </w:rPr>
        <w:t>V</w:t>
      </w:r>
      <w:r w:rsidR="00E00D93" w:rsidRPr="00B03DB2">
        <w:rPr>
          <w:color w:val="auto"/>
          <w:lang w:val="en-US" w:eastAsia="en-US"/>
        </w:rPr>
        <w:t>abysmo</w:t>
      </w:r>
      <w:proofErr w:type="spellEnd"/>
      <w:r w:rsidRPr="00B03DB2">
        <w:rPr>
          <w:color w:val="auto"/>
          <w:lang w:val="en-US" w:eastAsia="en-US"/>
        </w:rPr>
        <w:t xml:space="preserve"> is contraindicated in patients with</w:t>
      </w:r>
      <w:r w:rsidR="00820652">
        <w:rPr>
          <w:color w:val="auto"/>
          <w:lang w:val="en-US" w:eastAsia="en-US"/>
        </w:rPr>
        <w:t>:</w:t>
      </w:r>
    </w:p>
    <w:p w14:paraId="0963F49D" w14:textId="697E63B6" w:rsidR="00820652" w:rsidRPr="007238C9" w:rsidRDefault="00820652" w:rsidP="007238C9">
      <w:pPr>
        <w:pStyle w:val="ListParagraph"/>
        <w:numPr>
          <w:ilvl w:val="0"/>
          <w:numId w:val="20"/>
        </w:numPr>
        <w:spacing w:after="120"/>
        <w:rPr>
          <w:color w:val="auto"/>
          <w:lang w:val="en-US" w:eastAsia="en-US"/>
        </w:rPr>
      </w:pPr>
      <w:r w:rsidRPr="007238C9">
        <w:rPr>
          <w:color w:val="auto"/>
          <w:lang w:val="en-US" w:eastAsia="en-US"/>
        </w:rPr>
        <w:t xml:space="preserve">a known hypersensitivity to </w:t>
      </w:r>
      <w:proofErr w:type="spellStart"/>
      <w:r w:rsidRPr="007238C9">
        <w:rPr>
          <w:color w:val="auto"/>
          <w:lang w:val="en-US" w:eastAsia="en-US"/>
        </w:rPr>
        <w:t>faricimab</w:t>
      </w:r>
      <w:proofErr w:type="spellEnd"/>
      <w:r w:rsidRPr="007238C9">
        <w:rPr>
          <w:color w:val="auto"/>
          <w:lang w:val="en-US" w:eastAsia="en-US"/>
        </w:rPr>
        <w:t xml:space="preserve"> or any of the excipients listed in section 6.1. Hypersensitivity reactions may manifest as rash, pruritus, urticaria, erythema, or severe intraocular inflammation.</w:t>
      </w:r>
    </w:p>
    <w:p w14:paraId="752760B6" w14:textId="087B9DDE" w:rsidR="00820652" w:rsidRPr="007238C9" w:rsidRDefault="00B03DB2" w:rsidP="007238C9">
      <w:pPr>
        <w:pStyle w:val="ListParagraph"/>
        <w:numPr>
          <w:ilvl w:val="0"/>
          <w:numId w:val="20"/>
        </w:numPr>
        <w:spacing w:after="120"/>
        <w:rPr>
          <w:color w:val="auto"/>
          <w:lang w:val="en-US" w:eastAsia="en-US"/>
        </w:rPr>
      </w:pPr>
      <w:r w:rsidRPr="007238C9">
        <w:rPr>
          <w:color w:val="auto"/>
          <w:lang w:val="en-US" w:eastAsia="en-US"/>
        </w:rPr>
        <w:t>o</w:t>
      </w:r>
      <w:r w:rsidR="00820652" w:rsidRPr="007238C9">
        <w:rPr>
          <w:color w:val="auto"/>
          <w:lang w:val="en-US" w:eastAsia="en-US"/>
        </w:rPr>
        <w:t>cular or periocular infections</w:t>
      </w:r>
    </w:p>
    <w:p w14:paraId="72F7E485" w14:textId="40220BB1" w:rsidR="00B03DB2" w:rsidRPr="007238C9" w:rsidRDefault="00B03DB2" w:rsidP="007238C9">
      <w:pPr>
        <w:pStyle w:val="ListParagraph"/>
        <w:numPr>
          <w:ilvl w:val="0"/>
          <w:numId w:val="20"/>
        </w:numPr>
        <w:spacing w:after="120"/>
        <w:rPr>
          <w:color w:val="auto"/>
          <w:lang w:val="en-US" w:eastAsia="en-US"/>
        </w:rPr>
      </w:pPr>
      <w:r w:rsidRPr="007238C9">
        <w:rPr>
          <w:color w:val="auto"/>
          <w:lang w:val="en-US" w:eastAsia="en-US"/>
        </w:rPr>
        <w:t>active intraocular inflammation.</w:t>
      </w:r>
    </w:p>
    <w:p w14:paraId="6EAC1ACD" w14:textId="77777777" w:rsidR="00D52399" w:rsidRPr="00A807D3" w:rsidRDefault="00902EBE" w:rsidP="009F4C5B">
      <w:pPr>
        <w:pStyle w:val="Heading2"/>
        <w:spacing w:before="0"/>
        <w:rPr>
          <w:color w:val="auto"/>
        </w:rPr>
      </w:pPr>
      <w:r w:rsidRPr="00A807D3">
        <w:rPr>
          <w:color w:val="auto"/>
        </w:rPr>
        <w:t>4.4</w:t>
      </w:r>
      <w:r w:rsidRPr="00A807D3">
        <w:rPr>
          <w:color w:val="auto"/>
        </w:rPr>
        <w:tab/>
        <w:t>SPECIAL WARNINGS AND PRECAUTIONS FOR USE</w:t>
      </w:r>
    </w:p>
    <w:p w14:paraId="7AEA9FC4" w14:textId="66E5416D" w:rsidR="00DC0776" w:rsidRPr="00A807D3" w:rsidRDefault="00B03DB2" w:rsidP="00DC0776">
      <w:pPr>
        <w:pStyle w:val="Heading3"/>
        <w:spacing w:after="120" w:line="240" w:lineRule="auto"/>
        <w:rPr>
          <w:color w:val="auto"/>
        </w:rPr>
      </w:pPr>
      <w:r w:rsidRPr="00B03DB2">
        <w:rPr>
          <w:color w:val="auto"/>
        </w:rPr>
        <w:t>Intravitreal injection-related reactions</w:t>
      </w:r>
    </w:p>
    <w:p w14:paraId="1E95BE55" w14:textId="37EE91DB" w:rsidR="00B03DB2" w:rsidRDefault="00B03DB2" w:rsidP="00B03DB2">
      <w:pPr>
        <w:pStyle w:val="NormalWeb"/>
        <w:spacing w:before="0" w:beforeAutospacing="0" w:after="120" w:afterAutospacing="0" w:line="300" w:lineRule="atLeast"/>
      </w:pPr>
      <w:r>
        <w:t xml:space="preserve">Intravitreal injections, including those with </w:t>
      </w:r>
      <w:proofErr w:type="spellStart"/>
      <w:r>
        <w:t>V</w:t>
      </w:r>
      <w:r w:rsidR="00E00D93">
        <w:t>abysmo</w:t>
      </w:r>
      <w:proofErr w:type="spellEnd"/>
      <w:r>
        <w:t xml:space="preserve"> have been associated with endophthalmitis, intraocular inflammation, </w:t>
      </w:r>
      <w:proofErr w:type="spellStart"/>
      <w:r>
        <w:t>rhegmatogenous</w:t>
      </w:r>
      <w:proofErr w:type="spellEnd"/>
      <w:r>
        <w:t xml:space="preserve"> retinal detachment and retinal tear. Proper aseptic injection techniques must always be used when administering </w:t>
      </w:r>
      <w:proofErr w:type="spellStart"/>
      <w:r>
        <w:t>V</w:t>
      </w:r>
      <w:r w:rsidR="00E00D93">
        <w:t>abysmo</w:t>
      </w:r>
      <w:proofErr w:type="spellEnd"/>
      <w:r>
        <w:t xml:space="preserve">. Patients should be instructed to report any symptoms, such as pain, loss of vision, photophobia, blurred vision, floaters, or redness, suggestive of endophthalmitis or any of the above-mentioned events without delay, to permit prompt and appropriate management. </w:t>
      </w:r>
    </w:p>
    <w:p w14:paraId="697A541F" w14:textId="4281C1E4" w:rsidR="009D112E" w:rsidRPr="00206E8A" w:rsidRDefault="009D112E" w:rsidP="009D112E">
      <w:pPr>
        <w:pStyle w:val="Heading3"/>
        <w:spacing w:after="120" w:line="240" w:lineRule="auto"/>
        <w:rPr>
          <w:color w:val="auto"/>
        </w:rPr>
      </w:pPr>
      <w:r w:rsidRPr="00206E8A">
        <w:rPr>
          <w:color w:val="auto"/>
        </w:rPr>
        <w:t>Intraocular pressure increase</w:t>
      </w:r>
    </w:p>
    <w:p w14:paraId="29D2907C" w14:textId="13505ACC" w:rsidR="009D112E" w:rsidRPr="00206E8A" w:rsidRDefault="00B03DB2" w:rsidP="00B03DB2">
      <w:pPr>
        <w:pStyle w:val="NormalWeb"/>
        <w:spacing w:before="0" w:beforeAutospacing="0" w:after="120" w:afterAutospacing="0" w:line="300" w:lineRule="atLeast"/>
      </w:pPr>
      <w:r w:rsidRPr="00206E8A">
        <w:t xml:space="preserve">Transient increases in intraocular pressure (IOP) have been seen within 60 minutes of intravitreal injection, including those with </w:t>
      </w:r>
      <w:proofErr w:type="spellStart"/>
      <w:r w:rsidRPr="00206E8A">
        <w:t>V</w:t>
      </w:r>
      <w:r w:rsidR="00E00D93" w:rsidRPr="00206E8A">
        <w:t>abysmo</w:t>
      </w:r>
      <w:proofErr w:type="spellEnd"/>
      <w:r w:rsidRPr="00206E8A">
        <w:t xml:space="preserve">. Special precaution is needed in patients with poorly controlled glaucoma (do not inject </w:t>
      </w:r>
      <w:proofErr w:type="spellStart"/>
      <w:r w:rsidRPr="00206E8A">
        <w:t>V</w:t>
      </w:r>
      <w:r w:rsidR="00E00D93" w:rsidRPr="00206E8A">
        <w:t>abysmo</w:t>
      </w:r>
      <w:proofErr w:type="spellEnd"/>
      <w:r w:rsidRPr="00206E8A">
        <w:t xml:space="preserve"> while the IOP is ≥ 30 mmHg). In all cases, both the IOP and perfusion of the optic nerve head and/or vision must be monitored and managed appropriately.</w:t>
      </w:r>
    </w:p>
    <w:p w14:paraId="7E5D3057" w14:textId="376BCA0C" w:rsidR="00DC0776" w:rsidRPr="00206E8A" w:rsidRDefault="00B03DB2" w:rsidP="001C2A3C">
      <w:pPr>
        <w:pStyle w:val="Heading3"/>
        <w:spacing w:after="120" w:line="240" w:lineRule="auto"/>
        <w:rPr>
          <w:color w:val="auto"/>
        </w:rPr>
      </w:pPr>
      <w:r w:rsidRPr="00206E8A">
        <w:rPr>
          <w:color w:val="auto"/>
        </w:rPr>
        <w:t>Systemic effects</w:t>
      </w:r>
    </w:p>
    <w:p w14:paraId="58146DE5" w14:textId="72347C50" w:rsidR="00DC0776" w:rsidRPr="00A807D3" w:rsidRDefault="00B03DB2" w:rsidP="00B03DB2">
      <w:pPr>
        <w:widowControl w:val="0"/>
        <w:spacing w:after="120" w:line="300" w:lineRule="atLeast"/>
        <w:rPr>
          <w:rFonts w:eastAsia="Calibri"/>
          <w:color w:val="auto"/>
        </w:rPr>
      </w:pPr>
      <w:r w:rsidRPr="00206E8A">
        <w:rPr>
          <w:rFonts w:eastAsia="Calibri"/>
          <w:color w:val="auto"/>
        </w:rPr>
        <w:t>Systemic adverse events including arterial thromboembolic events</w:t>
      </w:r>
      <w:r w:rsidR="00B17E03" w:rsidRPr="00206E8A">
        <w:rPr>
          <w:rFonts w:eastAsia="Calibri"/>
          <w:color w:val="auto"/>
        </w:rPr>
        <w:t>, such as stroke and myocardial infarction,</w:t>
      </w:r>
      <w:r w:rsidRPr="00206E8A">
        <w:rPr>
          <w:rFonts w:eastAsia="Calibri"/>
          <w:color w:val="auto"/>
        </w:rPr>
        <w:t xml:space="preserve"> have been reported following</w:t>
      </w:r>
      <w:r w:rsidRPr="00B03DB2">
        <w:rPr>
          <w:rFonts w:eastAsia="Calibri"/>
          <w:color w:val="auto"/>
        </w:rPr>
        <w:t xml:space="preserve"> intravitreal injection of </w:t>
      </w:r>
      <w:r w:rsidR="00204BDD" w:rsidRPr="00204BDD">
        <w:rPr>
          <w:rFonts w:eastAsia="Calibri"/>
          <w:color w:val="auto"/>
        </w:rPr>
        <w:t>vascular endothelial growth factor (VEGF)</w:t>
      </w:r>
      <w:r w:rsidRPr="00B03DB2">
        <w:rPr>
          <w:rFonts w:eastAsia="Calibri"/>
          <w:color w:val="auto"/>
        </w:rPr>
        <w:t xml:space="preserve"> inhibitors and there is a theoretical risk that these may be related to VEGF inhibition.</w:t>
      </w:r>
    </w:p>
    <w:p w14:paraId="1AF48468" w14:textId="0D686B70" w:rsidR="00DC0776" w:rsidRPr="001C2A3C" w:rsidRDefault="00B03DB2" w:rsidP="001C2A3C">
      <w:pPr>
        <w:pStyle w:val="Heading3"/>
        <w:spacing w:after="120" w:line="240" w:lineRule="auto"/>
        <w:rPr>
          <w:color w:val="auto"/>
        </w:rPr>
      </w:pPr>
      <w:r w:rsidRPr="00B03DB2">
        <w:rPr>
          <w:color w:val="auto"/>
        </w:rPr>
        <w:t>Immunogenicity</w:t>
      </w:r>
    </w:p>
    <w:p w14:paraId="53F32F84" w14:textId="386EB4DA" w:rsidR="00DC0776" w:rsidRPr="00A807D3" w:rsidRDefault="00B03DB2" w:rsidP="00DC0776">
      <w:pPr>
        <w:spacing w:after="120" w:line="300" w:lineRule="atLeast"/>
        <w:rPr>
          <w:rFonts w:eastAsia="Calibri"/>
          <w:color w:val="auto"/>
        </w:rPr>
      </w:pPr>
      <w:r w:rsidRPr="00B03DB2">
        <w:rPr>
          <w:rFonts w:eastAsia="Calibri"/>
          <w:color w:val="auto"/>
        </w:rPr>
        <w:t xml:space="preserve">As with all therapeutic proteins, there is the potential for immune response to </w:t>
      </w:r>
      <w:proofErr w:type="spellStart"/>
      <w:r w:rsidRPr="00B03DB2">
        <w:rPr>
          <w:rFonts w:eastAsia="Calibri"/>
          <w:color w:val="auto"/>
        </w:rPr>
        <w:t>V</w:t>
      </w:r>
      <w:r w:rsidR="00E00D93" w:rsidRPr="00B03DB2">
        <w:rPr>
          <w:rFonts w:eastAsia="Calibri"/>
          <w:color w:val="auto"/>
        </w:rPr>
        <w:t>abysmo</w:t>
      </w:r>
      <w:proofErr w:type="spellEnd"/>
      <w:r w:rsidRPr="00B03DB2">
        <w:rPr>
          <w:rFonts w:eastAsia="Calibri"/>
          <w:color w:val="auto"/>
        </w:rPr>
        <w:t xml:space="preserve">. Patients should be instructed to report any signs or symptoms of intraocular inflammation such as vision loss, eye pain, increased sensitivity to light, </w:t>
      </w:r>
      <w:proofErr w:type="gramStart"/>
      <w:r w:rsidRPr="00B03DB2">
        <w:rPr>
          <w:rFonts w:eastAsia="Calibri"/>
          <w:color w:val="auto"/>
        </w:rPr>
        <w:t>floaters</w:t>
      </w:r>
      <w:proofErr w:type="gramEnd"/>
      <w:r w:rsidRPr="00B03DB2">
        <w:rPr>
          <w:rFonts w:eastAsia="Calibri"/>
          <w:color w:val="auto"/>
        </w:rPr>
        <w:t xml:space="preserve"> or worsening eye redness, which might be a clinical sign a</w:t>
      </w:r>
      <w:r>
        <w:rPr>
          <w:rFonts w:eastAsia="Calibri"/>
          <w:color w:val="auto"/>
        </w:rPr>
        <w:t>ttributable to hypersensitivity</w:t>
      </w:r>
      <w:r w:rsidR="00204BDD">
        <w:rPr>
          <w:rFonts w:eastAsia="Calibri"/>
          <w:color w:val="auto"/>
        </w:rPr>
        <w:t xml:space="preserve"> (see section 4.8)</w:t>
      </w:r>
      <w:r w:rsidR="00DC0776" w:rsidRPr="00A807D3">
        <w:rPr>
          <w:rFonts w:eastAsia="Calibri"/>
          <w:color w:val="auto"/>
        </w:rPr>
        <w:t>.</w:t>
      </w:r>
    </w:p>
    <w:p w14:paraId="3372C4E7" w14:textId="2D193282" w:rsidR="00DC0776" w:rsidRPr="001C2A3C" w:rsidRDefault="00B03DB2" w:rsidP="001C2A3C">
      <w:pPr>
        <w:pStyle w:val="Heading3"/>
        <w:spacing w:after="120" w:line="240" w:lineRule="auto"/>
        <w:rPr>
          <w:color w:val="auto"/>
        </w:rPr>
      </w:pPr>
      <w:r w:rsidRPr="00B03DB2">
        <w:rPr>
          <w:color w:val="auto"/>
        </w:rPr>
        <w:t>Bilateral Treatment</w:t>
      </w:r>
      <w:r w:rsidR="00DC0776" w:rsidRPr="001C2A3C">
        <w:rPr>
          <w:color w:val="auto"/>
        </w:rPr>
        <w:t xml:space="preserve"> </w:t>
      </w:r>
    </w:p>
    <w:p w14:paraId="7A300111" w14:textId="7B9E9ECA" w:rsidR="0031764D" w:rsidRDefault="00B03DB2" w:rsidP="00DC0776">
      <w:pPr>
        <w:spacing w:after="120" w:line="300" w:lineRule="atLeast"/>
        <w:rPr>
          <w:rFonts w:eastAsia="Calibri"/>
          <w:color w:val="auto"/>
        </w:rPr>
      </w:pPr>
      <w:r w:rsidRPr="00B03DB2">
        <w:rPr>
          <w:rFonts w:eastAsia="Calibri"/>
          <w:color w:val="auto"/>
        </w:rPr>
        <w:t xml:space="preserve">The safety and efficacy of </w:t>
      </w:r>
      <w:proofErr w:type="spellStart"/>
      <w:r w:rsidRPr="00B03DB2">
        <w:rPr>
          <w:rFonts w:eastAsia="Calibri"/>
          <w:color w:val="auto"/>
        </w:rPr>
        <w:t>V</w:t>
      </w:r>
      <w:r w:rsidR="00E00D93" w:rsidRPr="00B03DB2">
        <w:rPr>
          <w:rFonts w:eastAsia="Calibri"/>
          <w:color w:val="auto"/>
        </w:rPr>
        <w:t>abysmo</w:t>
      </w:r>
      <w:proofErr w:type="spellEnd"/>
      <w:r w:rsidRPr="00B03DB2">
        <w:rPr>
          <w:rFonts w:eastAsia="Calibri"/>
          <w:color w:val="auto"/>
        </w:rPr>
        <w:t xml:space="preserve"> administered in both eyes concurrently have not been studied.</w:t>
      </w:r>
      <w:r w:rsidR="00DC0776" w:rsidRPr="00A807D3">
        <w:rPr>
          <w:rFonts w:eastAsia="Calibri"/>
          <w:color w:val="auto"/>
        </w:rPr>
        <w:t xml:space="preserve"> </w:t>
      </w:r>
    </w:p>
    <w:p w14:paraId="4111B729" w14:textId="51C06247" w:rsidR="00DC0776" w:rsidRPr="001C2A3C" w:rsidRDefault="00B51201" w:rsidP="001C2A3C">
      <w:pPr>
        <w:pStyle w:val="Heading3"/>
        <w:spacing w:after="120" w:line="240" w:lineRule="auto"/>
        <w:rPr>
          <w:color w:val="auto"/>
        </w:rPr>
      </w:pPr>
      <w:r w:rsidRPr="00B51201">
        <w:rPr>
          <w:color w:val="auto"/>
        </w:rPr>
        <w:t>Concomitant use of other anti-VEGF</w:t>
      </w:r>
    </w:p>
    <w:p w14:paraId="762E99D2" w14:textId="5AE50E63" w:rsidR="00DC0776" w:rsidRPr="00A807D3" w:rsidRDefault="00B51201" w:rsidP="00DC0776">
      <w:pPr>
        <w:widowControl w:val="0"/>
        <w:spacing w:after="120" w:line="300" w:lineRule="atLeast"/>
        <w:rPr>
          <w:rFonts w:eastAsia="Calibri"/>
          <w:color w:val="auto"/>
        </w:rPr>
      </w:pPr>
      <w:r w:rsidRPr="00B51201">
        <w:rPr>
          <w:rFonts w:eastAsia="Calibri"/>
          <w:color w:val="auto"/>
        </w:rPr>
        <w:t xml:space="preserve">There are no data available on the concomitant use of </w:t>
      </w:r>
      <w:proofErr w:type="spellStart"/>
      <w:r w:rsidRPr="00B51201">
        <w:rPr>
          <w:rFonts w:eastAsia="Calibri"/>
          <w:color w:val="auto"/>
        </w:rPr>
        <w:t>V</w:t>
      </w:r>
      <w:r w:rsidR="00E00D93" w:rsidRPr="00B51201">
        <w:rPr>
          <w:rFonts w:eastAsia="Calibri"/>
          <w:color w:val="auto"/>
        </w:rPr>
        <w:t>abysmo</w:t>
      </w:r>
      <w:proofErr w:type="spellEnd"/>
      <w:r w:rsidRPr="00B51201">
        <w:rPr>
          <w:rFonts w:eastAsia="Calibri"/>
          <w:color w:val="auto"/>
        </w:rPr>
        <w:t xml:space="preserve"> with anti-VEGF medicinal products in the same eye.</w:t>
      </w:r>
    </w:p>
    <w:p w14:paraId="74D00146" w14:textId="47748A9B" w:rsidR="00DC0776" w:rsidRPr="001C2A3C" w:rsidRDefault="00B51201" w:rsidP="001C2A3C">
      <w:pPr>
        <w:pStyle w:val="Heading3"/>
        <w:spacing w:after="120" w:line="240" w:lineRule="auto"/>
        <w:rPr>
          <w:color w:val="auto"/>
        </w:rPr>
      </w:pPr>
      <w:r w:rsidRPr="00B51201">
        <w:rPr>
          <w:color w:val="auto"/>
        </w:rPr>
        <w:t>Withholding treatment</w:t>
      </w:r>
    </w:p>
    <w:p w14:paraId="305EF6E5" w14:textId="77777777" w:rsidR="00B51201" w:rsidRPr="00B51201" w:rsidRDefault="00B51201" w:rsidP="00B51201">
      <w:pPr>
        <w:widowControl w:val="0"/>
        <w:spacing w:after="120" w:line="300" w:lineRule="atLeast"/>
        <w:rPr>
          <w:rFonts w:eastAsia="Calibri"/>
          <w:color w:val="auto"/>
        </w:rPr>
      </w:pPr>
      <w:r w:rsidRPr="00B51201">
        <w:rPr>
          <w:rFonts w:eastAsia="Calibri"/>
          <w:color w:val="auto"/>
        </w:rPr>
        <w:t>Treatment should be withheld in patients with:</w:t>
      </w:r>
    </w:p>
    <w:p w14:paraId="463289B4" w14:textId="75DFFF57" w:rsidR="00B51201" w:rsidRPr="00B51201" w:rsidRDefault="00B51201" w:rsidP="00B51201">
      <w:pPr>
        <w:pStyle w:val="ListParagraph"/>
        <w:widowControl w:val="0"/>
        <w:numPr>
          <w:ilvl w:val="0"/>
          <w:numId w:val="8"/>
        </w:numPr>
        <w:spacing w:after="120" w:line="300" w:lineRule="atLeast"/>
        <w:rPr>
          <w:rFonts w:eastAsia="Calibri"/>
          <w:color w:val="auto"/>
        </w:rPr>
      </w:pPr>
      <w:proofErr w:type="spellStart"/>
      <w:r w:rsidRPr="00B51201">
        <w:rPr>
          <w:rFonts w:eastAsia="Calibri"/>
          <w:color w:val="auto"/>
        </w:rPr>
        <w:t>Rhegmatogenous</w:t>
      </w:r>
      <w:proofErr w:type="spellEnd"/>
      <w:r w:rsidRPr="00B51201">
        <w:rPr>
          <w:rFonts w:eastAsia="Calibri"/>
          <w:color w:val="auto"/>
        </w:rPr>
        <w:t xml:space="preserve"> retinal detachment, stage 3 or 4 macular holes, retinal break; </w:t>
      </w:r>
      <w:r w:rsidRPr="00B51201">
        <w:rPr>
          <w:rFonts w:eastAsia="Calibri"/>
          <w:color w:val="auto"/>
        </w:rPr>
        <w:lastRenderedPageBreak/>
        <w:t>treatment should not be resumed until an adequate repair has been performed.</w:t>
      </w:r>
    </w:p>
    <w:p w14:paraId="1BD9A86B" w14:textId="7DCC8B71" w:rsidR="00B51201" w:rsidRPr="00B51201" w:rsidRDefault="00B51201" w:rsidP="00B51201">
      <w:pPr>
        <w:pStyle w:val="ListParagraph"/>
        <w:widowControl w:val="0"/>
        <w:numPr>
          <w:ilvl w:val="0"/>
          <w:numId w:val="8"/>
        </w:numPr>
        <w:spacing w:after="120" w:line="300" w:lineRule="atLeast"/>
        <w:rPr>
          <w:rFonts w:eastAsia="Calibri"/>
          <w:color w:val="auto"/>
        </w:rPr>
      </w:pPr>
      <w:r w:rsidRPr="00B51201">
        <w:rPr>
          <w:rFonts w:eastAsia="Calibri"/>
          <w:color w:val="auto"/>
        </w:rPr>
        <w:t xml:space="preserve">Treatment related decrease in Best Corrected Visual Acuity (BCVA) of ≥ 30 letters compared with the last assessment of visual acuity; treatment should not be resumed earlier than the next scheduled treatment. </w:t>
      </w:r>
    </w:p>
    <w:p w14:paraId="160DBDF5" w14:textId="128FD2A0" w:rsidR="00DC0776" w:rsidRPr="00B51201" w:rsidRDefault="00B51201" w:rsidP="00B17E03">
      <w:pPr>
        <w:pStyle w:val="ListParagraph"/>
        <w:widowControl w:val="0"/>
        <w:numPr>
          <w:ilvl w:val="0"/>
          <w:numId w:val="8"/>
        </w:numPr>
        <w:spacing w:after="120" w:line="300" w:lineRule="atLeast"/>
        <w:rPr>
          <w:rFonts w:eastAsia="Calibri"/>
          <w:color w:val="auto"/>
        </w:rPr>
      </w:pPr>
      <w:r w:rsidRPr="00B51201">
        <w:rPr>
          <w:rFonts w:eastAsia="Calibri"/>
          <w:color w:val="auto"/>
        </w:rPr>
        <w:t>Performed or planned intraocular surgery within the previous or next 28 days</w:t>
      </w:r>
      <w:r w:rsidR="00B17E03" w:rsidRPr="00B17E03">
        <w:t xml:space="preserve"> </w:t>
      </w:r>
      <w:r w:rsidR="00B17E03" w:rsidRPr="00206E8A">
        <w:rPr>
          <w:rFonts w:eastAsia="Calibri"/>
          <w:color w:val="auto"/>
        </w:rPr>
        <w:t>at the physician's discretion</w:t>
      </w:r>
      <w:r w:rsidRPr="00B51201">
        <w:rPr>
          <w:rFonts w:eastAsia="Calibri"/>
          <w:color w:val="auto"/>
        </w:rPr>
        <w:t>; treatment should not be resumed earlier than the next scheduled treatment.</w:t>
      </w:r>
    </w:p>
    <w:p w14:paraId="283D2D42" w14:textId="4243F25B" w:rsidR="00DC0776" w:rsidRPr="001C2A3C" w:rsidRDefault="00B51201" w:rsidP="001C2A3C">
      <w:pPr>
        <w:pStyle w:val="Heading3"/>
        <w:spacing w:after="120" w:line="240" w:lineRule="auto"/>
        <w:rPr>
          <w:color w:val="auto"/>
        </w:rPr>
      </w:pPr>
      <w:r w:rsidRPr="00B51201">
        <w:rPr>
          <w:color w:val="auto"/>
        </w:rPr>
        <w:t>Retinal pigment epithelial tear</w:t>
      </w:r>
    </w:p>
    <w:p w14:paraId="17837AC2" w14:textId="1D5179C0" w:rsidR="00DC0776" w:rsidRDefault="00B51201" w:rsidP="00DC0776">
      <w:pPr>
        <w:widowControl w:val="0"/>
        <w:spacing w:after="120" w:line="300" w:lineRule="atLeast"/>
        <w:rPr>
          <w:rFonts w:eastAsia="Calibri"/>
          <w:color w:val="auto"/>
        </w:rPr>
      </w:pPr>
      <w:r w:rsidRPr="00B51201">
        <w:rPr>
          <w:rFonts w:eastAsia="Calibri"/>
          <w:color w:val="auto"/>
        </w:rPr>
        <w:t xml:space="preserve">Risk factors associated with the development of a retinal pigment epithelial tear after anti-VEGF therapy for </w:t>
      </w:r>
      <w:proofErr w:type="spellStart"/>
      <w:r w:rsidRPr="00B51201">
        <w:rPr>
          <w:rFonts w:eastAsia="Calibri"/>
          <w:color w:val="auto"/>
        </w:rPr>
        <w:t>nAMD</w:t>
      </w:r>
      <w:proofErr w:type="spellEnd"/>
      <w:r w:rsidRPr="00B51201">
        <w:rPr>
          <w:rFonts w:eastAsia="Calibri"/>
          <w:color w:val="auto"/>
        </w:rPr>
        <w:t xml:space="preserve"> include a large and/or high pigment epithelial detachment. When initiating </w:t>
      </w:r>
      <w:proofErr w:type="spellStart"/>
      <w:r w:rsidRPr="00B51201">
        <w:rPr>
          <w:rFonts w:eastAsia="Calibri"/>
          <w:color w:val="auto"/>
        </w:rPr>
        <w:t>V</w:t>
      </w:r>
      <w:r w:rsidR="00E00D93" w:rsidRPr="00B51201">
        <w:rPr>
          <w:rFonts w:eastAsia="Calibri"/>
          <w:color w:val="auto"/>
        </w:rPr>
        <w:t>abysmo</w:t>
      </w:r>
      <w:proofErr w:type="spellEnd"/>
      <w:r w:rsidRPr="00B51201">
        <w:rPr>
          <w:rFonts w:eastAsia="Calibri"/>
          <w:color w:val="auto"/>
        </w:rPr>
        <w:t xml:space="preserve"> therapy, caution should be used in patients with these risk factors for retinal pigment epithelial tears.</w:t>
      </w:r>
    </w:p>
    <w:p w14:paraId="2A091A0D" w14:textId="2380724C" w:rsidR="00DC0776" w:rsidRPr="001C2A3C" w:rsidRDefault="00B51201" w:rsidP="001C2A3C">
      <w:pPr>
        <w:pStyle w:val="Heading3"/>
        <w:spacing w:after="120" w:line="240" w:lineRule="auto"/>
        <w:rPr>
          <w:color w:val="auto"/>
        </w:rPr>
      </w:pPr>
      <w:r w:rsidRPr="00B51201">
        <w:rPr>
          <w:color w:val="auto"/>
        </w:rPr>
        <w:t>Populations with limited data</w:t>
      </w:r>
    </w:p>
    <w:p w14:paraId="6C32B39C" w14:textId="72CC54E0" w:rsidR="00B17E03" w:rsidRPr="00A807D3" w:rsidRDefault="00E1375F" w:rsidP="00DC0776">
      <w:pPr>
        <w:widowControl w:val="0"/>
        <w:spacing w:after="120" w:line="300" w:lineRule="atLeast"/>
        <w:rPr>
          <w:rFonts w:eastAsia="Calibri"/>
          <w:color w:val="auto"/>
        </w:rPr>
      </w:pPr>
      <w:r w:rsidRPr="00206E8A">
        <w:rPr>
          <w:rFonts w:eastAsia="Calibri"/>
          <w:color w:val="auto"/>
        </w:rPr>
        <w:t xml:space="preserve">In </w:t>
      </w:r>
      <w:proofErr w:type="spellStart"/>
      <w:r w:rsidRPr="00206E8A">
        <w:rPr>
          <w:rFonts w:eastAsia="Calibri"/>
          <w:color w:val="auto"/>
        </w:rPr>
        <w:t>nAMD</w:t>
      </w:r>
      <w:proofErr w:type="spellEnd"/>
      <w:r w:rsidRPr="00206E8A">
        <w:rPr>
          <w:rFonts w:eastAsia="Calibri"/>
          <w:color w:val="auto"/>
        </w:rPr>
        <w:t xml:space="preserve"> clinical trials, there were limited data in patients with the total lesion size &gt; </w:t>
      </w:r>
      <w:proofErr w:type="gramStart"/>
      <w:r w:rsidRPr="00206E8A">
        <w:rPr>
          <w:rFonts w:eastAsia="Calibri"/>
          <w:color w:val="auto"/>
        </w:rPr>
        <w:t>9 disc</w:t>
      </w:r>
      <w:proofErr w:type="gramEnd"/>
      <w:r w:rsidRPr="00206E8A">
        <w:rPr>
          <w:rFonts w:eastAsia="Calibri"/>
          <w:color w:val="auto"/>
        </w:rPr>
        <w:t xml:space="preserve"> areas on fundus fluorescein angiography (FFA). </w:t>
      </w:r>
      <w:r w:rsidR="00B51201" w:rsidRPr="00206E8A">
        <w:rPr>
          <w:rFonts w:eastAsia="Calibri"/>
          <w:color w:val="auto"/>
        </w:rPr>
        <w:t>There is only limited experience in the treatment of DM</w:t>
      </w:r>
      <w:r w:rsidRPr="00206E8A">
        <w:rPr>
          <w:rFonts w:eastAsia="Calibri"/>
          <w:color w:val="auto"/>
        </w:rPr>
        <w:t>O</w:t>
      </w:r>
      <w:r w:rsidR="00B51201" w:rsidRPr="00206E8A">
        <w:rPr>
          <w:rFonts w:eastAsia="Calibri"/>
          <w:color w:val="auto"/>
        </w:rPr>
        <w:t xml:space="preserve"> patients with </w:t>
      </w:r>
      <w:r w:rsidRPr="00206E8A">
        <w:rPr>
          <w:rFonts w:eastAsia="Calibri"/>
          <w:color w:val="auto"/>
        </w:rPr>
        <w:t xml:space="preserve">a </w:t>
      </w:r>
      <w:r w:rsidR="00B51201" w:rsidRPr="00206E8A">
        <w:rPr>
          <w:rFonts w:eastAsia="Calibri"/>
          <w:color w:val="auto"/>
        </w:rPr>
        <w:t xml:space="preserve">HbA1c over 10%, patients with high-risk proliferative diabetic retinopathy (DR), or </w:t>
      </w:r>
      <w:proofErr w:type="spellStart"/>
      <w:r w:rsidR="00B51201" w:rsidRPr="00206E8A">
        <w:rPr>
          <w:rFonts w:eastAsia="Calibri"/>
          <w:color w:val="auto"/>
        </w:rPr>
        <w:t>nAMD</w:t>
      </w:r>
      <w:proofErr w:type="spellEnd"/>
      <w:r w:rsidR="00B51201" w:rsidRPr="00206E8A">
        <w:rPr>
          <w:rFonts w:eastAsia="Calibri"/>
          <w:color w:val="auto"/>
        </w:rPr>
        <w:t xml:space="preserve"> and DM</w:t>
      </w:r>
      <w:r w:rsidRPr="00206E8A">
        <w:rPr>
          <w:rFonts w:eastAsia="Calibri"/>
          <w:color w:val="auto"/>
        </w:rPr>
        <w:t>O</w:t>
      </w:r>
      <w:r w:rsidR="00B51201" w:rsidRPr="00206E8A">
        <w:rPr>
          <w:rFonts w:eastAsia="Calibri"/>
          <w:color w:val="auto"/>
        </w:rPr>
        <w:t xml:space="preserve"> patients</w:t>
      </w:r>
      <w:r w:rsidR="00B51201" w:rsidRPr="00E1375F">
        <w:rPr>
          <w:rFonts w:eastAsia="Calibri"/>
          <w:color w:val="auto"/>
        </w:rPr>
        <w:t xml:space="preserve"> with active systemic infections. There is also no experience of treatment with </w:t>
      </w:r>
      <w:proofErr w:type="spellStart"/>
      <w:r w:rsidR="00B51201" w:rsidRPr="00E1375F">
        <w:rPr>
          <w:rFonts w:eastAsia="Calibri"/>
          <w:color w:val="auto"/>
        </w:rPr>
        <w:t>V</w:t>
      </w:r>
      <w:r w:rsidR="00E00D93" w:rsidRPr="00E1375F">
        <w:rPr>
          <w:rFonts w:eastAsia="Calibri"/>
          <w:color w:val="auto"/>
        </w:rPr>
        <w:t>abysmo</w:t>
      </w:r>
      <w:proofErr w:type="spellEnd"/>
      <w:r w:rsidR="00B51201" w:rsidRPr="00E1375F">
        <w:rPr>
          <w:rFonts w:eastAsia="Calibri"/>
          <w:color w:val="auto"/>
        </w:rPr>
        <w:t xml:space="preserve"> in diabetic patients with uncontrolled hypertension. This lack of information should be considered by the physician when treating such patients</w:t>
      </w:r>
      <w:r w:rsidR="00B51201" w:rsidRPr="00B51201">
        <w:rPr>
          <w:rFonts w:eastAsia="Calibri"/>
          <w:color w:val="auto"/>
        </w:rPr>
        <w:t>.</w:t>
      </w:r>
    </w:p>
    <w:p w14:paraId="0FF81822" w14:textId="77777777" w:rsidR="00834C48" w:rsidRPr="00A807D3" w:rsidRDefault="00407592" w:rsidP="00B1134D">
      <w:pPr>
        <w:pStyle w:val="Heading3"/>
        <w:rPr>
          <w:color w:val="auto"/>
        </w:rPr>
      </w:pPr>
      <w:r w:rsidRPr="00A807D3">
        <w:rPr>
          <w:color w:val="auto"/>
        </w:rPr>
        <w:t>Effects on laboratory tests</w:t>
      </w:r>
    </w:p>
    <w:p w14:paraId="3BC28FAB" w14:textId="077B72EF" w:rsidR="00B1134D" w:rsidRPr="00A807D3" w:rsidRDefault="00B65D51" w:rsidP="003E51CC">
      <w:pPr>
        <w:rPr>
          <w:color w:val="auto"/>
        </w:rPr>
      </w:pPr>
      <w:r w:rsidRPr="00A807D3">
        <w:rPr>
          <w:color w:val="auto"/>
        </w:rPr>
        <w:t>No data available.</w:t>
      </w:r>
    </w:p>
    <w:p w14:paraId="0A5CC6D7" w14:textId="77777777" w:rsidR="00B65D51" w:rsidRPr="00A807D3" w:rsidRDefault="00B65D51" w:rsidP="003E51CC">
      <w:pPr>
        <w:rPr>
          <w:color w:val="auto"/>
        </w:rPr>
      </w:pPr>
    </w:p>
    <w:p w14:paraId="6B82ED0D" w14:textId="77777777" w:rsidR="00D52399" w:rsidRPr="00A807D3" w:rsidRDefault="00902EBE" w:rsidP="009F4C5B">
      <w:pPr>
        <w:pStyle w:val="Heading2"/>
        <w:spacing w:before="0"/>
        <w:rPr>
          <w:color w:val="auto"/>
        </w:rPr>
      </w:pPr>
      <w:r w:rsidRPr="00A807D3">
        <w:rPr>
          <w:color w:val="auto"/>
        </w:rPr>
        <w:t>4.5</w:t>
      </w:r>
      <w:r w:rsidRPr="00A807D3">
        <w:rPr>
          <w:color w:val="auto"/>
        </w:rPr>
        <w:tab/>
        <w:t>INTERACTION</w:t>
      </w:r>
      <w:r w:rsidR="00177D8C" w:rsidRPr="00A807D3">
        <w:rPr>
          <w:color w:val="auto"/>
        </w:rPr>
        <w:t>S</w:t>
      </w:r>
      <w:r w:rsidRPr="00A807D3">
        <w:rPr>
          <w:color w:val="auto"/>
        </w:rPr>
        <w:t xml:space="preserve"> WITH OTHER MEDICINES AND OTHER FORMS OF INTERACTION</w:t>
      </w:r>
      <w:r w:rsidR="00177D8C" w:rsidRPr="00A807D3">
        <w:rPr>
          <w:color w:val="auto"/>
        </w:rPr>
        <w:t>S</w:t>
      </w:r>
    </w:p>
    <w:p w14:paraId="634260F2" w14:textId="0DA7FFB4" w:rsidR="007658C4" w:rsidRPr="00A807D3" w:rsidRDefault="00FF2BBE" w:rsidP="002A1F00">
      <w:pPr>
        <w:pStyle w:val="Default"/>
        <w:spacing w:after="120" w:line="300" w:lineRule="atLeast"/>
        <w:jc w:val="both"/>
        <w:rPr>
          <w:color w:val="auto"/>
        </w:rPr>
      </w:pPr>
      <w:r w:rsidRPr="00FF2BBE">
        <w:rPr>
          <w:color w:val="auto"/>
        </w:rPr>
        <w:t xml:space="preserve">No drug-drug interaction studies have been performed with </w:t>
      </w:r>
      <w:proofErr w:type="spellStart"/>
      <w:r w:rsidRPr="00FF2BBE">
        <w:rPr>
          <w:color w:val="auto"/>
        </w:rPr>
        <w:t>V</w:t>
      </w:r>
      <w:r w:rsidR="00E00D93" w:rsidRPr="00FF2BBE">
        <w:rPr>
          <w:color w:val="auto"/>
        </w:rPr>
        <w:t>abysmo</w:t>
      </w:r>
      <w:proofErr w:type="spellEnd"/>
      <w:r w:rsidRPr="00FF2BBE">
        <w:rPr>
          <w:color w:val="auto"/>
        </w:rPr>
        <w:t>.</w:t>
      </w:r>
    </w:p>
    <w:p w14:paraId="681C36D8" w14:textId="77777777" w:rsidR="00D52399" w:rsidRPr="00A807D3" w:rsidRDefault="00902EBE" w:rsidP="009F4C5B">
      <w:pPr>
        <w:pStyle w:val="Heading2"/>
        <w:spacing w:before="0"/>
        <w:rPr>
          <w:color w:val="auto"/>
        </w:rPr>
      </w:pPr>
      <w:r w:rsidRPr="00A807D3">
        <w:rPr>
          <w:color w:val="auto"/>
        </w:rPr>
        <w:t>4.6</w:t>
      </w:r>
      <w:r w:rsidRPr="00A807D3">
        <w:rPr>
          <w:color w:val="auto"/>
        </w:rPr>
        <w:tab/>
        <w:t>FERTILITY, PREGNANCY AND LACTATION</w:t>
      </w:r>
    </w:p>
    <w:p w14:paraId="05A83E36" w14:textId="33A1856F" w:rsidR="00B1134D" w:rsidRPr="00B51201" w:rsidRDefault="00674CFD" w:rsidP="00B1134D">
      <w:pPr>
        <w:pStyle w:val="Heading3"/>
        <w:rPr>
          <w:color w:val="auto"/>
        </w:rPr>
      </w:pPr>
      <w:r w:rsidRPr="00B51201">
        <w:rPr>
          <w:color w:val="auto"/>
        </w:rPr>
        <w:t>Effects on Fertility</w:t>
      </w:r>
    </w:p>
    <w:p w14:paraId="5728D52C" w14:textId="774DE431" w:rsidR="00B65D51" w:rsidRPr="00B51201" w:rsidRDefault="00B51201" w:rsidP="00B65D51">
      <w:pPr>
        <w:spacing w:after="120" w:line="300" w:lineRule="atLeast"/>
        <w:rPr>
          <w:color w:val="auto"/>
          <w:highlight w:val="yellow"/>
        </w:rPr>
      </w:pPr>
      <w:r w:rsidRPr="00B51201">
        <w:rPr>
          <w:color w:val="auto"/>
        </w:rPr>
        <w:t xml:space="preserve">No reproductive or fertility studies have been conducted. No effects on reproductive organs </w:t>
      </w:r>
      <w:r w:rsidR="00F555BE" w:rsidRPr="00B25FDD">
        <w:rPr>
          <w:color w:val="auto"/>
        </w:rPr>
        <w:t>in male or female animal</w:t>
      </w:r>
      <w:r w:rsidR="00F555BE">
        <w:rPr>
          <w:color w:val="auto"/>
        </w:rPr>
        <w:t xml:space="preserve"> </w:t>
      </w:r>
      <w:r w:rsidRPr="00B51201">
        <w:rPr>
          <w:color w:val="auto"/>
        </w:rPr>
        <w:t xml:space="preserve">were observed in a 6-month cynomolgus monkey study </w:t>
      </w:r>
      <w:r w:rsidR="00654C0F" w:rsidRPr="00654C0F">
        <w:rPr>
          <w:color w:val="auto"/>
        </w:rPr>
        <w:t xml:space="preserve">at </w:t>
      </w:r>
      <w:proofErr w:type="spellStart"/>
      <w:r w:rsidR="00654C0F" w:rsidRPr="00654C0F">
        <w:rPr>
          <w:color w:val="auto"/>
        </w:rPr>
        <w:t>faricimab</w:t>
      </w:r>
      <w:proofErr w:type="spellEnd"/>
      <w:r w:rsidR="00654C0F" w:rsidRPr="00654C0F">
        <w:rPr>
          <w:color w:val="auto"/>
        </w:rPr>
        <w:t xml:space="preserve"> doses of up to </w:t>
      </w:r>
      <w:r w:rsidR="00EC5361">
        <w:rPr>
          <w:color w:val="auto"/>
        </w:rPr>
        <w:t>3 mg/eye (10</w:t>
      </w:r>
      <w:r w:rsidR="00654C0F">
        <w:rPr>
          <w:color w:val="auto"/>
        </w:rPr>
        <w:t xml:space="preserve"> times the </w:t>
      </w:r>
      <w:r w:rsidR="00654C0F" w:rsidRPr="00654C0F">
        <w:rPr>
          <w:color w:val="auto"/>
        </w:rPr>
        <w:t>clinical exposures based on AUC)</w:t>
      </w:r>
      <w:r w:rsidRPr="00B51201">
        <w:rPr>
          <w:color w:val="auto"/>
        </w:rPr>
        <w:t>. VEGF inhibition has been shown to affect follicular development, corpus luteum function and fertility. Based on the mechanism of action of VEGF and Ang-2 inhibitors, there is a potential risk to female reproductive capacity however the risk is considered low due to the low systemic exposure after ocular administration.</w:t>
      </w:r>
    </w:p>
    <w:p w14:paraId="5486D539" w14:textId="1B2AA31C" w:rsidR="00B65D51" w:rsidRPr="00B51201" w:rsidRDefault="0031764D" w:rsidP="00B65D51">
      <w:pPr>
        <w:keepNext/>
        <w:spacing w:after="120" w:line="300" w:lineRule="atLeast"/>
        <w:jc w:val="both"/>
        <w:rPr>
          <w:i/>
          <w:color w:val="auto"/>
        </w:rPr>
      </w:pPr>
      <w:r w:rsidRPr="00B51201">
        <w:rPr>
          <w:b/>
          <w:color w:val="auto"/>
        </w:rPr>
        <w:t>Women of childbearing potential</w:t>
      </w:r>
    </w:p>
    <w:p w14:paraId="5688D0C2" w14:textId="3AC1EC0B" w:rsidR="00B65D51" w:rsidRPr="00B51201" w:rsidRDefault="00B51201" w:rsidP="00A4304C">
      <w:pPr>
        <w:spacing w:after="120" w:line="300" w:lineRule="atLeast"/>
        <w:rPr>
          <w:color w:val="auto"/>
          <w:highlight w:val="yellow"/>
        </w:rPr>
      </w:pPr>
      <w:r w:rsidRPr="00B51201">
        <w:rPr>
          <w:color w:val="auto"/>
        </w:rPr>
        <w:t xml:space="preserve">Women of childbearing potential should use contraception during treatment with </w:t>
      </w:r>
      <w:proofErr w:type="spellStart"/>
      <w:r w:rsidRPr="00B51201">
        <w:rPr>
          <w:color w:val="auto"/>
        </w:rPr>
        <w:t>V</w:t>
      </w:r>
      <w:r w:rsidR="00E00D93" w:rsidRPr="00B51201">
        <w:rPr>
          <w:color w:val="auto"/>
        </w:rPr>
        <w:t>abysmo</w:t>
      </w:r>
      <w:proofErr w:type="spellEnd"/>
      <w:r w:rsidRPr="00B51201">
        <w:rPr>
          <w:color w:val="auto"/>
        </w:rPr>
        <w:t xml:space="preserve"> and for at least 3 months following the last dose of </w:t>
      </w:r>
      <w:proofErr w:type="spellStart"/>
      <w:r w:rsidRPr="00B51201">
        <w:rPr>
          <w:color w:val="auto"/>
        </w:rPr>
        <w:t>V</w:t>
      </w:r>
      <w:r w:rsidR="00E00D93" w:rsidRPr="00B51201">
        <w:rPr>
          <w:color w:val="auto"/>
        </w:rPr>
        <w:t>abysmo</w:t>
      </w:r>
      <w:proofErr w:type="spellEnd"/>
      <w:r w:rsidRPr="00B51201">
        <w:rPr>
          <w:color w:val="auto"/>
        </w:rPr>
        <w:t>.</w:t>
      </w:r>
    </w:p>
    <w:p w14:paraId="0652504C" w14:textId="77777777" w:rsidR="0031764D" w:rsidRPr="00FE67FC" w:rsidRDefault="00674CFD" w:rsidP="00B1134D">
      <w:pPr>
        <w:pStyle w:val="Heading3"/>
        <w:rPr>
          <w:color w:val="auto"/>
        </w:rPr>
      </w:pPr>
      <w:r w:rsidRPr="00FE67FC">
        <w:rPr>
          <w:color w:val="auto"/>
        </w:rPr>
        <w:t xml:space="preserve">Use in pregnancy </w:t>
      </w:r>
    </w:p>
    <w:p w14:paraId="226742A2" w14:textId="7D763E74" w:rsidR="00B1134D" w:rsidRPr="00204BDD" w:rsidRDefault="0031764D" w:rsidP="00204BDD">
      <w:pPr>
        <w:pStyle w:val="Paragraph"/>
        <w:spacing w:after="120"/>
        <w:rPr>
          <w:b/>
        </w:rPr>
      </w:pPr>
      <w:r w:rsidRPr="00FE67FC">
        <w:rPr>
          <w:b/>
        </w:rPr>
        <w:t xml:space="preserve">Category </w:t>
      </w:r>
      <w:r w:rsidR="00654C0F">
        <w:rPr>
          <w:b/>
        </w:rPr>
        <w:t>D</w:t>
      </w:r>
      <w:r w:rsidR="00654C0F" w:rsidRPr="00204BDD">
        <w:rPr>
          <w:b/>
        </w:rPr>
        <w:t xml:space="preserve"> </w:t>
      </w:r>
    </w:p>
    <w:p w14:paraId="27F29CC9" w14:textId="0D317CB3" w:rsidR="00B51201" w:rsidRPr="00B51201" w:rsidRDefault="00B51201" w:rsidP="00204BDD">
      <w:pPr>
        <w:spacing w:after="120" w:line="300" w:lineRule="atLeast"/>
        <w:rPr>
          <w:color w:val="auto"/>
        </w:rPr>
      </w:pPr>
      <w:r w:rsidRPr="00B51201">
        <w:rPr>
          <w:color w:val="auto"/>
        </w:rPr>
        <w:t xml:space="preserve">There are no data from the use of </w:t>
      </w:r>
      <w:proofErr w:type="spellStart"/>
      <w:r w:rsidRPr="00B51201">
        <w:rPr>
          <w:color w:val="auto"/>
        </w:rPr>
        <w:t>V</w:t>
      </w:r>
      <w:r w:rsidR="00E00D93" w:rsidRPr="00B51201">
        <w:rPr>
          <w:color w:val="auto"/>
        </w:rPr>
        <w:t>abysmo</w:t>
      </w:r>
      <w:proofErr w:type="spellEnd"/>
      <w:r w:rsidRPr="00B51201">
        <w:rPr>
          <w:color w:val="auto"/>
        </w:rPr>
        <w:t xml:space="preserve"> in pregnant women.</w:t>
      </w:r>
    </w:p>
    <w:p w14:paraId="21758B89" w14:textId="0C90B6E7" w:rsidR="00B51201" w:rsidRDefault="00654C0F" w:rsidP="00B51201">
      <w:pPr>
        <w:spacing w:after="120" w:line="300" w:lineRule="atLeast"/>
        <w:rPr>
          <w:color w:val="auto"/>
        </w:rPr>
      </w:pPr>
      <w:r>
        <w:rPr>
          <w:color w:val="auto"/>
        </w:rPr>
        <w:lastRenderedPageBreak/>
        <w:t>I</w:t>
      </w:r>
      <w:r w:rsidR="00B51201" w:rsidRPr="00B51201">
        <w:rPr>
          <w:color w:val="auto"/>
        </w:rPr>
        <w:t>n a</w:t>
      </w:r>
      <w:r>
        <w:rPr>
          <w:color w:val="auto"/>
        </w:rPr>
        <w:t xml:space="preserve">n </w:t>
      </w:r>
      <w:proofErr w:type="spellStart"/>
      <w:r w:rsidRPr="00654C0F">
        <w:rPr>
          <w:color w:val="auto"/>
        </w:rPr>
        <w:t>embryofetal</w:t>
      </w:r>
      <w:proofErr w:type="spellEnd"/>
      <w:r w:rsidRPr="00654C0F">
        <w:rPr>
          <w:color w:val="auto"/>
        </w:rPr>
        <w:t xml:space="preserve"> development</w:t>
      </w:r>
      <w:r>
        <w:rPr>
          <w:color w:val="auto"/>
        </w:rPr>
        <w:t xml:space="preserve"> </w:t>
      </w:r>
      <w:r w:rsidR="00B51201" w:rsidRPr="00B51201">
        <w:rPr>
          <w:color w:val="auto"/>
        </w:rPr>
        <w:t>study in pregnant cynomolgus monkeys</w:t>
      </w:r>
      <w:r>
        <w:rPr>
          <w:color w:val="auto"/>
        </w:rPr>
        <w:t xml:space="preserve">, </w:t>
      </w:r>
      <w:proofErr w:type="spellStart"/>
      <w:r>
        <w:rPr>
          <w:color w:val="auto"/>
        </w:rPr>
        <w:t>faricimab</w:t>
      </w:r>
      <w:proofErr w:type="spellEnd"/>
      <w:r w:rsidR="00B51201" w:rsidRPr="00B51201">
        <w:rPr>
          <w:color w:val="auto"/>
        </w:rPr>
        <w:t xml:space="preserve"> </w:t>
      </w:r>
      <w:proofErr w:type="gramStart"/>
      <w:r w:rsidR="00B51201" w:rsidRPr="00B51201">
        <w:rPr>
          <w:color w:val="auto"/>
        </w:rPr>
        <w:t>given  intravenously</w:t>
      </w:r>
      <w:proofErr w:type="gramEnd"/>
      <w:r w:rsidR="00B51201" w:rsidRPr="00B51201">
        <w:rPr>
          <w:color w:val="auto"/>
        </w:rPr>
        <w:t xml:space="preserve"> throughout the period of organogenesis </w:t>
      </w:r>
      <w:r w:rsidRPr="00654C0F">
        <w:rPr>
          <w:color w:val="auto"/>
        </w:rPr>
        <w:t>did not adversely affect pregnancy or fetal development</w:t>
      </w:r>
      <w:r>
        <w:rPr>
          <w:color w:val="auto"/>
        </w:rPr>
        <w:t xml:space="preserve"> </w:t>
      </w:r>
      <w:r w:rsidR="00B51201" w:rsidRPr="00B51201">
        <w:rPr>
          <w:color w:val="auto"/>
        </w:rPr>
        <w:t xml:space="preserve">at doses </w:t>
      </w:r>
      <w:r>
        <w:rPr>
          <w:color w:val="auto"/>
        </w:rPr>
        <w:t xml:space="preserve">up to </w:t>
      </w:r>
      <w:r w:rsidRPr="00654C0F">
        <w:rPr>
          <w:color w:val="auto"/>
        </w:rPr>
        <w:t>3 mg/kg IV (523</w:t>
      </w:r>
      <w:r>
        <w:rPr>
          <w:color w:val="auto"/>
        </w:rPr>
        <w:t xml:space="preserve"> times the</w:t>
      </w:r>
      <w:r w:rsidRPr="00654C0F">
        <w:rPr>
          <w:color w:val="auto"/>
        </w:rPr>
        <w:t xml:space="preserve"> clinical exposures based on the </w:t>
      </w:r>
      <w:proofErr w:type="spellStart"/>
      <w:r w:rsidRPr="00654C0F">
        <w:rPr>
          <w:color w:val="auto"/>
        </w:rPr>
        <w:t>C</w:t>
      </w:r>
      <w:r w:rsidRPr="00654C0F">
        <w:rPr>
          <w:color w:val="auto"/>
          <w:vertAlign w:val="subscript"/>
        </w:rPr>
        <w:t>max</w:t>
      </w:r>
      <w:proofErr w:type="spellEnd"/>
      <w:r w:rsidRPr="00654C0F">
        <w:rPr>
          <w:color w:val="auto"/>
        </w:rPr>
        <w:t xml:space="preserve"> at the MRHD of a single 6 mg intravitreal dose)</w:t>
      </w:r>
      <w:r w:rsidR="00B51201" w:rsidRPr="00B51201">
        <w:rPr>
          <w:color w:val="auto"/>
        </w:rPr>
        <w:t>.</w:t>
      </w:r>
    </w:p>
    <w:p w14:paraId="71928D30" w14:textId="29D24D46" w:rsidR="00654C0F" w:rsidRPr="00B51201" w:rsidRDefault="00654C0F" w:rsidP="00B51201">
      <w:pPr>
        <w:spacing w:after="120" w:line="300" w:lineRule="atLeast"/>
        <w:rPr>
          <w:color w:val="auto"/>
        </w:rPr>
      </w:pPr>
      <w:r w:rsidRPr="00654C0F">
        <w:rPr>
          <w:color w:val="auto"/>
        </w:rPr>
        <w:t xml:space="preserve">VEGF inhibition has been shown to cause malformations, </w:t>
      </w:r>
      <w:proofErr w:type="spellStart"/>
      <w:r w:rsidRPr="00654C0F">
        <w:rPr>
          <w:color w:val="auto"/>
        </w:rPr>
        <w:t>embryofetal</w:t>
      </w:r>
      <w:proofErr w:type="spellEnd"/>
      <w:r w:rsidRPr="00654C0F">
        <w:rPr>
          <w:color w:val="auto"/>
        </w:rPr>
        <w:t xml:space="preserve"> resorption and decreased fetal weight. No dedicated studies addressing the effects of Ang-2 inhibition on pregnancy are available. Based on nonclinical information Ang-2 inhibition may lead to effects comparable to VEGF inhibition. Systemic exposures after ocular administration of </w:t>
      </w:r>
      <w:proofErr w:type="spellStart"/>
      <w:r w:rsidRPr="00654C0F">
        <w:rPr>
          <w:color w:val="auto"/>
        </w:rPr>
        <w:t>Vabysmo</w:t>
      </w:r>
      <w:proofErr w:type="spellEnd"/>
      <w:r w:rsidRPr="00654C0F">
        <w:rPr>
          <w:color w:val="auto"/>
        </w:rPr>
        <w:t xml:space="preserve"> is very low.</w:t>
      </w:r>
    </w:p>
    <w:p w14:paraId="3F126981" w14:textId="77777777" w:rsidR="006E1D51" w:rsidRDefault="00B51201" w:rsidP="00B51201">
      <w:pPr>
        <w:spacing w:after="120" w:line="300" w:lineRule="atLeast"/>
        <w:rPr>
          <w:color w:val="auto"/>
        </w:rPr>
      </w:pPr>
      <w:r w:rsidRPr="00B51201">
        <w:rPr>
          <w:color w:val="auto"/>
        </w:rPr>
        <w:t xml:space="preserve">It is not known whether </w:t>
      </w:r>
      <w:proofErr w:type="spellStart"/>
      <w:r w:rsidR="00654C0F">
        <w:rPr>
          <w:color w:val="auto"/>
        </w:rPr>
        <w:t>faricimab</w:t>
      </w:r>
      <w:proofErr w:type="spellEnd"/>
      <w:r w:rsidR="00654C0F" w:rsidRPr="00B51201">
        <w:rPr>
          <w:color w:val="auto"/>
        </w:rPr>
        <w:t xml:space="preserve"> </w:t>
      </w:r>
      <w:r w:rsidRPr="00B51201">
        <w:rPr>
          <w:color w:val="auto"/>
        </w:rPr>
        <w:t xml:space="preserve">can cross the placenta or cause harm to the </w:t>
      </w:r>
      <w:proofErr w:type="spellStart"/>
      <w:r w:rsidRPr="00B51201">
        <w:rPr>
          <w:color w:val="auto"/>
        </w:rPr>
        <w:t>fetus</w:t>
      </w:r>
      <w:proofErr w:type="spellEnd"/>
      <w:r w:rsidRPr="00B51201">
        <w:rPr>
          <w:color w:val="auto"/>
        </w:rPr>
        <w:t xml:space="preserve"> when administered to pregnant women. Based on the mechanism of action of VEGF and Ang-2 inhibitors, there is a potential risk to female reproductive capacity, and to embryo-fetal development. </w:t>
      </w:r>
    </w:p>
    <w:p w14:paraId="5D4BE536" w14:textId="21E3E69A" w:rsidR="00B65D51" w:rsidRPr="00B51201" w:rsidRDefault="00B51201" w:rsidP="00B51201">
      <w:pPr>
        <w:spacing w:after="120" w:line="300" w:lineRule="atLeast"/>
        <w:rPr>
          <w:color w:val="auto"/>
          <w:highlight w:val="yellow"/>
        </w:rPr>
      </w:pPr>
      <w:r w:rsidRPr="00B51201">
        <w:rPr>
          <w:color w:val="auto"/>
        </w:rPr>
        <w:t xml:space="preserve">Although the systemic exposure after ocular administration is very low, </w:t>
      </w:r>
      <w:proofErr w:type="spellStart"/>
      <w:r w:rsidRPr="00B51201">
        <w:rPr>
          <w:color w:val="auto"/>
        </w:rPr>
        <w:t>V</w:t>
      </w:r>
      <w:r w:rsidR="00E00D93" w:rsidRPr="00B51201">
        <w:rPr>
          <w:color w:val="auto"/>
        </w:rPr>
        <w:t>abysmo</w:t>
      </w:r>
      <w:proofErr w:type="spellEnd"/>
      <w:r w:rsidRPr="00B51201">
        <w:rPr>
          <w:color w:val="auto"/>
        </w:rPr>
        <w:t xml:space="preserve"> should not be used during pregnancy unless the potential benefit to the patient outweighs the potential risk to the </w:t>
      </w:r>
      <w:proofErr w:type="spellStart"/>
      <w:r w:rsidRPr="00B51201">
        <w:rPr>
          <w:color w:val="auto"/>
        </w:rPr>
        <w:t>fetus</w:t>
      </w:r>
      <w:proofErr w:type="spellEnd"/>
      <w:r w:rsidRPr="00B51201">
        <w:rPr>
          <w:color w:val="auto"/>
        </w:rPr>
        <w:t>.</w:t>
      </w:r>
    </w:p>
    <w:p w14:paraId="0837AC69" w14:textId="3DE0E5F7" w:rsidR="00B65D51" w:rsidRDefault="00501394" w:rsidP="00FB04A6">
      <w:pPr>
        <w:rPr>
          <w:color w:val="auto"/>
        </w:rPr>
      </w:pPr>
      <w:r w:rsidRPr="00B51201">
        <w:rPr>
          <w:color w:val="auto"/>
        </w:rPr>
        <w:t xml:space="preserve">The safe use of </w:t>
      </w:r>
      <w:proofErr w:type="spellStart"/>
      <w:r w:rsidR="00B51201" w:rsidRPr="00B51201">
        <w:rPr>
          <w:color w:val="auto"/>
        </w:rPr>
        <w:t>V</w:t>
      </w:r>
      <w:r w:rsidR="00E00D93" w:rsidRPr="00B51201">
        <w:rPr>
          <w:color w:val="auto"/>
        </w:rPr>
        <w:t>abysmo</w:t>
      </w:r>
      <w:proofErr w:type="spellEnd"/>
      <w:r w:rsidRPr="00B51201">
        <w:rPr>
          <w:color w:val="auto"/>
        </w:rPr>
        <w:t xml:space="preserve"> during labour and delivery has not been established.</w:t>
      </w:r>
    </w:p>
    <w:p w14:paraId="77E312D6" w14:textId="77777777" w:rsidR="006A7913" w:rsidRDefault="006A7913" w:rsidP="00FB04A6">
      <w:pPr>
        <w:rPr>
          <w:color w:val="auto"/>
        </w:rPr>
      </w:pPr>
    </w:p>
    <w:p w14:paraId="6E741059" w14:textId="77777777" w:rsidR="00834C48" w:rsidRPr="00B51201" w:rsidRDefault="00674CFD" w:rsidP="00B1498F">
      <w:pPr>
        <w:pStyle w:val="Heading3"/>
        <w:rPr>
          <w:color w:val="auto"/>
        </w:rPr>
      </w:pPr>
      <w:r w:rsidRPr="00B51201">
        <w:rPr>
          <w:color w:val="auto"/>
        </w:rPr>
        <w:t>Use in lactation</w:t>
      </w:r>
      <w:r w:rsidR="00834C48" w:rsidRPr="00B51201">
        <w:rPr>
          <w:color w:val="auto"/>
        </w:rPr>
        <w:t xml:space="preserve"> </w:t>
      </w:r>
    </w:p>
    <w:p w14:paraId="75A41BD1" w14:textId="07D1CDC3" w:rsidR="00834C48" w:rsidRPr="00A807D3" w:rsidRDefault="00B51201" w:rsidP="00B51201">
      <w:pPr>
        <w:spacing w:after="120"/>
        <w:rPr>
          <w:color w:val="auto"/>
        </w:rPr>
      </w:pPr>
      <w:r w:rsidRPr="00B51201">
        <w:rPr>
          <w:rFonts w:eastAsia="Calibri"/>
          <w:color w:val="auto"/>
          <w:lang w:val="en-GB"/>
        </w:rPr>
        <w:t xml:space="preserve">It is not known whether </w:t>
      </w:r>
      <w:proofErr w:type="spellStart"/>
      <w:r w:rsidR="00654C0F">
        <w:rPr>
          <w:rFonts w:eastAsia="Calibri"/>
          <w:color w:val="auto"/>
          <w:lang w:val="en-GB"/>
        </w:rPr>
        <w:t>faricimab</w:t>
      </w:r>
      <w:proofErr w:type="spellEnd"/>
      <w:r w:rsidR="00654C0F" w:rsidRPr="00B51201">
        <w:rPr>
          <w:rFonts w:eastAsia="Calibri"/>
          <w:color w:val="auto"/>
          <w:lang w:val="en-GB"/>
        </w:rPr>
        <w:t xml:space="preserve"> </w:t>
      </w:r>
      <w:r w:rsidRPr="00B51201">
        <w:rPr>
          <w:rFonts w:eastAsia="Calibri"/>
          <w:color w:val="auto"/>
          <w:lang w:val="en-GB"/>
        </w:rPr>
        <w:t xml:space="preserve">is excreted in human breast milk. </w:t>
      </w:r>
      <w:r w:rsidR="00654C0F">
        <w:rPr>
          <w:rFonts w:eastAsia="Calibri"/>
          <w:color w:val="auto"/>
          <w:lang w:val="en-GB"/>
        </w:rPr>
        <w:t>Animal</w:t>
      </w:r>
      <w:r w:rsidR="00654C0F" w:rsidRPr="00B51201">
        <w:rPr>
          <w:rFonts w:eastAsia="Calibri"/>
          <w:color w:val="auto"/>
          <w:lang w:val="en-GB"/>
        </w:rPr>
        <w:t xml:space="preserve"> </w:t>
      </w:r>
      <w:r w:rsidRPr="00B51201">
        <w:rPr>
          <w:rFonts w:eastAsia="Calibri"/>
          <w:color w:val="auto"/>
          <w:lang w:val="en-GB"/>
        </w:rPr>
        <w:t xml:space="preserve">studies have </w:t>
      </w:r>
      <w:r w:rsidR="00654C0F">
        <w:rPr>
          <w:rFonts w:eastAsia="Calibri"/>
          <w:color w:val="auto"/>
          <w:lang w:val="en-GB"/>
        </w:rPr>
        <w:t xml:space="preserve">not </w:t>
      </w:r>
      <w:r w:rsidRPr="00B51201">
        <w:rPr>
          <w:rFonts w:eastAsia="Calibri"/>
          <w:color w:val="auto"/>
          <w:lang w:val="en-GB"/>
        </w:rPr>
        <w:t xml:space="preserve">been conducted to assess the impact of </w:t>
      </w:r>
      <w:proofErr w:type="spellStart"/>
      <w:r w:rsidR="00654C0F">
        <w:rPr>
          <w:rFonts w:eastAsia="Calibri"/>
          <w:color w:val="auto"/>
          <w:lang w:val="en-GB"/>
        </w:rPr>
        <w:t>faricimab</w:t>
      </w:r>
      <w:proofErr w:type="spellEnd"/>
      <w:r w:rsidR="00654C0F" w:rsidRPr="00B51201">
        <w:rPr>
          <w:rFonts w:eastAsia="Calibri"/>
          <w:color w:val="auto"/>
          <w:lang w:val="en-GB"/>
        </w:rPr>
        <w:t xml:space="preserve"> </w:t>
      </w:r>
      <w:r w:rsidRPr="00B51201">
        <w:rPr>
          <w:rFonts w:eastAsia="Calibri"/>
          <w:color w:val="auto"/>
          <w:lang w:val="en-GB"/>
        </w:rPr>
        <w:t xml:space="preserve">on milk production or its presence in breast milk. Because many drugs are excreted in human milk with the potential for absorption and harm to infant growth and development exists, caution should be exercised when </w:t>
      </w:r>
      <w:proofErr w:type="spellStart"/>
      <w:r w:rsidRPr="00B51201">
        <w:rPr>
          <w:rFonts w:eastAsia="Calibri"/>
          <w:color w:val="auto"/>
          <w:lang w:val="en-GB"/>
        </w:rPr>
        <w:t>V</w:t>
      </w:r>
      <w:r w:rsidR="00E00D93" w:rsidRPr="00B51201">
        <w:rPr>
          <w:rFonts w:eastAsia="Calibri"/>
          <w:color w:val="auto"/>
          <w:lang w:val="en-GB"/>
        </w:rPr>
        <w:t>abysmo</w:t>
      </w:r>
      <w:proofErr w:type="spellEnd"/>
      <w:r w:rsidRPr="00B51201">
        <w:rPr>
          <w:rFonts w:eastAsia="Calibri"/>
          <w:color w:val="auto"/>
          <w:lang w:val="en-GB"/>
        </w:rPr>
        <w:t xml:space="preserve"> is administered to a nursing woman. The developmental and health benefits of breastfeeding should be considered along with the mother’s clinical need for </w:t>
      </w:r>
      <w:proofErr w:type="spellStart"/>
      <w:r w:rsidRPr="00B51201">
        <w:rPr>
          <w:rFonts w:eastAsia="Calibri"/>
          <w:color w:val="auto"/>
          <w:lang w:val="en-GB"/>
        </w:rPr>
        <w:t>V</w:t>
      </w:r>
      <w:r w:rsidR="00E00D93" w:rsidRPr="00B51201">
        <w:rPr>
          <w:rFonts w:eastAsia="Calibri"/>
          <w:color w:val="auto"/>
          <w:lang w:val="en-GB"/>
        </w:rPr>
        <w:t>abysmo</w:t>
      </w:r>
      <w:proofErr w:type="spellEnd"/>
      <w:r w:rsidRPr="00B51201">
        <w:rPr>
          <w:rFonts w:eastAsia="Calibri"/>
          <w:color w:val="auto"/>
          <w:lang w:val="en-GB"/>
        </w:rPr>
        <w:t xml:space="preserve"> and any potential adverse effects on the breastfed child from </w:t>
      </w:r>
      <w:proofErr w:type="spellStart"/>
      <w:r w:rsidRPr="00B51201">
        <w:rPr>
          <w:rFonts w:eastAsia="Calibri"/>
          <w:color w:val="auto"/>
          <w:lang w:val="en-GB"/>
        </w:rPr>
        <w:t>V</w:t>
      </w:r>
      <w:r w:rsidR="00E00D93" w:rsidRPr="00B51201">
        <w:rPr>
          <w:rFonts w:eastAsia="Calibri"/>
          <w:color w:val="auto"/>
          <w:lang w:val="en-GB"/>
        </w:rPr>
        <w:t>abysmo</w:t>
      </w:r>
      <w:proofErr w:type="spellEnd"/>
      <w:r w:rsidRPr="00B51201">
        <w:rPr>
          <w:rFonts w:eastAsia="Calibri"/>
          <w:color w:val="auto"/>
          <w:lang w:val="en-GB"/>
        </w:rPr>
        <w:t>.</w:t>
      </w:r>
    </w:p>
    <w:p w14:paraId="5EE6FFAB" w14:textId="77777777" w:rsidR="00D52399" w:rsidRPr="00A807D3" w:rsidRDefault="00902EBE" w:rsidP="009F4C5B">
      <w:pPr>
        <w:pStyle w:val="Heading2"/>
        <w:spacing w:before="0"/>
        <w:rPr>
          <w:color w:val="auto"/>
        </w:rPr>
      </w:pPr>
      <w:r w:rsidRPr="00A807D3">
        <w:rPr>
          <w:color w:val="auto"/>
        </w:rPr>
        <w:t>4.7</w:t>
      </w:r>
      <w:r w:rsidRPr="00A807D3">
        <w:rPr>
          <w:color w:val="auto"/>
        </w:rPr>
        <w:tab/>
        <w:t>EFFECTS ON ABILITY TO DRIVE AND USE MACHINES</w:t>
      </w:r>
    </w:p>
    <w:p w14:paraId="363781AF" w14:textId="5DEF0395" w:rsidR="00DE388D" w:rsidRPr="00A807D3" w:rsidRDefault="00B51201" w:rsidP="00DE388D">
      <w:pPr>
        <w:spacing w:after="120" w:line="300" w:lineRule="atLeast"/>
        <w:rPr>
          <w:color w:val="auto"/>
        </w:rPr>
      </w:pPr>
      <w:proofErr w:type="spellStart"/>
      <w:r w:rsidRPr="00B51201">
        <w:rPr>
          <w:color w:val="auto"/>
        </w:rPr>
        <w:t>V</w:t>
      </w:r>
      <w:r w:rsidR="00E00D93" w:rsidRPr="00B51201">
        <w:rPr>
          <w:color w:val="auto"/>
        </w:rPr>
        <w:t>abysmo</w:t>
      </w:r>
      <w:proofErr w:type="spellEnd"/>
      <w:r w:rsidRPr="00B51201">
        <w:rPr>
          <w:color w:val="auto"/>
        </w:rPr>
        <w:t xml:space="preserve"> may have a minor influence on the ability to drive and use machines due to possible temporary visual disturbances following the intravitreal injection and the associated eye examination. Patients should not drive or use machines until visual function ha</w:t>
      </w:r>
      <w:r>
        <w:rPr>
          <w:color w:val="auto"/>
        </w:rPr>
        <w:t>s recovered sufficiently</w:t>
      </w:r>
      <w:r w:rsidR="00DE388D" w:rsidRPr="00A807D3">
        <w:rPr>
          <w:color w:val="auto"/>
        </w:rPr>
        <w:t>.</w:t>
      </w:r>
    </w:p>
    <w:p w14:paraId="193737D8" w14:textId="5ACA4A7F" w:rsidR="00D52399" w:rsidRPr="00A807D3" w:rsidRDefault="00902EBE" w:rsidP="009F4C5B">
      <w:pPr>
        <w:pStyle w:val="Heading2"/>
        <w:spacing w:before="0"/>
        <w:rPr>
          <w:color w:val="auto"/>
        </w:rPr>
      </w:pPr>
      <w:r w:rsidRPr="00A807D3">
        <w:rPr>
          <w:color w:val="auto"/>
        </w:rPr>
        <w:t>4.8</w:t>
      </w:r>
      <w:r w:rsidRPr="00A807D3">
        <w:rPr>
          <w:color w:val="auto"/>
        </w:rPr>
        <w:tab/>
        <w:t>ADVERSE EFFECTS (UNDESIRABLE EFFECTS)</w:t>
      </w:r>
    </w:p>
    <w:p w14:paraId="42867618" w14:textId="2C776F17" w:rsidR="00DE388D" w:rsidRPr="00A807D3" w:rsidRDefault="00DE388D" w:rsidP="00204BDD">
      <w:pPr>
        <w:pStyle w:val="Heading3"/>
      </w:pPr>
      <w:r w:rsidRPr="00A807D3">
        <w:t>Summary of the safety profile</w:t>
      </w:r>
    </w:p>
    <w:p w14:paraId="284F3B90" w14:textId="49AFB1A1" w:rsidR="00B51201" w:rsidRDefault="00B51201" w:rsidP="00204BDD">
      <w:pPr>
        <w:pStyle w:val="NormalWeb"/>
        <w:spacing w:before="120" w:beforeAutospacing="0" w:line="300" w:lineRule="atLeast"/>
      </w:pPr>
      <w:r>
        <w:t xml:space="preserve">A total of 3,213 patients constituted the safety population in the four Phase III clinical studies (1,926 </w:t>
      </w:r>
      <w:proofErr w:type="spellStart"/>
      <w:r>
        <w:t>V</w:t>
      </w:r>
      <w:r w:rsidR="00E00D93">
        <w:t>abysmo</w:t>
      </w:r>
      <w:proofErr w:type="spellEnd"/>
      <w:r>
        <w:t xml:space="preserve"> treated patients; 664 in </w:t>
      </w:r>
      <w:proofErr w:type="spellStart"/>
      <w:r>
        <w:t>nAMD</w:t>
      </w:r>
      <w:proofErr w:type="spellEnd"/>
      <w:r>
        <w:t xml:space="preserve"> and 1,262 in DM</w:t>
      </w:r>
      <w:r w:rsidR="00186B1A">
        <w:t>O</w:t>
      </w:r>
      <w:r>
        <w:t xml:space="preserve">). </w:t>
      </w:r>
    </w:p>
    <w:p w14:paraId="02ACB90A" w14:textId="570912C6" w:rsidR="00B51201" w:rsidRDefault="00B51201" w:rsidP="00B51201">
      <w:pPr>
        <w:pStyle w:val="NormalWeb"/>
        <w:spacing w:after="120" w:line="300" w:lineRule="atLeast"/>
      </w:pPr>
      <w:r>
        <w:t>The most serious adverse reactions were</w:t>
      </w:r>
      <w:r w:rsidR="00B6313C">
        <w:t xml:space="preserve"> cataract (0.9%),</w:t>
      </w:r>
      <w:r>
        <w:t xml:space="preserve"> </w:t>
      </w:r>
      <w:r w:rsidR="00B063F6">
        <w:t xml:space="preserve">uveitis (0.5%), </w:t>
      </w:r>
      <w:r>
        <w:t>endophthalmitis (0.</w:t>
      </w:r>
      <w:r w:rsidR="002418EA">
        <w:t>3</w:t>
      </w:r>
      <w:r>
        <w:t xml:space="preserve">%), </w:t>
      </w:r>
      <w:proofErr w:type="spellStart"/>
      <w:r w:rsidR="00B063F6">
        <w:t>vitritis</w:t>
      </w:r>
      <w:proofErr w:type="spellEnd"/>
      <w:r w:rsidR="00B063F6">
        <w:t xml:space="preserve"> (0.3%), retinal tear (0.2%) and </w:t>
      </w:r>
      <w:proofErr w:type="spellStart"/>
      <w:r>
        <w:t>rhegmatogenous</w:t>
      </w:r>
      <w:proofErr w:type="spellEnd"/>
      <w:r>
        <w:t xml:space="preserve"> retinal detachment (&lt; 0.1%). </w:t>
      </w:r>
    </w:p>
    <w:p w14:paraId="37945A7B" w14:textId="0A4EA291" w:rsidR="00B51201" w:rsidRDefault="00B51201" w:rsidP="00B51201">
      <w:pPr>
        <w:pStyle w:val="NormalWeb"/>
        <w:spacing w:before="0" w:beforeAutospacing="0" w:after="120" w:afterAutospacing="0" w:line="300" w:lineRule="atLeast"/>
      </w:pPr>
      <w:r>
        <w:t xml:space="preserve">The most frequently reported adverse reactions in patients treated with </w:t>
      </w:r>
      <w:proofErr w:type="spellStart"/>
      <w:r>
        <w:t>V</w:t>
      </w:r>
      <w:r w:rsidR="00E00D93">
        <w:t>abysmo</w:t>
      </w:r>
      <w:proofErr w:type="spellEnd"/>
      <w:r>
        <w:t xml:space="preserve"> were</w:t>
      </w:r>
      <w:r w:rsidR="002418EA">
        <w:t xml:space="preserve"> </w:t>
      </w:r>
      <w:r w:rsidR="002418EA" w:rsidRPr="00045CCD">
        <w:t>cataract (1</w:t>
      </w:r>
      <w:r w:rsidR="00D72360" w:rsidRPr="00045CCD">
        <w:t>0.7</w:t>
      </w:r>
      <w:r w:rsidR="002418EA" w:rsidRPr="00045CCD">
        <w:t>%),</w:t>
      </w:r>
      <w:r>
        <w:t xml:space="preserve"> conjunctival </w:t>
      </w:r>
      <w:r w:rsidR="00204BDD">
        <w:t>haemorrhage</w:t>
      </w:r>
      <w:r>
        <w:t xml:space="preserve"> (7</w:t>
      </w:r>
      <w:r w:rsidR="00D72360">
        <w:t>.3</w:t>
      </w:r>
      <w:r>
        <w:t xml:space="preserve">%), </w:t>
      </w:r>
      <w:r w:rsidR="003F3CCC" w:rsidRPr="00206E8A">
        <w:t>intraocular pressure</w:t>
      </w:r>
      <w:r w:rsidR="00B063F6">
        <w:t xml:space="preserve"> increased (3.6%), </w:t>
      </w:r>
      <w:r>
        <w:t>vitreous floaters (</w:t>
      </w:r>
      <w:r w:rsidR="00D72360">
        <w:t>3.6</w:t>
      </w:r>
      <w:r>
        <w:t xml:space="preserve">%), </w:t>
      </w:r>
      <w:r w:rsidR="00B063F6">
        <w:t xml:space="preserve">eye pain (2.5%) and </w:t>
      </w:r>
      <w:r>
        <w:t xml:space="preserve">retinal pigment epithelial tear </w:t>
      </w:r>
      <w:r w:rsidR="002418EA">
        <w:t>(</w:t>
      </w:r>
      <w:proofErr w:type="spellStart"/>
      <w:r w:rsidR="002418EA">
        <w:t>nAMD</w:t>
      </w:r>
      <w:proofErr w:type="spellEnd"/>
      <w:r w:rsidR="002418EA">
        <w:t xml:space="preserve"> only) </w:t>
      </w:r>
      <w:r>
        <w:t>(</w:t>
      </w:r>
      <w:r w:rsidR="00B02632">
        <w:t>2.9</w:t>
      </w:r>
      <w:r>
        <w:t>%).</w:t>
      </w:r>
    </w:p>
    <w:p w14:paraId="3C376936" w14:textId="77777777" w:rsidR="00DE388D" w:rsidRPr="00A807D3" w:rsidRDefault="00DE388D" w:rsidP="00204BDD">
      <w:pPr>
        <w:pStyle w:val="Heading3"/>
      </w:pPr>
      <w:r w:rsidRPr="00A807D3">
        <w:t>Tabulated summary of adverse reactions from clinical trials</w:t>
      </w:r>
    </w:p>
    <w:p w14:paraId="062AD450" w14:textId="223D8F21" w:rsidR="00B51201" w:rsidRDefault="00B51201" w:rsidP="00204BDD">
      <w:pPr>
        <w:pStyle w:val="NormalWeb"/>
        <w:spacing w:before="120" w:beforeAutospacing="0" w:line="300" w:lineRule="atLeast"/>
      </w:pPr>
      <w:r>
        <w:lastRenderedPageBreak/>
        <w:t xml:space="preserve">The safety data described below include all adverse reactions from the pooled data across four Phase III clinical studies in the indications </w:t>
      </w:r>
      <w:proofErr w:type="spellStart"/>
      <w:r>
        <w:t>nAMD</w:t>
      </w:r>
      <w:proofErr w:type="spellEnd"/>
      <w:r>
        <w:t xml:space="preserve"> and DM</w:t>
      </w:r>
      <w:r w:rsidR="00186B1A">
        <w:t>O</w:t>
      </w:r>
      <w:r>
        <w:t xml:space="preserve">, with a reasonable possibility of causality attribution to the injection procedure or medicinal product. </w:t>
      </w:r>
    </w:p>
    <w:p w14:paraId="5AC0A27F" w14:textId="52A45867" w:rsidR="00167FBE" w:rsidRDefault="00B51201" w:rsidP="00B51201">
      <w:pPr>
        <w:pStyle w:val="NormalWeb"/>
        <w:spacing w:before="0" w:beforeAutospacing="0" w:after="120" w:afterAutospacing="0" w:line="300" w:lineRule="atLeast"/>
      </w:pPr>
      <w:r>
        <w:t>The adverse reactions are listed according to the MedDRA system organ class and ranked by frequency using the following convention: very common (≥ 1/10), common (≥ 1/100 to &lt; 1/10), uncommon (≥ 1/1,000 to &lt; 1/100), rare (≥ 1/10,000 to &lt; 1/1,000).</w:t>
      </w:r>
    </w:p>
    <w:p w14:paraId="111C967F" w14:textId="1FA40977" w:rsidR="00DE388D" w:rsidRPr="00A807D3" w:rsidRDefault="00B51201" w:rsidP="006E1D51">
      <w:pPr>
        <w:pStyle w:val="NormalWeb"/>
        <w:keepNext/>
        <w:pageBreakBefore/>
        <w:spacing w:before="240" w:beforeAutospacing="0" w:after="120" w:afterAutospacing="0" w:line="300" w:lineRule="atLeast"/>
        <w:ind w:left="992" w:right="805" w:hanging="992"/>
        <w:jc w:val="both"/>
      </w:pPr>
      <w:r>
        <w:rPr>
          <w:b/>
          <w:bCs/>
        </w:rPr>
        <w:t>Table 1</w:t>
      </w:r>
      <w:r w:rsidR="00DE388D" w:rsidRPr="00A807D3">
        <w:rPr>
          <w:rStyle w:val="apple-tab-span"/>
          <w:b/>
          <w:bCs/>
        </w:rPr>
        <w:tab/>
      </w:r>
      <w:r w:rsidR="00113ADF">
        <w:rPr>
          <w:rStyle w:val="apple-tab-span"/>
          <w:b/>
          <w:bCs/>
        </w:rPr>
        <w:t>Frequencies</w:t>
      </w:r>
      <w:r w:rsidR="00DE388D" w:rsidRPr="00A807D3">
        <w:rPr>
          <w:b/>
          <w:bCs/>
        </w:rPr>
        <w:t xml:space="preserve"> of adverse reactions in </w:t>
      </w:r>
      <w:r w:rsidR="00FF2BBE">
        <w:rPr>
          <w:b/>
          <w:bCs/>
        </w:rPr>
        <w:t xml:space="preserve">phase III </w:t>
      </w:r>
      <w:r w:rsidR="00DE388D" w:rsidRPr="00A807D3">
        <w:rPr>
          <w:b/>
          <w:bCs/>
        </w:rPr>
        <w:t xml:space="preserve">clinical </w:t>
      </w:r>
      <w:r w:rsidR="00113ADF">
        <w:rPr>
          <w:b/>
          <w:bCs/>
        </w:rPr>
        <w:t>studies</w:t>
      </w:r>
    </w:p>
    <w:tbl>
      <w:tblPr>
        <w:tblW w:w="9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4A0" w:firstRow="1" w:lastRow="0" w:firstColumn="1" w:lastColumn="0" w:noHBand="0" w:noVBand="1"/>
      </w:tblPr>
      <w:tblGrid>
        <w:gridCol w:w="3429"/>
        <w:gridCol w:w="1946"/>
        <w:gridCol w:w="1784"/>
        <w:gridCol w:w="2371"/>
      </w:tblGrid>
      <w:tr w:rsidR="005A28CA" w:rsidRPr="00A807D3" w14:paraId="186416AC" w14:textId="77777777" w:rsidTr="005A28CA">
        <w:tc>
          <w:tcPr>
            <w:tcW w:w="3429" w:type="dxa"/>
            <w:shd w:val="clear" w:color="auto" w:fill="auto"/>
            <w:tcMar>
              <w:top w:w="0" w:type="dxa"/>
              <w:left w:w="115" w:type="dxa"/>
              <w:bottom w:w="0" w:type="dxa"/>
              <w:right w:w="115" w:type="dxa"/>
            </w:tcMar>
            <w:hideMark/>
          </w:tcPr>
          <w:p w14:paraId="10C64947" w14:textId="77777777" w:rsidR="005A28CA" w:rsidRPr="00A807D3" w:rsidRDefault="005A28CA" w:rsidP="00FB04A6">
            <w:pPr>
              <w:pStyle w:val="NormalWeb"/>
              <w:spacing w:before="40" w:beforeAutospacing="0" w:after="0" w:afterAutospacing="0"/>
            </w:pPr>
            <w:r w:rsidRPr="00A807D3">
              <w:rPr>
                <w:b/>
                <w:bCs/>
              </w:rPr>
              <w:t>MedDRA System organ class</w:t>
            </w:r>
          </w:p>
        </w:tc>
        <w:tc>
          <w:tcPr>
            <w:tcW w:w="1946" w:type="dxa"/>
            <w:shd w:val="clear" w:color="auto" w:fill="auto"/>
            <w:tcMar>
              <w:top w:w="0" w:type="dxa"/>
              <w:left w:w="115" w:type="dxa"/>
              <w:bottom w:w="0" w:type="dxa"/>
              <w:right w:w="115" w:type="dxa"/>
            </w:tcMar>
            <w:hideMark/>
          </w:tcPr>
          <w:p w14:paraId="161DF4E6" w14:textId="4E8B8B8E" w:rsidR="005A28CA" w:rsidRPr="00206E8A" w:rsidRDefault="005A28CA" w:rsidP="00FF2BBE">
            <w:pPr>
              <w:pStyle w:val="NormalWeb"/>
              <w:spacing w:after="0" w:afterAutospacing="0"/>
              <w:jc w:val="center"/>
              <w:rPr>
                <w:b/>
                <w:bCs/>
              </w:rPr>
            </w:pPr>
            <w:proofErr w:type="spellStart"/>
            <w:r w:rsidRPr="00206E8A">
              <w:rPr>
                <w:b/>
                <w:bCs/>
              </w:rPr>
              <w:t>Vabysmo</w:t>
            </w:r>
            <w:proofErr w:type="spellEnd"/>
            <w:r w:rsidRPr="00206E8A">
              <w:rPr>
                <w:b/>
                <w:bCs/>
              </w:rPr>
              <w:t xml:space="preserve"> </w:t>
            </w:r>
          </w:p>
          <w:p w14:paraId="10C37E0C" w14:textId="1BD6E330" w:rsidR="005A28CA" w:rsidRPr="00206E8A" w:rsidRDefault="005A28CA" w:rsidP="00FF2BBE">
            <w:pPr>
              <w:pStyle w:val="NormalWeb"/>
              <w:spacing w:before="40" w:beforeAutospacing="0" w:after="0" w:afterAutospacing="0"/>
              <w:jc w:val="center"/>
            </w:pPr>
            <w:r w:rsidRPr="00206E8A">
              <w:rPr>
                <w:b/>
                <w:bCs/>
              </w:rPr>
              <w:t>n = 1 926</w:t>
            </w:r>
          </w:p>
        </w:tc>
        <w:tc>
          <w:tcPr>
            <w:tcW w:w="1784" w:type="dxa"/>
          </w:tcPr>
          <w:p w14:paraId="71F3C46E" w14:textId="77777777" w:rsidR="005A28CA" w:rsidRPr="00206E8A" w:rsidRDefault="005A28CA" w:rsidP="00FB04A6">
            <w:pPr>
              <w:pStyle w:val="NormalWeb"/>
              <w:spacing w:before="40" w:beforeAutospacing="0" w:after="0" w:afterAutospacing="0"/>
              <w:jc w:val="center"/>
              <w:rPr>
                <w:b/>
                <w:bCs/>
              </w:rPr>
            </w:pPr>
            <w:r w:rsidRPr="00206E8A">
              <w:rPr>
                <w:b/>
                <w:bCs/>
              </w:rPr>
              <w:t>Aflibercept</w:t>
            </w:r>
          </w:p>
          <w:p w14:paraId="307E5F30" w14:textId="6F5A4593" w:rsidR="005A28CA" w:rsidRPr="00206E8A" w:rsidRDefault="005A28CA" w:rsidP="00FB04A6">
            <w:pPr>
              <w:pStyle w:val="NormalWeb"/>
              <w:spacing w:before="40" w:beforeAutospacing="0" w:after="0" w:afterAutospacing="0"/>
              <w:jc w:val="center"/>
              <w:rPr>
                <w:b/>
                <w:bCs/>
              </w:rPr>
            </w:pPr>
            <w:r w:rsidRPr="00206E8A">
              <w:rPr>
                <w:b/>
                <w:bCs/>
              </w:rPr>
              <w:t>n = 1 287</w:t>
            </w:r>
          </w:p>
        </w:tc>
        <w:tc>
          <w:tcPr>
            <w:tcW w:w="2371" w:type="dxa"/>
            <w:shd w:val="clear" w:color="auto" w:fill="auto"/>
            <w:tcMar>
              <w:top w:w="0" w:type="dxa"/>
              <w:left w:w="115" w:type="dxa"/>
              <w:bottom w:w="0" w:type="dxa"/>
              <w:right w:w="115" w:type="dxa"/>
            </w:tcMar>
            <w:hideMark/>
          </w:tcPr>
          <w:p w14:paraId="36C75712" w14:textId="5EA66505" w:rsidR="005A28CA" w:rsidRPr="00A807D3" w:rsidRDefault="005A28CA" w:rsidP="00FB04A6">
            <w:pPr>
              <w:pStyle w:val="NormalWeb"/>
              <w:spacing w:before="40" w:beforeAutospacing="0" w:after="0" w:afterAutospacing="0"/>
              <w:jc w:val="center"/>
            </w:pPr>
            <w:r w:rsidRPr="00A807D3">
              <w:rPr>
                <w:b/>
                <w:bCs/>
              </w:rPr>
              <w:t>Frequency Category</w:t>
            </w:r>
          </w:p>
        </w:tc>
      </w:tr>
      <w:tr w:rsidR="005A28CA" w:rsidRPr="00A807D3" w14:paraId="2492D76B" w14:textId="77777777" w:rsidTr="001221C2">
        <w:trPr>
          <w:trHeight w:val="143"/>
        </w:trPr>
        <w:tc>
          <w:tcPr>
            <w:tcW w:w="9530" w:type="dxa"/>
            <w:gridSpan w:val="4"/>
          </w:tcPr>
          <w:p w14:paraId="52C682C0" w14:textId="7B167D44" w:rsidR="005A28CA" w:rsidRPr="00206E8A" w:rsidRDefault="005A28CA" w:rsidP="00FB04A6">
            <w:pPr>
              <w:rPr>
                <w:b/>
                <w:bCs/>
                <w:color w:val="auto"/>
              </w:rPr>
            </w:pPr>
            <w:r w:rsidRPr="00206E8A">
              <w:rPr>
                <w:b/>
                <w:bCs/>
                <w:color w:val="auto"/>
              </w:rPr>
              <w:t>Eye Disorders</w:t>
            </w:r>
          </w:p>
        </w:tc>
      </w:tr>
      <w:tr w:rsidR="005A28CA" w:rsidRPr="00A807D3" w14:paraId="77EB4E45" w14:textId="77777777" w:rsidTr="005A28CA">
        <w:tc>
          <w:tcPr>
            <w:tcW w:w="3429" w:type="dxa"/>
            <w:shd w:val="clear" w:color="auto" w:fill="auto"/>
            <w:tcMar>
              <w:top w:w="0" w:type="dxa"/>
              <w:left w:w="115" w:type="dxa"/>
              <w:bottom w:w="0" w:type="dxa"/>
              <w:right w:w="115" w:type="dxa"/>
            </w:tcMar>
          </w:tcPr>
          <w:p w14:paraId="305EEB47" w14:textId="0EE9A7C4" w:rsidR="005A28CA" w:rsidRPr="00A52FD7" w:rsidRDefault="005A28CA" w:rsidP="00FF2BBE">
            <w:pPr>
              <w:pStyle w:val="NormalWeb"/>
              <w:spacing w:before="40" w:beforeAutospacing="0" w:after="0" w:afterAutospacing="0"/>
            </w:pPr>
            <w:r>
              <w:t>Cataract</w:t>
            </w:r>
          </w:p>
        </w:tc>
        <w:tc>
          <w:tcPr>
            <w:tcW w:w="1946" w:type="dxa"/>
            <w:shd w:val="clear" w:color="auto" w:fill="auto"/>
            <w:tcMar>
              <w:top w:w="0" w:type="dxa"/>
              <w:left w:w="115" w:type="dxa"/>
              <w:bottom w:w="0" w:type="dxa"/>
              <w:right w:w="115" w:type="dxa"/>
            </w:tcMar>
          </w:tcPr>
          <w:p w14:paraId="4474E09A" w14:textId="761968E2" w:rsidR="005A28CA" w:rsidRPr="00206E8A" w:rsidRDefault="005A28CA" w:rsidP="00FF2BBE">
            <w:pPr>
              <w:pStyle w:val="NormalWeb"/>
              <w:spacing w:before="40" w:beforeAutospacing="0" w:after="0" w:afterAutospacing="0"/>
              <w:jc w:val="center"/>
            </w:pPr>
            <w:r w:rsidRPr="00206E8A">
              <w:t>10.7</w:t>
            </w:r>
          </w:p>
        </w:tc>
        <w:tc>
          <w:tcPr>
            <w:tcW w:w="1784" w:type="dxa"/>
          </w:tcPr>
          <w:p w14:paraId="08A23CD5" w14:textId="07F5B42A" w:rsidR="005A28CA" w:rsidRPr="00206E8A" w:rsidRDefault="005A28CA" w:rsidP="00FF2BBE">
            <w:pPr>
              <w:jc w:val="center"/>
            </w:pPr>
            <w:r w:rsidRPr="00206E8A">
              <w:t>7.0%</w:t>
            </w:r>
          </w:p>
        </w:tc>
        <w:tc>
          <w:tcPr>
            <w:tcW w:w="2371" w:type="dxa"/>
            <w:shd w:val="clear" w:color="auto" w:fill="auto"/>
            <w:tcMar>
              <w:top w:w="0" w:type="dxa"/>
              <w:left w:w="115" w:type="dxa"/>
              <w:bottom w:w="0" w:type="dxa"/>
              <w:right w:w="115" w:type="dxa"/>
            </w:tcMar>
          </w:tcPr>
          <w:p w14:paraId="52D95DAB" w14:textId="631DC883" w:rsidR="005A28CA" w:rsidRPr="00A807D3" w:rsidRDefault="005A28CA" w:rsidP="00FF2BBE">
            <w:pPr>
              <w:jc w:val="center"/>
              <w:rPr>
                <w:color w:val="auto"/>
              </w:rPr>
            </w:pPr>
            <w:r>
              <w:t>Very common</w:t>
            </w:r>
          </w:p>
        </w:tc>
      </w:tr>
      <w:tr w:rsidR="005A28CA" w:rsidRPr="00A807D3" w14:paraId="0C84FBA2" w14:textId="77777777" w:rsidTr="005A28CA">
        <w:tc>
          <w:tcPr>
            <w:tcW w:w="3429" w:type="dxa"/>
            <w:shd w:val="clear" w:color="auto" w:fill="auto"/>
            <w:tcMar>
              <w:top w:w="0" w:type="dxa"/>
              <w:left w:w="115" w:type="dxa"/>
              <w:bottom w:w="0" w:type="dxa"/>
              <w:right w:w="115" w:type="dxa"/>
            </w:tcMar>
          </w:tcPr>
          <w:p w14:paraId="6997EC49" w14:textId="50EF3578" w:rsidR="005A28CA" w:rsidRPr="00206E8A" w:rsidRDefault="005A28CA" w:rsidP="00FF2BBE">
            <w:pPr>
              <w:pStyle w:val="NormalWeb"/>
              <w:spacing w:before="40" w:beforeAutospacing="0" w:after="0" w:afterAutospacing="0"/>
            </w:pPr>
            <w:r w:rsidRPr="00206E8A">
              <w:t>Conjunctival haemorrhage</w:t>
            </w:r>
          </w:p>
        </w:tc>
        <w:tc>
          <w:tcPr>
            <w:tcW w:w="1946" w:type="dxa"/>
            <w:shd w:val="clear" w:color="auto" w:fill="auto"/>
            <w:tcMar>
              <w:top w:w="0" w:type="dxa"/>
              <w:left w:w="115" w:type="dxa"/>
              <w:bottom w:w="0" w:type="dxa"/>
              <w:right w:w="115" w:type="dxa"/>
            </w:tcMar>
          </w:tcPr>
          <w:p w14:paraId="0450AF20" w14:textId="180FDAC5" w:rsidR="005A28CA" w:rsidRPr="00206E8A" w:rsidRDefault="005A28CA" w:rsidP="00FF2BBE">
            <w:pPr>
              <w:pStyle w:val="NormalWeb"/>
              <w:spacing w:before="40" w:beforeAutospacing="0" w:after="0" w:afterAutospacing="0"/>
              <w:jc w:val="center"/>
            </w:pPr>
            <w:r w:rsidRPr="00206E8A">
              <w:t>7.3%</w:t>
            </w:r>
          </w:p>
        </w:tc>
        <w:tc>
          <w:tcPr>
            <w:tcW w:w="1784" w:type="dxa"/>
          </w:tcPr>
          <w:p w14:paraId="6D9ACD2C" w14:textId="14681E05" w:rsidR="005A28CA" w:rsidRPr="00206E8A" w:rsidRDefault="005A28CA" w:rsidP="00FF2BBE">
            <w:pPr>
              <w:jc w:val="center"/>
            </w:pPr>
            <w:r w:rsidRPr="00206E8A">
              <w:t>7.1%</w:t>
            </w:r>
          </w:p>
        </w:tc>
        <w:tc>
          <w:tcPr>
            <w:tcW w:w="2371" w:type="dxa"/>
            <w:shd w:val="clear" w:color="auto" w:fill="auto"/>
            <w:tcMar>
              <w:top w:w="0" w:type="dxa"/>
              <w:left w:w="115" w:type="dxa"/>
              <w:bottom w:w="0" w:type="dxa"/>
              <w:right w:w="115" w:type="dxa"/>
            </w:tcMar>
          </w:tcPr>
          <w:p w14:paraId="265B02BE" w14:textId="530478CA" w:rsidR="005A28CA" w:rsidRPr="008F1B8C" w:rsidRDefault="005A28CA" w:rsidP="00FF2BBE">
            <w:pPr>
              <w:jc w:val="center"/>
            </w:pPr>
            <w:r w:rsidRPr="008F1B8C">
              <w:t>Common</w:t>
            </w:r>
          </w:p>
        </w:tc>
      </w:tr>
      <w:tr w:rsidR="005A28CA" w:rsidRPr="00A807D3" w14:paraId="1D37EBC8" w14:textId="77777777" w:rsidTr="005A28CA">
        <w:tc>
          <w:tcPr>
            <w:tcW w:w="3429" w:type="dxa"/>
            <w:shd w:val="clear" w:color="auto" w:fill="auto"/>
            <w:tcMar>
              <w:top w:w="0" w:type="dxa"/>
              <w:left w:w="115" w:type="dxa"/>
              <w:bottom w:w="0" w:type="dxa"/>
              <w:right w:w="115" w:type="dxa"/>
            </w:tcMar>
          </w:tcPr>
          <w:p w14:paraId="335620BF" w14:textId="2D4C9722" w:rsidR="005A28CA" w:rsidRPr="00206E8A" w:rsidRDefault="005A28CA" w:rsidP="00FF2BBE">
            <w:pPr>
              <w:pStyle w:val="NormalWeb"/>
              <w:spacing w:before="40" w:beforeAutospacing="0" w:after="0" w:afterAutospacing="0"/>
            </w:pPr>
            <w:r w:rsidRPr="00206E8A">
              <w:t>Intraocular pressure increased</w:t>
            </w:r>
          </w:p>
        </w:tc>
        <w:tc>
          <w:tcPr>
            <w:tcW w:w="1946" w:type="dxa"/>
            <w:shd w:val="clear" w:color="auto" w:fill="auto"/>
            <w:tcMar>
              <w:top w:w="0" w:type="dxa"/>
              <w:left w:w="115" w:type="dxa"/>
              <w:bottom w:w="0" w:type="dxa"/>
              <w:right w:w="115" w:type="dxa"/>
            </w:tcMar>
          </w:tcPr>
          <w:p w14:paraId="0A331FE6" w14:textId="3D93AA29" w:rsidR="005A28CA" w:rsidRPr="00206E8A" w:rsidRDefault="005A28CA" w:rsidP="00FF2BBE">
            <w:pPr>
              <w:pStyle w:val="NormalWeb"/>
              <w:spacing w:before="40" w:beforeAutospacing="0" w:after="0" w:afterAutospacing="0"/>
              <w:jc w:val="center"/>
            </w:pPr>
            <w:r w:rsidRPr="00206E8A">
              <w:t>3.6%</w:t>
            </w:r>
          </w:p>
        </w:tc>
        <w:tc>
          <w:tcPr>
            <w:tcW w:w="1784" w:type="dxa"/>
          </w:tcPr>
          <w:p w14:paraId="665B6C3B" w14:textId="4932D6AA" w:rsidR="005A28CA" w:rsidRPr="00206E8A" w:rsidRDefault="005A28CA" w:rsidP="00FF2BBE">
            <w:pPr>
              <w:jc w:val="center"/>
            </w:pPr>
            <w:r w:rsidRPr="00206E8A">
              <w:t>2.4%</w:t>
            </w:r>
          </w:p>
        </w:tc>
        <w:tc>
          <w:tcPr>
            <w:tcW w:w="2371" w:type="dxa"/>
            <w:shd w:val="clear" w:color="auto" w:fill="auto"/>
            <w:tcMar>
              <w:top w:w="0" w:type="dxa"/>
              <w:left w:w="115" w:type="dxa"/>
              <w:bottom w:w="0" w:type="dxa"/>
              <w:right w:w="115" w:type="dxa"/>
            </w:tcMar>
          </w:tcPr>
          <w:p w14:paraId="5C53FDAE" w14:textId="30D3F24A" w:rsidR="005A28CA" w:rsidRPr="008F1B8C" w:rsidRDefault="003F3CCC" w:rsidP="00FF2BBE">
            <w:pPr>
              <w:jc w:val="center"/>
            </w:pPr>
            <w:r w:rsidRPr="008F1B8C">
              <w:t>Common</w:t>
            </w:r>
          </w:p>
        </w:tc>
      </w:tr>
      <w:tr w:rsidR="005A28CA" w:rsidRPr="00A807D3" w14:paraId="703C6624" w14:textId="77777777" w:rsidTr="005A28CA">
        <w:tc>
          <w:tcPr>
            <w:tcW w:w="3429" w:type="dxa"/>
            <w:shd w:val="clear" w:color="auto" w:fill="auto"/>
            <w:tcMar>
              <w:top w:w="0" w:type="dxa"/>
              <w:left w:w="115" w:type="dxa"/>
              <w:bottom w:w="0" w:type="dxa"/>
              <w:right w:w="115" w:type="dxa"/>
            </w:tcMar>
          </w:tcPr>
          <w:p w14:paraId="1926B583" w14:textId="7BE8DDEB" w:rsidR="005A28CA" w:rsidRPr="00206E8A" w:rsidRDefault="005A28CA" w:rsidP="00FF2BBE">
            <w:pPr>
              <w:pStyle w:val="NormalWeb"/>
              <w:spacing w:before="40" w:beforeAutospacing="0" w:after="0" w:afterAutospacing="0"/>
            </w:pPr>
            <w:r w:rsidRPr="00206E8A">
              <w:t>Vitreous floaters</w:t>
            </w:r>
          </w:p>
        </w:tc>
        <w:tc>
          <w:tcPr>
            <w:tcW w:w="1946" w:type="dxa"/>
            <w:shd w:val="clear" w:color="auto" w:fill="auto"/>
            <w:tcMar>
              <w:top w:w="0" w:type="dxa"/>
              <w:left w:w="115" w:type="dxa"/>
              <w:bottom w:w="0" w:type="dxa"/>
              <w:right w:w="115" w:type="dxa"/>
            </w:tcMar>
          </w:tcPr>
          <w:p w14:paraId="7D0E3395" w14:textId="0BC5C509" w:rsidR="005A28CA" w:rsidRPr="00206E8A" w:rsidRDefault="005A28CA" w:rsidP="00D72360">
            <w:pPr>
              <w:pStyle w:val="NormalWeb"/>
              <w:spacing w:before="40" w:beforeAutospacing="0" w:after="0" w:afterAutospacing="0"/>
              <w:jc w:val="center"/>
            </w:pPr>
            <w:r w:rsidRPr="00206E8A">
              <w:t>3.6%</w:t>
            </w:r>
          </w:p>
        </w:tc>
        <w:tc>
          <w:tcPr>
            <w:tcW w:w="1784" w:type="dxa"/>
          </w:tcPr>
          <w:p w14:paraId="24B1AFAB" w14:textId="5E0E1B34" w:rsidR="005A28CA" w:rsidRPr="00206E8A" w:rsidRDefault="005A28CA" w:rsidP="005A28CA">
            <w:pPr>
              <w:jc w:val="center"/>
            </w:pPr>
            <w:r w:rsidRPr="00206E8A">
              <w:t>2.3%</w:t>
            </w:r>
          </w:p>
        </w:tc>
        <w:tc>
          <w:tcPr>
            <w:tcW w:w="2371" w:type="dxa"/>
            <w:shd w:val="clear" w:color="auto" w:fill="auto"/>
            <w:tcMar>
              <w:top w:w="0" w:type="dxa"/>
              <w:left w:w="115" w:type="dxa"/>
              <w:bottom w:w="0" w:type="dxa"/>
              <w:right w:w="115" w:type="dxa"/>
            </w:tcMar>
          </w:tcPr>
          <w:p w14:paraId="24DDE8E5" w14:textId="66BE117C" w:rsidR="005A28CA" w:rsidRPr="00A807D3" w:rsidRDefault="005A28CA" w:rsidP="00FF2BBE">
            <w:pPr>
              <w:jc w:val="center"/>
              <w:rPr>
                <w:color w:val="auto"/>
              </w:rPr>
            </w:pPr>
            <w:r w:rsidRPr="008F1B8C">
              <w:t>Common</w:t>
            </w:r>
          </w:p>
        </w:tc>
      </w:tr>
      <w:tr w:rsidR="005A28CA" w:rsidRPr="00A807D3" w14:paraId="217290B2" w14:textId="77777777" w:rsidTr="005A28CA">
        <w:tc>
          <w:tcPr>
            <w:tcW w:w="3429" w:type="dxa"/>
            <w:shd w:val="clear" w:color="auto" w:fill="auto"/>
            <w:tcMar>
              <w:top w:w="0" w:type="dxa"/>
              <w:left w:w="115" w:type="dxa"/>
              <w:bottom w:w="0" w:type="dxa"/>
              <w:right w:w="115" w:type="dxa"/>
            </w:tcMar>
          </w:tcPr>
          <w:p w14:paraId="582761D2" w14:textId="7D00BEA4" w:rsidR="005A28CA" w:rsidRPr="00206E8A" w:rsidRDefault="003F3CCC" w:rsidP="003F3CCC">
            <w:pPr>
              <w:pStyle w:val="NormalWeb"/>
              <w:spacing w:before="40"/>
            </w:pPr>
            <w:r w:rsidRPr="00206E8A">
              <w:t>Retinal pigment epithelial</w:t>
            </w:r>
            <w:r w:rsidR="005A28CA" w:rsidRPr="00206E8A">
              <w:t xml:space="preserve"> tear (</w:t>
            </w:r>
            <w:proofErr w:type="spellStart"/>
            <w:r w:rsidR="005A28CA" w:rsidRPr="00206E8A">
              <w:t>nAMD</w:t>
            </w:r>
            <w:proofErr w:type="spellEnd"/>
            <w:r w:rsidR="005A28CA" w:rsidRPr="00206E8A">
              <w:t xml:space="preserve"> only)</w:t>
            </w:r>
          </w:p>
        </w:tc>
        <w:tc>
          <w:tcPr>
            <w:tcW w:w="1946" w:type="dxa"/>
            <w:shd w:val="clear" w:color="auto" w:fill="auto"/>
            <w:tcMar>
              <w:top w:w="0" w:type="dxa"/>
              <w:left w:w="115" w:type="dxa"/>
              <w:bottom w:w="0" w:type="dxa"/>
              <w:right w:w="115" w:type="dxa"/>
            </w:tcMar>
          </w:tcPr>
          <w:p w14:paraId="79E0A11C" w14:textId="573D9B7E" w:rsidR="005A28CA" w:rsidRPr="00206E8A" w:rsidRDefault="005A28CA" w:rsidP="00FF2BBE">
            <w:pPr>
              <w:pStyle w:val="NormalWeb"/>
              <w:spacing w:before="40" w:beforeAutospacing="0" w:after="0" w:afterAutospacing="0"/>
              <w:jc w:val="center"/>
            </w:pPr>
            <w:r w:rsidRPr="00206E8A">
              <w:t>2.9%</w:t>
            </w:r>
          </w:p>
        </w:tc>
        <w:tc>
          <w:tcPr>
            <w:tcW w:w="1784" w:type="dxa"/>
          </w:tcPr>
          <w:p w14:paraId="3B58BC3D" w14:textId="478133A6" w:rsidR="005A28CA" w:rsidRPr="00206E8A" w:rsidRDefault="005A28CA" w:rsidP="005A28CA">
            <w:pPr>
              <w:jc w:val="center"/>
            </w:pPr>
            <w:r w:rsidRPr="00206E8A">
              <w:t>1.4%</w:t>
            </w:r>
          </w:p>
        </w:tc>
        <w:tc>
          <w:tcPr>
            <w:tcW w:w="2371" w:type="dxa"/>
            <w:shd w:val="clear" w:color="auto" w:fill="auto"/>
            <w:tcMar>
              <w:top w:w="0" w:type="dxa"/>
              <w:left w:w="115" w:type="dxa"/>
              <w:bottom w:w="0" w:type="dxa"/>
              <w:right w:w="115" w:type="dxa"/>
            </w:tcMar>
          </w:tcPr>
          <w:p w14:paraId="3991979F" w14:textId="4FAD02FE" w:rsidR="005A28CA" w:rsidRPr="00A807D3" w:rsidRDefault="005A28CA" w:rsidP="00FF2BBE">
            <w:pPr>
              <w:jc w:val="center"/>
              <w:rPr>
                <w:color w:val="auto"/>
              </w:rPr>
            </w:pPr>
            <w:r w:rsidRPr="008F1B8C">
              <w:t>Common</w:t>
            </w:r>
          </w:p>
        </w:tc>
      </w:tr>
      <w:tr w:rsidR="005A28CA" w:rsidRPr="00A807D3" w14:paraId="05126F51" w14:textId="77777777" w:rsidTr="005A28CA">
        <w:tc>
          <w:tcPr>
            <w:tcW w:w="3429" w:type="dxa"/>
            <w:shd w:val="clear" w:color="auto" w:fill="auto"/>
            <w:tcMar>
              <w:top w:w="0" w:type="dxa"/>
              <w:left w:w="115" w:type="dxa"/>
              <w:bottom w:w="0" w:type="dxa"/>
              <w:right w:w="115" w:type="dxa"/>
            </w:tcMar>
          </w:tcPr>
          <w:p w14:paraId="6E85BD78" w14:textId="04F24A86" w:rsidR="005A28CA" w:rsidRPr="00206E8A" w:rsidRDefault="005A28CA" w:rsidP="00FF2BBE">
            <w:pPr>
              <w:pStyle w:val="NormalWeb"/>
              <w:spacing w:before="40" w:beforeAutospacing="0" w:after="0" w:afterAutospacing="0"/>
            </w:pPr>
            <w:r w:rsidRPr="00206E8A">
              <w:t>Eye pain</w:t>
            </w:r>
          </w:p>
        </w:tc>
        <w:tc>
          <w:tcPr>
            <w:tcW w:w="1946" w:type="dxa"/>
            <w:shd w:val="clear" w:color="auto" w:fill="auto"/>
            <w:tcMar>
              <w:top w:w="0" w:type="dxa"/>
              <w:left w:w="115" w:type="dxa"/>
              <w:bottom w:w="0" w:type="dxa"/>
              <w:right w:w="115" w:type="dxa"/>
            </w:tcMar>
          </w:tcPr>
          <w:p w14:paraId="1BC28FF8" w14:textId="3B0F1265" w:rsidR="005A28CA" w:rsidRPr="00206E8A" w:rsidRDefault="005A28CA" w:rsidP="00FF2BBE">
            <w:pPr>
              <w:pStyle w:val="NormalWeb"/>
              <w:spacing w:before="40" w:beforeAutospacing="0" w:after="0" w:afterAutospacing="0"/>
              <w:jc w:val="center"/>
            </w:pPr>
            <w:r w:rsidRPr="00206E8A">
              <w:t>2.5%</w:t>
            </w:r>
          </w:p>
        </w:tc>
        <w:tc>
          <w:tcPr>
            <w:tcW w:w="1784" w:type="dxa"/>
          </w:tcPr>
          <w:p w14:paraId="5E28DA30" w14:textId="5FE3156D" w:rsidR="005A28CA" w:rsidRPr="00206E8A" w:rsidRDefault="005A28CA" w:rsidP="00FF2BBE">
            <w:pPr>
              <w:jc w:val="center"/>
            </w:pPr>
            <w:r w:rsidRPr="00206E8A">
              <w:t>3.2%</w:t>
            </w:r>
          </w:p>
        </w:tc>
        <w:tc>
          <w:tcPr>
            <w:tcW w:w="2371" w:type="dxa"/>
            <w:shd w:val="clear" w:color="auto" w:fill="auto"/>
            <w:tcMar>
              <w:top w:w="0" w:type="dxa"/>
              <w:left w:w="115" w:type="dxa"/>
              <w:bottom w:w="0" w:type="dxa"/>
              <w:right w:w="115" w:type="dxa"/>
            </w:tcMar>
          </w:tcPr>
          <w:p w14:paraId="1219DBD0" w14:textId="0502F976" w:rsidR="005A28CA" w:rsidRPr="00A807D3" w:rsidRDefault="005A28CA" w:rsidP="00FF2BBE">
            <w:pPr>
              <w:jc w:val="center"/>
              <w:rPr>
                <w:color w:val="auto"/>
              </w:rPr>
            </w:pPr>
            <w:r w:rsidRPr="008F1B8C">
              <w:t>Common</w:t>
            </w:r>
          </w:p>
        </w:tc>
      </w:tr>
      <w:tr w:rsidR="005A28CA" w:rsidRPr="00A807D3" w14:paraId="6C161FBA" w14:textId="77777777" w:rsidTr="005A28CA">
        <w:tc>
          <w:tcPr>
            <w:tcW w:w="3429" w:type="dxa"/>
            <w:shd w:val="clear" w:color="auto" w:fill="auto"/>
            <w:tcMar>
              <w:top w:w="0" w:type="dxa"/>
              <w:left w:w="115" w:type="dxa"/>
              <w:bottom w:w="0" w:type="dxa"/>
              <w:right w:w="115" w:type="dxa"/>
            </w:tcMar>
          </w:tcPr>
          <w:p w14:paraId="03D0E8DD" w14:textId="7E15FBD5" w:rsidR="005A28CA" w:rsidRPr="00206E8A" w:rsidRDefault="005A28CA" w:rsidP="00FF2BBE">
            <w:pPr>
              <w:pStyle w:val="NormalWeb"/>
              <w:spacing w:before="40" w:beforeAutospacing="0" w:after="0" w:afterAutospacing="0"/>
            </w:pPr>
            <w:r w:rsidRPr="00206E8A">
              <w:t>Lacrimation increased</w:t>
            </w:r>
          </w:p>
        </w:tc>
        <w:tc>
          <w:tcPr>
            <w:tcW w:w="1946" w:type="dxa"/>
            <w:shd w:val="clear" w:color="auto" w:fill="auto"/>
            <w:tcMar>
              <w:top w:w="0" w:type="dxa"/>
              <w:left w:w="115" w:type="dxa"/>
              <w:bottom w:w="0" w:type="dxa"/>
              <w:right w:w="115" w:type="dxa"/>
            </w:tcMar>
          </w:tcPr>
          <w:p w14:paraId="00821891" w14:textId="3D4501AA" w:rsidR="005A28CA" w:rsidRPr="00206E8A" w:rsidRDefault="005A28CA" w:rsidP="00FF2BBE">
            <w:pPr>
              <w:pStyle w:val="NormalWeb"/>
              <w:spacing w:before="40" w:beforeAutospacing="0" w:after="0" w:afterAutospacing="0"/>
              <w:jc w:val="center"/>
            </w:pPr>
            <w:r w:rsidRPr="00206E8A">
              <w:t>1.1%</w:t>
            </w:r>
          </w:p>
        </w:tc>
        <w:tc>
          <w:tcPr>
            <w:tcW w:w="1784" w:type="dxa"/>
          </w:tcPr>
          <w:p w14:paraId="2BFD50D0" w14:textId="13638B50" w:rsidR="005A28CA" w:rsidRPr="00206E8A" w:rsidRDefault="005A28CA" w:rsidP="00FF2BBE">
            <w:pPr>
              <w:jc w:val="center"/>
            </w:pPr>
            <w:r w:rsidRPr="00206E8A">
              <w:t>1.0%</w:t>
            </w:r>
          </w:p>
        </w:tc>
        <w:tc>
          <w:tcPr>
            <w:tcW w:w="2371" w:type="dxa"/>
            <w:shd w:val="clear" w:color="auto" w:fill="auto"/>
            <w:tcMar>
              <w:top w:w="0" w:type="dxa"/>
              <w:left w:w="115" w:type="dxa"/>
              <w:bottom w:w="0" w:type="dxa"/>
              <w:right w:w="115" w:type="dxa"/>
            </w:tcMar>
          </w:tcPr>
          <w:p w14:paraId="19F52195" w14:textId="604757B9" w:rsidR="005A28CA" w:rsidRPr="008F1B8C" w:rsidRDefault="005A28CA" w:rsidP="00FF2BBE">
            <w:pPr>
              <w:jc w:val="center"/>
            </w:pPr>
            <w:r>
              <w:t>Common</w:t>
            </w:r>
          </w:p>
        </w:tc>
      </w:tr>
      <w:tr w:rsidR="005A28CA" w:rsidRPr="00A807D3" w14:paraId="1FD4F9C0" w14:textId="77777777" w:rsidTr="005A28CA">
        <w:tc>
          <w:tcPr>
            <w:tcW w:w="3429" w:type="dxa"/>
            <w:shd w:val="clear" w:color="auto" w:fill="auto"/>
            <w:tcMar>
              <w:top w:w="0" w:type="dxa"/>
              <w:left w:w="115" w:type="dxa"/>
              <w:bottom w:w="0" w:type="dxa"/>
              <w:right w:w="115" w:type="dxa"/>
            </w:tcMar>
          </w:tcPr>
          <w:p w14:paraId="76FD7382" w14:textId="3778A2AE" w:rsidR="005A28CA" w:rsidRPr="00206E8A" w:rsidRDefault="005A28CA" w:rsidP="00FF2BBE">
            <w:pPr>
              <w:pStyle w:val="NormalWeb"/>
              <w:spacing w:before="40" w:beforeAutospacing="0" w:after="0" w:afterAutospacing="0"/>
            </w:pPr>
            <w:r w:rsidRPr="00206E8A">
              <w:t>Ocular discomfort</w:t>
            </w:r>
          </w:p>
        </w:tc>
        <w:tc>
          <w:tcPr>
            <w:tcW w:w="1946" w:type="dxa"/>
            <w:shd w:val="clear" w:color="auto" w:fill="auto"/>
            <w:tcMar>
              <w:top w:w="0" w:type="dxa"/>
              <w:left w:w="115" w:type="dxa"/>
              <w:bottom w:w="0" w:type="dxa"/>
              <w:right w:w="115" w:type="dxa"/>
            </w:tcMar>
          </w:tcPr>
          <w:p w14:paraId="74453DEE" w14:textId="0132E476" w:rsidR="005A28CA" w:rsidRPr="00206E8A" w:rsidRDefault="005A28CA" w:rsidP="00FF2BBE">
            <w:pPr>
              <w:pStyle w:val="NormalWeb"/>
              <w:spacing w:before="40" w:beforeAutospacing="0" w:after="0" w:afterAutospacing="0"/>
              <w:jc w:val="center"/>
            </w:pPr>
            <w:r w:rsidRPr="00206E8A">
              <w:t>0.9%</w:t>
            </w:r>
          </w:p>
        </w:tc>
        <w:tc>
          <w:tcPr>
            <w:tcW w:w="1784" w:type="dxa"/>
          </w:tcPr>
          <w:p w14:paraId="3ED16EF5" w14:textId="304B4E84" w:rsidR="005A28CA" w:rsidRPr="00206E8A" w:rsidRDefault="005A28CA" w:rsidP="00FF2BBE">
            <w:pPr>
              <w:jc w:val="center"/>
            </w:pPr>
            <w:r w:rsidRPr="00206E8A">
              <w:t>0.5%</w:t>
            </w:r>
          </w:p>
        </w:tc>
        <w:tc>
          <w:tcPr>
            <w:tcW w:w="2371" w:type="dxa"/>
            <w:shd w:val="clear" w:color="auto" w:fill="auto"/>
            <w:tcMar>
              <w:top w:w="0" w:type="dxa"/>
              <w:left w:w="115" w:type="dxa"/>
              <w:bottom w:w="0" w:type="dxa"/>
              <w:right w:w="115" w:type="dxa"/>
            </w:tcMar>
          </w:tcPr>
          <w:p w14:paraId="1F65CF78" w14:textId="1611AAC8" w:rsidR="005A28CA" w:rsidRPr="00A807D3" w:rsidRDefault="005A28CA" w:rsidP="00FF2BBE">
            <w:pPr>
              <w:jc w:val="center"/>
              <w:rPr>
                <w:color w:val="auto"/>
              </w:rPr>
            </w:pPr>
            <w:r w:rsidRPr="008F1B8C">
              <w:t>Uncommon</w:t>
            </w:r>
          </w:p>
        </w:tc>
      </w:tr>
      <w:tr w:rsidR="00C37882" w:rsidRPr="00A807D3" w14:paraId="5BD92B28" w14:textId="77777777" w:rsidTr="003F3CCC">
        <w:tc>
          <w:tcPr>
            <w:tcW w:w="3429" w:type="dxa"/>
            <w:shd w:val="clear" w:color="auto" w:fill="auto"/>
            <w:tcMar>
              <w:top w:w="0" w:type="dxa"/>
              <w:left w:w="115" w:type="dxa"/>
              <w:bottom w:w="0" w:type="dxa"/>
              <w:right w:w="115" w:type="dxa"/>
            </w:tcMar>
          </w:tcPr>
          <w:p w14:paraId="06327465" w14:textId="77777777" w:rsidR="00C37882" w:rsidRPr="00206E8A" w:rsidRDefault="00C37882" w:rsidP="003F3CCC">
            <w:pPr>
              <w:pStyle w:val="NormalWeb"/>
              <w:spacing w:before="40" w:beforeAutospacing="0" w:after="0" w:afterAutospacing="0"/>
            </w:pPr>
            <w:r w:rsidRPr="00206E8A">
              <w:t>Eye irritation</w:t>
            </w:r>
          </w:p>
        </w:tc>
        <w:tc>
          <w:tcPr>
            <w:tcW w:w="1946" w:type="dxa"/>
            <w:shd w:val="clear" w:color="auto" w:fill="auto"/>
            <w:tcMar>
              <w:top w:w="0" w:type="dxa"/>
              <w:left w:w="115" w:type="dxa"/>
              <w:bottom w:w="0" w:type="dxa"/>
              <w:right w:w="115" w:type="dxa"/>
            </w:tcMar>
          </w:tcPr>
          <w:p w14:paraId="58A80DA6" w14:textId="77777777" w:rsidR="00C37882" w:rsidRPr="00206E8A" w:rsidRDefault="00C37882" w:rsidP="003F3CCC">
            <w:pPr>
              <w:pStyle w:val="NormalWeb"/>
              <w:spacing w:before="40" w:beforeAutospacing="0" w:after="0" w:afterAutospacing="0"/>
              <w:jc w:val="center"/>
            </w:pPr>
            <w:r w:rsidRPr="00206E8A">
              <w:t>0.8%</w:t>
            </w:r>
          </w:p>
        </w:tc>
        <w:tc>
          <w:tcPr>
            <w:tcW w:w="1784" w:type="dxa"/>
          </w:tcPr>
          <w:p w14:paraId="422073AB" w14:textId="77777777" w:rsidR="00C37882" w:rsidRPr="00206E8A" w:rsidRDefault="00C37882" w:rsidP="003F3CCC">
            <w:pPr>
              <w:jc w:val="center"/>
            </w:pPr>
            <w:r w:rsidRPr="00206E8A">
              <w:t>0.7%</w:t>
            </w:r>
          </w:p>
        </w:tc>
        <w:tc>
          <w:tcPr>
            <w:tcW w:w="2371" w:type="dxa"/>
            <w:shd w:val="clear" w:color="auto" w:fill="auto"/>
            <w:tcMar>
              <w:top w:w="0" w:type="dxa"/>
              <w:left w:w="115" w:type="dxa"/>
              <w:bottom w:w="0" w:type="dxa"/>
              <w:right w:w="115" w:type="dxa"/>
            </w:tcMar>
          </w:tcPr>
          <w:p w14:paraId="72024335" w14:textId="77777777" w:rsidR="00C37882" w:rsidRPr="00A807D3" w:rsidRDefault="00C37882" w:rsidP="003F3CCC">
            <w:pPr>
              <w:jc w:val="center"/>
              <w:rPr>
                <w:color w:val="auto"/>
              </w:rPr>
            </w:pPr>
            <w:r w:rsidRPr="008F1B8C">
              <w:t>Uncommon</w:t>
            </w:r>
          </w:p>
        </w:tc>
      </w:tr>
      <w:tr w:rsidR="005A28CA" w:rsidRPr="00A807D3" w14:paraId="47269DCA" w14:textId="77777777" w:rsidTr="005A28CA">
        <w:tc>
          <w:tcPr>
            <w:tcW w:w="3429" w:type="dxa"/>
            <w:shd w:val="clear" w:color="auto" w:fill="auto"/>
            <w:tcMar>
              <w:top w:w="0" w:type="dxa"/>
              <w:left w:w="115" w:type="dxa"/>
              <w:bottom w:w="0" w:type="dxa"/>
              <w:right w:w="115" w:type="dxa"/>
            </w:tcMar>
          </w:tcPr>
          <w:p w14:paraId="43ED0E1B" w14:textId="3C082001" w:rsidR="005A28CA" w:rsidRPr="00206E8A" w:rsidRDefault="005A28CA" w:rsidP="00FF2BBE">
            <w:pPr>
              <w:pStyle w:val="NormalWeb"/>
              <w:spacing w:before="40" w:beforeAutospacing="0" w:after="0" w:afterAutospacing="0"/>
            </w:pPr>
            <w:r w:rsidRPr="00206E8A">
              <w:t>Eye pruritus</w:t>
            </w:r>
          </w:p>
        </w:tc>
        <w:tc>
          <w:tcPr>
            <w:tcW w:w="1946" w:type="dxa"/>
            <w:shd w:val="clear" w:color="auto" w:fill="auto"/>
            <w:tcMar>
              <w:top w:w="0" w:type="dxa"/>
              <w:left w:w="115" w:type="dxa"/>
              <w:bottom w:w="0" w:type="dxa"/>
              <w:right w:w="115" w:type="dxa"/>
            </w:tcMar>
          </w:tcPr>
          <w:p w14:paraId="7842ECF5" w14:textId="464852B5" w:rsidR="005A28CA" w:rsidRPr="00206E8A" w:rsidRDefault="005A28CA" w:rsidP="00FF2BBE">
            <w:pPr>
              <w:pStyle w:val="NormalWeb"/>
              <w:spacing w:before="40" w:beforeAutospacing="0" w:after="0" w:afterAutospacing="0"/>
              <w:jc w:val="center"/>
            </w:pPr>
            <w:r w:rsidRPr="00206E8A">
              <w:t>0.8%</w:t>
            </w:r>
          </w:p>
        </w:tc>
        <w:tc>
          <w:tcPr>
            <w:tcW w:w="1784" w:type="dxa"/>
          </w:tcPr>
          <w:p w14:paraId="7AC82783" w14:textId="3A8A7494" w:rsidR="005A28CA" w:rsidRPr="00206E8A" w:rsidRDefault="005A28CA" w:rsidP="00FF2BBE">
            <w:pPr>
              <w:jc w:val="center"/>
            </w:pPr>
            <w:r w:rsidRPr="00206E8A">
              <w:t>0.5%</w:t>
            </w:r>
          </w:p>
        </w:tc>
        <w:tc>
          <w:tcPr>
            <w:tcW w:w="2371" w:type="dxa"/>
            <w:shd w:val="clear" w:color="auto" w:fill="auto"/>
            <w:tcMar>
              <w:top w:w="0" w:type="dxa"/>
              <w:left w:w="115" w:type="dxa"/>
              <w:bottom w:w="0" w:type="dxa"/>
              <w:right w:w="115" w:type="dxa"/>
            </w:tcMar>
          </w:tcPr>
          <w:p w14:paraId="3A897A53" w14:textId="309C647F" w:rsidR="005A28CA" w:rsidRPr="00A807D3" w:rsidRDefault="005A28CA" w:rsidP="00FF2BBE">
            <w:pPr>
              <w:jc w:val="center"/>
              <w:rPr>
                <w:color w:val="auto"/>
              </w:rPr>
            </w:pPr>
            <w:r w:rsidRPr="008F1B8C">
              <w:t>Uncommon</w:t>
            </w:r>
          </w:p>
        </w:tc>
      </w:tr>
      <w:tr w:rsidR="005A28CA" w:rsidRPr="00A807D3" w14:paraId="2D710BEC" w14:textId="77777777" w:rsidTr="005A28CA">
        <w:tc>
          <w:tcPr>
            <w:tcW w:w="3429" w:type="dxa"/>
            <w:shd w:val="clear" w:color="auto" w:fill="auto"/>
            <w:tcMar>
              <w:top w:w="0" w:type="dxa"/>
              <w:left w:w="115" w:type="dxa"/>
              <w:bottom w:w="0" w:type="dxa"/>
              <w:right w:w="115" w:type="dxa"/>
            </w:tcMar>
          </w:tcPr>
          <w:p w14:paraId="2F802DD8" w14:textId="1EC0A812" w:rsidR="005A28CA" w:rsidRPr="00206E8A" w:rsidRDefault="005A28CA" w:rsidP="00FF2BBE">
            <w:pPr>
              <w:pStyle w:val="NormalWeb"/>
              <w:spacing w:before="40" w:beforeAutospacing="0" w:after="0" w:afterAutospacing="0"/>
            </w:pPr>
            <w:r w:rsidRPr="00206E8A">
              <w:t>Corneal abrasion</w:t>
            </w:r>
          </w:p>
        </w:tc>
        <w:tc>
          <w:tcPr>
            <w:tcW w:w="1946" w:type="dxa"/>
            <w:shd w:val="clear" w:color="auto" w:fill="auto"/>
            <w:tcMar>
              <w:top w:w="0" w:type="dxa"/>
              <w:left w:w="115" w:type="dxa"/>
              <w:bottom w:w="0" w:type="dxa"/>
              <w:right w:w="115" w:type="dxa"/>
            </w:tcMar>
          </w:tcPr>
          <w:p w14:paraId="636B7AAD" w14:textId="0469552A" w:rsidR="005A28CA" w:rsidRPr="00206E8A" w:rsidRDefault="005A28CA" w:rsidP="00D72360">
            <w:pPr>
              <w:pStyle w:val="NormalWeb"/>
              <w:spacing w:before="40" w:beforeAutospacing="0" w:after="0" w:afterAutospacing="0"/>
              <w:jc w:val="center"/>
            </w:pPr>
            <w:r w:rsidRPr="00206E8A">
              <w:t>0.7%</w:t>
            </w:r>
          </w:p>
        </w:tc>
        <w:tc>
          <w:tcPr>
            <w:tcW w:w="1784" w:type="dxa"/>
          </w:tcPr>
          <w:p w14:paraId="1150AB58" w14:textId="13C3B42A" w:rsidR="005A28CA" w:rsidRPr="00206E8A" w:rsidRDefault="005A28CA" w:rsidP="00FF2BBE">
            <w:pPr>
              <w:jc w:val="center"/>
            </w:pPr>
            <w:r w:rsidRPr="00206E8A">
              <w:t>0.8%</w:t>
            </w:r>
          </w:p>
        </w:tc>
        <w:tc>
          <w:tcPr>
            <w:tcW w:w="2371" w:type="dxa"/>
            <w:shd w:val="clear" w:color="auto" w:fill="auto"/>
            <w:tcMar>
              <w:top w:w="0" w:type="dxa"/>
              <w:left w:w="115" w:type="dxa"/>
              <w:bottom w:w="0" w:type="dxa"/>
              <w:right w:w="115" w:type="dxa"/>
            </w:tcMar>
          </w:tcPr>
          <w:p w14:paraId="2D4E3C6E" w14:textId="6BA0C273" w:rsidR="005A28CA" w:rsidRPr="00A807D3" w:rsidRDefault="005A28CA" w:rsidP="00FF2BBE">
            <w:pPr>
              <w:jc w:val="center"/>
              <w:rPr>
                <w:color w:val="auto"/>
              </w:rPr>
            </w:pPr>
            <w:r w:rsidRPr="008F1B8C">
              <w:t>Uncommon</w:t>
            </w:r>
          </w:p>
        </w:tc>
      </w:tr>
      <w:tr w:rsidR="005A28CA" w:rsidRPr="00A807D3" w14:paraId="06F4BA51" w14:textId="77777777" w:rsidTr="005A28CA">
        <w:tc>
          <w:tcPr>
            <w:tcW w:w="3429" w:type="dxa"/>
            <w:shd w:val="clear" w:color="auto" w:fill="auto"/>
            <w:tcMar>
              <w:top w:w="0" w:type="dxa"/>
              <w:left w:w="115" w:type="dxa"/>
              <w:bottom w:w="0" w:type="dxa"/>
              <w:right w:w="115" w:type="dxa"/>
            </w:tcMar>
          </w:tcPr>
          <w:p w14:paraId="64E32CE8" w14:textId="325CECDC" w:rsidR="005A28CA" w:rsidRPr="00206E8A" w:rsidRDefault="005A28CA" w:rsidP="00FF2BBE">
            <w:pPr>
              <w:pStyle w:val="NormalWeb"/>
              <w:spacing w:before="40" w:beforeAutospacing="0" w:after="0" w:afterAutospacing="0"/>
            </w:pPr>
            <w:r w:rsidRPr="00206E8A">
              <w:t>Ocular hyperaemia</w:t>
            </w:r>
          </w:p>
        </w:tc>
        <w:tc>
          <w:tcPr>
            <w:tcW w:w="1946" w:type="dxa"/>
            <w:shd w:val="clear" w:color="auto" w:fill="auto"/>
            <w:tcMar>
              <w:top w:w="0" w:type="dxa"/>
              <w:left w:w="115" w:type="dxa"/>
              <w:bottom w:w="0" w:type="dxa"/>
              <w:right w:w="115" w:type="dxa"/>
            </w:tcMar>
          </w:tcPr>
          <w:p w14:paraId="7A3EA7C1" w14:textId="42789068" w:rsidR="005A28CA" w:rsidRPr="00206E8A" w:rsidRDefault="005A28CA" w:rsidP="00D72360">
            <w:pPr>
              <w:pStyle w:val="NormalWeb"/>
              <w:spacing w:before="40" w:beforeAutospacing="0" w:after="0" w:afterAutospacing="0"/>
              <w:jc w:val="center"/>
            </w:pPr>
            <w:r w:rsidRPr="00206E8A">
              <w:t>0.6%</w:t>
            </w:r>
          </w:p>
        </w:tc>
        <w:tc>
          <w:tcPr>
            <w:tcW w:w="1784" w:type="dxa"/>
          </w:tcPr>
          <w:p w14:paraId="06C6E159" w14:textId="0774F426" w:rsidR="005A28CA" w:rsidRPr="00206E8A" w:rsidRDefault="005A28CA" w:rsidP="00FF2BBE">
            <w:pPr>
              <w:jc w:val="center"/>
            </w:pPr>
            <w:r w:rsidRPr="00206E8A">
              <w:t>0.5%</w:t>
            </w:r>
          </w:p>
        </w:tc>
        <w:tc>
          <w:tcPr>
            <w:tcW w:w="2371" w:type="dxa"/>
            <w:shd w:val="clear" w:color="auto" w:fill="auto"/>
            <w:tcMar>
              <w:top w:w="0" w:type="dxa"/>
              <w:left w:w="115" w:type="dxa"/>
              <w:bottom w:w="0" w:type="dxa"/>
              <w:right w:w="115" w:type="dxa"/>
            </w:tcMar>
          </w:tcPr>
          <w:p w14:paraId="50B69165" w14:textId="5ECA024B" w:rsidR="005A28CA" w:rsidRPr="00A807D3" w:rsidRDefault="005A28CA" w:rsidP="00FF2BBE">
            <w:pPr>
              <w:jc w:val="center"/>
              <w:rPr>
                <w:color w:val="auto"/>
              </w:rPr>
            </w:pPr>
            <w:r w:rsidRPr="008F1B8C">
              <w:t>Uncommon</w:t>
            </w:r>
          </w:p>
        </w:tc>
      </w:tr>
      <w:tr w:rsidR="005A28CA" w:rsidRPr="00A807D3" w14:paraId="4007C141" w14:textId="77777777" w:rsidTr="005A28CA">
        <w:tc>
          <w:tcPr>
            <w:tcW w:w="3429" w:type="dxa"/>
            <w:shd w:val="clear" w:color="auto" w:fill="auto"/>
            <w:tcMar>
              <w:top w:w="0" w:type="dxa"/>
              <w:left w:w="115" w:type="dxa"/>
              <w:bottom w:w="0" w:type="dxa"/>
              <w:right w:w="115" w:type="dxa"/>
            </w:tcMar>
          </w:tcPr>
          <w:p w14:paraId="759C7B1B" w14:textId="77062838" w:rsidR="005A28CA" w:rsidRPr="00206E8A" w:rsidRDefault="005A28CA" w:rsidP="00FF2BBE">
            <w:pPr>
              <w:pStyle w:val="NormalWeb"/>
              <w:spacing w:before="40" w:beforeAutospacing="0" w:after="0" w:afterAutospacing="0"/>
            </w:pPr>
            <w:r w:rsidRPr="00206E8A">
              <w:t>Vision blurred</w:t>
            </w:r>
          </w:p>
        </w:tc>
        <w:tc>
          <w:tcPr>
            <w:tcW w:w="1946" w:type="dxa"/>
            <w:shd w:val="clear" w:color="auto" w:fill="auto"/>
            <w:tcMar>
              <w:top w:w="0" w:type="dxa"/>
              <w:left w:w="115" w:type="dxa"/>
              <w:bottom w:w="0" w:type="dxa"/>
              <w:right w:w="115" w:type="dxa"/>
            </w:tcMar>
          </w:tcPr>
          <w:p w14:paraId="0F2BB82B" w14:textId="4A8AC63D" w:rsidR="005A28CA" w:rsidRPr="00206E8A" w:rsidRDefault="005A28CA" w:rsidP="00FF2BBE">
            <w:pPr>
              <w:pStyle w:val="NormalWeb"/>
              <w:spacing w:before="40" w:beforeAutospacing="0" w:after="0" w:afterAutospacing="0"/>
              <w:jc w:val="center"/>
            </w:pPr>
            <w:r w:rsidRPr="00206E8A">
              <w:t>0.6%</w:t>
            </w:r>
          </w:p>
        </w:tc>
        <w:tc>
          <w:tcPr>
            <w:tcW w:w="1784" w:type="dxa"/>
          </w:tcPr>
          <w:p w14:paraId="5765B76C" w14:textId="1FF819C8" w:rsidR="005A28CA" w:rsidRPr="00206E8A" w:rsidRDefault="005A28CA" w:rsidP="00FF2BBE">
            <w:pPr>
              <w:jc w:val="center"/>
            </w:pPr>
            <w:r w:rsidRPr="00206E8A">
              <w:t>0.8%</w:t>
            </w:r>
          </w:p>
        </w:tc>
        <w:tc>
          <w:tcPr>
            <w:tcW w:w="2371" w:type="dxa"/>
            <w:shd w:val="clear" w:color="auto" w:fill="auto"/>
            <w:tcMar>
              <w:top w:w="0" w:type="dxa"/>
              <w:left w:w="115" w:type="dxa"/>
              <w:bottom w:w="0" w:type="dxa"/>
              <w:right w:w="115" w:type="dxa"/>
            </w:tcMar>
          </w:tcPr>
          <w:p w14:paraId="1B44F8C1" w14:textId="16BFCE9A" w:rsidR="005A28CA" w:rsidRPr="00A807D3" w:rsidRDefault="005A28CA" w:rsidP="00FF2BBE">
            <w:pPr>
              <w:jc w:val="center"/>
              <w:rPr>
                <w:color w:val="auto"/>
              </w:rPr>
            </w:pPr>
            <w:r w:rsidRPr="008F1B8C">
              <w:t>Uncommon</w:t>
            </w:r>
          </w:p>
        </w:tc>
      </w:tr>
      <w:tr w:rsidR="005A28CA" w:rsidRPr="00A807D3" w14:paraId="191B6E63" w14:textId="77777777" w:rsidTr="005A28CA">
        <w:tc>
          <w:tcPr>
            <w:tcW w:w="3429" w:type="dxa"/>
            <w:shd w:val="clear" w:color="auto" w:fill="auto"/>
            <w:tcMar>
              <w:top w:w="0" w:type="dxa"/>
              <w:left w:w="115" w:type="dxa"/>
              <w:bottom w:w="0" w:type="dxa"/>
              <w:right w:w="115" w:type="dxa"/>
            </w:tcMar>
          </w:tcPr>
          <w:p w14:paraId="6A7D86BA" w14:textId="74845AF8" w:rsidR="005A28CA" w:rsidRPr="00206E8A" w:rsidRDefault="005A28CA" w:rsidP="00FF2BBE">
            <w:pPr>
              <w:pStyle w:val="NormalWeb"/>
              <w:spacing w:before="40" w:beforeAutospacing="0" w:after="0" w:afterAutospacing="0"/>
            </w:pPr>
            <w:r w:rsidRPr="00206E8A">
              <w:t>Uveitis</w:t>
            </w:r>
          </w:p>
        </w:tc>
        <w:tc>
          <w:tcPr>
            <w:tcW w:w="1946" w:type="dxa"/>
            <w:shd w:val="clear" w:color="auto" w:fill="auto"/>
            <w:tcMar>
              <w:top w:w="0" w:type="dxa"/>
              <w:left w:w="115" w:type="dxa"/>
              <w:bottom w:w="0" w:type="dxa"/>
              <w:right w:w="115" w:type="dxa"/>
            </w:tcMar>
          </w:tcPr>
          <w:p w14:paraId="6CA679EA" w14:textId="3FA83E4E" w:rsidR="005A28CA" w:rsidRPr="00206E8A" w:rsidRDefault="005A28CA" w:rsidP="00D72360">
            <w:pPr>
              <w:pStyle w:val="NormalWeb"/>
              <w:spacing w:before="40" w:beforeAutospacing="0" w:after="0" w:afterAutospacing="0"/>
              <w:jc w:val="center"/>
            </w:pPr>
            <w:r w:rsidRPr="00206E8A">
              <w:t>0.5%</w:t>
            </w:r>
          </w:p>
        </w:tc>
        <w:tc>
          <w:tcPr>
            <w:tcW w:w="1784" w:type="dxa"/>
          </w:tcPr>
          <w:p w14:paraId="5C2434EA" w14:textId="7F23724D" w:rsidR="005A28CA" w:rsidRPr="00206E8A" w:rsidRDefault="005A28CA" w:rsidP="00FF2BBE">
            <w:pPr>
              <w:jc w:val="center"/>
            </w:pPr>
            <w:r w:rsidRPr="00206E8A">
              <w:t>0.2%</w:t>
            </w:r>
          </w:p>
        </w:tc>
        <w:tc>
          <w:tcPr>
            <w:tcW w:w="2371" w:type="dxa"/>
            <w:shd w:val="clear" w:color="auto" w:fill="auto"/>
            <w:tcMar>
              <w:top w:w="0" w:type="dxa"/>
              <w:left w:w="115" w:type="dxa"/>
              <w:bottom w:w="0" w:type="dxa"/>
              <w:right w:w="115" w:type="dxa"/>
            </w:tcMar>
          </w:tcPr>
          <w:p w14:paraId="499FF8DF" w14:textId="369A6512" w:rsidR="005A28CA" w:rsidRPr="00A807D3" w:rsidRDefault="005A28CA" w:rsidP="00FF2BBE">
            <w:pPr>
              <w:jc w:val="center"/>
              <w:rPr>
                <w:color w:val="auto"/>
              </w:rPr>
            </w:pPr>
            <w:r w:rsidRPr="008F1B8C">
              <w:t>Uncommon</w:t>
            </w:r>
          </w:p>
        </w:tc>
      </w:tr>
      <w:tr w:rsidR="005A28CA" w:rsidRPr="00A807D3" w14:paraId="6FC1465C" w14:textId="77777777" w:rsidTr="005A28CA">
        <w:tc>
          <w:tcPr>
            <w:tcW w:w="3429" w:type="dxa"/>
            <w:shd w:val="clear" w:color="auto" w:fill="auto"/>
            <w:tcMar>
              <w:top w:w="0" w:type="dxa"/>
              <w:left w:w="115" w:type="dxa"/>
              <w:bottom w:w="0" w:type="dxa"/>
              <w:right w:w="115" w:type="dxa"/>
            </w:tcMar>
          </w:tcPr>
          <w:p w14:paraId="4724CD74" w14:textId="4A55142A" w:rsidR="005A28CA" w:rsidRPr="00206E8A" w:rsidRDefault="005A28CA" w:rsidP="00FF2BBE">
            <w:pPr>
              <w:pStyle w:val="NormalWeb"/>
              <w:spacing w:before="40" w:beforeAutospacing="0" w:after="0" w:afterAutospacing="0"/>
            </w:pPr>
            <w:r w:rsidRPr="00206E8A">
              <w:t>Visual acuity reduced</w:t>
            </w:r>
          </w:p>
        </w:tc>
        <w:tc>
          <w:tcPr>
            <w:tcW w:w="1946" w:type="dxa"/>
            <w:shd w:val="clear" w:color="auto" w:fill="auto"/>
            <w:tcMar>
              <w:top w:w="0" w:type="dxa"/>
              <w:left w:w="115" w:type="dxa"/>
              <w:bottom w:w="0" w:type="dxa"/>
              <w:right w:w="115" w:type="dxa"/>
            </w:tcMar>
          </w:tcPr>
          <w:p w14:paraId="69EAC1B7" w14:textId="5608C8E7" w:rsidR="005A28CA" w:rsidRPr="00206E8A" w:rsidRDefault="005A28CA" w:rsidP="00D72360">
            <w:pPr>
              <w:pStyle w:val="NormalWeb"/>
              <w:spacing w:before="40" w:beforeAutospacing="0" w:after="0" w:afterAutospacing="0"/>
              <w:jc w:val="center"/>
            </w:pPr>
            <w:r w:rsidRPr="00206E8A">
              <w:t>0.5%</w:t>
            </w:r>
          </w:p>
        </w:tc>
        <w:tc>
          <w:tcPr>
            <w:tcW w:w="1784" w:type="dxa"/>
          </w:tcPr>
          <w:p w14:paraId="765615AF" w14:textId="4E47BABE" w:rsidR="005A28CA" w:rsidRPr="00206E8A" w:rsidRDefault="005A28CA" w:rsidP="00FF2BBE">
            <w:pPr>
              <w:jc w:val="center"/>
            </w:pPr>
            <w:r w:rsidRPr="00206E8A">
              <w:t>0.6%</w:t>
            </w:r>
          </w:p>
        </w:tc>
        <w:tc>
          <w:tcPr>
            <w:tcW w:w="2371" w:type="dxa"/>
            <w:shd w:val="clear" w:color="auto" w:fill="auto"/>
            <w:tcMar>
              <w:top w:w="0" w:type="dxa"/>
              <w:left w:w="115" w:type="dxa"/>
              <w:bottom w:w="0" w:type="dxa"/>
              <w:right w:w="115" w:type="dxa"/>
            </w:tcMar>
          </w:tcPr>
          <w:p w14:paraId="6E167CDE" w14:textId="740EC986" w:rsidR="005A28CA" w:rsidRPr="008F1B8C" w:rsidRDefault="005A28CA" w:rsidP="00FF2BBE">
            <w:pPr>
              <w:jc w:val="center"/>
            </w:pPr>
            <w:r w:rsidRPr="008F1B8C">
              <w:t>Uncommon</w:t>
            </w:r>
          </w:p>
        </w:tc>
      </w:tr>
      <w:tr w:rsidR="005A28CA" w:rsidRPr="00A807D3" w14:paraId="294BAF05" w14:textId="77777777" w:rsidTr="005A28CA">
        <w:tc>
          <w:tcPr>
            <w:tcW w:w="3429" w:type="dxa"/>
            <w:shd w:val="clear" w:color="auto" w:fill="auto"/>
            <w:tcMar>
              <w:top w:w="0" w:type="dxa"/>
              <w:left w:w="115" w:type="dxa"/>
              <w:bottom w:w="0" w:type="dxa"/>
              <w:right w:w="115" w:type="dxa"/>
            </w:tcMar>
          </w:tcPr>
          <w:p w14:paraId="4C668A9B" w14:textId="14A2C632" w:rsidR="005A28CA" w:rsidRPr="00206E8A" w:rsidRDefault="005A28CA" w:rsidP="00FF2BBE">
            <w:pPr>
              <w:pStyle w:val="NormalWeb"/>
              <w:spacing w:before="40" w:beforeAutospacing="0" w:after="0" w:afterAutospacing="0"/>
            </w:pPr>
            <w:r w:rsidRPr="00206E8A">
              <w:t>Iridocyclitis</w:t>
            </w:r>
          </w:p>
        </w:tc>
        <w:tc>
          <w:tcPr>
            <w:tcW w:w="1946" w:type="dxa"/>
            <w:shd w:val="clear" w:color="auto" w:fill="auto"/>
            <w:tcMar>
              <w:top w:w="0" w:type="dxa"/>
              <w:left w:w="115" w:type="dxa"/>
              <w:bottom w:w="0" w:type="dxa"/>
              <w:right w:w="115" w:type="dxa"/>
            </w:tcMar>
          </w:tcPr>
          <w:p w14:paraId="14E03075" w14:textId="2A9AF396" w:rsidR="005A28CA" w:rsidRPr="00206E8A" w:rsidRDefault="005A28CA" w:rsidP="00FF2BBE">
            <w:pPr>
              <w:pStyle w:val="NormalWeb"/>
              <w:spacing w:before="40" w:beforeAutospacing="0" w:after="0" w:afterAutospacing="0"/>
              <w:jc w:val="center"/>
            </w:pPr>
            <w:r w:rsidRPr="00206E8A">
              <w:t>0.4%</w:t>
            </w:r>
          </w:p>
        </w:tc>
        <w:tc>
          <w:tcPr>
            <w:tcW w:w="1784" w:type="dxa"/>
          </w:tcPr>
          <w:p w14:paraId="6AC46F63" w14:textId="59DDAEA9" w:rsidR="005A28CA" w:rsidRPr="00206E8A" w:rsidRDefault="005A28CA" w:rsidP="00FF2BBE">
            <w:pPr>
              <w:jc w:val="center"/>
            </w:pPr>
            <w:r w:rsidRPr="00206E8A">
              <w:t>0.2%</w:t>
            </w:r>
          </w:p>
        </w:tc>
        <w:tc>
          <w:tcPr>
            <w:tcW w:w="2371" w:type="dxa"/>
            <w:shd w:val="clear" w:color="auto" w:fill="auto"/>
            <w:tcMar>
              <w:top w:w="0" w:type="dxa"/>
              <w:left w:w="115" w:type="dxa"/>
              <w:bottom w:w="0" w:type="dxa"/>
              <w:right w:w="115" w:type="dxa"/>
            </w:tcMar>
          </w:tcPr>
          <w:p w14:paraId="77AFAB4D" w14:textId="5F8ACC17" w:rsidR="005A28CA" w:rsidRPr="00A807D3" w:rsidRDefault="005A28CA" w:rsidP="00FF2BBE">
            <w:pPr>
              <w:jc w:val="center"/>
              <w:rPr>
                <w:color w:val="auto"/>
              </w:rPr>
            </w:pPr>
            <w:r w:rsidRPr="008F1B8C">
              <w:t>Uncommon</w:t>
            </w:r>
          </w:p>
        </w:tc>
      </w:tr>
      <w:tr w:rsidR="00A241F6" w:rsidRPr="00A807D3" w14:paraId="18DA2A0C" w14:textId="77777777" w:rsidTr="003F3CCC">
        <w:tc>
          <w:tcPr>
            <w:tcW w:w="3429" w:type="dxa"/>
            <w:shd w:val="clear" w:color="auto" w:fill="auto"/>
            <w:tcMar>
              <w:top w:w="0" w:type="dxa"/>
              <w:left w:w="115" w:type="dxa"/>
              <w:bottom w:w="0" w:type="dxa"/>
              <w:right w:w="115" w:type="dxa"/>
            </w:tcMar>
          </w:tcPr>
          <w:p w14:paraId="5FC11EFA" w14:textId="77777777" w:rsidR="00A241F6" w:rsidRPr="00206E8A" w:rsidRDefault="00A241F6" w:rsidP="003F3CCC">
            <w:pPr>
              <w:pStyle w:val="NormalWeb"/>
              <w:spacing w:before="40" w:beforeAutospacing="0" w:after="0" w:afterAutospacing="0"/>
            </w:pPr>
            <w:r w:rsidRPr="00206E8A">
              <w:t>Iritis</w:t>
            </w:r>
          </w:p>
        </w:tc>
        <w:tc>
          <w:tcPr>
            <w:tcW w:w="1946" w:type="dxa"/>
            <w:shd w:val="clear" w:color="auto" w:fill="auto"/>
            <w:tcMar>
              <w:top w:w="0" w:type="dxa"/>
              <w:left w:w="115" w:type="dxa"/>
              <w:bottom w:w="0" w:type="dxa"/>
              <w:right w:w="115" w:type="dxa"/>
            </w:tcMar>
          </w:tcPr>
          <w:p w14:paraId="0ECE5037" w14:textId="77777777" w:rsidR="00A241F6" w:rsidRPr="00206E8A" w:rsidRDefault="00A241F6" w:rsidP="003F3CCC">
            <w:pPr>
              <w:pStyle w:val="NormalWeb"/>
              <w:spacing w:before="40" w:beforeAutospacing="0" w:after="0" w:afterAutospacing="0"/>
              <w:jc w:val="center"/>
            </w:pPr>
            <w:r w:rsidRPr="00206E8A">
              <w:t>0.4%</w:t>
            </w:r>
          </w:p>
        </w:tc>
        <w:tc>
          <w:tcPr>
            <w:tcW w:w="1784" w:type="dxa"/>
          </w:tcPr>
          <w:p w14:paraId="1BE7F6F8" w14:textId="77777777" w:rsidR="00A241F6" w:rsidRPr="00206E8A" w:rsidRDefault="00A241F6" w:rsidP="003F3CCC">
            <w:pPr>
              <w:jc w:val="center"/>
            </w:pPr>
            <w:r w:rsidRPr="00206E8A">
              <w:t>0.3%</w:t>
            </w:r>
          </w:p>
        </w:tc>
        <w:tc>
          <w:tcPr>
            <w:tcW w:w="2371" w:type="dxa"/>
            <w:shd w:val="clear" w:color="auto" w:fill="auto"/>
            <w:tcMar>
              <w:top w:w="0" w:type="dxa"/>
              <w:left w:w="115" w:type="dxa"/>
              <w:bottom w:w="0" w:type="dxa"/>
              <w:right w:w="115" w:type="dxa"/>
            </w:tcMar>
          </w:tcPr>
          <w:p w14:paraId="2CFA4948" w14:textId="77777777" w:rsidR="00A241F6" w:rsidRPr="00A807D3" w:rsidRDefault="00A241F6" w:rsidP="003F3CCC">
            <w:pPr>
              <w:jc w:val="center"/>
              <w:rPr>
                <w:color w:val="auto"/>
              </w:rPr>
            </w:pPr>
            <w:r w:rsidRPr="008F1B8C">
              <w:t>Uncommon</w:t>
            </w:r>
          </w:p>
        </w:tc>
      </w:tr>
      <w:tr w:rsidR="00C37882" w:rsidRPr="00A807D3" w14:paraId="63913FAD" w14:textId="77777777" w:rsidTr="003F3CCC">
        <w:tc>
          <w:tcPr>
            <w:tcW w:w="3429" w:type="dxa"/>
            <w:shd w:val="clear" w:color="auto" w:fill="auto"/>
            <w:tcMar>
              <w:top w:w="0" w:type="dxa"/>
              <w:left w:w="115" w:type="dxa"/>
              <w:bottom w:w="0" w:type="dxa"/>
              <w:right w:w="115" w:type="dxa"/>
            </w:tcMar>
          </w:tcPr>
          <w:p w14:paraId="4614481F" w14:textId="77777777" w:rsidR="00C37882" w:rsidRPr="00206E8A" w:rsidRDefault="00C37882" w:rsidP="003F3CCC">
            <w:pPr>
              <w:pStyle w:val="NormalWeb"/>
              <w:spacing w:before="40" w:beforeAutospacing="0" w:after="0" w:afterAutospacing="0"/>
            </w:pPr>
            <w:r w:rsidRPr="00206E8A">
              <w:t>Sensation of foreign body</w:t>
            </w:r>
          </w:p>
        </w:tc>
        <w:tc>
          <w:tcPr>
            <w:tcW w:w="1946" w:type="dxa"/>
            <w:shd w:val="clear" w:color="auto" w:fill="auto"/>
            <w:tcMar>
              <w:top w:w="0" w:type="dxa"/>
              <w:left w:w="115" w:type="dxa"/>
              <w:bottom w:w="0" w:type="dxa"/>
              <w:right w:w="115" w:type="dxa"/>
            </w:tcMar>
          </w:tcPr>
          <w:p w14:paraId="131F9B7D" w14:textId="77777777" w:rsidR="00C37882" w:rsidRPr="00206E8A" w:rsidRDefault="00C37882" w:rsidP="003F3CCC">
            <w:pPr>
              <w:pStyle w:val="NormalWeb"/>
              <w:spacing w:before="40" w:beforeAutospacing="0" w:after="0" w:afterAutospacing="0"/>
              <w:jc w:val="center"/>
            </w:pPr>
            <w:r w:rsidRPr="00206E8A">
              <w:t>0.4%</w:t>
            </w:r>
          </w:p>
        </w:tc>
        <w:tc>
          <w:tcPr>
            <w:tcW w:w="1784" w:type="dxa"/>
          </w:tcPr>
          <w:p w14:paraId="3E9CD62A" w14:textId="77777777" w:rsidR="00C37882" w:rsidRPr="00206E8A" w:rsidRDefault="00C37882" w:rsidP="003F3CCC">
            <w:pPr>
              <w:jc w:val="center"/>
            </w:pPr>
            <w:r w:rsidRPr="00206E8A">
              <w:t>0.2%</w:t>
            </w:r>
          </w:p>
        </w:tc>
        <w:tc>
          <w:tcPr>
            <w:tcW w:w="2371" w:type="dxa"/>
            <w:shd w:val="clear" w:color="auto" w:fill="auto"/>
            <w:tcMar>
              <w:top w:w="0" w:type="dxa"/>
              <w:left w:w="115" w:type="dxa"/>
              <w:bottom w:w="0" w:type="dxa"/>
              <w:right w:w="115" w:type="dxa"/>
            </w:tcMar>
          </w:tcPr>
          <w:p w14:paraId="21D0D53D" w14:textId="77777777" w:rsidR="00C37882" w:rsidRPr="00A807D3" w:rsidRDefault="00C37882" w:rsidP="003F3CCC">
            <w:pPr>
              <w:jc w:val="center"/>
              <w:rPr>
                <w:color w:val="auto"/>
              </w:rPr>
            </w:pPr>
            <w:r w:rsidRPr="008F1B8C">
              <w:t>Uncommon</w:t>
            </w:r>
          </w:p>
        </w:tc>
      </w:tr>
      <w:tr w:rsidR="00A241F6" w:rsidRPr="00A807D3" w14:paraId="40FD0425" w14:textId="77777777" w:rsidTr="003F3CCC">
        <w:tc>
          <w:tcPr>
            <w:tcW w:w="3429" w:type="dxa"/>
            <w:shd w:val="clear" w:color="auto" w:fill="auto"/>
            <w:tcMar>
              <w:top w:w="0" w:type="dxa"/>
              <w:left w:w="115" w:type="dxa"/>
              <w:bottom w:w="0" w:type="dxa"/>
              <w:right w:w="115" w:type="dxa"/>
            </w:tcMar>
          </w:tcPr>
          <w:p w14:paraId="668CC2DC" w14:textId="77777777" w:rsidR="00A241F6" w:rsidRPr="00206E8A" w:rsidRDefault="00A241F6" w:rsidP="003F3CCC">
            <w:pPr>
              <w:pStyle w:val="NormalWeb"/>
              <w:spacing w:before="40" w:beforeAutospacing="0" w:after="0" w:afterAutospacing="0"/>
            </w:pPr>
            <w:r w:rsidRPr="00206E8A">
              <w:t>Vitreous haemorrhage</w:t>
            </w:r>
          </w:p>
        </w:tc>
        <w:tc>
          <w:tcPr>
            <w:tcW w:w="1946" w:type="dxa"/>
            <w:shd w:val="clear" w:color="auto" w:fill="auto"/>
            <w:tcMar>
              <w:top w:w="0" w:type="dxa"/>
              <w:left w:w="115" w:type="dxa"/>
              <w:bottom w:w="0" w:type="dxa"/>
              <w:right w:w="115" w:type="dxa"/>
            </w:tcMar>
          </w:tcPr>
          <w:p w14:paraId="411C714D" w14:textId="77777777" w:rsidR="00A241F6" w:rsidRPr="00206E8A" w:rsidRDefault="00A241F6" w:rsidP="003F3CCC">
            <w:pPr>
              <w:pStyle w:val="NormalWeb"/>
              <w:spacing w:before="40" w:beforeAutospacing="0" w:after="0" w:afterAutospacing="0"/>
              <w:jc w:val="center"/>
            </w:pPr>
            <w:r w:rsidRPr="00206E8A">
              <w:t>0.4%</w:t>
            </w:r>
          </w:p>
        </w:tc>
        <w:tc>
          <w:tcPr>
            <w:tcW w:w="1784" w:type="dxa"/>
          </w:tcPr>
          <w:p w14:paraId="7B3368B7" w14:textId="77777777" w:rsidR="00A241F6" w:rsidRPr="00206E8A" w:rsidRDefault="00A241F6" w:rsidP="003F3CCC">
            <w:pPr>
              <w:jc w:val="center"/>
            </w:pPr>
            <w:r w:rsidRPr="00206E8A">
              <w:t>0.4%</w:t>
            </w:r>
          </w:p>
        </w:tc>
        <w:tc>
          <w:tcPr>
            <w:tcW w:w="2371" w:type="dxa"/>
            <w:shd w:val="clear" w:color="auto" w:fill="auto"/>
            <w:tcMar>
              <w:top w:w="0" w:type="dxa"/>
              <w:left w:w="115" w:type="dxa"/>
              <w:bottom w:w="0" w:type="dxa"/>
              <w:right w:w="115" w:type="dxa"/>
            </w:tcMar>
          </w:tcPr>
          <w:p w14:paraId="7E453B33" w14:textId="77777777" w:rsidR="00A241F6" w:rsidRPr="00A807D3" w:rsidRDefault="00A241F6" w:rsidP="003F3CCC">
            <w:pPr>
              <w:jc w:val="center"/>
              <w:rPr>
                <w:color w:val="auto"/>
              </w:rPr>
            </w:pPr>
            <w:r w:rsidRPr="008F1B8C">
              <w:t>Uncommon</w:t>
            </w:r>
          </w:p>
        </w:tc>
      </w:tr>
      <w:tr w:rsidR="005A28CA" w:rsidRPr="00A807D3" w14:paraId="3A2AC2A7" w14:textId="77777777" w:rsidTr="005A28CA">
        <w:tc>
          <w:tcPr>
            <w:tcW w:w="3429" w:type="dxa"/>
            <w:shd w:val="clear" w:color="auto" w:fill="auto"/>
            <w:tcMar>
              <w:top w:w="0" w:type="dxa"/>
              <w:left w:w="115" w:type="dxa"/>
              <w:bottom w:w="0" w:type="dxa"/>
              <w:right w:w="115" w:type="dxa"/>
            </w:tcMar>
          </w:tcPr>
          <w:p w14:paraId="7586DA86" w14:textId="4F2A7D45" w:rsidR="005A28CA" w:rsidRPr="00206E8A" w:rsidRDefault="005A28CA" w:rsidP="00FF2BBE">
            <w:pPr>
              <w:pStyle w:val="NormalWeb"/>
              <w:spacing w:before="40" w:beforeAutospacing="0" w:after="0" w:afterAutospacing="0"/>
            </w:pPr>
            <w:r w:rsidRPr="00206E8A">
              <w:t>Endophthalmitis</w:t>
            </w:r>
          </w:p>
        </w:tc>
        <w:tc>
          <w:tcPr>
            <w:tcW w:w="1946" w:type="dxa"/>
            <w:shd w:val="clear" w:color="auto" w:fill="auto"/>
            <w:tcMar>
              <w:top w:w="0" w:type="dxa"/>
              <w:left w:w="115" w:type="dxa"/>
              <w:bottom w:w="0" w:type="dxa"/>
              <w:right w:w="115" w:type="dxa"/>
            </w:tcMar>
          </w:tcPr>
          <w:p w14:paraId="517A503F" w14:textId="239E009A" w:rsidR="005A28CA" w:rsidRPr="00206E8A" w:rsidRDefault="005A28CA" w:rsidP="00D72360">
            <w:pPr>
              <w:pStyle w:val="NormalWeb"/>
              <w:spacing w:before="40" w:beforeAutospacing="0" w:after="0" w:afterAutospacing="0"/>
              <w:jc w:val="center"/>
            </w:pPr>
            <w:r w:rsidRPr="00206E8A">
              <w:t>0.3%</w:t>
            </w:r>
          </w:p>
        </w:tc>
        <w:tc>
          <w:tcPr>
            <w:tcW w:w="1784" w:type="dxa"/>
          </w:tcPr>
          <w:p w14:paraId="4F6BE3F5" w14:textId="6B0F8033" w:rsidR="005A28CA" w:rsidRPr="00206E8A" w:rsidRDefault="005A28CA" w:rsidP="00FF2BBE">
            <w:pPr>
              <w:jc w:val="center"/>
            </w:pPr>
            <w:r w:rsidRPr="00206E8A">
              <w:t>0.2%</w:t>
            </w:r>
          </w:p>
        </w:tc>
        <w:tc>
          <w:tcPr>
            <w:tcW w:w="2371" w:type="dxa"/>
            <w:shd w:val="clear" w:color="auto" w:fill="auto"/>
            <w:tcMar>
              <w:top w:w="0" w:type="dxa"/>
              <w:left w:w="115" w:type="dxa"/>
              <w:bottom w:w="0" w:type="dxa"/>
              <w:right w:w="115" w:type="dxa"/>
            </w:tcMar>
          </w:tcPr>
          <w:p w14:paraId="5C656D9B" w14:textId="1C0A3A51" w:rsidR="005A28CA" w:rsidRPr="00A807D3" w:rsidRDefault="005A28CA" w:rsidP="00FF2BBE">
            <w:pPr>
              <w:jc w:val="center"/>
              <w:rPr>
                <w:color w:val="auto"/>
              </w:rPr>
            </w:pPr>
            <w:r w:rsidRPr="008F1B8C">
              <w:t>Uncommon</w:t>
            </w:r>
          </w:p>
        </w:tc>
      </w:tr>
      <w:tr w:rsidR="00A241F6" w:rsidRPr="00A807D3" w14:paraId="63C06D36" w14:textId="77777777" w:rsidTr="003F3CCC">
        <w:tc>
          <w:tcPr>
            <w:tcW w:w="3429" w:type="dxa"/>
            <w:shd w:val="clear" w:color="auto" w:fill="auto"/>
            <w:tcMar>
              <w:top w:w="0" w:type="dxa"/>
              <w:left w:w="115" w:type="dxa"/>
              <w:bottom w:w="0" w:type="dxa"/>
              <w:right w:w="115" w:type="dxa"/>
            </w:tcMar>
          </w:tcPr>
          <w:p w14:paraId="2E3F65E6" w14:textId="77777777" w:rsidR="00A241F6" w:rsidRPr="00206E8A" w:rsidRDefault="00A241F6" w:rsidP="003F3CCC">
            <w:pPr>
              <w:pStyle w:val="NormalWeb"/>
              <w:spacing w:before="40" w:beforeAutospacing="0" w:after="0" w:afterAutospacing="0"/>
            </w:pPr>
            <w:proofErr w:type="spellStart"/>
            <w:r w:rsidRPr="00206E8A">
              <w:t>Vitritis</w:t>
            </w:r>
            <w:proofErr w:type="spellEnd"/>
          </w:p>
        </w:tc>
        <w:tc>
          <w:tcPr>
            <w:tcW w:w="1946" w:type="dxa"/>
            <w:shd w:val="clear" w:color="auto" w:fill="auto"/>
            <w:tcMar>
              <w:top w:w="0" w:type="dxa"/>
              <w:left w:w="115" w:type="dxa"/>
              <w:bottom w:w="0" w:type="dxa"/>
              <w:right w:w="115" w:type="dxa"/>
            </w:tcMar>
          </w:tcPr>
          <w:p w14:paraId="5135017E" w14:textId="77777777" w:rsidR="00A241F6" w:rsidRPr="00206E8A" w:rsidRDefault="00A241F6" w:rsidP="003F3CCC">
            <w:pPr>
              <w:pStyle w:val="NormalWeb"/>
              <w:spacing w:before="40" w:beforeAutospacing="0" w:after="0" w:afterAutospacing="0"/>
              <w:jc w:val="center"/>
            </w:pPr>
            <w:r w:rsidRPr="00206E8A">
              <w:t>0.3%</w:t>
            </w:r>
          </w:p>
        </w:tc>
        <w:tc>
          <w:tcPr>
            <w:tcW w:w="1784" w:type="dxa"/>
          </w:tcPr>
          <w:p w14:paraId="79872FE9" w14:textId="77777777" w:rsidR="00A241F6" w:rsidRPr="00206E8A" w:rsidRDefault="00A241F6" w:rsidP="003F3CCC">
            <w:pPr>
              <w:jc w:val="center"/>
            </w:pPr>
            <w:r w:rsidRPr="00206E8A">
              <w:t>0.2%</w:t>
            </w:r>
          </w:p>
        </w:tc>
        <w:tc>
          <w:tcPr>
            <w:tcW w:w="2371" w:type="dxa"/>
            <w:shd w:val="clear" w:color="auto" w:fill="auto"/>
            <w:tcMar>
              <w:top w:w="0" w:type="dxa"/>
              <w:left w:w="115" w:type="dxa"/>
              <w:bottom w:w="0" w:type="dxa"/>
              <w:right w:w="115" w:type="dxa"/>
            </w:tcMar>
          </w:tcPr>
          <w:p w14:paraId="5246087C" w14:textId="77777777" w:rsidR="00A241F6" w:rsidRPr="00A807D3" w:rsidRDefault="00A241F6" w:rsidP="003F3CCC">
            <w:pPr>
              <w:jc w:val="center"/>
              <w:rPr>
                <w:color w:val="auto"/>
              </w:rPr>
            </w:pPr>
            <w:r w:rsidRPr="008F1B8C">
              <w:t>Uncommon</w:t>
            </w:r>
          </w:p>
        </w:tc>
      </w:tr>
      <w:tr w:rsidR="005A28CA" w:rsidRPr="00A807D3" w14:paraId="0A574817" w14:textId="77777777" w:rsidTr="005A28CA">
        <w:tc>
          <w:tcPr>
            <w:tcW w:w="3429" w:type="dxa"/>
            <w:shd w:val="clear" w:color="auto" w:fill="auto"/>
            <w:tcMar>
              <w:top w:w="0" w:type="dxa"/>
              <w:left w:w="115" w:type="dxa"/>
              <w:bottom w:w="0" w:type="dxa"/>
              <w:right w:w="115" w:type="dxa"/>
            </w:tcMar>
          </w:tcPr>
          <w:p w14:paraId="19E079E9" w14:textId="6B803A1A" w:rsidR="005A28CA" w:rsidRPr="00206E8A" w:rsidRDefault="005A28CA" w:rsidP="00FF2BBE">
            <w:pPr>
              <w:pStyle w:val="NormalWeb"/>
              <w:spacing w:before="40" w:beforeAutospacing="0" w:after="0" w:afterAutospacing="0"/>
            </w:pPr>
            <w:r w:rsidRPr="00206E8A">
              <w:t>Conjunctival hyperaemia</w:t>
            </w:r>
          </w:p>
        </w:tc>
        <w:tc>
          <w:tcPr>
            <w:tcW w:w="1946" w:type="dxa"/>
            <w:shd w:val="clear" w:color="auto" w:fill="auto"/>
            <w:tcMar>
              <w:top w:w="0" w:type="dxa"/>
              <w:left w:w="115" w:type="dxa"/>
              <w:bottom w:w="0" w:type="dxa"/>
              <w:right w:w="115" w:type="dxa"/>
            </w:tcMar>
          </w:tcPr>
          <w:p w14:paraId="53B1A9D3" w14:textId="1A8180BA" w:rsidR="005A28CA" w:rsidRPr="00206E8A" w:rsidRDefault="005A28CA" w:rsidP="00FF2BBE">
            <w:pPr>
              <w:pStyle w:val="NormalWeb"/>
              <w:spacing w:before="40" w:beforeAutospacing="0" w:after="0" w:afterAutospacing="0"/>
              <w:jc w:val="center"/>
            </w:pPr>
            <w:r w:rsidRPr="00206E8A">
              <w:t>0.2%</w:t>
            </w:r>
          </w:p>
        </w:tc>
        <w:tc>
          <w:tcPr>
            <w:tcW w:w="1784" w:type="dxa"/>
          </w:tcPr>
          <w:p w14:paraId="35B2A876" w14:textId="63FAB305" w:rsidR="005A28CA" w:rsidRPr="00206E8A" w:rsidRDefault="005A28CA" w:rsidP="00FF2BBE">
            <w:pPr>
              <w:jc w:val="center"/>
            </w:pPr>
            <w:r w:rsidRPr="00206E8A">
              <w:t>0.3%</w:t>
            </w:r>
          </w:p>
        </w:tc>
        <w:tc>
          <w:tcPr>
            <w:tcW w:w="2371" w:type="dxa"/>
            <w:shd w:val="clear" w:color="auto" w:fill="auto"/>
            <w:tcMar>
              <w:top w:w="0" w:type="dxa"/>
              <w:left w:w="115" w:type="dxa"/>
              <w:bottom w:w="0" w:type="dxa"/>
              <w:right w:w="115" w:type="dxa"/>
            </w:tcMar>
          </w:tcPr>
          <w:p w14:paraId="61CCD6BF" w14:textId="7915001F" w:rsidR="005A28CA" w:rsidRPr="008F1B8C" w:rsidRDefault="005A28CA" w:rsidP="00FF2BBE">
            <w:pPr>
              <w:jc w:val="center"/>
            </w:pPr>
            <w:r w:rsidRPr="008F1B8C">
              <w:t>Uncommon</w:t>
            </w:r>
          </w:p>
        </w:tc>
      </w:tr>
      <w:tr w:rsidR="005A28CA" w:rsidRPr="00A807D3" w14:paraId="65F7765A" w14:textId="77777777" w:rsidTr="005A28CA">
        <w:tc>
          <w:tcPr>
            <w:tcW w:w="3429" w:type="dxa"/>
            <w:shd w:val="clear" w:color="auto" w:fill="auto"/>
            <w:tcMar>
              <w:top w:w="0" w:type="dxa"/>
              <w:left w:w="115" w:type="dxa"/>
              <w:bottom w:w="0" w:type="dxa"/>
              <w:right w:w="115" w:type="dxa"/>
            </w:tcMar>
          </w:tcPr>
          <w:p w14:paraId="0E7F2B56" w14:textId="2BBA9DF7" w:rsidR="005A28CA" w:rsidRPr="00206E8A" w:rsidRDefault="005A28CA" w:rsidP="00FF2BBE">
            <w:pPr>
              <w:pStyle w:val="NormalWeb"/>
              <w:spacing w:before="40" w:beforeAutospacing="0" w:after="0" w:afterAutospacing="0"/>
            </w:pPr>
            <w:r w:rsidRPr="00206E8A">
              <w:t>Retinal tear</w:t>
            </w:r>
          </w:p>
        </w:tc>
        <w:tc>
          <w:tcPr>
            <w:tcW w:w="1946" w:type="dxa"/>
            <w:shd w:val="clear" w:color="auto" w:fill="auto"/>
            <w:tcMar>
              <w:top w:w="0" w:type="dxa"/>
              <w:left w:w="115" w:type="dxa"/>
              <w:bottom w:w="0" w:type="dxa"/>
              <w:right w:w="115" w:type="dxa"/>
            </w:tcMar>
          </w:tcPr>
          <w:p w14:paraId="3FAE48E6" w14:textId="4F87D075" w:rsidR="005A28CA" w:rsidRPr="00206E8A" w:rsidRDefault="005A28CA" w:rsidP="00D72360">
            <w:pPr>
              <w:pStyle w:val="NormalWeb"/>
              <w:spacing w:before="40" w:beforeAutospacing="0" w:after="0" w:afterAutospacing="0"/>
              <w:jc w:val="center"/>
            </w:pPr>
            <w:r w:rsidRPr="00206E8A">
              <w:t>0.2%</w:t>
            </w:r>
          </w:p>
        </w:tc>
        <w:tc>
          <w:tcPr>
            <w:tcW w:w="1784" w:type="dxa"/>
          </w:tcPr>
          <w:p w14:paraId="768E3CCF" w14:textId="6CEB4608" w:rsidR="005A28CA" w:rsidRPr="00206E8A" w:rsidRDefault="005A28CA" w:rsidP="00FF2BBE">
            <w:pPr>
              <w:jc w:val="center"/>
            </w:pPr>
            <w:r w:rsidRPr="00206E8A">
              <w:t>0.0%</w:t>
            </w:r>
          </w:p>
        </w:tc>
        <w:tc>
          <w:tcPr>
            <w:tcW w:w="2371" w:type="dxa"/>
            <w:shd w:val="clear" w:color="auto" w:fill="auto"/>
            <w:tcMar>
              <w:top w:w="0" w:type="dxa"/>
              <w:left w:w="115" w:type="dxa"/>
              <w:bottom w:w="0" w:type="dxa"/>
              <w:right w:w="115" w:type="dxa"/>
            </w:tcMar>
          </w:tcPr>
          <w:p w14:paraId="1C2F8469" w14:textId="5B3760ED" w:rsidR="005A28CA" w:rsidRPr="00A807D3" w:rsidRDefault="005A28CA" w:rsidP="00FF2BBE">
            <w:pPr>
              <w:jc w:val="center"/>
              <w:rPr>
                <w:color w:val="auto"/>
              </w:rPr>
            </w:pPr>
            <w:r w:rsidRPr="008F1B8C">
              <w:t>Uncommon</w:t>
            </w:r>
          </w:p>
        </w:tc>
      </w:tr>
      <w:tr w:rsidR="005A28CA" w:rsidRPr="00A807D3" w14:paraId="0CD3EEC2" w14:textId="77777777" w:rsidTr="005A28CA">
        <w:tc>
          <w:tcPr>
            <w:tcW w:w="3429" w:type="dxa"/>
            <w:shd w:val="clear" w:color="auto" w:fill="auto"/>
            <w:tcMar>
              <w:top w:w="0" w:type="dxa"/>
              <w:left w:w="115" w:type="dxa"/>
              <w:bottom w:w="0" w:type="dxa"/>
              <w:right w:w="115" w:type="dxa"/>
            </w:tcMar>
          </w:tcPr>
          <w:p w14:paraId="61843C1A" w14:textId="314ADE1B" w:rsidR="005A28CA" w:rsidRPr="00206E8A" w:rsidRDefault="005A28CA" w:rsidP="002418EA">
            <w:pPr>
              <w:pStyle w:val="NormalWeb"/>
              <w:spacing w:before="40" w:beforeAutospacing="0" w:after="0" w:afterAutospacing="0"/>
            </w:pPr>
            <w:proofErr w:type="spellStart"/>
            <w:r w:rsidRPr="00206E8A">
              <w:t>Rhegmatogenous</w:t>
            </w:r>
            <w:proofErr w:type="spellEnd"/>
            <w:r w:rsidRPr="00206E8A">
              <w:t xml:space="preserve"> retinal detachment</w:t>
            </w:r>
          </w:p>
        </w:tc>
        <w:tc>
          <w:tcPr>
            <w:tcW w:w="1946" w:type="dxa"/>
            <w:shd w:val="clear" w:color="auto" w:fill="auto"/>
            <w:tcMar>
              <w:top w:w="0" w:type="dxa"/>
              <w:left w:w="115" w:type="dxa"/>
              <w:bottom w:w="0" w:type="dxa"/>
              <w:right w:w="115" w:type="dxa"/>
            </w:tcMar>
          </w:tcPr>
          <w:p w14:paraId="29029062" w14:textId="7699E92C" w:rsidR="005A28CA" w:rsidRPr="00206E8A" w:rsidRDefault="005A28CA" w:rsidP="002418EA">
            <w:pPr>
              <w:pStyle w:val="NormalWeb"/>
              <w:spacing w:before="40" w:beforeAutospacing="0" w:after="0" w:afterAutospacing="0"/>
              <w:jc w:val="center"/>
            </w:pPr>
            <w:r w:rsidRPr="00206E8A">
              <w:t>&lt; 0.1%</w:t>
            </w:r>
          </w:p>
        </w:tc>
        <w:tc>
          <w:tcPr>
            <w:tcW w:w="1784" w:type="dxa"/>
          </w:tcPr>
          <w:p w14:paraId="663A3AFD" w14:textId="3E019B1B" w:rsidR="005A28CA" w:rsidRPr="00206E8A" w:rsidRDefault="005A28CA" w:rsidP="002418EA">
            <w:pPr>
              <w:jc w:val="center"/>
            </w:pPr>
            <w:r w:rsidRPr="00206E8A">
              <w:t>0.0%</w:t>
            </w:r>
          </w:p>
        </w:tc>
        <w:tc>
          <w:tcPr>
            <w:tcW w:w="2371" w:type="dxa"/>
            <w:shd w:val="clear" w:color="auto" w:fill="auto"/>
            <w:tcMar>
              <w:top w:w="0" w:type="dxa"/>
              <w:left w:w="115" w:type="dxa"/>
              <w:bottom w:w="0" w:type="dxa"/>
              <w:right w:w="115" w:type="dxa"/>
            </w:tcMar>
          </w:tcPr>
          <w:p w14:paraId="6269B865" w14:textId="62B21E1D" w:rsidR="005A28CA" w:rsidRPr="00A807D3" w:rsidRDefault="005A28CA" w:rsidP="002418EA">
            <w:pPr>
              <w:jc w:val="center"/>
              <w:rPr>
                <w:color w:val="auto"/>
              </w:rPr>
            </w:pPr>
            <w:r w:rsidRPr="008F1B8C">
              <w:t>Rare</w:t>
            </w:r>
          </w:p>
        </w:tc>
      </w:tr>
      <w:tr w:rsidR="00A241F6" w:rsidRPr="00A807D3" w14:paraId="3382C6EE" w14:textId="77777777" w:rsidTr="003F3CCC">
        <w:tc>
          <w:tcPr>
            <w:tcW w:w="3429" w:type="dxa"/>
            <w:shd w:val="clear" w:color="auto" w:fill="auto"/>
            <w:tcMar>
              <w:top w:w="0" w:type="dxa"/>
              <w:left w:w="115" w:type="dxa"/>
              <w:bottom w:w="0" w:type="dxa"/>
              <w:right w:w="115" w:type="dxa"/>
            </w:tcMar>
          </w:tcPr>
          <w:p w14:paraId="7CF458AF" w14:textId="77777777" w:rsidR="00A241F6" w:rsidRPr="00206E8A" w:rsidRDefault="00A241F6" w:rsidP="003F3CCC">
            <w:pPr>
              <w:pStyle w:val="NormalWeb"/>
              <w:spacing w:before="40" w:beforeAutospacing="0" w:after="0" w:afterAutospacing="0"/>
            </w:pPr>
            <w:r w:rsidRPr="00206E8A">
              <w:t>Visual acuity reduced transiently</w:t>
            </w:r>
          </w:p>
        </w:tc>
        <w:tc>
          <w:tcPr>
            <w:tcW w:w="1946" w:type="dxa"/>
            <w:shd w:val="clear" w:color="auto" w:fill="auto"/>
            <w:tcMar>
              <w:top w:w="0" w:type="dxa"/>
              <w:left w:w="115" w:type="dxa"/>
              <w:bottom w:w="0" w:type="dxa"/>
              <w:right w:w="115" w:type="dxa"/>
            </w:tcMar>
          </w:tcPr>
          <w:p w14:paraId="44FB203E" w14:textId="77777777" w:rsidR="00A241F6" w:rsidRPr="00206E8A" w:rsidRDefault="00A241F6" w:rsidP="003F3CCC">
            <w:pPr>
              <w:pStyle w:val="NormalWeb"/>
              <w:spacing w:before="40" w:beforeAutospacing="0" w:after="0" w:afterAutospacing="0"/>
              <w:jc w:val="center"/>
            </w:pPr>
            <w:r w:rsidRPr="00206E8A">
              <w:t>&lt; 0.1%</w:t>
            </w:r>
          </w:p>
        </w:tc>
        <w:tc>
          <w:tcPr>
            <w:tcW w:w="1784" w:type="dxa"/>
          </w:tcPr>
          <w:p w14:paraId="7110CF4D" w14:textId="77777777" w:rsidR="00A241F6" w:rsidRPr="00206E8A" w:rsidRDefault="00A241F6" w:rsidP="003F3CCC">
            <w:pPr>
              <w:jc w:val="center"/>
            </w:pPr>
            <w:r w:rsidRPr="00206E8A">
              <w:t>0.0%</w:t>
            </w:r>
          </w:p>
        </w:tc>
        <w:tc>
          <w:tcPr>
            <w:tcW w:w="2371" w:type="dxa"/>
            <w:shd w:val="clear" w:color="auto" w:fill="auto"/>
            <w:tcMar>
              <w:top w:w="0" w:type="dxa"/>
              <w:left w:w="115" w:type="dxa"/>
              <w:bottom w:w="0" w:type="dxa"/>
              <w:right w:w="115" w:type="dxa"/>
            </w:tcMar>
          </w:tcPr>
          <w:p w14:paraId="2CEDA294" w14:textId="77777777" w:rsidR="00A241F6" w:rsidRPr="008F1B8C" w:rsidRDefault="00A241F6" w:rsidP="003F3CCC">
            <w:pPr>
              <w:jc w:val="center"/>
            </w:pPr>
            <w:r>
              <w:t>Rare</w:t>
            </w:r>
          </w:p>
        </w:tc>
      </w:tr>
    </w:tbl>
    <w:p w14:paraId="47B437D9" w14:textId="7BFCA41C" w:rsidR="00DE388D" w:rsidRPr="00A807D3" w:rsidRDefault="00DE388D" w:rsidP="00204BDD">
      <w:pPr>
        <w:pStyle w:val="Heading3"/>
      </w:pPr>
      <w:r w:rsidRPr="00A807D3">
        <w:t xml:space="preserve">Description of selected adverse </w:t>
      </w:r>
      <w:r w:rsidR="00FF2BBE">
        <w:t xml:space="preserve">drug </w:t>
      </w:r>
      <w:r w:rsidRPr="00A807D3">
        <w:t>reactions</w:t>
      </w:r>
      <w:r w:rsidR="00FF2BBE">
        <w:t xml:space="preserve"> from clinical trials</w:t>
      </w:r>
    </w:p>
    <w:p w14:paraId="587CF091" w14:textId="2DC77947" w:rsidR="00204BDD" w:rsidRDefault="00FF2BBE" w:rsidP="00DE388D">
      <w:pPr>
        <w:spacing w:after="120" w:line="300" w:lineRule="atLeast"/>
        <w:rPr>
          <w:color w:val="auto"/>
        </w:rPr>
      </w:pPr>
      <w:r w:rsidRPr="00FF2BBE">
        <w:rPr>
          <w:color w:val="auto"/>
        </w:rPr>
        <w:lastRenderedPageBreak/>
        <w:t xml:space="preserve">There is a theoretical risk of arterial thromboembolic events, including stroke and myocardial infarction, following intravitreal use of VEGF inhibitors. A low incidence rate of arterial thromboembolic events was observed in the </w:t>
      </w:r>
      <w:proofErr w:type="spellStart"/>
      <w:r w:rsidRPr="00FF2BBE">
        <w:rPr>
          <w:color w:val="auto"/>
        </w:rPr>
        <w:t>V</w:t>
      </w:r>
      <w:r w:rsidR="00E00D93" w:rsidRPr="00FF2BBE">
        <w:rPr>
          <w:color w:val="auto"/>
        </w:rPr>
        <w:t>abysmo</w:t>
      </w:r>
      <w:proofErr w:type="spellEnd"/>
      <w:r w:rsidRPr="00FF2BBE">
        <w:rPr>
          <w:color w:val="auto"/>
        </w:rPr>
        <w:t xml:space="preserve"> clinical trials in patients with </w:t>
      </w:r>
      <w:proofErr w:type="spellStart"/>
      <w:r w:rsidRPr="00FF2BBE">
        <w:rPr>
          <w:color w:val="auto"/>
        </w:rPr>
        <w:t>nAMD</w:t>
      </w:r>
      <w:proofErr w:type="spellEnd"/>
      <w:r w:rsidRPr="00FF2BBE">
        <w:rPr>
          <w:color w:val="auto"/>
        </w:rPr>
        <w:t xml:space="preserve"> and DM</w:t>
      </w:r>
      <w:r w:rsidR="00186B1A">
        <w:rPr>
          <w:color w:val="auto"/>
        </w:rPr>
        <w:t>O</w:t>
      </w:r>
      <w:r w:rsidRPr="00FF2BBE">
        <w:rPr>
          <w:color w:val="auto"/>
        </w:rPr>
        <w:t xml:space="preserve">. Across indications no notable difference between the groups treated with </w:t>
      </w:r>
      <w:proofErr w:type="spellStart"/>
      <w:r w:rsidRPr="00FF2BBE">
        <w:rPr>
          <w:color w:val="auto"/>
        </w:rPr>
        <w:t>V</w:t>
      </w:r>
      <w:r w:rsidR="00E00D93" w:rsidRPr="00FF2BBE">
        <w:rPr>
          <w:color w:val="auto"/>
        </w:rPr>
        <w:t>abysmo</w:t>
      </w:r>
      <w:proofErr w:type="spellEnd"/>
      <w:r w:rsidRPr="00FF2BBE">
        <w:rPr>
          <w:color w:val="auto"/>
        </w:rPr>
        <w:t xml:space="preserve"> and the comparator were observed.</w:t>
      </w:r>
    </w:p>
    <w:p w14:paraId="255041F1" w14:textId="77777777" w:rsidR="006833ED" w:rsidRDefault="00204BDD" w:rsidP="006E1D51">
      <w:pPr>
        <w:pStyle w:val="Heading3"/>
        <w:pageBreakBefore/>
      </w:pPr>
      <w:r>
        <w:t>Immunogenicity</w:t>
      </w:r>
    </w:p>
    <w:p w14:paraId="334A1345" w14:textId="6C831B7B" w:rsidR="00204BDD" w:rsidRDefault="002418EA" w:rsidP="006833ED">
      <w:pPr>
        <w:rPr>
          <w:color w:val="auto"/>
        </w:rPr>
      </w:pPr>
      <w:r w:rsidRPr="006833ED">
        <w:t xml:space="preserve">There is a potential for an immune response in patients treated with </w:t>
      </w:r>
      <w:proofErr w:type="spellStart"/>
      <w:r w:rsidRPr="006833ED">
        <w:t>Vabysmo</w:t>
      </w:r>
      <w:proofErr w:type="spellEnd"/>
      <w:r w:rsidRPr="006833ED">
        <w:t xml:space="preserve"> (see section 4.4). After dosing with </w:t>
      </w:r>
      <w:proofErr w:type="spellStart"/>
      <w:r w:rsidRPr="006833ED">
        <w:t>Vabysmo</w:t>
      </w:r>
      <w:proofErr w:type="spellEnd"/>
      <w:r w:rsidRPr="006833ED">
        <w:t xml:space="preserve"> for up to 48 (</w:t>
      </w:r>
      <w:proofErr w:type="spellStart"/>
      <w:r w:rsidRPr="006833ED">
        <w:t>nAMD</w:t>
      </w:r>
      <w:proofErr w:type="spellEnd"/>
      <w:r w:rsidRPr="006833ED">
        <w:t>) and 100 (DM</w:t>
      </w:r>
      <w:r w:rsidR="00186B1A" w:rsidRPr="006833ED">
        <w:t>O</w:t>
      </w:r>
      <w:r w:rsidRPr="006833ED">
        <w:t>) weeks, treatment-emergent anti-</w:t>
      </w:r>
      <w:proofErr w:type="spellStart"/>
      <w:r w:rsidRPr="006833ED">
        <w:t>faricimab</w:t>
      </w:r>
      <w:proofErr w:type="spellEnd"/>
      <w:r w:rsidRPr="006833ED">
        <w:t xml:space="preserve"> antibodies</w:t>
      </w:r>
      <w:r w:rsidRPr="002418EA">
        <w:rPr>
          <w:color w:val="auto"/>
        </w:rPr>
        <w:t xml:space="preserve"> were detected in approximately 10% of patients. The clinical significance of anti-</w:t>
      </w:r>
      <w:proofErr w:type="spellStart"/>
      <w:r w:rsidRPr="002418EA">
        <w:rPr>
          <w:color w:val="auto"/>
        </w:rPr>
        <w:t>faricimab</w:t>
      </w:r>
      <w:proofErr w:type="spellEnd"/>
      <w:r w:rsidRPr="002418EA">
        <w:rPr>
          <w:color w:val="auto"/>
        </w:rPr>
        <w:t xml:space="preserve"> antibodies on safety is unclear </w:t>
      </w:r>
      <w:proofErr w:type="gramStart"/>
      <w:r w:rsidRPr="002418EA">
        <w:rPr>
          <w:color w:val="auto"/>
        </w:rPr>
        <w:t>at this time</w:t>
      </w:r>
      <w:proofErr w:type="gramEnd"/>
      <w:r w:rsidRPr="002418EA">
        <w:rPr>
          <w:color w:val="auto"/>
        </w:rPr>
        <w:t>. Among the patients with anti-</w:t>
      </w:r>
      <w:proofErr w:type="spellStart"/>
      <w:r w:rsidRPr="002418EA">
        <w:rPr>
          <w:color w:val="auto"/>
        </w:rPr>
        <w:t>faricimab</w:t>
      </w:r>
      <w:proofErr w:type="spellEnd"/>
      <w:r w:rsidRPr="002418EA">
        <w:rPr>
          <w:color w:val="auto"/>
        </w:rPr>
        <w:t xml:space="preserve"> antibodies a higher incidence of intraocular inflammation adverse reactions </w:t>
      </w:r>
      <w:proofErr w:type="gramStart"/>
      <w:r w:rsidRPr="002418EA">
        <w:rPr>
          <w:color w:val="auto"/>
        </w:rPr>
        <w:t>were</w:t>
      </w:r>
      <w:proofErr w:type="gramEnd"/>
      <w:r w:rsidRPr="002418EA">
        <w:rPr>
          <w:color w:val="auto"/>
        </w:rPr>
        <w:t xml:space="preserve"> observed however the overall incidence of anti-</w:t>
      </w:r>
      <w:proofErr w:type="spellStart"/>
      <w:r w:rsidRPr="002418EA">
        <w:rPr>
          <w:color w:val="auto"/>
        </w:rPr>
        <w:t>faricimab</w:t>
      </w:r>
      <w:proofErr w:type="spellEnd"/>
      <w:r w:rsidRPr="002418EA">
        <w:rPr>
          <w:color w:val="auto"/>
        </w:rPr>
        <w:t xml:space="preserve"> antibody positivity and intraocular inflammation in the entire trial population is approximately 1%. Anti-</w:t>
      </w:r>
      <w:proofErr w:type="spellStart"/>
      <w:r w:rsidRPr="002418EA">
        <w:rPr>
          <w:color w:val="auto"/>
        </w:rPr>
        <w:t>faricimab</w:t>
      </w:r>
      <w:proofErr w:type="spellEnd"/>
      <w:r w:rsidRPr="002418EA">
        <w:rPr>
          <w:color w:val="auto"/>
        </w:rPr>
        <w:t xml:space="preserve"> antibodies were not associated with an impact on clinical efficacy or systemic pharmacokinetics.</w:t>
      </w:r>
    </w:p>
    <w:p w14:paraId="26B2AA2C" w14:textId="2D4C2CBC" w:rsidR="009D112E" w:rsidRDefault="009D112E" w:rsidP="009D112E"/>
    <w:p w14:paraId="5CA54FE3" w14:textId="77777777" w:rsidR="009D112E" w:rsidRPr="00206E8A" w:rsidRDefault="009D112E" w:rsidP="009D112E">
      <w:pPr>
        <w:rPr>
          <w:b/>
        </w:rPr>
      </w:pPr>
      <w:r w:rsidRPr="00206E8A">
        <w:rPr>
          <w:b/>
        </w:rPr>
        <w:t>Retinal pigment epithelial tear</w:t>
      </w:r>
    </w:p>
    <w:p w14:paraId="5E5CF625" w14:textId="2930C12B" w:rsidR="009D112E" w:rsidRPr="009D112E" w:rsidRDefault="009D112E" w:rsidP="009D112E">
      <w:r w:rsidRPr="00206E8A">
        <w:t xml:space="preserve">Retinal pigment epithelial (RPE) tear is a complication of pigment epithelial detachment (PED) in patients with </w:t>
      </w:r>
      <w:proofErr w:type="spellStart"/>
      <w:r w:rsidRPr="00206E8A">
        <w:t>nAMD</w:t>
      </w:r>
      <w:proofErr w:type="spellEnd"/>
      <w:r w:rsidRPr="00206E8A">
        <w:t xml:space="preserve">. RPE tears are common in </w:t>
      </w:r>
      <w:proofErr w:type="spellStart"/>
      <w:r w:rsidRPr="00206E8A">
        <w:t>nAMD</w:t>
      </w:r>
      <w:proofErr w:type="spellEnd"/>
      <w:r w:rsidRPr="00206E8A">
        <w:t xml:space="preserve"> patients with PED, treated with IVT anti-VEGF agents including </w:t>
      </w:r>
      <w:proofErr w:type="spellStart"/>
      <w:r w:rsidRPr="00206E8A">
        <w:t>faricimab</w:t>
      </w:r>
      <w:proofErr w:type="spellEnd"/>
      <w:r w:rsidRPr="00206E8A">
        <w:t xml:space="preserve">. There was a higher rate of RPE tear in the </w:t>
      </w:r>
      <w:proofErr w:type="spellStart"/>
      <w:r w:rsidRPr="00206E8A">
        <w:t>faricimab</w:t>
      </w:r>
      <w:proofErr w:type="spellEnd"/>
      <w:r w:rsidRPr="00206E8A">
        <w:t xml:space="preserve"> group (2.9%) compared to aflibercept group (1.4%). </w:t>
      </w:r>
      <w:proofErr w:type="gramStart"/>
      <w:r w:rsidRPr="00206E8A">
        <w:t>The majority of</w:t>
      </w:r>
      <w:proofErr w:type="gramEnd"/>
      <w:r w:rsidRPr="00206E8A">
        <w:t xml:space="preserve"> events were mild to moderate, without impact to vision and occurred during the loading phase.</w:t>
      </w:r>
    </w:p>
    <w:p w14:paraId="72292241" w14:textId="77777777" w:rsidR="00DE388D" w:rsidRPr="00A807D3" w:rsidRDefault="00DE388D" w:rsidP="00DE388D">
      <w:pPr>
        <w:pStyle w:val="Heading3"/>
        <w:spacing w:line="300" w:lineRule="atLeast"/>
        <w:rPr>
          <w:color w:val="auto"/>
        </w:rPr>
      </w:pPr>
      <w:proofErr w:type="spellStart"/>
      <w:r w:rsidRPr="00A807D3">
        <w:rPr>
          <w:color w:val="auto"/>
        </w:rPr>
        <w:t>Postmarketing</w:t>
      </w:r>
      <w:proofErr w:type="spellEnd"/>
      <w:r w:rsidRPr="00A807D3">
        <w:rPr>
          <w:color w:val="auto"/>
        </w:rPr>
        <w:t xml:space="preserve"> Experience</w:t>
      </w:r>
    </w:p>
    <w:p w14:paraId="2F1416EB" w14:textId="77777777" w:rsidR="00DE388D" w:rsidRPr="00A807D3" w:rsidRDefault="00DE388D" w:rsidP="00DE388D">
      <w:pPr>
        <w:pStyle w:val="Paragraph"/>
        <w:spacing w:after="120"/>
        <w:rPr>
          <w:sz w:val="24"/>
        </w:rPr>
      </w:pPr>
      <w:r w:rsidRPr="00A807D3">
        <w:rPr>
          <w:sz w:val="24"/>
        </w:rPr>
        <w:t>Not applicable</w:t>
      </w:r>
    </w:p>
    <w:p w14:paraId="0B442F48" w14:textId="77777777" w:rsidR="006F052E" w:rsidRPr="00A807D3" w:rsidRDefault="006F052E" w:rsidP="00CC6729">
      <w:pPr>
        <w:pStyle w:val="Heading3"/>
        <w:rPr>
          <w:color w:val="auto"/>
        </w:rPr>
      </w:pPr>
      <w:r w:rsidRPr="00A807D3">
        <w:rPr>
          <w:color w:val="auto"/>
        </w:rPr>
        <w:t>Reporting of suspected adverse reactions</w:t>
      </w:r>
    </w:p>
    <w:p w14:paraId="51D697E6" w14:textId="28B98E70" w:rsidR="00E21CCD" w:rsidRPr="00A807D3" w:rsidRDefault="00E21CCD">
      <w:pPr>
        <w:rPr>
          <w:color w:val="auto"/>
        </w:rPr>
      </w:pPr>
      <w:r w:rsidRPr="00A807D3">
        <w:rPr>
          <w:color w:val="auto"/>
        </w:rPr>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3" w:history="1">
        <w:r w:rsidR="00B1134D" w:rsidRPr="00A807D3">
          <w:rPr>
            <w:rStyle w:val="Hyperlink"/>
            <w:color w:val="auto"/>
          </w:rPr>
          <w:t>www.tga.gov.au/reporting-problems</w:t>
        </w:r>
      </w:hyperlink>
      <w:r w:rsidR="00B1134D" w:rsidRPr="00A807D3">
        <w:rPr>
          <w:color w:val="auto"/>
        </w:rPr>
        <w:t>.</w:t>
      </w:r>
    </w:p>
    <w:p w14:paraId="308E3BFB" w14:textId="77777777" w:rsidR="009F4C5B" w:rsidRPr="00A807D3" w:rsidRDefault="009F4C5B">
      <w:pPr>
        <w:rPr>
          <w:color w:val="auto"/>
        </w:rPr>
      </w:pPr>
    </w:p>
    <w:p w14:paraId="5B9FD576" w14:textId="6887EB63" w:rsidR="00D52399" w:rsidRPr="00A807D3" w:rsidRDefault="00902EBE" w:rsidP="009F4C5B">
      <w:pPr>
        <w:pStyle w:val="Heading2"/>
        <w:spacing w:before="0"/>
        <w:rPr>
          <w:color w:val="auto"/>
        </w:rPr>
      </w:pPr>
      <w:r w:rsidRPr="00A807D3">
        <w:rPr>
          <w:color w:val="auto"/>
        </w:rPr>
        <w:t>4.9</w:t>
      </w:r>
      <w:r w:rsidRPr="00A807D3">
        <w:rPr>
          <w:color w:val="auto"/>
        </w:rPr>
        <w:tab/>
        <w:t>OVERDOSE</w:t>
      </w:r>
    </w:p>
    <w:p w14:paraId="049AC1B8" w14:textId="77777777" w:rsidR="00FF2BBE" w:rsidRPr="00FF2BBE" w:rsidRDefault="00FF2BBE" w:rsidP="00FF2BBE">
      <w:pPr>
        <w:pStyle w:val="Default"/>
        <w:spacing w:after="120" w:line="300" w:lineRule="atLeast"/>
        <w:rPr>
          <w:color w:val="auto"/>
        </w:rPr>
      </w:pPr>
      <w:r w:rsidRPr="00FF2BBE">
        <w:rPr>
          <w:color w:val="auto"/>
        </w:rPr>
        <w:t>Doses higher than the recommended dosing regimen have not been studied. Overdosing with greater than recommended injection volume may increase intraocular pressure.</w:t>
      </w:r>
    </w:p>
    <w:p w14:paraId="27D3A862" w14:textId="40066112" w:rsidR="00DE388D" w:rsidRPr="00A807D3" w:rsidRDefault="00FF2BBE" w:rsidP="00FF2BBE">
      <w:pPr>
        <w:pStyle w:val="Default"/>
        <w:spacing w:after="120" w:line="300" w:lineRule="atLeast"/>
        <w:rPr>
          <w:color w:val="auto"/>
        </w:rPr>
      </w:pPr>
      <w:r w:rsidRPr="00FF2BBE">
        <w:rPr>
          <w:color w:val="auto"/>
        </w:rPr>
        <w:t>In the event of an overdose, IOP should be monitored and, if deemed necessary by the treating physician, appropriate treatment should be initiated.</w:t>
      </w:r>
    </w:p>
    <w:p w14:paraId="5E51970C" w14:textId="77777777" w:rsidR="008903F2" w:rsidRPr="00A807D3" w:rsidRDefault="008903F2" w:rsidP="00B1498F">
      <w:pPr>
        <w:spacing w:after="240"/>
        <w:rPr>
          <w:color w:val="auto"/>
        </w:rPr>
      </w:pPr>
      <w:r w:rsidRPr="00A807D3">
        <w:rPr>
          <w:color w:val="auto"/>
        </w:rPr>
        <w:t>For information on the management of overdose, contact the Poisons Information Centre on 13 11 26 (Australia).</w:t>
      </w:r>
      <w:r w:rsidR="00BA0878" w:rsidRPr="00A807D3">
        <w:rPr>
          <w:color w:val="auto"/>
        </w:rPr>
        <w:t xml:space="preserve"> </w:t>
      </w:r>
    </w:p>
    <w:p w14:paraId="7B1C8E3C" w14:textId="77777777" w:rsidR="00D52399" w:rsidRPr="00A807D3" w:rsidRDefault="00615052" w:rsidP="0087549F">
      <w:pPr>
        <w:pStyle w:val="Heading1"/>
        <w:numPr>
          <w:ilvl w:val="0"/>
          <w:numId w:val="2"/>
        </w:numPr>
        <w:spacing w:before="0"/>
        <w:rPr>
          <w:color w:val="auto"/>
        </w:rPr>
      </w:pPr>
      <w:r w:rsidRPr="00A807D3">
        <w:rPr>
          <w:color w:val="auto"/>
        </w:rPr>
        <w:t>PHARMACOLOGICAL PROPERTIES</w:t>
      </w:r>
    </w:p>
    <w:p w14:paraId="11897CB3" w14:textId="77777777" w:rsidR="00D52399" w:rsidRPr="00A807D3" w:rsidRDefault="00CC6729" w:rsidP="0087549F">
      <w:pPr>
        <w:pStyle w:val="Heading2"/>
        <w:spacing w:before="0"/>
        <w:rPr>
          <w:color w:val="auto"/>
        </w:rPr>
      </w:pPr>
      <w:r w:rsidRPr="00A807D3">
        <w:rPr>
          <w:color w:val="auto"/>
        </w:rPr>
        <w:t xml:space="preserve">5.1 </w:t>
      </w:r>
      <w:r w:rsidRPr="00A807D3">
        <w:rPr>
          <w:color w:val="auto"/>
        </w:rPr>
        <w:tab/>
      </w:r>
      <w:r w:rsidR="00902EBE" w:rsidRPr="00A807D3">
        <w:rPr>
          <w:color w:val="auto"/>
        </w:rPr>
        <w:t>PHARMACODYNAMIC PROPERTIES</w:t>
      </w:r>
    </w:p>
    <w:p w14:paraId="0B30D489" w14:textId="1CA22559" w:rsidR="00B65D51" w:rsidRPr="00A807D3" w:rsidRDefault="00B65D51" w:rsidP="00B65D51">
      <w:pPr>
        <w:pStyle w:val="Paragraph"/>
        <w:spacing w:after="120"/>
        <w:rPr>
          <w:sz w:val="24"/>
        </w:rPr>
      </w:pPr>
      <w:r w:rsidRPr="00204BDD">
        <w:rPr>
          <w:sz w:val="24"/>
        </w:rPr>
        <w:t xml:space="preserve">Pharmacotherapeutic group: </w:t>
      </w:r>
      <w:proofErr w:type="spellStart"/>
      <w:r w:rsidRPr="00204BDD">
        <w:rPr>
          <w:sz w:val="24"/>
        </w:rPr>
        <w:t>Oph</w:t>
      </w:r>
      <w:r w:rsidR="00BA26B4" w:rsidRPr="00204BDD">
        <w:rPr>
          <w:sz w:val="24"/>
        </w:rPr>
        <w:t>thalmologicals</w:t>
      </w:r>
      <w:proofErr w:type="spellEnd"/>
      <w:r w:rsidR="00BA26B4" w:rsidRPr="00204BDD">
        <w:rPr>
          <w:sz w:val="24"/>
        </w:rPr>
        <w:t xml:space="preserve">, </w:t>
      </w:r>
      <w:r w:rsidR="00204BDD" w:rsidRPr="00204BDD">
        <w:rPr>
          <w:sz w:val="24"/>
        </w:rPr>
        <w:t>other ocular vascular disorder agents</w:t>
      </w:r>
      <w:r w:rsidRPr="00204BDD">
        <w:rPr>
          <w:sz w:val="24"/>
        </w:rPr>
        <w:t xml:space="preserve">. ATC code: </w:t>
      </w:r>
      <w:r w:rsidR="002418EA">
        <w:rPr>
          <w:sz w:val="24"/>
        </w:rPr>
        <w:t>S01LA09</w:t>
      </w:r>
    </w:p>
    <w:p w14:paraId="21931CE1" w14:textId="67F1F7A7" w:rsidR="00D52399" w:rsidRPr="00A807D3" w:rsidRDefault="00615052">
      <w:pPr>
        <w:pStyle w:val="Heading3"/>
        <w:rPr>
          <w:color w:val="auto"/>
        </w:rPr>
      </w:pPr>
      <w:r w:rsidRPr="00A807D3">
        <w:rPr>
          <w:color w:val="auto"/>
        </w:rPr>
        <w:t>Mechanism of Action</w:t>
      </w:r>
    </w:p>
    <w:p w14:paraId="14B78FC4" w14:textId="4D96167A" w:rsidR="00FF2BBE" w:rsidRPr="00FF2BBE" w:rsidRDefault="00FF2BBE" w:rsidP="00FF2BBE">
      <w:pPr>
        <w:pStyle w:val="Paragraph"/>
        <w:spacing w:after="120"/>
        <w:rPr>
          <w:sz w:val="24"/>
          <w:lang w:val="en-AU" w:eastAsia="en-AU"/>
        </w:rPr>
      </w:pPr>
      <w:proofErr w:type="spellStart"/>
      <w:r w:rsidRPr="00FF2BBE">
        <w:rPr>
          <w:sz w:val="24"/>
          <w:lang w:val="en-AU" w:eastAsia="en-AU"/>
        </w:rPr>
        <w:t>Faricimab</w:t>
      </w:r>
      <w:proofErr w:type="spellEnd"/>
      <w:r w:rsidRPr="00FF2BBE">
        <w:rPr>
          <w:sz w:val="24"/>
          <w:lang w:val="en-AU" w:eastAsia="en-AU"/>
        </w:rPr>
        <w:t xml:space="preserve"> is a humani</w:t>
      </w:r>
      <w:r w:rsidR="00E00D93">
        <w:rPr>
          <w:sz w:val="24"/>
          <w:lang w:val="en-AU" w:eastAsia="en-AU"/>
        </w:rPr>
        <w:t>s</w:t>
      </w:r>
      <w:r w:rsidRPr="00FF2BBE">
        <w:rPr>
          <w:sz w:val="24"/>
          <w:lang w:val="en-AU" w:eastAsia="en-AU"/>
        </w:rPr>
        <w:t>ed bispecific immunoglobulin G1 (IgG1) antibody that acts through inhibition of tw</w:t>
      </w:r>
      <w:r w:rsidR="00E00D93">
        <w:rPr>
          <w:sz w:val="24"/>
          <w:lang w:val="en-AU" w:eastAsia="en-AU"/>
        </w:rPr>
        <w:t>o distinct pathways by neutralis</w:t>
      </w:r>
      <w:r w:rsidRPr="00FF2BBE">
        <w:rPr>
          <w:sz w:val="24"/>
          <w:lang w:val="en-AU" w:eastAsia="en-AU"/>
        </w:rPr>
        <w:t>ation of both Ang-2 and vascular endothelial growth factor A (VEGF-A).</w:t>
      </w:r>
    </w:p>
    <w:p w14:paraId="61130753" w14:textId="4D9AB0FA" w:rsidR="00FF2BBE" w:rsidRPr="00FF2BBE" w:rsidRDefault="00FF2BBE" w:rsidP="00FF2BBE">
      <w:pPr>
        <w:pStyle w:val="Paragraph"/>
        <w:spacing w:after="120"/>
        <w:rPr>
          <w:sz w:val="24"/>
          <w:lang w:val="en-AU" w:eastAsia="en-AU"/>
        </w:rPr>
      </w:pPr>
      <w:r w:rsidRPr="00FF2BBE">
        <w:rPr>
          <w:sz w:val="24"/>
          <w:lang w:val="en-AU" w:eastAsia="en-AU"/>
        </w:rPr>
        <w:lastRenderedPageBreak/>
        <w:t>Ang-2 causes vascular instability by promoting en</w:t>
      </w:r>
      <w:r w:rsidR="00E00D93">
        <w:rPr>
          <w:sz w:val="24"/>
          <w:lang w:val="en-AU" w:eastAsia="en-AU"/>
        </w:rPr>
        <w:t>dothelial destabilis</w:t>
      </w:r>
      <w:r w:rsidRPr="00FF2BBE">
        <w:rPr>
          <w:sz w:val="24"/>
          <w:lang w:val="en-AU" w:eastAsia="en-AU"/>
        </w:rPr>
        <w:t>ation, pericyte loss, and pathological angiogenesis, thus potentiating vascular leakage an</w:t>
      </w:r>
      <w:r w:rsidR="00E00D93">
        <w:rPr>
          <w:sz w:val="24"/>
          <w:lang w:val="en-AU" w:eastAsia="en-AU"/>
        </w:rPr>
        <w:t>d inflammation. It also sensitis</w:t>
      </w:r>
      <w:r w:rsidRPr="00FF2BBE">
        <w:rPr>
          <w:sz w:val="24"/>
          <w:lang w:val="en-AU" w:eastAsia="en-AU"/>
        </w:rPr>
        <w:t>es blood vessels to the activity of VEGF-A resultin</w:t>
      </w:r>
      <w:r w:rsidR="00E00D93">
        <w:rPr>
          <w:sz w:val="24"/>
          <w:lang w:val="en-AU" w:eastAsia="en-AU"/>
        </w:rPr>
        <w:t>g in further vascular destabilis</w:t>
      </w:r>
      <w:r w:rsidRPr="00FF2BBE">
        <w:rPr>
          <w:sz w:val="24"/>
          <w:lang w:val="en-AU" w:eastAsia="en-AU"/>
        </w:rPr>
        <w:t>ation. Ang-2 and VEGF-A synergistically increase vascular permeabi</w:t>
      </w:r>
      <w:r w:rsidR="00E00D93">
        <w:rPr>
          <w:sz w:val="24"/>
          <w:lang w:val="en-AU" w:eastAsia="en-AU"/>
        </w:rPr>
        <w:t>lity and stimulate neovascularis</w:t>
      </w:r>
      <w:r w:rsidRPr="00FF2BBE">
        <w:rPr>
          <w:sz w:val="24"/>
          <w:lang w:val="en-AU" w:eastAsia="en-AU"/>
        </w:rPr>
        <w:t>ation.</w:t>
      </w:r>
    </w:p>
    <w:p w14:paraId="23C7B08B" w14:textId="320CF30A" w:rsidR="00D52399" w:rsidRPr="000F5476" w:rsidRDefault="00FF2BBE" w:rsidP="00FF2BBE">
      <w:pPr>
        <w:pStyle w:val="Paragraph"/>
        <w:spacing w:after="120"/>
        <w:rPr>
          <w:sz w:val="24"/>
        </w:rPr>
      </w:pPr>
      <w:r w:rsidRPr="00FF2BBE">
        <w:rPr>
          <w:sz w:val="24"/>
          <w:lang w:val="en-AU" w:eastAsia="en-AU"/>
        </w:rPr>
        <w:t xml:space="preserve">By dual inhibition of Ang-2 and VEGF-A, </w:t>
      </w:r>
      <w:proofErr w:type="spellStart"/>
      <w:r w:rsidRPr="00FF2BBE">
        <w:rPr>
          <w:sz w:val="24"/>
          <w:lang w:val="en-AU" w:eastAsia="en-AU"/>
        </w:rPr>
        <w:t>faricimab</w:t>
      </w:r>
      <w:proofErr w:type="spellEnd"/>
      <w:r w:rsidRPr="00FF2BBE">
        <w:rPr>
          <w:sz w:val="24"/>
          <w:lang w:val="en-AU" w:eastAsia="en-AU"/>
        </w:rPr>
        <w:t xml:space="preserve"> reduces vascular permeability and inflammation, inhibits pathological </w:t>
      </w:r>
      <w:proofErr w:type="gramStart"/>
      <w:r w:rsidRPr="00FF2BBE">
        <w:rPr>
          <w:sz w:val="24"/>
          <w:lang w:val="en-AU" w:eastAsia="en-AU"/>
        </w:rPr>
        <w:t>angiogenesis</w:t>
      </w:r>
      <w:proofErr w:type="gramEnd"/>
      <w:r w:rsidRPr="00FF2BBE">
        <w:rPr>
          <w:sz w:val="24"/>
          <w:lang w:val="en-AU" w:eastAsia="en-AU"/>
        </w:rPr>
        <w:t xml:space="preserve"> and restores vascular stability.</w:t>
      </w:r>
    </w:p>
    <w:p w14:paraId="3ECC7EF1" w14:textId="60C81E5A" w:rsidR="00D52399" w:rsidRPr="00A807D3" w:rsidRDefault="00615052" w:rsidP="006E1D51">
      <w:pPr>
        <w:pStyle w:val="Heading3"/>
        <w:rPr>
          <w:color w:val="auto"/>
        </w:rPr>
      </w:pPr>
      <w:r w:rsidRPr="00A807D3">
        <w:rPr>
          <w:color w:val="auto"/>
        </w:rPr>
        <w:t>Pharmacodynamic effect</w:t>
      </w:r>
    </w:p>
    <w:p w14:paraId="6061AC92" w14:textId="3522DEE4" w:rsidR="00FF2BBE" w:rsidRDefault="002418EA" w:rsidP="00FF2BBE">
      <w:pPr>
        <w:pStyle w:val="Paragraph"/>
        <w:spacing w:after="120"/>
        <w:rPr>
          <w:sz w:val="24"/>
        </w:rPr>
      </w:pPr>
      <w:r w:rsidRPr="002418EA">
        <w:rPr>
          <w:sz w:val="24"/>
        </w:rPr>
        <w:t xml:space="preserve">A </w:t>
      </w:r>
      <w:r w:rsidR="00703296" w:rsidRPr="00045CCD">
        <w:rPr>
          <w:sz w:val="24"/>
        </w:rPr>
        <w:t>decrease</w:t>
      </w:r>
      <w:r w:rsidRPr="00045CCD">
        <w:rPr>
          <w:sz w:val="24"/>
        </w:rPr>
        <w:t xml:space="preserve"> fr</w:t>
      </w:r>
      <w:r w:rsidRPr="002418EA">
        <w:rPr>
          <w:sz w:val="24"/>
        </w:rPr>
        <w:t xml:space="preserve">om baseline of median ocular free Ang-2 and free VEGF-A concentrations was observed from </w:t>
      </w:r>
      <w:r w:rsidRPr="00045CCD">
        <w:rPr>
          <w:sz w:val="24"/>
        </w:rPr>
        <w:t xml:space="preserve">day 7 onwards </w:t>
      </w:r>
      <w:r w:rsidR="00703296" w:rsidRPr="00045CCD">
        <w:rPr>
          <w:sz w:val="24"/>
        </w:rPr>
        <w:t>throu</w:t>
      </w:r>
      <w:r w:rsidR="00703296" w:rsidRPr="00A91CB3">
        <w:rPr>
          <w:sz w:val="24"/>
        </w:rPr>
        <w:t>ghou</w:t>
      </w:r>
      <w:r w:rsidR="00703296" w:rsidRPr="006F4029">
        <w:rPr>
          <w:sz w:val="24"/>
        </w:rPr>
        <w:t xml:space="preserve">t </w:t>
      </w:r>
      <w:r w:rsidR="00703296" w:rsidRPr="00045CCD">
        <w:rPr>
          <w:sz w:val="24"/>
        </w:rPr>
        <w:t xml:space="preserve">the treatment interval (in most patients) </w:t>
      </w:r>
      <w:r w:rsidRPr="00045CCD">
        <w:rPr>
          <w:sz w:val="24"/>
        </w:rPr>
        <w:t xml:space="preserve">in the </w:t>
      </w:r>
      <w:r w:rsidR="00206E8A">
        <w:rPr>
          <w:sz w:val="24"/>
        </w:rPr>
        <w:t>four Phase III studies</w:t>
      </w:r>
      <w:r w:rsidRPr="00045CCD">
        <w:rPr>
          <w:sz w:val="24"/>
        </w:rPr>
        <w:t>.</w:t>
      </w:r>
    </w:p>
    <w:p w14:paraId="305D5429" w14:textId="65D124B3" w:rsidR="00204BDD" w:rsidRPr="00FF2BBE" w:rsidRDefault="00204BDD" w:rsidP="00204BDD">
      <w:pPr>
        <w:pStyle w:val="Heading4"/>
      </w:pPr>
      <w:proofErr w:type="spellStart"/>
      <w:r>
        <w:t>nAMD</w:t>
      </w:r>
      <w:proofErr w:type="spellEnd"/>
    </w:p>
    <w:p w14:paraId="3C675826" w14:textId="1EF62F35" w:rsidR="00FF2BBE" w:rsidRPr="00FF2BBE" w:rsidRDefault="00FF2BBE" w:rsidP="00FF2BBE">
      <w:pPr>
        <w:pStyle w:val="Paragraph"/>
        <w:spacing w:after="120"/>
        <w:rPr>
          <w:sz w:val="24"/>
        </w:rPr>
      </w:pPr>
      <w:r w:rsidRPr="00FF2BBE">
        <w:rPr>
          <w:sz w:val="24"/>
        </w:rPr>
        <w:t xml:space="preserve">In Phase III studies in patients with </w:t>
      </w:r>
      <w:proofErr w:type="spellStart"/>
      <w:r w:rsidRPr="00FF2BBE">
        <w:rPr>
          <w:sz w:val="24"/>
        </w:rPr>
        <w:t>nAMD</w:t>
      </w:r>
      <w:proofErr w:type="spellEnd"/>
      <w:r w:rsidRPr="00FF2BBE">
        <w:rPr>
          <w:sz w:val="24"/>
        </w:rPr>
        <w:t xml:space="preserve"> (TENAYA, LUCERNE), objective, pre-specified visual and anatomic criteria, as well as treating physician clinical assessment, were used to guide treatment decisions at the disease activity assessment tim</w:t>
      </w:r>
      <w:r>
        <w:rPr>
          <w:sz w:val="24"/>
        </w:rPr>
        <w:t>e points (week 20 and week 24).</w:t>
      </w:r>
    </w:p>
    <w:p w14:paraId="407870D8" w14:textId="51875F6D" w:rsidR="00B65D51" w:rsidRPr="00A807D3" w:rsidRDefault="00FF2BBE" w:rsidP="00FF2BBE">
      <w:pPr>
        <w:pStyle w:val="Paragraph"/>
        <w:spacing w:after="120"/>
        <w:rPr>
          <w:sz w:val="24"/>
        </w:rPr>
      </w:pPr>
      <w:r w:rsidRPr="00FF2BBE">
        <w:rPr>
          <w:sz w:val="24"/>
        </w:rPr>
        <w:t xml:space="preserve">Reductions in mean central subfield thickness (CST) were observed from baseline through week 48 with </w:t>
      </w:r>
      <w:proofErr w:type="spellStart"/>
      <w:proofErr w:type="gramStart"/>
      <w:r w:rsidRPr="00FF2BBE">
        <w:rPr>
          <w:sz w:val="24"/>
        </w:rPr>
        <w:t>V</w:t>
      </w:r>
      <w:r w:rsidR="00E00D93" w:rsidRPr="00FF2BBE">
        <w:rPr>
          <w:sz w:val="24"/>
        </w:rPr>
        <w:t>abysmo</w:t>
      </w:r>
      <w:proofErr w:type="spellEnd"/>
      <w:r w:rsidRPr="00FF2BBE">
        <w:rPr>
          <w:sz w:val="24"/>
        </w:rPr>
        <w:t>, and</w:t>
      </w:r>
      <w:proofErr w:type="gramEnd"/>
      <w:r w:rsidRPr="00FF2BBE">
        <w:rPr>
          <w:sz w:val="24"/>
        </w:rPr>
        <w:t xml:space="preserve"> were comparable to those observed with aflibercept. The mean CST reduction from baseline to the primary endpoint visits (averaged at weeks 40-48) was -137 </w:t>
      </w:r>
      <w:proofErr w:type="spellStart"/>
      <w:r w:rsidRPr="00FF2BBE">
        <w:rPr>
          <w:sz w:val="24"/>
        </w:rPr>
        <w:t>μm</w:t>
      </w:r>
      <w:proofErr w:type="spellEnd"/>
      <w:r w:rsidRPr="00FF2BBE">
        <w:rPr>
          <w:sz w:val="24"/>
        </w:rPr>
        <w:t xml:space="preserve"> and -137 µm for </w:t>
      </w:r>
      <w:proofErr w:type="spellStart"/>
      <w:r w:rsidRPr="00FF2BBE">
        <w:rPr>
          <w:sz w:val="24"/>
        </w:rPr>
        <w:t>V</w:t>
      </w:r>
      <w:r w:rsidR="00E00D93" w:rsidRPr="00FF2BBE">
        <w:rPr>
          <w:sz w:val="24"/>
        </w:rPr>
        <w:t>abysmo</w:t>
      </w:r>
      <w:proofErr w:type="spellEnd"/>
      <w:r w:rsidRPr="00FF2BBE">
        <w:rPr>
          <w:sz w:val="24"/>
        </w:rPr>
        <w:t xml:space="preserve"> dosed up to every 16 weeks (Q16W) versus -129 </w:t>
      </w:r>
      <w:proofErr w:type="spellStart"/>
      <w:r w:rsidRPr="00FF2BBE">
        <w:rPr>
          <w:sz w:val="24"/>
        </w:rPr>
        <w:t>μm</w:t>
      </w:r>
      <w:proofErr w:type="spellEnd"/>
      <w:r w:rsidRPr="00FF2BBE">
        <w:rPr>
          <w:sz w:val="24"/>
        </w:rPr>
        <w:t xml:space="preserve"> and -131 </w:t>
      </w:r>
      <w:proofErr w:type="spellStart"/>
      <w:r w:rsidRPr="00FF2BBE">
        <w:rPr>
          <w:sz w:val="24"/>
        </w:rPr>
        <w:t>μm</w:t>
      </w:r>
      <w:proofErr w:type="spellEnd"/>
      <w:r w:rsidRPr="00FF2BBE">
        <w:rPr>
          <w:sz w:val="24"/>
        </w:rPr>
        <w:t xml:space="preserve"> with aflibercept, in TENAYA and LUCERNE, respectively.</w:t>
      </w:r>
    </w:p>
    <w:p w14:paraId="7AA58028" w14:textId="0447F1AD" w:rsidR="00FF2BBE" w:rsidRPr="00FF2BBE" w:rsidRDefault="00FF2BBE" w:rsidP="00FF2BBE">
      <w:pPr>
        <w:pStyle w:val="Paragraph"/>
        <w:spacing w:after="120"/>
        <w:rPr>
          <w:sz w:val="24"/>
        </w:rPr>
      </w:pPr>
      <w:r w:rsidRPr="00FF2BBE">
        <w:rPr>
          <w:sz w:val="24"/>
        </w:rPr>
        <w:t xml:space="preserve">There was a comparable effect of </w:t>
      </w:r>
      <w:proofErr w:type="spellStart"/>
      <w:r w:rsidRPr="00FF2BBE">
        <w:rPr>
          <w:sz w:val="24"/>
        </w:rPr>
        <w:t>V</w:t>
      </w:r>
      <w:r w:rsidR="00E00D93" w:rsidRPr="00FF2BBE">
        <w:rPr>
          <w:sz w:val="24"/>
        </w:rPr>
        <w:t>abysmo</w:t>
      </w:r>
      <w:proofErr w:type="spellEnd"/>
      <w:r w:rsidRPr="00FF2BBE">
        <w:rPr>
          <w:sz w:val="24"/>
        </w:rPr>
        <w:t xml:space="preserve"> and aflibercept on the reduction of intraretinal fluid (IRF), subretinal fluid (SRF), and pigment epithelial detachment (PED). At the primary endpoint visits (</w:t>
      </w:r>
      <w:r w:rsidR="00021580">
        <w:rPr>
          <w:sz w:val="24"/>
        </w:rPr>
        <w:t xml:space="preserve">min-max, </w:t>
      </w:r>
      <w:r w:rsidRPr="00FF2BBE">
        <w:rPr>
          <w:sz w:val="24"/>
        </w:rPr>
        <w:t xml:space="preserve">weeks 40-48), the proportion of patients in TENAYA and LUCERNE, respectively, with absence of IRF was: 76%-82% and 78%-85% in </w:t>
      </w:r>
      <w:proofErr w:type="spellStart"/>
      <w:r w:rsidRPr="00FF2BBE">
        <w:rPr>
          <w:sz w:val="24"/>
        </w:rPr>
        <w:t>V</w:t>
      </w:r>
      <w:r w:rsidR="00E00D93" w:rsidRPr="00FF2BBE">
        <w:rPr>
          <w:sz w:val="24"/>
        </w:rPr>
        <w:t>abysmo</w:t>
      </w:r>
      <w:proofErr w:type="spellEnd"/>
      <w:r w:rsidRPr="00FF2BBE">
        <w:rPr>
          <w:sz w:val="24"/>
        </w:rPr>
        <w:t xml:space="preserve"> vs. 74%-85% and 78%-84% in aflibercept; absence of SRF: 70%-79% and 66%-78% in </w:t>
      </w:r>
      <w:proofErr w:type="spellStart"/>
      <w:r w:rsidRPr="00FF2BBE">
        <w:rPr>
          <w:sz w:val="24"/>
        </w:rPr>
        <w:t>V</w:t>
      </w:r>
      <w:r w:rsidR="00E00D93" w:rsidRPr="00FF2BBE">
        <w:rPr>
          <w:sz w:val="24"/>
        </w:rPr>
        <w:t>abysmo</w:t>
      </w:r>
      <w:proofErr w:type="spellEnd"/>
      <w:r w:rsidRPr="00FF2BBE">
        <w:rPr>
          <w:sz w:val="24"/>
        </w:rPr>
        <w:t xml:space="preserve"> vs. 66%-78% and 62%-76% in aflibercept; absence of PED: 3%-8% and 3%-6% in </w:t>
      </w:r>
      <w:proofErr w:type="spellStart"/>
      <w:r w:rsidRPr="00FF2BBE">
        <w:rPr>
          <w:sz w:val="24"/>
        </w:rPr>
        <w:t>V</w:t>
      </w:r>
      <w:r w:rsidR="00E00D93" w:rsidRPr="00FF2BBE">
        <w:rPr>
          <w:sz w:val="24"/>
        </w:rPr>
        <w:t>abysmo</w:t>
      </w:r>
      <w:proofErr w:type="spellEnd"/>
      <w:r w:rsidRPr="00FF2BBE">
        <w:rPr>
          <w:sz w:val="24"/>
        </w:rPr>
        <w:t xml:space="preserve"> vs. 8</w:t>
      </w:r>
      <w:r w:rsidR="00E00D93">
        <w:rPr>
          <w:sz w:val="24"/>
        </w:rPr>
        <w:t>%-10% and 7%-9% in aflibercept.</w:t>
      </w:r>
    </w:p>
    <w:p w14:paraId="3EECBBC4" w14:textId="48458178" w:rsidR="00FF2BBE" w:rsidRDefault="00FF2BBE" w:rsidP="00FF2BBE">
      <w:pPr>
        <w:pStyle w:val="Paragraph"/>
        <w:spacing w:after="120"/>
        <w:rPr>
          <w:sz w:val="24"/>
        </w:rPr>
      </w:pPr>
      <w:r w:rsidRPr="00FF2BBE">
        <w:rPr>
          <w:sz w:val="24"/>
        </w:rPr>
        <w:t>At week 48, there was comparable change in total CNV lesion area from baseline across treatment arms (0.0 mm</w:t>
      </w:r>
      <w:r w:rsidRPr="00B10BA0">
        <w:rPr>
          <w:sz w:val="24"/>
          <w:vertAlign w:val="superscript"/>
        </w:rPr>
        <w:t>2</w:t>
      </w:r>
      <w:r w:rsidRPr="00FF2BBE">
        <w:rPr>
          <w:sz w:val="24"/>
        </w:rPr>
        <w:t xml:space="preserve"> and 0.4 mm</w:t>
      </w:r>
      <w:r w:rsidRPr="00B10BA0">
        <w:rPr>
          <w:sz w:val="24"/>
          <w:vertAlign w:val="superscript"/>
        </w:rPr>
        <w:t>2</w:t>
      </w:r>
      <w:r w:rsidRPr="00FF2BBE">
        <w:rPr>
          <w:sz w:val="24"/>
        </w:rPr>
        <w:t xml:space="preserve"> in </w:t>
      </w:r>
      <w:proofErr w:type="spellStart"/>
      <w:r w:rsidRPr="00FF2BBE">
        <w:rPr>
          <w:sz w:val="24"/>
        </w:rPr>
        <w:t>V</w:t>
      </w:r>
      <w:r w:rsidR="00E00D93" w:rsidRPr="00FF2BBE">
        <w:rPr>
          <w:sz w:val="24"/>
        </w:rPr>
        <w:t>abysmo</w:t>
      </w:r>
      <w:proofErr w:type="spellEnd"/>
      <w:r w:rsidRPr="00FF2BBE">
        <w:rPr>
          <w:sz w:val="24"/>
        </w:rPr>
        <w:t xml:space="preserve"> vs. 0.4 mm</w:t>
      </w:r>
      <w:r w:rsidRPr="00B10BA0">
        <w:rPr>
          <w:sz w:val="24"/>
          <w:vertAlign w:val="superscript"/>
        </w:rPr>
        <w:t>2</w:t>
      </w:r>
      <w:r w:rsidRPr="00FF2BBE">
        <w:rPr>
          <w:sz w:val="24"/>
        </w:rPr>
        <w:t xml:space="preserve"> and 1.0 mm</w:t>
      </w:r>
      <w:r w:rsidRPr="00B10BA0">
        <w:rPr>
          <w:sz w:val="24"/>
          <w:vertAlign w:val="superscript"/>
        </w:rPr>
        <w:t>2</w:t>
      </w:r>
      <w:r w:rsidRPr="00FF2BBE">
        <w:rPr>
          <w:sz w:val="24"/>
        </w:rPr>
        <w:t xml:space="preserve"> in aflibercept, in TENAYA and LUCERNE, respectively). There was a comparable reduction in CNV leakage area from baseline across treatment arms (-3.8 mm</w:t>
      </w:r>
      <w:r w:rsidRPr="00B10BA0">
        <w:rPr>
          <w:sz w:val="24"/>
          <w:vertAlign w:val="superscript"/>
        </w:rPr>
        <w:t>2</w:t>
      </w:r>
      <w:r w:rsidRPr="00FF2BBE">
        <w:rPr>
          <w:sz w:val="24"/>
        </w:rPr>
        <w:t xml:space="preserve"> and -3.2 mm</w:t>
      </w:r>
      <w:r w:rsidRPr="00B10BA0">
        <w:rPr>
          <w:sz w:val="24"/>
          <w:vertAlign w:val="superscript"/>
        </w:rPr>
        <w:t>2</w:t>
      </w:r>
      <w:r w:rsidRPr="00FF2BBE">
        <w:rPr>
          <w:sz w:val="24"/>
        </w:rPr>
        <w:t xml:space="preserve"> in </w:t>
      </w:r>
      <w:proofErr w:type="spellStart"/>
      <w:r w:rsidRPr="00FF2BBE">
        <w:rPr>
          <w:sz w:val="24"/>
        </w:rPr>
        <w:t>V</w:t>
      </w:r>
      <w:r w:rsidR="00E00D93" w:rsidRPr="00FF2BBE">
        <w:rPr>
          <w:sz w:val="24"/>
        </w:rPr>
        <w:t>abysmo</w:t>
      </w:r>
      <w:proofErr w:type="spellEnd"/>
      <w:r w:rsidRPr="00FF2BBE">
        <w:rPr>
          <w:sz w:val="24"/>
        </w:rPr>
        <w:t xml:space="preserve"> and -3.0 mm</w:t>
      </w:r>
      <w:r w:rsidRPr="00B10BA0">
        <w:rPr>
          <w:sz w:val="24"/>
          <w:vertAlign w:val="superscript"/>
        </w:rPr>
        <w:t>2</w:t>
      </w:r>
      <w:r w:rsidRPr="00FF2BBE">
        <w:rPr>
          <w:sz w:val="24"/>
        </w:rPr>
        <w:t xml:space="preserve"> and -2.2 mm</w:t>
      </w:r>
      <w:r w:rsidRPr="00B10BA0">
        <w:rPr>
          <w:sz w:val="24"/>
          <w:vertAlign w:val="superscript"/>
        </w:rPr>
        <w:t>2</w:t>
      </w:r>
      <w:r w:rsidRPr="00FF2BBE">
        <w:rPr>
          <w:sz w:val="24"/>
        </w:rPr>
        <w:t xml:space="preserve"> in aflibercept, in TEN</w:t>
      </w:r>
      <w:r w:rsidR="00E00D93">
        <w:rPr>
          <w:sz w:val="24"/>
        </w:rPr>
        <w:t>AYA and LUCERNE, respectively).</w:t>
      </w:r>
    </w:p>
    <w:p w14:paraId="2D84A3C0" w14:textId="626422A7" w:rsidR="00204BDD" w:rsidRPr="00FF2BBE" w:rsidRDefault="00204BDD" w:rsidP="00204BDD">
      <w:pPr>
        <w:pStyle w:val="Heading4"/>
      </w:pPr>
      <w:r>
        <w:t>DM</w:t>
      </w:r>
      <w:r w:rsidR="00186B1A">
        <w:t>O</w:t>
      </w:r>
    </w:p>
    <w:p w14:paraId="727B0C23" w14:textId="4049984A" w:rsidR="00FF2BBE" w:rsidRPr="00206E8A" w:rsidRDefault="00FF2BBE" w:rsidP="00FF2BBE">
      <w:pPr>
        <w:pStyle w:val="Paragraph"/>
        <w:spacing w:after="120"/>
        <w:rPr>
          <w:sz w:val="24"/>
        </w:rPr>
      </w:pPr>
      <w:r w:rsidRPr="00206E8A">
        <w:rPr>
          <w:sz w:val="24"/>
        </w:rPr>
        <w:t>In Phase III studies in patients with DM</w:t>
      </w:r>
      <w:r w:rsidR="00186B1A" w:rsidRPr="00206E8A">
        <w:rPr>
          <w:sz w:val="24"/>
        </w:rPr>
        <w:t>O</w:t>
      </w:r>
      <w:r w:rsidRPr="00206E8A">
        <w:rPr>
          <w:sz w:val="24"/>
        </w:rPr>
        <w:t xml:space="preserve"> (YOSEMITE and RHINE), anatomic parameters related to macular </w:t>
      </w:r>
      <w:r w:rsidR="007C0FEE" w:rsidRPr="00206E8A">
        <w:rPr>
          <w:sz w:val="24"/>
        </w:rPr>
        <w:t>o</w:t>
      </w:r>
      <w:r w:rsidRPr="00206E8A">
        <w:rPr>
          <w:sz w:val="24"/>
        </w:rPr>
        <w:t>edema were part of the disease activity assessmen</w:t>
      </w:r>
      <w:r w:rsidR="00E00D93" w:rsidRPr="00206E8A">
        <w:rPr>
          <w:sz w:val="24"/>
        </w:rPr>
        <w:t>ts guiding treatment decisions.</w:t>
      </w:r>
    </w:p>
    <w:p w14:paraId="5326EA6F" w14:textId="161015A8" w:rsidR="00FF2BBE" w:rsidRPr="00206E8A" w:rsidRDefault="00FF2BBE" w:rsidP="00FF2BBE">
      <w:pPr>
        <w:pStyle w:val="Paragraph"/>
        <w:spacing w:after="120"/>
        <w:rPr>
          <w:sz w:val="24"/>
        </w:rPr>
      </w:pPr>
      <w:r w:rsidRPr="00206E8A">
        <w:rPr>
          <w:sz w:val="24"/>
        </w:rPr>
        <w:t xml:space="preserve">The reductions in mean CST </w:t>
      </w:r>
      <w:r w:rsidR="00021580" w:rsidRPr="00206E8A">
        <w:rPr>
          <w:sz w:val="24"/>
        </w:rPr>
        <w:t xml:space="preserve">from baseline </w:t>
      </w:r>
      <w:r w:rsidRPr="00206E8A">
        <w:rPr>
          <w:sz w:val="24"/>
        </w:rPr>
        <w:t xml:space="preserve">were numerically greater in patients treated with </w:t>
      </w:r>
      <w:proofErr w:type="spellStart"/>
      <w:r w:rsidRPr="00206E8A">
        <w:rPr>
          <w:sz w:val="24"/>
        </w:rPr>
        <w:t>V</w:t>
      </w:r>
      <w:r w:rsidR="00E00D93" w:rsidRPr="00206E8A">
        <w:rPr>
          <w:sz w:val="24"/>
        </w:rPr>
        <w:t>abysmo</w:t>
      </w:r>
      <w:proofErr w:type="spellEnd"/>
      <w:r w:rsidRPr="00206E8A">
        <w:rPr>
          <w:sz w:val="24"/>
        </w:rPr>
        <w:t xml:space="preserve"> every 8 weeks (Q8W) and </w:t>
      </w:r>
      <w:proofErr w:type="spellStart"/>
      <w:r w:rsidRPr="00206E8A">
        <w:rPr>
          <w:sz w:val="24"/>
        </w:rPr>
        <w:t>V</w:t>
      </w:r>
      <w:r w:rsidR="00E00D93" w:rsidRPr="00206E8A">
        <w:rPr>
          <w:sz w:val="24"/>
        </w:rPr>
        <w:t>abysmo</w:t>
      </w:r>
      <w:proofErr w:type="spellEnd"/>
      <w:r w:rsidRPr="00206E8A">
        <w:rPr>
          <w:sz w:val="24"/>
        </w:rPr>
        <w:t xml:space="preserve"> up to Q16W adjustable dosing as compared to aflibercept Q8W from week 4 to week </w:t>
      </w:r>
      <w:r w:rsidR="00021580" w:rsidRPr="00206E8A">
        <w:rPr>
          <w:sz w:val="24"/>
        </w:rPr>
        <w:t xml:space="preserve">100 </w:t>
      </w:r>
      <w:r w:rsidRPr="00206E8A">
        <w:rPr>
          <w:sz w:val="24"/>
        </w:rPr>
        <w:t xml:space="preserve">in both YOSEMITE and RHINE. Greater proportions of patients in both </w:t>
      </w:r>
      <w:proofErr w:type="spellStart"/>
      <w:r w:rsidRPr="00206E8A">
        <w:rPr>
          <w:sz w:val="24"/>
        </w:rPr>
        <w:t>V</w:t>
      </w:r>
      <w:r w:rsidR="00E00D93" w:rsidRPr="00206E8A">
        <w:rPr>
          <w:sz w:val="24"/>
        </w:rPr>
        <w:t>abysmo</w:t>
      </w:r>
      <w:proofErr w:type="spellEnd"/>
      <w:r w:rsidRPr="00206E8A">
        <w:rPr>
          <w:sz w:val="24"/>
        </w:rPr>
        <w:t xml:space="preserve"> arms achieved absence of IRF and absence of DM</w:t>
      </w:r>
      <w:r w:rsidR="00186B1A" w:rsidRPr="00206E8A">
        <w:rPr>
          <w:sz w:val="24"/>
        </w:rPr>
        <w:t>O</w:t>
      </w:r>
      <w:r w:rsidRPr="00206E8A">
        <w:rPr>
          <w:sz w:val="24"/>
        </w:rPr>
        <w:t xml:space="preserve"> (defined as reaching CST below 325 µm) as measured on Spectral Domain Optical Coherence Tomography (SD-OCT) over time in both studies, compared to the aflibercept arm. Comparable reductions in SRF were observed across both </w:t>
      </w:r>
      <w:proofErr w:type="spellStart"/>
      <w:r w:rsidRPr="00206E8A">
        <w:rPr>
          <w:sz w:val="24"/>
        </w:rPr>
        <w:t>V</w:t>
      </w:r>
      <w:r w:rsidR="00E00D93" w:rsidRPr="00206E8A">
        <w:rPr>
          <w:sz w:val="24"/>
        </w:rPr>
        <w:t>abysmo</w:t>
      </w:r>
      <w:proofErr w:type="spellEnd"/>
      <w:r w:rsidRPr="00206E8A">
        <w:rPr>
          <w:sz w:val="24"/>
        </w:rPr>
        <w:t xml:space="preserve"> and aflibercept treatment </w:t>
      </w:r>
      <w:r w:rsidR="00E00D93" w:rsidRPr="00206E8A">
        <w:rPr>
          <w:sz w:val="24"/>
        </w:rPr>
        <w:t>arms over time in both studies.</w:t>
      </w:r>
    </w:p>
    <w:p w14:paraId="6E3371EE" w14:textId="3A15D470" w:rsidR="00FF2BBE" w:rsidRPr="00FF2BBE" w:rsidRDefault="00FF2BBE" w:rsidP="00FF2BBE">
      <w:pPr>
        <w:pStyle w:val="Paragraph"/>
        <w:spacing w:after="120"/>
        <w:rPr>
          <w:sz w:val="24"/>
        </w:rPr>
      </w:pPr>
      <w:r w:rsidRPr="00206E8A">
        <w:rPr>
          <w:sz w:val="24"/>
        </w:rPr>
        <w:lastRenderedPageBreak/>
        <w:t xml:space="preserve">The mean reduction of CST from baseline to the primary endpoint visits (averaged at weeks 48-56) was 207 µm and 197 µm in patients treated with </w:t>
      </w:r>
      <w:proofErr w:type="spellStart"/>
      <w:r w:rsidRPr="00206E8A">
        <w:rPr>
          <w:sz w:val="24"/>
        </w:rPr>
        <w:t>V</w:t>
      </w:r>
      <w:r w:rsidR="00E00D93" w:rsidRPr="00206E8A">
        <w:rPr>
          <w:sz w:val="24"/>
        </w:rPr>
        <w:t>abysmo</w:t>
      </w:r>
      <w:proofErr w:type="spellEnd"/>
      <w:r w:rsidRPr="00206E8A">
        <w:rPr>
          <w:sz w:val="24"/>
        </w:rPr>
        <w:t xml:space="preserve"> Q8W and </w:t>
      </w:r>
      <w:proofErr w:type="spellStart"/>
      <w:r w:rsidRPr="00206E8A">
        <w:rPr>
          <w:sz w:val="24"/>
        </w:rPr>
        <w:t>V</w:t>
      </w:r>
      <w:r w:rsidR="00E00D93" w:rsidRPr="00206E8A">
        <w:rPr>
          <w:sz w:val="24"/>
        </w:rPr>
        <w:t>abysmo</w:t>
      </w:r>
      <w:proofErr w:type="spellEnd"/>
      <w:r w:rsidRPr="00206E8A">
        <w:rPr>
          <w:sz w:val="24"/>
        </w:rPr>
        <w:t xml:space="preserve"> up to Q16W adjustable dosing as compared to 170 µm in aflibercept Q8W patients in YOSEMITE; results were 196 µm, 188 µm and 170 µm, respectively in RHINE. </w:t>
      </w:r>
      <w:r w:rsidR="002418EA" w:rsidRPr="00206E8A">
        <w:rPr>
          <w:sz w:val="24"/>
        </w:rPr>
        <w:t xml:space="preserve">These mean CST reductions were maintained through year 2. </w:t>
      </w:r>
      <w:r w:rsidRPr="00206E8A">
        <w:rPr>
          <w:sz w:val="24"/>
        </w:rPr>
        <w:t>The proportion of patients with absence of DM</w:t>
      </w:r>
      <w:r w:rsidR="00186B1A" w:rsidRPr="00206E8A">
        <w:rPr>
          <w:sz w:val="24"/>
        </w:rPr>
        <w:t>O</w:t>
      </w:r>
      <w:r w:rsidRPr="00206E8A">
        <w:rPr>
          <w:sz w:val="24"/>
        </w:rPr>
        <w:t xml:space="preserve"> at primary</w:t>
      </w:r>
      <w:r w:rsidRPr="00FF2BBE">
        <w:rPr>
          <w:sz w:val="24"/>
        </w:rPr>
        <w:t xml:space="preserve"> endpoint visits (min-max, weeks 48-56) were 77%-87% and 80%-82% in patients treated with </w:t>
      </w:r>
      <w:proofErr w:type="spellStart"/>
      <w:r w:rsidRPr="00FF2BBE">
        <w:rPr>
          <w:sz w:val="24"/>
        </w:rPr>
        <w:t>V</w:t>
      </w:r>
      <w:r w:rsidR="00E00D93" w:rsidRPr="00FF2BBE">
        <w:rPr>
          <w:sz w:val="24"/>
        </w:rPr>
        <w:t>abysmo</w:t>
      </w:r>
      <w:proofErr w:type="spellEnd"/>
      <w:r w:rsidRPr="00FF2BBE">
        <w:rPr>
          <w:sz w:val="24"/>
        </w:rPr>
        <w:t xml:space="preserve"> Q8W and </w:t>
      </w:r>
      <w:proofErr w:type="spellStart"/>
      <w:r w:rsidRPr="00FF2BBE">
        <w:rPr>
          <w:sz w:val="24"/>
        </w:rPr>
        <w:t>V</w:t>
      </w:r>
      <w:r w:rsidR="00E00D93" w:rsidRPr="00FF2BBE">
        <w:rPr>
          <w:sz w:val="24"/>
        </w:rPr>
        <w:t>abysmo</w:t>
      </w:r>
      <w:proofErr w:type="spellEnd"/>
      <w:r w:rsidRPr="00FF2BBE">
        <w:rPr>
          <w:sz w:val="24"/>
        </w:rPr>
        <w:t xml:space="preserve"> up to Q16W adjustable dosing, as compared to 64%-71% in aflibercept Q8W patients in YOSEMITE; results were 85%-90%, 83%-87%, and </w:t>
      </w:r>
      <w:r w:rsidR="00E00D93">
        <w:rPr>
          <w:sz w:val="24"/>
        </w:rPr>
        <w:t>71%-77%, respectively in RHINE.</w:t>
      </w:r>
      <w:r w:rsidR="002418EA">
        <w:rPr>
          <w:sz w:val="24"/>
        </w:rPr>
        <w:t xml:space="preserve"> </w:t>
      </w:r>
      <w:r w:rsidR="002418EA" w:rsidRPr="002418EA">
        <w:rPr>
          <w:sz w:val="24"/>
        </w:rPr>
        <w:t>These results were maintained through year 2.</w:t>
      </w:r>
    </w:p>
    <w:p w14:paraId="01B62AFB" w14:textId="7D1D18BB" w:rsidR="00FF2BBE" w:rsidRDefault="00FF2BBE" w:rsidP="00FF2BBE">
      <w:pPr>
        <w:pStyle w:val="Paragraph"/>
        <w:spacing w:after="120"/>
        <w:rPr>
          <w:sz w:val="24"/>
        </w:rPr>
      </w:pPr>
      <w:r w:rsidRPr="00FF2BBE">
        <w:rPr>
          <w:sz w:val="24"/>
        </w:rPr>
        <w:t xml:space="preserve">The proportions of patients with absence of IRF at primary endpoint visits (min-max, weeks 48-56) were 42%-48% and 34%-43% in patients treated with </w:t>
      </w:r>
      <w:proofErr w:type="spellStart"/>
      <w:r w:rsidRPr="00FF2BBE">
        <w:rPr>
          <w:sz w:val="24"/>
        </w:rPr>
        <w:t>V</w:t>
      </w:r>
      <w:r w:rsidR="00E00D93" w:rsidRPr="00FF2BBE">
        <w:rPr>
          <w:sz w:val="24"/>
        </w:rPr>
        <w:t>abysmo</w:t>
      </w:r>
      <w:proofErr w:type="spellEnd"/>
      <w:r w:rsidRPr="00FF2BBE">
        <w:rPr>
          <w:sz w:val="24"/>
        </w:rPr>
        <w:t xml:space="preserve"> Q8W and </w:t>
      </w:r>
      <w:proofErr w:type="spellStart"/>
      <w:r w:rsidRPr="00FF2BBE">
        <w:rPr>
          <w:sz w:val="24"/>
        </w:rPr>
        <w:t>V</w:t>
      </w:r>
      <w:r w:rsidR="00E00D93" w:rsidRPr="00FF2BBE">
        <w:rPr>
          <w:sz w:val="24"/>
        </w:rPr>
        <w:t>abysmo</w:t>
      </w:r>
      <w:proofErr w:type="spellEnd"/>
      <w:r w:rsidRPr="00FF2BBE">
        <w:rPr>
          <w:sz w:val="24"/>
        </w:rPr>
        <w:t xml:space="preserve"> up to Q16W adjustable dosing, as compared to 22%-25% in aflibercept Q8W patients in YOSEMITE; results were 39%-43%, 33%-41%, and </w:t>
      </w:r>
      <w:r w:rsidR="00E00D93">
        <w:rPr>
          <w:sz w:val="24"/>
        </w:rPr>
        <w:t>23%-29%, respectively in RHINE.</w:t>
      </w:r>
      <w:r w:rsidR="002418EA">
        <w:rPr>
          <w:sz w:val="24"/>
        </w:rPr>
        <w:t xml:space="preserve"> </w:t>
      </w:r>
      <w:r w:rsidR="002418EA" w:rsidRPr="002418EA">
        <w:rPr>
          <w:sz w:val="24"/>
        </w:rPr>
        <w:t>These results were maintained through year 2.</w:t>
      </w:r>
    </w:p>
    <w:p w14:paraId="084D0C37" w14:textId="77777777" w:rsidR="00D52399" w:rsidRPr="00A807D3" w:rsidRDefault="00615052">
      <w:pPr>
        <w:pStyle w:val="Heading3"/>
        <w:rPr>
          <w:color w:val="auto"/>
        </w:rPr>
      </w:pPr>
      <w:r w:rsidRPr="00A807D3">
        <w:rPr>
          <w:color w:val="auto"/>
        </w:rPr>
        <w:t xml:space="preserve">Clinical </w:t>
      </w:r>
      <w:r w:rsidR="00594C19" w:rsidRPr="00A807D3">
        <w:rPr>
          <w:color w:val="auto"/>
        </w:rPr>
        <w:t>trials</w:t>
      </w:r>
    </w:p>
    <w:p w14:paraId="0BAA584F" w14:textId="7864ACDD" w:rsidR="00FF2BBE" w:rsidRDefault="00FF2BBE" w:rsidP="00FF2BBE">
      <w:pPr>
        <w:pStyle w:val="Heading4"/>
      </w:pPr>
      <w:r>
        <w:t xml:space="preserve">Treatment of </w:t>
      </w:r>
      <w:proofErr w:type="spellStart"/>
      <w:r>
        <w:t>nAMD</w:t>
      </w:r>
      <w:proofErr w:type="spellEnd"/>
    </w:p>
    <w:p w14:paraId="64C5DF12" w14:textId="72A7619C" w:rsidR="00FF2BBE" w:rsidRPr="00FF2BBE" w:rsidRDefault="00FF2BBE" w:rsidP="00FF2BBE">
      <w:pPr>
        <w:pStyle w:val="Default"/>
        <w:spacing w:after="120" w:line="300" w:lineRule="atLeast"/>
        <w:rPr>
          <w:color w:val="auto"/>
        </w:rPr>
      </w:pPr>
      <w:r w:rsidRPr="00FF2BBE">
        <w:rPr>
          <w:color w:val="auto"/>
        </w:rPr>
        <w:t xml:space="preserve">The safety and efficacy of </w:t>
      </w:r>
      <w:proofErr w:type="spellStart"/>
      <w:r w:rsidRPr="00FF2BBE">
        <w:rPr>
          <w:color w:val="auto"/>
        </w:rPr>
        <w:t>V</w:t>
      </w:r>
      <w:r w:rsidR="00E00D93" w:rsidRPr="00FF2BBE">
        <w:rPr>
          <w:color w:val="auto"/>
        </w:rPr>
        <w:t>abysmo</w:t>
      </w:r>
      <w:proofErr w:type="spellEnd"/>
      <w:r w:rsidRPr="00FF2BBE">
        <w:rPr>
          <w:color w:val="auto"/>
        </w:rPr>
        <w:t xml:space="preserve"> (</w:t>
      </w:r>
      <w:proofErr w:type="spellStart"/>
      <w:r w:rsidRPr="00FF2BBE">
        <w:rPr>
          <w:color w:val="auto"/>
        </w:rPr>
        <w:t>faricima</w:t>
      </w:r>
      <w:r w:rsidR="00E00D93">
        <w:rPr>
          <w:color w:val="auto"/>
        </w:rPr>
        <w:t>b</w:t>
      </w:r>
      <w:proofErr w:type="spellEnd"/>
      <w:r w:rsidR="00E00D93">
        <w:rPr>
          <w:color w:val="auto"/>
        </w:rPr>
        <w:t>) were assessed in two randomis</w:t>
      </w:r>
      <w:r w:rsidRPr="00FF2BBE">
        <w:rPr>
          <w:color w:val="auto"/>
        </w:rPr>
        <w:t>ed, multi-cent</w:t>
      </w:r>
      <w:r w:rsidR="00365C8B">
        <w:rPr>
          <w:color w:val="auto"/>
        </w:rPr>
        <w:t>r</w:t>
      </w:r>
      <w:r w:rsidRPr="00FF2BBE">
        <w:rPr>
          <w:color w:val="auto"/>
        </w:rPr>
        <w:t xml:space="preserve">e, double-masked, active comparator-controlled studies in patients with </w:t>
      </w:r>
      <w:proofErr w:type="spellStart"/>
      <w:r w:rsidRPr="00FF2BBE">
        <w:rPr>
          <w:color w:val="auto"/>
        </w:rPr>
        <w:t>nAMD</w:t>
      </w:r>
      <w:proofErr w:type="spellEnd"/>
      <w:r w:rsidRPr="00FF2BBE">
        <w:rPr>
          <w:color w:val="auto"/>
        </w:rPr>
        <w:t xml:space="preserve">, TENAYA (NCT03823287) and LUCERNE (NCT03823300). A total of 1,329 patients were enrolled in these studies, and 1,326 patients received at least one dose (664 with </w:t>
      </w:r>
      <w:proofErr w:type="spellStart"/>
      <w:r w:rsidRPr="00FF2BBE">
        <w:rPr>
          <w:color w:val="auto"/>
        </w:rPr>
        <w:t>V</w:t>
      </w:r>
      <w:r w:rsidR="00E00D93" w:rsidRPr="00FF2BBE">
        <w:rPr>
          <w:color w:val="auto"/>
        </w:rPr>
        <w:t>abysmo</w:t>
      </w:r>
      <w:proofErr w:type="spellEnd"/>
      <w:r w:rsidRPr="00FF2BBE">
        <w:rPr>
          <w:color w:val="auto"/>
        </w:rPr>
        <w:t>). Patient ages ranged from 50 to 99 with a mean of 75.9 years.</w:t>
      </w:r>
    </w:p>
    <w:p w14:paraId="160BB046" w14:textId="486F6272" w:rsidR="00FF2BBE" w:rsidRPr="00FF2BBE" w:rsidRDefault="00FF2BBE" w:rsidP="003E4887">
      <w:pPr>
        <w:pStyle w:val="Default"/>
        <w:spacing w:after="60" w:line="300" w:lineRule="atLeast"/>
        <w:rPr>
          <w:color w:val="auto"/>
        </w:rPr>
      </w:pPr>
      <w:r w:rsidRPr="00FF2BBE">
        <w:rPr>
          <w:color w:val="auto"/>
        </w:rPr>
        <w:t>In both</w:t>
      </w:r>
      <w:r w:rsidR="00E00D93">
        <w:rPr>
          <w:color w:val="auto"/>
        </w:rPr>
        <w:t xml:space="preserve"> studies, patients were randomis</w:t>
      </w:r>
      <w:r w:rsidRPr="00FF2BBE">
        <w:rPr>
          <w:color w:val="auto"/>
        </w:rPr>
        <w:t>ed in a 1:1 ratio to one of two treatment arms:</w:t>
      </w:r>
    </w:p>
    <w:p w14:paraId="59763523" w14:textId="399FF46F" w:rsidR="00FF2BBE" w:rsidRPr="00FF2BBE" w:rsidRDefault="00FF2BBE" w:rsidP="003E4887">
      <w:pPr>
        <w:pStyle w:val="Default"/>
        <w:numPr>
          <w:ilvl w:val="0"/>
          <w:numId w:val="8"/>
        </w:numPr>
        <w:spacing w:after="60" w:line="300" w:lineRule="atLeast"/>
        <w:rPr>
          <w:color w:val="auto"/>
        </w:rPr>
      </w:pPr>
      <w:proofErr w:type="spellStart"/>
      <w:r w:rsidRPr="00FF2BBE">
        <w:rPr>
          <w:color w:val="auto"/>
        </w:rPr>
        <w:t>V</w:t>
      </w:r>
      <w:r w:rsidR="00E00D93" w:rsidRPr="00FF2BBE">
        <w:rPr>
          <w:color w:val="auto"/>
        </w:rPr>
        <w:t>abysmo</w:t>
      </w:r>
      <w:proofErr w:type="spellEnd"/>
      <w:r w:rsidRPr="00FF2BBE">
        <w:rPr>
          <w:color w:val="auto"/>
        </w:rPr>
        <w:t xml:space="preserve"> 6 mg up to Q16W after four initial monthly doses</w:t>
      </w:r>
    </w:p>
    <w:p w14:paraId="26E15309" w14:textId="50DA3FE0" w:rsidR="00FF2BBE" w:rsidRPr="00FF2BBE" w:rsidRDefault="00FF2BBE" w:rsidP="00FF2BBE">
      <w:pPr>
        <w:pStyle w:val="Default"/>
        <w:numPr>
          <w:ilvl w:val="0"/>
          <w:numId w:val="8"/>
        </w:numPr>
        <w:spacing w:after="120" w:line="300" w:lineRule="atLeast"/>
        <w:rPr>
          <w:color w:val="auto"/>
        </w:rPr>
      </w:pPr>
      <w:r w:rsidRPr="00FF2BBE">
        <w:rPr>
          <w:color w:val="auto"/>
        </w:rPr>
        <w:t>Aflibercept 2 mg Q8W after three initial monthly doses</w:t>
      </w:r>
    </w:p>
    <w:p w14:paraId="2D3B5983" w14:textId="470FA1E8" w:rsidR="00FF2BBE" w:rsidRPr="00FF2BBE" w:rsidRDefault="00FF2BBE" w:rsidP="00FF2BBE">
      <w:pPr>
        <w:pStyle w:val="Default"/>
        <w:spacing w:after="120" w:line="300" w:lineRule="atLeast"/>
        <w:rPr>
          <w:color w:val="auto"/>
        </w:rPr>
      </w:pPr>
      <w:r w:rsidRPr="00FF2BBE">
        <w:rPr>
          <w:color w:val="auto"/>
        </w:rPr>
        <w:t>After the first four monthly doses (weeks 0,</w:t>
      </w:r>
      <w:r w:rsidR="00E00D93">
        <w:rPr>
          <w:color w:val="auto"/>
        </w:rPr>
        <w:t xml:space="preserve"> 4, 8, and 12) patients randomis</w:t>
      </w:r>
      <w:r w:rsidRPr="00FF2BBE">
        <w:rPr>
          <w:color w:val="auto"/>
        </w:rPr>
        <w:t xml:space="preserve">ed to the </w:t>
      </w:r>
      <w:proofErr w:type="spellStart"/>
      <w:r w:rsidRPr="00FF2BBE">
        <w:rPr>
          <w:color w:val="auto"/>
        </w:rPr>
        <w:t>V</w:t>
      </w:r>
      <w:r w:rsidR="00E00D93" w:rsidRPr="00FF2BBE">
        <w:rPr>
          <w:color w:val="auto"/>
        </w:rPr>
        <w:t>abysmo</w:t>
      </w:r>
      <w:proofErr w:type="spellEnd"/>
      <w:r w:rsidRPr="00FF2BBE">
        <w:rPr>
          <w:color w:val="auto"/>
        </w:rPr>
        <w:t xml:space="preserve"> arm received Q16W, every 12 weeks (Q12W) or Q8W dosing based on an assessment of disease activity at weeks 20 and 24, using objective pre-specified visual and anatomic criteria as well as treating physician clinical assessment.  Patients remained on these fixed dosing intervals until week 60 without supplemental therapy.</w:t>
      </w:r>
    </w:p>
    <w:p w14:paraId="58E5B6E1" w14:textId="2FF68275" w:rsidR="00FF2BBE" w:rsidRPr="00FF2BBE" w:rsidRDefault="00FF2BBE" w:rsidP="00FF2BBE">
      <w:pPr>
        <w:pStyle w:val="Default"/>
        <w:spacing w:after="120" w:line="300" w:lineRule="atLeast"/>
        <w:rPr>
          <w:color w:val="auto"/>
        </w:rPr>
      </w:pPr>
      <w:r w:rsidRPr="00FF2BBE">
        <w:rPr>
          <w:color w:val="auto"/>
        </w:rPr>
        <w:t xml:space="preserve">The primary efficacy endpoint was the change from baseline in BCVA based on an average at weeks 40, 44, and 48, measured by the Early Treatment Diabetic Retinopathy Study (ETDRS) Letter Score. In both studies, </w:t>
      </w:r>
      <w:proofErr w:type="spellStart"/>
      <w:r w:rsidRPr="00FF2BBE">
        <w:rPr>
          <w:color w:val="auto"/>
        </w:rPr>
        <w:t>V</w:t>
      </w:r>
      <w:r w:rsidR="00E00D93" w:rsidRPr="00FF2BBE">
        <w:rPr>
          <w:color w:val="auto"/>
        </w:rPr>
        <w:t>abysmo</w:t>
      </w:r>
      <w:proofErr w:type="spellEnd"/>
      <w:r w:rsidRPr="00FF2BBE">
        <w:rPr>
          <w:color w:val="auto"/>
        </w:rPr>
        <w:t xml:space="preserve"> up to Q16W treated patients had a comparable mean change from baseline in BCVA, as the patients treated with aflibercept Q8W.</w:t>
      </w:r>
    </w:p>
    <w:p w14:paraId="7FA5A9BB" w14:textId="77777777" w:rsidR="00FF2BBE" w:rsidRPr="00FF2BBE" w:rsidRDefault="00FF2BBE" w:rsidP="00E00D93">
      <w:pPr>
        <w:pStyle w:val="Default"/>
        <w:spacing w:line="300" w:lineRule="atLeast"/>
        <w:rPr>
          <w:color w:val="auto"/>
        </w:rPr>
      </w:pPr>
      <w:r w:rsidRPr="00FF2BBE">
        <w:rPr>
          <w:color w:val="auto"/>
        </w:rPr>
        <w:t>The proportion of patients on each of the different treatment intervals at week 48 in TENAYA and LUCERNE, respectively was:</w:t>
      </w:r>
    </w:p>
    <w:p w14:paraId="116D5C87" w14:textId="25767F75" w:rsidR="00FF2BBE" w:rsidRPr="00FF2BBE" w:rsidRDefault="00FF2BBE" w:rsidP="00E00D93">
      <w:pPr>
        <w:pStyle w:val="Default"/>
        <w:numPr>
          <w:ilvl w:val="0"/>
          <w:numId w:val="8"/>
        </w:numPr>
        <w:spacing w:after="60" w:line="300" w:lineRule="atLeast"/>
        <w:rPr>
          <w:color w:val="auto"/>
        </w:rPr>
      </w:pPr>
      <w:r w:rsidRPr="00FF2BBE">
        <w:rPr>
          <w:color w:val="auto"/>
        </w:rPr>
        <w:t>Q16W: 46%, 45%</w:t>
      </w:r>
    </w:p>
    <w:p w14:paraId="2B83689B" w14:textId="4E0466B2" w:rsidR="00FF2BBE" w:rsidRPr="00FF2BBE" w:rsidRDefault="00FF2BBE" w:rsidP="00E00D93">
      <w:pPr>
        <w:pStyle w:val="Default"/>
        <w:numPr>
          <w:ilvl w:val="0"/>
          <w:numId w:val="8"/>
        </w:numPr>
        <w:spacing w:after="60" w:line="300" w:lineRule="atLeast"/>
        <w:rPr>
          <w:color w:val="auto"/>
        </w:rPr>
      </w:pPr>
      <w:r w:rsidRPr="00FF2BBE">
        <w:rPr>
          <w:color w:val="auto"/>
        </w:rPr>
        <w:t>Q12W: 34%, 33%</w:t>
      </w:r>
    </w:p>
    <w:p w14:paraId="066F0368" w14:textId="19E4A78A" w:rsidR="00B65D51" w:rsidRPr="00A807D3" w:rsidRDefault="00FF2BBE" w:rsidP="00E00D93">
      <w:pPr>
        <w:pStyle w:val="Default"/>
        <w:numPr>
          <w:ilvl w:val="0"/>
          <w:numId w:val="8"/>
        </w:numPr>
        <w:spacing w:after="60" w:line="300" w:lineRule="atLeast"/>
        <w:rPr>
          <w:color w:val="auto"/>
        </w:rPr>
      </w:pPr>
      <w:r w:rsidRPr="00FF2BBE">
        <w:rPr>
          <w:color w:val="auto"/>
        </w:rPr>
        <w:t>Q8W: 20%, 22%</w:t>
      </w:r>
    </w:p>
    <w:p w14:paraId="71C8CFDE" w14:textId="77777777" w:rsidR="007238C9" w:rsidRPr="007238C9" w:rsidRDefault="007238C9" w:rsidP="007238C9"/>
    <w:p w14:paraId="6BE24F2C" w14:textId="4398D865" w:rsidR="00B65D51" w:rsidRPr="00A807D3" w:rsidRDefault="00B65D51" w:rsidP="006E1D51">
      <w:pPr>
        <w:keepNext/>
        <w:pageBreakBefore/>
        <w:spacing w:after="120" w:line="300" w:lineRule="atLeast"/>
        <w:ind w:left="992" w:hanging="992"/>
        <w:rPr>
          <w:color w:val="auto"/>
        </w:rPr>
      </w:pPr>
      <w:r w:rsidRPr="00A807D3">
        <w:rPr>
          <w:b/>
          <w:bCs/>
          <w:color w:val="auto"/>
        </w:rPr>
        <w:t xml:space="preserve">Table </w:t>
      </w:r>
      <w:r w:rsidR="00FF2BBE">
        <w:rPr>
          <w:b/>
          <w:bCs/>
          <w:color w:val="auto"/>
        </w:rPr>
        <w:t>2</w:t>
      </w:r>
      <w:r w:rsidR="00DC5D58">
        <w:rPr>
          <w:color w:val="auto"/>
        </w:rPr>
        <w:t xml:space="preserve"> </w:t>
      </w:r>
      <w:r w:rsidR="00DC5D58">
        <w:rPr>
          <w:color w:val="auto"/>
        </w:rPr>
        <w:tab/>
      </w:r>
      <w:r w:rsidR="00FF2BBE" w:rsidRPr="00FF2BBE">
        <w:rPr>
          <w:b/>
          <w:color w:val="auto"/>
        </w:rPr>
        <w:t xml:space="preserve">Efficacy outcomes at the primary endpoint </w:t>
      </w:r>
      <w:proofErr w:type="spellStart"/>
      <w:r w:rsidR="00FF2BBE" w:rsidRPr="00FF2BBE">
        <w:rPr>
          <w:b/>
          <w:color w:val="auto"/>
        </w:rPr>
        <w:t>visits</w:t>
      </w:r>
      <w:r w:rsidR="00FF2BBE" w:rsidRPr="00F222DB">
        <w:rPr>
          <w:b/>
          <w:color w:val="auto"/>
          <w:vertAlign w:val="superscript"/>
        </w:rPr>
        <w:t>a</w:t>
      </w:r>
      <w:proofErr w:type="spellEnd"/>
      <w:r w:rsidR="00FF2BBE" w:rsidRPr="00FF2BBE">
        <w:rPr>
          <w:b/>
          <w:color w:val="auto"/>
        </w:rPr>
        <w:t xml:space="preserve"> in TENAYA and LUCERNE</w:t>
      </w:r>
    </w:p>
    <w:tbl>
      <w:tblPr>
        <w:tblStyle w:val="TableGrid"/>
        <w:tblW w:w="9445" w:type="dxa"/>
        <w:tblInd w:w="0" w:type="dxa"/>
        <w:tblLayout w:type="fixed"/>
        <w:tblLook w:val="04A0" w:firstRow="1" w:lastRow="0" w:firstColumn="1" w:lastColumn="0" w:noHBand="0" w:noVBand="1"/>
      </w:tblPr>
      <w:tblGrid>
        <w:gridCol w:w="2875"/>
        <w:gridCol w:w="1620"/>
        <w:gridCol w:w="1710"/>
        <w:gridCol w:w="1620"/>
        <w:gridCol w:w="1620"/>
      </w:tblGrid>
      <w:tr w:rsidR="00FF2BBE" w:rsidRPr="00F222DB" w14:paraId="7181C26D" w14:textId="77777777" w:rsidTr="00F222DB">
        <w:tc>
          <w:tcPr>
            <w:tcW w:w="2875" w:type="dxa"/>
            <w:vMerge w:val="restart"/>
            <w:shd w:val="clear" w:color="auto" w:fill="auto"/>
          </w:tcPr>
          <w:p w14:paraId="64043322" w14:textId="5370CEE8" w:rsidR="00FF2BBE" w:rsidRPr="00F222DB" w:rsidRDefault="00FF2BBE" w:rsidP="00FB04A6">
            <w:pPr>
              <w:spacing w:line="300" w:lineRule="atLeast"/>
              <w:rPr>
                <w:b/>
                <w:noProof/>
                <w:color w:val="auto"/>
                <w:sz w:val="22"/>
                <w:szCs w:val="22"/>
              </w:rPr>
            </w:pPr>
            <w:r w:rsidRPr="00F222DB">
              <w:rPr>
                <w:b/>
                <w:noProof/>
                <w:color w:val="auto"/>
                <w:sz w:val="22"/>
                <w:szCs w:val="22"/>
              </w:rPr>
              <w:t>Efficacy Outcomes</w:t>
            </w:r>
          </w:p>
          <w:p w14:paraId="102A8BC7" w14:textId="77777777" w:rsidR="00FF2BBE" w:rsidRPr="00F222DB" w:rsidRDefault="00FF2BBE" w:rsidP="00FB04A6">
            <w:pPr>
              <w:keepNext/>
              <w:spacing w:line="300" w:lineRule="atLeast"/>
              <w:rPr>
                <w:b/>
                <w:noProof/>
                <w:color w:val="auto"/>
                <w:sz w:val="22"/>
                <w:szCs w:val="22"/>
              </w:rPr>
            </w:pPr>
          </w:p>
        </w:tc>
        <w:tc>
          <w:tcPr>
            <w:tcW w:w="3330" w:type="dxa"/>
            <w:gridSpan w:val="2"/>
            <w:tcBorders>
              <w:bottom w:val="single" w:sz="4" w:space="0" w:color="auto"/>
            </w:tcBorders>
            <w:shd w:val="clear" w:color="auto" w:fill="auto"/>
          </w:tcPr>
          <w:p w14:paraId="2C349A37" w14:textId="5321D2AC" w:rsidR="00FF2BBE" w:rsidRPr="00F222DB" w:rsidRDefault="00FF2BBE" w:rsidP="00FB04A6">
            <w:pPr>
              <w:keepNext/>
              <w:spacing w:line="300" w:lineRule="atLeast"/>
              <w:jc w:val="center"/>
              <w:rPr>
                <w:b/>
                <w:noProof/>
                <w:color w:val="auto"/>
                <w:sz w:val="22"/>
                <w:szCs w:val="22"/>
                <w:lang w:val="pt-BR"/>
              </w:rPr>
            </w:pPr>
            <w:r w:rsidRPr="00F222DB">
              <w:rPr>
                <w:b/>
                <w:noProof/>
                <w:color w:val="auto"/>
                <w:sz w:val="22"/>
                <w:szCs w:val="22"/>
                <w:lang w:val="pt-BR"/>
              </w:rPr>
              <w:t>TENAYA</w:t>
            </w:r>
          </w:p>
        </w:tc>
        <w:tc>
          <w:tcPr>
            <w:tcW w:w="3240" w:type="dxa"/>
            <w:gridSpan w:val="2"/>
            <w:tcBorders>
              <w:bottom w:val="single" w:sz="4" w:space="0" w:color="auto"/>
            </w:tcBorders>
          </w:tcPr>
          <w:p w14:paraId="00FFD457" w14:textId="5CE104F8" w:rsidR="00FF2BBE" w:rsidRPr="00F222DB" w:rsidRDefault="00FF2BBE" w:rsidP="00FB04A6">
            <w:pPr>
              <w:keepNext/>
              <w:spacing w:line="300" w:lineRule="atLeast"/>
              <w:jc w:val="center"/>
              <w:rPr>
                <w:b/>
                <w:noProof/>
                <w:color w:val="auto"/>
                <w:sz w:val="22"/>
                <w:szCs w:val="22"/>
                <w:lang w:val="pt-BR"/>
              </w:rPr>
            </w:pPr>
            <w:r w:rsidRPr="00F222DB">
              <w:rPr>
                <w:b/>
                <w:noProof/>
                <w:color w:val="auto"/>
                <w:sz w:val="22"/>
                <w:szCs w:val="22"/>
                <w:lang w:val="pt-BR"/>
              </w:rPr>
              <w:t>LUCERNE</w:t>
            </w:r>
          </w:p>
        </w:tc>
      </w:tr>
      <w:tr w:rsidR="00FF2BBE" w:rsidRPr="00F222DB" w14:paraId="5B57C566" w14:textId="77777777" w:rsidTr="00F222DB">
        <w:tc>
          <w:tcPr>
            <w:tcW w:w="2875" w:type="dxa"/>
            <w:vMerge/>
            <w:tcBorders>
              <w:bottom w:val="nil"/>
            </w:tcBorders>
            <w:shd w:val="clear" w:color="auto" w:fill="auto"/>
          </w:tcPr>
          <w:p w14:paraId="4984E76C" w14:textId="77777777" w:rsidR="00FF2BBE" w:rsidRPr="00F222DB" w:rsidRDefault="00FF2BBE" w:rsidP="00FB04A6">
            <w:pPr>
              <w:spacing w:line="300" w:lineRule="atLeast"/>
              <w:rPr>
                <w:noProof/>
                <w:color w:val="auto"/>
                <w:sz w:val="22"/>
                <w:szCs w:val="22"/>
              </w:rPr>
            </w:pPr>
          </w:p>
        </w:tc>
        <w:tc>
          <w:tcPr>
            <w:tcW w:w="1620" w:type="dxa"/>
            <w:tcBorders>
              <w:bottom w:val="nil"/>
            </w:tcBorders>
            <w:shd w:val="clear" w:color="auto" w:fill="auto"/>
          </w:tcPr>
          <w:p w14:paraId="2BC9095A" w14:textId="073F6317" w:rsidR="00FF2BBE" w:rsidRPr="00F222DB" w:rsidRDefault="00FF2BBE" w:rsidP="00FF2BBE">
            <w:pPr>
              <w:spacing w:line="300" w:lineRule="atLeast"/>
              <w:jc w:val="center"/>
              <w:rPr>
                <w:b/>
                <w:noProof/>
                <w:color w:val="auto"/>
                <w:sz w:val="22"/>
                <w:szCs w:val="22"/>
              </w:rPr>
            </w:pPr>
            <w:r w:rsidRPr="00F222DB">
              <w:rPr>
                <w:b/>
                <w:noProof/>
                <w:color w:val="auto"/>
                <w:sz w:val="22"/>
                <w:szCs w:val="22"/>
              </w:rPr>
              <w:t>V</w:t>
            </w:r>
            <w:r w:rsidR="00E00D93" w:rsidRPr="00F222DB">
              <w:rPr>
                <w:b/>
                <w:noProof/>
                <w:color w:val="auto"/>
                <w:sz w:val="22"/>
                <w:szCs w:val="22"/>
              </w:rPr>
              <w:t>abysmo</w:t>
            </w:r>
            <w:r w:rsidRPr="00F222DB">
              <w:rPr>
                <w:b/>
                <w:noProof/>
                <w:color w:val="auto"/>
                <w:sz w:val="22"/>
                <w:szCs w:val="22"/>
              </w:rPr>
              <w:t xml:space="preserve"> up to Q16W</w:t>
            </w:r>
          </w:p>
          <w:p w14:paraId="0AAEEAC9" w14:textId="5A7899E2" w:rsidR="00FF2BBE" w:rsidRPr="00F222DB" w:rsidRDefault="00FF2BBE" w:rsidP="00FF2BBE">
            <w:pPr>
              <w:spacing w:line="300" w:lineRule="atLeast"/>
              <w:jc w:val="center"/>
              <w:rPr>
                <w:b/>
                <w:noProof/>
                <w:color w:val="auto"/>
                <w:sz w:val="22"/>
                <w:szCs w:val="22"/>
              </w:rPr>
            </w:pPr>
            <w:r w:rsidRPr="00F222DB">
              <w:rPr>
                <w:b/>
                <w:noProof/>
                <w:color w:val="auto"/>
                <w:sz w:val="22"/>
                <w:szCs w:val="22"/>
              </w:rPr>
              <w:t>N = 334</w:t>
            </w:r>
          </w:p>
        </w:tc>
        <w:tc>
          <w:tcPr>
            <w:tcW w:w="1710" w:type="dxa"/>
            <w:tcBorders>
              <w:bottom w:val="nil"/>
            </w:tcBorders>
            <w:shd w:val="clear" w:color="auto" w:fill="auto"/>
          </w:tcPr>
          <w:p w14:paraId="65A773F5" w14:textId="77777777" w:rsidR="00FF2BBE" w:rsidRPr="00F222DB" w:rsidRDefault="00FF2BBE" w:rsidP="00FF2BBE">
            <w:pPr>
              <w:spacing w:line="300" w:lineRule="atLeast"/>
              <w:jc w:val="center"/>
              <w:rPr>
                <w:b/>
                <w:noProof/>
                <w:color w:val="auto"/>
                <w:sz w:val="22"/>
                <w:szCs w:val="22"/>
              </w:rPr>
            </w:pPr>
            <w:r w:rsidRPr="00F222DB">
              <w:rPr>
                <w:b/>
                <w:noProof/>
                <w:color w:val="auto"/>
                <w:sz w:val="22"/>
                <w:szCs w:val="22"/>
              </w:rPr>
              <w:t>Aflibercept Q8W</w:t>
            </w:r>
          </w:p>
          <w:p w14:paraId="7371DE9C" w14:textId="641871EB" w:rsidR="00FF2BBE" w:rsidRPr="00F222DB" w:rsidRDefault="00FF2BBE" w:rsidP="00FF2BBE">
            <w:pPr>
              <w:spacing w:line="300" w:lineRule="atLeast"/>
              <w:jc w:val="center"/>
              <w:rPr>
                <w:b/>
                <w:noProof/>
                <w:color w:val="auto"/>
                <w:sz w:val="22"/>
                <w:szCs w:val="22"/>
              </w:rPr>
            </w:pPr>
            <w:r w:rsidRPr="00F222DB">
              <w:rPr>
                <w:b/>
                <w:noProof/>
                <w:color w:val="auto"/>
                <w:sz w:val="22"/>
                <w:szCs w:val="22"/>
              </w:rPr>
              <w:t>N = 337</w:t>
            </w:r>
          </w:p>
        </w:tc>
        <w:tc>
          <w:tcPr>
            <w:tcW w:w="1620" w:type="dxa"/>
            <w:tcBorders>
              <w:bottom w:val="nil"/>
            </w:tcBorders>
          </w:tcPr>
          <w:p w14:paraId="49C0E753" w14:textId="3490DCAB" w:rsidR="00FF2BBE" w:rsidRPr="00F222DB" w:rsidRDefault="00FF2BBE" w:rsidP="00FF2BBE">
            <w:pPr>
              <w:spacing w:line="300" w:lineRule="atLeast"/>
              <w:jc w:val="center"/>
              <w:rPr>
                <w:b/>
                <w:noProof/>
                <w:color w:val="auto"/>
                <w:sz w:val="22"/>
                <w:szCs w:val="22"/>
              </w:rPr>
            </w:pPr>
            <w:r w:rsidRPr="00F222DB">
              <w:rPr>
                <w:b/>
                <w:noProof/>
                <w:color w:val="auto"/>
                <w:sz w:val="22"/>
                <w:szCs w:val="22"/>
              </w:rPr>
              <w:t>V</w:t>
            </w:r>
            <w:r w:rsidR="00E00D93" w:rsidRPr="00F222DB">
              <w:rPr>
                <w:b/>
                <w:noProof/>
                <w:color w:val="auto"/>
                <w:sz w:val="22"/>
                <w:szCs w:val="22"/>
              </w:rPr>
              <w:t>abysmo</w:t>
            </w:r>
            <w:r w:rsidRPr="00F222DB">
              <w:rPr>
                <w:b/>
                <w:noProof/>
                <w:color w:val="auto"/>
                <w:sz w:val="22"/>
                <w:szCs w:val="22"/>
              </w:rPr>
              <w:t xml:space="preserve"> up to Q16W</w:t>
            </w:r>
          </w:p>
          <w:p w14:paraId="7275EC59" w14:textId="0877270F" w:rsidR="00FF2BBE" w:rsidRPr="00F222DB" w:rsidRDefault="00FF2BBE" w:rsidP="00FF2BBE">
            <w:pPr>
              <w:spacing w:line="300" w:lineRule="atLeast"/>
              <w:jc w:val="center"/>
              <w:rPr>
                <w:b/>
                <w:noProof/>
                <w:color w:val="auto"/>
                <w:sz w:val="22"/>
                <w:szCs w:val="22"/>
              </w:rPr>
            </w:pPr>
            <w:r w:rsidRPr="00F222DB">
              <w:rPr>
                <w:b/>
                <w:noProof/>
                <w:color w:val="auto"/>
                <w:sz w:val="22"/>
                <w:szCs w:val="22"/>
              </w:rPr>
              <w:t>N = 331</w:t>
            </w:r>
          </w:p>
        </w:tc>
        <w:tc>
          <w:tcPr>
            <w:tcW w:w="1620" w:type="dxa"/>
            <w:tcBorders>
              <w:bottom w:val="nil"/>
            </w:tcBorders>
            <w:shd w:val="clear" w:color="auto" w:fill="auto"/>
          </w:tcPr>
          <w:p w14:paraId="35EE5784" w14:textId="77777777" w:rsidR="00FF2BBE" w:rsidRPr="00F222DB" w:rsidRDefault="00FF2BBE" w:rsidP="00FF2BBE">
            <w:pPr>
              <w:spacing w:line="300" w:lineRule="atLeast"/>
              <w:jc w:val="center"/>
              <w:rPr>
                <w:b/>
                <w:noProof/>
                <w:color w:val="auto"/>
                <w:sz w:val="22"/>
                <w:szCs w:val="22"/>
              </w:rPr>
            </w:pPr>
            <w:r w:rsidRPr="00F222DB">
              <w:rPr>
                <w:b/>
                <w:noProof/>
                <w:color w:val="auto"/>
                <w:sz w:val="22"/>
                <w:szCs w:val="22"/>
              </w:rPr>
              <w:t>Aflibercept Q8W</w:t>
            </w:r>
          </w:p>
          <w:p w14:paraId="30F8FEE8" w14:textId="13A020C6" w:rsidR="00FF2BBE" w:rsidRPr="00F222DB" w:rsidRDefault="00FF2BBE" w:rsidP="00FF2BBE">
            <w:pPr>
              <w:spacing w:line="300" w:lineRule="atLeast"/>
              <w:jc w:val="center"/>
              <w:rPr>
                <w:b/>
                <w:noProof/>
                <w:color w:val="auto"/>
                <w:sz w:val="22"/>
                <w:szCs w:val="22"/>
              </w:rPr>
            </w:pPr>
            <w:r w:rsidRPr="00F222DB">
              <w:rPr>
                <w:b/>
                <w:noProof/>
                <w:color w:val="auto"/>
                <w:sz w:val="22"/>
                <w:szCs w:val="22"/>
              </w:rPr>
              <w:t>N = 327</w:t>
            </w:r>
          </w:p>
        </w:tc>
      </w:tr>
      <w:tr w:rsidR="00FF2BBE" w:rsidRPr="00F222DB" w14:paraId="60A614FD" w14:textId="77777777" w:rsidTr="00F222DB">
        <w:tc>
          <w:tcPr>
            <w:tcW w:w="2875" w:type="dxa"/>
            <w:tcBorders>
              <w:bottom w:val="nil"/>
            </w:tcBorders>
            <w:shd w:val="clear" w:color="auto" w:fill="auto"/>
          </w:tcPr>
          <w:p w14:paraId="1A0CD1FA" w14:textId="40CB8DBF" w:rsidR="00FF2BBE" w:rsidRPr="00F222DB" w:rsidRDefault="00FF2BBE" w:rsidP="00FF2BBE">
            <w:pPr>
              <w:spacing w:line="300" w:lineRule="atLeast"/>
              <w:rPr>
                <w:noProof/>
                <w:color w:val="auto"/>
                <w:sz w:val="22"/>
                <w:szCs w:val="22"/>
              </w:rPr>
            </w:pPr>
            <w:r w:rsidRPr="00F222DB">
              <w:rPr>
                <w:sz w:val="22"/>
                <w:szCs w:val="22"/>
              </w:rPr>
              <w:t>Mean change in BCVA as measured by ETDRS letter score from baseline (95% CI)</w:t>
            </w:r>
          </w:p>
        </w:tc>
        <w:tc>
          <w:tcPr>
            <w:tcW w:w="1620" w:type="dxa"/>
            <w:tcBorders>
              <w:bottom w:val="nil"/>
            </w:tcBorders>
            <w:shd w:val="clear" w:color="auto" w:fill="auto"/>
          </w:tcPr>
          <w:p w14:paraId="22BC0EA0" w14:textId="77777777" w:rsidR="00FF2BBE" w:rsidRPr="00F222DB" w:rsidRDefault="00FF2BBE" w:rsidP="00FF2BBE">
            <w:pPr>
              <w:spacing w:line="300" w:lineRule="atLeast"/>
              <w:jc w:val="center"/>
              <w:rPr>
                <w:sz w:val="22"/>
                <w:szCs w:val="22"/>
              </w:rPr>
            </w:pPr>
            <w:r w:rsidRPr="00F222DB">
              <w:rPr>
                <w:sz w:val="22"/>
                <w:szCs w:val="22"/>
              </w:rPr>
              <w:t>5.8</w:t>
            </w:r>
          </w:p>
          <w:p w14:paraId="78E024EE" w14:textId="04E61EF2" w:rsidR="00FF2BBE" w:rsidRPr="00F222DB" w:rsidRDefault="00FF2BBE" w:rsidP="00FF2BBE">
            <w:pPr>
              <w:spacing w:line="300" w:lineRule="atLeast"/>
              <w:jc w:val="center"/>
              <w:rPr>
                <w:noProof/>
                <w:color w:val="auto"/>
                <w:sz w:val="22"/>
                <w:szCs w:val="22"/>
              </w:rPr>
            </w:pPr>
            <w:r w:rsidRPr="00F222DB">
              <w:rPr>
                <w:sz w:val="22"/>
                <w:szCs w:val="22"/>
              </w:rPr>
              <w:t>(4.6, 7.1)</w:t>
            </w:r>
          </w:p>
        </w:tc>
        <w:tc>
          <w:tcPr>
            <w:tcW w:w="1710" w:type="dxa"/>
            <w:tcBorders>
              <w:bottom w:val="nil"/>
            </w:tcBorders>
            <w:shd w:val="clear" w:color="auto" w:fill="auto"/>
          </w:tcPr>
          <w:p w14:paraId="4CA0DA9D" w14:textId="77777777" w:rsidR="00FF2BBE" w:rsidRPr="00F222DB" w:rsidRDefault="00FF2BBE" w:rsidP="00FF2BBE">
            <w:pPr>
              <w:spacing w:line="300" w:lineRule="atLeast"/>
              <w:jc w:val="center"/>
              <w:rPr>
                <w:noProof/>
                <w:color w:val="auto"/>
                <w:sz w:val="22"/>
                <w:szCs w:val="22"/>
              </w:rPr>
            </w:pPr>
            <w:r w:rsidRPr="00F222DB">
              <w:rPr>
                <w:noProof/>
                <w:color w:val="auto"/>
                <w:sz w:val="22"/>
                <w:szCs w:val="22"/>
              </w:rPr>
              <w:t>5.1</w:t>
            </w:r>
          </w:p>
          <w:p w14:paraId="49F5B8BE" w14:textId="51EF9366" w:rsidR="00FF2BBE" w:rsidRPr="00F222DB" w:rsidRDefault="00FF2BBE" w:rsidP="00FF2BBE">
            <w:pPr>
              <w:spacing w:line="300" w:lineRule="atLeast"/>
              <w:jc w:val="center"/>
              <w:rPr>
                <w:noProof/>
                <w:color w:val="auto"/>
                <w:sz w:val="22"/>
                <w:szCs w:val="22"/>
              </w:rPr>
            </w:pPr>
            <w:r w:rsidRPr="00F222DB">
              <w:rPr>
                <w:noProof/>
                <w:color w:val="auto"/>
                <w:sz w:val="22"/>
                <w:szCs w:val="22"/>
              </w:rPr>
              <w:t>(3.9, 6.4)</w:t>
            </w:r>
          </w:p>
        </w:tc>
        <w:tc>
          <w:tcPr>
            <w:tcW w:w="1620" w:type="dxa"/>
            <w:tcBorders>
              <w:bottom w:val="nil"/>
            </w:tcBorders>
          </w:tcPr>
          <w:p w14:paraId="7EC0B556" w14:textId="77777777" w:rsidR="00F222DB" w:rsidRPr="00F222DB" w:rsidRDefault="00F222DB" w:rsidP="00F222DB">
            <w:pPr>
              <w:spacing w:line="300" w:lineRule="atLeast"/>
              <w:jc w:val="center"/>
              <w:rPr>
                <w:noProof/>
                <w:color w:val="auto"/>
                <w:sz w:val="22"/>
                <w:szCs w:val="22"/>
              </w:rPr>
            </w:pPr>
            <w:r w:rsidRPr="00F222DB">
              <w:rPr>
                <w:noProof/>
                <w:color w:val="auto"/>
                <w:sz w:val="22"/>
                <w:szCs w:val="22"/>
              </w:rPr>
              <w:t>6.6</w:t>
            </w:r>
          </w:p>
          <w:p w14:paraId="4A67D766" w14:textId="41F99B61" w:rsidR="00FF2BBE" w:rsidRPr="00F222DB" w:rsidRDefault="00F222DB" w:rsidP="00F222DB">
            <w:pPr>
              <w:spacing w:line="300" w:lineRule="atLeast"/>
              <w:jc w:val="center"/>
              <w:rPr>
                <w:noProof/>
                <w:color w:val="auto"/>
                <w:sz w:val="22"/>
                <w:szCs w:val="22"/>
              </w:rPr>
            </w:pPr>
            <w:r w:rsidRPr="00F222DB">
              <w:rPr>
                <w:noProof/>
                <w:color w:val="auto"/>
                <w:sz w:val="22"/>
                <w:szCs w:val="22"/>
              </w:rPr>
              <w:t>(5.3, 7.8)</w:t>
            </w:r>
          </w:p>
        </w:tc>
        <w:tc>
          <w:tcPr>
            <w:tcW w:w="1620" w:type="dxa"/>
            <w:tcBorders>
              <w:bottom w:val="nil"/>
            </w:tcBorders>
            <w:shd w:val="clear" w:color="auto" w:fill="auto"/>
          </w:tcPr>
          <w:p w14:paraId="75ADB2AC" w14:textId="77777777" w:rsidR="00F222DB" w:rsidRPr="00F222DB" w:rsidRDefault="00F222DB" w:rsidP="00F222DB">
            <w:pPr>
              <w:spacing w:line="300" w:lineRule="atLeast"/>
              <w:jc w:val="center"/>
              <w:rPr>
                <w:noProof/>
                <w:color w:val="auto"/>
                <w:sz w:val="22"/>
                <w:szCs w:val="22"/>
              </w:rPr>
            </w:pPr>
            <w:r w:rsidRPr="00F222DB">
              <w:rPr>
                <w:noProof/>
                <w:color w:val="auto"/>
                <w:sz w:val="22"/>
                <w:szCs w:val="22"/>
              </w:rPr>
              <w:t>6.6</w:t>
            </w:r>
          </w:p>
          <w:p w14:paraId="72BD3BA5" w14:textId="23AC6C7E" w:rsidR="00FF2BBE" w:rsidRPr="00F222DB" w:rsidRDefault="00F222DB" w:rsidP="00F222DB">
            <w:pPr>
              <w:spacing w:line="300" w:lineRule="atLeast"/>
              <w:jc w:val="center"/>
              <w:rPr>
                <w:noProof/>
                <w:color w:val="auto"/>
                <w:sz w:val="22"/>
                <w:szCs w:val="22"/>
              </w:rPr>
            </w:pPr>
            <w:r w:rsidRPr="00F222DB">
              <w:rPr>
                <w:noProof/>
                <w:color w:val="auto"/>
                <w:sz w:val="22"/>
                <w:szCs w:val="22"/>
              </w:rPr>
              <w:t>(5.3, 7.8)</w:t>
            </w:r>
          </w:p>
        </w:tc>
      </w:tr>
      <w:tr w:rsidR="00FF2BBE" w:rsidRPr="00F222DB" w14:paraId="335D7909" w14:textId="77777777" w:rsidTr="00F222DB">
        <w:tc>
          <w:tcPr>
            <w:tcW w:w="2875" w:type="dxa"/>
            <w:tcBorders>
              <w:top w:val="single" w:sz="4" w:space="0" w:color="auto"/>
            </w:tcBorders>
            <w:shd w:val="clear" w:color="auto" w:fill="auto"/>
          </w:tcPr>
          <w:p w14:paraId="5E80050D" w14:textId="5C09BB5E" w:rsidR="00FF2BBE" w:rsidRPr="00F222DB" w:rsidRDefault="00FF2BBE" w:rsidP="00FF2BBE">
            <w:pPr>
              <w:autoSpaceDE w:val="0"/>
              <w:autoSpaceDN w:val="0"/>
              <w:adjustRightInd w:val="0"/>
              <w:spacing w:line="300" w:lineRule="atLeast"/>
              <w:rPr>
                <w:rFonts w:eastAsia="SimSun"/>
                <w:color w:val="auto"/>
                <w:sz w:val="22"/>
                <w:szCs w:val="22"/>
              </w:rPr>
            </w:pPr>
            <w:r w:rsidRPr="00F222DB">
              <w:rPr>
                <w:sz w:val="22"/>
                <w:szCs w:val="22"/>
              </w:rPr>
              <w:t>Difference in LS mean (95% CI)</w:t>
            </w:r>
          </w:p>
        </w:tc>
        <w:tc>
          <w:tcPr>
            <w:tcW w:w="1620" w:type="dxa"/>
            <w:tcBorders>
              <w:top w:val="single" w:sz="4" w:space="0" w:color="auto"/>
            </w:tcBorders>
            <w:shd w:val="clear" w:color="auto" w:fill="auto"/>
          </w:tcPr>
          <w:p w14:paraId="2F84290E" w14:textId="77777777" w:rsidR="00FF2BBE" w:rsidRPr="00F222DB" w:rsidRDefault="00FF2BBE" w:rsidP="00FF2BBE">
            <w:pPr>
              <w:spacing w:line="300" w:lineRule="atLeast"/>
              <w:jc w:val="center"/>
              <w:rPr>
                <w:sz w:val="22"/>
                <w:szCs w:val="22"/>
              </w:rPr>
            </w:pPr>
            <w:r w:rsidRPr="00F222DB">
              <w:rPr>
                <w:sz w:val="22"/>
                <w:szCs w:val="22"/>
              </w:rPr>
              <w:t>0.7</w:t>
            </w:r>
          </w:p>
          <w:p w14:paraId="704EA713" w14:textId="7C27CBC9" w:rsidR="00FF2BBE" w:rsidRPr="00F222DB" w:rsidRDefault="00FF2BBE" w:rsidP="00FF2BBE">
            <w:pPr>
              <w:spacing w:line="300" w:lineRule="atLeast"/>
              <w:jc w:val="center"/>
              <w:rPr>
                <w:noProof/>
                <w:color w:val="auto"/>
                <w:sz w:val="22"/>
                <w:szCs w:val="22"/>
              </w:rPr>
            </w:pPr>
            <w:r w:rsidRPr="00F222DB">
              <w:rPr>
                <w:sz w:val="22"/>
                <w:szCs w:val="22"/>
              </w:rPr>
              <w:t>(-1.1, 2.5)</w:t>
            </w:r>
          </w:p>
        </w:tc>
        <w:tc>
          <w:tcPr>
            <w:tcW w:w="1710" w:type="dxa"/>
            <w:tcBorders>
              <w:top w:val="single" w:sz="4" w:space="0" w:color="auto"/>
            </w:tcBorders>
            <w:shd w:val="clear" w:color="auto" w:fill="auto"/>
          </w:tcPr>
          <w:p w14:paraId="146C7E90" w14:textId="7CAE186E" w:rsidR="00FF2BBE" w:rsidRPr="00F222DB" w:rsidRDefault="00FF2BBE" w:rsidP="00FF2BBE">
            <w:pPr>
              <w:spacing w:line="300" w:lineRule="atLeast"/>
              <w:jc w:val="center"/>
              <w:rPr>
                <w:noProof/>
                <w:color w:val="auto"/>
                <w:sz w:val="22"/>
                <w:szCs w:val="22"/>
              </w:rPr>
            </w:pPr>
          </w:p>
        </w:tc>
        <w:tc>
          <w:tcPr>
            <w:tcW w:w="1620" w:type="dxa"/>
            <w:tcBorders>
              <w:top w:val="single" w:sz="4" w:space="0" w:color="auto"/>
            </w:tcBorders>
          </w:tcPr>
          <w:p w14:paraId="24A3D9B9" w14:textId="77777777" w:rsidR="00F222DB" w:rsidRPr="00F222DB" w:rsidRDefault="00F222DB" w:rsidP="00F222DB">
            <w:pPr>
              <w:spacing w:line="300" w:lineRule="atLeast"/>
              <w:jc w:val="center"/>
              <w:rPr>
                <w:noProof/>
                <w:color w:val="auto"/>
                <w:sz w:val="22"/>
                <w:szCs w:val="22"/>
              </w:rPr>
            </w:pPr>
            <w:r w:rsidRPr="00F222DB">
              <w:rPr>
                <w:noProof/>
                <w:color w:val="auto"/>
                <w:sz w:val="22"/>
                <w:szCs w:val="22"/>
              </w:rPr>
              <w:t>0.0</w:t>
            </w:r>
          </w:p>
          <w:p w14:paraId="21E6D2A6" w14:textId="3CE4571D" w:rsidR="00FF2BBE" w:rsidRPr="00F222DB" w:rsidRDefault="00F222DB" w:rsidP="00F222DB">
            <w:pPr>
              <w:spacing w:line="300" w:lineRule="atLeast"/>
              <w:jc w:val="center"/>
              <w:rPr>
                <w:noProof/>
                <w:color w:val="auto"/>
                <w:sz w:val="22"/>
                <w:szCs w:val="22"/>
              </w:rPr>
            </w:pPr>
            <w:r w:rsidRPr="00F222DB">
              <w:rPr>
                <w:noProof/>
                <w:color w:val="auto"/>
                <w:sz w:val="22"/>
                <w:szCs w:val="22"/>
              </w:rPr>
              <w:t>(-1.7, 1.8)</w:t>
            </w:r>
          </w:p>
        </w:tc>
        <w:tc>
          <w:tcPr>
            <w:tcW w:w="1620" w:type="dxa"/>
            <w:tcBorders>
              <w:top w:val="single" w:sz="4" w:space="0" w:color="auto"/>
            </w:tcBorders>
            <w:shd w:val="clear" w:color="auto" w:fill="auto"/>
          </w:tcPr>
          <w:p w14:paraId="21401B21" w14:textId="535EF371" w:rsidR="00FF2BBE" w:rsidRPr="00F222DB" w:rsidRDefault="00FF2BBE" w:rsidP="00FF2BBE">
            <w:pPr>
              <w:spacing w:line="300" w:lineRule="atLeast"/>
              <w:jc w:val="center"/>
              <w:rPr>
                <w:noProof/>
                <w:color w:val="auto"/>
                <w:sz w:val="22"/>
                <w:szCs w:val="22"/>
              </w:rPr>
            </w:pPr>
          </w:p>
        </w:tc>
      </w:tr>
      <w:tr w:rsidR="00FF2BBE" w:rsidRPr="00F222DB" w14:paraId="2CA81C78" w14:textId="77777777" w:rsidTr="00F222DB">
        <w:trPr>
          <w:trHeight w:val="57"/>
        </w:trPr>
        <w:tc>
          <w:tcPr>
            <w:tcW w:w="2875" w:type="dxa"/>
            <w:shd w:val="clear" w:color="auto" w:fill="auto"/>
          </w:tcPr>
          <w:p w14:paraId="23F92304" w14:textId="7C65DCF6" w:rsidR="00FF2BBE" w:rsidRPr="00F222DB" w:rsidRDefault="00FF2BBE" w:rsidP="00FF2BBE">
            <w:pPr>
              <w:autoSpaceDE w:val="0"/>
              <w:autoSpaceDN w:val="0"/>
              <w:adjustRightInd w:val="0"/>
              <w:spacing w:line="300" w:lineRule="atLeast"/>
              <w:rPr>
                <w:noProof/>
                <w:color w:val="auto"/>
                <w:sz w:val="22"/>
                <w:szCs w:val="22"/>
              </w:rPr>
            </w:pPr>
            <w:r w:rsidRPr="00F222DB">
              <w:rPr>
                <w:sz w:val="22"/>
                <w:szCs w:val="22"/>
              </w:rPr>
              <w:t xml:space="preserve">Proportion of patients with ≥ 15 letter gain from baseline (CMH weighted proportion, 95% CI)  </w:t>
            </w:r>
          </w:p>
        </w:tc>
        <w:tc>
          <w:tcPr>
            <w:tcW w:w="1620" w:type="dxa"/>
            <w:shd w:val="clear" w:color="auto" w:fill="auto"/>
          </w:tcPr>
          <w:p w14:paraId="68B3355A" w14:textId="77777777" w:rsidR="00FF2BBE" w:rsidRPr="00F222DB" w:rsidRDefault="00FF2BBE" w:rsidP="00FF2BBE">
            <w:pPr>
              <w:spacing w:line="300" w:lineRule="atLeast"/>
              <w:jc w:val="center"/>
              <w:rPr>
                <w:noProof/>
                <w:color w:val="auto"/>
                <w:sz w:val="22"/>
                <w:szCs w:val="22"/>
              </w:rPr>
            </w:pPr>
            <w:r w:rsidRPr="00F222DB">
              <w:rPr>
                <w:noProof/>
                <w:color w:val="auto"/>
                <w:sz w:val="22"/>
                <w:szCs w:val="22"/>
              </w:rPr>
              <w:t>20.0%</w:t>
            </w:r>
          </w:p>
          <w:p w14:paraId="27C114A4" w14:textId="3E12BE7F" w:rsidR="00FF2BBE" w:rsidRPr="00F222DB" w:rsidRDefault="00FF2BBE" w:rsidP="00FF2BBE">
            <w:pPr>
              <w:spacing w:line="300" w:lineRule="atLeast"/>
              <w:jc w:val="center"/>
              <w:rPr>
                <w:noProof/>
                <w:color w:val="auto"/>
                <w:sz w:val="22"/>
                <w:szCs w:val="22"/>
              </w:rPr>
            </w:pPr>
            <w:r w:rsidRPr="00F222DB">
              <w:rPr>
                <w:noProof/>
                <w:color w:val="auto"/>
                <w:sz w:val="22"/>
                <w:szCs w:val="22"/>
              </w:rPr>
              <w:t>(15.6%, 24.4%)</w:t>
            </w:r>
          </w:p>
        </w:tc>
        <w:tc>
          <w:tcPr>
            <w:tcW w:w="1710" w:type="dxa"/>
            <w:shd w:val="clear" w:color="auto" w:fill="auto"/>
          </w:tcPr>
          <w:p w14:paraId="5FC1AA1A" w14:textId="77777777" w:rsidR="00FF2BBE" w:rsidRPr="00F222DB" w:rsidRDefault="00FF2BBE" w:rsidP="00FF2BBE">
            <w:pPr>
              <w:spacing w:line="300" w:lineRule="atLeast"/>
              <w:jc w:val="center"/>
              <w:rPr>
                <w:noProof/>
                <w:color w:val="auto"/>
                <w:sz w:val="22"/>
                <w:szCs w:val="22"/>
              </w:rPr>
            </w:pPr>
            <w:r w:rsidRPr="00F222DB">
              <w:rPr>
                <w:noProof/>
                <w:color w:val="auto"/>
                <w:sz w:val="22"/>
                <w:szCs w:val="22"/>
              </w:rPr>
              <w:t>15.7%</w:t>
            </w:r>
          </w:p>
          <w:p w14:paraId="3541964B" w14:textId="23A7A40E" w:rsidR="00FF2BBE" w:rsidRPr="00F222DB" w:rsidRDefault="00FF2BBE" w:rsidP="00FF2BBE">
            <w:pPr>
              <w:spacing w:line="300" w:lineRule="atLeast"/>
              <w:jc w:val="center"/>
              <w:rPr>
                <w:noProof/>
                <w:color w:val="auto"/>
                <w:sz w:val="22"/>
                <w:szCs w:val="22"/>
              </w:rPr>
            </w:pPr>
            <w:r w:rsidRPr="00F222DB">
              <w:rPr>
                <w:noProof/>
                <w:color w:val="auto"/>
                <w:sz w:val="22"/>
                <w:szCs w:val="22"/>
              </w:rPr>
              <w:t>(11.9%, 19.6%)</w:t>
            </w:r>
          </w:p>
        </w:tc>
        <w:tc>
          <w:tcPr>
            <w:tcW w:w="1620" w:type="dxa"/>
          </w:tcPr>
          <w:p w14:paraId="6C631199" w14:textId="77777777" w:rsidR="00F222DB" w:rsidRPr="00F222DB" w:rsidRDefault="00F222DB" w:rsidP="00F222DB">
            <w:pPr>
              <w:spacing w:line="300" w:lineRule="atLeast"/>
              <w:jc w:val="center"/>
              <w:rPr>
                <w:noProof/>
                <w:color w:val="auto"/>
                <w:sz w:val="22"/>
                <w:szCs w:val="22"/>
              </w:rPr>
            </w:pPr>
            <w:r w:rsidRPr="00F222DB">
              <w:rPr>
                <w:noProof/>
                <w:color w:val="auto"/>
                <w:sz w:val="22"/>
                <w:szCs w:val="22"/>
              </w:rPr>
              <w:t>20.2%</w:t>
            </w:r>
          </w:p>
          <w:p w14:paraId="4124709D" w14:textId="2FA71CE2" w:rsidR="00FF2BBE" w:rsidRPr="00F222DB" w:rsidRDefault="00F222DB" w:rsidP="00F222DB">
            <w:pPr>
              <w:spacing w:line="300" w:lineRule="atLeast"/>
              <w:jc w:val="center"/>
              <w:rPr>
                <w:noProof/>
                <w:color w:val="auto"/>
                <w:sz w:val="22"/>
                <w:szCs w:val="22"/>
              </w:rPr>
            </w:pPr>
            <w:r w:rsidRPr="00F222DB">
              <w:rPr>
                <w:noProof/>
                <w:color w:val="auto"/>
                <w:sz w:val="22"/>
                <w:szCs w:val="22"/>
              </w:rPr>
              <w:t>(15.9%, 24.6%)</w:t>
            </w:r>
          </w:p>
        </w:tc>
        <w:tc>
          <w:tcPr>
            <w:tcW w:w="1620" w:type="dxa"/>
            <w:shd w:val="clear" w:color="auto" w:fill="auto"/>
          </w:tcPr>
          <w:p w14:paraId="2E335A91" w14:textId="77777777" w:rsidR="00F222DB" w:rsidRPr="00F222DB" w:rsidRDefault="00F222DB" w:rsidP="00F222DB">
            <w:pPr>
              <w:spacing w:line="300" w:lineRule="atLeast"/>
              <w:jc w:val="center"/>
              <w:rPr>
                <w:noProof/>
                <w:color w:val="auto"/>
                <w:sz w:val="22"/>
                <w:szCs w:val="22"/>
              </w:rPr>
            </w:pPr>
            <w:r w:rsidRPr="00F222DB">
              <w:rPr>
                <w:noProof/>
                <w:color w:val="auto"/>
                <w:sz w:val="22"/>
                <w:szCs w:val="22"/>
              </w:rPr>
              <w:t>22.2%</w:t>
            </w:r>
          </w:p>
          <w:p w14:paraId="302F965C" w14:textId="03264731" w:rsidR="00FF2BBE" w:rsidRPr="00F222DB" w:rsidRDefault="00F222DB" w:rsidP="00F222DB">
            <w:pPr>
              <w:spacing w:line="300" w:lineRule="atLeast"/>
              <w:jc w:val="center"/>
              <w:rPr>
                <w:noProof/>
                <w:color w:val="auto"/>
                <w:sz w:val="22"/>
                <w:szCs w:val="22"/>
              </w:rPr>
            </w:pPr>
            <w:r w:rsidRPr="00F222DB">
              <w:rPr>
                <w:noProof/>
                <w:color w:val="auto"/>
                <w:sz w:val="22"/>
                <w:szCs w:val="22"/>
              </w:rPr>
              <w:t>(17.7%, 26.8%)</w:t>
            </w:r>
          </w:p>
        </w:tc>
      </w:tr>
      <w:tr w:rsidR="00FF2BBE" w:rsidRPr="00F222DB" w14:paraId="32693A05" w14:textId="77777777" w:rsidTr="00F222DB">
        <w:trPr>
          <w:trHeight w:val="57"/>
        </w:trPr>
        <w:tc>
          <w:tcPr>
            <w:tcW w:w="2875" w:type="dxa"/>
            <w:shd w:val="clear" w:color="auto" w:fill="auto"/>
          </w:tcPr>
          <w:p w14:paraId="4858E14A" w14:textId="6ADAC512" w:rsidR="00FF2BBE" w:rsidRPr="00F222DB" w:rsidRDefault="00FF2BBE" w:rsidP="00FF2BBE">
            <w:pPr>
              <w:autoSpaceDE w:val="0"/>
              <w:autoSpaceDN w:val="0"/>
              <w:adjustRightInd w:val="0"/>
              <w:spacing w:line="300" w:lineRule="atLeast"/>
              <w:rPr>
                <w:rFonts w:eastAsia="SimSun"/>
                <w:color w:val="auto"/>
                <w:sz w:val="22"/>
                <w:szCs w:val="22"/>
              </w:rPr>
            </w:pPr>
            <w:r w:rsidRPr="00F222DB">
              <w:rPr>
                <w:sz w:val="22"/>
                <w:szCs w:val="22"/>
              </w:rPr>
              <w:t>Difference in CMH weighted % (95% CI)</w:t>
            </w:r>
          </w:p>
        </w:tc>
        <w:tc>
          <w:tcPr>
            <w:tcW w:w="1620" w:type="dxa"/>
            <w:shd w:val="clear" w:color="auto" w:fill="auto"/>
          </w:tcPr>
          <w:p w14:paraId="0D7D8256" w14:textId="77777777" w:rsidR="00FF2BBE" w:rsidRPr="00F222DB" w:rsidRDefault="00FF2BBE" w:rsidP="00FF2BBE">
            <w:pPr>
              <w:spacing w:line="300" w:lineRule="atLeast"/>
              <w:jc w:val="center"/>
              <w:rPr>
                <w:noProof/>
                <w:color w:val="auto"/>
                <w:sz w:val="22"/>
                <w:szCs w:val="22"/>
              </w:rPr>
            </w:pPr>
            <w:r w:rsidRPr="00F222DB">
              <w:rPr>
                <w:noProof/>
                <w:color w:val="auto"/>
                <w:sz w:val="22"/>
                <w:szCs w:val="22"/>
              </w:rPr>
              <w:t>4.3%</w:t>
            </w:r>
          </w:p>
          <w:p w14:paraId="14C7A87B" w14:textId="22FDE5A0" w:rsidR="00FF2BBE" w:rsidRPr="00F222DB" w:rsidRDefault="00FF2BBE" w:rsidP="00FF2BBE">
            <w:pPr>
              <w:spacing w:line="300" w:lineRule="atLeast"/>
              <w:jc w:val="center"/>
              <w:rPr>
                <w:noProof/>
                <w:color w:val="auto"/>
                <w:sz w:val="22"/>
                <w:szCs w:val="22"/>
              </w:rPr>
            </w:pPr>
            <w:r w:rsidRPr="00F222DB">
              <w:rPr>
                <w:noProof/>
                <w:color w:val="auto"/>
                <w:sz w:val="22"/>
                <w:szCs w:val="22"/>
              </w:rPr>
              <w:t>(-1.6%, 10.1%)</w:t>
            </w:r>
          </w:p>
        </w:tc>
        <w:tc>
          <w:tcPr>
            <w:tcW w:w="1710" w:type="dxa"/>
            <w:shd w:val="clear" w:color="auto" w:fill="auto"/>
          </w:tcPr>
          <w:p w14:paraId="4A972CEE" w14:textId="066D7E20" w:rsidR="00FF2BBE" w:rsidRPr="00F222DB" w:rsidRDefault="00FF2BBE" w:rsidP="00FF2BBE">
            <w:pPr>
              <w:spacing w:line="300" w:lineRule="atLeast"/>
              <w:jc w:val="center"/>
              <w:rPr>
                <w:noProof/>
                <w:color w:val="auto"/>
                <w:sz w:val="22"/>
                <w:szCs w:val="22"/>
              </w:rPr>
            </w:pPr>
          </w:p>
        </w:tc>
        <w:tc>
          <w:tcPr>
            <w:tcW w:w="1620" w:type="dxa"/>
          </w:tcPr>
          <w:p w14:paraId="661A12C1" w14:textId="77777777" w:rsidR="00F222DB"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-2.0%</w:t>
            </w:r>
          </w:p>
          <w:p w14:paraId="786764C3" w14:textId="114E5A72" w:rsidR="00FF2BBE"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(-8.3%, 4.3%)</w:t>
            </w:r>
          </w:p>
        </w:tc>
        <w:tc>
          <w:tcPr>
            <w:tcW w:w="1620" w:type="dxa"/>
            <w:shd w:val="clear" w:color="auto" w:fill="auto"/>
          </w:tcPr>
          <w:p w14:paraId="24A393C9" w14:textId="0CADE66C" w:rsidR="00FF2BBE" w:rsidRPr="00F222DB" w:rsidRDefault="00FF2BBE" w:rsidP="00FF2BBE">
            <w:pPr>
              <w:autoSpaceDE w:val="0"/>
              <w:autoSpaceDN w:val="0"/>
              <w:adjustRightInd w:val="0"/>
              <w:jc w:val="center"/>
              <w:rPr>
                <w:rFonts w:eastAsia="SimSun"/>
                <w:color w:val="auto"/>
                <w:sz w:val="22"/>
                <w:szCs w:val="22"/>
              </w:rPr>
            </w:pPr>
          </w:p>
        </w:tc>
      </w:tr>
      <w:tr w:rsidR="00FF2BBE" w:rsidRPr="00F222DB" w14:paraId="0ED2B9A7" w14:textId="77777777" w:rsidTr="00F222DB">
        <w:trPr>
          <w:trHeight w:val="57"/>
        </w:trPr>
        <w:tc>
          <w:tcPr>
            <w:tcW w:w="2875" w:type="dxa"/>
            <w:shd w:val="clear" w:color="auto" w:fill="auto"/>
          </w:tcPr>
          <w:p w14:paraId="744DED99" w14:textId="65C73F8B" w:rsidR="00FF2BBE" w:rsidRPr="00F222DB" w:rsidRDefault="00FF2BBE" w:rsidP="00FF2BBE">
            <w:pPr>
              <w:autoSpaceDE w:val="0"/>
              <w:autoSpaceDN w:val="0"/>
              <w:adjustRightInd w:val="0"/>
              <w:spacing w:line="300" w:lineRule="atLeast"/>
              <w:rPr>
                <w:rFonts w:eastAsia="SimSun"/>
                <w:color w:val="auto"/>
                <w:sz w:val="22"/>
                <w:szCs w:val="22"/>
              </w:rPr>
            </w:pPr>
            <w:r w:rsidRPr="00F222DB">
              <w:rPr>
                <w:sz w:val="22"/>
                <w:szCs w:val="22"/>
              </w:rPr>
              <w:t>Proportion of patients avoiding ≥ 15 letter loss from baseline (CMH weighted proportion,95% CI)</w:t>
            </w:r>
          </w:p>
        </w:tc>
        <w:tc>
          <w:tcPr>
            <w:tcW w:w="1620" w:type="dxa"/>
            <w:shd w:val="clear" w:color="auto" w:fill="auto"/>
          </w:tcPr>
          <w:p w14:paraId="44FAADA8" w14:textId="77777777" w:rsidR="00FF2BBE" w:rsidRPr="00F222DB" w:rsidRDefault="00FF2BBE" w:rsidP="00FF2BBE">
            <w:pPr>
              <w:spacing w:line="300" w:lineRule="atLeast"/>
              <w:jc w:val="center"/>
              <w:rPr>
                <w:rFonts w:eastAsia="SimSun"/>
                <w:color w:val="auto"/>
                <w:sz w:val="22"/>
                <w:szCs w:val="22"/>
              </w:rPr>
            </w:pPr>
            <w:r w:rsidRPr="00F222DB">
              <w:rPr>
                <w:rFonts w:eastAsia="SimSun"/>
                <w:color w:val="auto"/>
                <w:sz w:val="22"/>
                <w:szCs w:val="22"/>
              </w:rPr>
              <w:t>95.4%</w:t>
            </w:r>
          </w:p>
          <w:p w14:paraId="6CA0F985" w14:textId="5FE4D7A0" w:rsidR="00FF2BBE" w:rsidRPr="00F222DB" w:rsidRDefault="00FF2BBE" w:rsidP="00FF2BBE">
            <w:pPr>
              <w:spacing w:line="300" w:lineRule="atLeast"/>
              <w:jc w:val="center"/>
              <w:rPr>
                <w:rFonts w:eastAsia="SimSun"/>
                <w:color w:val="auto"/>
                <w:sz w:val="22"/>
                <w:szCs w:val="22"/>
              </w:rPr>
            </w:pPr>
            <w:r w:rsidRPr="00F222DB">
              <w:rPr>
                <w:rFonts w:eastAsia="SimSun"/>
                <w:color w:val="auto"/>
                <w:sz w:val="22"/>
                <w:szCs w:val="22"/>
              </w:rPr>
              <w:t>(93.0%, 97.7%)</w:t>
            </w:r>
          </w:p>
        </w:tc>
        <w:tc>
          <w:tcPr>
            <w:tcW w:w="1710" w:type="dxa"/>
            <w:shd w:val="clear" w:color="auto" w:fill="auto"/>
          </w:tcPr>
          <w:p w14:paraId="15511D1A" w14:textId="77777777" w:rsidR="00FF2BBE" w:rsidRPr="00F222DB" w:rsidRDefault="00FF2BBE" w:rsidP="00FF2BBE">
            <w:pPr>
              <w:spacing w:line="300" w:lineRule="atLeast"/>
              <w:jc w:val="center"/>
              <w:rPr>
                <w:rFonts w:eastAsia="SimSun"/>
                <w:color w:val="auto"/>
                <w:sz w:val="22"/>
                <w:szCs w:val="22"/>
              </w:rPr>
            </w:pPr>
            <w:r w:rsidRPr="00F222DB">
              <w:rPr>
                <w:rFonts w:eastAsia="SimSun"/>
                <w:color w:val="auto"/>
                <w:sz w:val="22"/>
                <w:szCs w:val="22"/>
              </w:rPr>
              <w:t>94.1%</w:t>
            </w:r>
          </w:p>
          <w:p w14:paraId="769155BB" w14:textId="63D63BFF" w:rsidR="00FF2BBE" w:rsidRPr="00F222DB" w:rsidRDefault="00FF2BBE" w:rsidP="00FF2BBE">
            <w:pPr>
              <w:spacing w:line="300" w:lineRule="atLeast"/>
              <w:jc w:val="center"/>
              <w:rPr>
                <w:rFonts w:eastAsia="SimSun"/>
                <w:color w:val="auto"/>
                <w:sz w:val="22"/>
                <w:szCs w:val="22"/>
              </w:rPr>
            </w:pPr>
            <w:r w:rsidRPr="00F222DB">
              <w:rPr>
                <w:rFonts w:eastAsia="SimSun"/>
                <w:color w:val="auto"/>
                <w:sz w:val="22"/>
                <w:szCs w:val="22"/>
              </w:rPr>
              <w:t>(91.5%, 96.7 %)</w:t>
            </w:r>
          </w:p>
        </w:tc>
        <w:tc>
          <w:tcPr>
            <w:tcW w:w="1620" w:type="dxa"/>
          </w:tcPr>
          <w:p w14:paraId="70C9954C" w14:textId="77777777" w:rsidR="00F222DB"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95.8%</w:t>
            </w:r>
          </w:p>
          <w:p w14:paraId="4092CEDC" w14:textId="00718B2F" w:rsidR="00FF2BBE"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(93.6%, 98.0%)</w:t>
            </w:r>
          </w:p>
        </w:tc>
        <w:tc>
          <w:tcPr>
            <w:tcW w:w="1620" w:type="dxa"/>
            <w:shd w:val="clear" w:color="auto" w:fill="auto"/>
          </w:tcPr>
          <w:p w14:paraId="49B805C6" w14:textId="77777777" w:rsidR="00F222DB"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97.3%</w:t>
            </w:r>
          </w:p>
          <w:p w14:paraId="5B16A55D" w14:textId="33C24FE0" w:rsidR="00FF2BBE"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(95.5%, 99.1%)</w:t>
            </w:r>
          </w:p>
        </w:tc>
      </w:tr>
      <w:tr w:rsidR="00FF2BBE" w:rsidRPr="00F222DB" w14:paraId="0AC7657A" w14:textId="77777777" w:rsidTr="00F222DB">
        <w:trPr>
          <w:trHeight w:val="57"/>
        </w:trPr>
        <w:tc>
          <w:tcPr>
            <w:tcW w:w="2875" w:type="dxa"/>
            <w:shd w:val="clear" w:color="auto" w:fill="auto"/>
          </w:tcPr>
          <w:p w14:paraId="324F927C" w14:textId="27DDA904" w:rsidR="00FF2BBE" w:rsidRPr="00F222DB" w:rsidRDefault="00FF2BBE" w:rsidP="00FF2BBE">
            <w:pPr>
              <w:autoSpaceDE w:val="0"/>
              <w:autoSpaceDN w:val="0"/>
              <w:adjustRightInd w:val="0"/>
              <w:spacing w:line="300" w:lineRule="atLeast"/>
              <w:rPr>
                <w:rFonts w:eastAsia="SimSun"/>
                <w:color w:val="auto"/>
                <w:sz w:val="22"/>
                <w:szCs w:val="22"/>
              </w:rPr>
            </w:pPr>
            <w:r w:rsidRPr="00F222DB">
              <w:rPr>
                <w:sz w:val="22"/>
                <w:szCs w:val="22"/>
              </w:rPr>
              <w:t>Difference in CMH weighted % (95% CI)</w:t>
            </w:r>
          </w:p>
        </w:tc>
        <w:tc>
          <w:tcPr>
            <w:tcW w:w="1620" w:type="dxa"/>
            <w:shd w:val="clear" w:color="auto" w:fill="auto"/>
          </w:tcPr>
          <w:p w14:paraId="24BF384E" w14:textId="77777777" w:rsidR="00FF2BBE" w:rsidRPr="00F222DB" w:rsidRDefault="00FF2BBE" w:rsidP="00FF2BBE">
            <w:pPr>
              <w:spacing w:line="300" w:lineRule="atLeast"/>
              <w:jc w:val="center"/>
              <w:rPr>
                <w:rFonts w:eastAsia="SimSun"/>
                <w:color w:val="auto"/>
                <w:sz w:val="22"/>
                <w:szCs w:val="22"/>
              </w:rPr>
            </w:pPr>
            <w:r w:rsidRPr="00F222DB">
              <w:rPr>
                <w:rFonts w:eastAsia="SimSun"/>
                <w:color w:val="auto"/>
                <w:sz w:val="22"/>
                <w:szCs w:val="22"/>
              </w:rPr>
              <w:t>1.3%</w:t>
            </w:r>
          </w:p>
          <w:p w14:paraId="31B37CA2" w14:textId="56DFE193" w:rsidR="00FF2BBE" w:rsidRPr="00F222DB" w:rsidRDefault="00FF2BBE" w:rsidP="00FF2BBE">
            <w:pPr>
              <w:spacing w:line="300" w:lineRule="atLeast"/>
              <w:jc w:val="center"/>
              <w:rPr>
                <w:rFonts w:eastAsia="SimSun"/>
                <w:color w:val="auto"/>
                <w:sz w:val="22"/>
                <w:szCs w:val="22"/>
              </w:rPr>
            </w:pPr>
            <w:r w:rsidRPr="00F222DB">
              <w:rPr>
                <w:rFonts w:eastAsia="SimSun"/>
                <w:color w:val="auto"/>
                <w:sz w:val="22"/>
                <w:szCs w:val="22"/>
              </w:rPr>
              <w:t>(-2.2%, 4.8%)</w:t>
            </w:r>
          </w:p>
        </w:tc>
        <w:tc>
          <w:tcPr>
            <w:tcW w:w="1710" w:type="dxa"/>
            <w:shd w:val="clear" w:color="auto" w:fill="auto"/>
          </w:tcPr>
          <w:p w14:paraId="4DC127AB" w14:textId="77777777" w:rsidR="00FF2BBE" w:rsidRPr="00F222DB" w:rsidRDefault="00FF2BBE" w:rsidP="00FF2BBE">
            <w:pPr>
              <w:spacing w:line="300" w:lineRule="atLeast"/>
              <w:jc w:val="center"/>
              <w:rPr>
                <w:rFonts w:eastAsia="SimSun"/>
                <w:color w:val="auto"/>
                <w:sz w:val="22"/>
                <w:szCs w:val="22"/>
              </w:rPr>
            </w:pPr>
          </w:p>
        </w:tc>
        <w:tc>
          <w:tcPr>
            <w:tcW w:w="1620" w:type="dxa"/>
          </w:tcPr>
          <w:p w14:paraId="0AF6C661" w14:textId="77777777" w:rsidR="00F222DB"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-1.5%</w:t>
            </w:r>
          </w:p>
          <w:p w14:paraId="061BBCA4" w14:textId="38252DDD" w:rsidR="00FF2BBE" w:rsidRPr="00F222DB" w:rsidRDefault="00F222DB" w:rsidP="00F222DB">
            <w:pPr>
              <w:autoSpaceDE w:val="0"/>
              <w:autoSpaceDN w:val="0"/>
              <w:adjustRightInd w:val="0"/>
              <w:jc w:val="center"/>
              <w:rPr>
                <w:rFonts w:eastAsia="SimSun"/>
                <w:color w:val="auto"/>
                <w:sz w:val="22"/>
                <w:szCs w:val="22"/>
              </w:rPr>
            </w:pPr>
            <w:r w:rsidRPr="00F222DB">
              <w:rPr>
                <w:rFonts w:eastAsia="SimSun"/>
                <w:color w:val="auto"/>
                <w:sz w:val="22"/>
                <w:szCs w:val="22"/>
              </w:rPr>
              <w:t>(-4.4%, 1.3%)</w:t>
            </w:r>
          </w:p>
        </w:tc>
        <w:tc>
          <w:tcPr>
            <w:tcW w:w="1620" w:type="dxa"/>
            <w:shd w:val="clear" w:color="auto" w:fill="auto"/>
          </w:tcPr>
          <w:p w14:paraId="71209A2B" w14:textId="77777777" w:rsidR="00FF2BBE" w:rsidRPr="00F222DB" w:rsidRDefault="00FF2BBE" w:rsidP="00FF2BBE">
            <w:pPr>
              <w:autoSpaceDE w:val="0"/>
              <w:autoSpaceDN w:val="0"/>
              <w:adjustRightInd w:val="0"/>
              <w:jc w:val="center"/>
              <w:rPr>
                <w:rFonts w:eastAsia="SimSun"/>
                <w:color w:val="auto"/>
                <w:sz w:val="22"/>
                <w:szCs w:val="22"/>
              </w:rPr>
            </w:pPr>
          </w:p>
        </w:tc>
      </w:tr>
    </w:tbl>
    <w:p w14:paraId="05119ECE" w14:textId="77777777" w:rsidR="00F222DB" w:rsidRPr="00F222DB" w:rsidRDefault="00F222DB" w:rsidP="00F222DB">
      <w:pPr>
        <w:pStyle w:val="SynopsisText"/>
        <w:spacing w:after="0"/>
        <w:rPr>
          <w:sz w:val="22"/>
          <w:szCs w:val="22"/>
          <w:lang w:val="en-AU" w:eastAsia="en-AU"/>
        </w:rPr>
      </w:pPr>
      <w:proofErr w:type="spellStart"/>
      <w:r w:rsidRPr="00F222DB">
        <w:rPr>
          <w:sz w:val="22"/>
          <w:szCs w:val="22"/>
          <w:vertAlign w:val="superscript"/>
          <w:lang w:val="en-AU" w:eastAsia="en-AU"/>
        </w:rPr>
        <w:t>a</w:t>
      </w:r>
      <w:r w:rsidRPr="00F222DB">
        <w:rPr>
          <w:sz w:val="22"/>
          <w:szCs w:val="22"/>
          <w:lang w:val="en-AU" w:eastAsia="en-AU"/>
        </w:rPr>
        <w:t>Average</w:t>
      </w:r>
      <w:proofErr w:type="spellEnd"/>
      <w:r w:rsidRPr="00F222DB">
        <w:rPr>
          <w:sz w:val="22"/>
          <w:szCs w:val="22"/>
          <w:lang w:val="en-AU" w:eastAsia="en-AU"/>
        </w:rPr>
        <w:t xml:space="preserve"> of weeks 40, 44 and 48</w:t>
      </w:r>
    </w:p>
    <w:p w14:paraId="100607FA" w14:textId="247FD37B" w:rsidR="00F222DB" w:rsidRPr="00F222DB" w:rsidRDefault="00B063F6" w:rsidP="00F222DB">
      <w:pPr>
        <w:pStyle w:val="SynopsisText"/>
        <w:spacing w:after="0"/>
        <w:rPr>
          <w:sz w:val="22"/>
          <w:szCs w:val="22"/>
          <w:lang w:val="en-AU" w:eastAsia="en-AU"/>
        </w:rPr>
      </w:pPr>
      <w:r>
        <w:rPr>
          <w:sz w:val="22"/>
          <w:szCs w:val="22"/>
          <w:lang w:val="en-AU" w:eastAsia="en-AU"/>
        </w:rPr>
        <w:t>BCVA</w:t>
      </w:r>
      <w:r w:rsidR="00F222DB" w:rsidRPr="00F222DB">
        <w:rPr>
          <w:sz w:val="22"/>
          <w:szCs w:val="22"/>
          <w:lang w:val="en-AU" w:eastAsia="en-AU"/>
        </w:rPr>
        <w:t xml:space="preserve">: Best Corrected Visual Acuity </w:t>
      </w:r>
    </w:p>
    <w:p w14:paraId="526CABB4"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 xml:space="preserve">ETDRS: Early Treatment Diabetic Retinopathy Study </w:t>
      </w:r>
    </w:p>
    <w:p w14:paraId="2E0406D6"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CI: Confidence Interval</w:t>
      </w:r>
    </w:p>
    <w:p w14:paraId="6B870F8A"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LS: Least Square</w:t>
      </w:r>
    </w:p>
    <w:p w14:paraId="24243C0B" w14:textId="04B6C41B" w:rsidR="00B65D51" w:rsidRDefault="00F222DB" w:rsidP="00E00D93">
      <w:pPr>
        <w:pStyle w:val="SynopsisText"/>
        <w:spacing w:after="240" w:line="240" w:lineRule="auto"/>
        <w:ind w:left="86"/>
        <w:rPr>
          <w:sz w:val="22"/>
          <w:szCs w:val="22"/>
          <w:lang w:val="en-AU" w:eastAsia="en-AU"/>
        </w:rPr>
      </w:pPr>
      <w:r w:rsidRPr="00F222DB">
        <w:rPr>
          <w:sz w:val="22"/>
          <w:szCs w:val="22"/>
          <w:lang w:val="en-AU" w:eastAsia="en-AU"/>
        </w:rPr>
        <w:t xml:space="preserve">CMH: Cochran–Mantel–Haenszel method; a statistical test that generates an estimate of an association with a binary outcome and is used for assessment </w:t>
      </w:r>
      <w:r w:rsidRPr="006A7913">
        <w:t>of categorical</w:t>
      </w:r>
      <w:r w:rsidRPr="00F222DB">
        <w:rPr>
          <w:sz w:val="22"/>
          <w:szCs w:val="22"/>
          <w:lang w:val="en-AU" w:eastAsia="en-AU"/>
        </w:rPr>
        <w:t xml:space="preserve"> variables.</w:t>
      </w:r>
    </w:p>
    <w:p w14:paraId="1D2027DF" w14:textId="46580019" w:rsidR="00B65D51" w:rsidRPr="006A7913" w:rsidRDefault="00B65D51" w:rsidP="006A7913">
      <w:pPr>
        <w:keepNext/>
        <w:tabs>
          <w:tab w:val="left" w:pos="1170"/>
        </w:tabs>
        <w:spacing w:after="120"/>
        <w:ind w:left="1170" w:right="630" w:hanging="1170"/>
        <w:rPr>
          <w:b/>
          <w:bCs/>
          <w:color w:val="auto"/>
        </w:rPr>
      </w:pPr>
      <w:r w:rsidRPr="006A7913">
        <w:rPr>
          <w:b/>
          <w:bCs/>
          <w:color w:val="auto"/>
        </w:rPr>
        <w:lastRenderedPageBreak/>
        <w:t>Figure 1</w:t>
      </w:r>
      <w:r w:rsidR="006A7913">
        <w:rPr>
          <w:b/>
          <w:bCs/>
          <w:color w:val="auto"/>
        </w:rPr>
        <w:tab/>
      </w:r>
      <w:r w:rsidR="00F222DB" w:rsidRPr="006A7913">
        <w:rPr>
          <w:b/>
          <w:bCs/>
          <w:color w:val="auto"/>
        </w:rPr>
        <w:t>Mean change in visual acuity from baseline to week 48 in TENAYA</w:t>
      </w:r>
    </w:p>
    <w:p w14:paraId="75A6607D" w14:textId="0A4AEB15" w:rsidR="00B65D51" w:rsidRPr="006A7913" w:rsidRDefault="00373C27" w:rsidP="006A7913">
      <w:r w:rsidRPr="006A7913">
        <w:rPr>
          <w:noProof/>
        </w:rPr>
        <w:drawing>
          <wp:inline distT="0" distB="0" distL="0" distR="0" wp14:anchorId="77293807" wp14:editId="3092179F">
            <wp:extent cx="4451230" cy="2967486"/>
            <wp:effectExtent l="0" t="0" r="698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779936" name="GR40306_bcva_mmrm_w48.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84427" cy="2989617"/>
                    </a:xfrm>
                    <a:prstGeom prst="rect">
                      <a:avLst/>
                    </a:prstGeom>
                  </pic:spPr>
                </pic:pic>
              </a:graphicData>
            </a:graphic>
          </wp:inline>
        </w:drawing>
      </w:r>
    </w:p>
    <w:p w14:paraId="0E49355A" w14:textId="30EAF485" w:rsidR="00F222DB" w:rsidRPr="00192E5A" w:rsidRDefault="00F222DB" w:rsidP="006A7913">
      <w:pPr>
        <w:keepNext/>
        <w:tabs>
          <w:tab w:val="left" w:pos="1080"/>
        </w:tabs>
        <w:spacing w:after="120"/>
        <w:ind w:left="1080" w:right="630" w:hanging="1080"/>
        <w:rPr>
          <w:rStyle w:val="CommentReference"/>
          <w:color w:val="auto"/>
          <w:sz w:val="24"/>
          <w:szCs w:val="24"/>
        </w:rPr>
      </w:pPr>
      <w:r w:rsidRPr="00192E5A">
        <w:rPr>
          <w:b/>
          <w:bCs/>
          <w:color w:val="auto"/>
        </w:rPr>
        <w:t xml:space="preserve">Figure </w:t>
      </w:r>
      <w:r>
        <w:rPr>
          <w:b/>
          <w:bCs/>
          <w:color w:val="auto"/>
        </w:rPr>
        <w:t>2</w:t>
      </w:r>
      <w:r w:rsidRPr="00192E5A">
        <w:rPr>
          <w:color w:val="auto"/>
        </w:rPr>
        <w:tab/>
      </w:r>
      <w:r w:rsidRPr="00F222DB">
        <w:rPr>
          <w:b/>
          <w:color w:val="auto"/>
        </w:rPr>
        <w:t>Mean change in visual acuity from baseline to week 48 in LUCERNE</w:t>
      </w:r>
    </w:p>
    <w:p w14:paraId="2356B9A4" w14:textId="0EF34CF2" w:rsidR="00F222DB" w:rsidRDefault="00373C27" w:rsidP="00B65D51">
      <w:pPr>
        <w:keepNext/>
        <w:spacing w:line="300" w:lineRule="atLeast"/>
        <w:rPr>
          <w:color w:val="auto"/>
          <w:sz w:val="16"/>
          <w:szCs w:val="16"/>
        </w:rPr>
      </w:pPr>
      <w:r>
        <w:rPr>
          <w:rFonts w:cs="Arial"/>
          <w:bCs/>
          <w:iCs/>
          <w:noProof/>
          <w:sz w:val="22"/>
          <w:szCs w:val="22"/>
          <w:lang w:val="en-AU" w:eastAsia="zh-CN"/>
        </w:rPr>
        <w:drawing>
          <wp:inline distT="0" distB="0" distL="0" distR="0" wp14:anchorId="26DBA693" wp14:editId="539213E4">
            <wp:extent cx="5538651" cy="3692434"/>
            <wp:effectExtent l="0" t="0" r="508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999503" name="GR40844_bcva_mmrm_w48.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60328" cy="3706885"/>
                    </a:xfrm>
                    <a:prstGeom prst="rect">
                      <a:avLst/>
                    </a:prstGeom>
                  </pic:spPr>
                </pic:pic>
              </a:graphicData>
            </a:graphic>
          </wp:inline>
        </w:drawing>
      </w:r>
    </w:p>
    <w:p w14:paraId="03D0F17B" w14:textId="6625AB30" w:rsidR="00F222DB" w:rsidRPr="00F222DB" w:rsidRDefault="00F222DB" w:rsidP="00F222DB">
      <w:pPr>
        <w:pStyle w:val="Paragraph"/>
        <w:spacing w:after="120"/>
        <w:rPr>
          <w:sz w:val="24"/>
        </w:rPr>
      </w:pPr>
      <w:r w:rsidRPr="00F222DB">
        <w:rPr>
          <w:sz w:val="24"/>
        </w:rPr>
        <w:t>In both TENAYA and LUCERNE, improvements from baseline</w:t>
      </w:r>
      <w:r w:rsidR="002418EA">
        <w:rPr>
          <w:sz w:val="24"/>
        </w:rPr>
        <w:t xml:space="preserve"> in</w:t>
      </w:r>
      <w:r w:rsidRPr="00F222DB">
        <w:rPr>
          <w:sz w:val="24"/>
        </w:rPr>
        <w:t xml:space="preserve"> BCVA and CST at week 60 were comparable across the two treatment arms and consistent with those seen at week 48.</w:t>
      </w:r>
    </w:p>
    <w:p w14:paraId="01CCA832" w14:textId="77777777" w:rsidR="00F222DB" w:rsidRPr="00F222DB" w:rsidRDefault="00F222DB" w:rsidP="00F222DB">
      <w:pPr>
        <w:pStyle w:val="Paragraph"/>
        <w:spacing w:after="120"/>
        <w:rPr>
          <w:sz w:val="24"/>
        </w:rPr>
      </w:pPr>
      <w:r w:rsidRPr="00F222DB">
        <w:rPr>
          <w:sz w:val="24"/>
        </w:rPr>
        <w:lastRenderedPageBreak/>
        <w:t>Efficacy results in all evaluable subgroups (</w:t>
      </w:r>
      <w:proofErr w:type="gramStart"/>
      <w:r w:rsidRPr="00F222DB">
        <w:rPr>
          <w:sz w:val="24"/>
        </w:rPr>
        <w:t>e.g.</w:t>
      </w:r>
      <w:proofErr w:type="gramEnd"/>
      <w:r w:rsidRPr="00F222DB">
        <w:rPr>
          <w:sz w:val="24"/>
        </w:rPr>
        <w:t xml:space="preserve"> age, gender, race, baseline visual acuity, lesion type, lesion size) in each study, and in the pooled analysis, were consistent with the results in the overall populations.</w:t>
      </w:r>
    </w:p>
    <w:p w14:paraId="7B7E4D1F" w14:textId="0C28B95E" w:rsidR="00F222DB" w:rsidRDefault="00F222DB" w:rsidP="00F222DB">
      <w:pPr>
        <w:pStyle w:val="Paragraph"/>
        <w:spacing w:after="120"/>
        <w:rPr>
          <w:sz w:val="24"/>
        </w:rPr>
      </w:pPr>
      <w:r w:rsidRPr="00F222DB">
        <w:rPr>
          <w:sz w:val="24"/>
        </w:rPr>
        <w:t xml:space="preserve">In both studies, </w:t>
      </w:r>
      <w:proofErr w:type="spellStart"/>
      <w:r w:rsidRPr="00F222DB">
        <w:rPr>
          <w:sz w:val="24"/>
        </w:rPr>
        <w:t>V</w:t>
      </w:r>
      <w:r w:rsidR="00E00D93" w:rsidRPr="00F222DB">
        <w:rPr>
          <w:sz w:val="24"/>
        </w:rPr>
        <w:t>abysmo</w:t>
      </w:r>
      <w:proofErr w:type="spellEnd"/>
      <w:r w:rsidRPr="00F222DB">
        <w:rPr>
          <w:sz w:val="24"/>
        </w:rPr>
        <w:t xml:space="preserve"> up to Q16W demonstrated clinically meaningful improvements from baseline to week 48 in the National Eye Institute Visual Function Questionnaire (NEI VFQ</w:t>
      </w:r>
      <w:r w:rsidR="002418EA">
        <w:rPr>
          <w:sz w:val="24"/>
        </w:rPr>
        <w:t xml:space="preserve"> -25</w:t>
      </w:r>
      <w:r w:rsidRPr="00F222DB">
        <w:rPr>
          <w:sz w:val="24"/>
        </w:rPr>
        <w:t xml:space="preserve">) composite score that was comparable to aflibercept Q8W. Patients in </w:t>
      </w:r>
      <w:proofErr w:type="spellStart"/>
      <w:r w:rsidRPr="00F222DB">
        <w:rPr>
          <w:sz w:val="24"/>
        </w:rPr>
        <w:t>V</w:t>
      </w:r>
      <w:r w:rsidR="00E00D93" w:rsidRPr="00F222DB">
        <w:rPr>
          <w:sz w:val="24"/>
        </w:rPr>
        <w:t>abysmo</w:t>
      </w:r>
      <w:proofErr w:type="spellEnd"/>
      <w:r w:rsidRPr="00F222DB">
        <w:rPr>
          <w:sz w:val="24"/>
        </w:rPr>
        <w:t xml:space="preserve"> arms in TENAYA and LUCERNE achieved a ≥ </w:t>
      </w:r>
      <w:proofErr w:type="gramStart"/>
      <w:r w:rsidRPr="00F222DB">
        <w:rPr>
          <w:sz w:val="24"/>
        </w:rPr>
        <w:t>4 point</w:t>
      </w:r>
      <w:proofErr w:type="gramEnd"/>
      <w:r w:rsidRPr="00F222DB">
        <w:rPr>
          <w:sz w:val="24"/>
        </w:rPr>
        <w:t xml:space="preserve"> improvement from baseline in the NEI VFQ -25 composite score at week 48.</w:t>
      </w:r>
    </w:p>
    <w:p w14:paraId="24FC788A" w14:textId="115C03A6" w:rsidR="00F222DB" w:rsidRPr="00F222DB" w:rsidRDefault="00F222DB" w:rsidP="00F222DB">
      <w:pPr>
        <w:pStyle w:val="Heading4"/>
      </w:pPr>
      <w:r w:rsidRPr="00F222DB">
        <w:t>Treatment of DM</w:t>
      </w:r>
      <w:r w:rsidR="00186B1A">
        <w:t>O</w:t>
      </w:r>
    </w:p>
    <w:p w14:paraId="04A8FDCF" w14:textId="2FF9ED0C" w:rsidR="00F222DB" w:rsidRPr="00F222DB" w:rsidRDefault="00F222DB" w:rsidP="003E4887">
      <w:pPr>
        <w:pStyle w:val="Paragraph"/>
        <w:spacing w:after="60"/>
        <w:rPr>
          <w:sz w:val="24"/>
        </w:rPr>
      </w:pPr>
      <w:r w:rsidRPr="00F222DB">
        <w:rPr>
          <w:sz w:val="24"/>
        </w:rPr>
        <w:t xml:space="preserve">The safety and efficacy of </w:t>
      </w:r>
      <w:proofErr w:type="spellStart"/>
      <w:r w:rsidRPr="00F222DB">
        <w:rPr>
          <w:sz w:val="24"/>
        </w:rPr>
        <w:t>V</w:t>
      </w:r>
      <w:r w:rsidR="00E00D93" w:rsidRPr="00F222DB">
        <w:rPr>
          <w:sz w:val="24"/>
        </w:rPr>
        <w:t>abysmo</w:t>
      </w:r>
      <w:proofErr w:type="spellEnd"/>
      <w:r w:rsidR="00E00D93">
        <w:rPr>
          <w:sz w:val="24"/>
        </w:rPr>
        <w:t xml:space="preserve"> were assessed in two </w:t>
      </w:r>
      <w:proofErr w:type="spellStart"/>
      <w:r w:rsidR="00E00D93">
        <w:rPr>
          <w:sz w:val="24"/>
        </w:rPr>
        <w:t>randomis</w:t>
      </w:r>
      <w:r w:rsidRPr="00F222DB">
        <w:rPr>
          <w:sz w:val="24"/>
        </w:rPr>
        <w:t>ed</w:t>
      </w:r>
      <w:proofErr w:type="spellEnd"/>
      <w:r w:rsidRPr="00F222DB">
        <w:rPr>
          <w:sz w:val="24"/>
        </w:rPr>
        <w:t>, multi-</w:t>
      </w:r>
      <w:proofErr w:type="spellStart"/>
      <w:r w:rsidRPr="00F222DB">
        <w:rPr>
          <w:sz w:val="24"/>
        </w:rPr>
        <w:t>centre</w:t>
      </w:r>
      <w:proofErr w:type="spellEnd"/>
      <w:r w:rsidRPr="00F222DB">
        <w:rPr>
          <w:sz w:val="24"/>
        </w:rPr>
        <w:t>, double-masked, active comparator-controlled 2-year studies (YOSEMITE and RHINE) in patients with DM</w:t>
      </w:r>
      <w:r w:rsidR="00186B1A">
        <w:rPr>
          <w:sz w:val="24"/>
        </w:rPr>
        <w:t>O</w:t>
      </w:r>
      <w:r w:rsidRPr="00F222DB">
        <w:rPr>
          <w:sz w:val="24"/>
        </w:rPr>
        <w:t xml:space="preserve">. A total of 1,891 patients were enrolled in the two studies </w:t>
      </w:r>
      <w:r w:rsidR="002418EA" w:rsidRPr="002418EA">
        <w:rPr>
          <w:sz w:val="24"/>
        </w:rPr>
        <w:t xml:space="preserve">with 1622 (85.8%) patients completing the studies through week 100. A total of 1,887 were treated with at least one dose through week 56 (1,262 with </w:t>
      </w:r>
      <w:proofErr w:type="spellStart"/>
      <w:r w:rsidR="002418EA" w:rsidRPr="002418EA">
        <w:rPr>
          <w:sz w:val="24"/>
        </w:rPr>
        <w:t>Vabysmo</w:t>
      </w:r>
      <w:proofErr w:type="spellEnd"/>
      <w:r w:rsidR="002418EA" w:rsidRPr="002418EA">
        <w:rPr>
          <w:sz w:val="24"/>
        </w:rPr>
        <w:t>)</w:t>
      </w:r>
      <w:r w:rsidRPr="00F222DB">
        <w:rPr>
          <w:sz w:val="24"/>
        </w:rPr>
        <w:t>. Patient ages ranged from 24 to 91 with a mean of 62.2 years. The overall population included both anti</w:t>
      </w:r>
      <w:r w:rsidR="003E4887">
        <w:rPr>
          <w:sz w:val="24"/>
        </w:rPr>
        <w:t xml:space="preserve">-VEGF naive patients (78%) and </w:t>
      </w:r>
      <w:r w:rsidRPr="00F222DB">
        <w:rPr>
          <w:sz w:val="24"/>
        </w:rPr>
        <w:t xml:space="preserve">patients who had been previously treated with a VEGF inhibitor prior to study participation (22%). In both studies, patients were </w:t>
      </w:r>
      <w:proofErr w:type="spellStart"/>
      <w:r w:rsidRPr="00F222DB">
        <w:rPr>
          <w:sz w:val="24"/>
        </w:rPr>
        <w:t>randomi</w:t>
      </w:r>
      <w:r w:rsidR="00E00D93">
        <w:rPr>
          <w:sz w:val="24"/>
        </w:rPr>
        <w:t>s</w:t>
      </w:r>
      <w:r w:rsidRPr="00F222DB">
        <w:rPr>
          <w:sz w:val="24"/>
        </w:rPr>
        <w:t>ed</w:t>
      </w:r>
      <w:proofErr w:type="spellEnd"/>
      <w:r w:rsidRPr="00F222DB">
        <w:rPr>
          <w:sz w:val="24"/>
        </w:rPr>
        <w:t xml:space="preserve"> in a 1:1:1 ratio to one of the three treatment regimens:</w:t>
      </w:r>
    </w:p>
    <w:p w14:paraId="621DA01A" w14:textId="2B09F0F1" w:rsidR="00F222DB" w:rsidRPr="00F222DB" w:rsidRDefault="00F222DB" w:rsidP="003E4887">
      <w:pPr>
        <w:pStyle w:val="Paragraph"/>
        <w:numPr>
          <w:ilvl w:val="0"/>
          <w:numId w:val="8"/>
        </w:numPr>
        <w:spacing w:after="60"/>
        <w:rPr>
          <w:sz w:val="24"/>
        </w:rPr>
      </w:pPr>
      <w:proofErr w:type="spellStart"/>
      <w:r w:rsidRPr="00F222DB">
        <w:rPr>
          <w:sz w:val="24"/>
        </w:rPr>
        <w:t>V</w:t>
      </w:r>
      <w:r w:rsidR="00E00D93" w:rsidRPr="00F222DB">
        <w:rPr>
          <w:sz w:val="24"/>
        </w:rPr>
        <w:t>abysmo</w:t>
      </w:r>
      <w:proofErr w:type="spellEnd"/>
      <w:r w:rsidRPr="00F222DB">
        <w:rPr>
          <w:sz w:val="24"/>
        </w:rPr>
        <w:t xml:space="preserve"> 6 mg Q8W after the first 6 monthly doses.</w:t>
      </w:r>
    </w:p>
    <w:p w14:paraId="2593DE3D" w14:textId="47FCA577" w:rsidR="00F222DB" w:rsidRPr="00F222DB" w:rsidRDefault="00F222DB" w:rsidP="003E4887">
      <w:pPr>
        <w:pStyle w:val="Paragraph"/>
        <w:numPr>
          <w:ilvl w:val="0"/>
          <w:numId w:val="8"/>
        </w:numPr>
        <w:spacing w:after="60"/>
        <w:rPr>
          <w:sz w:val="24"/>
        </w:rPr>
      </w:pPr>
      <w:proofErr w:type="spellStart"/>
      <w:r w:rsidRPr="00F222DB">
        <w:rPr>
          <w:sz w:val="24"/>
        </w:rPr>
        <w:t>V</w:t>
      </w:r>
      <w:r w:rsidR="00E00D93" w:rsidRPr="00F222DB">
        <w:rPr>
          <w:sz w:val="24"/>
        </w:rPr>
        <w:t>abysmo</w:t>
      </w:r>
      <w:proofErr w:type="spellEnd"/>
      <w:r w:rsidRPr="00F222DB">
        <w:rPr>
          <w:sz w:val="24"/>
        </w:rPr>
        <w:t xml:space="preserve"> 6 mg up to Q16W adjustable dosing administered in </w:t>
      </w:r>
      <w:proofErr w:type="gramStart"/>
      <w:r w:rsidRPr="00F222DB">
        <w:rPr>
          <w:sz w:val="24"/>
        </w:rPr>
        <w:t>4, 8, 12 or 16 week</w:t>
      </w:r>
      <w:proofErr w:type="gramEnd"/>
      <w:r w:rsidRPr="00F222DB">
        <w:rPr>
          <w:sz w:val="24"/>
        </w:rPr>
        <w:t xml:space="preserve"> intervals after the first 4 monthly doses.</w:t>
      </w:r>
    </w:p>
    <w:p w14:paraId="34C18701" w14:textId="39306271" w:rsidR="00F222DB" w:rsidRPr="00F222DB" w:rsidRDefault="00F222DB" w:rsidP="00F222DB">
      <w:pPr>
        <w:pStyle w:val="Paragraph"/>
        <w:numPr>
          <w:ilvl w:val="0"/>
          <w:numId w:val="8"/>
        </w:numPr>
        <w:spacing w:after="120"/>
        <w:rPr>
          <w:sz w:val="24"/>
        </w:rPr>
      </w:pPr>
      <w:r w:rsidRPr="00F222DB">
        <w:rPr>
          <w:sz w:val="24"/>
        </w:rPr>
        <w:t>Aflibercept 2 mg Q8W after the first 5 monthly doses.</w:t>
      </w:r>
    </w:p>
    <w:p w14:paraId="7F64F7B8" w14:textId="56FFDC64" w:rsidR="00F222DB" w:rsidRPr="00F222DB" w:rsidRDefault="00F222DB" w:rsidP="00F222DB">
      <w:pPr>
        <w:pStyle w:val="Paragraph"/>
        <w:spacing w:after="120"/>
        <w:rPr>
          <w:sz w:val="24"/>
        </w:rPr>
      </w:pPr>
      <w:r w:rsidRPr="00F222DB">
        <w:rPr>
          <w:sz w:val="24"/>
        </w:rPr>
        <w:t xml:space="preserve">In the Q16W adjustable dosing arm, the dosing </w:t>
      </w:r>
      <w:r w:rsidR="002418EA">
        <w:rPr>
          <w:sz w:val="24"/>
        </w:rPr>
        <w:t xml:space="preserve">followed a </w:t>
      </w:r>
      <w:proofErr w:type="spellStart"/>
      <w:r w:rsidR="002418EA">
        <w:rPr>
          <w:sz w:val="24"/>
        </w:rPr>
        <w:t>standardis</w:t>
      </w:r>
      <w:r w:rsidR="002418EA" w:rsidRPr="002418EA">
        <w:rPr>
          <w:sz w:val="24"/>
        </w:rPr>
        <w:t>ed</w:t>
      </w:r>
      <w:proofErr w:type="spellEnd"/>
      <w:r w:rsidR="002418EA" w:rsidRPr="002418EA">
        <w:rPr>
          <w:sz w:val="24"/>
        </w:rPr>
        <w:t xml:space="preserve"> treat-and-extend approach. The </w:t>
      </w:r>
      <w:r w:rsidRPr="00F222DB">
        <w:rPr>
          <w:sz w:val="24"/>
        </w:rPr>
        <w:t xml:space="preserve">interval could be increased in 4-week increments or decreased in 4- or 8-week increments based on </w:t>
      </w:r>
      <w:r w:rsidR="002418EA">
        <w:rPr>
          <w:sz w:val="24"/>
        </w:rPr>
        <w:t>anatomic and/or</w:t>
      </w:r>
      <w:r w:rsidRPr="00F222DB">
        <w:rPr>
          <w:sz w:val="24"/>
        </w:rPr>
        <w:t xml:space="preserve"> visual </w:t>
      </w:r>
      <w:r w:rsidR="00B85134" w:rsidRPr="00B85134">
        <w:rPr>
          <w:sz w:val="24"/>
        </w:rPr>
        <w:t xml:space="preserve">outcomes, using data obtained only at study drug dosing visits. </w:t>
      </w:r>
    </w:p>
    <w:p w14:paraId="5F803D30" w14:textId="17E8AADB" w:rsidR="00F222DB" w:rsidRPr="00F222DB" w:rsidRDefault="00F222DB" w:rsidP="00F222DB">
      <w:pPr>
        <w:pStyle w:val="Paragraph"/>
        <w:spacing w:after="120"/>
        <w:rPr>
          <w:sz w:val="24"/>
        </w:rPr>
      </w:pPr>
      <w:r w:rsidRPr="00F222DB">
        <w:rPr>
          <w:sz w:val="24"/>
        </w:rPr>
        <w:t xml:space="preserve">Both studies demonstrated efficacy in the primary endpoint, defined as the change from baseline in BCVA at year 1 (average of the week 48, 52, and 56 visits) measured by the ETDRS Letter Score. In both studies, </w:t>
      </w:r>
      <w:proofErr w:type="spellStart"/>
      <w:r w:rsidRPr="00F222DB">
        <w:rPr>
          <w:sz w:val="24"/>
        </w:rPr>
        <w:t>V</w:t>
      </w:r>
      <w:r w:rsidR="00E00D93" w:rsidRPr="00F222DB">
        <w:rPr>
          <w:sz w:val="24"/>
        </w:rPr>
        <w:t>abysmo</w:t>
      </w:r>
      <w:proofErr w:type="spellEnd"/>
      <w:r w:rsidRPr="00F222DB">
        <w:rPr>
          <w:sz w:val="24"/>
        </w:rPr>
        <w:t xml:space="preserve"> up to Q16W treated patients had a comparable mean change from baseline in BCVA, as the patients treated with aflibercept Q8W</w:t>
      </w:r>
      <w:r w:rsidR="00E218C1">
        <w:rPr>
          <w:sz w:val="24"/>
        </w:rPr>
        <w:t xml:space="preserve"> </w:t>
      </w:r>
      <w:r w:rsidR="00E218C1" w:rsidRPr="00E218C1">
        <w:rPr>
          <w:sz w:val="24"/>
        </w:rPr>
        <w:t>at year 1, and these vision gains were maintained through year 2</w:t>
      </w:r>
      <w:r w:rsidRPr="00F222DB">
        <w:rPr>
          <w:sz w:val="24"/>
        </w:rPr>
        <w:t>. Detailed results of both studies are shown in Table 3, Figure 3, and Figure 4 below.</w:t>
      </w:r>
    </w:p>
    <w:p w14:paraId="7CC59E9C" w14:textId="5E970954" w:rsidR="00F222DB" w:rsidRDefault="00B063F6" w:rsidP="00F222DB">
      <w:pPr>
        <w:pStyle w:val="Paragraph"/>
        <w:spacing w:after="120"/>
        <w:rPr>
          <w:sz w:val="24"/>
        </w:rPr>
      </w:pPr>
      <w:r w:rsidRPr="00A013D9">
        <w:rPr>
          <w:sz w:val="24"/>
        </w:rPr>
        <w:t xml:space="preserve">After 4 initial monthly doses, the patients in the VABYSMO up to Q16W adjustable dosing arm could have received between the minimum of 6 and the maximum of 21 total injections through week 96. </w:t>
      </w:r>
      <w:r w:rsidR="00F222DB" w:rsidRPr="00F222DB">
        <w:rPr>
          <w:sz w:val="24"/>
        </w:rPr>
        <w:t xml:space="preserve">At week 52, 74% and 71% of patients in the </w:t>
      </w:r>
      <w:proofErr w:type="spellStart"/>
      <w:r w:rsidR="00F222DB" w:rsidRPr="00F222DB">
        <w:rPr>
          <w:sz w:val="24"/>
        </w:rPr>
        <w:t>V</w:t>
      </w:r>
      <w:r w:rsidR="00E00D93" w:rsidRPr="00F222DB">
        <w:rPr>
          <w:sz w:val="24"/>
        </w:rPr>
        <w:t>abysmo</w:t>
      </w:r>
      <w:proofErr w:type="spellEnd"/>
      <w:r w:rsidR="00F222DB" w:rsidRPr="00F222DB">
        <w:rPr>
          <w:sz w:val="24"/>
        </w:rPr>
        <w:t xml:space="preserve"> up to Q16W adjustable dosing arm achieved a Q16W </w:t>
      </w:r>
      <w:r>
        <w:rPr>
          <w:sz w:val="24"/>
        </w:rPr>
        <w:t xml:space="preserve">or Q12W </w:t>
      </w:r>
      <w:r w:rsidR="00F222DB" w:rsidRPr="00F222DB">
        <w:rPr>
          <w:sz w:val="24"/>
        </w:rPr>
        <w:t>dosing interval in YOSEMITE and RHINE, respectively (53% and 51% on Q16W, 21% and 20% on Q12W).</w:t>
      </w:r>
      <w:r w:rsidR="00E218C1">
        <w:rPr>
          <w:sz w:val="24"/>
        </w:rPr>
        <w:t xml:space="preserve"> </w:t>
      </w:r>
      <w:r w:rsidRPr="00A013D9">
        <w:rPr>
          <w:sz w:val="24"/>
        </w:rPr>
        <w:t>Of these patients, 75% and 84% maintained ≥ Q12W dosing without an interval reduction below Q12W through week 96; of the patients on Q16W at week 52, 70% and 82% of patients maintained Q16W dosing without an interval reduction through week 96 in YOSEMITE and RHINE, respectively.</w:t>
      </w:r>
      <w:r w:rsidRPr="00B063F6">
        <w:rPr>
          <w:sz w:val="24"/>
        </w:rPr>
        <w:t xml:space="preserve"> </w:t>
      </w:r>
      <w:r w:rsidR="00E218C1" w:rsidRPr="00E218C1">
        <w:rPr>
          <w:sz w:val="24"/>
        </w:rPr>
        <w:t xml:space="preserve">At week 96, 78% of patients in the </w:t>
      </w:r>
      <w:proofErr w:type="spellStart"/>
      <w:r w:rsidR="00E218C1" w:rsidRPr="00E218C1">
        <w:rPr>
          <w:sz w:val="24"/>
        </w:rPr>
        <w:t>Vabysmo</w:t>
      </w:r>
      <w:proofErr w:type="spellEnd"/>
      <w:r w:rsidR="00E218C1" w:rsidRPr="00E218C1">
        <w:rPr>
          <w:sz w:val="24"/>
        </w:rPr>
        <w:t xml:space="preserve"> up to Q16W adjustable dosing arm achieved a Q16W or Q12W dosing interval in both studies (60% and 65% on Q16W, 18% and 14% on Q12W).</w:t>
      </w:r>
      <w:r>
        <w:rPr>
          <w:sz w:val="24"/>
        </w:rPr>
        <w:t xml:space="preserve"> </w:t>
      </w:r>
      <w:r w:rsidRPr="00A013D9">
        <w:rPr>
          <w:sz w:val="24"/>
        </w:rPr>
        <w:t>4% and 6% of patients were extended to Q8W and stayed on ≤ Q8W dosing intervals through week 96; 3% and 5% received only Q4W dosing in YOSEMITE and RHINE, respectively.</w:t>
      </w:r>
    </w:p>
    <w:p w14:paraId="63922B58" w14:textId="1B08428A" w:rsidR="00F222DB" w:rsidRDefault="00F222DB" w:rsidP="00F222DB">
      <w:pPr>
        <w:pStyle w:val="Paragraph"/>
        <w:spacing w:after="120"/>
        <w:rPr>
          <w:sz w:val="24"/>
        </w:rPr>
      </w:pPr>
      <w:r w:rsidRPr="00F222DB">
        <w:rPr>
          <w:sz w:val="24"/>
        </w:rPr>
        <w:lastRenderedPageBreak/>
        <w:t>Detailed results from the analyses of YOSEMITE and RHINE studies are listed in Table 3 and Figures 3 and 4 below.</w:t>
      </w:r>
    </w:p>
    <w:p w14:paraId="26ED65E0" w14:textId="41BB043F" w:rsidR="00F222DB" w:rsidRPr="00F222DB" w:rsidRDefault="00F222DB" w:rsidP="00E00D93">
      <w:pPr>
        <w:keepNext/>
        <w:spacing w:after="120" w:line="300" w:lineRule="atLeast"/>
        <w:ind w:left="994" w:hanging="994"/>
        <w:rPr>
          <w:color w:val="auto"/>
        </w:rPr>
      </w:pPr>
      <w:r w:rsidRPr="00A807D3">
        <w:rPr>
          <w:b/>
          <w:bCs/>
          <w:color w:val="auto"/>
        </w:rPr>
        <w:t xml:space="preserve">Table </w:t>
      </w:r>
      <w:r>
        <w:rPr>
          <w:b/>
          <w:bCs/>
          <w:color w:val="auto"/>
        </w:rPr>
        <w:t>3</w:t>
      </w:r>
      <w:r w:rsidR="00E218C1">
        <w:rPr>
          <w:b/>
          <w:bCs/>
          <w:color w:val="auto"/>
        </w:rPr>
        <w:t>a</w:t>
      </w:r>
      <w:r>
        <w:rPr>
          <w:color w:val="auto"/>
        </w:rPr>
        <w:t xml:space="preserve"> </w:t>
      </w:r>
      <w:r>
        <w:rPr>
          <w:color w:val="auto"/>
        </w:rPr>
        <w:tab/>
      </w:r>
      <w:r w:rsidRPr="00F222DB">
        <w:rPr>
          <w:b/>
          <w:color w:val="auto"/>
        </w:rPr>
        <w:t>Efficacy outcomes at the</w:t>
      </w:r>
      <w:r w:rsidR="00E218C1">
        <w:rPr>
          <w:b/>
          <w:color w:val="auto"/>
        </w:rPr>
        <w:t xml:space="preserve"> year 1</w:t>
      </w:r>
      <w:r w:rsidRPr="00F222DB">
        <w:rPr>
          <w:b/>
          <w:color w:val="auto"/>
        </w:rPr>
        <w:t xml:space="preserve"> primary endpoint </w:t>
      </w:r>
      <w:proofErr w:type="spellStart"/>
      <w:r w:rsidRPr="00F222DB">
        <w:rPr>
          <w:b/>
          <w:color w:val="auto"/>
        </w:rPr>
        <w:t>visits</w:t>
      </w:r>
      <w:r w:rsidRPr="00F222DB">
        <w:rPr>
          <w:b/>
          <w:color w:val="auto"/>
          <w:vertAlign w:val="superscript"/>
        </w:rPr>
        <w:t>a</w:t>
      </w:r>
      <w:proofErr w:type="spellEnd"/>
      <w:r w:rsidRPr="00F222DB">
        <w:rPr>
          <w:b/>
          <w:color w:val="auto"/>
        </w:rPr>
        <w:t xml:space="preserve"> </w:t>
      </w:r>
      <w:r w:rsidR="00E218C1">
        <w:rPr>
          <w:b/>
          <w:color w:val="auto"/>
        </w:rPr>
        <w:t>and at year 2</w:t>
      </w:r>
      <w:r w:rsidR="00E218C1" w:rsidRPr="00E218C1">
        <w:rPr>
          <w:b/>
          <w:color w:val="auto"/>
          <w:vertAlign w:val="superscript"/>
        </w:rPr>
        <w:t>b</w:t>
      </w:r>
      <w:r w:rsidR="00E218C1">
        <w:rPr>
          <w:b/>
          <w:color w:val="auto"/>
        </w:rPr>
        <w:t xml:space="preserve"> </w:t>
      </w:r>
      <w:r w:rsidRPr="00F222DB">
        <w:rPr>
          <w:b/>
          <w:color w:val="auto"/>
        </w:rPr>
        <w:t xml:space="preserve">in YOSEMITE </w:t>
      </w:r>
    </w:p>
    <w:tbl>
      <w:tblPr>
        <w:tblW w:w="9530" w:type="dxa"/>
        <w:tblLayout w:type="fixed"/>
        <w:tblCellMar>
          <w:top w:w="15" w:type="dxa"/>
          <w:left w:w="15" w:type="dxa"/>
          <w:bottom w:w="15" w:type="dxa"/>
          <w:right w:w="15" w:type="dxa"/>
        </w:tblCellMar>
        <w:tblLook w:val="04A0" w:firstRow="1" w:lastRow="0" w:firstColumn="1" w:lastColumn="0" w:noHBand="0" w:noVBand="1"/>
      </w:tblPr>
      <w:tblGrid>
        <w:gridCol w:w="2060"/>
        <w:gridCol w:w="1170"/>
        <w:gridCol w:w="1260"/>
        <w:gridCol w:w="1350"/>
        <w:gridCol w:w="1140"/>
        <w:gridCol w:w="1200"/>
        <w:gridCol w:w="1350"/>
      </w:tblGrid>
      <w:tr w:rsidR="00F555BE" w:rsidRPr="00F222DB" w14:paraId="5A627C29" w14:textId="77777777" w:rsidTr="007238C9">
        <w:trPr>
          <w:trHeight w:val="222"/>
        </w:trPr>
        <w:tc>
          <w:tcPr>
            <w:tcW w:w="206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85F46A1" w14:textId="77777777" w:rsidR="00F555BE" w:rsidRPr="00F222DB" w:rsidRDefault="00F555BE" w:rsidP="00621701">
            <w:pPr>
              <w:tabs>
                <w:tab w:val="left" w:pos="567"/>
              </w:tabs>
              <w:spacing w:before="40" w:after="40"/>
              <w:rPr>
                <w:bCs/>
                <w:iCs/>
                <w:sz w:val="22"/>
                <w:szCs w:val="22"/>
                <w:lang w:eastAsia="en-US"/>
              </w:rPr>
            </w:pPr>
            <w:r w:rsidRPr="00F222DB">
              <w:rPr>
                <w:b/>
                <w:sz w:val="22"/>
                <w:szCs w:val="22"/>
                <w:lang w:eastAsia="en-US"/>
              </w:rPr>
              <w:t>Efficacy Outcomes</w:t>
            </w:r>
          </w:p>
        </w:tc>
        <w:tc>
          <w:tcPr>
            <w:tcW w:w="747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63A94C" w14:textId="6E35567C" w:rsidR="00F555BE" w:rsidRPr="00F222DB" w:rsidRDefault="00F555BE" w:rsidP="00380B7A">
            <w:pPr>
              <w:tabs>
                <w:tab w:val="left" w:pos="567"/>
              </w:tabs>
              <w:spacing w:before="40" w:after="40"/>
              <w:jc w:val="center"/>
              <w:rPr>
                <w:b/>
                <w:bCs/>
                <w:iCs/>
                <w:sz w:val="22"/>
                <w:szCs w:val="22"/>
                <w:lang w:eastAsia="en-US"/>
              </w:rPr>
            </w:pPr>
            <w:r w:rsidRPr="00F222DB">
              <w:rPr>
                <w:b/>
                <w:bCs/>
                <w:iCs/>
                <w:sz w:val="22"/>
                <w:szCs w:val="22"/>
                <w:lang w:eastAsia="en-US"/>
              </w:rPr>
              <w:t>YOSEMITE</w:t>
            </w:r>
          </w:p>
        </w:tc>
      </w:tr>
      <w:tr w:rsidR="00E218C1" w:rsidRPr="00F222DB" w14:paraId="78B36C17" w14:textId="77777777" w:rsidTr="007238C9">
        <w:trPr>
          <w:trHeight w:val="222"/>
        </w:trPr>
        <w:tc>
          <w:tcPr>
            <w:tcW w:w="206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3CBBF0A" w14:textId="77777777" w:rsidR="00E218C1" w:rsidRPr="00F222DB" w:rsidRDefault="00E218C1" w:rsidP="00621701">
            <w:pPr>
              <w:tabs>
                <w:tab w:val="left" w:pos="567"/>
              </w:tabs>
              <w:spacing w:before="40" w:after="40"/>
              <w:rPr>
                <w:b/>
                <w:sz w:val="22"/>
                <w:szCs w:val="22"/>
                <w:lang w:eastAsia="en-US"/>
              </w:rPr>
            </w:pPr>
          </w:p>
        </w:tc>
        <w:tc>
          <w:tcPr>
            <w:tcW w:w="378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CB8F2" w14:textId="6D873301" w:rsidR="00E218C1" w:rsidRPr="00F222DB" w:rsidRDefault="00E218C1" w:rsidP="00621701">
            <w:pPr>
              <w:tabs>
                <w:tab w:val="left" w:pos="567"/>
              </w:tabs>
              <w:spacing w:before="40" w:after="40"/>
              <w:jc w:val="center"/>
              <w:rPr>
                <w:b/>
                <w:bCs/>
                <w:iCs/>
                <w:sz w:val="22"/>
                <w:szCs w:val="22"/>
                <w:lang w:eastAsia="en-US"/>
              </w:rPr>
            </w:pPr>
            <w:r>
              <w:rPr>
                <w:b/>
                <w:bCs/>
                <w:iCs/>
                <w:sz w:val="22"/>
                <w:szCs w:val="22"/>
                <w:lang w:eastAsia="en-US"/>
              </w:rPr>
              <w:t>Year 1</w:t>
            </w:r>
          </w:p>
        </w:tc>
        <w:tc>
          <w:tcPr>
            <w:tcW w:w="36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025B5" w14:textId="59EB25F3" w:rsidR="00E218C1" w:rsidRPr="00F222DB" w:rsidRDefault="00F555BE" w:rsidP="00621701">
            <w:pPr>
              <w:tabs>
                <w:tab w:val="left" w:pos="567"/>
              </w:tabs>
              <w:spacing w:before="40" w:after="40"/>
              <w:jc w:val="center"/>
              <w:rPr>
                <w:b/>
                <w:bCs/>
                <w:iCs/>
                <w:sz w:val="22"/>
                <w:szCs w:val="22"/>
                <w:lang w:eastAsia="en-US"/>
              </w:rPr>
            </w:pPr>
            <w:r>
              <w:rPr>
                <w:b/>
                <w:bCs/>
                <w:iCs/>
                <w:sz w:val="22"/>
                <w:szCs w:val="22"/>
                <w:lang w:eastAsia="en-US"/>
              </w:rPr>
              <w:t>Year 2</w:t>
            </w:r>
          </w:p>
        </w:tc>
      </w:tr>
      <w:tr w:rsidR="00F222DB" w:rsidRPr="00F222DB" w14:paraId="645AABD5" w14:textId="77777777" w:rsidTr="007238C9">
        <w:tc>
          <w:tcPr>
            <w:tcW w:w="206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0F42098A" w14:textId="77777777" w:rsidR="00F222DB" w:rsidRPr="00F222DB" w:rsidRDefault="00F222DB" w:rsidP="00621701">
            <w:pPr>
              <w:tabs>
                <w:tab w:val="left" w:pos="567"/>
              </w:tabs>
              <w:spacing w:before="40" w:after="40"/>
              <w:rPr>
                <w:bCs/>
                <w:iCs/>
                <w:sz w:val="22"/>
                <w:szCs w:val="22"/>
                <w:lang w:eastAsia="en-US"/>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4A209" w14:textId="0D5E0472" w:rsidR="00F222DB" w:rsidRPr="00F222DB" w:rsidRDefault="00F222DB" w:rsidP="00621701">
            <w:pPr>
              <w:tabs>
                <w:tab w:val="left" w:pos="567"/>
              </w:tabs>
              <w:spacing w:before="40" w:after="40"/>
              <w:jc w:val="center"/>
              <w:rPr>
                <w:b/>
                <w:bCs/>
                <w:iCs/>
                <w:sz w:val="22"/>
                <w:szCs w:val="22"/>
                <w:lang w:eastAsia="en-US"/>
              </w:rPr>
            </w:pPr>
            <w:proofErr w:type="spellStart"/>
            <w:r w:rsidRPr="00F222DB">
              <w:rPr>
                <w:b/>
                <w:sz w:val="22"/>
                <w:szCs w:val="22"/>
                <w:lang w:eastAsia="en-US"/>
              </w:rPr>
              <w:t>V</w:t>
            </w:r>
            <w:r>
              <w:rPr>
                <w:b/>
                <w:sz w:val="22"/>
                <w:szCs w:val="22"/>
                <w:lang w:eastAsia="en-US"/>
              </w:rPr>
              <w:t>abysmo</w:t>
            </w:r>
            <w:proofErr w:type="spellEnd"/>
            <w:r w:rsidRPr="00F222DB">
              <w:rPr>
                <w:b/>
                <w:bCs/>
                <w:iCs/>
                <w:sz w:val="22"/>
                <w:szCs w:val="22"/>
                <w:lang w:eastAsia="en-US"/>
              </w:rPr>
              <w:t xml:space="preserve"> Q8W</w:t>
            </w:r>
          </w:p>
          <w:p w14:paraId="5C79283B" w14:textId="77777777" w:rsidR="00F222DB" w:rsidRPr="00F222DB" w:rsidRDefault="00F222DB" w:rsidP="00621701">
            <w:pPr>
              <w:tabs>
                <w:tab w:val="left" w:pos="567"/>
              </w:tabs>
              <w:spacing w:before="40" w:after="40"/>
              <w:jc w:val="center"/>
              <w:rPr>
                <w:b/>
                <w:bCs/>
                <w:iCs/>
                <w:sz w:val="22"/>
                <w:szCs w:val="22"/>
                <w:lang w:eastAsia="en-US"/>
              </w:rPr>
            </w:pPr>
            <w:r w:rsidRPr="00F222DB">
              <w:rPr>
                <w:b/>
                <w:bCs/>
                <w:iCs/>
                <w:sz w:val="22"/>
                <w:szCs w:val="22"/>
                <w:lang w:eastAsia="en-US"/>
              </w:rPr>
              <w:t>N = 315</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94E1B" w14:textId="211FA8B4" w:rsidR="00F222DB" w:rsidRPr="00F222DB" w:rsidRDefault="00F222DB" w:rsidP="00621701">
            <w:pPr>
              <w:tabs>
                <w:tab w:val="left" w:pos="567"/>
              </w:tabs>
              <w:spacing w:before="40" w:after="40"/>
              <w:jc w:val="center"/>
              <w:rPr>
                <w:b/>
                <w:bCs/>
                <w:iCs/>
                <w:sz w:val="22"/>
                <w:szCs w:val="22"/>
                <w:lang w:eastAsia="en-US"/>
              </w:rPr>
            </w:pPr>
            <w:proofErr w:type="spellStart"/>
            <w:r w:rsidRPr="00F222DB">
              <w:rPr>
                <w:b/>
                <w:sz w:val="22"/>
                <w:szCs w:val="22"/>
                <w:lang w:eastAsia="en-US"/>
              </w:rPr>
              <w:t>Vabysmo</w:t>
            </w:r>
            <w:proofErr w:type="spellEnd"/>
            <w:r w:rsidRPr="00F222DB">
              <w:rPr>
                <w:b/>
                <w:bCs/>
                <w:iCs/>
                <w:sz w:val="22"/>
                <w:szCs w:val="22"/>
                <w:lang w:eastAsia="en-US"/>
              </w:rPr>
              <w:t xml:space="preserve"> up to Q16W adjustable dosing</w:t>
            </w:r>
          </w:p>
          <w:p w14:paraId="13062027" w14:textId="77777777" w:rsidR="00F222DB" w:rsidRPr="00F222DB" w:rsidRDefault="00F222DB" w:rsidP="00621701">
            <w:pPr>
              <w:tabs>
                <w:tab w:val="left" w:pos="567"/>
              </w:tabs>
              <w:spacing w:before="40" w:after="40"/>
              <w:jc w:val="center"/>
              <w:rPr>
                <w:b/>
                <w:bCs/>
                <w:iCs/>
                <w:sz w:val="22"/>
                <w:szCs w:val="22"/>
                <w:lang w:eastAsia="en-US"/>
              </w:rPr>
            </w:pPr>
            <w:r w:rsidRPr="00F222DB">
              <w:rPr>
                <w:b/>
                <w:bCs/>
                <w:iCs/>
                <w:sz w:val="22"/>
                <w:szCs w:val="22"/>
                <w:lang w:eastAsia="en-US"/>
              </w:rPr>
              <w:t>N = 313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C3070" w14:textId="77777777" w:rsidR="00F222DB" w:rsidRPr="00F222DB" w:rsidRDefault="00F222DB" w:rsidP="00621701">
            <w:pPr>
              <w:tabs>
                <w:tab w:val="left" w:pos="567"/>
              </w:tabs>
              <w:spacing w:before="40" w:after="40"/>
              <w:jc w:val="center"/>
              <w:rPr>
                <w:b/>
                <w:bCs/>
                <w:iCs/>
                <w:sz w:val="22"/>
                <w:szCs w:val="22"/>
                <w:lang w:eastAsia="en-US"/>
              </w:rPr>
            </w:pPr>
            <w:r w:rsidRPr="00F222DB">
              <w:rPr>
                <w:b/>
                <w:bCs/>
                <w:iCs/>
                <w:sz w:val="22"/>
                <w:szCs w:val="22"/>
                <w:lang w:eastAsia="en-US"/>
              </w:rPr>
              <w:t>Aflibercept Q8W</w:t>
            </w:r>
          </w:p>
          <w:p w14:paraId="07AB2257" w14:textId="77777777" w:rsidR="00F222DB" w:rsidRPr="00F222DB" w:rsidRDefault="00F222DB" w:rsidP="00621701">
            <w:pPr>
              <w:tabs>
                <w:tab w:val="left" w:pos="567"/>
              </w:tabs>
              <w:spacing w:before="40" w:after="40"/>
              <w:jc w:val="center"/>
              <w:rPr>
                <w:b/>
                <w:bCs/>
                <w:iCs/>
                <w:sz w:val="22"/>
                <w:szCs w:val="22"/>
                <w:lang w:eastAsia="en-US"/>
              </w:rPr>
            </w:pPr>
            <w:r w:rsidRPr="00F222DB">
              <w:rPr>
                <w:b/>
                <w:bCs/>
                <w:iCs/>
                <w:sz w:val="22"/>
                <w:szCs w:val="22"/>
                <w:lang w:eastAsia="en-US"/>
              </w:rPr>
              <w:t>N = 312</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511B94" w14:textId="3D04DA4A" w:rsidR="00F222DB" w:rsidRPr="00F222DB" w:rsidRDefault="00F222DB" w:rsidP="00621701">
            <w:pPr>
              <w:tabs>
                <w:tab w:val="left" w:pos="567"/>
              </w:tabs>
              <w:spacing w:before="40" w:after="40"/>
              <w:jc w:val="center"/>
              <w:rPr>
                <w:b/>
                <w:bCs/>
                <w:iCs/>
                <w:sz w:val="22"/>
                <w:szCs w:val="22"/>
                <w:lang w:eastAsia="en-US"/>
              </w:rPr>
            </w:pPr>
            <w:proofErr w:type="spellStart"/>
            <w:r w:rsidRPr="00F222DB">
              <w:rPr>
                <w:b/>
                <w:sz w:val="22"/>
                <w:szCs w:val="22"/>
                <w:lang w:eastAsia="en-US"/>
              </w:rPr>
              <w:t>Vabysmo</w:t>
            </w:r>
            <w:proofErr w:type="spellEnd"/>
            <w:r w:rsidRPr="00F222DB">
              <w:rPr>
                <w:b/>
                <w:bCs/>
                <w:iCs/>
                <w:sz w:val="22"/>
                <w:szCs w:val="22"/>
                <w:lang w:eastAsia="en-US"/>
              </w:rPr>
              <w:t xml:space="preserve"> Q8W</w:t>
            </w:r>
          </w:p>
          <w:p w14:paraId="019BCA8C" w14:textId="68A4D4EF" w:rsidR="00F222DB" w:rsidRPr="00F222DB" w:rsidRDefault="00F222DB" w:rsidP="00DA4EF8">
            <w:pPr>
              <w:tabs>
                <w:tab w:val="left" w:pos="567"/>
              </w:tabs>
              <w:spacing w:before="40" w:after="40"/>
              <w:jc w:val="center"/>
              <w:rPr>
                <w:b/>
                <w:bCs/>
                <w:iCs/>
                <w:sz w:val="22"/>
                <w:szCs w:val="22"/>
                <w:lang w:eastAsia="en-US"/>
              </w:rPr>
            </w:pPr>
            <w:r w:rsidRPr="00F222DB">
              <w:rPr>
                <w:b/>
                <w:bCs/>
                <w:iCs/>
                <w:sz w:val="22"/>
                <w:szCs w:val="22"/>
                <w:lang w:eastAsia="en-US"/>
              </w:rPr>
              <w:t xml:space="preserve">N = </w:t>
            </w:r>
            <w:r w:rsidR="00DA4EF8">
              <w:rPr>
                <w:b/>
                <w:bCs/>
                <w:iCs/>
                <w:sz w:val="22"/>
                <w:szCs w:val="22"/>
                <w:lang w:eastAsia="en-US"/>
              </w:rPr>
              <w:t>262</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B5FECD" w14:textId="7084E4C0" w:rsidR="00F222DB" w:rsidRPr="00F222DB" w:rsidRDefault="00F222DB" w:rsidP="00621701">
            <w:pPr>
              <w:tabs>
                <w:tab w:val="left" w:pos="567"/>
              </w:tabs>
              <w:spacing w:before="40" w:after="40"/>
              <w:jc w:val="center"/>
              <w:rPr>
                <w:b/>
                <w:bCs/>
                <w:iCs/>
                <w:sz w:val="22"/>
                <w:szCs w:val="22"/>
                <w:lang w:eastAsia="en-US"/>
              </w:rPr>
            </w:pPr>
            <w:proofErr w:type="spellStart"/>
            <w:r w:rsidRPr="00F222DB">
              <w:rPr>
                <w:b/>
                <w:sz w:val="22"/>
                <w:szCs w:val="22"/>
                <w:lang w:eastAsia="en-US"/>
              </w:rPr>
              <w:t>Vabysmo</w:t>
            </w:r>
            <w:proofErr w:type="spellEnd"/>
            <w:r w:rsidRPr="00F222DB">
              <w:rPr>
                <w:b/>
                <w:bCs/>
                <w:iCs/>
                <w:sz w:val="22"/>
                <w:szCs w:val="22"/>
                <w:lang w:eastAsia="en-US"/>
              </w:rPr>
              <w:t xml:space="preserve"> up to Q16W adjustable dosing</w:t>
            </w:r>
          </w:p>
          <w:p w14:paraId="70FCE32D" w14:textId="6BF1A886" w:rsidR="00F222DB" w:rsidRPr="00F222DB" w:rsidRDefault="00F222DB" w:rsidP="00DA4EF8">
            <w:pPr>
              <w:tabs>
                <w:tab w:val="left" w:pos="567"/>
              </w:tabs>
              <w:spacing w:before="40" w:after="40"/>
              <w:jc w:val="center"/>
              <w:rPr>
                <w:b/>
                <w:bCs/>
                <w:iCs/>
                <w:sz w:val="22"/>
                <w:szCs w:val="22"/>
                <w:lang w:eastAsia="en-US"/>
              </w:rPr>
            </w:pPr>
            <w:r w:rsidRPr="00F222DB">
              <w:rPr>
                <w:b/>
                <w:bCs/>
                <w:iCs/>
                <w:sz w:val="22"/>
                <w:szCs w:val="22"/>
                <w:lang w:eastAsia="en-US"/>
              </w:rPr>
              <w:t xml:space="preserve">N = </w:t>
            </w:r>
            <w:r w:rsidR="00DA4EF8">
              <w:rPr>
                <w:b/>
                <w:bCs/>
                <w:iCs/>
                <w:sz w:val="22"/>
                <w:szCs w:val="22"/>
                <w:lang w:eastAsia="en-US"/>
              </w:rPr>
              <w:t>270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41F73" w14:textId="77777777" w:rsidR="00F222DB" w:rsidRPr="00F222DB" w:rsidRDefault="00F222DB" w:rsidP="00621701">
            <w:pPr>
              <w:tabs>
                <w:tab w:val="left" w:pos="567"/>
              </w:tabs>
              <w:spacing w:before="40" w:after="40"/>
              <w:jc w:val="center"/>
              <w:rPr>
                <w:b/>
                <w:bCs/>
                <w:iCs/>
                <w:sz w:val="22"/>
                <w:szCs w:val="22"/>
                <w:lang w:eastAsia="en-US"/>
              </w:rPr>
            </w:pPr>
            <w:r w:rsidRPr="00F222DB">
              <w:rPr>
                <w:b/>
                <w:bCs/>
                <w:iCs/>
                <w:sz w:val="22"/>
                <w:szCs w:val="22"/>
                <w:lang w:eastAsia="en-US"/>
              </w:rPr>
              <w:t>Aflibercept Q8W</w:t>
            </w:r>
          </w:p>
          <w:p w14:paraId="23573A0C" w14:textId="478647DD" w:rsidR="00F222DB" w:rsidRPr="00F222DB" w:rsidRDefault="00F222DB" w:rsidP="00DA4EF8">
            <w:pPr>
              <w:tabs>
                <w:tab w:val="left" w:pos="567"/>
              </w:tabs>
              <w:spacing w:before="40" w:after="40"/>
              <w:jc w:val="center"/>
              <w:rPr>
                <w:b/>
                <w:bCs/>
                <w:iCs/>
                <w:sz w:val="22"/>
                <w:szCs w:val="22"/>
                <w:lang w:eastAsia="en-US"/>
              </w:rPr>
            </w:pPr>
            <w:r w:rsidRPr="00F222DB">
              <w:rPr>
                <w:b/>
                <w:bCs/>
                <w:iCs/>
                <w:sz w:val="22"/>
                <w:szCs w:val="22"/>
                <w:lang w:eastAsia="en-US"/>
              </w:rPr>
              <w:t xml:space="preserve">N = </w:t>
            </w:r>
            <w:r w:rsidR="00DA4EF8">
              <w:rPr>
                <w:b/>
                <w:bCs/>
                <w:iCs/>
                <w:sz w:val="22"/>
                <w:szCs w:val="22"/>
                <w:lang w:eastAsia="en-US"/>
              </w:rPr>
              <w:t>259</w:t>
            </w:r>
          </w:p>
        </w:tc>
      </w:tr>
      <w:tr w:rsidR="00F222DB" w:rsidRPr="00F222DB" w14:paraId="6443C371"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F038B" w14:textId="67AB0521" w:rsidR="00F222DB" w:rsidRPr="00F222DB" w:rsidRDefault="00F222DB" w:rsidP="00DA4EF8">
            <w:pPr>
              <w:tabs>
                <w:tab w:val="left" w:pos="567"/>
              </w:tabs>
              <w:spacing w:before="40" w:after="40"/>
              <w:rPr>
                <w:bCs/>
                <w:iCs/>
                <w:sz w:val="22"/>
                <w:szCs w:val="22"/>
                <w:lang w:eastAsia="en-US"/>
              </w:rPr>
            </w:pPr>
            <w:r w:rsidRPr="00F222DB">
              <w:rPr>
                <w:bCs/>
                <w:iCs/>
                <w:sz w:val="22"/>
                <w:szCs w:val="22"/>
                <w:lang w:eastAsia="en-US"/>
              </w:rPr>
              <w:t>Mean change in BCVA as measured by ETDRS letter score from baseline (97.5% CI</w:t>
            </w:r>
            <w:r w:rsidR="00DA4EF8">
              <w:t xml:space="preserve"> </w:t>
            </w:r>
            <w:r w:rsidR="00DA4EF8" w:rsidRPr="00DA4EF8">
              <w:rPr>
                <w:bCs/>
                <w:iCs/>
                <w:sz w:val="22"/>
                <w:szCs w:val="22"/>
                <w:lang w:eastAsia="en-US"/>
              </w:rPr>
              <w:t xml:space="preserve">year 1 and 95% </w:t>
            </w:r>
            <w:r w:rsidR="00DA4EF8">
              <w:rPr>
                <w:bCs/>
                <w:iCs/>
                <w:sz w:val="22"/>
                <w:szCs w:val="22"/>
                <w:lang w:eastAsia="en-US"/>
              </w:rPr>
              <w:t xml:space="preserve">CI </w:t>
            </w:r>
            <w:r w:rsidR="00DA4EF8" w:rsidRPr="00DA4EF8">
              <w:rPr>
                <w:bCs/>
                <w:iCs/>
                <w:sz w:val="22"/>
                <w:szCs w:val="22"/>
                <w:lang w:eastAsia="en-US"/>
              </w:rPr>
              <w:t>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793F4"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10.7</w:t>
            </w:r>
          </w:p>
          <w:p w14:paraId="41B3FB24"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(9.4, 12.0)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B66587"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11.6</w:t>
            </w:r>
          </w:p>
          <w:p w14:paraId="6061B087"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(10.3, 12.9)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BE05A2"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10.9</w:t>
            </w:r>
          </w:p>
          <w:p w14:paraId="7AEAE27A"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(9.6, 12.2)</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9C2B94"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10.7</w:t>
            </w:r>
          </w:p>
          <w:p w14:paraId="22F5061E" w14:textId="7990DB3D"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(9.4, 12.1)</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F4E38"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10.7</w:t>
            </w:r>
          </w:p>
          <w:p w14:paraId="54BD792F" w14:textId="28263E85"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(9.4, 12.1)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F8B15A"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11.4</w:t>
            </w:r>
          </w:p>
          <w:p w14:paraId="1B45EA8C" w14:textId="05E0AB7F"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(10.0, 12.7)</w:t>
            </w:r>
          </w:p>
        </w:tc>
      </w:tr>
      <w:tr w:rsidR="00F222DB" w:rsidRPr="00F222DB" w14:paraId="6AB74282"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DA3F0" w14:textId="65ED4D98" w:rsidR="00F222DB" w:rsidRPr="00F222DB" w:rsidRDefault="00F222DB" w:rsidP="00DA4EF8">
            <w:pPr>
              <w:tabs>
                <w:tab w:val="left" w:pos="567"/>
              </w:tabs>
              <w:spacing w:before="40" w:after="40"/>
              <w:rPr>
                <w:bCs/>
                <w:iCs/>
                <w:sz w:val="22"/>
                <w:szCs w:val="22"/>
                <w:lang w:eastAsia="en-US"/>
              </w:rPr>
            </w:pPr>
            <w:r w:rsidRPr="00F222DB">
              <w:rPr>
                <w:bCs/>
                <w:iCs/>
                <w:sz w:val="22"/>
                <w:szCs w:val="22"/>
                <w:lang w:eastAsia="en-US"/>
              </w:rPr>
              <w:t>Difference in LS mean (</w:t>
            </w:r>
            <w:r w:rsidR="00DA4EF8">
              <w:rPr>
                <w:bCs/>
                <w:iCs/>
                <w:sz w:val="22"/>
                <w:szCs w:val="22"/>
                <w:lang w:eastAsia="en-US"/>
              </w:rPr>
              <w:t xml:space="preserve">97.5% </w:t>
            </w:r>
            <w:r w:rsidRPr="00F222DB">
              <w:rPr>
                <w:bCs/>
                <w:iCs/>
                <w:sz w:val="22"/>
                <w:szCs w:val="22"/>
                <w:lang w:eastAsia="en-US"/>
              </w:rPr>
              <w:t>CI</w:t>
            </w:r>
            <w:r w:rsidR="00DA4EF8">
              <w:rPr>
                <w:bCs/>
                <w:iCs/>
                <w:sz w:val="22"/>
                <w:szCs w:val="22"/>
                <w:lang w:eastAsia="en-US"/>
              </w:rPr>
              <w:t xml:space="preserve"> </w:t>
            </w:r>
            <w:r w:rsidR="00DA4EF8" w:rsidRPr="00DA4EF8">
              <w:rPr>
                <w:bCs/>
                <w:iCs/>
                <w:sz w:val="22"/>
                <w:szCs w:val="22"/>
                <w:lang w:eastAsia="en-US"/>
              </w:rPr>
              <w:t xml:space="preserve">year 1 and 95% </w:t>
            </w:r>
            <w:r w:rsidR="00DA4EF8">
              <w:rPr>
                <w:bCs/>
                <w:iCs/>
                <w:sz w:val="22"/>
                <w:szCs w:val="22"/>
                <w:lang w:eastAsia="en-US"/>
              </w:rPr>
              <w:t xml:space="preserve">CI </w:t>
            </w:r>
            <w:r w:rsidR="00DA4EF8" w:rsidRPr="00DA4EF8">
              <w:rPr>
                <w:bCs/>
                <w:iCs/>
                <w:sz w:val="22"/>
                <w:szCs w:val="22"/>
                <w:lang w:eastAsia="en-US"/>
              </w:rPr>
              <w:t>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6F885"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-0.2</w:t>
            </w:r>
          </w:p>
          <w:p w14:paraId="5528C0FC"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(-2.0, 1.6)</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06601"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0.7</w:t>
            </w:r>
          </w:p>
          <w:p w14:paraId="33D601C4"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(-1.1, 2.5)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0E8808" w14:textId="77777777" w:rsidR="00F222DB" w:rsidRPr="00F222DB" w:rsidRDefault="00F222DB" w:rsidP="00621701">
            <w:pPr>
              <w:tabs>
                <w:tab w:val="left" w:pos="567"/>
              </w:tabs>
              <w:spacing w:before="40" w:after="40"/>
              <w:jc w:val="center"/>
              <w:rPr>
                <w:bCs/>
                <w:iCs/>
                <w:sz w:val="22"/>
                <w:szCs w:val="22"/>
                <w:lang w:eastAsia="en-US"/>
              </w:rPr>
            </w:pP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1DAA6A"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-0.7 </w:t>
            </w:r>
          </w:p>
          <w:p w14:paraId="15D420F6" w14:textId="728A51B5"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(-2.6, 1.2)</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965E7"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-0.7 </w:t>
            </w:r>
          </w:p>
          <w:p w14:paraId="75FDE8AC" w14:textId="3CD647C3"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(-2.5, 1.2)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411B0" w14:textId="77777777" w:rsidR="00F222DB" w:rsidRPr="00F222DB" w:rsidRDefault="00F222DB" w:rsidP="00621701">
            <w:pPr>
              <w:tabs>
                <w:tab w:val="left" w:pos="567"/>
              </w:tabs>
              <w:spacing w:before="40" w:after="40"/>
              <w:jc w:val="center"/>
              <w:rPr>
                <w:bCs/>
                <w:iCs/>
                <w:sz w:val="22"/>
                <w:szCs w:val="22"/>
                <w:lang w:eastAsia="en-US"/>
              </w:rPr>
            </w:pPr>
          </w:p>
        </w:tc>
      </w:tr>
      <w:tr w:rsidR="00F222DB" w:rsidRPr="00F222DB" w14:paraId="5BA04403"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F7090" w14:textId="7E9C1FBC" w:rsidR="00F222DB" w:rsidRPr="00F222DB" w:rsidRDefault="00F222DB" w:rsidP="00621701">
            <w:pPr>
              <w:tabs>
                <w:tab w:val="left" w:pos="567"/>
              </w:tabs>
              <w:spacing w:before="40" w:after="40"/>
              <w:rPr>
                <w:bCs/>
                <w:iCs/>
                <w:sz w:val="22"/>
                <w:szCs w:val="22"/>
                <w:lang w:eastAsia="en-US"/>
              </w:rPr>
            </w:pPr>
            <w:r w:rsidRPr="00F222DB">
              <w:rPr>
                <w:bCs/>
                <w:iCs/>
                <w:sz w:val="22"/>
                <w:szCs w:val="22"/>
                <w:lang w:eastAsia="en-US"/>
              </w:rPr>
              <w:t>Proportion of patients who gained at least 15 letters in BCVA from baseline (CMH weighted proportion, 95% CI</w:t>
            </w:r>
            <w:r w:rsidR="00DA4EF8">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0DF70B"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29.2%</w:t>
            </w:r>
          </w:p>
          <w:p w14:paraId="01CB135A"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(23.9%, 34.5%)</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21991"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35.5%</w:t>
            </w:r>
          </w:p>
          <w:p w14:paraId="598BC085"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(30.1%, 40.9%)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658DEC"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31.8%</w:t>
            </w:r>
          </w:p>
          <w:p w14:paraId="10028E40"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(26.6%, 37.0%)</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53FA8"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37.2%</w:t>
            </w:r>
          </w:p>
          <w:p w14:paraId="267443FF" w14:textId="7071E5EA"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(31.4%, 42.9%)</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260E4B"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38.2%</w:t>
            </w:r>
          </w:p>
          <w:p w14:paraId="124A81D6" w14:textId="0288998D"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(32.8%, 43.7%)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242FAA"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37.4%</w:t>
            </w:r>
          </w:p>
          <w:p w14:paraId="3BFFB3C4" w14:textId="31C5A7DD"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(31.7%, 43.0%)</w:t>
            </w:r>
          </w:p>
        </w:tc>
      </w:tr>
      <w:tr w:rsidR="00F222DB" w:rsidRPr="00F222DB" w14:paraId="2E0C1703"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E10D1" w14:textId="7DFB2661" w:rsidR="00F222DB" w:rsidRPr="00F222DB" w:rsidRDefault="00F222DB" w:rsidP="003E4887">
            <w:pPr>
              <w:tabs>
                <w:tab w:val="left" w:pos="567"/>
              </w:tabs>
              <w:spacing w:before="40" w:after="40"/>
              <w:rPr>
                <w:bCs/>
                <w:iCs/>
                <w:sz w:val="22"/>
                <w:szCs w:val="22"/>
                <w:lang w:eastAsia="en-US"/>
              </w:rPr>
            </w:pPr>
            <w:r w:rsidRPr="00F222DB">
              <w:rPr>
                <w:bCs/>
                <w:iCs/>
                <w:sz w:val="22"/>
                <w:szCs w:val="22"/>
                <w:lang w:eastAsia="en-US"/>
              </w:rPr>
              <w:t>Difference in CMH weighted % (95% CI</w:t>
            </w:r>
            <w:r w:rsidR="00DA4EF8">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7E0B7"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-2.6%</w:t>
            </w:r>
          </w:p>
          <w:p w14:paraId="4E34AE90"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(-10.0%, 4.9%)</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99B3C"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3.5%</w:t>
            </w:r>
          </w:p>
          <w:p w14:paraId="2F652D3B"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(-4.0%, 11.1%)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850181" w14:textId="77777777" w:rsidR="00F222DB" w:rsidRPr="00F222DB" w:rsidRDefault="00F222DB" w:rsidP="00621701">
            <w:pPr>
              <w:tabs>
                <w:tab w:val="left" w:pos="567"/>
              </w:tabs>
              <w:spacing w:before="40" w:after="40"/>
              <w:jc w:val="center"/>
              <w:rPr>
                <w:bCs/>
                <w:iCs/>
                <w:sz w:val="22"/>
                <w:szCs w:val="22"/>
                <w:lang w:eastAsia="en-US"/>
              </w:rPr>
            </w:pP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074DC"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-0.2% </w:t>
            </w:r>
          </w:p>
          <w:p w14:paraId="67EAE6A0" w14:textId="332AC33C"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(-8.2%, 7.8%)</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09A27"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0.2%</w:t>
            </w:r>
          </w:p>
          <w:p w14:paraId="0F516DAD" w14:textId="12BBBADF"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 xml:space="preserve"> (-7.6%, 8.1%)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E94BC2" w14:textId="77777777" w:rsidR="00F222DB" w:rsidRPr="00F222DB" w:rsidRDefault="00F222DB" w:rsidP="00621701">
            <w:pPr>
              <w:tabs>
                <w:tab w:val="left" w:pos="567"/>
              </w:tabs>
              <w:spacing w:before="40" w:after="40"/>
              <w:jc w:val="center"/>
              <w:rPr>
                <w:bCs/>
                <w:iCs/>
                <w:sz w:val="22"/>
                <w:szCs w:val="22"/>
                <w:lang w:eastAsia="en-US"/>
              </w:rPr>
            </w:pPr>
          </w:p>
        </w:tc>
      </w:tr>
      <w:tr w:rsidR="00F222DB" w:rsidRPr="00F222DB" w14:paraId="15F5840B"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DB9726" w14:textId="47CAC7CC" w:rsidR="00F222DB" w:rsidRPr="00F222DB" w:rsidRDefault="00F222DB" w:rsidP="00621701">
            <w:pPr>
              <w:tabs>
                <w:tab w:val="left" w:pos="567"/>
              </w:tabs>
              <w:spacing w:before="40" w:after="40"/>
              <w:rPr>
                <w:bCs/>
                <w:iCs/>
                <w:sz w:val="22"/>
                <w:szCs w:val="22"/>
                <w:lang w:eastAsia="en-US"/>
              </w:rPr>
            </w:pPr>
            <w:r w:rsidRPr="00F222DB">
              <w:rPr>
                <w:bCs/>
                <w:iCs/>
                <w:sz w:val="22"/>
                <w:szCs w:val="22"/>
                <w:lang w:eastAsia="en-US"/>
              </w:rPr>
              <w:t>Proportion of patients who avoided loss of at least 15 letters in BCVA from baseline (CMH weighted proportion, 95% CI</w:t>
            </w:r>
            <w:r w:rsidR="00DA4EF8">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2441B"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98.1%</w:t>
            </w:r>
          </w:p>
          <w:p w14:paraId="403B753C"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(96.5%, 99.7%)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0D45D4"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98.6%</w:t>
            </w:r>
          </w:p>
          <w:p w14:paraId="4C3CB759"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(97.2%, 100.0%)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52A94C"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98.9%</w:t>
            </w:r>
          </w:p>
          <w:p w14:paraId="0E35ABE5"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(97.6%, 100.0%)</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DF4B0"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97.6%</w:t>
            </w:r>
          </w:p>
          <w:p w14:paraId="50551E64" w14:textId="7A641789"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(95.7%, 99.5%)</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0D456"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97.8%</w:t>
            </w:r>
          </w:p>
          <w:p w14:paraId="61843414" w14:textId="23DC5C70"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(96.1%, 99.5%)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340EF"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98.0%</w:t>
            </w:r>
          </w:p>
          <w:p w14:paraId="4105C8CF" w14:textId="38699DA5"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(96.2%, 99.7%)</w:t>
            </w:r>
          </w:p>
        </w:tc>
      </w:tr>
      <w:tr w:rsidR="00F222DB" w:rsidRPr="00F222DB" w14:paraId="71BA008C"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D7617B" w14:textId="6AAD558B" w:rsidR="00F222DB" w:rsidRPr="00F222DB" w:rsidRDefault="00F222DB" w:rsidP="00621701">
            <w:pPr>
              <w:tabs>
                <w:tab w:val="left" w:pos="567"/>
              </w:tabs>
              <w:spacing w:before="40" w:after="40"/>
              <w:rPr>
                <w:bCs/>
                <w:iCs/>
                <w:sz w:val="22"/>
                <w:szCs w:val="22"/>
                <w:lang w:eastAsia="en-US"/>
              </w:rPr>
            </w:pPr>
            <w:r w:rsidRPr="00F222DB">
              <w:rPr>
                <w:bCs/>
                <w:iCs/>
                <w:sz w:val="22"/>
                <w:szCs w:val="22"/>
                <w:lang w:eastAsia="en-US"/>
              </w:rPr>
              <w:lastRenderedPageBreak/>
              <w:t>Difference in CMH weighted % (95% CI</w:t>
            </w:r>
            <w:r w:rsidR="00DA4EF8">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C36A1A"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-0.8%</w:t>
            </w:r>
          </w:p>
          <w:p w14:paraId="56CA26AF"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(-2.8%, 1.3%)</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3AED1B"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-0.3%</w:t>
            </w:r>
          </w:p>
          <w:p w14:paraId="03A6DD02" w14:textId="77777777" w:rsidR="00F222DB" w:rsidRPr="00F222DB" w:rsidRDefault="00F222DB" w:rsidP="00621701">
            <w:pPr>
              <w:tabs>
                <w:tab w:val="left" w:pos="567"/>
              </w:tabs>
              <w:spacing w:before="40" w:after="40"/>
              <w:jc w:val="center"/>
              <w:rPr>
                <w:bCs/>
                <w:iCs/>
                <w:sz w:val="22"/>
                <w:szCs w:val="22"/>
                <w:lang w:eastAsia="en-US"/>
              </w:rPr>
            </w:pPr>
            <w:r w:rsidRPr="00F222DB">
              <w:rPr>
                <w:bCs/>
                <w:iCs/>
                <w:sz w:val="22"/>
                <w:szCs w:val="22"/>
                <w:lang w:eastAsia="en-US"/>
              </w:rPr>
              <w:t>(-2.2%, 1.5%)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9520C" w14:textId="77777777" w:rsidR="00F222DB" w:rsidRPr="00F222DB" w:rsidRDefault="00F222DB" w:rsidP="00621701">
            <w:pPr>
              <w:tabs>
                <w:tab w:val="left" w:pos="567"/>
              </w:tabs>
              <w:spacing w:before="40" w:after="40"/>
              <w:jc w:val="center"/>
              <w:rPr>
                <w:bCs/>
                <w:iCs/>
                <w:sz w:val="22"/>
                <w:szCs w:val="22"/>
                <w:lang w:eastAsia="en-US"/>
              </w:rPr>
            </w:pP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27DAB"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-0.4% </w:t>
            </w:r>
          </w:p>
          <w:p w14:paraId="415B39CD" w14:textId="3A1B3AED"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(-2.9%, 2.2%)</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92BBD"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-0.2% </w:t>
            </w:r>
          </w:p>
          <w:p w14:paraId="217043B2" w14:textId="78115637" w:rsidR="00F222DB" w:rsidRPr="00F222DB" w:rsidRDefault="00DA4EF8" w:rsidP="00621701">
            <w:pPr>
              <w:tabs>
                <w:tab w:val="left" w:pos="567"/>
              </w:tabs>
              <w:spacing w:before="40" w:after="40"/>
              <w:jc w:val="center"/>
              <w:rPr>
                <w:bCs/>
                <w:iCs/>
                <w:sz w:val="22"/>
                <w:szCs w:val="22"/>
                <w:lang w:eastAsia="en-US"/>
              </w:rPr>
            </w:pPr>
            <w:r w:rsidRPr="00DA4EF8">
              <w:rPr>
                <w:bCs/>
                <w:iCs/>
                <w:sz w:val="22"/>
                <w:szCs w:val="22"/>
                <w:lang w:eastAsia="en-US"/>
              </w:rPr>
              <w:t>(-2.6%, 2.2%)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1C11A" w14:textId="77777777" w:rsidR="00F222DB" w:rsidRPr="00F222DB" w:rsidRDefault="00F222DB" w:rsidP="00621701">
            <w:pPr>
              <w:tabs>
                <w:tab w:val="left" w:pos="567"/>
              </w:tabs>
              <w:spacing w:before="40" w:after="40"/>
              <w:jc w:val="center"/>
              <w:rPr>
                <w:bCs/>
                <w:iCs/>
                <w:sz w:val="22"/>
                <w:szCs w:val="22"/>
                <w:lang w:eastAsia="en-US"/>
              </w:rPr>
            </w:pPr>
          </w:p>
        </w:tc>
      </w:tr>
    </w:tbl>
    <w:p w14:paraId="3333B461" w14:textId="0E5A25B3" w:rsidR="00F222DB" w:rsidRPr="00F222DB" w:rsidRDefault="00F222DB" w:rsidP="00F222DB">
      <w:pPr>
        <w:pStyle w:val="SynopsisText"/>
        <w:spacing w:after="0"/>
        <w:rPr>
          <w:sz w:val="22"/>
          <w:szCs w:val="22"/>
          <w:lang w:val="en-AU" w:eastAsia="en-AU"/>
        </w:rPr>
      </w:pPr>
      <w:proofErr w:type="spellStart"/>
      <w:r w:rsidRPr="003E4887">
        <w:rPr>
          <w:sz w:val="22"/>
          <w:szCs w:val="22"/>
          <w:vertAlign w:val="superscript"/>
          <w:lang w:val="en-AU" w:eastAsia="en-AU"/>
        </w:rPr>
        <w:t>a</w:t>
      </w:r>
      <w:r w:rsidRPr="00F222DB">
        <w:rPr>
          <w:sz w:val="22"/>
          <w:szCs w:val="22"/>
          <w:lang w:val="en-AU" w:eastAsia="en-AU"/>
        </w:rPr>
        <w:t>Average</w:t>
      </w:r>
      <w:proofErr w:type="spellEnd"/>
      <w:r w:rsidRPr="00F222DB">
        <w:rPr>
          <w:sz w:val="22"/>
          <w:szCs w:val="22"/>
          <w:lang w:val="en-AU" w:eastAsia="en-AU"/>
        </w:rPr>
        <w:t xml:space="preserve"> of weeks 48, 52, 56</w:t>
      </w:r>
      <w:r w:rsidR="00DA4EF8" w:rsidRPr="00DA4EF8">
        <w:rPr>
          <w:sz w:val="22"/>
          <w:szCs w:val="22"/>
          <w:lang w:val="en-AU" w:eastAsia="en-AU"/>
        </w:rPr>
        <w:t xml:space="preserve">; </w:t>
      </w:r>
      <w:proofErr w:type="spellStart"/>
      <w:r w:rsidR="00DA4EF8" w:rsidRPr="00DA4EF8">
        <w:rPr>
          <w:sz w:val="22"/>
          <w:szCs w:val="22"/>
          <w:vertAlign w:val="superscript"/>
          <w:lang w:val="en-AU" w:eastAsia="en-AU"/>
        </w:rPr>
        <w:t>b</w:t>
      </w:r>
      <w:r w:rsidR="00DA4EF8" w:rsidRPr="00DA4EF8">
        <w:rPr>
          <w:sz w:val="22"/>
          <w:szCs w:val="22"/>
          <w:lang w:val="en-AU" w:eastAsia="en-AU"/>
        </w:rPr>
        <w:t>Average</w:t>
      </w:r>
      <w:proofErr w:type="spellEnd"/>
      <w:r w:rsidR="00DA4EF8" w:rsidRPr="00DA4EF8">
        <w:rPr>
          <w:sz w:val="22"/>
          <w:szCs w:val="22"/>
          <w:lang w:val="en-AU" w:eastAsia="en-AU"/>
        </w:rPr>
        <w:t xml:space="preserve"> of weeks 92, 96, 100</w:t>
      </w:r>
    </w:p>
    <w:p w14:paraId="619BAFC6" w14:textId="05C690B2" w:rsidR="00F222DB" w:rsidRPr="00F222DB" w:rsidRDefault="00B063F6" w:rsidP="00F222DB">
      <w:pPr>
        <w:pStyle w:val="SynopsisText"/>
        <w:spacing w:after="0"/>
        <w:rPr>
          <w:sz w:val="22"/>
          <w:szCs w:val="22"/>
          <w:lang w:val="en-AU" w:eastAsia="en-AU"/>
        </w:rPr>
      </w:pPr>
      <w:r>
        <w:rPr>
          <w:sz w:val="22"/>
          <w:szCs w:val="22"/>
          <w:lang w:val="en-AU" w:eastAsia="en-AU"/>
        </w:rPr>
        <w:t>BCVA</w:t>
      </w:r>
      <w:r w:rsidR="00F222DB" w:rsidRPr="00F222DB">
        <w:rPr>
          <w:sz w:val="22"/>
          <w:szCs w:val="22"/>
          <w:lang w:val="en-AU" w:eastAsia="en-AU"/>
        </w:rPr>
        <w:t xml:space="preserve">: Best Corrected Visual Acuity </w:t>
      </w:r>
    </w:p>
    <w:p w14:paraId="2CB32429"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 xml:space="preserve">ETDRS: Early Treatment Diabetic Retinopathy Study </w:t>
      </w:r>
    </w:p>
    <w:p w14:paraId="6F7EFB94"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 xml:space="preserve">CI: Confidence Interval </w:t>
      </w:r>
    </w:p>
    <w:p w14:paraId="75864FED"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 xml:space="preserve">LS: Least Square </w:t>
      </w:r>
    </w:p>
    <w:p w14:paraId="3CB53E58" w14:textId="1489F9AF" w:rsidR="00F222DB" w:rsidRPr="00F222DB" w:rsidRDefault="00F222DB" w:rsidP="00F222DB">
      <w:pPr>
        <w:pStyle w:val="SynopsisText"/>
        <w:spacing w:after="0"/>
        <w:rPr>
          <w:sz w:val="22"/>
          <w:szCs w:val="22"/>
          <w:lang w:val="en-AU" w:eastAsia="en-AU"/>
        </w:rPr>
      </w:pPr>
      <w:r w:rsidRPr="00F222DB">
        <w:rPr>
          <w:sz w:val="22"/>
          <w:szCs w:val="22"/>
          <w:lang w:val="en-AU" w:eastAsia="en-AU"/>
        </w:rPr>
        <w:t>CMH: Cochran–Mantel–Haenszel method; a statistical test t</w:t>
      </w:r>
      <w:r>
        <w:rPr>
          <w:sz w:val="22"/>
          <w:szCs w:val="22"/>
          <w:lang w:val="en-AU" w:eastAsia="en-AU"/>
        </w:rPr>
        <w:t>hat generates an estimate of an a</w:t>
      </w:r>
      <w:r w:rsidRPr="00F222DB">
        <w:rPr>
          <w:sz w:val="22"/>
          <w:szCs w:val="22"/>
          <w:lang w:val="en-AU" w:eastAsia="en-AU"/>
        </w:rPr>
        <w:t>ssociation with a binary outcome and is used for assessment of categorical variables.</w:t>
      </w:r>
    </w:p>
    <w:p w14:paraId="4AFE4FEC" w14:textId="4F5A0D66" w:rsidR="00F222DB" w:rsidRDefault="00F222DB" w:rsidP="00F222DB">
      <w:pPr>
        <w:pStyle w:val="SynopsisText"/>
        <w:spacing w:after="0"/>
        <w:rPr>
          <w:sz w:val="22"/>
          <w:szCs w:val="22"/>
          <w:lang w:val="en-AU" w:eastAsia="en-AU"/>
        </w:rPr>
      </w:pPr>
      <w:r w:rsidRPr="00F222DB">
        <w:rPr>
          <w:sz w:val="22"/>
          <w:szCs w:val="22"/>
          <w:lang w:val="en-AU" w:eastAsia="en-AU"/>
        </w:rPr>
        <w:t xml:space="preserve">Note: CMH weighted % for aflibercept arm presented for </w:t>
      </w:r>
      <w:proofErr w:type="spellStart"/>
      <w:r w:rsidRPr="00F222DB">
        <w:rPr>
          <w:sz w:val="22"/>
          <w:szCs w:val="22"/>
          <w:lang w:val="en-AU" w:eastAsia="en-AU"/>
        </w:rPr>
        <w:t>V</w:t>
      </w:r>
      <w:r w:rsidR="00E00D93" w:rsidRPr="00F222DB">
        <w:rPr>
          <w:sz w:val="22"/>
          <w:szCs w:val="22"/>
          <w:lang w:val="en-AU" w:eastAsia="en-AU"/>
        </w:rPr>
        <w:t>abysmo</w:t>
      </w:r>
      <w:proofErr w:type="spellEnd"/>
      <w:r w:rsidRPr="00F222DB">
        <w:rPr>
          <w:sz w:val="22"/>
          <w:szCs w:val="22"/>
          <w:lang w:val="en-AU" w:eastAsia="en-AU"/>
        </w:rPr>
        <w:t xml:space="preserve"> Q8W vs. aflibercept comparison, however the corresponding CMH weighted % for </w:t>
      </w:r>
      <w:proofErr w:type="spellStart"/>
      <w:r w:rsidRPr="00F222DB">
        <w:rPr>
          <w:sz w:val="22"/>
          <w:szCs w:val="22"/>
          <w:lang w:val="en-AU" w:eastAsia="en-AU"/>
        </w:rPr>
        <w:t>V</w:t>
      </w:r>
      <w:r w:rsidR="00E00D93" w:rsidRPr="00F222DB">
        <w:rPr>
          <w:sz w:val="22"/>
          <w:szCs w:val="22"/>
          <w:lang w:val="en-AU" w:eastAsia="en-AU"/>
        </w:rPr>
        <w:t>abysmo</w:t>
      </w:r>
      <w:proofErr w:type="spellEnd"/>
      <w:r w:rsidRPr="00F222DB">
        <w:rPr>
          <w:sz w:val="22"/>
          <w:szCs w:val="22"/>
          <w:lang w:val="en-AU" w:eastAsia="en-AU"/>
        </w:rPr>
        <w:t xml:space="preserve"> adjustable vs. aflibercept comparison is </w:t>
      </w:r>
      <w:proofErr w:type="gramStart"/>
      <w:r w:rsidRPr="00F222DB">
        <w:rPr>
          <w:sz w:val="22"/>
          <w:szCs w:val="22"/>
          <w:lang w:val="en-AU" w:eastAsia="en-AU"/>
        </w:rPr>
        <w:t>similar to</w:t>
      </w:r>
      <w:proofErr w:type="gramEnd"/>
      <w:r w:rsidRPr="00F222DB">
        <w:rPr>
          <w:sz w:val="22"/>
          <w:szCs w:val="22"/>
          <w:lang w:val="en-AU" w:eastAsia="en-AU"/>
        </w:rPr>
        <w:t xml:space="preserve"> the one shown above.</w:t>
      </w:r>
    </w:p>
    <w:p w14:paraId="070C2843" w14:textId="0103F140" w:rsidR="00E218C1" w:rsidRDefault="00E218C1" w:rsidP="00F222DB">
      <w:pPr>
        <w:pStyle w:val="SynopsisText"/>
        <w:spacing w:after="0"/>
        <w:rPr>
          <w:sz w:val="22"/>
          <w:szCs w:val="22"/>
          <w:lang w:val="en-AU" w:eastAsia="en-AU"/>
        </w:rPr>
      </w:pPr>
    </w:p>
    <w:p w14:paraId="1E1CA954" w14:textId="200B088D" w:rsidR="00E218C1" w:rsidRPr="00F222DB" w:rsidRDefault="00E218C1" w:rsidP="006E1D51">
      <w:pPr>
        <w:keepNext/>
        <w:pageBreakBefore/>
        <w:spacing w:after="120" w:line="300" w:lineRule="atLeast"/>
        <w:ind w:left="992" w:hanging="992"/>
        <w:rPr>
          <w:color w:val="auto"/>
        </w:rPr>
      </w:pPr>
      <w:r w:rsidRPr="00DA4EF8">
        <w:rPr>
          <w:b/>
          <w:bCs/>
          <w:color w:val="auto"/>
        </w:rPr>
        <w:t>Table 3</w:t>
      </w:r>
      <w:r w:rsidR="00F555BE" w:rsidRPr="00DA4EF8">
        <w:rPr>
          <w:b/>
          <w:bCs/>
          <w:color w:val="auto"/>
        </w:rPr>
        <w:t>b</w:t>
      </w:r>
      <w:r w:rsidRPr="00DA4EF8">
        <w:rPr>
          <w:color w:val="auto"/>
        </w:rPr>
        <w:t xml:space="preserve"> </w:t>
      </w:r>
      <w:r w:rsidRPr="00DA4EF8">
        <w:rPr>
          <w:color w:val="auto"/>
        </w:rPr>
        <w:tab/>
      </w:r>
      <w:r w:rsidRPr="00DA4EF8">
        <w:rPr>
          <w:b/>
          <w:color w:val="auto"/>
        </w:rPr>
        <w:t xml:space="preserve">Efficacy outcomes at the year 1 primary endpoint </w:t>
      </w:r>
      <w:proofErr w:type="spellStart"/>
      <w:r w:rsidRPr="00DA4EF8">
        <w:rPr>
          <w:b/>
          <w:color w:val="auto"/>
        </w:rPr>
        <w:t>visits</w:t>
      </w:r>
      <w:r w:rsidRPr="00DA4EF8">
        <w:rPr>
          <w:b/>
          <w:color w:val="auto"/>
          <w:vertAlign w:val="superscript"/>
        </w:rPr>
        <w:t>a</w:t>
      </w:r>
      <w:proofErr w:type="spellEnd"/>
      <w:r w:rsidRPr="00DA4EF8">
        <w:rPr>
          <w:b/>
          <w:color w:val="auto"/>
        </w:rPr>
        <w:t xml:space="preserve"> and at year 2</w:t>
      </w:r>
      <w:r w:rsidRPr="00DA4EF8">
        <w:rPr>
          <w:b/>
          <w:color w:val="auto"/>
          <w:vertAlign w:val="superscript"/>
        </w:rPr>
        <w:t>b</w:t>
      </w:r>
      <w:r w:rsidRPr="00DA4EF8">
        <w:rPr>
          <w:b/>
          <w:color w:val="auto"/>
        </w:rPr>
        <w:t xml:space="preserve"> in RHINE</w:t>
      </w:r>
    </w:p>
    <w:tbl>
      <w:tblPr>
        <w:tblW w:w="9530" w:type="dxa"/>
        <w:tblLayout w:type="fixed"/>
        <w:tblCellMar>
          <w:top w:w="15" w:type="dxa"/>
          <w:left w:w="15" w:type="dxa"/>
          <w:bottom w:w="15" w:type="dxa"/>
          <w:right w:w="15" w:type="dxa"/>
        </w:tblCellMar>
        <w:tblLook w:val="04A0" w:firstRow="1" w:lastRow="0" w:firstColumn="1" w:lastColumn="0" w:noHBand="0" w:noVBand="1"/>
      </w:tblPr>
      <w:tblGrid>
        <w:gridCol w:w="2060"/>
        <w:gridCol w:w="1170"/>
        <w:gridCol w:w="1260"/>
        <w:gridCol w:w="1350"/>
        <w:gridCol w:w="1140"/>
        <w:gridCol w:w="1200"/>
        <w:gridCol w:w="1350"/>
      </w:tblGrid>
      <w:tr w:rsidR="00F555BE" w:rsidRPr="00F222DB" w14:paraId="4846B636" w14:textId="77777777" w:rsidTr="007238C9">
        <w:trPr>
          <w:trHeight w:val="222"/>
        </w:trPr>
        <w:tc>
          <w:tcPr>
            <w:tcW w:w="206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4C98C099" w14:textId="77777777" w:rsidR="00F555BE" w:rsidRPr="00F222DB" w:rsidRDefault="00F555BE" w:rsidP="00DA4EF8">
            <w:pPr>
              <w:tabs>
                <w:tab w:val="left" w:pos="567"/>
              </w:tabs>
              <w:spacing w:before="40" w:after="40"/>
              <w:rPr>
                <w:bCs/>
                <w:iCs/>
                <w:sz w:val="22"/>
                <w:szCs w:val="22"/>
                <w:lang w:eastAsia="en-US"/>
              </w:rPr>
            </w:pPr>
            <w:r w:rsidRPr="00F222DB">
              <w:rPr>
                <w:b/>
                <w:sz w:val="22"/>
                <w:szCs w:val="22"/>
                <w:lang w:eastAsia="en-US"/>
              </w:rPr>
              <w:t>Efficacy Outcomes</w:t>
            </w:r>
          </w:p>
        </w:tc>
        <w:tc>
          <w:tcPr>
            <w:tcW w:w="747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0CAC9B" w14:textId="02AADBE3" w:rsidR="00F555BE" w:rsidRPr="00F222DB" w:rsidRDefault="00F555BE" w:rsidP="00DA4EF8">
            <w:pPr>
              <w:tabs>
                <w:tab w:val="left" w:pos="567"/>
              </w:tabs>
              <w:spacing w:before="40" w:after="40"/>
              <w:jc w:val="center"/>
              <w:rPr>
                <w:b/>
                <w:bCs/>
                <w:iCs/>
                <w:sz w:val="22"/>
                <w:szCs w:val="22"/>
                <w:lang w:eastAsia="en-US"/>
              </w:rPr>
            </w:pPr>
            <w:r w:rsidRPr="00F222DB">
              <w:rPr>
                <w:b/>
                <w:bCs/>
                <w:iCs/>
                <w:sz w:val="22"/>
                <w:szCs w:val="22"/>
                <w:lang w:eastAsia="en-US"/>
              </w:rPr>
              <w:t>RHINE</w:t>
            </w:r>
          </w:p>
        </w:tc>
      </w:tr>
      <w:tr w:rsidR="00E218C1" w:rsidRPr="00F222DB" w14:paraId="5826F75F" w14:textId="77777777" w:rsidTr="007238C9">
        <w:trPr>
          <w:trHeight w:val="222"/>
        </w:trPr>
        <w:tc>
          <w:tcPr>
            <w:tcW w:w="206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BC911DA" w14:textId="77777777" w:rsidR="00E218C1" w:rsidRPr="00F222DB" w:rsidRDefault="00E218C1" w:rsidP="00DA4EF8">
            <w:pPr>
              <w:tabs>
                <w:tab w:val="left" w:pos="567"/>
              </w:tabs>
              <w:spacing w:before="40" w:after="40"/>
              <w:rPr>
                <w:b/>
                <w:sz w:val="22"/>
                <w:szCs w:val="22"/>
                <w:lang w:eastAsia="en-US"/>
              </w:rPr>
            </w:pPr>
          </w:p>
        </w:tc>
        <w:tc>
          <w:tcPr>
            <w:tcW w:w="378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BEC909" w14:textId="77777777" w:rsidR="00E218C1" w:rsidRPr="00F222DB" w:rsidRDefault="00E218C1" w:rsidP="00DA4EF8">
            <w:pPr>
              <w:tabs>
                <w:tab w:val="left" w:pos="567"/>
              </w:tabs>
              <w:spacing w:before="40" w:after="40"/>
              <w:jc w:val="center"/>
              <w:rPr>
                <w:b/>
                <w:bCs/>
                <w:iCs/>
                <w:sz w:val="22"/>
                <w:szCs w:val="22"/>
                <w:lang w:eastAsia="en-US"/>
              </w:rPr>
            </w:pPr>
            <w:r>
              <w:rPr>
                <w:b/>
                <w:bCs/>
                <w:iCs/>
                <w:sz w:val="22"/>
                <w:szCs w:val="22"/>
                <w:lang w:eastAsia="en-US"/>
              </w:rPr>
              <w:t>Year 1</w:t>
            </w:r>
          </w:p>
        </w:tc>
        <w:tc>
          <w:tcPr>
            <w:tcW w:w="369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34D3C" w14:textId="2036173E" w:rsidR="00E218C1" w:rsidRPr="00F222DB" w:rsidRDefault="00F555BE" w:rsidP="00DA4EF8">
            <w:pPr>
              <w:tabs>
                <w:tab w:val="left" w:pos="567"/>
              </w:tabs>
              <w:spacing w:before="40" w:after="40"/>
              <w:jc w:val="center"/>
              <w:rPr>
                <w:b/>
                <w:bCs/>
                <w:iCs/>
                <w:sz w:val="22"/>
                <w:szCs w:val="22"/>
                <w:lang w:eastAsia="en-US"/>
              </w:rPr>
            </w:pPr>
            <w:r>
              <w:rPr>
                <w:b/>
                <w:bCs/>
                <w:iCs/>
                <w:sz w:val="22"/>
                <w:szCs w:val="22"/>
                <w:lang w:eastAsia="en-US"/>
              </w:rPr>
              <w:t>Year 2</w:t>
            </w:r>
          </w:p>
        </w:tc>
      </w:tr>
      <w:tr w:rsidR="00E218C1" w:rsidRPr="00F222DB" w14:paraId="67C99D8D" w14:textId="77777777" w:rsidTr="007238C9">
        <w:tc>
          <w:tcPr>
            <w:tcW w:w="206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69ECEC06" w14:textId="77777777" w:rsidR="00E218C1" w:rsidRPr="00F222DB" w:rsidRDefault="00E218C1" w:rsidP="00DA4EF8">
            <w:pPr>
              <w:tabs>
                <w:tab w:val="left" w:pos="567"/>
              </w:tabs>
              <w:spacing w:before="40" w:after="40"/>
              <w:rPr>
                <w:bCs/>
                <w:iCs/>
                <w:sz w:val="22"/>
                <w:szCs w:val="22"/>
                <w:lang w:eastAsia="en-US"/>
              </w:rPr>
            </w:pP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278D54" w14:textId="77777777" w:rsidR="00E218C1" w:rsidRPr="00F222DB" w:rsidRDefault="00E218C1" w:rsidP="00DA4EF8">
            <w:pPr>
              <w:tabs>
                <w:tab w:val="left" w:pos="567"/>
              </w:tabs>
              <w:spacing w:before="40" w:after="40"/>
              <w:jc w:val="center"/>
              <w:rPr>
                <w:b/>
                <w:bCs/>
                <w:iCs/>
                <w:sz w:val="22"/>
                <w:szCs w:val="22"/>
                <w:lang w:eastAsia="en-US"/>
              </w:rPr>
            </w:pPr>
            <w:proofErr w:type="spellStart"/>
            <w:r w:rsidRPr="00F222DB">
              <w:rPr>
                <w:b/>
                <w:sz w:val="22"/>
                <w:szCs w:val="22"/>
                <w:lang w:eastAsia="en-US"/>
              </w:rPr>
              <w:t>V</w:t>
            </w:r>
            <w:r>
              <w:rPr>
                <w:b/>
                <w:sz w:val="22"/>
                <w:szCs w:val="22"/>
                <w:lang w:eastAsia="en-US"/>
              </w:rPr>
              <w:t>abysmo</w:t>
            </w:r>
            <w:proofErr w:type="spellEnd"/>
            <w:r w:rsidRPr="00F222DB">
              <w:rPr>
                <w:b/>
                <w:bCs/>
                <w:iCs/>
                <w:sz w:val="22"/>
                <w:szCs w:val="22"/>
                <w:lang w:eastAsia="en-US"/>
              </w:rPr>
              <w:t xml:space="preserve"> Q8W</w:t>
            </w:r>
          </w:p>
          <w:p w14:paraId="25659F9E" w14:textId="32680DE2"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N = 31</w:t>
            </w:r>
            <w:r w:rsidR="00DA4EF8">
              <w:rPr>
                <w:b/>
                <w:bCs/>
                <w:iCs/>
                <w:sz w:val="22"/>
                <w:szCs w:val="22"/>
                <w:lang w:eastAsia="en-US"/>
              </w:rPr>
              <w:t>7</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A92A8B" w14:textId="77777777" w:rsidR="00E218C1" w:rsidRPr="00F222DB" w:rsidRDefault="00E218C1" w:rsidP="00DA4EF8">
            <w:pPr>
              <w:tabs>
                <w:tab w:val="left" w:pos="567"/>
              </w:tabs>
              <w:spacing w:before="40" w:after="40"/>
              <w:jc w:val="center"/>
              <w:rPr>
                <w:b/>
                <w:bCs/>
                <w:iCs/>
                <w:sz w:val="22"/>
                <w:szCs w:val="22"/>
                <w:lang w:eastAsia="en-US"/>
              </w:rPr>
            </w:pPr>
            <w:proofErr w:type="spellStart"/>
            <w:r w:rsidRPr="00F222DB">
              <w:rPr>
                <w:b/>
                <w:sz w:val="22"/>
                <w:szCs w:val="22"/>
                <w:lang w:eastAsia="en-US"/>
              </w:rPr>
              <w:t>Vabysmo</w:t>
            </w:r>
            <w:proofErr w:type="spellEnd"/>
            <w:r w:rsidRPr="00F222DB">
              <w:rPr>
                <w:b/>
                <w:bCs/>
                <w:iCs/>
                <w:sz w:val="22"/>
                <w:szCs w:val="22"/>
                <w:lang w:eastAsia="en-US"/>
              </w:rPr>
              <w:t xml:space="preserve"> up to Q16W adjustable dosing</w:t>
            </w:r>
          </w:p>
          <w:p w14:paraId="62D1EE89" w14:textId="5BBF0D8E"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N = 31</w:t>
            </w:r>
            <w:r w:rsidR="00DA4EF8">
              <w:rPr>
                <w:b/>
                <w:bCs/>
                <w:iCs/>
                <w:sz w:val="22"/>
                <w:szCs w:val="22"/>
                <w:lang w:eastAsia="en-US"/>
              </w:rPr>
              <w:t>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8E805" w14:textId="77777777"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Aflibercept Q8W</w:t>
            </w:r>
          </w:p>
          <w:p w14:paraId="12A9D106" w14:textId="41827B5D"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N = 31</w:t>
            </w:r>
            <w:r w:rsidR="00DA4EF8">
              <w:rPr>
                <w:b/>
                <w:bCs/>
                <w:iCs/>
                <w:sz w:val="22"/>
                <w:szCs w:val="22"/>
                <w:lang w:eastAsia="en-US"/>
              </w:rPr>
              <w:t>5</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C4986B" w14:textId="77777777" w:rsidR="00E218C1" w:rsidRPr="00F222DB" w:rsidRDefault="00E218C1" w:rsidP="00DA4EF8">
            <w:pPr>
              <w:tabs>
                <w:tab w:val="left" w:pos="567"/>
              </w:tabs>
              <w:spacing w:before="40" w:after="40"/>
              <w:jc w:val="center"/>
              <w:rPr>
                <w:b/>
                <w:bCs/>
                <w:iCs/>
                <w:sz w:val="22"/>
                <w:szCs w:val="22"/>
                <w:lang w:eastAsia="en-US"/>
              </w:rPr>
            </w:pPr>
            <w:proofErr w:type="spellStart"/>
            <w:r w:rsidRPr="00F222DB">
              <w:rPr>
                <w:b/>
                <w:sz w:val="22"/>
                <w:szCs w:val="22"/>
                <w:lang w:eastAsia="en-US"/>
              </w:rPr>
              <w:t>Vabysmo</w:t>
            </w:r>
            <w:proofErr w:type="spellEnd"/>
            <w:r w:rsidRPr="00F222DB">
              <w:rPr>
                <w:b/>
                <w:bCs/>
                <w:iCs/>
                <w:sz w:val="22"/>
                <w:szCs w:val="22"/>
                <w:lang w:eastAsia="en-US"/>
              </w:rPr>
              <w:t xml:space="preserve"> Q8W</w:t>
            </w:r>
          </w:p>
          <w:p w14:paraId="6C17EE0D" w14:textId="24A5F006"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 xml:space="preserve">N = </w:t>
            </w:r>
            <w:r w:rsidR="00DA4EF8">
              <w:rPr>
                <w:b/>
                <w:bCs/>
                <w:iCs/>
                <w:sz w:val="22"/>
                <w:szCs w:val="22"/>
                <w:lang w:eastAsia="en-US"/>
              </w:rPr>
              <w:t>259</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1456DD" w14:textId="77777777" w:rsidR="00E218C1" w:rsidRPr="00F222DB" w:rsidRDefault="00E218C1" w:rsidP="00DA4EF8">
            <w:pPr>
              <w:tabs>
                <w:tab w:val="left" w:pos="567"/>
              </w:tabs>
              <w:spacing w:before="40" w:after="40"/>
              <w:jc w:val="center"/>
              <w:rPr>
                <w:b/>
                <w:bCs/>
                <w:iCs/>
                <w:sz w:val="22"/>
                <w:szCs w:val="22"/>
                <w:lang w:eastAsia="en-US"/>
              </w:rPr>
            </w:pPr>
            <w:proofErr w:type="spellStart"/>
            <w:r w:rsidRPr="00F222DB">
              <w:rPr>
                <w:b/>
                <w:sz w:val="22"/>
                <w:szCs w:val="22"/>
                <w:lang w:eastAsia="en-US"/>
              </w:rPr>
              <w:t>Vabysmo</w:t>
            </w:r>
            <w:proofErr w:type="spellEnd"/>
            <w:r w:rsidRPr="00F222DB">
              <w:rPr>
                <w:b/>
                <w:bCs/>
                <w:iCs/>
                <w:sz w:val="22"/>
                <w:szCs w:val="22"/>
                <w:lang w:eastAsia="en-US"/>
              </w:rPr>
              <w:t xml:space="preserve"> up to Q16W adjustable dosing</w:t>
            </w:r>
          </w:p>
          <w:p w14:paraId="40555D16" w14:textId="06B32F81"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 xml:space="preserve">N = </w:t>
            </w:r>
            <w:r w:rsidR="00DA4EF8">
              <w:rPr>
                <w:b/>
                <w:bCs/>
                <w:iCs/>
                <w:sz w:val="22"/>
                <w:szCs w:val="22"/>
                <w:lang w:eastAsia="en-US"/>
              </w:rPr>
              <w:t>282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0F820" w14:textId="77777777"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Aflibercept Q8W</w:t>
            </w:r>
          </w:p>
          <w:p w14:paraId="429BA304" w14:textId="1FA52C78" w:rsidR="00E218C1" w:rsidRPr="00F222DB" w:rsidRDefault="00E218C1" w:rsidP="00DA4EF8">
            <w:pPr>
              <w:tabs>
                <w:tab w:val="left" w:pos="567"/>
              </w:tabs>
              <w:spacing w:before="40" w:after="40"/>
              <w:jc w:val="center"/>
              <w:rPr>
                <w:b/>
                <w:bCs/>
                <w:iCs/>
                <w:sz w:val="22"/>
                <w:szCs w:val="22"/>
                <w:lang w:eastAsia="en-US"/>
              </w:rPr>
            </w:pPr>
            <w:r w:rsidRPr="00F222DB">
              <w:rPr>
                <w:b/>
                <w:bCs/>
                <w:iCs/>
                <w:sz w:val="22"/>
                <w:szCs w:val="22"/>
                <w:lang w:eastAsia="en-US"/>
              </w:rPr>
              <w:t xml:space="preserve">N = </w:t>
            </w:r>
            <w:r w:rsidR="00DA4EF8">
              <w:rPr>
                <w:b/>
                <w:bCs/>
                <w:iCs/>
                <w:sz w:val="22"/>
                <w:szCs w:val="22"/>
                <w:lang w:eastAsia="en-US"/>
              </w:rPr>
              <w:t>254</w:t>
            </w:r>
          </w:p>
        </w:tc>
      </w:tr>
      <w:tr w:rsidR="00DA4EF8" w:rsidRPr="00F222DB" w14:paraId="609C5C26"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AE26E7" w14:textId="2FEBC171" w:rsidR="00DA4EF8" w:rsidRPr="00F222DB" w:rsidRDefault="00DA4EF8" w:rsidP="00DA4EF8">
            <w:pPr>
              <w:tabs>
                <w:tab w:val="left" w:pos="567"/>
              </w:tabs>
              <w:spacing w:before="40" w:after="40"/>
              <w:rPr>
                <w:bCs/>
                <w:iCs/>
                <w:sz w:val="22"/>
                <w:szCs w:val="22"/>
                <w:lang w:eastAsia="en-US"/>
              </w:rPr>
            </w:pPr>
            <w:r w:rsidRPr="00F222DB">
              <w:rPr>
                <w:bCs/>
                <w:iCs/>
                <w:sz w:val="22"/>
                <w:szCs w:val="22"/>
                <w:lang w:eastAsia="en-US"/>
              </w:rPr>
              <w:t>Mean change in BCVA as measured by ETDRS letter score from baseline (97.5% CI</w:t>
            </w:r>
            <w:r>
              <w:rPr>
                <w:bCs/>
                <w:iCs/>
                <w:sz w:val="22"/>
                <w:szCs w:val="22"/>
                <w:lang w:eastAsia="en-US"/>
              </w:rPr>
              <w:t xml:space="preserve"> </w:t>
            </w:r>
            <w:r w:rsidRPr="00DA4EF8">
              <w:rPr>
                <w:bCs/>
                <w:iCs/>
                <w:sz w:val="22"/>
                <w:szCs w:val="22"/>
                <w:lang w:eastAsia="en-US"/>
              </w:rPr>
              <w:t xml:space="preserve">year 1 and 95% </w:t>
            </w:r>
            <w:r>
              <w:rPr>
                <w:bCs/>
                <w:iCs/>
                <w:sz w:val="22"/>
                <w:szCs w:val="22"/>
                <w:lang w:eastAsia="en-US"/>
              </w:rPr>
              <w:t xml:space="preserve">CI </w:t>
            </w:r>
            <w:r w:rsidRPr="00DA4EF8">
              <w:rPr>
                <w:bCs/>
                <w:iCs/>
                <w:sz w:val="22"/>
                <w:szCs w:val="22"/>
                <w:lang w:eastAsia="en-US"/>
              </w:rPr>
              <w:t>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D5E0C"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11.8</w:t>
            </w:r>
          </w:p>
          <w:p w14:paraId="194BE499" w14:textId="5AADC48E"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(10.6, 13.0)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D1218"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10.8</w:t>
            </w:r>
          </w:p>
          <w:p w14:paraId="422F5000" w14:textId="330BFE22"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(9.6, 11.9)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D18167"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10.3</w:t>
            </w:r>
          </w:p>
          <w:p w14:paraId="6AC0582F" w14:textId="705E0E5A"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(9.1, 11.4)</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5BDE7C"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10.9</w:t>
            </w:r>
          </w:p>
          <w:p w14:paraId="61A5F301" w14:textId="26732094"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(9.5, 12.3)</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89928"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10.1</w:t>
            </w:r>
          </w:p>
          <w:p w14:paraId="59806790" w14:textId="13A89D41"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(8.7, 11.5)</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87ADF"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9.4</w:t>
            </w:r>
          </w:p>
          <w:p w14:paraId="7DB33F9D" w14:textId="51DE8AF0"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(7.9, 10.8)</w:t>
            </w:r>
          </w:p>
        </w:tc>
      </w:tr>
      <w:tr w:rsidR="00DA4EF8" w:rsidRPr="00F222DB" w14:paraId="42A4BD56"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81038" w14:textId="10F2B0B5" w:rsidR="00DA4EF8" w:rsidRPr="00F222DB" w:rsidRDefault="00DA4EF8" w:rsidP="00DA4EF8">
            <w:pPr>
              <w:tabs>
                <w:tab w:val="left" w:pos="567"/>
              </w:tabs>
              <w:spacing w:before="40" w:after="40"/>
              <w:rPr>
                <w:bCs/>
                <w:iCs/>
                <w:sz w:val="22"/>
                <w:szCs w:val="22"/>
                <w:lang w:eastAsia="en-US"/>
              </w:rPr>
            </w:pPr>
            <w:r w:rsidRPr="00F222DB">
              <w:rPr>
                <w:bCs/>
                <w:iCs/>
                <w:sz w:val="22"/>
                <w:szCs w:val="22"/>
                <w:lang w:eastAsia="en-US"/>
              </w:rPr>
              <w:t>Difference in LS mean (</w:t>
            </w:r>
            <w:r>
              <w:rPr>
                <w:bCs/>
                <w:iCs/>
                <w:sz w:val="22"/>
                <w:szCs w:val="22"/>
                <w:lang w:eastAsia="en-US"/>
              </w:rPr>
              <w:t xml:space="preserve">97.5% </w:t>
            </w:r>
            <w:r w:rsidRPr="00F222DB">
              <w:rPr>
                <w:bCs/>
                <w:iCs/>
                <w:sz w:val="22"/>
                <w:szCs w:val="22"/>
                <w:lang w:eastAsia="en-US"/>
              </w:rPr>
              <w:t>CI</w:t>
            </w:r>
            <w:r w:rsidRPr="00DA4EF8">
              <w:rPr>
                <w:bCs/>
                <w:iCs/>
                <w:sz w:val="22"/>
                <w:szCs w:val="22"/>
                <w:lang w:eastAsia="en-US"/>
              </w:rPr>
              <w:t xml:space="preserve"> year 1 and 95% </w:t>
            </w:r>
            <w:r>
              <w:rPr>
                <w:bCs/>
                <w:iCs/>
                <w:sz w:val="22"/>
                <w:szCs w:val="22"/>
                <w:lang w:eastAsia="en-US"/>
              </w:rPr>
              <w:t xml:space="preserve">CI </w:t>
            </w:r>
            <w:r w:rsidRPr="00DA4EF8">
              <w:rPr>
                <w:bCs/>
                <w:iCs/>
                <w:sz w:val="22"/>
                <w:szCs w:val="22"/>
                <w:lang w:eastAsia="en-US"/>
              </w:rPr>
              <w:t>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827DE"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1.5</w:t>
            </w:r>
          </w:p>
          <w:p w14:paraId="5ABD7A90" w14:textId="688E697B"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(-0.1, 3.2)</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B0B6B"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0.5</w:t>
            </w:r>
          </w:p>
          <w:p w14:paraId="3A2CD070" w14:textId="2A81C65D"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(-1.1, 2.1)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51E12" w14:textId="77777777" w:rsidR="00DA4EF8" w:rsidRPr="00F222DB" w:rsidRDefault="00DA4EF8" w:rsidP="00DA4EF8">
            <w:pPr>
              <w:tabs>
                <w:tab w:val="left" w:pos="567"/>
              </w:tabs>
              <w:spacing w:before="40" w:after="40"/>
              <w:jc w:val="center"/>
              <w:rPr>
                <w:bCs/>
                <w:iCs/>
                <w:sz w:val="22"/>
                <w:szCs w:val="22"/>
                <w:lang w:eastAsia="en-US"/>
              </w:rPr>
            </w:pP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424CB"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1.5 </w:t>
            </w:r>
          </w:p>
          <w:p w14:paraId="6318F7B8" w14:textId="3D4457A3"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(-0.5, 3.6)</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4C844"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0.7 </w:t>
            </w:r>
          </w:p>
          <w:p w14:paraId="7F01342C" w14:textId="4AB3E006"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(-1.3, 2.7)</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3B8686" w14:textId="77777777" w:rsidR="00DA4EF8" w:rsidRPr="00F222DB" w:rsidRDefault="00DA4EF8" w:rsidP="00DA4EF8">
            <w:pPr>
              <w:tabs>
                <w:tab w:val="left" w:pos="567"/>
              </w:tabs>
              <w:spacing w:before="40" w:after="40"/>
              <w:jc w:val="center"/>
              <w:rPr>
                <w:bCs/>
                <w:iCs/>
                <w:sz w:val="22"/>
                <w:szCs w:val="22"/>
                <w:lang w:eastAsia="en-US"/>
              </w:rPr>
            </w:pPr>
          </w:p>
        </w:tc>
      </w:tr>
      <w:tr w:rsidR="00DA4EF8" w:rsidRPr="00F222DB" w14:paraId="758B785F"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00736B" w14:textId="1922CFF8" w:rsidR="00DA4EF8" w:rsidRPr="00F222DB" w:rsidRDefault="00DA4EF8" w:rsidP="00DA4EF8">
            <w:pPr>
              <w:tabs>
                <w:tab w:val="left" w:pos="567"/>
              </w:tabs>
              <w:spacing w:before="40" w:after="40"/>
              <w:rPr>
                <w:bCs/>
                <w:iCs/>
                <w:sz w:val="22"/>
                <w:szCs w:val="22"/>
                <w:lang w:eastAsia="en-US"/>
              </w:rPr>
            </w:pPr>
            <w:r w:rsidRPr="00F222DB">
              <w:rPr>
                <w:bCs/>
                <w:iCs/>
                <w:sz w:val="22"/>
                <w:szCs w:val="22"/>
                <w:lang w:eastAsia="en-US"/>
              </w:rPr>
              <w:t xml:space="preserve">Proportion of patients who gained at least 15 letters in </w:t>
            </w:r>
            <w:r w:rsidRPr="00F222DB">
              <w:rPr>
                <w:bCs/>
                <w:iCs/>
                <w:sz w:val="22"/>
                <w:szCs w:val="22"/>
                <w:lang w:eastAsia="en-US"/>
              </w:rPr>
              <w:lastRenderedPageBreak/>
              <w:t>BCVA from baseline (CMH weighted proportion, 95% CI</w:t>
            </w:r>
            <w:r>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0A18E"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lastRenderedPageBreak/>
              <w:t>33.8%</w:t>
            </w:r>
          </w:p>
          <w:p w14:paraId="0E22D4E7" w14:textId="0122BEB9"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lastRenderedPageBreak/>
              <w:t>(28.4%, 39.2%)</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B07B0E"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lastRenderedPageBreak/>
              <w:t>28.5%</w:t>
            </w:r>
          </w:p>
          <w:p w14:paraId="7FAFD885" w14:textId="136DB0EA"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lastRenderedPageBreak/>
              <w:t>(23.6%, 33.3%)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1F1F4"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lastRenderedPageBreak/>
              <w:t>30.3%</w:t>
            </w:r>
          </w:p>
          <w:p w14:paraId="1524ABCB" w14:textId="16DBD504"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lastRenderedPageBreak/>
              <w:t>(25.0%, 35.5%)</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E8A3F"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lastRenderedPageBreak/>
              <w:t>39.8%</w:t>
            </w:r>
          </w:p>
          <w:p w14:paraId="225177A6" w14:textId="152A471D"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lastRenderedPageBreak/>
              <w:t>(34.0%, 45.6%)</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1E314"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lastRenderedPageBreak/>
              <w:t>31.1%</w:t>
            </w:r>
          </w:p>
          <w:p w14:paraId="6BDEFB8A" w14:textId="0F915CFF"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lastRenderedPageBreak/>
              <w:t>(26.1%, 36.1%)</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07F448"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lastRenderedPageBreak/>
              <w:t>39.0%</w:t>
            </w:r>
          </w:p>
          <w:p w14:paraId="0CA01D29" w14:textId="5F333E1A"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lastRenderedPageBreak/>
              <w:t>(33.2%, 44.8%)</w:t>
            </w:r>
          </w:p>
        </w:tc>
      </w:tr>
      <w:tr w:rsidR="00DA4EF8" w:rsidRPr="00F222DB" w14:paraId="4FAF7EA8"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5C37C" w14:textId="6EC8BF3E" w:rsidR="00DA4EF8" w:rsidRPr="00F222DB" w:rsidRDefault="00DA4EF8" w:rsidP="00DA4EF8">
            <w:pPr>
              <w:tabs>
                <w:tab w:val="left" w:pos="567"/>
              </w:tabs>
              <w:spacing w:before="40" w:after="40"/>
              <w:rPr>
                <w:bCs/>
                <w:iCs/>
                <w:sz w:val="22"/>
                <w:szCs w:val="22"/>
                <w:lang w:eastAsia="en-US"/>
              </w:rPr>
            </w:pPr>
            <w:r w:rsidRPr="00F222DB">
              <w:rPr>
                <w:bCs/>
                <w:iCs/>
                <w:sz w:val="22"/>
                <w:szCs w:val="22"/>
                <w:lang w:eastAsia="en-US"/>
              </w:rPr>
              <w:lastRenderedPageBreak/>
              <w:t>Difference in CMH weighted % (95% CI</w:t>
            </w:r>
            <w:r>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C9C2BE"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3.5%</w:t>
            </w:r>
          </w:p>
          <w:p w14:paraId="2FCC6894" w14:textId="3740CE96"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(-4.0%, 11.1%)</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34BD64"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-2.0%</w:t>
            </w:r>
          </w:p>
          <w:p w14:paraId="31D9E2BB" w14:textId="425270EE"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(-9.1%, 5.2%)</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B79E66"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98.6%</w:t>
            </w:r>
          </w:p>
          <w:p w14:paraId="0EDBFDBF" w14:textId="494484B3"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(97.2%, 99.9%)</w:t>
            </w: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DF579"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0.8% </w:t>
            </w:r>
          </w:p>
          <w:p w14:paraId="7540C389" w14:textId="373F1719"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(-7.4%, 9.0%)</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FF3A5"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-8% </w:t>
            </w:r>
          </w:p>
          <w:p w14:paraId="4E7679FA" w14:textId="1172E75F"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(-15.7%, -0.3%)</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25339" w14:textId="77777777" w:rsidR="00DA4EF8" w:rsidRPr="00F222DB" w:rsidRDefault="00DA4EF8" w:rsidP="00DA4EF8">
            <w:pPr>
              <w:tabs>
                <w:tab w:val="left" w:pos="567"/>
              </w:tabs>
              <w:spacing w:before="40" w:after="40"/>
              <w:jc w:val="center"/>
              <w:rPr>
                <w:bCs/>
                <w:iCs/>
                <w:sz w:val="22"/>
                <w:szCs w:val="22"/>
                <w:lang w:eastAsia="en-US"/>
              </w:rPr>
            </w:pPr>
          </w:p>
        </w:tc>
      </w:tr>
      <w:tr w:rsidR="00DA4EF8" w:rsidRPr="00F222DB" w14:paraId="0BE59C22"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9AE1C7" w14:textId="75A76602" w:rsidR="00DA4EF8" w:rsidRPr="00F222DB" w:rsidRDefault="00DA4EF8" w:rsidP="00DA4EF8">
            <w:pPr>
              <w:tabs>
                <w:tab w:val="left" w:pos="567"/>
              </w:tabs>
              <w:spacing w:before="40" w:after="40"/>
              <w:rPr>
                <w:bCs/>
                <w:iCs/>
                <w:sz w:val="22"/>
                <w:szCs w:val="22"/>
                <w:lang w:eastAsia="en-US"/>
              </w:rPr>
            </w:pPr>
            <w:r w:rsidRPr="00F222DB">
              <w:rPr>
                <w:bCs/>
                <w:iCs/>
                <w:sz w:val="22"/>
                <w:szCs w:val="22"/>
                <w:lang w:eastAsia="en-US"/>
              </w:rPr>
              <w:t>Proportion of patients who avoided loss of at least 15 letters in BCVA from baseline (CMH weighted proportion, 95% CI</w:t>
            </w:r>
            <w:r>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BE9433"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98.9%</w:t>
            </w:r>
          </w:p>
          <w:p w14:paraId="66BE7275" w14:textId="35481A21"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(97.6%, 100.0%)</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0D8DC"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98.7%</w:t>
            </w:r>
          </w:p>
          <w:p w14:paraId="4DCE01B5" w14:textId="07EC5FDE"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(97.4%, 100.0%)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EA51E" w14:textId="56889590" w:rsidR="00DA4EF8" w:rsidRPr="00F222DB" w:rsidRDefault="00DA4EF8" w:rsidP="00DA4EF8">
            <w:pPr>
              <w:tabs>
                <w:tab w:val="left" w:pos="567"/>
              </w:tabs>
              <w:spacing w:before="40" w:after="40"/>
              <w:jc w:val="center"/>
              <w:rPr>
                <w:bCs/>
                <w:iCs/>
                <w:sz w:val="22"/>
                <w:szCs w:val="22"/>
                <w:lang w:eastAsia="en-US"/>
              </w:rPr>
            </w:pP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58959D"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96.6%</w:t>
            </w:r>
          </w:p>
          <w:p w14:paraId="0E073645" w14:textId="16708639"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(94.4%, 98.8%)</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A57CF8"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96.8%</w:t>
            </w:r>
          </w:p>
          <w:p w14:paraId="7CF70003" w14:textId="72B7E0E0"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(94.8%, 98.9%)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B61435"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97.6%</w:t>
            </w:r>
          </w:p>
          <w:p w14:paraId="65E7E268" w14:textId="1831FC5D"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(95.7%, 99.5%)</w:t>
            </w:r>
          </w:p>
        </w:tc>
      </w:tr>
      <w:tr w:rsidR="00DA4EF8" w:rsidRPr="00F222DB" w14:paraId="4A70D40F" w14:textId="77777777" w:rsidTr="007238C9">
        <w:tc>
          <w:tcPr>
            <w:tcW w:w="2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36A7E" w14:textId="04B2EC95" w:rsidR="00DA4EF8" w:rsidRPr="00F222DB" w:rsidRDefault="00DA4EF8" w:rsidP="00DA4EF8">
            <w:pPr>
              <w:tabs>
                <w:tab w:val="left" w:pos="567"/>
              </w:tabs>
              <w:spacing w:before="40" w:after="40"/>
              <w:rPr>
                <w:bCs/>
                <w:iCs/>
                <w:sz w:val="22"/>
                <w:szCs w:val="22"/>
                <w:lang w:eastAsia="en-US"/>
              </w:rPr>
            </w:pPr>
            <w:r w:rsidRPr="00F222DB">
              <w:rPr>
                <w:bCs/>
                <w:iCs/>
                <w:sz w:val="22"/>
                <w:szCs w:val="22"/>
                <w:lang w:eastAsia="en-US"/>
              </w:rPr>
              <w:t>Difference in CMH weighted % (95% CI</w:t>
            </w:r>
            <w:r>
              <w:rPr>
                <w:bCs/>
                <w:iCs/>
                <w:sz w:val="22"/>
                <w:szCs w:val="22"/>
                <w:lang w:eastAsia="en-US"/>
              </w:rPr>
              <w:t xml:space="preserve"> year 1 and year 2</w:t>
            </w:r>
            <w:r w:rsidRPr="00F222DB">
              <w:rPr>
                <w:bCs/>
                <w:iCs/>
                <w:sz w:val="22"/>
                <w:szCs w:val="22"/>
                <w:lang w:eastAsia="en-US"/>
              </w:rPr>
              <w:t>)</w:t>
            </w:r>
          </w:p>
        </w:tc>
        <w:tc>
          <w:tcPr>
            <w:tcW w:w="11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601013"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0.3%</w:t>
            </w:r>
          </w:p>
          <w:p w14:paraId="75DB85CA" w14:textId="05558F8F"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(-1.6%, 2.1%)</w:t>
            </w:r>
          </w:p>
        </w:tc>
        <w:tc>
          <w:tcPr>
            <w:tcW w:w="12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BC4F9" w14:textId="77777777"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0.0%</w:t>
            </w:r>
          </w:p>
          <w:p w14:paraId="391C2778" w14:textId="52E062A4" w:rsidR="00DA4EF8" w:rsidRPr="00F222DB" w:rsidRDefault="00DA4EF8" w:rsidP="00DA4EF8">
            <w:pPr>
              <w:tabs>
                <w:tab w:val="left" w:pos="567"/>
              </w:tabs>
              <w:spacing w:before="40" w:after="40"/>
              <w:jc w:val="center"/>
              <w:rPr>
                <w:bCs/>
                <w:iCs/>
                <w:sz w:val="22"/>
                <w:szCs w:val="22"/>
                <w:lang w:eastAsia="en-US"/>
              </w:rPr>
            </w:pPr>
            <w:r w:rsidRPr="00F222DB">
              <w:rPr>
                <w:bCs/>
                <w:iCs/>
                <w:sz w:val="22"/>
                <w:szCs w:val="22"/>
                <w:lang w:eastAsia="en-US"/>
              </w:rPr>
              <w:t>(-1.8%, 1.9%)</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22EB3C" w14:textId="77777777" w:rsidR="00DA4EF8" w:rsidRPr="00F222DB" w:rsidRDefault="00DA4EF8" w:rsidP="00DA4EF8">
            <w:pPr>
              <w:tabs>
                <w:tab w:val="left" w:pos="567"/>
              </w:tabs>
              <w:spacing w:before="40" w:after="40"/>
              <w:jc w:val="center"/>
              <w:rPr>
                <w:bCs/>
                <w:iCs/>
                <w:sz w:val="22"/>
                <w:szCs w:val="22"/>
                <w:lang w:eastAsia="en-US"/>
              </w:rPr>
            </w:pPr>
          </w:p>
        </w:tc>
        <w:tc>
          <w:tcPr>
            <w:tcW w:w="1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0A3B5D"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-1.0% </w:t>
            </w:r>
          </w:p>
          <w:p w14:paraId="2853942F" w14:textId="4D941DB9"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(-3.9%, 1.9%)</w:t>
            </w:r>
          </w:p>
        </w:tc>
        <w:tc>
          <w:tcPr>
            <w:tcW w:w="12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787ECA" w14:textId="77777777" w:rsidR="00DA4EF8" w:rsidRPr="00DA4EF8" w:rsidRDefault="00DA4EF8" w:rsidP="00DA4EF8">
            <w:pPr>
              <w:tabs>
                <w:tab w:val="left" w:pos="567"/>
              </w:tabs>
              <w:spacing w:before="40" w:after="40"/>
              <w:jc w:val="center"/>
              <w:rPr>
                <w:bCs/>
                <w:iCs/>
                <w:sz w:val="22"/>
                <w:szCs w:val="22"/>
                <w:lang w:eastAsia="en-US"/>
              </w:rPr>
            </w:pPr>
            <w:r w:rsidRPr="00DA4EF8">
              <w:rPr>
                <w:bCs/>
                <w:iCs/>
                <w:sz w:val="22"/>
                <w:szCs w:val="22"/>
                <w:lang w:eastAsia="en-US"/>
              </w:rPr>
              <w:t xml:space="preserve">-0.7% </w:t>
            </w:r>
          </w:p>
          <w:p w14:paraId="2C422BEB" w14:textId="6BA4D064" w:rsidR="00DA4EF8" w:rsidRPr="00F222DB" w:rsidRDefault="00DA4EF8" w:rsidP="00DA4EF8">
            <w:pPr>
              <w:tabs>
                <w:tab w:val="left" w:pos="567"/>
              </w:tabs>
              <w:spacing w:before="40" w:after="40"/>
              <w:jc w:val="center"/>
              <w:rPr>
                <w:bCs/>
                <w:iCs/>
                <w:sz w:val="22"/>
                <w:szCs w:val="22"/>
                <w:lang w:eastAsia="en-US"/>
              </w:rPr>
            </w:pPr>
            <w:r w:rsidRPr="00DA4EF8">
              <w:rPr>
                <w:bCs/>
                <w:iCs/>
                <w:sz w:val="22"/>
                <w:szCs w:val="22"/>
                <w:lang w:eastAsia="en-US"/>
              </w:rPr>
              <w:t>(-3.5%, 2.0%)</w:t>
            </w:r>
          </w:p>
        </w:tc>
        <w:tc>
          <w:tcPr>
            <w:tcW w:w="13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BA0B4" w14:textId="77777777" w:rsidR="00DA4EF8" w:rsidRPr="00F222DB" w:rsidRDefault="00DA4EF8" w:rsidP="00DA4EF8">
            <w:pPr>
              <w:tabs>
                <w:tab w:val="left" w:pos="567"/>
              </w:tabs>
              <w:spacing w:before="40" w:after="40"/>
              <w:jc w:val="center"/>
              <w:rPr>
                <w:bCs/>
                <w:iCs/>
                <w:sz w:val="22"/>
                <w:szCs w:val="22"/>
                <w:lang w:eastAsia="en-US"/>
              </w:rPr>
            </w:pPr>
          </w:p>
        </w:tc>
      </w:tr>
    </w:tbl>
    <w:p w14:paraId="658425E7" w14:textId="66DE35F2" w:rsidR="00E218C1" w:rsidRPr="00F222DB" w:rsidRDefault="00E218C1" w:rsidP="00E218C1">
      <w:pPr>
        <w:pStyle w:val="SynopsisText"/>
        <w:spacing w:after="0"/>
        <w:rPr>
          <w:sz w:val="22"/>
          <w:szCs w:val="22"/>
          <w:lang w:val="en-AU" w:eastAsia="en-AU"/>
        </w:rPr>
      </w:pPr>
      <w:proofErr w:type="spellStart"/>
      <w:r w:rsidRPr="003E4887">
        <w:rPr>
          <w:sz w:val="22"/>
          <w:szCs w:val="22"/>
          <w:vertAlign w:val="superscript"/>
          <w:lang w:val="en-AU" w:eastAsia="en-AU"/>
        </w:rPr>
        <w:t>a</w:t>
      </w:r>
      <w:r w:rsidRPr="00F222DB">
        <w:rPr>
          <w:sz w:val="22"/>
          <w:szCs w:val="22"/>
          <w:lang w:val="en-AU" w:eastAsia="en-AU"/>
        </w:rPr>
        <w:t>Average</w:t>
      </w:r>
      <w:proofErr w:type="spellEnd"/>
      <w:r w:rsidRPr="00F222DB">
        <w:rPr>
          <w:sz w:val="22"/>
          <w:szCs w:val="22"/>
          <w:lang w:val="en-AU" w:eastAsia="en-AU"/>
        </w:rPr>
        <w:t xml:space="preserve"> of weeks 48, 52, 56</w:t>
      </w:r>
      <w:r w:rsidR="00DA4EF8" w:rsidRPr="00DA4EF8">
        <w:rPr>
          <w:sz w:val="22"/>
          <w:szCs w:val="22"/>
          <w:lang w:val="en-AU" w:eastAsia="en-AU"/>
        </w:rPr>
        <w:t xml:space="preserve">; </w:t>
      </w:r>
      <w:proofErr w:type="spellStart"/>
      <w:r w:rsidR="00DA4EF8" w:rsidRPr="00DA4EF8">
        <w:rPr>
          <w:sz w:val="22"/>
          <w:szCs w:val="22"/>
          <w:vertAlign w:val="superscript"/>
          <w:lang w:val="en-AU" w:eastAsia="en-AU"/>
        </w:rPr>
        <w:t>b</w:t>
      </w:r>
      <w:r w:rsidR="00DA4EF8" w:rsidRPr="00DA4EF8">
        <w:rPr>
          <w:sz w:val="22"/>
          <w:szCs w:val="22"/>
          <w:lang w:val="en-AU" w:eastAsia="en-AU"/>
        </w:rPr>
        <w:t>Average</w:t>
      </w:r>
      <w:proofErr w:type="spellEnd"/>
      <w:r w:rsidR="00DA4EF8" w:rsidRPr="00DA4EF8">
        <w:rPr>
          <w:sz w:val="22"/>
          <w:szCs w:val="22"/>
          <w:lang w:val="en-AU" w:eastAsia="en-AU"/>
        </w:rPr>
        <w:t xml:space="preserve"> of weeks 92, 96, 100</w:t>
      </w:r>
    </w:p>
    <w:p w14:paraId="19AF0E26" w14:textId="262FCC46" w:rsidR="00E218C1" w:rsidRPr="00F222DB" w:rsidRDefault="00B063F6" w:rsidP="00E218C1">
      <w:pPr>
        <w:pStyle w:val="SynopsisText"/>
        <w:spacing w:after="0"/>
        <w:rPr>
          <w:sz w:val="22"/>
          <w:szCs w:val="22"/>
          <w:lang w:val="en-AU" w:eastAsia="en-AU"/>
        </w:rPr>
      </w:pPr>
      <w:r>
        <w:rPr>
          <w:sz w:val="22"/>
          <w:szCs w:val="22"/>
          <w:lang w:val="en-AU" w:eastAsia="en-AU"/>
        </w:rPr>
        <w:t>BCVA</w:t>
      </w:r>
      <w:r w:rsidR="00E218C1" w:rsidRPr="00F222DB">
        <w:rPr>
          <w:sz w:val="22"/>
          <w:szCs w:val="22"/>
          <w:lang w:val="en-AU" w:eastAsia="en-AU"/>
        </w:rPr>
        <w:t xml:space="preserve">: Best Corrected Visual Acuity </w:t>
      </w:r>
    </w:p>
    <w:p w14:paraId="6BBE8B9D" w14:textId="77777777" w:rsidR="00E218C1" w:rsidRPr="00F222DB" w:rsidRDefault="00E218C1" w:rsidP="00E218C1">
      <w:pPr>
        <w:pStyle w:val="SynopsisText"/>
        <w:spacing w:after="0"/>
        <w:rPr>
          <w:sz w:val="22"/>
          <w:szCs w:val="22"/>
          <w:lang w:val="en-AU" w:eastAsia="en-AU"/>
        </w:rPr>
      </w:pPr>
      <w:r w:rsidRPr="00F222DB">
        <w:rPr>
          <w:sz w:val="22"/>
          <w:szCs w:val="22"/>
          <w:lang w:val="en-AU" w:eastAsia="en-AU"/>
        </w:rPr>
        <w:t xml:space="preserve">ETDRS: Early Treatment Diabetic Retinopathy Study </w:t>
      </w:r>
    </w:p>
    <w:p w14:paraId="07FEEEA4" w14:textId="77777777" w:rsidR="00E218C1" w:rsidRPr="00F222DB" w:rsidRDefault="00E218C1" w:rsidP="00E218C1">
      <w:pPr>
        <w:pStyle w:val="SynopsisText"/>
        <w:spacing w:after="0"/>
        <w:rPr>
          <w:sz w:val="22"/>
          <w:szCs w:val="22"/>
          <w:lang w:val="en-AU" w:eastAsia="en-AU"/>
        </w:rPr>
      </w:pPr>
      <w:r w:rsidRPr="00F222DB">
        <w:rPr>
          <w:sz w:val="22"/>
          <w:szCs w:val="22"/>
          <w:lang w:val="en-AU" w:eastAsia="en-AU"/>
        </w:rPr>
        <w:t xml:space="preserve">CI: Confidence Interval </w:t>
      </w:r>
    </w:p>
    <w:p w14:paraId="5A15AC92" w14:textId="77777777" w:rsidR="00E218C1" w:rsidRPr="00F222DB" w:rsidRDefault="00E218C1" w:rsidP="00E218C1">
      <w:pPr>
        <w:pStyle w:val="SynopsisText"/>
        <w:spacing w:after="0"/>
        <w:rPr>
          <w:sz w:val="22"/>
          <w:szCs w:val="22"/>
          <w:lang w:val="en-AU" w:eastAsia="en-AU"/>
        </w:rPr>
      </w:pPr>
      <w:r w:rsidRPr="00F222DB">
        <w:rPr>
          <w:sz w:val="22"/>
          <w:szCs w:val="22"/>
          <w:lang w:val="en-AU" w:eastAsia="en-AU"/>
        </w:rPr>
        <w:t xml:space="preserve">LS: Least Square </w:t>
      </w:r>
    </w:p>
    <w:p w14:paraId="0C8A3037" w14:textId="77777777" w:rsidR="00E218C1" w:rsidRPr="00F222DB" w:rsidRDefault="00E218C1" w:rsidP="00E218C1">
      <w:pPr>
        <w:pStyle w:val="SynopsisText"/>
        <w:spacing w:after="0"/>
        <w:rPr>
          <w:sz w:val="22"/>
          <w:szCs w:val="22"/>
          <w:lang w:val="en-AU" w:eastAsia="en-AU"/>
        </w:rPr>
      </w:pPr>
      <w:r w:rsidRPr="00F222DB">
        <w:rPr>
          <w:sz w:val="22"/>
          <w:szCs w:val="22"/>
          <w:lang w:val="en-AU" w:eastAsia="en-AU"/>
        </w:rPr>
        <w:t>CMH: Cochran–Mantel–Haenszel method; a statistical test t</w:t>
      </w:r>
      <w:r>
        <w:rPr>
          <w:sz w:val="22"/>
          <w:szCs w:val="22"/>
          <w:lang w:val="en-AU" w:eastAsia="en-AU"/>
        </w:rPr>
        <w:t>hat generates an estimate of an a</w:t>
      </w:r>
      <w:r w:rsidRPr="00F222DB">
        <w:rPr>
          <w:sz w:val="22"/>
          <w:szCs w:val="22"/>
          <w:lang w:val="en-AU" w:eastAsia="en-AU"/>
        </w:rPr>
        <w:t>ssociation with a binary outcome and is used for assessment of categorical variables.</w:t>
      </w:r>
    </w:p>
    <w:p w14:paraId="2C6852EC" w14:textId="77777777" w:rsidR="00E218C1" w:rsidRDefault="00E218C1" w:rsidP="00E218C1">
      <w:pPr>
        <w:pStyle w:val="SynopsisText"/>
        <w:spacing w:after="0"/>
        <w:rPr>
          <w:sz w:val="22"/>
          <w:szCs w:val="22"/>
          <w:lang w:val="en-AU" w:eastAsia="en-AU"/>
        </w:rPr>
      </w:pPr>
      <w:r w:rsidRPr="00F222DB">
        <w:rPr>
          <w:sz w:val="22"/>
          <w:szCs w:val="22"/>
          <w:lang w:val="en-AU" w:eastAsia="en-AU"/>
        </w:rPr>
        <w:t xml:space="preserve">Note: CMH weighted % for aflibercept arm presented for </w:t>
      </w:r>
      <w:proofErr w:type="spellStart"/>
      <w:r w:rsidRPr="00F222DB">
        <w:rPr>
          <w:sz w:val="22"/>
          <w:szCs w:val="22"/>
          <w:lang w:val="en-AU" w:eastAsia="en-AU"/>
        </w:rPr>
        <w:t>Vabysmo</w:t>
      </w:r>
      <w:proofErr w:type="spellEnd"/>
      <w:r w:rsidRPr="00F222DB">
        <w:rPr>
          <w:sz w:val="22"/>
          <w:szCs w:val="22"/>
          <w:lang w:val="en-AU" w:eastAsia="en-AU"/>
        </w:rPr>
        <w:t xml:space="preserve"> Q8W vs. aflibercept comparison, however the corresponding CMH weighted % for </w:t>
      </w:r>
      <w:proofErr w:type="spellStart"/>
      <w:r w:rsidRPr="00F222DB">
        <w:rPr>
          <w:sz w:val="22"/>
          <w:szCs w:val="22"/>
          <w:lang w:val="en-AU" w:eastAsia="en-AU"/>
        </w:rPr>
        <w:t>Vabysmo</w:t>
      </w:r>
      <w:proofErr w:type="spellEnd"/>
      <w:r w:rsidRPr="00F222DB">
        <w:rPr>
          <w:sz w:val="22"/>
          <w:szCs w:val="22"/>
          <w:lang w:val="en-AU" w:eastAsia="en-AU"/>
        </w:rPr>
        <w:t xml:space="preserve"> adjustable vs. aflibercept comparison is </w:t>
      </w:r>
      <w:proofErr w:type="gramStart"/>
      <w:r w:rsidRPr="00F222DB">
        <w:rPr>
          <w:sz w:val="22"/>
          <w:szCs w:val="22"/>
          <w:lang w:val="en-AU" w:eastAsia="en-AU"/>
        </w:rPr>
        <w:t>similar to</w:t>
      </w:r>
      <w:proofErr w:type="gramEnd"/>
      <w:r w:rsidRPr="00F222DB">
        <w:rPr>
          <w:sz w:val="22"/>
          <w:szCs w:val="22"/>
          <w:lang w:val="en-AU" w:eastAsia="en-AU"/>
        </w:rPr>
        <w:t xml:space="preserve"> the one shown above.</w:t>
      </w:r>
    </w:p>
    <w:p w14:paraId="3941F044" w14:textId="77777777" w:rsidR="00E218C1" w:rsidRDefault="00E218C1" w:rsidP="00E218C1">
      <w:pPr>
        <w:pStyle w:val="SynopsisText"/>
        <w:spacing w:after="0"/>
        <w:rPr>
          <w:sz w:val="22"/>
          <w:szCs w:val="22"/>
          <w:lang w:val="en-AU" w:eastAsia="en-AU"/>
        </w:rPr>
      </w:pPr>
    </w:p>
    <w:p w14:paraId="0F4AD675" w14:textId="77777777" w:rsidR="00E218C1" w:rsidRPr="006A7913" w:rsidRDefault="00E218C1" w:rsidP="006A7913"/>
    <w:p w14:paraId="115FC1ED" w14:textId="200CCE42" w:rsidR="00F222DB" w:rsidRPr="006A7913" w:rsidRDefault="00F222DB" w:rsidP="006A7913">
      <w:pPr>
        <w:ind w:left="1440" w:hanging="1440"/>
        <w:rPr>
          <w:b/>
        </w:rPr>
      </w:pPr>
      <w:r w:rsidRPr="006A7913">
        <w:rPr>
          <w:b/>
        </w:rPr>
        <w:t>Figure 3</w:t>
      </w:r>
      <w:r w:rsidRPr="006A7913">
        <w:rPr>
          <w:b/>
        </w:rPr>
        <w:tab/>
        <w:t xml:space="preserve">Mean change in visual acuity from baseline to year </w:t>
      </w:r>
      <w:r w:rsidR="00E218C1" w:rsidRPr="006A7913">
        <w:rPr>
          <w:b/>
        </w:rPr>
        <w:t xml:space="preserve">2 </w:t>
      </w:r>
      <w:r w:rsidRPr="006A7913">
        <w:rPr>
          <w:b/>
        </w:rPr>
        <w:t xml:space="preserve">(week </w:t>
      </w:r>
      <w:r w:rsidR="00E218C1" w:rsidRPr="006A7913">
        <w:rPr>
          <w:b/>
        </w:rPr>
        <w:t>100</w:t>
      </w:r>
      <w:r w:rsidRPr="006A7913">
        <w:rPr>
          <w:b/>
        </w:rPr>
        <w:t>) in YOSEMITE</w:t>
      </w:r>
    </w:p>
    <w:p w14:paraId="7EDC2C0F" w14:textId="44210A04" w:rsidR="00E218C1" w:rsidRPr="006A7913" w:rsidRDefault="008856BB" w:rsidP="006A7913">
      <w:r w:rsidRPr="006A7913">
        <w:rPr>
          <w:noProof/>
        </w:rPr>
        <w:lastRenderedPageBreak/>
        <w:drawing>
          <wp:inline distT="0" distB="0" distL="0" distR="0" wp14:anchorId="428A18F7" wp14:editId="46EC8995">
            <wp:extent cx="5614670" cy="3743110"/>
            <wp:effectExtent l="0" t="0" r="5080" b="0"/>
            <wp:docPr id="3" name="Picture 3" descr="C:\Users\millec39\Documents\1. Faricimab\1. Label Updates (post approval)\5. Figures\DME submission\GR40349_Yr2_bcva_mmrm_w1001_9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C:\Users\millec39\Documents\1. Faricimab\1. Label Updates (post approval)\5. Figures\DME submission\GR40349_Yr2_bcva_mmrm_w1001_900x600.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680475" cy="3786980"/>
                    </a:xfrm>
                    <a:prstGeom prst="rect">
                      <a:avLst/>
                    </a:prstGeom>
                    <a:noFill/>
                    <a:ln>
                      <a:noFill/>
                    </a:ln>
                  </pic:spPr>
                </pic:pic>
              </a:graphicData>
            </a:graphic>
          </wp:inline>
        </w:drawing>
      </w:r>
    </w:p>
    <w:p w14:paraId="36CCA89B" w14:textId="0B240D35" w:rsidR="00F222DB" w:rsidRDefault="00F222DB" w:rsidP="00F222DB">
      <w:pPr>
        <w:keepNext/>
        <w:tabs>
          <w:tab w:val="left" w:pos="1080"/>
        </w:tabs>
        <w:spacing w:after="120"/>
        <w:ind w:left="1080" w:right="630" w:hanging="1080"/>
        <w:rPr>
          <w:b/>
          <w:color w:val="auto"/>
        </w:rPr>
      </w:pPr>
      <w:r w:rsidRPr="00192E5A">
        <w:rPr>
          <w:b/>
          <w:bCs/>
          <w:color w:val="auto"/>
        </w:rPr>
        <w:t xml:space="preserve">Figure </w:t>
      </w:r>
      <w:r>
        <w:rPr>
          <w:b/>
          <w:bCs/>
          <w:color w:val="auto"/>
        </w:rPr>
        <w:t>4</w:t>
      </w:r>
      <w:r w:rsidRPr="00192E5A">
        <w:rPr>
          <w:color w:val="auto"/>
        </w:rPr>
        <w:tab/>
      </w:r>
      <w:r w:rsidRPr="00F222DB">
        <w:rPr>
          <w:b/>
          <w:color w:val="auto"/>
        </w:rPr>
        <w:t xml:space="preserve">Mean change in visual acuity from baseline to year </w:t>
      </w:r>
      <w:r w:rsidR="00E218C1">
        <w:rPr>
          <w:b/>
          <w:color w:val="auto"/>
        </w:rPr>
        <w:t>2</w:t>
      </w:r>
      <w:r w:rsidR="00E218C1" w:rsidRPr="00F222DB">
        <w:rPr>
          <w:b/>
          <w:color w:val="auto"/>
        </w:rPr>
        <w:t xml:space="preserve"> </w:t>
      </w:r>
      <w:r w:rsidRPr="00F222DB">
        <w:rPr>
          <w:b/>
          <w:color w:val="auto"/>
        </w:rPr>
        <w:t xml:space="preserve">(week </w:t>
      </w:r>
      <w:r w:rsidR="00E218C1">
        <w:rPr>
          <w:b/>
          <w:color w:val="auto"/>
        </w:rPr>
        <w:t>100</w:t>
      </w:r>
      <w:r w:rsidRPr="00F222DB">
        <w:rPr>
          <w:b/>
          <w:color w:val="auto"/>
        </w:rPr>
        <w:t>) in RHINE</w:t>
      </w:r>
    </w:p>
    <w:p w14:paraId="19E41AED" w14:textId="44C7C7F2" w:rsidR="00E218C1" w:rsidRPr="00192E5A" w:rsidRDefault="008856BB" w:rsidP="00F222DB">
      <w:pPr>
        <w:keepNext/>
        <w:tabs>
          <w:tab w:val="left" w:pos="1080"/>
        </w:tabs>
        <w:spacing w:after="120"/>
        <w:ind w:left="1080" w:right="630" w:hanging="1080"/>
        <w:rPr>
          <w:rStyle w:val="CommentReference"/>
          <w:color w:val="auto"/>
          <w:sz w:val="24"/>
          <w:szCs w:val="24"/>
        </w:rPr>
      </w:pPr>
      <w:r>
        <w:rPr>
          <w:bCs/>
          <w:iCs/>
          <w:noProof/>
          <w:szCs w:val="22"/>
          <w:lang w:val="en-AU" w:eastAsia="zh-CN"/>
        </w:rPr>
        <w:drawing>
          <wp:inline distT="0" distB="0" distL="0" distR="0" wp14:anchorId="3F4E6515" wp14:editId="3D88AC1F">
            <wp:extent cx="5667555" cy="3778369"/>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00068" cy="3800044"/>
                    </a:xfrm>
                    <a:prstGeom prst="rect">
                      <a:avLst/>
                    </a:prstGeom>
                    <a:noFill/>
                  </pic:spPr>
                </pic:pic>
              </a:graphicData>
            </a:graphic>
          </wp:inline>
        </w:drawing>
      </w:r>
    </w:p>
    <w:p w14:paraId="69A55F51" w14:textId="77777777" w:rsidR="00F222DB" w:rsidRPr="00F222DB" w:rsidRDefault="00F222DB" w:rsidP="00F222DB">
      <w:pPr>
        <w:pStyle w:val="SynopsisText"/>
        <w:rPr>
          <w:rFonts w:eastAsia="Calibri"/>
          <w:sz w:val="24"/>
          <w:lang w:val="en-GB" w:eastAsia="en-AU"/>
        </w:rPr>
      </w:pPr>
      <w:r w:rsidRPr="00F222DB">
        <w:rPr>
          <w:rFonts w:eastAsia="Calibri"/>
          <w:sz w:val="24"/>
          <w:lang w:val="en-GB" w:eastAsia="en-AU"/>
        </w:rPr>
        <w:t>Efficacy results in patients who were anti-VEGF treatment naive prior to study participation and in all the other evaluable subgroups (</w:t>
      </w:r>
      <w:proofErr w:type="gramStart"/>
      <w:r w:rsidRPr="00F222DB">
        <w:rPr>
          <w:rFonts w:eastAsia="Calibri"/>
          <w:sz w:val="24"/>
          <w:lang w:val="en-GB" w:eastAsia="en-AU"/>
        </w:rPr>
        <w:t>e.g.</w:t>
      </w:r>
      <w:proofErr w:type="gramEnd"/>
      <w:r w:rsidRPr="00F222DB">
        <w:rPr>
          <w:rFonts w:eastAsia="Calibri"/>
          <w:sz w:val="24"/>
          <w:lang w:val="en-GB" w:eastAsia="en-AU"/>
        </w:rPr>
        <w:t xml:space="preserve"> by age, gender, race, baseline HbA1c, baseline visual acuity) in each study were consistent with the results in the overall populations.</w:t>
      </w:r>
    </w:p>
    <w:p w14:paraId="08468537" w14:textId="2A25D96F" w:rsidR="00F222DB" w:rsidRPr="00F222DB" w:rsidRDefault="00E218C1" w:rsidP="00F222DB">
      <w:pPr>
        <w:spacing w:after="120" w:line="300" w:lineRule="atLeast"/>
        <w:rPr>
          <w:rFonts w:eastAsia="Calibri"/>
          <w:color w:val="auto"/>
          <w:lang w:val="en-GB"/>
        </w:rPr>
      </w:pPr>
      <w:r>
        <w:rPr>
          <w:rFonts w:eastAsia="Calibri"/>
          <w:color w:val="auto"/>
          <w:lang w:val="en-GB"/>
        </w:rPr>
        <w:t>Across</w:t>
      </w:r>
      <w:r w:rsidR="00F222DB" w:rsidRPr="00F222DB">
        <w:rPr>
          <w:rFonts w:eastAsia="Calibri"/>
          <w:color w:val="auto"/>
          <w:lang w:val="en-GB"/>
        </w:rPr>
        <w:t xml:space="preserve"> studies, </w:t>
      </w:r>
      <w:proofErr w:type="spellStart"/>
      <w:r w:rsidR="00F222DB" w:rsidRPr="00F222DB">
        <w:rPr>
          <w:rFonts w:eastAsia="Calibri"/>
          <w:color w:val="auto"/>
          <w:lang w:val="en-GB"/>
        </w:rPr>
        <w:t>V</w:t>
      </w:r>
      <w:r w:rsidR="00E00D93" w:rsidRPr="00F222DB">
        <w:rPr>
          <w:rFonts w:eastAsia="Calibri"/>
          <w:color w:val="auto"/>
          <w:lang w:val="en-GB"/>
        </w:rPr>
        <w:t>abysmo</w:t>
      </w:r>
      <w:proofErr w:type="spellEnd"/>
      <w:r w:rsidR="00F222DB" w:rsidRPr="00F222DB">
        <w:rPr>
          <w:rFonts w:eastAsia="Calibri"/>
          <w:color w:val="auto"/>
          <w:lang w:val="en-GB"/>
        </w:rPr>
        <w:t xml:space="preserve"> Q8W and up to Q16W adjustable dosing </w:t>
      </w:r>
      <w:r>
        <w:rPr>
          <w:rFonts w:eastAsia="Calibri"/>
          <w:color w:val="auto"/>
          <w:lang w:val="en-GB"/>
        </w:rPr>
        <w:t>showed</w:t>
      </w:r>
      <w:r w:rsidRPr="00F222DB">
        <w:rPr>
          <w:rFonts w:eastAsia="Calibri"/>
          <w:color w:val="auto"/>
          <w:lang w:val="en-GB"/>
        </w:rPr>
        <w:t xml:space="preserve"> </w:t>
      </w:r>
      <w:r w:rsidR="00F222DB" w:rsidRPr="00F222DB">
        <w:rPr>
          <w:rFonts w:eastAsia="Calibri"/>
          <w:color w:val="auto"/>
          <w:lang w:val="en-GB"/>
        </w:rPr>
        <w:t xml:space="preserve">clinically meaningful improvements </w:t>
      </w:r>
      <w:r w:rsidRPr="00E218C1">
        <w:rPr>
          <w:rFonts w:eastAsia="Calibri"/>
          <w:color w:val="auto"/>
          <w:lang w:val="en-GB"/>
        </w:rPr>
        <w:t xml:space="preserve">in the pre-specified efficacy endpoint of mean change </w:t>
      </w:r>
      <w:r w:rsidR="00F222DB" w:rsidRPr="00F222DB">
        <w:rPr>
          <w:rFonts w:eastAsia="Calibri"/>
          <w:color w:val="auto"/>
          <w:lang w:val="en-GB"/>
        </w:rPr>
        <w:t xml:space="preserve">from baseline to week 52 in </w:t>
      </w:r>
      <w:r w:rsidR="00F222DB" w:rsidRPr="00F222DB">
        <w:rPr>
          <w:rFonts w:eastAsia="Calibri"/>
          <w:color w:val="auto"/>
          <w:lang w:val="en-GB"/>
        </w:rPr>
        <w:lastRenderedPageBreak/>
        <w:t>the National Eye Institute Visual Function Questionnaire (NEI VFQ</w:t>
      </w:r>
      <w:r w:rsidR="00071E22">
        <w:rPr>
          <w:rFonts w:eastAsia="Calibri"/>
          <w:color w:val="auto"/>
          <w:lang w:val="en-GB"/>
        </w:rPr>
        <w:t>-25</w:t>
      </w:r>
      <w:r w:rsidR="00F222DB" w:rsidRPr="00F222DB">
        <w:rPr>
          <w:rFonts w:eastAsia="Calibri"/>
          <w:color w:val="auto"/>
          <w:lang w:val="en-GB"/>
        </w:rPr>
        <w:t>) composite</w:t>
      </w:r>
      <w:r>
        <w:rPr>
          <w:rFonts w:eastAsia="Calibri"/>
          <w:color w:val="auto"/>
          <w:lang w:val="en-GB"/>
        </w:rPr>
        <w:t xml:space="preserve"> score that were</w:t>
      </w:r>
      <w:r w:rsidR="00F222DB" w:rsidRPr="00F222DB">
        <w:rPr>
          <w:rFonts w:eastAsia="Calibri"/>
          <w:color w:val="auto"/>
          <w:lang w:val="en-GB"/>
        </w:rPr>
        <w:t xml:space="preserve"> comparable to aflibercept Q8W</w:t>
      </w:r>
      <w:r>
        <w:rPr>
          <w:rFonts w:eastAsia="Calibri"/>
          <w:color w:val="auto"/>
          <w:lang w:val="en-GB"/>
        </w:rPr>
        <w:t xml:space="preserve"> </w:t>
      </w:r>
      <w:r w:rsidRPr="00E218C1">
        <w:rPr>
          <w:rFonts w:eastAsia="Calibri"/>
          <w:color w:val="auto"/>
          <w:lang w:val="en-GB"/>
        </w:rPr>
        <w:t xml:space="preserve">and exceeded the threshold of 4 points. </w:t>
      </w:r>
      <w:proofErr w:type="spellStart"/>
      <w:r w:rsidRPr="00E218C1">
        <w:rPr>
          <w:rFonts w:eastAsia="Calibri"/>
          <w:color w:val="auto"/>
          <w:lang w:val="en-GB"/>
        </w:rPr>
        <w:t>Vabysmo</w:t>
      </w:r>
      <w:proofErr w:type="spellEnd"/>
      <w:r w:rsidRPr="00E218C1">
        <w:rPr>
          <w:rFonts w:eastAsia="Calibri"/>
          <w:color w:val="auto"/>
          <w:lang w:val="en-GB"/>
        </w:rPr>
        <w:t xml:space="preserve"> Q8W and up to Q16W adjustable dosing also demonstrated clinically meaningful improvements in the pre-specified efficacy endpoint of </w:t>
      </w:r>
      <w:r w:rsidRPr="00045CCD">
        <w:rPr>
          <w:rFonts w:eastAsia="Calibri"/>
          <w:color w:val="auto"/>
          <w:lang w:val="en-GB"/>
        </w:rPr>
        <w:t xml:space="preserve">change from baseline to week 52 in the NEI VFQ-25 near activities, distance activities, and driving scores, that were comparable to aflibercept Q8W. The magnitude of these changes corresponds to a </w:t>
      </w:r>
      <w:r w:rsidR="00703296" w:rsidRPr="00045CCD">
        <w:rPr>
          <w:rFonts w:eastAsia="Calibri"/>
          <w:color w:val="auto"/>
          <w:lang w:val="en-GB"/>
        </w:rPr>
        <w:t xml:space="preserve">15-letter gain in </w:t>
      </w:r>
      <w:r w:rsidRPr="00045CCD">
        <w:rPr>
          <w:rFonts w:eastAsia="Calibri"/>
          <w:color w:val="auto"/>
          <w:lang w:val="en-GB"/>
        </w:rPr>
        <w:t>BCVA</w:t>
      </w:r>
      <w:r w:rsidR="00F222DB" w:rsidRPr="00045CCD">
        <w:rPr>
          <w:rFonts w:eastAsia="Calibri"/>
          <w:color w:val="auto"/>
          <w:lang w:val="en-GB"/>
        </w:rPr>
        <w:t>. Comparable</w:t>
      </w:r>
      <w:r w:rsidR="00F222DB" w:rsidRPr="00F222DB">
        <w:rPr>
          <w:rFonts w:eastAsia="Calibri"/>
          <w:color w:val="auto"/>
          <w:lang w:val="en-GB"/>
        </w:rPr>
        <w:t xml:space="preserve"> proportions of patients </w:t>
      </w:r>
      <w:r w:rsidRPr="00E218C1">
        <w:rPr>
          <w:rFonts w:eastAsia="Calibri"/>
          <w:color w:val="auto"/>
          <w:lang w:val="en-GB"/>
        </w:rPr>
        <w:t xml:space="preserve">treated with </w:t>
      </w:r>
      <w:proofErr w:type="spellStart"/>
      <w:r w:rsidRPr="00E218C1">
        <w:rPr>
          <w:rFonts w:eastAsia="Calibri"/>
          <w:color w:val="auto"/>
          <w:lang w:val="en-GB"/>
        </w:rPr>
        <w:t>Vabysmo</w:t>
      </w:r>
      <w:proofErr w:type="spellEnd"/>
      <w:r w:rsidRPr="00E218C1">
        <w:rPr>
          <w:rFonts w:eastAsia="Calibri"/>
          <w:color w:val="auto"/>
          <w:lang w:val="en-GB"/>
        </w:rPr>
        <w:t xml:space="preserve"> Q8W, </w:t>
      </w:r>
      <w:proofErr w:type="spellStart"/>
      <w:r w:rsidRPr="00E218C1">
        <w:rPr>
          <w:rFonts w:eastAsia="Calibri"/>
          <w:color w:val="auto"/>
          <w:lang w:val="en-GB"/>
        </w:rPr>
        <w:t>Vabysmo</w:t>
      </w:r>
      <w:proofErr w:type="spellEnd"/>
      <w:r w:rsidRPr="00E218C1">
        <w:rPr>
          <w:rFonts w:eastAsia="Calibri"/>
          <w:color w:val="auto"/>
          <w:lang w:val="en-GB"/>
        </w:rPr>
        <w:t xml:space="preserve"> up to Q16W adjustable dosing, and aflibercept Q8W </w:t>
      </w:r>
      <w:r w:rsidR="00F222DB" w:rsidRPr="00F222DB">
        <w:rPr>
          <w:rFonts w:eastAsia="Calibri"/>
          <w:color w:val="auto"/>
          <w:lang w:val="en-GB"/>
        </w:rPr>
        <w:t xml:space="preserve">experienced a </w:t>
      </w:r>
      <w:r>
        <w:rPr>
          <w:rFonts w:eastAsia="Calibri"/>
          <w:color w:val="auto"/>
          <w:lang w:val="en-GB"/>
        </w:rPr>
        <w:t>clinically</w:t>
      </w:r>
      <w:r w:rsidRPr="00E218C1">
        <w:t xml:space="preserve"> </w:t>
      </w:r>
      <w:r w:rsidRPr="00E218C1">
        <w:rPr>
          <w:rFonts w:eastAsia="Calibri"/>
          <w:color w:val="auto"/>
          <w:lang w:val="en-GB"/>
        </w:rPr>
        <w:t>meaningful improvement of</w:t>
      </w:r>
      <w:r>
        <w:rPr>
          <w:rFonts w:eastAsia="Calibri"/>
          <w:color w:val="auto"/>
          <w:lang w:val="en-GB"/>
        </w:rPr>
        <w:t xml:space="preserve"> </w:t>
      </w:r>
      <w:r w:rsidR="00F222DB" w:rsidRPr="00F222DB">
        <w:rPr>
          <w:rFonts w:eastAsia="Calibri"/>
          <w:color w:val="auto"/>
          <w:lang w:val="en-GB"/>
        </w:rPr>
        <w:t>≥ 4 point</w:t>
      </w:r>
      <w:r>
        <w:rPr>
          <w:rFonts w:eastAsia="Calibri"/>
          <w:color w:val="auto"/>
          <w:lang w:val="en-GB"/>
        </w:rPr>
        <w:t>s</w:t>
      </w:r>
      <w:r w:rsidR="00F222DB" w:rsidRPr="00F222DB">
        <w:rPr>
          <w:rFonts w:eastAsia="Calibri"/>
          <w:color w:val="auto"/>
          <w:lang w:val="en-GB"/>
        </w:rPr>
        <w:t xml:space="preserve"> from baseline </w:t>
      </w:r>
      <w:r>
        <w:rPr>
          <w:rFonts w:eastAsia="Calibri"/>
          <w:color w:val="auto"/>
          <w:lang w:val="en-GB"/>
        </w:rPr>
        <w:t xml:space="preserve">to week 52 </w:t>
      </w:r>
      <w:r w:rsidR="00F222DB" w:rsidRPr="00F222DB">
        <w:rPr>
          <w:rFonts w:eastAsia="Calibri"/>
          <w:color w:val="auto"/>
          <w:lang w:val="en-GB"/>
        </w:rPr>
        <w:t>in the NEI VFQ -25 composite score</w:t>
      </w:r>
      <w:r w:rsidR="00B063F6" w:rsidRPr="00A013D9">
        <w:rPr>
          <w:rFonts w:eastAsia="Calibri"/>
          <w:color w:val="auto"/>
          <w:lang w:val="en-GB"/>
        </w:rPr>
        <w:t>, a pre-specified efficacy endpoint</w:t>
      </w:r>
      <w:r w:rsidR="00F222DB" w:rsidRPr="00F222DB">
        <w:rPr>
          <w:rFonts w:eastAsia="Calibri"/>
          <w:color w:val="auto"/>
          <w:lang w:val="en-GB"/>
        </w:rPr>
        <w:t>.</w:t>
      </w:r>
      <w:r>
        <w:rPr>
          <w:rFonts w:eastAsia="Calibri"/>
          <w:color w:val="auto"/>
          <w:lang w:val="en-GB"/>
        </w:rPr>
        <w:t xml:space="preserve"> </w:t>
      </w:r>
      <w:r w:rsidRPr="00E218C1">
        <w:rPr>
          <w:rFonts w:eastAsia="Calibri"/>
          <w:color w:val="auto"/>
          <w:lang w:val="en-GB"/>
        </w:rPr>
        <w:t>These results were maintained at week 100.</w:t>
      </w:r>
    </w:p>
    <w:p w14:paraId="147139D8" w14:textId="4FBEF7A1" w:rsidR="00F222DB" w:rsidRPr="00F222DB" w:rsidRDefault="00F222DB" w:rsidP="00F222DB">
      <w:pPr>
        <w:spacing w:after="120" w:line="300" w:lineRule="atLeast"/>
        <w:rPr>
          <w:rFonts w:eastAsia="Calibri"/>
          <w:color w:val="auto"/>
          <w:lang w:val="en-GB"/>
        </w:rPr>
      </w:pPr>
      <w:r w:rsidRPr="00F222DB">
        <w:rPr>
          <w:rFonts w:eastAsia="Calibri"/>
          <w:color w:val="auto"/>
          <w:lang w:val="en-GB"/>
        </w:rPr>
        <w:t xml:space="preserve">An additional key efficacy outcome in </w:t>
      </w:r>
      <w:r w:rsidRPr="00E35467">
        <w:rPr>
          <w:rFonts w:eastAsia="Calibri"/>
          <w:color w:val="auto"/>
          <w:lang w:val="en-GB"/>
        </w:rPr>
        <w:t>DM</w:t>
      </w:r>
      <w:r w:rsidR="00186B1A" w:rsidRPr="00E35467">
        <w:rPr>
          <w:rFonts w:eastAsia="Calibri"/>
          <w:color w:val="auto"/>
          <w:lang w:val="en-GB"/>
        </w:rPr>
        <w:t>O</w:t>
      </w:r>
      <w:r w:rsidRPr="00F222DB">
        <w:rPr>
          <w:rFonts w:eastAsia="Calibri"/>
          <w:color w:val="auto"/>
          <w:lang w:val="en-GB"/>
        </w:rPr>
        <w:t xml:space="preserve"> studies was the change in the Early Treatment Diabetic Retinopathy Study Diabetic Retinopathy Severity Scale (ETDRS-DRSS) from baseline to week 52. Of the 1,891 patients enrolled in Studies YOSEMITE and RHINE, 708 and 720 patients were evaluable for DR endpoints.</w:t>
      </w:r>
    </w:p>
    <w:p w14:paraId="56C4C30C" w14:textId="77777777" w:rsidR="00F222DB" w:rsidRPr="00F222DB" w:rsidRDefault="00F222DB" w:rsidP="00F222DB">
      <w:pPr>
        <w:spacing w:after="120" w:line="300" w:lineRule="atLeast"/>
        <w:rPr>
          <w:rFonts w:eastAsia="Calibri"/>
          <w:color w:val="auto"/>
          <w:lang w:val="en-GB"/>
        </w:rPr>
      </w:pPr>
      <w:r w:rsidRPr="00F222DB">
        <w:rPr>
          <w:rFonts w:eastAsia="Calibri"/>
          <w:color w:val="auto"/>
          <w:lang w:val="en-GB"/>
        </w:rPr>
        <w:t>The ETDRS-DRSS scores ranged from 10 to 71 at baseline.</w:t>
      </w:r>
    </w:p>
    <w:p w14:paraId="557B8A4F" w14:textId="77777777" w:rsidR="00F222DB" w:rsidRPr="00F222DB" w:rsidRDefault="00F222DB" w:rsidP="00F222DB">
      <w:pPr>
        <w:spacing w:after="120" w:line="300" w:lineRule="atLeast"/>
        <w:rPr>
          <w:rFonts w:eastAsia="Calibri"/>
          <w:color w:val="auto"/>
          <w:lang w:val="en-GB"/>
        </w:rPr>
      </w:pPr>
      <w:proofErr w:type="gramStart"/>
      <w:r w:rsidRPr="00F222DB">
        <w:rPr>
          <w:rFonts w:eastAsia="Calibri"/>
          <w:color w:val="auto"/>
          <w:lang w:val="en-GB"/>
        </w:rPr>
        <w:t>The majority of</w:t>
      </w:r>
      <w:proofErr w:type="gramEnd"/>
      <w:r w:rsidRPr="00F222DB">
        <w:rPr>
          <w:rFonts w:eastAsia="Calibri"/>
          <w:color w:val="auto"/>
          <w:lang w:val="en-GB"/>
        </w:rPr>
        <w:t xml:space="preserve"> patients, approximately 60%, had moderate to severe non-proliferative DR (DRSS 43/47/53) at baseline.</w:t>
      </w:r>
    </w:p>
    <w:p w14:paraId="7F75E890" w14:textId="4114464F" w:rsidR="00F222DB" w:rsidRPr="00F222DB" w:rsidRDefault="00F222DB" w:rsidP="00F222DB">
      <w:pPr>
        <w:spacing w:after="120" w:line="300" w:lineRule="atLeast"/>
        <w:rPr>
          <w:rFonts w:eastAsia="Calibri"/>
          <w:color w:val="auto"/>
          <w:lang w:val="en-GB"/>
        </w:rPr>
      </w:pPr>
      <w:r w:rsidRPr="00F222DB">
        <w:rPr>
          <w:rFonts w:eastAsia="Calibri"/>
          <w:color w:val="auto"/>
          <w:lang w:val="en-GB"/>
        </w:rPr>
        <w:t xml:space="preserve">At week 52, the proportion of patients improving by ≥ 2 steps on the ETDRS-DRSS was 43% </w:t>
      </w:r>
      <w:r w:rsidR="00E218C1">
        <w:rPr>
          <w:rFonts w:eastAsia="Calibri"/>
          <w:color w:val="auto"/>
          <w:lang w:val="en-GB"/>
        </w:rPr>
        <w:t xml:space="preserve">to </w:t>
      </w:r>
      <w:r w:rsidRPr="00F222DB">
        <w:rPr>
          <w:rFonts w:eastAsia="Calibri"/>
          <w:color w:val="auto"/>
          <w:lang w:val="en-GB"/>
        </w:rPr>
        <w:t xml:space="preserve">46% across the </w:t>
      </w:r>
      <w:proofErr w:type="spellStart"/>
      <w:r w:rsidRPr="00F222DB">
        <w:rPr>
          <w:rFonts w:eastAsia="Calibri"/>
          <w:color w:val="auto"/>
          <w:lang w:val="en-GB"/>
        </w:rPr>
        <w:t>V</w:t>
      </w:r>
      <w:r w:rsidR="00E00D93" w:rsidRPr="00F222DB">
        <w:rPr>
          <w:rFonts w:eastAsia="Calibri"/>
          <w:color w:val="auto"/>
          <w:lang w:val="en-GB"/>
        </w:rPr>
        <w:t>abysmo</w:t>
      </w:r>
      <w:proofErr w:type="spellEnd"/>
      <w:r w:rsidRPr="00F222DB">
        <w:rPr>
          <w:rFonts w:eastAsia="Calibri"/>
          <w:color w:val="auto"/>
          <w:lang w:val="en-GB"/>
        </w:rPr>
        <w:t xml:space="preserve"> Q8W and </w:t>
      </w:r>
      <w:proofErr w:type="spellStart"/>
      <w:r w:rsidRPr="00F222DB">
        <w:rPr>
          <w:rFonts w:eastAsia="Calibri"/>
          <w:color w:val="auto"/>
          <w:lang w:val="en-GB"/>
        </w:rPr>
        <w:t>V</w:t>
      </w:r>
      <w:r w:rsidR="00E00D93" w:rsidRPr="00F222DB">
        <w:rPr>
          <w:rFonts w:eastAsia="Calibri"/>
          <w:color w:val="auto"/>
          <w:lang w:val="en-GB"/>
        </w:rPr>
        <w:t>abysmo</w:t>
      </w:r>
      <w:proofErr w:type="spellEnd"/>
      <w:r w:rsidRPr="00F222DB">
        <w:rPr>
          <w:rFonts w:eastAsia="Calibri"/>
          <w:color w:val="auto"/>
          <w:lang w:val="en-GB"/>
        </w:rPr>
        <w:t xml:space="preserve"> adjustable up to Q16W arms in both studies, compared to 36% and 47% in aflibercept Q8W arms of YOSEMITE and RHINE, respectively. </w:t>
      </w:r>
      <w:r w:rsidR="00E218C1" w:rsidRPr="00E218C1">
        <w:rPr>
          <w:rFonts w:eastAsia="Calibri"/>
          <w:color w:val="auto"/>
          <w:lang w:val="en-GB"/>
        </w:rPr>
        <w:t xml:space="preserve">The results at week 96 were 43% to 54% across the </w:t>
      </w:r>
      <w:proofErr w:type="spellStart"/>
      <w:r w:rsidR="00E218C1" w:rsidRPr="00E218C1">
        <w:rPr>
          <w:rFonts w:eastAsia="Calibri"/>
          <w:color w:val="auto"/>
          <w:lang w:val="en-GB"/>
        </w:rPr>
        <w:t>Vabysmo</w:t>
      </w:r>
      <w:proofErr w:type="spellEnd"/>
      <w:r w:rsidR="00E218C1" w:rsidRPr="00E218C1">
        <w:rPr>
          <w:rFonts w:eastAsia="Calibri"/>
          <w:color w:val="auto"/>
          <w:lang w:val="en-GB"/>
        </w:rPr>
        <w:t xml:space="preserve"> Q8W and </w:t>
      </w:r>
      <w:proofErr w:type="spellStart"/>
      <w:r w:rsidR="00E218C1" w:rsidRPr="00E218C1">
        <w:rPr>
          <w:rFonts w:eastAsia="Calibri"/>
          <w:color w:val="auto"/>
          <w:lang w:val="en-GB"/>
        </w:rPr>
        <w:t>Vabysmo</w:t>
      </w:r>
      <w:proofErr w:type="spellEnd"/>
      <w:r w:rsidR="00E218C1" w:rsidRPr="00E218C1">
        <w:rPr>
          <w:rFonts w:eastAsia="Calibri"/>
          <w:color w:val="auto"/>
          <w:lang w:val="en-GB"/>
        </w:rPr>
        <w:t xml:space="preserve"> adjustable up to Q16W arms in both studies, compared to 42% and 44% in aflibercept Q8W arms of YOSEMITE and RHINE, respectively.</w:t>
      </w:r>
    </w:p>
    <w:p w14:paraId="6967E3C8" w14:textId="57CE59A2" w:rsidR="00F222DB" w:rsidRPr="00F222DB" w:rsidRDefault="00F222DB" w:rsidP="00F222DB">
      <w:pPr>
        <w:spacing w:after="120" w:line="300" w:lineRule="atLeast"/>
        <w:rPr>
          <w:rFonts w:eastAsia="Calibri"/>
          <w:color w:val="auto"/>
          <w:lang w:val="en-GB"/>
        </w:rPr>
      </w:pPr>
      <w:r w:rsidRPr="00F222DB">
        <w:rPr>
          <w:rFonts w:eastAsia="Calibri"/>
          <w:color w:val="auto"/>
          <w:lang w:val="en-GB"/>
        </w:rPr>
        <w:t>Comparable results across the treatment arms were observed in both studies in the proportions of patients improving by ≥ 3 steps on the ETDRS-DRSS from baseline at week 52</w:t>
      </w:r>
      <w:r w:rsidR="00E218C1" w:rsidRPr="00E218C1">
        <w:rPr>
          <w:rFonts w:eastAsia="Calibri"/>
          <w:color w:val="auto"/>
          <w:lang w:val="en-GB"/>
        </w:rPr>
        <w:t>, and these results were maintained at week 96</w:t>
      </w:r>
      <w:r w:rsidRPr="00F222DB">
        <w:rPr>
          <w:rFonts w:eastAsia="Calibri"/>
          <w:color w:val="auto"/>
          <w:lang w:val="en-GB"/>
        </w:rPr>
        <w:t>.</w:t>
      </w:r>
    </w:p>
    <w:p w14:paraId="5550E6DB" w14:textId="5A78C0BB" w:rsidR="00F222DB" w:rsidRDefault="00F222DB" w:rsidP="00F222DB">
      <w:pPr>
        <w:spacing w:after="120" w:line="300" w:lineRule="atLeast"/>
        <w:rPr>
          <w:rFonts w:eastAsia="Calibri"/>
          <w:color w:val="auto"/>
          <w:lang w:val="en-GB"/>
        </w:rPr>
      </w:pPr>
      <w:r w:rsidRPr="00F222DB">
        <w:rPr>
          <w:rFonts w:eastAsia="Calibri"/>
          <w:color w:val="auto"/>
          <w:lang w:val="en-GB"/>
        </w:rPr>
        <w:t>The results from the ≥ 2-step and ≥ 3-step ETDRS-DRSS improvement analyses from baseline at week 52</w:t>
      </w:r>
      <w:r w:rsidR="00E218C1">
        <w:rPr>
          <w:rFonts w:eastAsia="Calibri"/>
          <w:color w:val="auto"/>
          <w:lang w:val="en-GB"/>
        </w:rPr>
        <w:t xml:space="preserve"> and at week 96</w:t>
      </w:r>
      <w:r w:rsidRPr="00F222DB">
        <w:rPr>
          <w:rFonts w:eastAsia="Calibri"/>
          <w:color w:val="auto"/>
          <w:lang w:val="en-GB"/>
        </w:rPr>
        <w:t xml:space="preserve"> are shown in Table 4 below. </w:t>
      </w:r>
    </w:p>
    <w:p w14:paraId="7373BDCB" w14:textId="658BFFC4" w:rsidR="00F222DB" w:rsidRPr="00F222DB" w:rsidRDefault="00F222DB" w:rsidP="00E00D93">
      <w:pPr>
        <w:keepNext/>
        <w:spacing w:after="120" w:line="300" w:lineRule="atLeast"/>
        <w:ind w:left="994" w:hanging="994"/>
        <w:rPr>
          <w:color w:val="auto"/>
        </w:rPr>
      </w:pPr>
      <w:r w:rsidRPr="00236EB6">
        <w:rPr>
          <w:b/>
          <w:bCs/>
          <w:color w:val="auto"/>
        </w:rPr>
        <w:t>Table 4</w:t>
      </w:r>
      <w:r w:rsidR="00236EB6">
        <w:rPr>
          <w:b/>
          <w:bCs/>
          <w:color w:val="auto"/>
        </w:rPr>
        <w:t>a</w:t>
      </w:r>
      <w:r w:rsidRPr="00236EB6">
        <w:rPr>
          <w:color w:val="auto"/>
        </w:rPr>
        <w:t xml:space="preserve"> </w:t>
      </w:r>
      <w:r w:rsidRPr="00236EB6">
        <w:rPr>
          <w:color w:val="auto"/>
        </w:rPr>
        <w:tab/>
      </w:r>
      <w:r w:rsidRPr="00236EB6">
        <w:rPr>
          <w:b/>
          <w:color w:val="auto"/>
        </w:rPr>
        <w:t>Proportion of patients who achieved ≥ 2-step and ≥ 3-step improvement from baseline in ETDRS-DRSS score at week 52</w:t>
      </w:r>
      <w:r w:rsidR="00236EB6">
        <w:rPr>
          <w:b/>
          <w:color w:val="auto"/>
        </w:rPr>
        <w:t xml:space="preserve"> and at week 96</w:t>
      </w:r>
      <w:r w:rsidRPr="00236EB6">
        <w:rPr>
          <w:b/>
          <w:color w:val="auto"/>
        </w:rPr>
        <w:t xml:space="preserve"> in YOSEMITE (DR evaluable population)</w:t>
      </w:r>
    </w:p>
    <w:tbl>
      <w:tblPr>
        <w:tblW w:w="9530" w:type="dxa"/>
        <w:tblLayout w:type="fixed"/>
        <w:tblCellMar>
          <w:top w:w="15" w:type="dxa"/>
          <w:left w:w="15" w:type="dxa"/>
          <w:bottom w:w="15" w:type="dxa"/>
          <w:right w:w="15" w:type="dxa"/>
        </w:tblCellMar>
        <w:tblLook w:val="04A0" w:firstRow="1" w:lastRow="0" w:firstColumn="1" w:lastColumn="0" w:noHBand="0" w:noVBand="1"/>
      </w:tblPr>
      <w:tblGrid>
        <w:gridCol w:w="1610"/>
        <w:gridCol w:w="1320"/>
        <w:gridCol w:w="1320"/>
        <w:gridCol w:w="1320"/>
        <w:gridCol w:w="1320"/>
        <w:gridCol w:w="1320"/>
        <w:gridCol w:w="1320"/>
      </w:tblGrid>
      <w:tr w:rsidR="00236EB6" w:rsidRPr="00F222DB" w14:paraId="411215D0" w14:textId="77777777" w:rsidTr="00021580">
        <w:tc>
          <w:tcPr>
            <w:tcW w:w="16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5532ABE9" w14:textId="77777777" w:rsidR="00236EB6" w:rsidRPr="00F222DB" w:rsidRDefault="00236EB6" w:rsidP="00621701">
            <w:pPr>
              <w:tabs>
                <w:tab w:val="left" w:pos="567"/>
              </w:tabs>
              <w:spacing w:before="40" w:after="40"/>
              <w:jc w:val="both"/>
              <w:rPr>
                <w:sz w:val="22"/>
                <w:szCs w:val="22"/>
                <w:lang w:eastAsia="en-US"/>
              </w:rPr>
            </w:pPr>
          </w:p>
        </w:tc>
        <w:tc>
          <w:tcPr>
            <w:tcW w:w="79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E3C09" w14:textId="5EE5CE0D" w:rsidR="00236EB6" w:rsidRPr="00F222DB" w:rsidRDefault="00236EB6" w:rsidP="00380B7A">
            <w:pPr>
              <w:tabs>
                <w:tab w:val="left" w:pos="567"/>
              </w:tabs>
              <w:spacing w:before="40" w:after="40"/>
              <w:jc w:val="center"/>
              <w:rPr>
                <w:b/>
                <w:sz w:val="22"/>
                <w:szCs w:val="22"/>
                <w:lang w:eastAsia="en-US"/>
              </w:rPr>
            </w:pPr>
            <w:r w:rsidRPr="00F222DB">
              <w:rPr>
                <w:b/>
                <w:sz w:val="22"/>
                <w:szCs w:val="22"/>
                <w:lang w:eastAsia="en-US"/>
              </w:rPr>
              <w:t>YOSEMITE</w:t>
            </w:r>
          </w:p>
        </w:tc>
      </w:tr>
      <w:tr w:rsidR="00236EB6" w:rsidRPr="00F222DB" w14:paraId="1A7A0A51" w14:textId="77777777" w:rsidTr="00621701">
        <w:tc>
          <w:tcPr>
            <w:tcW w:w="161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A070732" w14:textId="77777777" w:rsidR="00236EB6" w:rsidRPr="00F222DB" w:rsidRDefault="00236EB6" w:rsidP="00621701">
            <w:pPr>
              <w:tabs>
                <w:tab w:val="left" w:pos="567"/>
              </w:tabs>
              <w:spacing w:before="40" w:after="40"/>
              <w:jc w:val="both"/>
              <w:rPr>
                <w:sz w:val="22"/>
                <w:szCs w:val="22"/>
                <w:lang w:eastAsia="en-US"/>
              </w:rPr>
            </w:pPr>
          </w:p>
        </w:tc>
        <w:tc>
          <w:tcPr>
            <w:tcW w:w="3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BE28E" w14:textId="4CA4347D" w:rsidR="00236EB6" w:rsidRPr="00F222DB" w:rsidRDefault="00236EB6" w:rsidP="00621701">
            <w:pPr>
              <w:tabs>
                <w:tab w:val="left" w:pos="567"/>
              </w:tabs>
              <w:spacing w:before="40" w:after="40"/>
              <w:jc w:val="center"/>
              <w:rPr>
                <w:b/>
                <w:sz w:val="22"/>
                <w:szCs w:val="22"/>
                <w:lang w:eastAsia="en-US"/>
              </w:rPr>
            </w:pPr>
            <w:r>
              <w:rPr>
                <w:b/>
                <w:sz w:val="22"/>
                <w:szCs w:val="22"/>
                <w:lang w:eastAsia="en-US"/>
              </w:rPr>
              <w:t>52 Weeks</w:t>
            </w:r>
          </w:p>
        </w:tc>
        <w:tc>
          <w:tcPr>
            <w:tcW w:w="3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1F2FCF" w14:textId="1341F9ED" w:rsidR="00236EB6" w:rsidRPr="00F222DB" w:rsidRDefault="00236EB6" w:rsidP="00621701">
            <w:pPr>
              <w:tabs>
                <w:tab w:val="left" w:pos="567"/>
              </w:tabs>
              <w:spacing w:before="40" w:after="40"/>
              <w:jc w:val="center"/>
              <w:rPr>
                <w:b/>
                <w:sz w:val="22"/>
                <w:szCs w:val="22"/>
                <w:lang w:eastAsia="en-US"/>
              </w:rPr>
            </w:pPr>
            <w:r>
              <w:rPr>
                <w:b/>
                <w:sz w:val="22"/>
                <w:szCs w:val="22"/>
                <w:lang w:eastAsia="en-US"/>
              </w:rPr>
              <w:t>96 Weeks</w:t>
            </w:r>
          </w:p>
        </w:tc>
      </w:tr>
      <w:tr w:rsidR="00F222DB" w:rsidRPr="00F222DB" w14:paraId="5DD0A0A9" w14:textId="77777777" w:rsidTr="00621701">
        <w:tc>
          <w:tcPr>
            <w:tcW w:w="161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6DDB9FCE" w14:textId="77777777" w:rsidR="00F222DB" w:rsidRPr="00F222DB" w:rsidRDefault="00F222DB" w:rsidP="00621701">
            <w:pPr>
              <w:tabs>
                <w:tab w:val="left" w:pos="567"/>
              </w:tabs>
              <w:spacing w:before="40" w:after="40"/>
              <w:jc w:val="both"/>
              <w:rPr>
                <w:sz w:val="22"/>
                <w:szCs w:val="22"/>
                <w:lang w:eastAsia="en-US"/>
              </w:rPr>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E9A79" w14:textId="01AC5E91" w:rsidR="00F222DB" w:rsidRPr="00F222DB" w:rsidRDefault="00F222DB" w:rsidP="00621701">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Q8W</w:t>
            </w:r>
          </w:p>
          <w:p w14:paraId="02C8D885" w14:textId="77777777" w:rsidR="00F222DB" w:rsidRPr="00F222DB" w:rsidRDefault="00F222DB" w:rsidP="00621701">
            <w:pPr>
              <w:tabs>
                <w:tab w:val="left" w:pos="567"/>
              </w:tabs>
              <w:spacing w:before="40" w:after="40"/>
              <w:jc w:val="center"/>
              <w:rPr>
                <w:b/>
                <w:sz w:val="22"/>
                <w:szCs w:val="22"/>
                <w:lang w:eastAsia="en-US"/>
              </w:rPr>
            </w:pPr>
            <w:r w:rsidRPr="00F222DB">
              <w:rPr>
                <w:b/>
                <w:sz w:val="22"/>
                <w:szCs w:val="22"/>
                <w:lang w:eastAsia="en-US"/>
              </w:rPr>
              <w:t>n = 237</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272182" w14:textId="533D7976" w:rsidR="00F222DB" w:rsidRPr="00F222DB" w:rsidRDefault="00F222DB" w:rsidP="00621701">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up to Q16W adjustable dosing</w:t>
            </w:r>
          </w:p>
          <w:p w14:paraId="6E3D6519" w14:textId="77777777" w:rsidR="00F222DB" w:rsidRPr="00F222DB" w:rsidRDefault="00F222DB" w:rsidP="00621701">
            <w:pPr>
              <w:tabs>
                <w:tab w:val="left" w:pos="567"/>
              </w:tabs>
              <w:spacing w:before="40" w:after="40"/>
              <w:jc w:val="center"/>
              <w:rPr>
                <w:b/>
                <w:sz w:val="22"/>
                <w:szCs w:val="22"/>
                <w:lang w:eastAsia="en-US"/>
              </w:rPr>
            </w:pPr>
            <w:r w:rsidRPr="00F222DB">
              <w:rPr>
                <w:b/>
                <w:sz w:val="22"/>
                <w:szCs w:val="22"/>
                <w:lang w:eastAsia="en-US"/>
              </w:rPr>
              <w:t>n = 242</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C5E00" w14:textId="77777777" w:rsidR="00F222DB" w:rsidRPr="00F222DB" w:rsidRDefault="00F222DB" w:rsidP="00621701">
            <w:pPr>
              <w:tabs>
                <w:tab w:val="left" w:pos="567"/>
              </w:tabs>
              <w:spacing w:before="40" w:after="40"/>
              <w:jc w:val="center"/>
              <w:rPr>
                <w:b/>
                <w:sz w:val="22"/>
                <w:szCs w:val="22"/>
                <w:lang w:eastAsia="en-US"/>
              </w:rPr>
            </w:pPr>
            <w:r w:rsidRPr="00F222DB">
              <w:rPr>
                <w:b/>
                <w:sz w:val="22"/>
                <w:szCs w:val="22"/>
                <w:lang w:eastAsia="en-US"/>
              </w:rPr>
              <w:t>Aflibercept Q8W</w:t>
            </w:r>
          </w:p>
          <w:p w14:paraId="268F11D3" w14:textId="77777777" w:rsidR="00F222DB" w:rsidRPr="00F222DB" w:rsidRDefault="00F222DB" w:rsidP="00621701">
            <w:pPr>
              <w:tabs>
                <w:tab w:val="left" w:pos="567"/>
              </w:tabs>
              <w:spacing w:before="40" w:after="40"/>
              <w:jc w:val="center"/>
              <w:rPr>
                <w:b/>
                <w:sz w:val="22"/>
                <w:szCs w:val="22"/>
                <w:lang w:eastAsia="en-US"/>
              </w:rPr>
            </w:pPr>
            <w:r w:rsidRPr="00F222DB">
              <w:rPr>
                <w:b/>
                <w:sz w:val="22"/>
                <w:szCs w:val="22"/>
                <w:lang w:eastAsia="en-US"/>
              </w:rPr>
              <w:t>n = 229</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AB8DBD" w14:textId="59C312B5" w:rsidR="00F222DB" w:rsidRPr="00F222DB" w:rsidRDefault="00F222DB" w:rsidP="00621701">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Q8W</w:t>
            </w:r>
          </w:p>
          <w:p w14:paraId="25696D72" w14:textId="157715CE" w:rsidR="00F222DB" w:rsidRPr="00F222DB" w:rsidRDefault="00F222DB" w:rsidP="00236EB6">
            <w:pPr>
              <w:tabs>
                <w:tab w:val="left" w:pos="567"/>
              </w:tabs>
              <w:spacing w:before="40" w:after="40"/>
              <w:jc w:val="center"/>
              <w:rPr>
                <w:b/>
                <w:sz w:val="22"/>
                <w:szCs w:val="22"/>
                <w:lang w:eastAsia="en-US"/>
              </w:rPr>
            </w:pPr>
            <w:r w:rsidRPr="00F222DB">
              <w:rPr>
                <w:b/>
                <w:sz w:val="22"/>
                <w:szCs w:val="22"/>
                <w:lang w:eastAsia="en-US"/>
              </w:rPr>
              <w:t xml:space="preserve">n = </w:t>
            </w:r>
            <w:r w:rsidR="00236EB6">
              <w:rPr>
                <w:b/>
                <w:sz w:val="22"/>
                <w:szCs w:val="22"/>
                <w:lang w:eastAsia="en-US"/>
              </w:rPr>
              <w:t>220</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986376" w14:textId="213F6016" w:rsidR="00F222DB" w:rsidRPr="00F222DB" w:rsidRDefault="00F222DB" w:rsidP="00621701">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up to Q16W adjustable dosing</w:t>
            </w:r>
          </w:p>
          <w:p w14:paraId="692C96C8" w14:textId="420FCF05" w:rsidR="00F222DB" w:rsidRPr="00F222DB" w:rsidRDefault="00F222DB" w:rsidP="00236EB6">
            <w:pPr>
              <w:tabs>
                <w:tab w:val="left" w:pos="567"/>
              </w:tabs>
              <w:spacing w:before="40" w:after="40"/>
              <w:jc w:val="center"/>
              <w:rPr>
                <w:b/>
                <w:sz w:val="22"/>
                <w:szCs w:val="22"/>
                <w:lang w:eastAsia="en-US"/>
              </w:rPr>
            </w:pPr>
            <w:r w:rsidRPr="00F222DB">
              <w:rPr>
                <w:b/>
                <w:sz w:val="22"/>
                <w:szCs w:val="22"/>
                <w:lang w:eastAsia="en-US"/>
              </w:rPr>
              <w:t xml:space="preserve">n = </w:t>
            </w:r>
            <w:r w:rsidR="00236EB6">
              <w:rPr>
                <w:b/>
                <w:sz w:val="22"/>
                <w:szCs w:val="22"/>
                <w:lang w:eastAsia="en-US"/>
              </w:rPr>
              <w:t>234</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16C97" w14:textId="77777777" w:rsidR="00F222DB" w:rsidRPr="00F222DB" w:rsidRDefault="00F222DB" w:rsidP="00621701">
            <w:pPr>
              <w:tabs>
                <w:tab w:val="left" w:pos="567"/>
              </w:tabs>
              <w:spacing w:before="40" w:after="40"/>
              <w:jc w:val="center"/>
              <w:rPr>
                <w:b/>
                <w:sz w:val="22"/>
                <w:szCs w:val="22"/>
                <w:lang w:eastAsia="en-US"/>
              </w:rPr>
            </w:pPr>
            <w:r w:rsidRPr="00F222DB">
              <w:rPr>
                <w:b/>
                <w:sz w:val="22"/>
                <w:szCs w:val="22"/>
                <w:lang w:eastAsia="en-US"/>
              </w:rPr>
              <w:t>Aflibercept Q8W</w:t>
            </w:r>
          </w:p>
          <w:p w14:paraId="41CFD950" w14:textId="3695A495" w:rsidR="00F222DB" w:rsidRPr="00F222DB" w:rsidRDefault="00F222DB" w:rsidP="00236EB6">
            <w:pPr>
              <w:tabs>
                <w:tab w:val="left" w:pos="567"/>
              </w:tabs>
              <w:spacing w:before="40" w:after="40"/>
              <w:jc w:val="center"/>
              <w:rPr>
                <w:b/>
                <w:sz w:val="22"/>
                <w:szCs w:val="22"/>
                <w:lang w:eastAsia="en-US"/>
              </w:rPr>
            </w:pPr>
            <w:r w:rsidRPr="00F222DB">
              <w:rPr>
                <w:b/>
                <w:sz w:val="22"/>
                <w:szCs w:val="22"/>
                <w:lang w:eastAsia="en-US"/>
              </w:rPr>
              <w:t xml:space="preserve">n = </w:t>
            </w:r>
            <w:r w:rsidR="00236EB6">
              <w:rPr>
                <w:b/>
                <w:sz w:val="22"/>
                <w:szCs w:val="22"/>
                <w:lang w:eastAsia="en-US"/>
              </w:rPr>
              <w:t>221</w:t>
            </w:r>
          </w:p>
        </w:tc>
      </w:tr>
      <w:tr w:rsidR="00F222DB" w:rsidRPr="00F222DB" w14:paraId="1F769D29" w14:textId="77777777" w:rsidTr="00621701">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B061FE" w14:textId="77777777" w:rsidR="00F222DB" w:rsidRPr="00F222DB" w:rsidRDefault="00F222DB" w:rsidP="00621701">
            <w:pPr>
              <w:spacing w:before="40" w:after="40"/>
              <w:rPr>
                <w:sz w:val="22"/>
                <w:szCs w:val="22"/>
                <w:lang w:eastAsia="en-US"/>
              </w:rPr>
            </w:pPr>
            <w:r w:rsidRPr="00F222DB">
              <w:rPr>
                <w:sz w:val="22"/>
                <w:szCs w:val="22"/>
                <w:lang w:eastAsia="en-US"/>
              </w:rPr>
              <w:t xml:space="preserve">Proportion of patients with </w:t>
            </w:r>
            <w:r w:rsidRPr="00F222DB">
              <w:rPr>
                <w:sz w:val="22"/>
                <w:szCs w:val="22"/>
                <w:lang w:eastAsia="en-US"/>
              </w:rPr>
              <w:lastRenderedPageBreak/>
              <w:t>≥2-step ETDRS-DRSS improvement from baseline  </w:t>
            </w:r>
          </w:p>
          <w:p w14:paraId="34AC04A5" w14:textId="77777777" w:rsidR="00F222DB" w:rsidRPr="00F222DB" w:rsidRDefault="00F222DB" w:rsidP="00621701">
            <w:pPr>
              <w:spacing w:before="40" w:after="40"/>
              <w:rPr>
                <w:sz w:val="22"/>
                <w:szCs w:val="22"/>
                <w:lang w:eastAsia="en-US"/>
              </w:rPr>
            </w:pPr>
            <w:r w:rsidRPr="00F222DB">
              <w:rPr>
                <w:sz w:val="22"/>
                <w:szCs w:val="22"/>
                <w:lang w:eastAsia="en-US"/>
              </w:rPr>
              <w:t>(CMH weighted proportion)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3B10B2"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lastRenderedPageBreak/>
              <w:t>46.0%</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C65F0"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42.5%</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F89E6"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35.8%</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9EAA3" w14:textId="5437AF56" w:rsidR="00F222DB" w:rsidRPr="00F222DB" w:rsidRDefault="00C50BAE" w:rsidP="00621701">
            <w:pPr>
              <w:tabs>
                <w:tab w:val="left" w:pos="567"/>
              </w:tabs>
              <w:spacing w:before="40" w:after="40"/>
              <w:jc w:val="center"/>
              <w:rPr>
                <w:sz w:val="22"/>
                <w:szCs w:val="22"/>
                <w:lang w:eastAsia="en-US"/>
              </w:rPr>
            </w:pPr>
            <w:r>
              <w:rPr>
                <w:sz w:val="22"/>
                <w:szCs w:val="22"/>
                <w:lang w:eastAsia="en-US"/>
              </w:rPr>
              <w:t>51.4</w:t>
            </w:r>
            <w:r w:rsidR="00F222DB" w:rsidRPr="00F222DB">
              <w:rPr>
                <w:sz w:val="22"/>
                <w:szCs w:val="22"/>
                <w:lang w:eastAsia="en-US"/>
              </w:rPr>
              <w: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B3DE3" w14:textId="7BDB59F8" w:rsidR="00F222DB" w:rsidRPr="00F222DB" w:rsidRDefault="00F222DB" w:rsidP="00C50BAE">
            <w:pPr>
              <w:tabs>
                <w:tab w:val="left" w:pos="567"/>
              </w:tabs>
              <w:spacing w:before="40" w:after="40"/>
              <w:jc w:val="center"/>
              <w:rPr>
                <w:sz w:val="22"/>
                <w:szCs w:val="22"/>
                <w:lang w:eastAsia="en-US"/>
              </w:rPr>
            </w:pPr>
            <w:r w:rsidRPr="00F222DB">
              <w:rPr>
                <w:sz w:val="22"/>
                <w:szCs w:val="22"/>
                <w:lang w:eastAsia="en-US"/>
              </w:rPr>
              <w:t>4</w:t>
            </w:r>
            <w:r w:rsidR="00C50BAE">
              <w:rPr>
                <w:sz w:val="22"/>
                <w:szCs w:val="22"/>
                <w:lang w:eastAsia="en-US"/>
              </w:rPr>
              <w:t>2.8</w:t>
            </w:r>
            <w:r w:rsidRPr="00F222DB">
              <w:rPr>
                <w:sz w:val="22"/>
                <w:szCs w:val="22"/>
                <w:lang w:eastAsia="en-US"/>
              </w:rPr>
              <w: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322306" w14:textId="6C341CD3" w:rsidR="00F222DB" w:rsidRPr="00F222DB" w:rsidRDefault="00C50BAE" w:rsidP="00621701">
            <w:pPr>
              <w:tabs>
                <w:tab w:val="left" w:pos="567"/>
              </w:tabs>
              <w:spacing w:before="40" w:after="40"/>
              <w:jc w:val="center"/>
              <w:rPr>
                <w:sz w:val="22"/>
                <w:szCs w:val="22"/>
                <w:lang w:eastAsia="en-US"/>
              </w:rPr>
            </w:pPr>
            <w:r>
              <w:rPr>
                <w:sz w:val="22"/>
                <w:szCs w:val="22"/>
                <w:lang w:eastAsia="en-US"/>
              </w:rPr>
              <w:t>42.2</w:t>
            </w:r>
            <w:r w:rsidR="00F222DB" w:rsidRPr="00F222DB">
              <w:rPr>
                <w:sz w:val="22"/>
                <w:szCs w:val="22"/>
                <w:lang w:eastAsia="en-US"/>
              </w:rPr>
              <w:t>%</w:t>
            </w:r>
          </w:p>
        </w:tc>
      </w:tr>
      <w:tr w:rsidR="00F222DB" w:rsidRPr="00F222DB" w14:paraId="087522B4" w14:textId="77777777" w:rsidTr="00C50BAE">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7EAAA" w14:textId="0C223DD5" w:rsidR="00F222DB" w:rsidRPr="00F222DB" w:rsidRDefault="00F222DB" w:rsidP="00621701">
            <w:pPr>
              <w:tabs>
                <w:tab w:val="left" w:pos="567"/>
              </w:tabs>
              <w:spacing w:before="40" w:after="40"/>
              <w:rPr>
                <w:sz w:val="22"/>
                <w:szCs w:val="22"/>
                <w:lang w:eastAsia="en-US"/>
              </w:rPr>
            </w:pPr>
            <w:r w:rsidRPr="00F222DB">
              <w:rPr>
                <w:sz w:val="22"/>
                <w:szCs w:val="22"/>
                <w:lang w:eastAsia="en-US"/>
              </w:rPr>
              <w:t>Weighted Difference (97.5% CI</w:t>
            </w:r>
            <w:r w:rsidR="00B063F6">
              <w:rPr>
                <w:sz w:val="22"/>
                <w:szCs w:val="22"/>
                <w:lang w:eastAsia="en-US"/>
              </w:rPr>
              <w:t xml:space="preserve"> year </w:t>
            </w:r>
            <w:r w:rsidR="00B063F6" w:rsidRPr="00B063F6">
              <w:rPr>
                <w:sz w:val="22"/>
                <w:szCs w:val="22"/>
                <w:lang w:eastAsia="en-US"/>
              </w:rPr>
              <w:t>1, 95% CI year 2</w:t>
            </w:r>
            <w:r w:rsidRPr="00B063F6">
              <w:rPr>
                <w:sz w:val="22"/>
                <w:szCs w:val="22"/>
                <w:lang w:eastAsia="en-US"/>
              </w:rPr>
              <w: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723B26"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10.2%</w:t>
            </w:r>
          </w:p>
          <w:p w14:paraId="6453EDE7"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(1.6%, 18.7%)</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AB39A"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6.1%</w:t>
            </w:r>
          </w:p>
          <w:p w14:paraId="1B28D804"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(-2.4%, 14.6%)</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3C65C" w14:textId="77777777" w:rsidR="00F222DB" w:rsidRPr="00F222DB" w:rsidRDefault="00F222DB" w:rsidP="00621701">
            <w:pPr>
              <w:tabs>
                <w:tab w:val="left" w:pos="567"/>
              </w:tabs>
              <w:spacing w:before="40" w:after="40"/>
              <w:jc w:val="center"/>
              <w:rPr>
                <w:sz w:val="22"/>
                <w:szCs w:val="22"/>
                <w:lang w:eastAsia="en-US"/>
              </w:rPr>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A9587"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9.1%</w:t>
            </w:r>
          </w:p>
          <w:p w14:paraId="1BDC35F7" w14:textId="2EA768C2" w:rsidR="00F222DB" w:rsidRPr="00F222DB" w:rsidRDefault="00C50BAE" w:rsidP="00C50BAE">
            <w:pPr>
              <w:tabs>
                <w:tab w:val="left" w:pos="567"/>
              </w:tabs>
              <w:spacing w:before="40" w:after="40"/>
              <w:jc w:val="center"/>
              <w:rPr>
                <w:sz w:val="22"/>
                <w:szCs w:val="22"/>
                <w:lang w:eastAsia="en-US"/>
              </w:rPr>
            </w:pPr>
            <w:r w:rsidRPr="00C50BAE">
              <w:rPr>
                <w:sz w:val="22"/>
                <w:szCs w:val="22"/>
                <w:lang w:eastAsia="en-US"/>
              </w:rPr>
              <w:t>(0.0%, 18.2%)</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FBEC1"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0.0%</w:t>
            </w:r>
          </w:p>
          <w:p w14:paraId="5AC80143" w14:textId="7AA5B6AB" w:rsidR="00F222DB" w:rsidRPr="00F222DB" w:rsidRDefault="00C50BAE" w:rsidP="00C50BAE">
            <w:pPr>
              <w:tabs>
                <w:tab w:val="left" w:pos="567"/>
              </w:tabs>
              <w:spacing w:before="40" w:after="40"/>
              <w:jc w:val="center"/>
              <w:rPr>
                <w:sz w:val="22"/>
                <w:szCs w:val="22"/>
                <w:lang w:eastAsia="en-US"/>
              </w:rPr>
            </w:pPr>
            <w:r w:rsidRPr="00C50BAE">
              <w:rPr>
                <w:sz w:val="22"/>
                <w:szCs w:val="22"/>
                <w:lang w:eastAsia="en-US"/>
              </w:rPr>
              <w:t>(-8.9%, 8.9%)</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54AD8" w14:textId="77777777" w:rsidR="00F222DB" w:rsidRPr="00F222DB" w:rsidRDefault="00F222DB" w:rsidP="00621701">
            <w:pPr>
              <w:tabs>
                <w:tab w:val="left" w:pos="567"/>
              </w:tabs>
              <w:spacing w:before="40" w:after="40"/>
              <w:jc w:val="center"/>
              <w:rPr>
                <w:sz w:val="22"/>
                <w:szCs w:val="22"/>
                <w:lang w:eastAsia="en-US"/>
              </w:rPr>
            </w:pPr>
          </w:p>
        </w:tc>
      </w:tr>
      <w:tr w:rsidR="00F222DB" w:rsidRPr="00F222DB" w14:paraId="7AB98A7E" w14:textId="77777777" w:rsidTr="00C50BAE">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10BE4" w14:textId="77777777" w:rsidR="00F222DB" w:rsidRPr="00F222DB" w:rsidRDefault="00F222DB" w:rsidP="00621701">
            <w:pPr>
              <w:tabs>
                <w:tab w:val="left" w:pos="567"/>
              </w:tabs>
              <w:spacing w:before="40" w:after="40"/>
              <w:rPr>
                <w:sz w:val="22"/>
                <w:szCs w:val="22"/>
                <w:lang w:eastAsia="en-US"/>
              </w:rPr>
            </w:pPr>
            <w:r w:rsidRPr="00F222DB">
              <w:rPr>
                <w:sz w:val="22"/>
                <w:szCs w:val="22"/>
                <w:lang w:eastAsia="en-US"/>
              </w:rPr>
              <w:t>Proportion of patients with ≥ 3-step ETDRS-DRSS improvement from baseline </w:t>
            </w:r>
          </w:p>
          <w:p w14:paraId="58F1DBA7" w14:textId="0F7179FF" w:rsidR="00F222DB" w:rsidRPr="00F222DB" w:rsidRDefault="003E4887" w:rsidP="00621701">
            <w:pPr>
              <w:tabs>
                <w:tab w:val="left" w:pos="567"/>
              </w:tabs>
              <w:spacing w:before="40" w:after="40"/>
              <w:rPr>
                <w:sz w:val="22"/>
                <w:szCs w:val="22"/>
                <w:lang w:eastAsia="en-US"/>
              </w:rPr>
            </w:pPr>
            <w:r>
              <w:rPr>
                <w:sz w:val="22"/>
                <w:szCs w:val="22"/>
                <w:lang w:eastAsia="en-US"/>
              </w:rPr>
              <w:t xml:space="preserve">(CMH </w:t>
            </w:r>
            <w:r w:rsidR="00F222DB" w:rsidRPr="00F222DB">
              <w:rPr>
                <w:sz w:val="22"/>
                <w:szCs w:val="22"/>
                <w:lang w:eastAsia="en-US"/>
              </w:rPr>
              <w:t>weighted proportion)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848DDA"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16.8%</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2CB85"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15.5%</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699AA"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14.7%</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C1DB43" w14:textId="4B59A5B2" w:rsidR="00F222DB" w:rsidRPr="00F222DB" w:rsidRDefault="00C50BAE" w:rsidP="00621701">
            <w:pPr>
              <w:tabs>
                <w:tab w:val="left" w:pos="567"/>
              </w:tabs>
              <w:spacing w:before="40" w:after="40"/>
              <w:jc w:val="center"/>
              <w:rPr>
                <w:sz w:val="22"/>
                <w:szCs w:val="22"/>
                <w:lang w:eastAsia="en-US"/>
              </w:rPr>
            </w:pPr>
            <w:r w:rsidRPr="00C50BAE">
              <w:rPr>
                <w:sz w:val="22"/>
                <w:szCs w:val="22"/>
                <w:lang w:eastAsia="en-US"/>
              </w:rPr>
              <w:t>22.4%</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55E46" w14:textId="4D77C661" w:rsidR="00F222DB" w:rsidRPr="00F222DB" w:rsidRDefault="00C50BAE" w:rsidP="00621701">
            <w:pPr>
              <w:tabs>
                <w:tab w:val="left" w:pos="567"/>
              </w:tabs>
              <w:spacing w:before="40" w:after="40"/>
              <w:jc w:val="center"/>
              <w:rPr>
                <w:sz w:val="22"/>
                <w:szCs w:val="22"/>
                <w:lang w:eastAsia="en-US"/>
              </w:rPr>
            </w:pPr>
            <w:r>
              <w:rPr>
                <w:sz w:val="22"/>
                <w:szCs w:val="22"/>
                <w:lang w:eastAsia="en-US"/>
              </w:rPr>
              <w:t>14.6%</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E8176" w14:textId="1F316024" w:rsidR="00F222DB" w:rsidRPr="00F222DB" w:rsidRDefault="00C50BAE" w:rsidP="00621701">
            <w:pPr>
              <w:tabs>
                <w:tab w:val="left" w:pos="567"/>
              </w:tabs>
              <w:spacing w:before="40" w:after="40"/>
              <w:jc w:val="center"/>
              <w:rPr>
                <w:sz w:val="22"/>
                <w:szCs w:val="22"/>
                <w:lang w:eastAsia="en-US"/>
              </w:rPr>
            </w:pPr>
            <w:r>
              <w:rPr>
                <w:sz w:val="22"/>
                <w:szCs w:val="22"/>
                <w:lang w:eastAsia="en-US"/>
              </w:rPr>
              <w:t>20.9%</w:t>
            </w:r>
          </w:p>
        </w:tc>
      </w:tr>
      <w:tr w:rsidR="00F222DB" w:rsidRPr="00F222DB" w14:paraId="6D578939" w14:textId="77777777" w:rsidTr="00C50BAE">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30314" w14:textId="561ED414" w:rsidR="00F222DB" w:rsidRPr="00F222DB" w:rsidRDefault="00F222DB" w:rsidP="00621701">
            <w:pPr>
              <w:tabs>
                <w:tab w:val="left" w:pos="567"/>
              </w:tabs>
              <w:spacing w:before="40" w:after="40"/>
              <w:rPr>
                <w:sz w:val="22"/>
                <w:szCs w:val="22"/>
                <w:lang w:eastAsia="en-US"/>
              </w:rPr>
            </w:pPr>
            <w:r w:rsidRPr="00F222DB">
              <w:rPr>
                <w:sz w:val="22"/>
                <w:szCs w:val="22"/>
                <w:lang w:eastAsia="en-US"/>
              </w:rPr>
              <w:t>Weighted Difference (95% CI</w:t>
            </w:r>
            <w:r w:rsidR="00B063F6">
              <w:rPr>
                <w:sz w:val="22"/>
                <w:szCs w:val="22"/>
                <w:lang w:eastAsia="en-US"/>
              </w:rPr>
              <w:t xml:space="preserve"> </w:t>
            </w:r>
            <w:r w:rsidR="00B063F6" w:rsidRPr="00B063F6">
              <w:rPr>
                <w:sz w:val="22"/>
                <w:szCs w:val="22"/>
                <w:lang w:eastAsia="en-US"/>
              </w:rPr>
              <w:t>year 1 and year 2</w:t>
            </w:r>
            <w:r w:rsidRPr="00B063F6">
              <w:rPr>
                <w:sz w:val="22"/>
                <w:szCs w:val="22"/>
                <w:lang w:eastAsia="en-US"/>
              </w:rPr>
              <w: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9E11E"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2.1%</w:t>
            </w:r>
          </w:p>
          <w:p w14:paraId="135E2759"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(-4.3%, 8.6%)</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84718"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0.6%</w:t>
            </w:r>
          </w:p>
          <w:p w14:paraId="246C1B51" w14:textId="77777777" w:rsidR="00F222DB" w:rsidRPr="00F222DB" w:rsidRDefault="00F222DB" w:rsidP="00621701">
            <w:pPr>
              <w:tabs>
                <w:tab w:val="left" w:pos="567"/>
              </w:tabs>
              <w:spacing w:before="40" w:after="40"/>
              <w:jc w:val="center"/>
              <w:rPr>
                <w:sz w:val="22"/>
                <w:szCs w:val="22"/>
                <w:lang w:eastAsia="en-US"/>
              </w:rPr>
            </w:pPr>
            <w:r w:rsidRPr="00F222DB">
              <w:rPr>
                <w:sz w:val="22"/>
                <w:szCs w:val="22"/>
                <w:lang w:eastAsia="en-US"/>
              </w:rPr>
              <w:t>(-5.8%, 6.9%)</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60C3B9" w14:textId="77777777" w:rsidR="00F222DB" w:rsidRPr="00F222DB" w:rsidRDefault="00F222DB" w:rsidP="00621701">
            <w:pPr>
              <w:tabs>
                <w:tab w:val="left" w:pos="567"/>
              </w:tabs>
              <w:spacing w:before="40" w:after="40"/>
              <w:jc w:val="center"/>
              <w:rPr>
                <w:sz w:val="22"/>
                <w:szCs w:val="22"/>
                <w:lang w:eastAsia="en-US"/>
              </w:rPr>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2848F5"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1.5%</w:t>
            </w:r>
          </w:p>
          <w:p w14:paraId="2A03FABB" w14:textId="1183C356" w:rsidR="00F222DB" w:rsidRPr="00F222DB" w:rsidRDefault="00C50BAE" w:rsidP="00C50BAE">
            <w:pPr>
              <w:tabs>
                <w:tab w:val="left" w:pos="567"/>
              </w:tabs>
              <w:spacing w:before="40" w:after="40"/>
              <w:jc w:val="center"/>
              <w:rPr>
                <w:sz w:val="22"/>
                <w:szCs w:val="22"/>
                <w:lang w:eastAsia="en-US"/>
              </w:rPr>
            </w:pPr>
            <w:r w:rsidRPr="00C50BAE">
              <w:rPr>
                <w:sz w:val="22"/>
                <w:szCs w:val="22"/>
                <w:lang w:eastAsia="en-US"/>
              </w:rPr>
              <w:t>(-6.0%, 9.0%</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1F3FB"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-6.7%</w:t>
            </w:r>
          </w:p>
          <w:p w14:paraId="7A6A8625" w14:textId="0529AF6A" w:rsidR="00F222DB" w:rsidRPr="00F222DB" w:rsidRDefault="00C50BAE" w:rsidP="00C50BAE">
            <w:pPr>
              <w:tabs>
                <w:tab w:val="left" w:pos="567"/>
              </w:tabs>
              <w:spacing w:before="40" w:after="40"/>
              <w:jc w:val="center"/>
              <w:rPr>
                <w:sz w:val="22"/>
                <w:szCs w:val="22"/>
                <w:lang w:eastAsia="en-US"/>
              </w:rPr>
            </w:pPr>
            <w:r w:rsidRPr="00C50BAE">
              <w:rPr>
                <w:sz w:val="22"/>
                <w:szCs w:val="22"/>
                <w:lang w:eastAsia="en-US"/>
              </w:rPr>
              <w:t>-13.6%, 0.1%</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934B2" w14:textId="77777777" w:rsidR="00F222DB" w:rsidRPr="00F222DB" w:rsidRDefault="00F222DB" w:rsidP="00621701">
            <w:pPr>
              <w:tabs>
                <w:tab w:val="left" w:pos="567"/>
              </w:tabs>
              <w:spacing w:before="40" w:after="40"/>
              <w:jc w:val="center"/>
              <w:rPr>
                <w:sz w:val="22"/>
                <w:szCs w:val="22"/>
                <w:lang w:eastAsia="en-US"/>
              </w:rPr>
            </w:pPr>
          </w:p>
        </w:tc>
      </w:tr>
    </w:tbl>
    <w:p w14:paraId="3C60E723"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 xml:space="preserve">ETDRS-DRSS: Early Treatment Diabetic Retinopathy Study Diabetic Retinopathy Severity Scale </w:t>
      </w:r>
    </w:p>
    <w:p w14:paraId="6C900354"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CMH: Cochran–Mantel–Haenszel method; a statistical test that generates an estimate of an association with a binary outcome and is used for assessment of categorical variables.</w:t>
      </w:r>
    </w:p>
    <w:p w14:paraId="6BDC90A5" w14:textId="77777777" w:rsidR="00F222DB" w:rsidRPr="00F222DB" w:rsidRDefault="00F222DB" w:rsidP="00F222DB">
      <w:pPr>
        <w:pStyle w:val="SynopsisText"/>
        <w:spacing w:after="0"/>
        <w:rPr>
          <w:sz w:val="22"/>
          <w:szCs w:val="22"/>
          <w:lang w:val="en-AU" w:eastAsia="en-AU"/>
        </w:rPr>
      </w:pPr>
      <w:r w:rsidRPr="00F222DB">
        <w:rPr>
          <w:sz w:val="22"/>
          <w:szCs w:val="22"/>
          <w:lang w:val="en-AU" w:eastAsia="en-AU"/>
        </w:rPr>
        <w:t>CI: Confidence Interval</w:t>
      </w:r>
    </w:p>
    <w:p w14:paraId="735EB77C" w14:textId="4103F082" w:rsidR="00F222DB" w:rsidRDefault="00F222DB" w:rsidP="00F222DB">
      <w:pPr>
        <w:pStyle w:val="SynopsisText"/>
        <w:spacing w:after="0"/>
        <w:rPr>
          <w:rFonts w:eastAsia="Calibri"/>
          <w:lang w:val="en-GB"/>
        </w:rPr>
      </w:pPr>
      <w:r w:rsidRPr="00F222DB">
        <w:rPr>
          <w:sz w:val="22"/>
          <w:szCs w:val="22"/>
          <w:lang w:val="en-AU" w:eastAsia="en-AU"/>
        </w:rPr>
        <w:t xml:space="preserve">Note: CMH weighted % for aflibercept arm presented for </w:t>
      </w:r>
      <w:proofErr w:type="spellStart"/>
      <w:r w:rsidRPr="00F222DB">
        <w:rPr>
          <w:sz w:val="22"/>
          <w:szCs w:val="22"/>
          <w:lang w:val="en-AU" w:eastAsia="en-AU"/>
        </w:rPr>
        <w:t>V</w:t>
      </w:r>
      <w:r w:rsidR="00E00D93" w:rsidRPr="00F222DB">
        <w:rPr>
          <w:sz w:val="22"/>
          <w:szCs w:val="22"/>
          <w:lang w:val="en-AU" w:eastAsia="en-AU"/>
        </w:rPr>
        <w:t>abysmo</w:t>
      </w:r>
      <w:proofErr w:type="spellEnd"/>
      <w:r w:rsidRPr="00F222DB">
        <w:rPr>
          <w:sz w:val="22"/>
          <w:szCs w:val="22"/>
          <w:lang w:val="en-AU" w:eastAsia="en-AU"/>
        </w:rPr>
        <w:t xml:space="preserve"> Q8W vs. aflibercept comparison, however the corresponding CMH weighted % for </w:t>
      </w:r>
      <w:proofErr w:type="spellStart"/>
      <w:r w:rsidRPr="00F222DB">
        <w:rPr>
          <w:sz w:val="22"/>
          <w:szCs w:val="22"/>
          <w:lang w:val="en-AU" w:eastAsia="en-AU"/>
        </w:rPr>
        <w:t>V</w:t>
      </w:r>
      <w:r w:rsidR="00E00D93" w:rsidRPr="00F222DB">
        <w:rPr>
          <w:sz w:val="22"/>
          <w:szCs w:val="22"/>
          <w:lang w:val="en-AU" w:eastAsia="en-AU"/>
        </w:rPr>
        <w:t>abysmo</w:t>
      </w:r>
      <w:proofErr w:type="spellEnd"/>
      <w:r w:rsidRPr="00F222DB">
        <w:rPr>
          <w:sz w:val="22"/>
          <w:szCs w:val="22"/>
          <w:lang w:val="en-AU" w:eastAsia="en-AU"/>
        </w:rPr>
        <w:t xml:space="preserve"> adjustable vs. aflibercept comparison is </w:t>
      </w:r>
      <w:proofErr w:type="gramStart"/>
      <w:r w:rsidRPr="00F222DB">
        <w:rPr>
          <w:sz w:val="22"/>
          <w:szCs w:val="22"/>
          <w:lang w:val="en-AU" w:eastAsia="en-AU"/>
        </w:rPr>
        <w:t>similar to</w:t>
      </w:r>
      <w:proofErr w:type="gramEnd"/>
      <w:r w:rsidRPr="00F222DB">
        <w:rPr>
          <w:sz w:val="22"/>
          <w:szCs w:val="22"/>
          <w:lang w:val="en-AU" w:eastAsia="en-AU"/>
        </w:rPr>
        <w:t xml:space="preserve"> the one shown above.</w:t>
      </w:r>
    </w:p>
    <w:p w14:paraId="3B515421" w14:textId="47EF5A99" w:rsidR="00F222DB" w:rsidRDefault="00F222DB" w:rsidP="00380B7A">
      <w:pPr>
        <w:spacing w:line="300" w:lineRule="atLeast"/>
        <w:rPr>
          <w:rFonts w:eastAsia="Calibri"/>
          <w:color w:val="auto"/>
          <w:lang w:val="en-GB"/>
        </w:rPr>
      </w:pPr>
    </w:p>
    <w:p w14:paraId="27AB0545" w14:textId="0F23B154" w:rsidR="00236EB6" w:rsidRPr="00F222DB" w:rsidRDefault="00236EB6" w:rsidP="00236EB6">
      <w:pPr>
        <w:keepNext/>
        <w:spacing w:after="120" w:line="300" w:lineRule="atLeast"/>
        <w:ind w:left="994" w:hanging="994"/>
        <w:rPr>
          <w:color w:val="auto"/>
        </w:rPr>
      </w:pPr>
      <w:r w:rsidRPr="00236EB6">
        <w:rPr>
          <w:b/>
          <w:bCs/>
          <w:color w:val="auto"/>
        </w:rPr>
        <w:t>Table 4</w:t>
      </w:r>
      <w:r>
        <w:rPr>
          <w:b/>
          <w:bCs/>
          <w:color w:val="auto"/>
        </w:rPr>
        <w:t>b</w:t>
      </w:r>
      <w:r w:rsidRPr="00236EB6">
        <w:rPr>
          <w:color w:val="auto"/>
        </w:rPr>
        <w:t xml:space="preserve"> </w:t>
      </w:r>
      <w:r w:rsidRPr="00236EB6">
        <w:rPr>
          <w:color w:val="auto"/>
        </w:rPr>
        <w:tab/>
      </w:r>
      <w:r w:rsidRPr="00236EB6">
        <w:rPr>
          <w:b/>
          <w:color w:val="auto"/>
        </w:rPr>
        <w:t>Proportion of patients who achieved ≥ 2-step and ≥ 3-step improvement from baseline in ETDRS-DRSS score at week 52</w:t>
      </w:r>
      <w:r>
        <w:rPr>
          <w:b/>
          <w:color w:val="auto"/>
        </w:rPr>
        <w:t xml:space="preserve"> and at week 96</w:t>
      </w:r>
      <w:r w:rsidRPr="00236EB6">
        <w:rPr>
          <w:b/>
          <w:color w:val="auto"/>
        </w:rPr>
        <w:t xml:space="preserve"> in RHINE (DR evaluable population)</w:t>
      </w:r>
    </w:p>
    <w:tbl>
      <w:tblPr>
        <w:tblW w:w="9530" w:type="dxa"/>
        <w:tblLayout w:type="fixed"/>
        <w:tblCellMar>
          <w:top w:w="15" w:type="dxa"/>
          <w:left w:w="15" w:type="dxa"/>
          <w:bottom w:w="15" w:type="dxa"/>
          <w:right w:w="15" w:type="dxa"/>
        </w:tblCellMar>
        <w:tblLook w:val="04A0" w:firstRow="1" w:lastRow="0" w:firstColumn="1" w:lastColumn="0" w:noHBand="0" w:noVBand="1"/>
      </w:tblPr>
      <w:tblGrid>
        <w:gridCol w:w="1610"/>
        <w:gridCol w:w="1320"/>
        <w:gridCol w:w="1320"/>
        <w:gridCol w:w="1320"/>
        <w:gridCol w:w="1320"/>
        <w:gridCol w:w="1320"/>
        <w:gridCol w:w="1320"/>
      </w:tblGrid>
      <w:tr w:rsidR="00236EB6" w:rsidRPr="00F222DB" w14:paraId="2303D7C0" w14:textId="77777777" w:rsidTr="00021580">
        <w:tc>
          <w:tcPr>
            <w:tcW w:w="161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66F5FCF5" w14:textId="77777777" w:rsidR="00236EB6" w:rsidRPr="00F222DB" w:rsidRDefault="00236EB6" w:rsidP="00021580">
            <w:pPr>
              <w:tabs>
                <w:tab w:val="left" w:pos="567"/>
              </w:tabs>
              <w:spacing w:before="40" w:after="40"/>
              <w:jc w:val="both"/>
              <w:rPr>
                <w:sz w:val="22"/>
                <w:szCs w:val="22"/>
                <w:lang w:eastAsia="en-US"/>
              </w:rPr>
            </w:pPr>
          </w:p>
        </w:tc>
        <w:tc>
          <w:tcPr>
            <w:tcW w:w="7920" w:type="dxa"/>
            <w:gridSpan w:val="6"/>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5073F" w14:textId="69D8C087" w:rsidR="00236EB6" w:rsidRPr="00F222DB" w:rsidRDefault="00236EB6" w:rsidP="00021580">
            <w:pPr>
              <w:tabs>
                <w:tab w:val="left" w:pos="567"/>
              </w:tabs>
              <w:spacing w:before="40" w:after="40"/>
              <w:jc w:val="center"/>
              <w:rPr>
                <w:b/>
                <w:sz w:val="22"/>
                <w:szCs w:val="22"/>
                <w:lang w:eastAsia="en-US"/>
              </w:rPr>
            </w:pPr>
            <w:r w:rsidRPr="00F222DB">
              <w:rPr>
                <w:b/>
                <w:sz w:val="22"/>
                <w:szCs w:val="22"/>
                <w:lang w:eastAsia="en-US"/>
              </w:rPr>
              <w:t>RHINE</w:t>
            </w:r>
          </w:p>
        </w:tc>
      </w:tr>
      <w:tr w:rsidR="00236EB6" w:rsidRPr="00F222DB" w14:paraId="1592EF27" w14:textId="77777777" w:rsidTr="00021580">
        <w:tc>
          <w:tcPr>
            <w:tcW w:w="1610"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5365088B" w14:textId="77777777" w:rsidR="00236EB6" w:rsidRPr="00F222DB" w:rsidRDefault="00236EB6" w:rsidP="00021580">
            <w:pPr>
              <w:tabs>
                <w:tab w:val="left" w:pos="567"/>
              </w:tabs>
              <w:spacing w:before="40" w:after="40"/>
              <w:jc w:val="both"/>
              <w:rPr>
                <w:sz w:val="22"/>
                <w:szCs w:val="22"/>
                <w:lang w:eastAsia="en-US"/>
              </w:rPr>
            </w:pPr>
          </w:p>
        </w:tc>
        <w:tc>
          <w:tcPr>
            <w:tcW w:w="3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599EE" w14:textId="3E1D058E" w:rsidR="00236EB6" w:rsidRPr="00F222DB" w:rsidRDefault="00236EB6" w:rsidP="00021580">
            <w:pPr>
              <w:tabs>
                <w:tab w:val="left" w:pos="567"/>
              </w:tabs>
              <w:spacing w:before="40" w:after="40"/>
              <w:jc w:val="center"/>
              <w:rPr>
                <w:b/>
                <w:sz w:val="22"/>
                <w:szCs w:val="22"/>
                <w:lang w:eastAsia="en-US"/>
              </w:rPr>
            </w:pPr>
            <w:r>
              <w:rPr>
                <w:b/>
                <w:sz w:val="22"/>
                <w:szCs w:val="22"/>
                <w:lang w:eastAsia="en-US"/>
              </w:rPr>
              <w:t>52 Weeks</w:t>
            </w:r>
          </w:p>
        </w:tc>
        <w:tc>
          <w:tcPr>
            <w:tcW w:w="396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F2CB4" w14:textId="6ECA5BF3" w:rsidR="00236EB6" w:rsidRPr="00F222DB" w:rsidRDefault="00236EB6" w:rsidP="00021580">
            <w:pPr>
              <w:tabs>
                <w:tab w:val="left" w:pos="567"/>
              </w:tabs>
              <w:spacing w:before="40" w:after="40"/>
              <w:jc w:val="center"/>
              <w:rPr>
                <w:b/>
                <w:sz w:val="22"/>
                <w:szCs w:val="22"/>
                <w:lang w:eastAsia="en-US"/>
              </w:rPr>
            </w:pPr>
            <w:r>
              <w:rPr>
                <w:b/>
                <w:sz w:val="22"/>
                <w:szCs w:val="22"/>
                <w:lang w:eastAsia="en-US"/>
              </w:rPr>
              <w:t>96 Weeks</w:t>
            </w:r>
          </w:p>
        </w:tc>
      </w:tr>
      <w:tr w:rsidR="00236EB6" w:rsidRPr="00F222DB" w14:paraId="32C1135F" w14:textId="77777777" w:rsidTr="00021580">
        <w:tc>
          <w:tcPr>
            <w:tcW w:w="1610" w:type="dxa"/>
            <w:vMerge/>
            <w:tcBorders>
              <w:left w:val="single" w:sz="8" w:space="0" w:color="000000"/>
              <w:bottom w:val="single" w:sz="8" w:space="0" w:color="000000"/>
              <w:right w:val="single" w:sz="8" w:space="0" w:color="000000"/>
            </w:tcBorders>
            <w:tcMar>
              <w:top w:w="100" w:type="dxa"/>
              <w:left w:w="100" w:type="dxa"/>
              <w:bottom w:w="100" w:type="dxa"/>
              <w:right w:w="100" w:type="dxa"/>
            </w:tcMar>
            <w:hideMark/>
          </w:tcPr>
          <w:p w14:paraId="6578AEC0" w14:textId="77777777" w:rsidR="00236EB6" w:rsidRPr="00F222DB" w:rsidRDefault="00236EB6" w:rsidP="00021580">
            <w:pPr>
              <w:tabs>
                <w:tab w:val="left" w:pos="567"/>
              </w:tabs>
              <w:spacing w:before="40" w:after="40"/>
              <w:jc w:val="both"/>
              <w:rPr>
                <w:sz w:val="22"/>
                <w:szCs w:val="22"/>
                <w:lang w:eastAsia="en-US"/>
              </w:rPr>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4D8F6" w14:textId="77777777" w:rsidR="00236EB6" w:rsidRPr="00F222DB" w:rsidRDefault="00236EB6" w:rsidP="00021580">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Q8W</w:t>
            </w:r>
          </w:p>
          <w:p w14:paraId="3D942DB5" w14:textId="69592516" w:rsidR="00236EB6" w:rsidRPr="00F222DB" w:rsidRDefault="00236EB6" w:rsidP="00236EB6">
            <w:pPr>
              <w:tabs>
                <w:tab w:val="left" w:pos="567"/>
              </w:tabs>
              <w:spacing w:before="40" w:after="40"/>
              <w:jc w:val="center"/>
              <w:rPr>
                <w:b/>
                <w:sz w:val="22"/>
                <w:szCs w:val="22"/>
                <w:lang w:eastAsia="en-US"/>
              </w:rPr>
            </w:pPr>
            <w:r w:rsidRPr="00F222DB">
              <w:rPr>
                <w:b/>
                <w:sz w:val="22"/>
                <w:szCs w:val="22"/>
                <w:lang w:eastAsia="en-US"/>
              </w:rPr>
              <w:t>n = 23</w:t>
            </w:r>
            <w:r>
              <w:rPr>
                <w:b/>
                <w:sz w:val="22"/>
                <w:szCs w:val="22"/>
                <w:lang w:eastAsia="en-US"/>
              </w:rPr>
              <w:t>1</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AA5882" w14:textId="77777777" w:rsidR="00236EB6" w:rsidRPr="00F222DB" w:rsidRDefault="00236EB6" w:rsidP="00021580">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up to Q16W adjustable dosing</w:t>
            </w:r>
          </w:p>
          <w:p w14:paraId="3A1278AD" w14:textId="58B7295A" w:rsidR="00236EB6" w:rsidRPr="00F222DB" w:rsidRDefault="00236EB6" w:rsidP="00236EB6">
            <w:pPr>
              <w:tabs>
                <w:tab w:val="left" w:pos="567"/>
              </w:tabs>
              <w:spacing w:before="40" w:after="40"/>
              <w:jc w:val="center"/>
              <w:rPr>
                <w:b/>
                <w:sz w:val="22"/>
                <w:szCs w:val="22"/>
                <w:lang w:eastAsia="en-US"/>
              </w:rPr>
            </w:pPr>
            <w:r w:rsidRPr="00F222DB">
              <w:rPr>
                <w:b/>
                <w:sz w:val="22"/>
                <w:szCs w:val="22"/>
                <w:lang w:eastAsia="en-US"/>
              </w:rPr>
              <w:t xml:space="preserve">n = </w:t>
            </w:r>
            <w:r>
              <w:rPr>
                <w:b/>
                <w:sz w:val="22"/>
                <w:szCs w:val="22"/>
                <w:lang w:eastAsia="en-US"/>
              </w:rPr>
              <w:t>251</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C4BA7" w14:textId="77777777" w:rsidR="00236EB6" w:rsidRPr="00F222DB" w:rsidRDefault="00236EB6" w:rsidP="00021580">
            <w:pPr>
              <w:tabs>
                <w:tab w:val="left" w:pos="567"/>
              </w:tabs>
              <w:spacing w:before="40" w:after="40"/>
              <w:jc w:val="center"/>
              <w:rPr>
                <w:b/>
                <w:sz w:val="22"/>
                <w:szCs w:val="22"/>
                <w:lang w:eastAsia="en-US"/>
              </w:rPr>
            </w:pPr>
            <w:r w:rsidRPr="00F222DB">
              <w:rPr>
                <w:b/>
                <w:sz w:val="22"/>
                <w:szCs w:val="22"/>
                <w:lang w:eastAsia="en-US"/>
              </w:rPr>
              <w:t>Aflibercept Q8W</w:t>
            </w:r>
          </w:p>
          <w:p w14:paraId="79DF3874" w14:textId="1F0CACDD" w:rsidR="00236EB6" w:rsidRPr="00F222DB" w:rsidRDefault="00236EB6" w:rsidP="00236EB6">
            <w:pPr>
              <w:tabs>
                <w:tab w:val="left" w:pos="567"/>
              </w:tabs>
              <w:spacing w:before="40" w:after="40"/>
              <w:jc w:val="center"/>
              <w:rPr>
                <w:b/>
                <w:sz w:val="22"/>
                <w:szCs w:val="22"/>
                <w:lang w:eastAsia="en-US"/>
              </w:rPr>
            </w:pPr>
            <w:r w:rsidRPr="00F222DB">
              <w:rPr>
                <w:b/>
                <w:sz w:val="22"/>
                <w:szCs w:val="22"/>
                <w:lang w:eastAsia="en-US"/>
              </w:rPr>
              <w:t xml:space="preserve">n = </w:t>
            </w:r>
            <w:r>
              <w:rPr>
                <w:b/>
                <w:sz w:val="22"/>
                <w:szCs w:val="22"/>
                <w:lang w:eastAsia="en-US"/>
              </w:rPr>
              <w:t>238</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85C4D6" w14:textId="77777777" w:rsidR="00236EB6" w:rsidRPr="00F222DB" w:rsidRDefault="00236EB6" w:rsidP="00021580">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Q8W</w:t>
            </w:r>
          </w:p>
          <w:p w14:paraId="3DDD019C" w14:textId="73B382C1" w:rsidR="00236EB6" w:rsidRPr="00F222DB" w:rsidRDefault="00236EB6" w:rsidP="00236EB6">
            <w:pPr>
              <w:tabs>
                <w:tab w:val="left" w:pos="567"/>
              </w:tabs>
              <w:spacing w:before="40" w:after="40"/>
              <w:jc w:val="center"/>
              <w:rPr>
                <w:b/>
                <w:sz w:val="22"/>
                <w:szCs w:val="22"/>
                <w:lang w:eastAsia="en-US"/>
              </w:rPr>
            </w:pPr>
            <w:r w:rsidRPr="00F222DB">
              <w:rPr>
                <w:b/>
                <w:sz w:val="22"/>
                <w:szCs w:val="22"/>
                <w:lang w:eastAsia="en-US"/>
              </w:rPr>
              <w:t xml:space="preserve">n = </w:t>
            </w:r>
            <w:r>
              <w:rPr>
                <w:b/>
                <w:sz w:val="22"/>
                <w:szCs w:val="22"/>
                <w:lang w:eastAsia="en-US"/>
              </w:rPr>
              <w:t>214</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39C88" w14:textId="77777777" w:rsidR="00236EB6" w:rsidRPr="00F222DB" w:rsidRDefault="00236EB6" w:rsidP="00021580">
            <w:pPr>
              <w:tabs>
                <w:tab w:val="left" w:pos="567"/>
              </w:tabs>
              <w:spacing w:before="40" w:after="40"/>
              <w:jc w:val="center"/>
              <w:rPr>
                <w:b/>
                <w:sz w:val="22"/>
                <w:szCs w:val="22"/>
                <w:lang w:eastAsia="en-US"/>
              </w:rPr>
            </w:pPr>
            <w:proofErr w:type="spellStart"/>
            <w:r w:rsidRPr="00F222DB">
              <w:rPr>
                <w:b/>
                <w:sz w:val="22"/>
                <w:szCs w:val="22"/>
                <w:lang w:eastAsia="en-US"/>
              </w:rPr>
              <w:t>Vabysmo</w:t>
            </w:r>
            <w:proofErr w:type="spellEnd"/>
            <w:r w:rsidRPr="00F222DB">
              <w:rPr>
                <w:b/>
                <w:sz w:val="22"/>
                <w:szCs w:val="22"/>
                <w:lang w:eastAsia="en-US"/>
              </w:rPr>
              <w:t xml:space="preserve"> up to Q16W adjustable dosing</w:t>
            </w:r>
          </w:p>
          <w:p w14:paraId="53E8E599" w14:textId="558FDF68" w:rsidR="00236EB6" w:rsidRPr="00F222DB" w:rsidRDefault="00236EB6" w:rsidP="00236EB6">
            <w:pPr>
              <w:tabs>
                <w:tab w:val="left" w:pos="567"/>
              </w:tabs>
              <w:spacing w:before="40" w:after="40"/>
              <w:jc w:val="center"/>
              <w:rPr>
                <w:b/>
                <w:sz w:val="22"/>
                <w:szCs w:val="22"/>
                <w:lang w:eastAsia="en-US"/>
              </w:rPr>
            </w:pPr>
            <w:r w:rsidRPr="00F222DB">
              <w:rPr>
                <w:b/>
                <w:sz w:val="22"/>
                <w:szCs w:val="22"/>
                <w:lang w:eastAsia="en-US"/>
              </w:rPr>
              <w:t xml:space="preserve">n = </w:t>
            </w:r>
            <w:r>
              <w:rPr>
                <w:b/>
                <w:sz w:val="22"/>
                <w:szCs w:val="22"/>
                <w:lang w:eastAsia="en-US"/>
              </w:rPr>
              <w:t>228</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BCF068" w14:textId="77777777" w:rsidR="00236EB6" w:rsidRPr="00F222DB" w:rsidRDefault="00236EB6" w:rsidP="00021580">
            <w:pPr>
              <w:tabs>
                <w:tab w:val="left" w:pos="567"/>
              </w:tabs>
              <w:spacing w:before="40" w:after="40"/>
              <w:jc w:val="center"/>
              <w:rPr>
                <w:b/>
                <w:sz w:val="22"/>
                <w:szCs w:val="22"/>
                <w:lang w:eastAsia="en-US"/>
              </w:rPr>
            </w:pPr>
            <w:r w:rsidRPr="00F222DB">
              <w:rPr>
                <w:b/>
                <w:sz w:val="22"/>
                <w:szCs w:val="22"/>
                <w:lang w:eastAsia="en-US"/>
              </w:rPr>
              <w:t>Aflibercept Q8W</w:t>
            </w:r>
          </w:p>
          <w:p w14:paraId="735F86BE" w14:textId="226EFCCD" w:rsidR="00236EB6" w:rsidRPr="00F222DB" w:rsidRDefault="00236EB6" w:rsidP="00236EB6">
            <w:pPr>
              <w:tabs>
                <w:tab w:val="left" w:pos="567"/>
              </w:tabs>
              <w:spacing w:before="40" w:after="40"/>
              <w:jc w:val="center"/>
              <w:rPr>
                <w:b/>
                <w:sz w:val="22"/>
                <w:szCs w:val="22"/>
                <w:lang w:eastAsia="en-US"/>
              </w:rPr>
            </w:pPr>
            <w:r w:rsidRPr="00F222DB">
              <w:rPr>
                <w:b/>
                <w:sz w:val="22"/>
                <w:szCs w:val="22"/>
                <w:lang w:eastAsia="en-US"/>
              </w:rPr>
              <w:t xml:space="preserve">n = </w:t>
            </w:r>
            <w:r>
              <w:rPr>
                <w:b/>
                <w:sz w:val="22"/>
                <w:szCs w:val="22"/>
                <w:lang w:eastAsia="en-US"/>
              </w:rPr>
              <w:t>203</w:t>
            </w:r>
          </w:p>
        </w:tc>
      </w:tr>
      <w:tr w:rsidR="00C50BAE" w:rsidRPr="00F222DB" w14:paraId="3CEA0D9C" w14:textId="77777777" w:rsidTr="00C50BAE">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10F02A" w14:textId="77777777" w:rsidR="00C50BAE" w:rsidRPr="00F222DB" w:rsidRDefault="00C50BAE" w:rsidP="00C50BAE">
            <w:pPr>
              <w:spacing w:before="40" w:after="40"/>
              <w:rPr>
                <w:sz w:val="22"/>
                <w:szCs w:val="22"/>
                <w:lang w:eastAsia="en-US"/>
              </w:rPr>
            </w:pPr>
            <w:r w:rsidRPr="00F222DB">
              <w:rPr>
                <w:sz w:val="22"/>
                <w:szCs w:val="22"/>
                <w:lang w:eastAsia="en-US"/>
              </w:rPr>
              <w:lastRenderedPageBreak/>
              <w:t>Proportion of patients with ≥2-step ETDRS-DRSS improvement from baseline  </w:t>
            </w:r>
          </w:p>
          <w:p w14:paraId="08DA4E22" w14:textId="77777777" w:rsidR="00C50BAE" w:rsidRPr="00F222DB" w:rsidRDefault="00C50BAE" w:rsidP="00C50BAE">
            <w:pPr>
              <w:spacing w:before="40" w:after="40"/>
              <w:rPr>
                <w:sz w:val="22"/>
                <w:szCs w:val="22"/>
                <w:lang w:eastAsia="en-US"/>
              </w:rPr>
            </w:pPr>
            <w:r w:rsidRPr="00F222DB">
              <w:rPr>
                <w:sz w:val="22"/>
                <w:szCs w:val="22"/>
                <w:lang w:eastAsia="en-US"/>
              </w:rPr>
              <w:t>(CMH weighted proportion)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41DC8" w14:textId="22E2FC1F"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44.2%</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75AAB" w14:textId="35AB95E0"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43.7%</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CE4A3B" w14:textId="787EE27F"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46.8%</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0299CA" w14:textId="7C3E5778"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53.5%</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2CADA" w14:textId="6AFEC79D"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44.3%</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CD952" w14:textId="34456A39"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43.8%</w:t>
            </w:r>
          </w:p>
        </w:tc>
      </w:tr>
      <w:tr w:rsidR="00C50BAE" w:rsidRPr="00F222DB" w14:paraId="6E3A9C55" w14:textId="77777777" w:rsidTr="00C50BAE">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8E5F2" w14:textId="594D966A" w:rsidR="00C50BAE" w:rsidRPr="00F222DB" w:rsidRDefault="00C50BAE" w:rsidP="00C50BAE">
            <w:pPr>
              <w:tabs>
                <w:tab w:val="left" w:pos="567"/>
              </w:tabs>
              <w:spacing w:before="40" w:after="40"/>
              <w:rPr>
                <w:sz w:val="22"/>
                <w:szCs w:val="22"/>
                <w:lang w:eastAsia="en-US"/>
              </w:rPr>
            </w:pPr>
            <w:r w:rsidRPr="00F222DB">
              <w:rPr>
                <w:sz w:val="22"/>
                <w:szCs w:val="22"/>
                <w:lang w:eastAsia="en-US"/>
              </w:rPr>
              <w:t>Weighted Difference (97.5% CI</w:t>
            </w:r>
            <w:r>
              <w:rPr>
                <w:sz w:val="22"/>
                <w:szCs w:val="22"/>
                <w:lang w:eastAsia="en-US"/>
              </w:rPr>
              <w:t xml:space="preserve"> </w:t>
            </w:r>
            <w:r w:rsidRPr="00236EB6">
              <w:rPr>
                <w:sz w:val="22"/>
                <w:szCs w:val="22"/>
                <w:lang w:eastAsia="en-US"/>
              </w:rPr>
              <w:t>year 1, 95% year 2</w:t>
            </w:r>
            <w:r w:rsidRPr="00F222DB">
              <w:rPr>
                <w:sz w:val="22"/>
                <w:szCs w:val="22"/>
                <w:lang w:eastAsia="en-US"/>
              </w:rPr>
              <w: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A1D212" w14:textId="77777777"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-2.6%</w:t>
            </w:r>
          </w:p>
          <w:p w14:paraId="65279798" w14:textId="4804E0DE"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(-11.3%, 6.2%)</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08C7CA" w14:textId="77777777"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-3.5%</w:t>
            </w:r>
          </w:p>
          <w:p w14:paraId="111AF5C1" w14:textId="59E57B28"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(-12.1%, 5.1%)</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29B6B" w14:textId="77777777" w:rsidR="00C50BAE" w:rsidRPr="00F222DB" w:rsidRDefault="00C50BAE" w:rsidP="00C50BAE">
            <w:pPr>
              <w:tabs>
                <w:tab w:val="left" w:pos="567"/>
              </w:tabs>
              <w:spacing w:before="40" w:after="40"/>
              <w:jc w:val="center"/>
              <w:rPr>
                <w:sz w:val="22"/>
                <w:szCs w:val="22"/>
                <w:lang w:eastAsia="en-US"/>
              </w:rPr>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747115"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9.7%</w:t>
            </w:r>
          </w:p>
          <w:p w14:paraId="03F293FB" w14:textId="6C231ADA"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(0.4%, 19.1%)</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9820C4"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0.3%</w:t>
            </w:r>
          </w:p>
          <w:p w14:paraId="516C1E84" w14:textId="282DC51D"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(-8.9%, 9.5%)</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DB7C41" w14:textId="77777777" w:rsidR="00C50BAE" w:rsidRPr="00F222DB" w:rsidRDefault="00C50BAE" w:rsidP="00C50BAE">
            <w:pPr>
              <w:tabs>
                <w:tab w:val="left" w:pos="567"/>
              </w:tabs>
              <w:spacing w:before="40" w:after="40"/>
              <w:jc w:val="center"/>
              <w:rPr>
                <w:sz w:val="22"/>
                <w:szCs w:val="22"/>
                <w:lang w:eastAsia="en-US"/>
              </w:rPr>
            </w:pPr>
          </w:p>
        </w:tc>
      </w:tr>
      <w:tr w:rsidR="00C50BAE" w:rsidRPr="00F222DB" w14:paraId="501455E3" w14:textId="77777777" w:rsidTr="00C50BAE">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8C5719" w14:textId="77777777" w:rsidR="00C50BAE" w:rsidRPr="00F222DB" w:rsidRDefault="00C50BAE" w:rsidP="00C50BAE">
            <w:pPr>
              <w:tabs>
                <w:tab w:val="left" w:pos="567"/>
              </w:tabs>
              <w:spacing w:before="40" w:after="40"/>
              <w:rPr>
                <w:sz w:val="22"/>
                <w:szCs w:val="22"/>
                <w:lang w:eastAsia="en-US"/>
              </w:rPr>
            </w:pPr>
            <w:r w:rsidRPr="00F222DB">
              <w:rPr>
                <w:sz w:val="22"/>
                <w:szCs w:val="22"/>
                <w:lang w:eastAsia="en-US"/>
              </w:rPr>
              <w:t>Proportion of patients with ≥ 3-step ETDRS-DRSS improvement from baseline </w:t>
            </w:r>
          </w:p>
          <w:p w14:paraId="77F63B69" w14:textId="77777777" w:rsidR="00C50BAE" w:rsidRPr="00F222DB" w:rsidRDefault="00C50BAE" w:rsidP="00C50BAE">
            <w:pPr>
              <w:tabs>
                <w:tab w:val="left" w:pos="567"/>
              </w:tabs>
              <w:spacing w:before="40" w:after="40"/>
              <w:rPr>
                <w:sz w:val="22"/>
                <w:szCs w:val="22"/>
                <w:lang w:eastAsia="en-US"/>
              </w:rPr>
            </w:pPr>
            <w:r>
              <w:rPr>
                <w:sz w:val="22"/>
                <w:szCs w:val="22"/>
                <w:lang w:eastAsia="en-US"/>
              </w:rPr>
              <w:t xml:space="preserve">(CMH </w:t>
            </w:r>
            <w:r w:rsidRPr="00F222DB">
              <w:rPr>
                <w:sz w:val="22"/>
                <w:szCs w:val="22"/>
                <w:lang w:eastAsia="en-US"/>
              </w:rPr>
              <w:t>weighted proportion)</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22979" w14:textId="3F6712A1"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16.7%</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0DEA63" w14:textId="0F275C90"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18.9%</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E5B33B" w14:textId="40FE5B1E"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19.4%</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99B0D" w14:textId="6485CD2D"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25.1%</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5E198A" w14:textId="586320C4"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19.3%</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06987B" w14:textId="30FDE7B8"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21.8%</w:t>
            </w:r>
          </w:p>
        </w:tc>
      </w:tr>
      <w:tr w:rsidR="00C50BAE" w:rsidRPr="00F222DB" w14:paraId="28FF7390" w14:textId="77777777" w:rsidTr="00021580">
        <w:tc>
          <w:tcPr>
            <w:tcW w:w="1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2FCFF0" w14:textId="3239344F" w:rsidR="00C50BAE" w:rsidRPr="00F222DB" w:rsidRDefault="00C50BAE" w:rsidP="00C50BAE">
            <w:pPr>
              <w:tabs>
                <w:tab w:val="left" w:pos="567"/>
              </w:tabs>
              <w:spacing w:before="40" w:after="40"/>
              <w:rPr>
                <w:sz w:val="22"/>
                <w:szCs w:val="22"/>
                <w:lang w:eastAsia="en-US"/>
              </w:rPr>
            </w:pPr>
            <w:r w:rsidRPr="00F222DB">
              <w:rPr>
                <w:sz w:val="22"/>
                <w:szCs w:val="22"/>
                <w:lang w:eastAsia="en-US"/>
              </w:rPr>
              <w:t>Weighted Difference (</w:t>
            </w:r>
            <w:r>
              <w:rPr>
                <w:sz w:val="22"/>
                <w:szCs w:val="22"/>
                <w:lang w:eastAsia="en-US"/>
              </w:rPr>
              <w:t>95</w:t>
            </w:r>
            <w:r w:rsidRPr="00F222DB">
              <w:rPr>
                <w:sz w:val="22"/>
                <w:szCs w:val="22"/>
                <w:lang w:eastAsia="en-US"/>
              </w:rPr>
              <w:t>% CI</w:t>
            </w:r>
            <w:r>
              <w:rPr>
                <w:sz w:val="22"/>
                <w:szCs w:val="22"/>
                <w:lang w:eastAsia="en-US"/>
              </w:rPr>
              <w:t xml:space="preserve"> </w:t>
            </w:r>
            <w:r w:rsidRPr="00C50BAE">
              <w:rPr>
                <w:sz w:val="22"/>
                <w:szCs w:val="22"/>
                <w:lang w:eastAsia="en-US"/>
              </w:rPr>
              <w:t>year 1 and year 2</w:t>
            </w:r>
            <w:r w:rsidRPr="00F222DB">
              <w:rPr>
                <w:sz w:val="22"/>
                <w:szCs w:val="22"/>
                <w:lang w:eastAsia="en-US"/>
              </w:rPr>
              <w:t>)</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382CA" w14:textId="77777777"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-0.2%</w:t>
            </w:r>
          </w:p>
          <w:p w14:paraId="4CD02AD8" w14:textId="2EC36513"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(-5.8%, 5.3%)</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8BA56B" w14:textId="77777777"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-1.1%</w:t>
            </w:r>
          </w:p>
          <w:p w14:paraId="0482A34C" w14:textId="2399070C" w:rsidR="00C50BAE" w:rsidRPr="00F222DB" w:rsidRDefault="00C50BAE" w:rsidP="00C50BAE">
            <w:pPr>
              <w:tabs>
                <w:tab w:val="left" w:pos="567"/>
              </w:tabs>
              <w:spacing w:before="40" w:after="40"/>
              <w:jc w:val="center"/>
              <w:rPr>
                <w:sz w:val="22"/>
                <w:szCs w:val="22"/>
                <w:lang w:eastAsia="en-US"/>
              </w:rPr>
            </w:pPr>
            <w:r w:rsidRPr="00F222DB">
              <w:rPr>
                <w:sz w:val="22"/>
                <w:szCs w:val="22"/>
                <w:lang w:eastAsia="en-US"/>
              </w:rPr>
              <w:t>(-8.0%, 5.9%)</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BF5D73" w14:textId="77777777" w:rsidR="00C50BAE" w:rsidRPr="00F222DB" w:rsidRDefault="00C50BAE" w:rsidP="00C50BAE">
            <w:pPr>
              <w:tabs>
                <w:tab w:val="left" w:pos="567"/>
              </w:tabs>
              <w:spacing w:before="40" w:after="40"/>
              <w:jc w:val="center"/>
              <w:rPr>
                <w:sz w:val="22"/>
                <w:szCs w:val="22"/>
                <w:lang w:eastAsia="en-US"/>
              </w:rPr>
            </w:pP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1D982"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3.3%</w:t>
            </w:r>
          </w:p>
          <w:p w14:paraId="597BE5BB" w14:textId="42B24809"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(-4.6%, 11.3%)</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B23EA2" w14:textId="77777777" w:rsidR="00C50BAE" w:rsidRPr="00C50BAE" w:rsidRDefault="00C50BAE" w:rsidP="00C50BAE">
            <w:pPr>
              <w:tabs>
                <w:tab w:val="left" w:pos="567"/>
              </w:tabs>
              <w:spacing w:before="40" w:after="40"/>
              <w:jc w:val="center"/>
              <w:rPr>
                <w:sz w:val="22"/>
                <w:szCs w:val="22"/>
                <w:lang w:eastAsia="en-US"/>
              </w:rPr>
            </w:pPr>
            <w:r w:rsidRPr="00C50BAE">
              <w:rPr>
                <w:sz w:val="22"/>
                <w:szCs w:val="22"/>
                <w:lang w:eastAsia="en-US"/>
              </w:rPr>
              <w:t>-2.7%</w:t>
            </w:r>
          </w:p>
          <w:p w14:paraId="237A5F4E" w14:textId="6F19B0CE" w:rsidR="00C50BAE" w:rsidRPr="00F222DB" w:rsidRDefault="00C50BAE" w:rsidP="00C50BAE">
            <w:pPr>
              <w:tabs>
                <w:tab w:val="left" w:pos="567"/>
              </w:tabs>
              <w:spacing w:before="40" w:after="40"/>
              <w:jc w:val="center"/>
              <w:rPr>
                <w:sz w:val="22"/>
                <w:szCs w:val="22"/>
                <w:lang w:eastAsia="en-US"/>
              </w:rPr>
            </w:pPr>
            <w:r w:rsidRPr="00C50BAE">
              <w:rPr>
                <w:sz w:val="22"/>
                <w:szCs w:val="22"/>
                <w:lang w:eastAsia="en-US"/>
              </w:rPr>
              <w:t>(-10.2%, 4.8%)</w:t>
            </w:r>
          </w:p>
        </w:tc>
        <w:tc>
          <w:tcPr>
            <w:tcW w:w="1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6FB32" w14:textId="77777777" w:rsidR="00C50BAE" w:rsidRPr="00F222DB" w:rsidRDefault="00C50BAE" w:rsidP="00C50BAE">
            <w:pPr>
              <w:tabs>
                <w:tab w:val="left" w:pos="567"/>
              </w:tabs>
              <w:spacing w:before="40" w:after="40"/>
              <w:jc w:val="center"/>
              <w:rPr>
                <w:sz w:val="22"/>
                <w:szCs w:val="22"/>
                <w:lang w:eastAsia="en-US"/>
              </w:rPr>
            </w:pPr>
          </w:p>
        </w:tc>
      </w:tr>
    </w:tbl>
    <w:p w14:paraId="6B011498" w14:textId="77777777" w:rsidR="00236EB6" w:rsidRPr="00F222DB" w:rsidRDefault="00236EB6" w:rsidP="00236EB6">
      <w:pPr>
        <w:pStyle w:val="SynopsisText"/>
        <w:spacing w:after="0"/>
        <w:rPr>
          <w:sz w:val="22"/>
          <w:szCs w:val="22"/>
          <w:lang w:val="en-AU" w:eastAsia="en-AU"/>
        </w:rPr>
      </w:pPr>
      <w:r w:rsidRPr="00F222DB">
        <w:rPr>
          <w:sz w:val="22"/>
          <w:szCs w:val="22"/>
          <w:lang w:val="en-AU" w:eastAsia="en-AU"/>
        </w:rPr>
        <w:t xml:space="preserve">ETDRS-DRSS: Early Treatment Diabetic Retinopathy Study Diabetic Retinopathy Severity Scale </w:t>
      </w:r>
    </w:p>
    <w:p w14:paraId="237FF309" w14:textId="77777777" w:rsidR="00236EB6" w:rsidRPr="00F222DB" w:rsidRDefault="00236EB6" w:rsidP="00236EB6">
      <w:pPr>
        <w:pStyle w:val="SynopsisText"/>
        <w:spacing w:after="0"/>
        <w:rPr>
          <w:sz w:val="22"/>
          <w:szCs w:val="22"/>
          <w:lang w:val="en-AU" w:eastAsia="en-AU"/>
        </w:rPr>
      </w:pPr>
      <w:r w:rsidRPr="00F222DB">
        <w:rPr>
          <w:sz w:val="22"/>
          <w:szCs w:val="22"/>
          <w:lang w:val="en-AU" w:eastAsia="en-AU"/>
        </w:rPr>
        <w:t>CMH: Cochran–Mantel–Haenszel method; a statistical test that generates an estimate of an association with a binary outcome and is used for assessment of categorical variables.</w:t>
      </w:r>
    </w:p>
    <w:p w14:paraId="7E9B5A09" w14:textId="77777777" w:rsidR="00236EB6" w:rsidRPr="00F222DB" w:rsidRDefault="00236EB6" w:rsidP="00236EB6">
      <w:pPr>
        <w:pStyle w:val="SynopsisText"/>
        <w:spacing w:after="0"/>
        <w:rPr>
          <w:sz w:val="22"/>
          <w:szCs w:val="22"/>
          <w:lang w:val="en-AU" w:eastAsia="en-AU"/>
        </w:rPr>
      </w:pPr>
      <w:r w:rsidRPr="00F222DB">
        <w:rPr>
          <w:sz w:val="22"/>
          <w:szCs w:val="22"/>
          <w:lang w:val="en-AU" w:eastAsia="en-AU"/>
        </w:rPr>
        <w:t>CI: Confidence Interval</w:t>
      </w:r>
    </w:p>
    <w:p w14:paraId="28DA0D32" w14:textId="77777777" w:rsidR="00236EB6" w:rsidRDefault="00236EB6" w:rsidP="006A7913">
      <w:pPr>
        <w:pStyle w:val="SynopsisText"/>
        <w:spacing w:after="120"/>
        <w:rPr>
          <w:rFonts w:eastAsia="Calibri"/>
          <w:lang w:val="en-GB"/>
        </w:rPr>
      </w:pPr>
      <w:r w:rsidRPr="00F222DB">
        <w:rPr>
          <w:sz w:val="22"/>
          <w:szCs w:val="22"/>
          <w:lang w:val="en-AU" w:eastAsia="en-AU"/>
        </w:rPr>
        <w:t xml:space="preserve">Note: CMH weighted % for aflibercept arm presented for </w:t>
      </w:r>
      <w:proofErr w:type="spellStart"/>
      <w:r w:rsidRPr="00F222DB">
        <w:rPr>
          <w:sz w:val="22"/>
          <w:szCs w:val="22"/>
          <w:lang w:val="en-AU" w:eastAsia="en-AU"/>
        </w:rPr>
        <w:t>Vabysmo</w:t>
      </w:r>
      <w:proofErr w:type="spellEnd"/>
      <w:r w:rsidRPr="00F222DB">
        <w:rPr>
          <w:sz w:val="22"/>
          <w:szCs w:val="22"/>
          <w:lang w:val="en-AU" w:eastAsia="en-AU"/>
        </w:rPr>
        <w:t xml:space="preserve"> Q8W vs. aflibercept comparison, however the corresponding CMH weighted % for </w:t>
      </w:r>
      <w:proofErr w:type="spellStart"/>
      <w:r w:rsidRPr="00F222DB">
        <w:rPr>
          <w:sz w:val="22"/>
          <w:szCs w:val="22"/>
          <w:lang w:val="en-AU" w:eastAsia="en-AU"/>
        </w:rPr>
        <w:t>Vabysmo</w:t>
      </w:r>
      <w:proofErr w:type="spellEnd"/>
      <w:r w:rsidRPr="00F222DB">
        <w:rPr>
          <w:sz w:val="22"/>
          <w:szCs w:val="22"/>
          <w:lang w:val="en-AU" w:eastAsia="en-AU"/>
        </w:rPr>
        <w:t xml:space="preserve"> adjustable vs. aflibercept comparison is </w:t>
      </w:r>
      <w:proofErr w:type="gramStart"/>
      <w:r w:rsidRPr="00F222DB">
        <w:rPr>
          <w:sz w:val="22"/>
          <w:szCs w:val="22"/>
          <w:lang w:val="en-AU" w:eastAsia="en-AU"/>
        </w:rPr>
        <w:t>similar to</w:t>
      </w:r>
      <w:proofErr w:type="gramEnd"/>
      <w:r w:rsidRPr="00F222DB">
        <w:rPr>
          <w:sz w:val="22"/>
          <w:szCs w:val="22"/>
          <w:lang w:val="en-AU" w:eastAsia="en-AU"/>
        </w:rPr>
        <w:t xml:space="preserve"> the one shown above.</w:t>
      </w:r>
    </w:p>
    <w:p w14:paraId="5F1B06F3" w14:textId="506A4409" w:rsidR="00F222DB" w:rsidRPr="00F222DB" w:rsidRDefault="00E24A8F" w:rsidP="00721048">
      <w:pPr>
        <w:spacing w:after="120" w:line="300" w:lineRule="atLeast"/>
        <w:rPr>
          <w:rFonts w:eastAsia="Calibri"/>
          <w:color w:val="auto"/>
        </w:rPr>
      </w:pPr>
      <w:r w:rsidRPr="00E24A8F">
        <w:rPr>
          <w:rFonts w:eastAsia="Calibri"/>
          <w:color w:val="auto"/>
        </w:rPr>
        <w:t>Among patients who had no proliferative DR at baseline (</w:t>
      </w:r>
      <w:proofErr w:type="spellStart"/>
      <w:r w:rsidRPr="00E24A8F">
        <w:rPr>
          <w:rFonts w:eastAsia="Calibri"/>
          <w:color w:val="auto"/>
        </w:rPr>
        <w:t>Vabysmo</w:t>
      </w:r>
      <w:proofErr w:type="spellEnd"/>
      <w:r w:rsidRPr="00E24A8F">
        <w:rPr>
          <w:rFonts w:eastAsia="Calibri"/>
          <w:color w:val="auto"/>
        </w:rPr>
        <w:t xml:space="preserve"> Q8W n = 406, </w:t>
      </w:r>
      <w:proofErr w:type="spellStart"/>
      <w:r w:rsidRPr="00E24A8F">
        <w:rPr>
          <w:rFonts w:eastAsia="Calibri"/>
          <w:color w:val="auto"/>
        </w:rPr>
        <w:t>Vabysmo</w:t>
      </w:r>
      <w:proofErr w:type="spellEnd"/>
      <w:r w:rsidRPr="00E24A8F">
        <w:rPr>
          <w:rFonts w:eastAsia="Calibri"/>
          <w:color w:val="auto"/>
        </w:rPr>
        <w:t xml:space="preserve"> up to Q16W</w:t>
      </w:r>
      <w:r w:rsidR="00B620D8">
        <w:rPr>
          <w:rFonts w:eastAsia="Calibri"/>
          <w:color w:val="auto"/>
        </w:rPr>
        <w:t xml:space="preserve"> adjustable dosing n = 422 and a</w:t>
      </w:r>
      <w:r w:rsidRPr="00E24A8F">
        <w:rPr>
          <w:rFonts w:eastAsia="Calibri"/>
          <w:color w:val="auto"/>
        </w:rPr>
        <w:t xml:space="preserve">flibercept Q8W n = 400, in pooled YOSEMITE and RHINE), </w:t>
      </w:r>
      <w:r>
        <w:rPr>
          <w:rFonts w:eastAsia="Calibri"/>
          <w:color w:val="auto"/>
        </w:rPr>
        <w:t>t</w:t>
      </w:r>
      <w:r w:rsidR="00F222DB" w:rsidRPr="00F222DB">
        <w:rPr>
          <w:rFonts w:eastAsia="Calibri"/>
          <w:color w:val="auto"/>
        </w:rPr>
        <w:t xml:space="preserve">he proportions of patients </w:t>
      </w:r>
      <w:r>
        <w:rPr>
          <w:rFonts w:eastAsia="Calibri"/>
          <w:color w:val="auto"/>
        </w:rPr>
        <w:t>who developed</w:t>
      </w:r>
      <w:r w:rsidR="00F222DB" w:rsidRPr="00F222DB">
        <w:rPr>
          <w:rFonts w:eastAsia="Calibri"/>
          <w:color w:val="auto"/>
        </w:rPr>
        <w:t xml:space="preserve"> new proliferative DR </w:t>
      </w:r>
      <w:r w:rsidR="00F222DB" w:rsidRPr="006A7913">
        <w:rPr>
          <w:rFonts w:eastAsia="Calibri"/>
          <w:color w:val="auto"/>
        </w:rPr>
        <w:t>diagnosis</w:t>
      </w:r>
      <w:r w:rsidR="00F222DB" w:rsidRPr="00F222DB">
        <w:rPr>
          <w:rFonts w:eastAsia="Calibri"/>
          <w:color w:val="auto"/>
        </w:rPr>
        <w:t xml:space="preserve"> (defined by ETDRS-DRSS 61 or worse) from baseline to week </w:t>
      </w:r>
      <w:r w:rsidR="0019395B">
        <w:rPr>
          <w:rFonts w:eastAsia="Calibri"/>
          <w:color w:val="auto"/>
        </w:rPr>
        <w:t>96</w:t>
      </w:r>
      <w:r w:rsidR="0019395B" w:rsidRPr="00F222DB">
        <w:rPr>
          <w:rFonts w:eastAsia="Calibri"/>
          <w:color w:val="auto"/>
        </w:rPr>
        <w:t xml:space="preserve"> </w:t>
      </w:r>
      <w:r w:rsidR="00F222DB" w:rsidRPr="00F222DB">
        <w:rPr>
          <w:rFonts w:eastAsia="Calibri"/>
          <w:color w:val="auto"/>
        </w:rPr>
        <w:t xml:space="preserve">were comparable between the </w:t>
      </w:r>
      <w:proofErr w:type="spellStart"/>
      <w:r w:rsidR="00F222DB" w:rsidRPr="00F222DB">
        <w:rPr>
          <w:rFonts w:eastAsia="Calibri"/>
          <w:color w:val="auto"/>
        </w:rPr>
        <w:t>V</w:t>
      </w:r>
      <w:r w:rsidR="00E00D93" w:rsidRPr="00F222DB">
        <w:rPr>
          <w:rFonts w:eastAsia="Calibri"/>
          <w:color w:val="auto"/>
        </w:rPr>
        <w:t>abysmo</w:t>
      </w:r>
      <w:proofErr w:type="spellEnd"/>
      <w:r w:rsidR="00F222DB" w:rsidRPr="00F222DB">
        <w:rPr>
          <w:rFonts w:eastAsia="Calibri"/>
          <w:color w:val="auto"/>
        </w:rPr>
        <w:t xml:space="preserve"> Q8W, </w:t>
      </w:r>
      <w:proofErr w:type="spellStart"/>
      <w:r w:rsidR="00F222DB" w:rsidRPr="00F222DB">
        <w:rPr>
          <w:rFonts w:eastAsia="Calibri"/>
          <w:color w:val="auto"/>
        </w:rPr>
        <w:t>V</w:t>
      </w:r>
      <w:r w:rsidR="00E00D93" w:rsidRPr="00F222DB">
        <w:rPr>
          <w:rFonts w:eastAsia="Calibri"/>
          <w:color w:val="auto"/>
        </w:rPr>
        <w:t>abysmo</w:t>
      </w:r>
      <w:proofErr w:type="spellEnd"/>
      <w:r w:rsidR="00F222DB" w:rsidRPr="00F222DB">
        <w:rPr>
          <w:rFonts w:eastAsia="Calibri"/>
          <w:color w:val="auto"/>
        </w:rPr>
        <w:t xml:space="preserve"> up to Q16W adjustable dosing and aflibercept Q8W dosed patients in </w:t>
      </w:r>
      <w:r>
        <w:rPr>
          <w:rFonts w:eastAsia="Calibri"/>
          <w:color w:val="auto"/>
        </w:rPr>
        <w:t>pooled</w:t>
      </w:r>
      <w:r w:rsidR="00F222DB" w:rsidRPr="00F222DB">
        <w:rPr>
          <w:rFonts w:eastAsia="Calibri"/>
          <w:color w:val="auto"/>
        </w:rPr>
        <w:t xml:space="preserve"> YOSEMITE and RHINE studies. </w:t>
      </w:r>
      <w:r w:rsidRPr="00E24A8F">
        <w:rPr>
          <w:rFonts w:eastAsia="Calibri"/>
          <w:color w:val="auto"/>
        </w:rPr>
        <w:t>In a descriptive analysis in the ITT population,</w:t>
      </w:r>
      <w:r>
        <w:rPr>
          <w:rFonts w:eastAsia="Calibri"/>
          <w:color w:val="auto"/>
        </w:rPr>
        <w:t xml:space="preserve"> a</w:t>
      </w:r>
      <w:r w:rsidR="00F222DB" w:rsidRPr="00F222DB">
        <w:rPr>
          <w:rFonts w:eastAsia="Calibri"/>
          <w:color w:val="auto"/>
        </w:rPr>
        <w:t xml:space="preserve">lmost no patients required vitrectomy (0 to </w:t>
      </w:r>
      <w:r w:rsidR="0019395B">
        <w:rPr>
          <w:rFonts w:eastAsia="Calibri"/>
          <w:color w:val="auto"/>
        </w:rPr>
        <w:t>4</w:t>
      </w:r>
      <w:r w:rsidR="0019395B" w:rsidRPr="00F222DB">
        <w:rPr>
          <w:rFonts w:eastAsia="Calibri"/>
          <w:color w:val="auto"/>
        </w:rPr>
        <w:t xml:space="preserve"> </w:t>
      </w:r>
      <w:r w:rsidR="00F222DB" w:rsidRPr="00F222DB">
        <w:rPr>
          <w:rFonts w:eastAsia="Calibri"/>
          <w:color w:val="auto"/>
        </w:rPr>
        <w:t>per group) or Pan</w:t>
      </w:r>
      <w:r w:rsidR="003E4887">
        <w:rPr>
          <w:rFonts w:eastAsia="Calibri"/>
          <w:color w:val="auto"/>
        </w:rPr>
        <w:t>-</w:t>
      </w:r>
      <w:r w:rsidR="00F222DB" w:rsidRPr="00F222DB">
        <w:rPr>
          <w:rFonts w:eastAsia="Calibri"/>
          <w:color w:val="auto"/>
        </w:rPr>
        <w:t>retinal Photocoagulation (PRP) (</w:t>
      </w:r>
      <w:r w:rsidR="0019395B">
        <w:rPr>
          <w:rFonts w:eastAsia="Calibri"/>
          <w:color w:val="auto"/>
        </w:rPr>
        <w:t>1</w:t>
      </w:r>
      <w:r w:rsidR="0019395B" w:rsidRPr="00F222DB">
        <w:rPr>
          <w:rFonts w:eastAsia="Calibri"/>
          <w:color w:val="auto"/>
        </w:rPr>
        <w:t xml:space="preserve"> </w:t>
      </w:r>
      <w:r w:rsidR="00F222DB" w:rsidRPr="00F222DB">
        <w:rPr>
          <w:rFonts w:eastAsia="Calibri"/>
          <w:color w:val="auto"/>
        </w:rPr>
        <w:t xml:space="preserve">to </w:t>
      </w:r>
      <w:r w:rsidR="0019395B">
        <w:rPr>
          <w:rFonts w:eastAsia="Calibri"/>
          <w:color w:val="auto"/>
        </w:rPr>
        <w:t>2</w:t>
      </w:r>
      <w:r w:rsidR="0019395B" w:rsidRPr="00F222DB">
        <w:rPr>
          <w:rFonts w:eastAsia="Calibri"/>
          <w:color w:val="auto"/>
        </w:rPr>
        <w:t xml:space="preserve"> </w:t>
      </w:r>
      <w:r w:rsidR="00F222DB" w:rsidRPr="00F222DB">
        <w:rPr>
          <w:rFonts w:eastAsia="Calibri"/>
          <w:color w:val="auto"/>
        </w:rPr>
        <w:t xml:space="preserve">per group) during the </w:t>
      </w:r>
      <w:proofErr w:type="gramStart"/>
      <w:r w:rsidR="0019395B">
        <w:rPr>
          <w:rFonts w:eastAsia="Calibri"/>
          <w:color w:val="auto"/>
        </w:rPr>
        <w:t>two</w:t>
      </w:r>
      <w:r w:rsidR="00F222DB" w:rsidRPr="00F222DB">
        <w:rPr>
          <w:rFonts w:eastAsia="Calibri"/>
          <w:color w:val="auto"/>
        </w:rPr>
        <w:t xml:space="preserve"> year</w:t>
      </w:r>
      <w:proofErr w:type="gramEnd"/>
      <w:r w:rsidR="00F222DB" w:rsidRPr="00F222DB">
        <w:rPr>
          <w:rFonts w:eastAsia="Calibri"/>
          <w:color w:val="auto"/>
        </w:rPr>
        <w:t xml:space="preserve"> </w:t>
      </w:r>
      <w:r w:rsidR="0019395B">
        <w:rPr>
          <w:rFonts w:eastAsia="Calibri"/>
          <w:color w:val="auto"/>
        </w:rPr>
        <w:t xml:space="preserve">duration </w:t>
      </w:r>
      <w:r w:rsidR="00F222DB" w:rsidRPr="00F222DB">
        <w:rPr>
          <w:rFonts w:eastAsia="Calibri"/>
          <w:color w:val="auto"/>
        </w:rPr>
        <w:t>of the studies.</w:t>
      </w:r>
    </w:p>
    <w:p w14:paraId="2AE692B6" w14:textId="77777777" w:rsidR="00F222DB" w:rsidRPr="00F222DB" w:rsidRDefault="00F222DB" w:rsidP="00F222DB">
      <w:pPr>
        <w:spacing w:after="120" w:line="300" w:lineRule="atLeast"/>
        <w:rPr>
          <w:rFonts w:eastAsia="Calibri"/>
          <w:color w:val="auto"/>
        </w:rPr>
      </w:pPr>
      <w:r w:rsidRPr="00F222DB">
        <w:rPr>
          <w:rFonts w:eastAsia="Calibri"/>
          <w:color w:val="auto"/>
        </w:rPr>
        <w:t>DR treatment effects in the subgroup of patients who were anti-VEGF naive prior to study participation were comparable to those observed in the overall DR evaluable population.  Treatment effects in evaluable subgroups (</w:t>
      </w:r>
      <w:proofErr w:type="gramStart"/>
      <w:r w:rsidRPr="00F222DB">
        <w:rPr>
          <w:rFonts w:eastAsia="Calibri"/>
          <w:color w:val="auto"/>
        </w:rPr>
        <w:t>e.g.</w:t>
      </w:r>
      <w:proofErr w:type="gramEnd"/>
      <w:r w:rsidRPr="00F222DB">
        <w:rPr>
          <w:rFonts w:eastAsia="Calibri"/>
          <w:color w:val="auto"/>
        </w:rPr>
        <w:t xml:space="preserve"> by age, gender, race, baseline HbA1c, and baseline visual acuity) in each study were generally consistent with the results in the overall population.</w:t>
      </w:r>
    </w:p>
    <w:p w14:paraId="716780DE" w14:textId="721A12A1" w:rsidR="00F222DB" w:rsidRPr="00E35467" w:rsidRDefault="00F222DB" w:rsidP="00F222DB">
      <w:pPr>
        <w:spacing w:after="120" w:line="300" w:lineRule="atLeast"/>
        <w:rPr>
          <w:rFonts w:eastAsia="Calibri"/>
          <w:color w:val="auto"/>
        </w:rPr>
      </w:pPr>
      <w:r w:rsidRPr="00F222DB">
        <w:rPr>
          <w:rFonts w:eastAsia="Calibri"/>
          <w:color w:val="auto"/>
        </w:rPr>
        <w:lastRenderedPageBreak/>
        <w:t xml:space="preserve">Treatment effects in subgroups by DR severity at baseline were different and showed the greatest ≥ 2-step DRSS improvements among patients with moderately severe and severe non-proliferative </w:t>
      </w:r>
      <w:r w:rsidRPr="00E35467">
        <w:rPr>
          <w:rFonts w:eastAsia="Calibri"/>
          <w:color w:val="auto"/>
        </w:rPr>
        <w:t>DR</w:t>
      </w:r>
      <w:r w:rsidR="009B2648" w:rsidRPr="00E35467">
        <w:rPr>
          <w:rFonts w:eastAsia="Calibri"/>
          <w:color w:val="auto"/>
        </w:rPr>
        <w:t xml:space="preserve"> (</w:t>
      </w:r>
      <w:proofErr w:type="spellStart"/>
      <w:r w:rsidR="009B2648" w:rsidRPr="00E35467">
        <w:rPr>
          <w:rFonts w:eastAsia="Calibri"/>
          <w:color w:val="auto"/>
        </w:rPr>
        <w:t>Vabysmo</w:t>
      </w:r>
      <w:proofErr w:type="spellEnd"/>
      <w:r w:rsidR="009B2648" w:rsidRPr="00E35467">
        <w:rPr>
          <w:rFonts w:eastAsia="Calibri"/>
          <w:color w:val="auto"/>
        </w:rPr>
        <w:t xml:space="preserve"> Q8W n = 188, </w:t>
      </w:r>
      <w:proofErr w:type="spellStart"/>
      <w:r w:rsidR="009B2648" w:rsidRPr="00E35467">
        <w:rPr>
          <w:rFonts w:eastAsia="Calibri"/>
          <w:color w:val="auto"/>
        </w:rPr>
        <w:t>Vabysmo</w:t>
      </w:r>
      <w:proofErr w:type="spellEnd"/>
      <w:r w:rsidR="009B2648" w:rsidRPr="00E35467">
        <w:rPr>
          <w:rFonts w:eastAsia="Calibri"/>
          <w:color w:val="auto"/>
        </w:rPr>
        <w:t xml:space="preserve"> up to Q16 adjustable dosing n = </w:t>
      </w:r>
      <w:r w:rsidR="00B620D8">
        <w:rPr>
          <w:rFonts w:eastAsia="Calibri"/>
          <w:color w:val="auto"/>
        </w:rPr>
        <w:t>190 and a</w:t>
      </w:r>
      <w:r w:rsidR="009B2648" w:rsidRPr="00E35467">
        <w:rPr>
          <w:rFonts w:eastAsia="Calibri"/>
          <w:color w:val="auto"/>
        </w:rPr>
        <w:t>flibercept Q8W n</w:t>
      </w:r>
      <w:r w:rsidR="006A7913">
        <w:rPr>
          <w:rFonts w:eastAsia="Calibri"/>
          <w:color w:val="auto"/>
        </w:rPr>
        <w:t xml:space="preserve"> </w:t>
      </w:r>
      <w:r w:rsidR="009B2648" w:rsidRPr="00E35467">
        <w:rPr>
          <w:rFonts w:eastAsia="Calibri"/>
          <w:color w:val="auto"/>
        </w:rPr>
        <w:t>= 170, in pooled YOSEMITE and RHINE)</w:t>
      </w:r>
      <w:r w:rsidRPr="00E35467">
        <w:rPr>
          <w:rFonts w:eastAsia="Calibri"/>
          <w:color w:val="auto"/>
        </w:rPr>
        <w:t xml:space="preserve"> with approximately 90% of patients achieving improvements. These results were comparable across the study arms, and comparable in overall and anti-VEGF treatment-naive populations</w:t>
      </w:r>
      <w:r w:rsidR="00900837" w:rsidRPr="00E35467">
        <w:rPr>
          <w:rFonts w:eastAsia="Calibri"/>
          <w:color w:val="auto"/>
        </w:rPr>
        <w:t>.</w:t>
      </w:r>
    </w:p>
    <w:p w14:paraId="29041FD9" w14:textId="2D90015F" w:rsidR="00B65D51" w:rsidRPr="00E35467" w:rsidRDefault="00B65D51" w:rsidP="00B65D51">
      <w:pPr>
        <w:pStyle w:val="Heading3"/>
        <w:spacing w:line="300" w:lineRule="atLeast"/>
        <w:rPr>
          <w:color w:val="auto"/>
        </w:rPr>
      </w:pPr>
      <w:r w:rsidRPr="00E35467">
        <w:rPr>
          <w:color w:val="auto"/>
        </w:rPr>
        <w:t>Immunogenicity</w:t>
      </w:r>
    </w:p>
    <w:p w14:paraId="04D6D68D" w14:textId="4E488685" w:rsidR="00BE7DC2" w:rsidRPr="00E35467" w:rsidRDefault="00BE7DC2" w:rsidP="00BE7DC2">
      <w:pPr>
        <w:pStyle w:val="Paragraph"/>
        <w:spacing w:after="120"/>
        <w:rPr>
          <w:rFonts w:eastAsia="Calibri"/>
          <w:sz w:val="24"/>
          <w:lang w:val="en-GB" w:eastAsia="en-AU"/>
        </w:rPr>
      </w:pPr>
      <w:r w:rsidRPr="00E35467">
        <w:rPr>
          <w:rFonts w:eastAsia="Calibri"/>
          <w:sz w:val="24"/>
          <w:lang w:val="en-GB" w:eastAsia="en-AU"/>
        </w:rPr>
        <w:t xml:space="preserve">Immunogenicity assay results are highly dependent on several factors including assay sensitivity and specificity, assay methodology, sample handling, timing of sample collection, concomitant </w:t>
      </w:r>
      <w:proofErr w:type="gramStart"/>
      <w:r w:rsidRPr="00E35467">
        <w:rPr>
          <w:rFonts w:eastAsia="Calibri"/>
          <w:sz w:val="24"/>
          <w:lang w:val="en-GB" w:eastAsia="en-AU"/>
        </w:rPr>
        <w:t>medications</w:t>
      </w:r>
      <w:proofErr w:type="gramEnd"/>
      <w:r w:rsidRPr="00E35467">
        <w:rPr>
          <w:rFonts w:eastAsia="Calibri"/>
          <w:sz w:val="24"/>
          <w:lang w:val="en-GB" w:eastAsia="en-AU"/>
        </w:rPr>
        <w:t xml:space="preserve"> and underlying disease. For these reasons, comparison of incidence of antibodies to </w:t>
      </w:r>
      <w:proofErr w:type="spellStart"/>
      <w:r w:rsidRPr="00E35467">
        <w:rPr>
          <w:rFonts w:eastAsia="Calibri"/>
          <w:sz w:val="24"/>
          <w:lang w:val="en-GB" w:eastAsia="en-AU"/>
        </w:rPr>
        <w:t>V</w:t>
      </w:r>
      <w:r w:rsidR="00E00D93" w:rsidRPr="00E35467">
        <w:rPr>
          <w:rFonts w:eastAsia="Calibri"/>
          <w:sz w:val="24"/>
          <w:lang w:val="en-GB" w:eastAsia="en-AU"/>
        </w:rPr>
        <w:t>abysmo</w:t>
      </w:r>
      <w:proofErr w:type="spellEnd"/>
      <w:r w:rsidRPr="00E35467">
        <w:rPr>
          <w:rFonts w:eastAsia="Calibri"/>
          <w:sz w:val="24"/>
          <w:lang w:val="en-GB" w:eastAsia="en-AU"/>
        </w:rPr>
        <w:t xml:space="preserve"> with the incidence of antibodies to other products may be misleading.</w:t>
      </w:r>
    </w:p>
    <w:p w14:paraId="282CCB39" w14:textId="77777777" w:rsidR="00D52399" w:rsidRPr="00E35467" w:rsidRDefault="00902EBE" w:rsidP="00902EBE">
      <w:pPr>
        <w:pStyle w:val="Heading2"/>
        <w:rPr>
          <w:color w:val="auto"/>
        </w:rPr>
      </w:pPr>
      <w:r w:rsidRPr="00E35467">
        <w:rPr>
          <w:color w:val="auto"/>
        </w:rPr>
        <w:t>5.2</w:t>
      </w:r>
      <w:r w:rsidRPr="00E35467">
        <w:rPr>
          <w:color w:val="auto"/>
        </w:rPr>
        <w:tab/>
        <w:t xml:space="preserve">PHARMACOKINETIC PROPERTIES </w:t>
      </w:r>
    </w:p>
    <w:p w14:paraId="2CE1308A" w14:textId="298F9E81" w:rsidR="00D52399" w:rsidRPr="00E35467" w:rsidRDefault="00615052" w:rsidP="009F4C5B">
      <w:pPr>
        <w:pStyle w:val="Heading3"/>
        <w:spacing w:before="0"/>
        <w:rPr>
          <w:color w:val="auto"/>
        </w:rPr>
      </w:pPr>
      <w:r w:rsidRPr="00E35467">
        <w:rPr>
          <w:color w:val="auto"/>
        </w:rPr>
        <w:t>Absorption</w:t>
      </w:r>
    </w:p>
    <w:p w14:paraId="5128E6FF" w14:textId="20E4D0C8" w:rsidR="00BE7DC2" w:rsidRPr="00E35467" w:rsidRDefault="00BE7DC2" w:rsidP="00BE7DC2">
      <w:pPr>
        <w:pStyle w:val="Paragraph"/>
        <w:spacing w:after="120"/>
        <w:rPr>
          <w:sz w:val="24"/>
          <w:szCs w:val="20"/>
        </w:rPr>
      </w:pPr>
      <w:proofErr w:type="spellStart"/>
      <w:r w:rsidRPr="00E35467">
        <w:rPr>
          <w:sz w:val="24"/>
          <w:szCs w:val="20"/>
        </w:rPr>
        <w:t>V</w:t>
      </w:r>
      <w:r w:rsidR="00E00D93" w:rsidRPr="00E35467">
        <w:rPr>
          <w:sz w:val="24"/>
          <w:szCs w:val="20"/>
        </w:rPr>
        <w:t>abysmo</w:t>
      </w:r>
      <w:proofErr w:type="spellEnd"/>
      <w:r w:rsidRPr="00E35467">
        <w:rPr>
          <w:sz w:val="24"/>
          <w:szCs w:val="20"/>
        </w:rPr>
        <w:t xml:space="preserve"> is administered intravitreally (IVT) to exert local effects in the eye. There have been no clinical studies performed with other routes of administration.</w:t>
      </w:r>
    </w:p>
    <w:p w14:paraId="29329E54" w14:textId="305CD28E" w:rsidR="00BE7DC2" w:rsidRPr="00BE7DC2" w:rsidRDefault="00BE7DC2" w:rsidP="00BE7DC2">
      <w:pPr>
        <w:pStyle w:val="Paragraph"/>
        <w:spacing w:after="120"/>
        <w:rPr>
          <w:sz w:val="24"/>
          <w:szCs w:val="20"/>
        </w:rPr>
      </w:pPr>
      <w:r w:rsidRPr="00E35467">
        <w:rPr>
          <w:sz w:val="24"/>
          <w:szCs w:val="20"/>
        </w:rPr>
        <w:t xml:space="preserve">Based on a population pharmacokinetic analysis (including </w:t>
      </w:r>
      <w:proofErr w:type="spellStart"/>
      <w:r w:rsidRPr="00E35467">
        <w:rPr>
          <w:sz w:val="24"/>
          <w:szCs w:val="20"/>
        </w:rPr>
        <w:t>nAMD</w:t>
      </w:r>
      <w:proofErr w:type="spellEnd"/>
      <w:r w:rsidRPr="00E35467">
        <w:rPr>
          <w:sz w:val="24"/>
          <w:szCs w:val="20"/>
        </w:rPr>
        <w:t xml:space="preserve"> and DM</w:t>
      </w:r>
      <w:r w:rsidR="00186B1A" w:rsidRPr="00E35467">
        <w:rPr>
          <w:sz w:val="24"/>
          <w:szCs w:val="20"/>
        </w:rPr>
        <w:t>O</w:t>
      </w:r>
      <w:r w:rsidRPr="00E35467">
        <w:rPr>
          <w:sz w:val="24"/>
          <w:szCs w:val="20"/>
        </w:rPr>
        <w:t xml:space="preserve"> N = 2,246), maximum free (unbound to VEGF-A and Ang-2) </w:t>
      </w:r>
      <w:proofErr w:type="spellStart"/>
      <w:r w:rsidRPr="00E35467">
        <w:rPr>
          <w:sz w:val="24"/>
          <w:szCs w:val="20"/>
        </w:rPr>
        <w:t>faricimab</w:t>
      </w:r>
      <w:proofErr w:type="spellEnd"/>
      <w:r w:rsidRPr="00E35467">
        <w:rPr>
          <w:sz w:val="24"/>
          <w:szCs w:val="20"/>
        </w:rPr>
        <w:t xml:space="preserve"> plasma concentrations (</w:t>
      </w:r>
      <w:proofErr w:type="spellStart"/>
      <w:r w:rsidRPr="00E35467">
        <w:rPr>
          <w:sz w:val="24"/>
          <w:szCs w:val="20"/>
        </w:rPr>
        <w:t>C</w:t>
      </w:r>
      <w:r w:rsidRPr="00E35467">
        <w:rPr>
          <w:sz w:val="24"/>
          <w:szCs w:val="20"/>
          <w:vertAlign w:val="subscript"/>
        </w:rPr>
        <w:t>max</w:t>
      </w:r>
      <w:proofErr w:type="spellEnd"/>
      <w:r w:rsidRPr="00E35467">
        <w:rPr>
          <w:sz w:val="24"/>
          <w:szCs w:val="20"/>
        </w:rPr>
        <w:t xml:space="preserve">) are estimated to occur approximately 2 days post-dose. Mean (± SD) plasma </w:t>
      </w:r>
      <w:proofErr w:type="spellStart"/>
      <w:r w:rsidRPr="00E35467">
        <w:rPr>
          <w:sz w:val="24"/>
          <w:szCs w:val="20"/>
        </w:rPr>
        <w:t>C</w:t>
      </w:r>
      <w:r w:rsidRPr="00E35467">
        <w:rPr>
          <w:sz w:val="24"/>
          <w:szCs w:val="20"/>
          <w:vertAlign w:val="subscript"/>
        </w:rPr>
        <w:t>max</w:t>
      </w:r>
      <w:proofErr w:type="spellEnd"/>
      <w:r w:rsidRPr="00E35467">
        <w:rPr>
          <w:sz w:val="24"/>
          <w:szCs w:val="20"/>
        </w:rPr>
        <w:t xml:space="preserve"> are estimated 0.23 (0.07) µg/mL and 0.22 (0.07) µg/mL respectively in </w:t>
      </w:r>
      <w:proofErr w:type="spellStart"/>
      <w:r w:rsidRPr="00E35467">
        <w:rPr>
          <w:sz w:val="24"/>
          <w:szCs w:val="20"/>
        </w:rPr>
        <w:t>nAMD</w:t>
      </w:r>
      <w:proofErr w:type="spellEnd"/>
      <w:r w:rsidRPr="00E35467">
        <w:rPr>
          <w:sz w:val="24"/>
          <w:szCs w:val="20"/>
        </w:rPr>
        <w:t xml:space="preserve"> and in DM</w:t>
      </w:r>
      <w:r w:rsidR="00186B1A" w:rsidRPr="00E35467">
        <w:rPr>
          <w:sz w:val="24"/>
          <w:szCs w:val="20"/>
        </w:rPr>
        <w:t>O</w:t>
      </w:r>
      <w:r w:rsidRPr="00E35467">
        <w:rPr>
          <w:sz w:val="24"/>
          <w:szCs w:val="20"/>
        </w:rPr>
        <w:t xml:space="preserve">/DR patients. After repeated administrations, mean plasma free </w:t>
      </w:r>
      <w:proofErr w:type="spellStart"/>
      <w:r w:rsidRPr="00E35467">
        <w:rPr>
          <w:sz w:val="24"/>
          <w:szCs w:val="20"/>
        </w:rPr>
        <w:t>faricimab</w:t>
      </w:r>
      <w:proofErr w:type="spellEnd"/>
      <w:r w:rsidRPr="00E35467">
        <w:rPr>
          <w:sz w:val="24"/>
          <w:szCs w:val="20"/>
        </w:rPr>
        <w:t xml:space="preserve"> trough concentrations are predicted</w:t>
      </w:r>
      <w:r w:rsidRPr="00BE7DC2">
        <w:rPr>
          <w:sz w:val="24"/>
          <w:szCs w:val="20"/>
        </w:rPr>
        <w:t xml:space="preserve"> to be 0.002-0.003 µg/mL for Q8W dosing.</w:t>
      </w:r>
    </w:p>
    <w:p w14:paraId="7F9AB2B2" w14:textId="15F0C041" w:rsidR="00B65D51" w:rsidRPr="00192E5A" w:rsidRDefault="00BE7DC2" w:rsidP="00BE7DC2">
      <w:pPr>
        <w:pStyle w:val="Paragraph"/>
        <w:spacing w:after="120"/>
        <w:rPr>
          <w:sz w:val="24"/>
          <w:szCs w:val="20"/>
        </w:rPr>
      </w:pPr>
      <w:proofErr w:type="spellStart"/>
      <w:r w:rsidRPr="00BE7DC2">
        <w:rPr>
          <w:sz w:val="24"/>
          <w:szCs w:val="20"/>
        </w:rPr>
        <w:t>Faricimab</w:t>
      </w:r>
      <w:proofErr w:type="spellEnd"/>
      <w:r w:rsidRPr="00BE7DC2">
        <w:rPr>
          <w:sz w:val="24"/>
          <w:szCs w:val="20"/>
        </w:rPr>
        <w:t xml:space="preserve"> exhibited dose-proportional pharmacokinetics (based on </w:t>
      </w:r>
      <w:proofErr w:type="spellStart"/>
      <w:r w:rsidRPr="00BE7DC2">
        <w:rPr>
          <w:sz w:val="24"/>
          <w:szCs w:val="20"/>
        </w:rPr>
        <w:t>C</w:t>
      </w:r>
      <w:r w:rsidRPr="00E00D93">
        <w:rPr>
          <w:sz w:val="24"/>
          <w:szCs w:val="20"/>
          <w:vertAlign w:val="subscript"/>
        </w:rPr>
        <w:t>max</w:t>
      </w:r>
      <w:proofErr w:type="spellEnd"/>
      <w:r w:rsidRPr="00BE7DC2">
        <w:rPr>
          <w:sz w:val="24"/>
          <w:szCs w:val="20"/>
        </w:rPr>
        <w:t xml:space="preserve"> and AUC) over the dose range 0.5 mg-6 mg. No accumulation of </w:t>
      </w:r>
      <w:proofErr w:type="spellStart"/>
      <w:r w:rsidRPr="00BE7DC2">
        <w:rPr>
          <w:sz w:val="24"/>
          <w:szCs w:val="20"/>
        </w:rPr>
        <w:t>faricimab</w:t>
      </w:r>
      <w:proofErr w:type="spellEnd"/>
      <w:r w:rsidRPr="00BE7DC2">
        <w:rPr>
          <w:sz w:val="24"/>
          <w:szCs w:val="20"/>
        </w:rPr>
        <w:t xml:space="preserve"> was apparent in the vitreous or in plasma following monthly dosing.</w:t>
      </w:r>
    </w:p>
    <w:p w14:paraId="3A0B46C6" w14:textId="7693CB47" w:rsidR="00D52399" w:rsidRPr="00A807D3" w:rsidRDefault="00615052">
      <w:pPr>
        <w:pStyle w:val="Heading3"/>
        <w:rPr>
          <w:color w:val="auto"/>
        </w:rPr>
      </w:pPr>
      <w:r w:rsidRPr="00A807D3">
        <w:rPr>
          <w:color w:val="auto"/>
        </w:rPr>
        <w:t>Distribution</w:t>
      </w:r>
    </w:p>
    <w:p w14:paraId="4703210C" w14:textId="1C287281" w:rsidR="00BE7DC2" w:rsidRPr="00BE7DC2" w:rsidRDefault="00BE7DC2" w:rsidP="00BE7DC2">
      <w:pPr>
        <w:spacing w:after="120" w:line="300" w:lineRule="atLeast"/>
        <w:rPr>
          <w:color w:val="auto"/>
        </w:rPr>
      </w:pPr>
      <w:r w:rsidRPr="00BE7DC2">
        <w:rPr>
          <w:color w:val="auto"/>
        </w:rPr>
        <w:t xml:space="preserve">Maximum plasma free </w:t>
      </w:r>
      <w:proofErr w:type="spellStart"/>
      <w:r w:rsidRPr="00BE7DC2">
        <w:rPr>
          <w:color w:val="auto"/>
        </w:rPr>
        <w:t>faricimab</w:t>
      </w:r>
      <w:proofErr w:type="spellEnd"/>
      <w:r w:rsidRPr="00BE7DC2">
        <w:rPr>
          <w:color w:val="auto"/>
        </w:rPr>
        <w:t xml:space="preserve"> concentrations are predicted to be approximately 600 and 6000-fold lower than in aqueous and vitreous </w:t>
      </w:r>
      <w:r w:rsidR="00365C8B" w:rsidRPr="00BE7DC2">
        <w:rPr>
          <w:color w:val="auto"/>
        </w:rPr>
        <w:t>humour</w:t>
      </w:r>
      <w:r w:rsidRPr="00BE7DC2">
        <w:rPr>
          <w:color w:val="auto"/>
        </w:rPr>
        <w:t xml:space="preserve"> respectively and are below the binding affinity for VEGF</w:t>
      </w:r>
      <w:r w:rsidR="00365C8B">
        <w:rPr>
          <w:color w:val="auto"/>
        </w:rPr>
        <w:t>-A</w:t>
      </w:r>
      <w:r w:rsidRPr="00BE7DC2">
        <w:rPr>
          <w:color w:val="auto"/>
        </w:rPr>
        <w:t xml:space="preserve"> and Ang-2. Therefore, systemic pharmacodynamic effects are unlikely, further supported by the absence of significant changes in free VEGF</w:t>
      </w:r>
      <w:r w:rsidR="00E00D93">
        <w:rPr>
          <w:color w:val="auto"/>
        </w:rPr>
        <w:t xml:space="preserve"> </w:t>
      </w:r>
      <w:r w:rsidRPr="00BE7DC2">
        <w:rPr>
          <w:color w:val="auto"/>
        </w:rPr>
        <w:t xml:space="preserve">and Ang-2 concentration in plasma upon </w:t>
      </w:r>
      <w:proofErr w:type="spellStart"/>
      <w:r w:rsidRPr="00BE7DC2">
        <w:rPr>
          <w:color w:val="auto"/>
        </w:rPr>
        <w:t>faricimab</w:t>
      </w:r>
      <w:proofErr w:type="spellEnd"/>
      <w:r w:rsidRPr="00BE7DC2">
        <w:rPr>
          <w:color w:val="auto"/>
        </w:rPr>
        <w:t xml:space="preserve"> treatment in clinical studies.</w:t>
      </w:r>
    </w:p>
    <w:p w14:paraId="5DA6E395" w14:textId="5E17A0F3" w:rsidR="00D52399" w:rsidRPr="008457DD" w:rsidRDefault="00BE7DC2" w:rsidP="00BE7DC2">
      <w:pPr>
        <w:spacing w:after="120" w:line="300" w:lineRule="atLeast"/>
        <w:rPr>
          <w:color w:val="auto"/>
        </w:rPr>
      </w:pPr>
      <w:r w:rsidRPr="00BE7DC2">
        <w:rPr>
          <w:color w:val="auto"/>
        </w:rPr>
        <w:t xml:space="preserve">Population pharmacokinetic analysis has shown an effect of age and body weight on ocular or systemic pharmacokinetics of </w:t>
      </w:r>
      <w:proofErr w:type="spellStart"/>
      <w:r w:rsidRPr="00BE7DC2">
        <w:rPr>
          <w:color w:val="auto"/>
        </w:rPr>
        <w:t>faricimab</w:t>
      </w:r>
      <w:proofErr w:type="spellEnd"/>
      <w:r w:rsidRPr="00BE7DC2">
        <w:rPr>
          <w:color w:val="auto"/>
        </w:rPr>
        <w:t xml:space="preserve"> respectively. Both effects were considered not clinically meaningful; no dose adjustment is needed.</w:t>
      </w:r>
    </w:p>
    <w:p w14:paraId="6675BA2C" w14:textId="77777777" w:rsidR="00BA0878" w:rsidRPr="00A807D3" w:rsidRDefault="00BA0878" w:rsidP="00820652">
      <w:pPr>
        <w:pStyle w:val="Heading3"/>
      </w:pPr>
      <w:r w:rsidRPr="00A807D3">
        <w:t>Metabolism</w:t>
      </w:r>
    </w:p>
    <w:p w14:paraId="7DAD839C" w14:textId="06CB4F00" w:rsidR="00B65D51" w:rsidRDefault="00BE7DC2" w:rsidP="00B65D51">
      <w:pPr>
        <w:spacing w:after="120" w:line="300" w:lineRule="atLeast"/>
        <w:rPr>
          <w:color w:val="auto"/>
        </w:rPr>
      </w:pPr>
      <w:r w:rsidRPr="00BE7DC2">
        <w:rPr>
          <w:color w:val="auto"/>
        </w:rPr>
        <w:t xml:space="preserve">The metabolism of </w:t>
      </w:r>
      <w:proofErr w:type="spellStart"/>
      <w:r w:rsidRPr="00BE7DC2">
        <w:rPr>
          <w:color w:val="auto"/>
        </w:rPr>
        <w:t>faricimab</w:t>
      </w:r>
      <w:proofErr w:type="spellEnd"/>
      <w:r w:rsidRPr="00BE7DC2">
        <w:rPr>
          <w:color w:val="auto"/>
        </w:rPr>
        <w:t xml:space="preserve"> has not been directly studied, as monoclonal antibodies are cl</w:t>
      </w:r>
      <w:r>
        <w:rPr>
          <w:color w:val="auto"/>
        </w:rPr>
        <w:t>eared principally by catabolism</w:t>
      </w:r>
      <w:r w:rsidR="00B65D51" w:rsidRPr="00192E5A">
        <w:rPr>
          <w:color w:val="auto"/>
        </w:rPr>
        <w:t>.</w:t>
      </w:r>
    </w:p>
    <w:p w14:paraId="7D1FDDD3" w14:textId="0D4CCD36" w:rsidR="00D52399" w:rsidRPr="00A807D3" w:rsidRDefault="00615052" w:rsidP="00820652">
      <w:pPr>
        <w:pStyle w:val="Heading3"/>
      </w:pPr>
      <w:r w:rsidRPr="00A807D3">
        <w:t>Elimination</w:t>
      </w:r>
    </w:p>
    <w:p w14:paraId="0B4ED725" w14:textId="62ACD9EA" w:rsidR="00B65D51" w:rsidRPr="00192E5A" w:rsidRDefault="00693A52" w:rsidP="00B65D51">
      <w:pPr>
        <w:pStyle w:val="Paragraph"/>
        <w:spacing w:after="120"/>
        <w:rPr>
          <w:i/>
          <w:sz w:val="24"/>
        </w:rPr>
      </w:pPr>
      <w:r w:rsidRPr="00693A52">
        <w:rPr>
          <w:sz w:val="24"/>
        </w:rPr>
        <w:t xml:space="preserve">The </w:t>
      </w:r>
      <w:proofErr w:type="spellStart"/>
      <w:r w:rsidRPr="00693A52">
        <w:rPr>
          <w:sz w:val="24"/>
        </w:rPr>
        <w:t>faricimab</w:t>
      </w:r>
      <w:proofErr w:type="spellEnd"/>
      <w:r w:rsidRPr="00693A52">
        <w:rPr>
          <w:sz w:val="24"/>
        </w:rPr>
        <w:t xml:space="preserve"> plasma concentration-time profile declined in parallel with the vitreous and aqueous concentration-time profiles. </w:t>
      </w:r>
      <w:r w:rsidR="00BE7DC2" w:rsidRPr="00BE7DC2">
        <w:rPr>
          <w:sz w:val="24"/>
        </w:rPr>
        <w:t xml:space="preserve">The estimated mean </w:t>
      </w:r>
      <w:r>
        <w:rPr>
          <w:sz w:val="24"/>
        </w:rPr>
        <w:t xml:space="preserve">ocular half-life and </w:t>
      </w:r>
      <w:r w:rsidR="00BE7DC2" w:rsidRPr="00BE7DC2">
        <w:rPr>
          <w:sz w:val="24"/>
        </w:rPr>
        <w:t xml:space="preserve">apparent systemic half-life of </w:t>
      </w:r>
      <w:proofErr w:type="spellStart"/>
      <w:r w:rsidR="00BE7DC2" w:rsidRPr="00BE7DC2">
        <w:rPr>
          <w:sz w:val="24"/>
        </w:rPr>
        <w:t>faricimab</w:t>
      </w:r>
      <w:proofErr w:type="spellEnd"/>
      <w:r w:rsidR="00BE7DC2" w:rsidRPr="00BE7DC2">
        <w:rPr>
          <w:sz w:val="24"/>
        </w:rPr>
        <w:t xml:space="preserve"> is 7.5 days after IVT administration.</w:t>
      </w:r>
    </w:p>
    <w:p w14:paraId="56695A6C" w14:textId="7CCECBF1" w:rsidR="00B65D51" w:rsidRPr="00BA26B4" w:rsidRDefault="00BA26B4" w:rsidP="00820652">
      <w:pPr>
        <w:pStyle w:val="Heading3"/>
      </w:pPr>
      <w:r w:rsidRPr="00BA26B4">
        <w:t>Special populations</w:t>
      </w:r>
    </w:p>
    <w:p w14:paraId="47D4B509" w14:textId="77777777" w:rsidR="00B65D51" w:rsidRPr="00192E5A" w:rsidRDefault="00B65D51" w:rsidP="00820652">
      <w:pPr>
        <w:pStyle w:val="Heading4"/>
      </w:pPr>
      <w:r w:rsidRPr="00192E5A">
        <w:lastRenderedPageBreak/>
        <w:t>Renal impairment</w:t>
      </w:r>
    </w:p>
    <w:p w14:paraId="538CDA19" w14:textId="3BC6513F" w:rsidR="00820652" w:rsidRPr="00B03DB2" w:rsidRDefault="00BE7DC2" w:rsidP="00820652">
      <w:pPr>
        <w:pStyle w:val="Paragraph"/>
        <w:spacing w:after="120"/>
        <w:rPr>
          <w:sz w:val="24"/>
        </w:rPr>
      </w:pPr>
      <w:r w:rsidRPr="00820652">
        <w:rPr>
          <w:sz w:val="24"/>
        </w:rPr>
        <w:t>No formal pharmacokinetic study has been conducted in patients with renal impairment.</w:t>
      </w:r>
      <w:r w:rsidR="00820652" w:rsidRPr="00820652">
        <w:rPr>
          <w:sz w:val="24"/>
        </w:rPr>
        <w:t xml:space="preserve"> </w:t>
      </w:r>
      <w:r w:rsidR="00820652" w:rsidRPr="00B03DB2">
        <w:rPr>
          <w:sz w:val="24"/>
        </w:rPr>
        <w:t xml:space="preserve">Pharmacokinetic analysis of patients in </w:t>
      </w:r>
      <w:r w:rsidR="00F6610D">
        <w:rPr>
          <w:sz w:val="24"/>
        </w:rPr>
        <w:t>all clinical studies of which 64</w:t>
      </w:r>
      <w:r w:rsidR="00820652" w:rsidRPr="00B03DB2">
        <w:rPr>
          <w:sz w:val="24"/>
        </w:rPr>
        <w:t xml:space="preserve">% had renal impairment (mild 38%, moderate 24%, and severe 2%), revealed no differences with respect to systemic pharmacokinetics of </w:t>
      </w:r>
      <w:proofErr w:type="spellStart"/>
      <w:r w:rsidR="00820652" w:rsidRPr="00B03DB2">
        <w:rPr>
          <w:sz w:val="24"/>
        </w:rPr>
        <w:t>faricimab</w:t>
      </w:r>
      <w:proofErr w:type="spellEnd"/>
      <w:r w:rsidR="00820652" w:rsidRPr="00B03DB2">
        <w:rPr>
          <w:sz w:val="24"/>
        </w:rPr>
        <w:t xml:space="preserve"> after intravitreal administration of </w:t>
      </w:r>
      <w:proofErr w:type="spellStart"/>
      <w:r w:rsidR="00820652" w:rsidRPr="00B03DB2">
        <w:rPr>
          <w:sz w:val="24"/>
        </w:rPr>
        <w:t>Vabysmo</w:t>
      </w:r>
      <w:proofErr w:type="spellEnd"/>
      <w:r w:rsidR="00820652" w:rsidRPr="00B03DB2">
        <w:rPr>
          <w:sz w:val="24"/>
        </w:rPr>
        <w:t>.</w:t>
      </w:r>
    </w:p>
    <w:p w14:paraId="07AD8DFB" w14:textId="77777777" w:rsidR="00B65D51" w:rsidRPr="00192E5A" w:rsidRDefault="00B65D51" w:rsidP="00820652">
      <w:pPr>
        <w:pStyle w:val="Heading4"/>
      </w:pPr>
      <w:r w:rsidRPr="00192E5A">
        <w:t>Hepatic impairment</w:t>
      </w:r>
    </w:p>
    <w:p w14:paraId="282C9CFE" w14:textId="1862106C" w:rsidR="00B65D51" w:rsidRPr="00820652" w:rsidRDefault="00BE7DC2" w:rsidP="00820652">
      <w:pPr>
        <w:pStyle w:val="Paragraph"/>
        <w:spacing w:after="120"/>
        <w:rPr>
          <w:sz w:val="24"/>
        </w:rPr>
      </w:pPr>
      <w:r w:rsidRPr="00820652">
        <w:rPr>
          <w:sz w:val="24"/>
        </w:rPr>
        <w:t>No formal pharmacokinetic study has been conducted in patients with hepatic impairment.</w:t>
      </w:r>
      <w:r w:rsidR="00820652" w:rsidRPr="00820652">
        <w:rPr>
          <w:sz w:val="24"/>
        </w:rPr>
        <w:t xml:space="preserve"> However, no special considerations are needed in this population because metabolism occurs via proteolysis and does not depend on hepatic function.</w:t>
      </w:r>
      <w:r w:rsidR="00820652">
        <w:rPr>
          <w:sz w:val="24"/>
        </w:rPr>
        <w:t xml:space="preserve"> </w:t>
      </w:r>
    </w:p>
    <w:p w14:paraId="33F65B9B" w14:textId="77777777" w:rsidR="0031764D" w:rsidRPr="00A807D3" w:rsidRDefault="0031764D" w:rsidP="00820652">
      <w:pPr>
        <w:pStyle w:val="Heading4"/>
      </w:pPr>
      <w:r w:rsidRPr="00A807D3">
        <w:t>Use in the Elderly</w:t>
      </w:r>
    </w:p>
    <w:p w14:paraId="0D252267" w14:textId="42E40C85" w:rsidR="0031764D" w:rsidRPr="00A807D3" w:rsidRDefault="00BE7DC2" w:rsidP="0031764D">
      <w:pPr>
        <w:pStyle w:val="Paragraph"/>
        <w:spacing w:after="120"/>
        <w:jc w:val="both"/>
        <w:rPr>
          <w:sz w:val="24"/>
        </w:rPr>
      </w:pPr>
      <w:r w:rsidRPr="00BE7DC2">
        <w:rPr>
          <w:sz w:val="24"/>
        </w:rPr>
        <w:t>In the four Phase III clinical studies, approximately 60% (1</w:t>
      </w:r>
      <w:r w:rsidR="00E00D93">
        <w:rPr>
          <w:sz w:val="24"/>
        </w:rPr>
        <w:t xml:space="preserve">,149/1,929) of patients </w:t>
      </w:r>
      <w:proofErr w:type="spellStart"/>
      <w:r w:rsidR="00E00D93">
        <w:rPr>
          <w:sz w:val="24"/>
        </w:rPr>
        <w:t>randomis</w:t>
      </w:r>
      <w:r w:rsidRPr="00BE7DC2">
        <w:rPr>
          <w:sz w:val="24"/>
        </w:rPr>
        <w:t>ed</w:t>
      </w:r>
      <w:proofErr w:type="spellEnd"/>
      <w:r w:rsidRPr="00BE7DC2">
        <w:rPr>
          <w:sz w:val="24"/>
        </w:rPr>
        <w:t xml:space="preserve"> to treatment with </w:t>
      </w:r>
      <w:proofErr w:type="spellStart"/>
      <w:r w:rsidRPr="00BE7DC2">
        <w:rPr>
          <w:sz w:val="24"/>
        </w:rPr>
        <w:t>V</w:t>
      </w:r>
      <w:r w:rsidR="00E00D93" w:rsidRPr="00BE7DC2">
        <w:rPr>
          <w:sz w:val="24"/>
        </w:rPr>
        <w:t>abysmo</w:t>
      </w:r>
      <w:proofErr w:type="spellEnd"/>
      <w:r w:rsidRPr="00BE7DC2">
        <w:rPr>
          <w:sz w:val="24"/>
        </w:rPr>
        <w:t xml:space="preserve"> were ≥ 65 years of age. </w:t>
      </w:r>
      <w:r w:rsidR="00693A52" w:rsidRPr="00693A52">
        <w:rPr>
          <w:sz w:val="24"/>
        </w:rPr>
        <w:t xml:space="preserve">Population pharmacokinetic analysis has shown an effect of age on ocular pharmacokinetics of </w:t>
      </w:r>
      <w:proofErr w:type="spellStart"/>
      <w:r w:rsidR="00693A52" w:rsidRPr="00693A52">
        <w:rPr>
          <w:sz w:val="24"/>
        </w:rPr>
        <w:t>faricimab</w:t>
      </w:r>
      <w:proofErr w:type="spellEnd"/>
      <w:r w:rsidR="00693A52" w:rsidRPr="00693A52">
        <w:rPr>
          <w:sz w:val="24"/>
        </w:rPr>
        <w:t>, which was not considered clinically meaningful</w:t>
      </w:r>
      <w:r w:rsidR="00B063F6">
        <w:rPr>
          <w:sz w:val="24"/>
        </w:rPr>
        <w:t>.</w:t>
      </w:r>
    </w:p>
    <w:p w14:paraId="3B8A10CE" w14:textId="77777777" w:rsidR="0031764D" w:rsidRPr="00A807D3" w:rsidRDefault="0031764D" w:rsidP="00820652">
      <w:pPr>
        <w:pStyle w:val="Heading4"/>
      </w:pPr>
      <w:r w:rsidRPr="00A807D3">
        <w:t>Paediatric use</w:t>
      </w:r>
    </w:p>
    <w:p w14:paraId="5715CE8B" w14:textId="145D15DE" w:rsidR="00B65D51" w:rsidRPr="008457DD" w:rsidRDefault="00BE7DC2" w:rsidP="008457DD">
      <w:pPr>
        <w:spacing w:after="120" w:line="300" w:lineRule="atLeast"/>
        <w:rPr>
          <w:color w:val="auto"/>
        </w:rPr>
      </w:pPr>
      <w:r w:rsidRPr="00BE7DC2">
        <w:rPr>
          <w:color w:val="auto"/>
        </w:rPr>
        <w:t xml:space="preserve">The safety and efficacy of </w:t>
      </w:r>
      <w:proofErr w:type="spellStart"/>
      <w:r w:rsidRPr="00BE7DC2">
        <w:rPr>
          <w:color w:val="auto"/>
        </w:rPr>
        <w:t>V</w:t>
      </w:r>
      <w:r w:rsidR="00E00D93" w:rsidRPr="00BE7DC2">
        <w:rPr>
          <w:color w:val="auto"/>
        </w:rPr>
        <w:t>abysmo</w:t>
      </w:r>
      <w:proofErr w:type="spellEnd"/>
      <w:r w:rsidRPr="00BE7DC2">
        <w:rPr>
          <w:color w:val="auto"/>
        </w:rPr>
        <w:t xml:space="preserve"> in </w:t>
      </w:r>
      <w:r w:rsidR="00E00D93" w:rsidRPr="00BE7DC2">
        <w:rPr>
          <w:color w:val="auto"/>
        </w:rPr>
        <w:t>paediatric</w:t>
      </w:r>
      <w:r w:rsidRPr="00BE7DC2">
        <w:rPr>
          <w:color w:val="auto"/>
        </w:rPr>
        <w:t xml:space="preserve"> pat</w:t>
      </w:r>
      <w:r>
        <w:rPr>
          <w:color w:val="auto"/>
        </w:rPr>
        <w:t>ients have not been established</w:t>
      </w:r>
      <w:r w:rsidR="008457DD">
        <w:rPr>
          <w:color w:val="auto"/>
        </w:rPr>
        <w:t>.</w:t>
      </w:r>
    </w:p>
    <w:p w14:paraId="0B2D4697" w14:textId="77777777" w:rsidR="00D52399" w:rsidRPr="00A807D3" w:rsidRDefault="00902EBE" w:rsidP="009F4C5B">
      <w:pPr>
        <w:pStyle w:val="Heading2"/>
        <w:spacing w:before="0"/>
        <w:rPr>
          <w:color w:val="auto"/>
        </w:rPr>
      </w:pPr>
      <w:r w:rsidRPr="00A807D3">
        <w:rPr>
          <w:color w:val="auto"/>
        </w:rPr>
        <w:t>5.3</w:t>
      </w:r>
      <w:r w:rsidRPr="00A807D3">
        <w:rPr>
          <w:color w:val="auto"/>
        </w:rPr>
        <w:tab/>
        <w:t>PRECLINICAL SAFETY DATA</w:t>
      </w:r>
    </w:p>
    <w:p w14:paraId="22F184EF" w14:textId="2BF2CBE0" w:rsidR="00B1134D" w:rsidRPr="00A807D3" w:rsidRDefault="00363C7F" w:rsidP="00B1134D">
      <w:pPr>
        <w:pStyle w:val="Heading3"/>
        <w:rPr>
          <w:color w:val="auto"/>
        </w:rPr>
      </w:pPr>
      <w:r w:rsidRPr="00A807D3">
        <w:rPr>
          <w:color w:val="auto"/>
        </w:rPr>
        <w:t>Genotoxi</w:t>
      </w:r>
      <w:r w:rsidR="00BE7DC2">
        <w:rPr>
          <w:color w:val="auto"/>
        </w:rPr>
        <w:t>ci</w:t>
      </w:r>
      <w:r w:rsidRPr="00A807D3">
        <w:rPr>
          <w:color w:val="auto"/>
        </w:rPr>
        <w:t>ty</w:t>
      </w:r>
    </w:p>
    <w:p w14:paraId="5F4EE723" w14:textId="15E51C42" w:rsidR="00B65D51" w:rsidRPr="00192E5A" w:rsidRDefault="00BE7DC2" w:rsidP="00B65D51">
      <w:pPr>
        <w:spacing w:after="120" w:line="300" w:lineRule="atLeast"/>
        <w:jc w:val="both"/>
        <w:rPr>
          <w:color w:val="auto"/>
          <w:szCs w:val="20"/>
        </w:rPr>
      </w:pPr>
      <w:r w:rsidRPr="00BE7DC2">
        <w:rPr>
          <w:color w:val="auto"/>
          <w:szCs w:val="20"/>
        </w:rPr>
        <w:t xml:space="preserve">No studies have been performed to establish the mutagenic potential of </w:t>
      </w:r>
      <w:proofErr w:type="spellStart"/>
      <w:r w:rsidR="00654C0F">
        <w:rPr>
          <w:color w:val="auto"/>
          <w:szCs w:val="20"/>
        </w:rPr>
        <w:t>faricimab</w:t>
      </w:r>
      <w:proofErr w:type="spellEnd"/>
      <w:r w:rsidRPr="00BE7DC2">
        <w:rPr>
          <w:color w:val="auto"/>
          <w:szCs w:val="20"/>
        </w:rPr>
        <w:t>.</w:t>
      </w:r>
    </w:p>
    <w:p w14:paraId="2685778D" w14:textId="439BE4C3" w:rsidR="00B1134D" w:rsidRPr="00A807D3" w:rsidRDefault="00B47F89" w:rsidP="00B1134D">
      <w:pPr>
        <w:pStyle w:val="Heading3"/>
        <w:rPr>
          <w:color w:val="auto"/>
        </w:rPr>
      </w:pPr>
      <w:r>
        <w:rPr>
          <w:color w:val="auto"/>
        </w:rPr>
        <w:t>Carci</w:t>
      </w:r>
      <w:r w:rsidR="00363C7F" w:rsidRPr="00A807D3">
        <w:rPr>
          <w:color w:val="auto"/>
        </w:rPr>
        <w:t>nogenicity</w:t>
      </w:r>
    </w:p>
    <w:p w14:paraId="27242FD4" w14:textId="3337F998" w:rsidR="00B65D51" w:rsidRDefault="00BE7DC2" w:rsidP="00B65D51">
      <w:pPr>
        <w:spacing w:after="120" w:line="300" w:lineRule="atLeast"/>
        <w:rPr>
          <w:color w:val="auto"/>
          <w:szCs w:val="20"/>
        </w:rPr>
      </w:pPr>
      <w:r w:rsidRPr="00BE7DC2">
        <w:rPr>
          <w:color w:val="auto"/>
          <w:szCs w:val="20"/>
        </w:rPr>
        <w:t xml:space="preserve">No carcinogenicity studies have been performed to establish the carcinogenic </w:t>
      </w:r>
      <w:r>
        <w:rPr>
          <w:color w:val="auto"/>
          <w:szCs w:val="20"/>
        </w:rPr>
        <w:t xml:space="preserve">potential of </w:t>
      </w:r>
      <w:proofErr w:type="spellStart"/>
      <w:r w:rsidR="00654C0F">
        <w:rPr>
          <w:color w:val="auto"/>
          <w:szCs w:val="20"/>
        </w:rPr>
        <w:t>faricimab</w:t>
      </w:r>
      <w:proofErr w:type="spellEnd"/>
      <w:r w:rsidR="00B65D51" w:rsidRPr="00192E5A">
        <w:rPr>
          <w:color w:val="auto"/>
          <w:szCs w:val="20"/>
        </w:rPr>
        <w:t>.</w:t>
      </w:r>
    </w:p>
    <w:p w14:paraId="6A1DF517" w14:textId="77777777" w:rsidR="00D52399" w:rsidRPr="00A807D3" w:rsidRDefault="00615052" w:rsidP="009F4C5B">
      <w:pPr>
        <w:pStyle w:val="Heading1"/>
        <w:numPr>
          <w:ilvl w:val="0"/>
          <w:numId w:val="2"/>
        </w:numPr>
        <w:spacing w:before="0"/>
        <w:rPr>
          <w:color w:val="auto"/>
        </w:rPr>
      </w:pPr>
      <w:r w:rsidRPr="00A807D3">
        <w:rPr>
          <w:color w:val="auto"/>
        </w:rPr>
        <w:t>PHARMACEUTICAL PARTICULARS</w:t>
      </w:r>
    </w:p>
    <w:p w14:paraId="1A5059A3" w14:textId="77777777" w:rsidR="00D52399" w:rsidRPr="00A807D3" w:rsidRDefault="00CC6729" w:rsidP="009F4C5B">
      <w:pPr>
        <w:pStyle w:val="Heading2"/>
        <w:spacing w:before="0"/>
        <w:rPr>
          <w:color w:val="auto"/>
        </w:rPr>
      </w:pPr>
      <w:r w:rsidRPr="00A807D3">
        <w:rPr>
          <w:color w:val="auto"/>
        </w:rPr>
        <w:t>6.1</w:t>
      </w:r>
      <w:r w:rsidRPr="00A807D3">
        <w:rPr>
          <w:color w:val="auto"/>
        </w:rPr>
        <w:tab/>
        <w:t>LIST OF EXCIPIENTS</w:t>
      </w:r>
    </w:p>
    <w:p w14:paraId="64B29689" w14:textId="11D60E47" w:rsidR="00204BDD" w:rsidRPr="00204BDD" w:rsidRDefault="00654C0F" w:rsidP="00204BDD">
      <w:pPr>
        <w:spacing w:line="300" w:lineRule="atLeast"/>
        <w:rPr>
          <w:color w:val="auto"/>
          <w:szCs w:val="20"/>
        </w:rPr>
      </w:pPr>
      <w:r>
        <w:rPr>
          <w:color w:val="auto"/>
          <w:szCs w:val="20"/>
        </w:rPr>
        <w:t>H</w:t>
      </w:r>
      <w:r w:rsidR="00204BDD" w:rsidRPr="00204BDD">
        <w:rPr>
          <w:color w:val="auto"/>
          <w:szCs w:val="20"/>
        </w:rPr>
        <w:t>istidine</w:t>
      </w:r>
    </w:p>
    <w:p w14:paraId="3245FBB5" w14:textId="77777777" w:rsidR="00204BDD" w:rsidRPr="00204BDD" w:rsidRDefault="00204BDD" w:rsidP="00204BDD">
      <w:pPr>
        <w:spacing w:line="300" w:lineRule="atLeast"/>
        <w:rPr>
          <w:color w:val="auto"/>
          <w:szCs w:val="20"/>
        </w:rPr>
      </w:pPr>
      <w:r w:rsidRPr="00204BDD">
        <w:rPr>
          <w:color w:val="auto"/>
          <w:szCs w:val="20"/>
        </w:rPr>
        <w:t>Acetic acid 30% (for pH adjustment)</w:t>
      </w:r>
    </w:p>
    <w:p w14:paraId="41D624D9" w14:textId="5BEE6D6B" w:rsidR="00204BDD" w:rsidRPr="00204BDD" w:rsidRDefault="00654C0F" w:rsidP="00204BDD">
      <w:pPr>
        <w:spacing w:line="300" w:lineRule="atLeast"/>
        <w:rPr>
          <w:color w:val="auto"/>
          <w:szCs w:val="20"/>
        </w:rPr>
      </w:pPr>
      <w:r>
        <w:rPr>
          <w:color w:val="auto"/>
          <w:szCs w:val="20"/>
        </w:rPr>
        <w:t>M</w:t>
      </w:r>
      <w:r w:rsidR="00204BDD" w:rsidRPr="00204BDD">
        <w:rPr>
          <w:color w:val="auto"/>
          <w:szCs w:val="20"/>
        </w:rPr>
        <w:t>ethionine</w:t>
      </w:r>
    </w:p>
    <w:p w14:paraId="4F50675B" w14:textId="77777777" w:rsidR="00204BDD" w:rsidRPr="00204BDD" w:rsidRDefault="00204BDD" w:rsidP="00204BDD">
      <w:pPr>
        <w:spacing w:line="300" w:lineRule="atLeast"/>
        <w:rPr>
          <w:color w:val="auto"/>
          <w:szCs w:val="20"/>
        </w:rPr>
      </w:pPr>
      <w:r w:rsidRPr="00204BDD">
        <w:rPr>
          <w:color w:val="auto"/>
          <w:szCs w:val="20"/>
        </w:rPr>
        <w:t>Polysorbate 20</w:t>
      </w:r>
    </w:p>
    <w:p w14:paraId="5A99F5AF" w14:textId="77777777" w:rsidR="00204BDD" w:rsidRPr="00204BDD" w:rsidRDefault="00204BDD" w:rsidP="00204BDD">
      <w:pPr>
        <w:spacing w:line="300" w:lineRule="atLeast"/>
        <w:rPr>
          <w:color w:val="auto"/>
          <w:szCs w:val="20"/>
        </w:rPr>
      </w:pPr>
      <w:r w:rsidRPr="00204BDD">
        <w:rPr>
          <w:color w:val="auto"/>
          <w:szCs w:val="20"/>
        </w:rPr>
        <w:t>Sodium chloride</w:t>
      </w:r>
    </w:p>
    <w:p w14:paraId="4FA6B3A0" w14:textId="64E8817A" w:rsidR="00204BDD" w:rsidRDefault="00204BDD" w:rsidP="00204BDD">
      <w:pPr>
        <w:spacing w:line="300" w:lineRule="atLeast"/>
        <w:rPr>
          <w:color w:val="auto"/>
          <w:szCs w:val="20"/>
        </w:rPr>
      </w:pPr>
      <w:r w:rsidRPr="00204BDD">
        <w:rPr>
          <w:color w:val="auto"/>
          <w:szCs w:val="20"/>
        </w:rPr>
        <w:t>Sucrose</w:t>
      </w:r>
    </w:p>
    <w:p w14:paraId="7E7FC9CB" w14:textId="2B7A232E" w:rsidR="00A4304C" w:rsidRDefault="00A4304C" w:rsidP="00E35467">
      <w:pPr>
        <w:spacing w:after="120" w:line="300" w:lineRule="atLeast"/>
        <w:rPr>
          <w:color w:val="auto"/>
          <w:szCs w:val="20"/>
        </w:rPr>
      </w:pPr>
      <w:r w:rsidRPr="00204BDD">
        <w:rPr>
          <w:color w:val="auto"/>
          <w:szCs w:val="20"/>
        </w:rPr>
        <w:t>Water for injection</w:t>
      </w:r>
      <w:r w:rsidR="00204BDD" w:rsidRPr="00204BDD">
        <w:rPr>
          <w:color w:val="auto"/>
          <w:szCs w:val="20"/>
        </w:rPr>
        <w:t>s</w:t>
      </w:r>
    </w:p>
    <w:p w14:paraId="31BFCF3D" w14:textId="6B358016" w:rsidR="00D52399" w:rsidRPr="00A807D3" w:rsidRDefault="00902EBE" w:rsidP="00E35467">
      <w:pPr>
        <w:pStyle w:val="Heading2"/>
        <w:ind w:left="792" w:hanging="792"/>
        <w:rPr>
          <w:color w:val="auto"/>
        </w:rPr>
      </w:pPr>
      <w:r w:rsidRPr="00A807D3">
        <w:rPr>
          <w:color w:val="auto"/>
        </w:rPr>
        <w:t>6.2</w:t>
      </w:r>
      <w:r w:rsidRPr="00A807D3">
        <w:rPr>
          <w:color w:val="auto"/>
        </w:rPr>
        <w:tab/>
        <w:t>INCOMPATIBILITIES</w:t>
      </w:r>
    </w:p>
    <w:p w14:paraId="338B3B09" w14:textId="77EFC087" w:rsidR="00E35467" w:rsidRPr="00192E5A" w:rsidRDefault="00A4304C" w:rsidP="00B9039F">
      <w:pPr>
        <w:pStyle w:val="Paragraph"/>
        <w:spacing w:after="120"/>
        <w:rPr>
          <w:sz w:val="24"/>
        </w:rPr>
      </w:pPr>
      <w:r w:rsidRPr="00A4304C">
        <w:rPr>
          <w:sz w:val="24"/>
        </w:rPr>
        <w:t>In the absence of compatibility studies, this medicine must not be mixed with other medicines.</w:t>
      </w:r>
    </w:p>
    <w:p w14:paraId="25415019" w14:textId="77777777" w:rsidR="00D52399" w:rsidRPr="00A807D3" w:rsidRDefault="00902EBE" w:rsidP="00E35467">
      <w:pPr>
        <w:pStyle w:val="Heading2"/>
        <w:ind w:left="792" w:hanging="792"/>
        <w:rPr>
          <w:color w:val="auto"/>
        </w:rPr>
      </w:pPr>
      <w:r w:rsidRPr="00A807D3">
        <w:rPr>
          <w:color w:val="auto"/>
        </w:rPr>
        <w:t>6.3</w:t>
      </w:r>
      <w:r w:rsidRPr="00A807D3">
        <w:rPr>
          <w:color w:val="auto"/>
        </w:rPr>
        <w:tab/>
        <w:t>SHELF LIFE</w:t>
      </w:r>
    </w:p>
    <w:p w14:paraId="55AAA64C" w14:textId="1B488716" w:rsidR="00D52399" w:rsidRPr="00A4304C" w:rsidRDefault="00204BDD" w:rsidP="00E35467">
      <w:pPr>
        <w:spacing w:after="120"/>
        <w:rPr>
          <w:color w:val="auto"/>
        </w:rPr>
      </w:pPr>
      <w:r>
        <w:rPr>
          <w:color w:val="auto"/>
        </w:rPr>
        <w:t>30</w:t>
      </w:r>
      <w:r w:rsidR="00A4304C" w:rsidRPr="00A4304C">
        <w:rPr>
          <w:color w:val="auto"/>
        </w:rPr>
        <w:t xml:space="preserve"> months</w:t>
      </w:r>
    </w:p>
    <w:p w14:paraId="0621B975" w14:textId="77777777" w:rsidR="00D52399" w:rsidRPr="00A807D3" w:rsidRDefault="00902EBE" w:rsidP="00E35467">
      <w:pPr>
        <w:pStyle w:val="Heading2"/>
        <w:ind w:left="792" w:hanging="792"/>
        <w:rPr>
          <w:color w:val="auto"/>
        </w:rPr>
      </w:pPr>
      <w:r w:rsidRPr="00A807D3">
        <w:rPr>
          <w:color w:val="auto"/>
        </w:rPr>
        <w:t>6.4</w:t>
      </w:r>
      <w:r w:rsidRPr="00A807D3">
        <w:rPr>
          <w:color w:val="auto"/>
        </w:rPr>
        <w:tab/>
        <w:t>SPECIAL PRECAUTIONS FOR STORAGE</w:t>
      </w:r>
    </w:p>
    <w:p w14:paraId="3998B253" w14:textId="21964276" w:rsidR="00B9039F" w:rsidRDefault="006F4125" w:rsidP="00B9039F">
      <w:pPr>
        <w:spacing w:after="120"/>
        <w:rPr>
          <w:color w:val="auto"/>
        </w:rPr>
      </w:pPr>
      <w:r>
        <w:rPr>
          <w:color w:val="auto"/>
        </w:rPr>
        <w:t xml:space="preserve">Store at 2°C to </w:t>
      </w:r>
      <w:r w:rsidR="00B9039F" w:rsidRPr="00204BDD">
        <w:rPr>
          <w:color w:val="auto"/>
        </w:rPr>
        <w:t xml:space="preserve">8°C in the outer carton </w:t>
      </w:r>
      <w:proofErr w:type="gramStart"/>
      <w:r w:rsidR="00B9039F" w:rsidRPr="00204BDD">
        <w:rPr>
          <w:color w:val="auto"/>
        </w:rPr>
        <w:t>in order to</w:t>
      </w:r>
      <w:proofErr w:type="gramEnd"/>
      <w:r w:rsidR="00B9039F" w:rsidRPr="00204BDD">
        <w:rPr>
          <w:color w:val="auto"/>
        </w:rPr>
        <w:t xml:space="preserve"> protect from light.</w:t>
      </w:r>
    </w:p>
    <w:p w14:paraId="272DA54F" w14:textId="2E1E6F42" w:rsidR="00204BDD" w:rsidRPr="00192E5A" w:rsidRDefault="00204BDD" w:rsidP="00204BDD">
      <w:pPr>
        <w:spacing w:after="120"/>
        <w:jc w:val="both"/>
        <w:rPr>
          <w:color w:val="auto"/>
        </w:rPr>
      </w:pPr>
      <w:r w:rsidRPr="00192E5A">
        <w:rPr>
          <w:color w:val="auto"/>
        </w:rPr>
        <w:t>Do</w:t>
      </w:r>
      <w:r>
        <w:rPr>
          <w:color w:val="auto"/>
        </w:rPr>
        <w:t xml:space="preserve"> not freeze. Do not shake.</w:t>
      </w:r>
    </w:p>
    <w:p w14:paraId="31FDE528" w14:textId="2D0C3603" w:rsidR="00B9039F" w:rsidRDefault="00B9039F" w:rsidP="00B9039F">
      <w:pPr>
        <w:spacing w:after="120"/>
        <w:rPr>
          <w:color w:val="auto"/>
        </w:rPr>
      </w:pPr>
      <w:r w:rsidRPr="00192E5A">
        <w:rPr>
          <w:color w:val="auto"/>
        </w:rPr>
        <w:t xml:space="preserve">Prior to use, the unopened vial </w:t>
      </w:r>
      <w:r w:rsidR="00BE7DC2">
        <w:rPr>
          <w:color w:val="auto"/>
        </w:rPr>
        <w:t xml:space="preserve">of </w:t>
      </w:r>
      <w:proofErr w:type="spellStart"/>
      <w:r w:rsidR="00BE7DC2">
        <w:rPr>
          <w:color w:val="auto"/>
        </w:rPr>
        <w:t>Vabysmo</w:t>
      </w:r>
      <w:proofErr w:type="spellEnd"/>
      <w:r w:rsidR="00BE7DC2">
        <w:rPr>
          <w:color w:val="auto"/>
        </w:rPr>
        <w:t xml:space="preserve"> </w:t>
      </w:r>
      <w:r w:rsidRPr="00192E5A">
        <w:rPr>
          <w:color w:val="auto"/>
        </w:rPr>
        <w:t xml:space="preserve">may be kept at </w:t>
      </w:r>
      <w:r w:rsidR="00BE7DC2">
        <w:rPr>
          <w:color w:val="auto"/>
        </w:rPr>
        <w:t>20</w:t>
      </w:r>
      <w:r w:rsidRPr="00192E5A">
        <w:rPr>
          <w:color w:val="auto"/>
        </w:rPr>
        <w:t xml:space="preserve">°C to </w:t>
      </w:r>
      <w:r w:rsidR="00BE7DC2">
        <w:rPr>
          <w:color w:val="auto"/>
        </w:rPr>
        <w:t>25</w:t>
      </w:r>
      <w:r w:rsidRPr="00192E5A">
        <w:rPr>
          <w:color w:val="auto"/>
        </w:rPr>
        <w:t>°C for up to 24 hours.</w:t>
      </w:r>
    </w:p>
    <w:p w14:paraId="7DA43A16" w14:textId="603DAC67" w:rsidR="00BE7DC2" w:rsidRPr="00192E5A" w:rsidRDefault="00BE7DC2" w:rsidP="00B9039F">
      <w:pPr>
        <w:spacing w:after="120"/>
        <w:rPr>
          <w:color w:val="auto"/>
        </w:rPr>
      </w:pPr>
      <w:r w:rsidRPr="00BE7DC2">
        <w:rPr>
          <w:color w:val="auto"/>
        </w:rPr>
        <w:t>Ensure that the injection is given immediately after preparation of the dose.</w:t>
      </w:r>
    </w:p>
    <w:p w14:paraId="09EC3876" w14:textId="344EE081" w:rsidR="00D52399" w:rsidRPr="00A807D3" w:rsidRDefault="00902EBE" w:rsidP="00E35467">
      <w:pPr>
        <w:pStyle w:val="Heading2"/>
        <w:ind w:left="792" w:hanging="792"/>
        <w:rPr>
          <w:color w:val="auto"/>
        </w:rPr>
      </w:pPr>
      <w:r w:rsidRPr="00A807D3">
        <w:rPr>
          <w:color w:val="auto"/>
        </w:rPr>
        <w:lastRenderedPageBreak/>
        <w:t>6.5</w:t>
      </w:r>
      <w:r w:rsidRPr="00A807D3">
        <w:rPr>
          <w:color w:val="auto"/>
        </w:rPr>
        <w:tab/>
        <w:t xml:space="preserve">NATURE AND CONTENTS OF CONTAINER </w:t>
      </w:r>
    </w:p>
    <w:p w14:paraId="28730143" w14:textId="58E2E801" w:rsidR="00204BDD" w:rsidRPr="00204BDD" w:rsidRDefault="00204BDD" w:rsidP="00204BDD">
      <w:pPr>
        <w:spacing w:after="120"/>
        <w:rPr>
          <w:color w:val="auto"/>
          <w:szCs w:val="22"/>
        </w:rPr>
      </w:pPr>
      <w:r w:rsidRPr="00204BDD">
        <w:rPr>
          <w:color w:val="auto"/>
          <w:szCs w:val="22"/>
        </w:rPr>
        <w:t>0.24 mL sterile, preservative-free solution in a glass vial with a coated rubber stopper sealed with an</w:t>
      </w:r>
      <w:r>
        <w:rPr>
          <w:color w:val="auto"/>
          <w:szCs w:val="22"/>
        </w:rPr>
        <w:t xml:space="preserve"> </w:t>
      </w:r>
      <w:proofErr w:type="spellStart"/>
      <w:r w:rsidRPr="00204BDD">
        <w:rPr>
          <w:color w:val="auto"/>
          <w:szCs w:val="22"/>
        </w:rPr>
        <w:t>aluminum</w:t>
      </w:r>
      <w:proofErr w:type="spellEnd"/>
      <w:r w:rsidRPr="00204BDD">
        <w:rPr>
          <w:color w:val="auto"/>
          <w:szCs w:val="22"/>
        </w:rPr>
        <w:t xml:space="preserve"> cap with a yellow plastic flip-off disk.</w:t>
      </w:r>
    </w:p>
    <w:p w14:paraId="463EB5EC" w14:textId="5F042E98" w:rsidR="00D52399" w:rsidRPr="00192E5A" w:rsidRDefault="00204BDD" w:rsidP="00204BDD">
      <w:pPr>
        <w:rPr>
          <w:color w:val="auto"/>
          <w:sz w:val="28"/>
        </w:rPr>
      </w:pPr>
      <w:r w:rsidRPr="00204BDD">
        <w:rPr>
          <w:color w:val="auto"/>
          <w:szCs w:val="22"/>
        </w:rPr>
        <w:t>Pack size of 1 vial and 1 blunt transfer filter needle (18-gauge x 1½ inch, 1.2 mm x 40 mm).</w:t>
      </w:r>
    </w:p>
    <w:p w14:paraId="6ED5FB45" w14:textId="1B9C5C75" w:rsidR="00D52399" w:rsidRPr="00A807D3" w:rsidRDefault="00902EBE" w:rsidP="00E35467">
      <w:pPr>
        <w:pStyle w:val="Heading2"/>
        <w:ind w:left="792" w:hanging="792"/>
        <w:rPr>
          <w:color w:val="auto"/>
        </w:rPr>
      </w:pPr>
      <w:r w:rsidRPr="00A807D3">
        <w:rPr>
          <w:color w:val="auto"/>
        </w:rPr>
        <w:t>6.6</w:t>
      </w:r>
      <w:r w:rsidRPr="00A807D3">
        <w:rPr>
          <w:color w:val="auto"/>
        </w:rPr>
        <w:tab/>
        <w:t xml:space="preserve">SPECIAL PRECAUTIONS FOR </w:t>
      </w:r>
      <w:r w:rsidR="00B9039F" w:rsidRPr="00A807D3">
        <w:rPr>
          <w:color w:val="auto"/>
        </w:rPr>
        <w:t xml:space="preserve">USE, HANDLING AND </w:t>
      </w:r>
      <w:r w:rsidRPr="00A807D3">
        <w:rPr>
          <w:color w:val="auto"/>
        </w:rPr>
        <w:t>DISPOSAL</w:t>
      </w:r>
    </w:p>
    <w:p w14:paraId="389037F3" w14:textId="77777777" w:rsidR="00BE7DC2" w:rsidRPr="00BE7DC2" w:rsidRDefault="00BE7DC2" w:rsidP="00BE7DC2">
      <w:pPr>
        <w:pStyle w:val="Heading3"/>
        <w:rPr>
          <w:color w:val="auto"/>
        </w:rPr>
      </w:pPr>
      <w:r w:rsidRPr="00BE7DC2">
        <w:rPr>
          <w:color w:val="auto"/>
        </w:rPr>
        <w:t>Preparation for Administration</w:t>
      </w:r>
    </w:p>
    <w:p w14:paraId="0FBF2F89" w14:textId="698F8958" w:rsidR="00BE7DC2" w:rsidRPr="00BE7DC2" w:rsidRDefault="00BE7DC2" w:rsidP="00BE7DC2">
      <w:pPr>
        <w:spacing w:after="120" w:line="300" w:lineRule="atLeast"/>
        <w:rPr>
          <w:color w:val="auto"/>
          <w:szCs w:val="20"/>
          <w:lang w:val="en-US" w:eastAsia="en-US"/>
        </w:rPr>
      </w:pPr>
      <w:proofErr w:type="spellStart"/>
      <w:r w:rsidRPr="00BE7DC2">
        <w:rPr>
          <w:color w:val="auto"/>
          <w:szCs w:val="20"/>
          <w:lang w:val="en-US" w:eastAsia="en-US"/>
        </w:rPr>
        <w:t>V</w:t>
      </w:r>
      <w:r w:rsidR="00E00D93" w:rsidRPr="00BE7DC2">
        <w:rPr>
          <w:color w:val="auto"/>
          <w:szCs w:val="20"/>
          <w:lang w:val="en-US" w:eastAsia="en-US"/>
        </w:rPr>
        <w:t>abysmo</w:t>
      </w:r>
      <w:proofErr w:type="spellEnd"/>
      <w:r w:rsidRPr="00BE7DC2">
        <w:rPr>
          <w:color w:val="auto"/>
          <w:szCs w:val="20"/>
          <w:lang w:val="en-US" w:eastAsia="en-US"/>
        </w:rPr>
        <w:t xml:space="preserve"> is a sterile, preservative-free, clear to opalescent, </w:t>
      </w:r>
      <w:proofErr w:type="spellStart"/>
      <w:r w:rsidRPr="00BE7DC2">
        <w:rPr>
          <w:color w:val="auto"/>
          <w:szCs w:val="20"/>
          <w:lang w:val="en-US" w:eastAsia="en-US"/>
        </w:rPr>
        <w:t>colo</w:t>
      </w:r>
      <w:r w:rsidR="00365C8B">
        <w:rPr>
          <w:color w:val="auto"/>
          <w:szCs w:val="20"/>
          <w:lang w:val="en-US" w:eastAsia="en-US"/>
        </w:rPr>
        <w:t>u</w:t>
      </w:r>
      <w:r w:rsidRPr="00BE7DC2">
        <w:rPr>
          <w:color w:val="auto"/>
          <w:szCs w:val="20"/>
          <w:lang w:val="en-US" w:eastAsia="en-US"/>
        </w:rPr>
        <w:t>rless</w:t>
      </w:r>
      <w:proofErr w:type="spellEnd"/>
      <w:r w:rsidRPr="00BE7DC2">
        <w:rPr>
          <w:color w:val="auto"/>
          <w:szCs w:val="20"/>
          <w:lang w:val="en-US" w:eastAsia="en-US"/>
        </w:rPr>
        <w:t xml:space="preserve"> to brownish-yellow solution.</w:t>
      </w:r>
    </w:p>
    <w:p w14:paraId="348F4E79" w14:textId="77777777" w:rsidR="00BE7DC2" w:rsidRPr="00BE7DC2" w:rsidRDefault="00BE7DC2" w:rsidP="00BE7DC2">
      <w:pPr>
        <w:spacing w:after="120" w:line="300" w:lineRule="atLeast"/>
        <w:rPr>
          <w:color w:val="auto"/>
          <w:szCs w:val="20"/>
          <w:lang w:val="en-US" w:eastAsia="en-US"/>
        </w:rPr>
      </w:pPr>
      <w:r w:rsidRPr="00BE7DC2">
        <w:rPr>
          <w:color w:val="auto"/>
          <w:szCs w:val="20"/>
          <w:lang w:val="en-US" w:eastAsia="en-US"/>
        </w:rPr>
        <w:t>Do not shake.</w:t>
      </w:r>
    </w:p>
    <w:p w14:paraId="4A43F8FF" w14:textId="7FD65B41" w:rsidR="00204BDD" w:rsidRPr="00BE7DC2" w:rsidRDefault="00204BDD" w:rsidP="00204BDD">
      <w:pPr>
        <w:spacing w:after="120" w:line="300" w:lineRule="atLeast"/>
        <w:rPr>
          <w:color w:val="auto"/>
          <w:szCs w:val="20"/>
          <w:lang w:val="en-US" w:eastAsia="en-US"/>
        </w:rPr>
      </w:pPr>
      <w:r w:rsidRPr="00204BDD">
        <w:rPr>
          <w:color w:val="auto"/>
          <w:szCs w:val="20"/>
          <w:lang w:val="en-US" w:eastAsia="en-US"/>
        </w:rPr>
        <w:t>The vial contains more than the recommended dose of 6 mg. The fill volume of the vial (0.24 mL) is</w:t>
      </w:r>
      <w:r>
        <w:rPr>
          <w:color w:val="auto"/>
          <w:szCs w:val="20"/>
          <w:lang w:val="en-US" w:eastAsia="en-US"/>
        </w:rPr>
        <w:t xml:space="preserve"> </w:t>
      </w:r>
      <w:r w:rsidRPr="00204BDD">
        <w:rPr>
          <w:color w:val="auto"/>
          <w:szCs w:val="20"/>
          <w:lang w:val="en-US" w:eastAsia="en-US"/>
        </w:rPr>
        <w:t>not to be used in total. The excess volume should be expelled prior to injection. Injecting the entire</w:t>
      </w:r>
      <w:r>
        <w:rPr>
          <w:color w:val="auto"/>
          <w:szCs w:val="20"/>
          <w:lang w:val="en-US" w:eastAsia="en-US"/>
        </w:rPr>
        <w:t xml:space="preserve"> </w:t>
      </w:r>
      <w:r w:rsidRPr="00204BDD">
        <w:rPr>
          <w:color w:val="auto"/>
          <w:szCs w:val="20"/>
          <w:lang w:val="en-US" w:eastAsia="en-US"/>
        </w:rPr>
        <w:t xml:space="preserve">volume of the vial results in overdose. The injection dose must be set to the 0.05 mL dose mark, </w:t>
      </w:r>
      <w:proofErr w:type="gramStart"/>
      <w:r w:rsidRPr="00204BDD">
        <w:rPr>
          <w:color w:val="auto"/>
          <w:szCs w:val="20"/>
          <w:lang w:val="en-US" w:eastAsia="en-US"/>
        </w:rPr>
        <w:t>i.e.</w:t>
      </w:r>
      <w:proofErr w:type="gramEnd"/>
      <w:r w:rsidRPr="00204BDD">
        <w:rPr>
          <w:color w:val="auto"/>
          <w:szCs w:val="20"/>
          <w:lang w:val="en-US" w:eastAsia="en-US"/>
        </w:rPr>
        <w:t xml:space="preserve"> 6</w:t>
      </w:r>
      <w:r>
        <w:rPr>
          <w:color w:val="auto"/>
          <w:szCs w:val="20"/>
          <w:lang w:val="en-US" w:eastAsia="en-US"/>
        </w:rPr>
        <w:t xml:space="preserve"> </w:t>
      </w:r>
      <w:r w:rsidRPr="00204BDD">
        <w:rPr>
          <w:color w:val="auto"/>
          <w:szCs w:val="20"/>
          <w:lang w:val="en-US" w:eastAsia="en-US"/>
        </w:rPr>
        <w:t xml:space="preserve">mg </w:t>
      </w:r>
      <w:r w:rsidR="00365C8B">
        <w:rPr>
          <w:color w:val="auto"/>
          <w:szCs w:val="20"/>
          <w:lang w:val="en-US" w:eastAsia="en-US"/>
        </w:rPr>
        <w:t xml:space="preserve">of </w:t>
      </w:r>
      <w:proofErr w:type="spellStart"/>
      <w:r w:rsidR="00365C8B">
        <w:rPr>
          <w:color w:val="auto"/>
          <w:szCs w:val="20"/>
          <w:lang w:val="en-US" w:eastAsia="en-US"/>
        </w:rPr>
        <w:t>Vabysmo</w:t>
      </w:r>
      <w:proofErr w:type="spellEnd"/>
      <w:r w:rsidRPr="00204BDD">
        <w:rPr>
          <w:color w:val="auto"/>
          <w:szCs w:val="20"/>
          <w:lang w:val="en-US" w:eastAsia="en-US"/>
        </w:rPr>
        <w:t>.</w:t>
      </w:r>
    </w:p>
    <w:p w14:paraId="4DF1BD03" w14:textId="43F5909D" w:rsidR="00BE7DC2" w:rsidRPr="00BE7DC2" w:rsidRDefault="00BE7DC2" w:rsidP="00BE7DC2">
      <w:pPr>
        <w:spacing w:after="120" w:line="300" w:lineRule="atLeast"/>
        <w:rPr>
          <w:color w:val="auto"/>
          <w:szCs w:val="20"/>
          <w:lang w:val="en-US" w:eastAsia="en-US"/>
        </w:rPr>
      </w:pPr>
      <w:r w:rsidRPr="00BE7DC2">
        <w:rPr>
          <w:color w:val="auto"/>
          <w:szCs w:val="20"/>
          <w:lang w:val="en-US" w:eastAsia="en-US"/>
        </w:rPr>
        <w:t>The contents of the vial and transfer filter needle are sterile and for single use</w:t>
      </w:r>
      <w:r w:rsidR="00F555BE">
        <w:rPr>
          <w:color w:val="auto"/>
          <w:szCs w:val="20"/>
          <w:lang w:val="en-US" w:eastAsia="en-US"/>
        </w:rPr>
        <w:t xml:space="preserve"> in one patient</w:t>
      </w:r>
      <w:r w:rsidRPr="00BE7DC2">
        <w:rPr>
          <w:color w:val="auto"/>
          <w:szCs w:val="20"/>
          <w:lang w:val="en-US" w:eastAsia="en-US"/>
        </w:rPr>
        <w:t xml:space="preserve"> only. Do not use if the packaging, vial and/or transfer filter needle are damaged or expired.</w:t>
      </w:r>
    </w:p>
    <w:p w14:paraId="33A93760" w14:textId="6BF5640C" w:rsidR="00A4304C" w:rsidRPr="00192E5A" w:rsidRDefault="00A4304C" w:rsidP="00B9039F">
      <w:pPr>
        <w:spacing w:after="120" w:line="300" w:lineRule="atLeast"/>
        <w:rPr>
          <w:color w:val="auto"/>
        </w:rPr>
      </w:pPr>
      <w:r w:rsidRPr="00A4304C">
        <w:rPr>
          <w:color w:val="auto"/>
        </w:rPr>
        <w:t>In Australia, any unused medicine or waste material should be disposed of by taking to your local pharmacy.</w:t>
      </w:r>
    </w:p>
    <w:p w14:paraId="50CED73B" w14:textId="77777777" w:rsidR="008903F2" w:rsidRPr="00A807D3" w:rsidRDefault="00902EBE" w:rsidP="00E35467">
      <w:pPr>
        <w:pStyle w:val="Heading2"/>
        <w:ind w:left="792" w:hanging="792"/>
        <w:rPr>
          <w:color w:val="auto"/>
        </w:rPr>
      </w:pPr>
      <w:r w:rsidRPr="00A807D3">
        <w:rPr>
          <w:color w:val="auto"/>
        </w:rPr>
        <w:t>6.7</w:t>
      </w:r>
      <w:r w:rsidRPr="00A807D3">
        <w:rPr>
          <w:color w:val="auto"/>
        </w:rPr>
        <w:tab/>
        <w:t xml:space="preserve">PHYSIOCHEMICAL PROPERTIES </w:t>
      </w:r>
    </w:p>
    <w:p w14:paraId="2A23CB9A" w14:textId="77777777" w:rsidR="009B3628" w:rsidRPr="00A807D3" w:rsidRDefault="009B3628">
      <w:pPr>
        <w:rPr>
          <w:b/>
          <w:color w:val="auto"/>
        </w:rPr>
      </w:pPr>
      <w:r w:rsidRPr="00A807D3">
        <w:rPr>
          <w:b/>
          <w:color w:val="auto"/>
        </w:rPr>
        <w:t>Chemical structure</w:t>
      </w:r>
    </w:p>
    <w:p w14:paraId="3E3D3770" w14:textId="67CBF66E" w:rsidR="00356312" w:rsidRPr="00356312" w:rsidRDefault="00654EB5" w:rsidP="00356312">
      <w:pPr>
        <w:rPr>
          <w:color w:val="auto"/>
        </w:rPr>
      </w:pPr>
      <w:proofErr w:type="spellStart"/>
      <w:r w:rsidRPr="00654EB5">
        <w:rPr>
          <w:color w:val="auto"/>
        </w:rPr>
        <w:t>Faricimab</w:t>
      </w:r>
      <w:proofErr w:type="spellEnd"/>
      <w:r w:rsidRPr="00654EB5">
        <w:rPr>
          <w:color w:val="auto"/>
        </w:rPr>
        <w:t xml:space="preserve"> is a humani</w:t>
      </w:r>
      <w:r w:rsidR="00356312">
        <w:rPr>
          <w:color w:val="auto"/>
        </w:rPr>
        <w:t>s</w:t>
      </w:r>
      <w:r w:rsidRPr="00654EB5">
        <w:rPr>
          <w:color w:val="auto"/>
        </w:rPr>
        <w:t>ed bispecific antibody produced in mammalian Chinese Hamster Ovary (CHO)</w:t>
      </w:r>
      <w:r>
        <w:rPr>
          <w:color w:val="auto"/>
        </w:rPr>
        <w:t xml:space="preserve"> </w:t>
      </w:r>
      <w:r w:rsidRPr="00654EB5">
        <w:rPr>
          <w:color w:val="auto"/>
        </w:rPr>
        <w:t>cell culture by recombinant DNA technology.</w:t>
      </w:r>
      <w:r w:rsidR="00356312">
        <w:rPr>
          <w:color w:val="auto"/>
        </w:rPr>
        <w:t xml:space="preserve"> It </w:t>
      </w:r>
      <w:r w:rsidR="00356312" w:rsidRPr="00356312">
        <w:rPr>
          <w:color w:val="auto"/>
        </w:rPr>
        <w:t>consists of two</w:t>
      </w:r>
    </w:p>
    <w:p w14:paraId="4D84A4CB" w14:textId="77777777" w:rsidR="00356312" w:rsidRPr="00356312" w:rsidRDefault="00356312" w:rsidP="00356312">
      <w:pPr>
        <w:rPr>
          <w:color w:val="auto"/>
        </w:rPr>
      </w:pPr>
      <w:r w:rsidRPr="00356312">
        <w:rPr>
          <w:color w:val="auto"/>
        </w:rPr>
        <w:t>different heavy chains (VEGF-HC: HC1 with 452 amino acid residues, Ang-2-HC: HC2</w:t>
      </w:r>
    </w:p>
    <w:p w14:paraId="74B2E92B" w14:textId="77777777" w:rsidR="00356312" w:rsidRPr="00356312" w:rsidRDefault="00356312" w:rsidP="00356312">
      <w:pPr>
        <w:rPr>
          <w:color w:val="auto"/>
        </w:rPr>
      </w:pPr>
      <w:r w:rsidRPr="00356312">
        <w:rPr>
          <w:color w:val="auto"/>
        </w:rPr>
        <w:t>with 462 amino acid residues; without C-terminal lysine) and two different light chains</w:t>
      </w:r>
    </w:p>
    <w:p w14:paraId="0EA80645" w14:textId="77777777" w:rsidR="00356312" w:rsidRPr="00356312" w:rsidRDefault="00356312" w:rsidP="00356312">
      <w:pPr>
        <w:rPr>
          <w:color w:val="auto"/>
        </w:rPr>
      </w:pPr>
      <w:r w:rsidRPr="00356312">
        <w:rPr>
          <w:color w:val="auto"/>
        </w:rPr>
        <w:t xml:space="preserve">(VEGF-LC: LC1 with 214 amino acid residues, Ang-2-LC: LC2 with 213 amino </w:t>
      </w:r>
      <w:proofErr w:type="gramStart"/>
      <w:r w:rsidRPr="00356312">
        <w:rPr>
          <w:color w:val="auto"/>
        </w:rPr>
        <w:t>acid</w:t>
      </w:r>
      <w:proofErr w:type="gramEnd"/>
    </w:p>
    <w:p w14:paraId="5F052B0E" w14:textId="77777777" w:rsidR="00356312" w:rsidRPr="00356312" w:rsidRDefault="00356312" w:rsidP="00356312">
      <w:pPr>
        <w:rPr>
          <w:color w:val="auto"/>
        </w:rPr>
      </w:pPr>
      <w:r w:rsidRPr="00356312">
        <w:rPr>
          <w:color w:val="auto"/>
        </w:rPr>
        <w:t xml:space="preserve">residues) with inter- and intra-chain </w:t>
      </w:r>
      <w:proofErr w:type="spellStart"/>
      <w:r w:rsidRPr="00356312">
        <w:rPr>
          <w:color w:val="auto"/>
        </w:rPr>
        <w:t>disulfide</w:t>
      </w:r>
      <w:proofErr w:type="spellEnd"/>
      <w:r w:rsidRPr="00356312">
        <w:rPr>
          <w:color w:val="auto"/>
        </w:rPr>
        <w:t xml:space="preserve"> bonds that are typical for IgG1 antibodies</w:t>
      </w:r>
    </w:p>
    <w:p w14:paraId="26DDB5F2" w14:textId="36B84FC5" w:rsidR="00356312" w:rsidRPr="00E00D93" w:rsidRDefault="00356312" w:rsidP="00356312">
      <w:pPr>
        <w:rPr>
          <w:color w:val="auto"/>
          <w:highlight w:val="yellow"/>
        </w:rPr>
      </w:pPr>
      <w:proofErr w:type="gramStart"/>
      <w:r w:rsidRPr="00356312">
        <w:rPr>
          <w:color w:val="auto"/>
        </w:rPr>
        <w:t>plus</w:t>
      </w:r>
      <w:proofErr w:type="gramEnd"/>
      <w:r w:rsidRPr="00356312">
        <w:rPr>
          <w:color w:val="auto"/>
        </w:rPr>
        <w:t xml:space="preserve"> an additional </w:t>
      </w:r>
      <w:proofErr w:type="spellStart"/>
      <w:r w:rsidRPr="00356312">
        <w:rPr>
          <w:color w:val="auto"/>
        </w:rPr>
        <w:t>disulfide</w:t>
      </w:r>
      <w:proofErr w:type="spellEnd"/>
      <w:r w:rsidRPr="00356312">
        <w:rPr>
          <w:color w:val="auto"/>
        </w:rPr>
        <w:t xml:space="preserve"> bridge in the CH3-CH3 interface.</w:t>
      </w:r>
      <w:r>
        <w:rPr>
          <w:color w:val="auto"/>
        </w:rPr>
        <w:t xml:space="preserve"> The</w:t>
      </w:r>
      <w:r w:rsidRPr="00356312">
        <w:rPr>
          <w:color w:val="auto"/>
        </w:rPr>
        <w:t xml:space="preserve"> approximate molecular weight of</w:t>
      </w:r>
      <w:r>
        <w:rPr>
          <w:color w:val="auto"/>
        </w:rPr>
        <w:t xml:space="preserve"> intact </w:t>
      </w:r>
      <w:proofErr w:type="spellStart"/>
      <w:r>
        <w:rPr>
          <w:color w:val="auto"/>
        </w:rPr>
        <w:t>faricimab</w:t>
      </w:r>
      <w:proofErr w:type="spellEnd"/>
      <w:r>
        <w:rPr>
          <w:color w:val="auto"/>
        </w:rPr>
        <w:t xml:space="preserve"> is</w:t>
      </w:r>
      <w:r w:rsidRPr="00356312">
        <w:rPr>
          <w:color w:val="auto"/>
        </w:rPr>
        <w:t xml:space="preserve"> </w:t>
      </w:r>
      <w:r>
        <w:rPr>
          <w:color w:val="auto"/>
        </w:rPr>
        <w:t>146</w:t>
      </w:r>
      <w:r w:rsidRPr="00356312">
        <w:rPr>
          <w:color w:val="auto"/>
        </w:rPr>
        <w:t xml:space="preserve"> </w:t>
      </w:r>
      <w:proofErr w:type="spellStart"/>
      <w:r w:rsidRPr="00356312">
        <w:rPr>
          <w:color w:val="auto"/>
        </w:rPr>
        <w:t>kDa</w:t>
      </w:r>
      <w:proofErr w:type="spellEnd"/>
      <w:r w:rsidRPr="00356312">
        <w:rPr>
          <w:color w:val="auto"/>
        </w:rPr>
        <w:t>.</w:t>
      </w:r>
    </w:p>
    <w:p w14:paraId="797C1500" w14:textId="4730E7D8" w:rsidR="007238C9" w:rsidRDefault="007238C9">
      <w:pPr>
        <w:rPr>
          <w:color w:val="auto"/>
        </w:rPr>
      </w:pPr>
    </w:p>
    <w:p w14:paraId="3A3B2050" w14:textId="77777777" w:rsidR="007238C9" w:rsidRPr="00A807D3" w:rsidRDefault="007238C9">
      <w:pPr>
        <w:rPr>
          <w:color w:val="auto"/>
        </w:rPr>
      </w:pPr>
    </w:p>
    <w:p w14:paraId="73EE19C3" w14:textId="1E64B34C" w:rsidR="009B3628" w:rsidRDefault="009B3628" w:rsidP="009F4C5B">
      <w:pPr>
        <w:spacing w:after="240"/>
        <w:rPr>
          <w:b/>
          <w:color w:val="auto"/>
        </w:rPr>
      </w:pPr>
      <w:r w:rsidRPr="00A4304C">
        <w:rPr>
          <w:b/>
          <w:color w:val="auto"/>
        </w:rPr>
        <w:t>CAS number</w:t>
      </w:r>
      <w:r w:rsidR="00A4304C">
        <w:rPr>
          <w:b/>
          <w:color w:val="auto"/>
        </w:rPr>
        <w:t>:</w:t>
      </w:r>
    </w:p>
    <w:p w14:paraId="183F27D4" w14:textId="5A5BD181" w:rsidR="00A4304C" w:rsidRDefault="00356312" w:rsidP="009F4C5B">
      <w:pPr>
        <w:spacing w:after="240"/>
        <w:rPr>
          <w:color w:val="auto"/>
        </w:rPr>
      </w:pPr>
      <w:r w:rsidRPr="00356312">
        <w:rPr>
          <w:color w:val="auto"/>
        </w:rPr>
        <w:t>1607793-29-2</w:t>
      </w:r>
    </w:p>
    <w:p w14:paraId="105F54B7" w14:textId="77777777" w:rsidR="00D52399" w:rsidRPr="00A807D3" w:rsidRDefault="00615052" w:rsidP="009F4C5B">
      <w:pPr>
        <w:pStyle w:val="Heading1"/>
        <w:numPr>
          <w:ilvl w:val="0"/>
          <w:numId w:val="2"/>
        </w:numPr>
        <w:spacing w:before="0"/>
        <w:rPr>
          <w:color w:val="auto"/>
        </w:rPr>
      </w:pPr>
      <w:r w:rsidRPr="00A807D3">
        <w:rPr>
          <w:color w:val="auto"/>
        </w:rPr>
        <w:t xml:space="preserve"> MEDICINE SCHEDULE</w:t>
      </w:r>
      <w:r w:rsidR="00594C19" w:rsidRPr="00A807D3">
        <w:rPr>
          <w:color w:val="auto"/>
        </w:rPr>
        <w:t xml:space="preserve"> (POISONS STANDARD)</w:t>
      </w:r>
    </w:p>
    <w:p w14:paraId="3441A229" w14:textId="4F3C8C68" w:rsidR="00D52399" w:rsidRDefault="008214E7" w:rsidP="009F4C5B">
      <w:pPr>
        <w:spacing w:after="240"/>
        <w:rPr>
          <w:color w:val="auto"/>
          <w:szCs w:val="22"/>
        </w:rPr>
      </w:pPr>
      <w:r w:rsidRPr="008214E7">
        <w:rPr>
          <w:color w:val="auto"/>
          <w:szCs w:val="22"/>
        </w:rPr>
        <w:t>Prescription Only Medicine</w:t>
      </w:r>
    </w:p>
    <w:p w14:paraId="54F6C2C7" w14:textId="77777777" w:rsidR="00D52399" w:rsidRPr="00A807D3" w:rsidRDefault="00615052" w:rsidP="009F4C5B">
      <w:pPr>
        <w:pStyle w:val="Heading1"/>
        <w:numPr>
          <w:ilvl w:val="0"/>
          <w:numId w:val="2"/>
        </w:numPr>
        <w:spacing w:before="0"/>
        <w:rPr>
          <w:color w:val="auto"/>
        </w:rPr>
      </w:pPr>
      <w:r w:rsidRPr="00A807D3">
        <w:rPr>
          <w:color w:val="auto"/>
        </w:rPr>
        <w:t>SPONSOR</w:t>
      </w:r>
    </w:p>
    <w:p w14:paraId="65D46722" w14:textId="77777777" w:rsidR="00363C7F" w:rsidRPr="00A807D3" w:rsidRDefault="00363C7F" w:rsidP="00363C7F">
      <w:pPr>
        <w:rPr>
          <w:color w:val="auto"/>
          <w:lang w:val="en-GB"/>
        </w:rPr>
      </w:pPr>
      <w:r w:rsidRPr="00A807D3">
        <w:rPr>
          <w:color w:val="auto"/>
          <w:lang w:val="en-GB"/>
        </w:rPr>
        <w:t>Roche Products Pty Limited</w:t>
      </w:r>
    </w:p>
    <w:p w14:paraId="2085797A" w14:textId="77777777" w:rsidR="00363C7F" w:rsidRPr="00A807D3" w:rsidRDefault="00363C7F" w:rsidP="00363C7F">
      <w:pPr>
        <w:rPr>
          <w:color w:val="auto"/>
          <w:lang w:val="en-GB"/>
        </w:rPr>
      </w:pPr>
      <w:r w:rsidRPr="00A807D3">
        <w:rPr>
          <w:color w:val="auto"/>
          <w:lang w:val="en-GB"/>
        </w:rPr>
        <w:t>ABN 70 000 132 865</w:t>
      </w:r>
    </w:p>
    <w:p w14:paraId="3B9211B1" w14:textId="77777777" w:rsidR="00363C7F" w:rsidRPr="00A807D3" w:rsidRDefault="00363C7F" w:rsidP="00363C7F">
      <w:pPr>
        <w:rPr>
          <w:color w:val="auto"/>
          <w:lang w:val="en-GB"/>
        </w:rPr>
      </w:pPr>
      <w:r w:rsidRPr="00A807D3">
        <w:rPr>
          <w:color w:val="auto"/>
          <w:lang w:val="en-GB"/>
        </w:rPr>
        <w:t xml:space="preserve">Level 8, 30 – 34 Hickson Road </w:t>
      </w:r>
    </w:p>
    <w:p w14:paraId="6DBD7B01" w14:textId="77777777" w:rsidR="00363C7F" w:rsidRPr="00A807D3" w:rsidRDefault="00363C7F" w:rsidP="00363C7F">
      <w:pPr>
        <w:rPr>
          <w:color w:val="auto"/>
          <w:lang w:val="en-GB"/>
        </w:rPr>
      </w:pPr>
      <w:r w:rsidRPr="00A807D3">
        <w:rPr>
          <w:color w:val="auto"/>
          <w:lang w:val="en-GB"/>
        </w:rPr>
        <w:t>Sydney NSW 2000</w:t>
      </w:r>
    </w:p>
    <w:p w14:paraId="1924CF0D" w14:textId="77777777" w:rsidR="00363C7F" w:rsidRPr="00A807D3" w:rsidRDefault="00363C7F" w:rsidP="00363C7F">
      <w:pPr>
        <w:rPr>
          <w:color w:val="auto"/>
          <w:lang w:val="en-GB"/>
        </w:rPr>
      </w:pPr>
      <w:r w:rsidRPr="00A807D3">
        <w:rPr>
          <w:color w:val="auto"/>
          <w:lang w:val="en-GB"/>
        </w:rPr>
        <w:t>AUSTRALIA</w:t>
      </w:r>
    </w:p>
    <w:p w14:paraId="3427D89A" w14:textId="77777777" w:rsidR="00363C7F" w:rsidRPr="00A807D3" w:rsidRDefault="00363C7F" w:rsidP="00363C7F">
      <w:pPr>
        <w:rPr>
          <w:color w:val="auto"/>
          <w:lang w:val="en-GB"/>
        </w:rPr>
      </w:pPr>
    </w:p>
    <w:p w14:paraId="77AD4C3B" w14:textId="77777777" w:rsidR="00363C7F" w:rsidRPr="00A807D3" w:rsidRDefault="00363C7F" w:rsidP="009F4C5B">
      <w:pPr>
        <w:spacing w:after="240"/>
        <w:rPr>
          <w:color w:val="auto"/>
        </w:rPr>
      </w:pPr>
      <w:r w:rsidRPr="00A807D3">
        <w:rPr>
          <w:color w:val="auto"/>
          <w:lang w:val="en-GB"/>
        </w:rPr>
        <w:t>Medical enquiries: 1800 233 950</w:t>
      </w:r>
    </w:p>
    <w:p w14:paraId="4E526DCA" w14:textId="77777777" w:rsidR="00D52399" w:rsidRPr="00A807D3" w:rsidRDefault="00615052" w:rsidP="009F4C5B">
      <w:pPr>
        <w:pStyle w:val="Heading1"/>
        <w:numPr>
          <w:ilvl w:val="0"/>
          <w:numId w:val="2"/>
        </w:numPr>
        <w:spacing w:before="0"/>
        <w:rPr>
          <w:color w:val="auto"/>
        </w:rPr>
      </w:pPr>
      <w:r w:rsidRPr="00A807D3">
        <w:rPr>
          <w:color w:val="auto"/>
        </w:rPr>
        <w:lastRenderedPageBreak/>
        <w:t>DATE OF FIRST APPROVAL</w:t>
      </w:r>
    </w:p>
    <w:p w14:paraId="287FCFDC" w14:textId="63DE68DB" w:rsidR="009B3628" w:rsidRPr="00A807D3" w:rsidRDefault="00094235" w:rsidP="009F4C5B">
      <w:pPr>
        <w:spacing w:after="240"/>
        <w:rPr>
          <w:color w:val="auto"/>
        </w:rPr>
      </w:pPr>
      <w:r>
        <w:rPr>
          <w:color w:val="auto"/>
        </w:rPr>
        <w:t>08 August 2022</w:t>
      </w:r>
    </w:p>
    <w:p w14:paraId="4A55FD31" w14:textId="77777777" w:rsidR="00D52399" w:rsidRPr="00A807D3" w:rsidRDefault="00615052" w:rsidP="009F4C5B">
      <w:pPr>
        <w:pStyle w:val="Heading1"/>
        <w:numPr>
          <w:ilvl w:val="0"/>
          <w:numId w:val="2"/>
        </w:numPr>
        <w:spacing w:before="0"/>
        <w:rPr>
          <w:color w:val="auto"/>
        </w:rPr>
      </w:pPr>
      <w:r w:rsidRPr="00A807D3">
        <w:rPr>
          <w:color w:val="auto"/>
        </w:rPr>
        <w:t>DATE OF REVISION OF THE TEXT</w:t>
      </w:r>
    </w:p>
    <w:p w14:paraId="0F977A07" w14:textId="20B854E2" w:rsidR="00407592" w:rsidRPr="00A807D3" w:rsidRDefault="00094235">
      <w:pPr>
        <w:rPr>
          <w:color w:val="auto"/>
        </w:rPr>
      </w:pPr>
      <w:r>
        <w:rPr>
          <w:color w:val="auto"/>
        </w:rPr>
        <w:t>08 August 2022</w:t>
      </w:r>
    </w:p>
    <w:p w14:paraId="74ED0FFA" w14:textId="65A7136F" w:rsidR="00356312" w:rsidRDefault="00356312" w:rsidP="00FB04A6">
      <w:pPr>
        <w:rPr>
          <w:color w:val="auto"/>
        </w:rPr>
      </w:pPr>
    </w:p>
    <w:p w14:paraId="55A181F5" w14:textId="77777777" w:rsidR="00356312" w:rsidRPr="00A807D3" w:rsidRDefault="00356312" w:rsidP="00FB04A6">
      <w:pPr>
        <w:rPr>
          <w:color w:val="auto"/>
        </w:rPr>
      </w:pPr>
    </w:p>
    <w:p w14:paraId="7DC7852A" w14:textId="3ED5D22E" w:rsidR="00D52399" w:rsidRPr="00A807D3" w:rsidRDefault="00615052" w:rsidP="00A8585F">
      <w:pPr>
        <w:pStyle w:val="Heading3"/>
        <w:spacing w:after="240"/>
        <w:rPr>
          <w:color w:val="auto"/>
        </w:rPr>
      </w:pPr>
      <w:r w:rsidRPr="00A807D3">
        <w:rPr>
          <w:color w:val="auto"/>
        </w:rPr>
        <w:t>Summary of Changes Table</w:t>
      </w:r>
      <w:r w:rsidR="00902EBE" w:rsidRPr="00A807D3">
        <w:rPr>
          <w:color w:val="auto"/>
        </w:rPr>
        <w:t xml:space="preserve"> </w:t>
      </w:r>
    </w:p>
    <w:tbl>
      <w:tblPr>
        <w:tblStyle w:val="1"/>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7291"/>
      </w:tblGrid>
      <w:tr w:rsidR="00D52399" w:rsidRPr="00A807D3" w14:paraId="41FBF9F0" w14:textId="77777777" w:rsidTr="00407592">
        <w:tc>
          <w:tcPr>
            <w:tcW w:w="1951" w:type="dxa"/>
          </w:tcPr>
          <w:p w14:paraId="6A4CA17A" w14:textId="77777777" w:rsidR="00D52399" w:rsidRPr="00A807D3" w:rsidRDefault="00615052">
            <w:pPr>
              <w:rPr>
                <w:b/>
                <w:color w:val="auto"/>
              </w:rPr>
            </w:pPr>
            <w:r w:rsidRPr="00A807D3">
              <w:rPr>
                <w:b/>
                <w:color w:val="auto"/>
              </w:rPr>
              <w:t>Section Changed</w:t>
            </w:r>
          </w:p>
        </w:tc>
        <w:tc>
          <w:tcPr>
            <w:tcW w:w="7291" w:type="dxa"/>
          </w:tcPr>
          <w:p w14:paraId="18DBC407" w14:textId="77777777" w:rsidR="00D52399" w:rsidRPr="00A807D3" w:rsidRDefault="00615052">
            <w:pPr>
              <w:rPr>
                <w:b/>
                <w:color w:val="auto"/>
              </w:rPr>
            </w:pPr>
            <w:r w:rsidRPr="00A807D3">
              <w:rPr>
                <w:b/>
                <w:color w:val="auto"/>
              </w:rPr>
              <w:t>Summary of new information</w:t>
            </w:r>
          </w:p>
        </w:tc>
      </w:tr>
      <w:tr w:rsidR="00D52399" w:rsidRPr="00A807D3" w14:paraId="5768A7B7" w14:textId="77777777" w:rsidTr="00407592">
        <w:tc>
          <w:tcPr>
            <w:tcW w:w="1951" w:type="dxa"/>
          </w:tcPr>
          <w:p w14:paraId="7AB04B45" w14:textId="77777777" w:rsidR="00D52399" w:rsidRPr="00A807D3" w:rsidRDefault="00D52399">
            <w:pPr>
              <w:rPr>
                <w:color w:val="auto"/>
              </w:rPr>
            </w:pPr>
          </w:p>
        </w:tc>
        <w:tc>
          <w:tcPr>
            <w:tcW w:w="7291" w:type="dxa"/>
          </w:tcPr>
          <w:p w14:paraId="58448329" w14:textId="77777777" w:rsidR="00D52399" w:rsidRPr="00A807D3" w:rsidRDefault="00D52399">
            <w:pPr>
              <w:rPr>
                <w:color w:val="auto"/>
              </w:rPr>
            </w:pPr>
          </w:p>
        </w:tc>
      </w:tr>
    </w:tbl>
    <w:p w14:paraId="64F6FFEE" w14:textId="77777777" w:rsidR="00D52399" w:rsidRPr="00A807D3" w:rsidRDefault="00D52399">
      <w:pPr>
        <w:rPr>
          <w:color w:val="auto"/>
        </w:rPr>
      </w:pPr>
    </w:p>
    <w:sectPr w:rsidR="00D52399" w:rsidRPr="00A807D3" w:rsidSect="009E3A75">
      <w:headerReference w:type="default" r:id="rId18"/>
      <w:footerReference w:type="default" r:id="rId19"/>
      <w:headerReference w:type="first" r:id="rId20"/>
      <w:footerReference w:type="first" r:id="rId21"/>
      <w:pgSz w:w="11906" w:h="16838"/>
      <w:pgMar w:top="1440" w:right="1196" w:bottom="1440" w:left="1170" w:header="0"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F50B" w14:textId="77777777" w:rsidR="00725777" w:rsidRDefault="00725777">
      <w:r>
        <w:separator/>
      </w:r>
    </w:p>
  </w:endnote>
  <w:endnote w:type="continuationSeparator" w:id="0">
    <w:p w14:paraId="5B8D6158" w14:textId="77777777" w:rsidR="00725777" w:rsidRDefault="00725777">
      <w:r>
        <w:continuationSeparator/>
      </w:r>
    </w:p>
  </w:endnote>
  <w:endnote w:type="continuationNotice" w:id="1">
    <w:p w14:paraId="7421F305" w14:textId="77777777" w:rsidR="00725777" w:rsidRDefault="00725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BF6F" w14:textId="0C4BA561" w:rsidR="00206E8A" w:rsidRPr="00926DAE" w:rsidRDefault="00206E8A" w:rsidP="00926DAE">
    <w:pPr>
      <w:tabs>
        <w:tab w:val="center" w:pos="4513"/>
        <w:tab w:val="right" w:pos="9026"/>
      </w:tabs>
      <w:rPr>
        <w:sz w:val="20"/>
        <w:szCs w:val="20"/>
      </w:rPr>
    </w:pPr>
    <w:proofErr w:type="spellStart"/>
    <w:r>
      <w:rPr>
        <w:color w:val="auto"/>
        <w:sz w:val="20"/>
        <w:szCs w:val="20"/>
      </w:rPr>
      <w:t>Vabysmo</w:t>
    </w:r>
    <w:proofErr w:type="spellEnd"/>
    <w:r>
      <w:rPr>
        <w:color w:val="auto"/>
        <w:sz w:val="20"/>
        <w:szCs w:val="20"/>
      </w:rPr>
      <w:t xml:space="preserve"> </w:t>
    </w:r>
    <w:r w:rsidR="00094235">
      <w:rPr>
        <w:color w:val="auto"/>
        <w:sz w:val="20"/>
        <w:szCs w:val="20"/>
      </w:rPr>
      <w:t>202208</w:t>
    </w:r>
    <w:r w:rsidR="00E24A8F">
      <w:rPr>
        <w:color w:val="auto"/>
        <w:sz w:val="20"/>
        <w:szCs w:val="20"/>
      </w:rPr>
      <w:t>0</w:t>
    </w:r>
    <w:r w:rsidR="00094235">
      <w:rPr>
        <w:color w:val="auto"/>
        <w:sz w:val="20"/>
        <w:szCs w:val="20"/>
      </w:rPr>
      <w:t>8</w:t>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D51D46">
      <w:rPr>
        <w:noProof/>
        <w:sz w:val="20"/>
        <w:szCs w:val="20"/>
      </w:rPr>
      <w:t>22</w:t>
    </w:r>
    <w:r w:rsidRPr="00CC672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E011" w14:textId="49D3CBA8" w:rsidR="00206E8A" w:rsidRPr="00CC6729" w:rsidRDefault="00206E8A" w:rsidP="00CC6729">
    <w:pPr>
      <w:tabs>
        <w:tab w:val="center" w:pos="4513"/>
        <w:tab w:val="right" w:pos="9026"/>
      </w:tabs>
      <w:rPr>
        <w:sz w:val="20"/>
        <w:szCs w:val="20"/>
      </w:rPr>
    </w:pPr>
    <w:proofErr w:type="spellStart"/>
    <w:r>
      <w:rPr>
        <w:color w:val="auto"/>
        <w:sz w:val="20"/>
        <w:szCs w:val="20"/>
      </w:rPr>
      <w:t>Vabysmo</w:t>
    </w:r>
    <w:proofErr w:type="spellEnd"/>
    <w:r>
      <w:rPr>
        <w:color w:val="auto"/>
        <w:sz w:val="20"/>
        <w:szCs w:val="20"/>
      </w:rPr>
      <w:t xml:space="preserve"> 20220</w:t>
    </w:r>
    <w:r w:rsidR="00094235">
      <w:rPr>
        <w:color w:val="auto"/>
        <w:sz w:val="20"/>
        <w:szCs w:val="20"/>
      </w:rPr>
      <w:t>8</w:t>
    </w:r>
    <w:r w:rsidR="00E24A8F">
      <w:rPr>
        <w:color w:val="auto"/>
        <w:sz w:val="20"/>
        <w:szCs w:val="20"/>
      </w:rPr>
      <w:t>0</w:t>
    </w:r>
    <w:r w:rsidR="00094235">
      <w:rPr>
        <w:color w:val="auto"/>
        <w:sz w:val="20"/>
        <w:szCs w:val="20"/>
      </w:rPr>
      <w:t>8</w:t>
    </w:r>
    <w:r>
      <w:rPr>
        <w:sz w:val="20"/>
        <w:szCs w:val="20"/>
      </w:rPr>
      <w:tab/>
    </w:r>
    <w:r w:rsidRPr="00CC6729">
      <w:rPr>
        <w:sz w:val="20"/>
        <w:szCs w:val="20"/>
      </w:rPr>
      <w:fldChar w:fldCharType="begin"/>
    </w:r>
    <w:r w:rsidRPr="00CC6729">
      <w:rPr>
        <w:sz w:val="20"/>
        <w:szCs w:val="20"/>
      </w:rPr>
      <w:instrText>PAGE</w:instrText>
    </w:r>
    <w:r w:rsidRPr="00CC6729">
      <w:rPr>
        <w:sz w:val="20"/>
        <w:szCs w:val="20"/>
      </w:rPr>
      <w:fldChar w:fldCharType="separate"/>
    </w:r>
    <w:r w:rsidR="00725777">
      <w:rPr>
        <w:noProof/>
        <w:sz w:val="20"/>
        <w:szCs w:val="20"/>
      </w:rPr>
      <w:t>1</w:t>
    </w:r>
    <w:r w:rsidRPr="00CC672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3127D" w14:textId="77777777" w:rsidR="00725777" w:rsidRDefault="00725777">
      <w:r>
        <w:separator/>
      </w:r>
    </w:p>
  </w:footnote>
  <w:footnote w:type="continuationSeparator" w:id="0">
    <w:p w14:paraId="47067C37" w14:textId="77777777" w:rsidR="00725777" w:rsidRDefault="00725777">
      <w:r>
        <w:continuationSeparator/>
      </w:r>
    </w:p>
  </w:footnote>
  <w:footnote w:type="continuationNotice" w:id="1">
    <w:p w14:paraId="27E55E4E" w14:textId="77777777" w:rsidR="00725777" w:rsidRDefault="00725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05EA" w14:textId="614F96FD" w:rsidR="006E1D51" w:rsidRDefault="006E1D51">
    <w:pPr>
      <w:pStyle w:val="Header"/>
    </w:pPr>
  </w:p>
  <w:tbl>
    <w:tblPr>
      <w:tblStyle w:val="TableGrid"/>
      <w:tblW w:w="0" w:type="auto"/>
      <w:tblInd w:w="-113" w:type="dxa"/>
      <w:shd w:val="clear" w:color="auto" w:fill="E4F2E0"/>
      <w:tblLook w:val="04A0" w:firstRow="1" w:lastRow="0" w:firstColumn="1" w:lastColumn="0" w:noHBand="0" w:noVBand="1"/>
    </w:tblPr>
    <w:tblGrid>
      <w:gridCol w:w="9039"/>
    </w:tblGrid>
    <w:tr w:rsidR="006E1D51" w:rsidRPr="000B2145" w14:paraId="5A0378E9" w14:textId="77777777" w:rsidTr="00217239">
      <w:trPr>
        <w:trHeight w:val="1012"/>
      </w:trPr>
      <w:tc>
        <w:tcPr>
          <w:tcW w:w="9039" w:type="dxa"/>
          <w:shd w:val="clear" w:color="auto" w:fill="E4F2E0"/>
        </w:tcPr>
        <w:p w14:paraId="7920BDBB" w14:textId="77777777" w:rsidR="006E1D51" w:rsidRPr="000E789F" w:rsidRDefault="006E1D51" w:rsidP="006E1D51">
          <w:pPr>
            <w:pStyle w:val="Footer"/>
            <w:rPr>
              <w:b/>
              <w:sz w:val="18"/>
              <w:szCs w:val="18"/>
            </w:rPr>
          </w:pPr>
          <w:r w:rsidRPr="00EE2A41">
            <w:rPr>
              <w:b/>
              <w:sz w:val="18"/>
              <w:szCs w:val="18"/>
            </w:rPr>
            <w:t xml:space="preserve">Attachment </w:t>
          </w:r>
          <w:r w:rsidRPr="000E789F">
            <w:rPr>
              <w:b/>
              <w:sz w:val="18"/>
              <w:szCs w:val="18"/>
            </w:rPr>
            <w:t xml:space="preserve">AusPAR - </w:t>
          </w:r>
          <w:proofErr w:type="spellStart"/>
          <w:r w:rsidRPr="000E789F">
            <w:rPr>
              <w:b/>
              <w:sz w:val="18"/>
              <w:szCs w:val="18"/>
            </w:rPr>
            <w:t>Vabysmo</w:t>
          </w:r>
          <w:proofErr w:type="spellEnd"/>
          <w:r w:rsidRPr="000E789F">
            <w:rPr>
              <w:b/>
              <w:sz w:val="18"/>
              <w:szCs w:val="18"/>
            </w:rPr>
            <w:t xml:space="preserve"> - </w:t>
          </w:r>
          <w:proofErr w:type="spellStart"/>
          <w:r w:rsidRPr="000E789F">
            <w:rPr>
              <w:b/>
              <w:sz w:val="18"/>
              <w:szCs w:val="18"/>
            </w:rPr>
            <w:t>faricimab</w:t>
          </w:r>
          <w:proofErr w:type="spellEnd"/>
          <w:r w:rsidRPr="000E789F">
            <w:rPr>
              <w:b/>
              <w:sz w:val="18"/>
              <w:szCs w:val="18"/>
            </w:rPr>
            <w:t xml:space="preserve"> - Roche Products Pty Limited - PM-2021-02671-1-5</w:t>
          </w:r>
        </w:p>
        <w:p w14:paraId="781BB534" w14:textId="77777777" w:rsidR="006E1D51" w:rsidRPr="000E4791" w:rsidRDefault="006E1D51" w:rsidP="006E1D51">
          <w:pPr>
            <w:pStyle w:val="Footer"/>
            <w:rPr>
              <w:b/>
              <w:sz w:val="18"/>
              <w:szCs w:val="18"/>
            </w:rPr>
          </w:pPr>
          <w:r w:rsidRPr="000E789F">
            <w:rPr>
              <w:b/>
              <w:sz w:val="18"/>
              <w:szCs w:val="18"/>
            </w:rPr>
            <w:t>Final 14 March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45604E7D" w14:textId="77777777" w:rsidR="006E1D51" w:rsidRDefault="006E1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633C" w14:textId="64658115" w:rsidR="00206E8A" w:rsidRDefault="00206E8A" w:rsidP="00DF2E25"/>
  <w:tbl>
    <w:tblPr>
      <w:tblStyle w:val="TableGrid"/>
      <w:tblW w:w="0" w:type="auto"/>
      <w:tblInd w:w="-113" w:type="dxa"/>
      <w:shd w:val="clear" w:color="auto" w:fill="E4F2E0"/>
      <w:tblLook w:val="04A0" w:firstRow="1" w:lastRow="0" w:firstColumn="1" w:lastColumn="0" w:noHBand="0" w:noVBand="1"/>
    </w:tblPr>
    <w:tblGrid>
      <w:gridCol w:w="9039"/>
    </w:tblGrid>
    <w:tr w:rsidR="00DF2E25" w:rsidRPr="000B2145" w14:paraId="3FD4FA66" w14:textId="77777777" w:rsidTr="00217239">
      <w:trPr>
        <w:trHeight w:val="1012"/>
      </w:trPr>
      <w:tc>
        <w:tcPr>
          <w:tcW w:w="9039" w:type="dxa"/>
          <w:shd w:val="clear" w:color="auto" w:fill="E4F2E0"/>
        </w:tcPr>
        <w:p w14:paraId="5762D634" w14:textId="77777777" w:rsidR="00DF2E25" w:rsidRPr="000E789F" w:rsidRDefault="00DF2E25" w:rsidP="00DF2E25">
          <w:pPr>
            <w:pStyle w:val="Footer"/>
            <w:rPr>
              <w:b/>
              <w:sz w:val="18"/>
              <w:szCs w:val="18"/>
            </w:rPr>
          </w:pPr>
          <w:bookmarkStart w:id="1" w:name="_Hlk109054010"/>
          <w:r w:rsidRPr="00EE2A41">
            <w:rPr>
              <w:b/>
              <w:sz w:val="18"/>
              <w:szCs w:val="18"/>
            </w:rPr>
            <w:t xml:space="preserve">Attachment </w:t>
          </w:r>
          <w:r w:rsidRPr="000E789F">
            <w:rPr>
              <w:b/>
              <w:sz w:val="18"/>
              <w:szCs w:val="18"/>
            </w:rPr>
            <w:t xml:space="preserve">AusPAR - </w:t>
          </w:r>
          <w:proofErr w:type="spellStart"/>
          <w:r w:rsidRPr="000E789F">
            <w:rPr>
              <w:b/>
              <w:sz w:val="18"/>
              <w:szCs w:val="18"/>
            </w:rPr>
            <w:t>Vabysmo</w:t>
          </w:r>
          <w:proofErr w:type="spellEnd"/>
          <w:r w:rsidRPr="000E789F">
            <w:rPr>
              <w:b/>
              <w:sz w:val="18"/>
              <w:szCs w:val="18"/>
            </w:rPr>
            <w:t xml:space="preserve"> - </w:t>
          </w:r>
          <w:proofErr w:type="spellStart"/>
          <w:r w:rsidRPr="000E789F">
            <w:rPr>
              <w:b/>
              <w:sz w:val="18"/>
              <w:szCs w:val="18"/>
            </w:rPr>
            <w:t>faricimab</w:t>
          </w:r>
          <w:proofErr w:type="spellEnd"/>
          <w:r w:rsidRPr="000E789F">
            <w:rPr>
              <w:b/>
              <w:sz w:val="18"/>
              <w:szCs w:val="18"/>
            </w:rPr>
            <w:t xml:space="preserve"> - Roche Products Pty Limited - </w:t>
          </w:r>
          <w:bookmarkStart w:id="2" w:name="_Hlk131057080"/>
          <w:r w:rsidRPr="000E789F">
            <w:rPr>
              <w:b/>
              <w:sz w:val="18"/>
              <w:szCs w:val="18"/>
            </w:rPr>
            <w:t>PM-2021-02671-1-5</w:t>
          </w:r>
          <w:bookmarkEnd w:id="2"/>
        </w:p>
        <w:p w14:paraId="05C05DA3" w14:textId="77777777" w:rsidR="00DF2E25" w:rsidRPr="000E4791" w:rsidRDefault="00DF2E25" w:rsidP="00DF2E25">
          <w:pPr>
            <w:pStyle w:val="Footer"/>
            <w:rPr>
              <w:b/>
              <w:sz w:val="18"/>
              <w:szCs w:val="18"/>
            </w:rPr>
          </w:pPr>
          <w:r w:rsidRPr="000E789F">
            <w:rPr>
              <w:b/>
              <w:sz w:val="18"/>
              <w:szCs w:val="18"/>
            </w:rPr>
            <w:t>Final 14 March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
  </w:tbl>
  <w:p w14:paraId="2515FE90" w14:textId="77777777" w:rsidR="00DF2E25" w:rsidRDefault="00DF2E25" w:rsidP="00DF2E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6169FE2"/>
    <w:lvl w:ilvl="0">
      <w:start w:val="1"/>
      <w:numFmt w:val="decimal"/>
      <w:pStyle w:val="ListNumber"/>
      <w:lvlText w:val="%1."/>
      <w:lvlJc w:val="left"/>
      <w:pPr>
        <w:tabs>
          <w:tab w:val="num" w:pos="432"/>
        </w:tabs>
        <w:ind w:left="432" w:hanging="432"/>
      </w:pPr>
      <w:rPr>
        <w:rFonts w:hint="default"/>
      </w:rPr>
    </w:lvl>
  </w:abstractNum>
  <w:abstractNum w:abstractNumId="1" w15:restartNumberingAfterBreak="0">
    <w:nsid w:val="043A5751"/>
    <w:multiLevelType w:val="multilevel"/>
    <w:tmpl w:val="1C6CD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0546C"/>
    <w:multiLevelType w:val="multilevel"/>
    <w:tmpl w:val="D1567B5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95829BB"/>
    <w:multiLevelType w:val="hybridMultilevel"/>
    <w:tmpl w:val="03542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73FA0"/>
    <w:multiLevelType w:val="hybridMultilevel"/>
    <w:tmpl w:val="58E01F98"/>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185341"/>
    <w:multiLevelType w:val="hybridMultilevel"/>
    <w:tmpl w:val="C4DA6E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F636C9"/>
    <w:multiLevelType w:val="hybridMultilevel"/>
    <w:tmpl w:val="B802DB88"/>
    <w:lvl w:ilvl="0" w:tplc="A642D696">
      <w:start w:val="1"/>
      <w:numFmt w:val="bullet"/>
      <w:lvlText w:val=""/>
      <w:lvlJc w:val="left"/>
      <w:pPr>
        <w:tabs>
          <w:tab w:val="num" w:pos="720"/>
        </w:tabs>
        <w:ind w:left="720" w:hanging="360"/>
      </w:pPr>
      <w:rPr>
        <w:rFonts w:ascii="Symbol" w:hAnsi="Symbol" w:hint="default"/>
      </w:rPr>
    </w:lvl>
    <w:lvl w:ilvl="1" w:tplc="BD4483F8">
      <w:start w:val="1"/>
      <w:numFmt w:val="bullet"/>
      <w:lvlText w:val="o"/>
      <w:lvlJc w:val="left"/>
      <w:pPr>
        <w:tabs>
          <w:tab w:val="num" w:pos="1440"/>
        </w:tabs>
        <w:ind w:left="1440" w:hanging="360"/>
      </w:pPr>
      <w:rPr>
        <w:rFonts w:ascii="Courier New" w:hAnsi="Courier New" w:cs="Times New Roman" w:hint="default"/>
      </w:rPr>
    </w:lvl>
    <w:lvl w:ilvl="2" w:tplc="55540772">
      <w:start w:val="1"/>
      <w:numFmt w:val="bullet"/>
      <w:lvlText w:val=""/>
      <w:lvlJc w:val="left"/>
      <w:pPr>
        <w:tabs>
          <w:tab w:val="num" w:pos="2160"/>
        </w:tabs>
        <w:ind w:left="2160" w:hanging="360"/>
      </w:pPr>
      <w:rPr>
        <w:rFonts w:ascii="Wingdings" w:hAnsi="Wingdings" w:hint="default"/>
      </w:rPr>
    </w:lvl>
    <w:lvl w:ilvl="3" w:tplc="E5D22DFA">
      <w:start w:val="1"/>
      <w:numFmt w:val="bullet"/>
      <w:lvlText w:val=""/>
      <w:lvlJc w:val="left"/>
      <w:pPr>
        <w:tabs>
          <w:tab w:val="num" w:pos="2880"/>
        </w:tabs>
        <w:ind w:left="2880" w:hanging="360"/>
      </w:pPr>
      <w:rPr>
        <w:rFonts w:ascii="Symbol" w:hAnsi="Symbol" w:hint="default"/>
      </w:rPr>
    </w:lvl>
    <w:lvl w:ilvl="4" w:tplc="2BE8E3EC">
      <w:start w:val="1"/>
      <w:numFmt w:val="bullet"/>
      <w:lvlText w:val="o"/>
      <w:lvlJc w:val="left"/>
      <w:pPr>
        <w:tabs>
          <w:tab w:val="num" w:pos="3600"/>
        </w:tabs>
        <w:ind w:left="3600" w:hanging="360"/>
      </w:pPr>
      <w:rPr>
        <w:rFonts w:ascii="Courier New" w:hAnsi="Courier New" w:cs="Times New Roman" w:hint="default"/>
      </w:rPr>
    </w:lvl>
    <w:lvl w:ilvl="5" w:tplc="892AA078">
      <w:start w:val="1"/>
      <w:numFmt w:val="bullet"/>
      <w:lvlText w:val=""/>
      <w:lvlJc w:val="left"/>
      <w:pPr>
        <w:tabs>
          <w:tab w:val="num" w:pos="4320"/>
        </w:tabs>
        <w:ind w:left="4320" w:hanging="360"/>
      </w:pPr>
      <w:rPr>
        <w:rFonts w:ascii="Wingdings" w:hAnsi="Wingdings" w:hint="default"/>
      </w:rPr>
    </w:lvl>
    <w:lvl w:ilvl="6" w:tplc="C422DB52">
      <w:start w:val="1"/>
      <w:numFmt w:val="bullet"/>
      <w:lvlText w:val=""/>
      <w:lvlJc w:val="left"/>
      <w:pPr>
        <w:tabs>
          <w:tab w:val="num" w:pos="5040"/>
        </w:tabs>
        <w:ind w:left="5040" w:hanging="360"/>
      </w:pPr>
      <w:rPr>
        <w:rFonts w:ascii="Symbol" w:hAnsi="Symbol" w:hint="default"/>
      </w:rPr>
    </w:lvl>
    <w:lvl w:ilvl="7" w:tplc="8A58DF70">
      <w:start w:val="1"/>
      <w:numFmt w:val="bullet"/>
      <w:lvlText w:val="o"/>
      <w:lvlJc w:val="left"/>
      <w:pPr>
        <w:tabs>
          <w:tab w:val="num" w:pos="5760"/>
        </w:tabs>
        <w:ind w:left="5760" w:hanging="360"/>
      </w:pPr>
      <w:rPr>
        <w:rFonts w:ascii="Courier New" w:hAnsi="Courier New" w:cs="Times New Roman" w:hint="default"/>
      </w:rPr>
    </w:lvl>
    <w:lvl w:ilvl="8" w:tplc="7C2644D0">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F03A71"/>
    <w:multiLevelType w:val="hybridMultilevel"/>
    <w:tmpl w:val="82D00914"/>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E84B5C"/>
    <w:multiLevelType w:val="hybridMultilevel"/>
    <w:tmpl w:val="A81CC368"/>
    <w:lvl w:ilvl="0" w:tplc="C428BF82">
      <w:numFmt w:val="bullet"/>
      <w:lvlText w:val="•"/>
      <w:lvlJc w:val="left"/>
      <w:pPr>
        <w:ind w:left="1136" w:hanging="720"/>
      </w:pPr>
      <w:rPr>
        <w:rFonts w:ascii="Times New Roman" w:eastAsia="Times New Roman" w:hAnsi="Times New Roman" w:cs="Times New Roman"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9" w15:restartNumberingAfterBreak="0">
    <w:nsid w:val="234F4CF9"/>
    <w:multiLevelType w:val="multilevel"/>
    <w:tmpl w:val="5322CFA8"/>
    <w:lvl w:ilvl="0">
      <w:start w:val="4"/>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4395002F"/>
    <w:multiLevelType w:val="hybridMultilevel"/>
    <w:tmpl w:val="73920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E602A8"/>
    <w:multiLevelType w:val="hybridMultilevel"/>
    <w:tmpl w:val="1D2EC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DD212B"/>
    <w:multiLevelType w:val="hybridMultilevel"/>
    <w:tmpl w:val="3CF04F14"/>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B03712"/>
    <w:multiLevelType w:val="hybridMultilevel"/>
    <w:tmpl w:val="6E726522"/>
    <w:lvl w:ilvl="0" w:tplc="2D2EB73E">
      <w:start w:val="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E9C1CE0"/>
    <w:multiLevelType w:val="hybridMultilevel"/>
    <w:tmpl w:val="D8667F98"/>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2646FE"/>
    <w:multiLevelType w:val="hybridMultilevel"/>
    <w:tmpl w:val="15D84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727FE2"/>
    <w:multiLevelType w:val="multilevel"/>
    <w:tmpl w:val="AE080A88"/>
    <w:lvl w:ilvl="0">
      <w:start w:val="4"/>
      <w:numFmt w:val="decimal"/>
      <w:lvlText w:val="%1.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D60F22"/>
    <w:multiLevelType w:val="hybridMultilevel"/>
    <w:tmpl w:val="8D5A1B48"/>
    <w:lvl w:ilvl="0" w:tplc="C428BF82">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BE85331"/>
    <w:multiLevelType w:val="hybridMultilevel"/>
    <w:tmpl w:val="79F63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5B632B"/>
    <w:multiLevelType w:val="hybridMultilevel"/>
    <w:tmpl w:val="0E927300"/>
    <w:lvl w:ilvl="0" w:tplc="FE3288AC">
      <w:start w:val="1"/>
      <w:numFmt w:val="decimal"/>
      <w:lvlText w:val="%1."/>
      <w:lvlJc w:val="left"/>
      <w:pPr>
        <w:ind w:left="795" w:hanging="435"/>
      </w:pPr>
      <w:rPr>
        <w:rFonts w:hint="default"/>
      </w:rPr>
    </w:lvl>
    <w:lvl w:ilvl="1" w:tplc="BA164D68" w:tentative="1">
      <w:start w:val="1"/>
      <w:numFmt w:val="lowerLetter"/>
      <w:lvlText w:val="%2."/>
      <w:lvlJc w:val="left"/>
      <w:pPr>
        <w:ind w:left="1440" w:hanging="360"/>
      </w:pPr>
    </w:lvl>
    <w:lvl w:ilvl="2" w:tplc="13F62538" w:tentative="1">
      <w:start w:val="1"/>
      <w:numFmt w:val="lowerRoman"/>
      <w:lvlText w:val="%3."/>
      <w:lvlJc w:val="right"/>
      <w:pPr>
        <w:ind w:left="2160" w:hanging="180"/>
      </w:pPr>
    </w:lvl>
    <w:lvl w:ilvl="3" w:tplc="4EB02B9E" w:tentative="1">
      <w:start w:val="1"/>
      <w:numFmt w:val="decimal"/>
      <w:lvlText w:val="%4."/>
      <w:lvlJc w:val="left"/>
      <w:pPr>
        <w:ind w:left="2880" w:hanging="360"/>
      </w:pPr>
    </w:lvl>
    <w:lvl w:ilvl="4" w:tplc="D2583986" w:tentative="1">
      <w:start w:val="1"/>
      <w:numFmt w:val="lowerLetter"/>
      <w:lvlText w:val="%5."/>
      <w:lvlJc w:val="left"/>
      <w:pPr>
        <w:ind w:left="3600" w:hanging="360"/>
      </w:pPr>
    </w:lvl>
    <w:lvl w:ilvl="5" w:tplc="541040EC" w:tentative="1">
      <w:start w:val="1"/>
      <w:numFmt w:val="lowerRoman"/>
      <w:lvlText w:val="%6."/>
      <w:lvlJc w:val="right"/>
      <w:pPr>
        <w:ind w:left="4320" w:hanging="180"/>
      </w:pPr>
    </w:lvl>
    <w:lvl w:ilvl="6" w:tplc="13BA20C2" w:tentative="1">
      <w:start w:val="1"/>
      <w:numFmt w:val="decimal"/>
      <w:lvlText w:val="%7."/>
      <w:lvlJc w:val="left"/>
      <w:pPr>
        <w:ind w:left="5040" w:hanging="360"/>
      </w:pPr>
    </w:lvl>
    <w:lvl w:ilvl="7" w:tplc="044C59CE" w:tentative="1">
      <w:start w:val="1"/>
      <w:numFmt w:val="lowerLetter"/>
      <w:lvlText w:val="%8."/>
      <w:lvlJc w:val="left"/>
      <w:pPr>
        <w:ind w:left="5760" w:hanging="360"/>
      </w:pPr>
    </w:lvl>
    <w:lvl w:ilvl="8" w:tplc="95A215AA" w:tentative="1">
      <w:start w:val="1"/>
      <w:numFmt w:val="lowerRoman"/>
      <w:lvlText w:val="%9."/>
      <w:lvlJc w:val="right"/>
      <w:pPr>
        <w:ind w:left="6480" w:hanging="180"/>
      </w:pPr>
    </w:lvl>
  </w:abstractNum>
  <w:num w:numId="1">
    <w:abstractNumId w:val="16"/>
  </w:num>
  <w:num w:numId="2">
    <w:abstractNumId w:val="9"/>
  </w:num>
  <w:num w:numId="3">
    <w:abstractNumId w:val="2"/>
  </w:num>
  <w:num w:numId="4">
    <w:abstractNumId w:val="13"/>
  </w:num>
  <w:num w:numId="5">
    <w:abstractNumId w:val="1"/>
  </w:num>
  <w:num w:numId="6">
    <w:abstractNumId w:val="6"/>
  </w:num>
  <w:num w:numId="7">
    <w:abstractNumId w:val="10"/>
  </w:num>
  <w:num w:numId="8">
    <w:abstractNumId w:val="4"/>
  </w:num>
  <w:num w:numId="9">
    <w:abstractNumId w:val="17"/>
  </w:num>
  <w:num w:numId="10">
    <w:abstractNumId w:val="14"/>
  </w:num>
  <w:num w:numId="11">
    <w:abstractNumId w:val="12"/>
  </w:num>
  <w:num w:numId="12">
    <w:abstractNumId w:val="7"/>
  </w:num>
  <w:num w:numId="13">
    <w:abstractNumId w:val="0"/>
  </w:num>
  <w:num w:numId="14">
    <w:abstractNumId w:val="19"/>
  </w:num>
  <w:num w:numId="15">
    <w:abstractNumId w:val="8"/>
  </w:num>
  <w:num w:numId="16">
    <w:abstractNumId w:val="15"/>
  </w:num>
  <w:num w:numId="17">
    <w:abstractNumId w:val="3"/>
  </w:num>
  <w:num w:numId="18">
    <w:abstractNumId w:val="11"/>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n-NZ"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it-IT" w:vendorID="64" w:dllVersion="6" w:nlCheck="1" w:checkStyle="0"/>
  <w:activeWritingStyle w:appName="MSWord" w:lang="en-NZ"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9B"/>
    <w:rsid w:val="00010B6F"/>
    <w:rsid w:val="00014072"/>
    <w:rsid w:val="0001678A"/>
    <w:rsid w:val="00021580"/>
    <w:rsid w:val="00045105"/>
    <w:rsid w:val="00045CCD"/>
    <w:rsid w:val="00052D2B"/>
    <w:rsid w:val="00063C81"/>
    <w:rsid w:val="00071E22"/>
    <w:rsid w:val="00092BEF"/>
    <w:rsid w:val="00094235"/>
    <w:rsid w:val="000A3096"/>
    <w:rsid w:val="000A59F6"/>
    <w:rsid w:val="000A665B"/>
    <w:rsid w:val="000B284E"/>
    <w:rsid w:val="000D562C"/>
    <w:rsid w:val="000E2E73"/>
    <w:rsid w:val="000E56F3"/>
    <w:rsid w:val="000F34FF"/>
    <w:rsid w:val="000F5476"/>
    <w:rsid w:val="00113ADF"/>
    <w:rsid w:val="001221C2"/>
    <w:rsid w:val="001234ED"/>
    <w:rsid w:val="00127CFB"/>
    <w:rsid w:val="001305E9"/>
    <w:rsid w:val="001472A6"/>
    <w:rsid w:val="00167F35"/>
    <w:rsid w:val="00167FBE"/>
    <w:rsid w:val="00177498"/>
    <w:rsid w:val="00177D8C"/>
    <w:rsid w:val="00186B1A"/>
    <w:rsid w:val="00192E5A"/>
    <w:rsid w:val="0019395B"/>
    <w:rsid w:val="001A0C8D"/>
    <w:rsid w:val="001A4D6F"/>
    <w:rsid w:val="001A5A19"/>
    <w:rsid w:val="001A765B"/>
    <w:rsid w:val="001B3AD7"/>
    <w:rsid w:val="001C2A3C"/>
    <w:rsid w:val="001D44E3"/>
    <w:rsid w:val="001D5564"/>
    <w:rsid w:val="001D786E"/>
    <w:rsid w:val="001D7BF9"/>
    <w:rsid w:val="001E2087"/>
    <w:rsid w:val="001E7AFE"/>
    <w:rsid w:val="001F3CB4"/>
    <w:rsid w:val="002012E2"/>
    <w:rsid w:val="00204BDD"/>
    <w:rsid w:val="00205A38"/>
    <w:rsid w:val="00206E8A"/>
    <w:rsid w:val="00213ABE"/>
    <w:rsid w:val="00233F9C"/>
    <w:rsid w:val="00236EB6"/>
    <w:rsid w:val="002418EA"/>
    <w:rsid w:val="002909E4"/>
    <w:rsid w:val="002A1F00"/>
    <w:rsid w:val="002A47B2"/>
    <w:rsid w:val="002A689B"/>
    <w:rsid w:val="002C40A4"/>
    <w:rsid w:val="002C4EC4"/>
    <w:rsid w:val="002D7F71"/>
    <w:rsid w:val="002E3B0D"/>
    <w:rsid w:val="00302709"/>
    <w:rsid w:val="00311266"/>
    <w:rsid w:val="003117EB"/>
    <w:rsid w:val="0031764D"/>
    <w:rsid w:val="003440E8"/>
    <w:rsid w:val="00345CA5"/>
    <w:rsid w:val="003473D3"/>
    <w:rsid w:val="00356312"/>
    <w:rsid w:val="00356F68"/>
    <w:rsid w:val="003603A7"/>
    <w:rsid w:val="00362475"/>
    <w:rsid w:val="00363C7F"/>
    <w:rsid w:val="003652A0"/>
    <w:rsid w:val="00365A44"/>
    <w:rsid w:val="00365C8B"/>
    <w:rsid w:val="00373C27"/>
    <w:rsid w:val="0037495B"/>
    <w:rsid w:val="003760C0"/>
    <w:rsid w:val="00380B7A"/>
    <w:rsid w:val="003A138D"/>
    <w:rsid w:val="003C5EC9"/>
    <w:rsid w:val="003E4887"/>
    <w:rsid w:val="003E51CC"/>
    <w:rsid w:val="003E5FFE"/>
    <w:rsid w:val="003F3CCC"/>
    <w:rsid w:val="003F4DF6"/>
    <w:rsid w:val="00407592"/>
    <w:rsid w:val="00407719"/>
    <w:rsid w:val="00414D20"/>
    <w:rsid w:val="0044385C"/>
    <w:rsid w:val="00450DAA"/>
    <w:rsid w:val="004667E1"/>
    <w:rsid w:val="004712BE"/>
    <w:rsid w:val="004965A8"/>
    <w:rsid w:val="004A0DFD"/>
    <w:rsid w:val="004A76E1"/>
    <w:rsid w:val="004B0B13"/>
    <w:rsid w:val="004B2E3C"/>
    <w:rsid w:val="004C15CC"/>
    <w:rsid w:val="004D0684"/>
    <w:rsid w:val="004E74F4"/>
    <w:rsid w:val="004F1432"/>
    <w:rsid w:val="004F6C17"/>
    <w:rsid w:val="00501394"/>
    <w:rsid w:val="00506E6A"/>
    <w:rsid w:val="00513230"/>
    <w:rsid w:val="00514534"/>
    <w:rsid w:val="00517995"/>
    <w:rsid w:val="005263E1"/>
    <w:rsid w:val="0054630C"/>
    <w:rsid w:val="0054641B"/>
    <w:rsid w:val="00552476"/>
    <w:rsid w:val="00561FC4"/>
    <w:rsid w:val="0057756E"/>
    <w:rsid w:val="005813E8"/>
    <w:rsid w:val="0058141F"/>
    <w:rsid w:val="005904B8"/>
    <w:rsid w:val="00594C19"/>
    <w:rsid w:val="005A2864"/>
    <w:rsid w:val="005A28CA"/>
    <w:rsid w:val="005A6E8C"/>
    <w:rsid w:val="005B05F2"/>
    <w:rsid w:val="005C5D1D"/>
    <w:rsid w:val="005C7E91"/>
    <w:rsid w:val="005E7D24"/>
    <w:rsid w:val="00601523"/>
    <w:rsid w:val="0060329B"/>
    <w:rsid w:val="00614110"/>
    <w:rsid w:val="00615052"/>
    <w:rsid w:val="00621701"/>
    <w:rsid w:val="0062200E"/>
    <w:rsid w:val="00624397"/>
    <w:rsid w:val="0063078C"/>
    <w:rsid w:val="00631876"/>
    <w:rsid w:val="00644D3D"/>
    <w:rsid w:val="00647400"/>
    <w:rsid w:val="00654C0F"/>
    <w:rsid w:val="00654EB5"/>
    <w:rsid w:val="00666925"/>
    <w:rsid w:val="00670F67"/>
    <w:rsid w:val="006742F0"/>
    <w:rsid w:val="00674CFD"/>
    <w:rsid w:val="006757A5"/>
    <w:rsid w:val="006833ED"/>
    <w:rsid w:val="00693A52"/>
    <w:rsid w:val="006A7913"/>
    <w:rsid w:val="006B75A4"/>
    <w:rsid w:val="006C6D73"/>
    <w:rsid w:val="006C73C2"/>
    <w:rsid w:val="006E1D51"/>
    <w:rsid w:val="006F052E"/>
    <w:rsid w:val="006F4029"/>
    <w:rsid w:val="006F4125"/>
    <w:rsid w:val="00703296"/>
    <w:rsid w:val="00721048"/>
    <w:rsid w:val="007238C9"/>
    <w:rsid w:val="00725777"/>
    <w:rsid w:val="00734472"/>
    <w:rsid w:val="00746C91"/>
    <w:rsid w:val="00747877"/>
    <w:rsid w:val="007556CF"/>
    <w:rsid w:val="007658C4"/>
    <w:rsid w:val="0078780A"/>
    <w:rsid w:val="00795AB2"/>
    <w:rsid w:val="007B0922"/>
    <w:rsid w:val="007B38B4"/>
    <w:rsid w:val="007C0FEE"/>
    <w:rsid w:val="00800DBA"/>
    <w:rsid w:val="00806E80"/>
    <w:rsid w:val="00811FEA"/>
    <w:rsid w:val="00820652"/>
    <w:rsid w:val="008214E7"/>
    <w:rsid w:val="00834C48"/>
    <w:rsid w:val="008457DD"/>
    <w:rsid w:val="00853368"/>
    <w:rsid w:val="00860BA8"/>
    <w:rsid w:val="0086361F"/>
    <w:rsid w:val="008659D0"/>
    <w:rsid w:val="0087549F"/>
    <w:rsid w:val="00875FD7"/>
    <w:rsid w:val="008856BB"/>
    <w:rsid w:val="008903F2"/>
    <w:rsid w:val="008955B6"/>
    <w:rsid w:val="00896CDA"/>
    <w:rsid w:val="008A23BD"/>
    <w:rsid w:val="008D0E3D"/>
    <w:rsid w:val="008D412A"/>
    <w:rsid w:val="008E0232"/>
    <w:rsid w:val="008F2832"/>
    <w:rsid w:val="008F3947"/>
    <w:rsid w:val="00900837"/>
    <w:rsid w:val="00902EBE"/>
    <w:rsid w:val="00903DB9"/>
    <w:rsid w:val="0090573C"/>
    <w:rsid w:val="00926DAE"/>
    <w:rsid w:val="009628BF"/>
    <w:rsid w:val="009A462A"/>
    <w:rsid w:val="009A73C1"/>
    <w:rsid w:val="009B2648"/>
    <w:rsid w:val="009B3628"/>
    <w:rsid w:val="009D112E"/>
    <w:rsid w:val="009E0083"/>
    <w:rsid w:val="009E1B7D"/>
    <w:rsid w:val="009E2B06"/>
    <w:rsid w:val="009E3A75"/>
    <w:rsid w:val="009F3894"/>
    <w:rsid w:val="009F4C5B"/>
    <w:rsid w:val="00A013D9"/>
    <w:rsid w:val="00A01A37"/>
    <w:rsid w:val="00A04381"/>
    <w:rsid w:val="00A12F15"/>
    <w:rsid w:val="00A23B87"/>
    <w:rsid w:val="00A241F6"/>
    <w:rsid w:val="00A32630"/>
    <w:rsid w:val="00A3616E"/>
    <w:rsid w:val="00A363EE"/>
    <w:rsid w:val="00A4304C"/>
    <w:rsid w:val="00A4536D"/>
    <w:rsid w:val="00A4743D"/>
    <w:rsid w:val="00A52FD7"/>
    <w:rsid w:val="00A536D4"/>
    <w:rsid w:val="00A53877"/>
    <w:rsid w:val="00A807D3"/>
    <w:rsid w:val="00A8585F"/>
    <w:rsid w:val="00A8620F"/>
    <w:rsid w:val="00A91CB3"/>
    <w:rsid w:val="00AA60D3"/>
    <w:rsid w:val="00AA7BC6"/>
    <w:rsid w:val="00B02632"/>
    <w:rsid w:val="00B03DB2"/>
    <w:rsid w:val="00B063F6"/>
    <w:rsid w:val="00B10BA0"/>
    <w:rsid w:val="00B1134D"/>
    <w:rsid w:val="00B1498F"/>
    <w:rsid w:val="00B17BA2"/>
    <w:rsid w:val="00B17E03"/>
    <w:rsid w:val="00B20DF9"/>
    <w:rsid w:val="00B25FDD"/>
    <w:rsid w:val="00B47F89"/>
    <w:rsid w:val="00B51201"/>
    <w:rsid w:val="00B51EA7"/>
    <w:rsid w:val="00B620D8"/>
    <w:rsid w:val="00B6313C"/>
    <w:rsid w:val="00B65D51"/>
    <w:rsid w:val="00B72105"/>
    <w:rsid w:val="00B85134"/>
    <w:rsid w:val="00B9039F"/>
    <w:rsid w:val="00B92E5D"/>
    <w:rsid w:val="00B94DA3"/>
    <w:rsid w:val="00BA0878"/>
    <w:rsid w:val="00BA26B4"/>
    <w:rsid w:val="00BB2798"/>
    <w:rsid w:val="00BC211A"/>
    <w:rsid w:val="00BC2E52"/>
    <w:rsid w:val="00BE7DC2"/>
    <w:rsid w:val="00BF2C36"/>
    <w:rsid w:val="00C114D0"/>
    <w:rsid w:val="00C37882"/>
    <w:rsid w:val="00C50BAE"/>
    <w:rsid w:val="00C52610"/>
    <w:rsid w:val="00C568D3"/>
    <w:rsid w:val="00C61D87"/>
    <w:rsid w:val="00C77ED7"/>
    <w:rsid w:val="00C84374"/>
    <w:rsid w:val="00C84D79"/>
    <w:rsid w:val="00C92DFA"/>
    <w:rsid w:val="00C96D3B"/>
    <w:rsid w:val="00C97612"/>
    <w:rsid w:val="00CB6D43"/>
    <w:rsid w:val="00CC6729"/>
    <w:rsid w:val="00CF1AAF"/>
    <w:rsid w:val="00CF3BFF"/>
    <w:rsid w:val="00D128EC"/>
    <w:rsid w:val="00D12B32"/>
    <w:rsid w:val="00D32342"/>
    <w:rsid w:val="00D51AAF"/>
    <w:rsid w:val="00D51D46"/>
    <w:rsid w:val="00D52399"/>
    <w:rsid w:val="00D60EC5"/>
    <w:rsid w:val="00D72360"/>
    <w:rsid w:val="00D96B66"/>
    <w:rsid w:val="00DA4EF8"/>
    <w:rsid w:val="00DB7BBC"/>
    <w:rsid w:val="00DC0440"/>
    <w:rsid w:val="00DC0776"/>
    <w:rsid w:val="00DC5D58"/>
    <w:rsid w:val="00DE388D"/>
    <w:rsid w:val="00DE6865"/>
    <w:rsid w:val="00DF235A"/>
    <w:rsid w:val="00DF2E25"/>
    <w:rsid w:val="00E00D93"/>
    <w:rsid w:val="00E03B3D"/>
    <w:rsid w:val="00E1375F"/>
    <w:rsid w:val="00E2081C"/>
    <w:rsid w:val="00E218C1"/>
    <w:rsid w:val="00E21CCD"/>
    <w:rsid w:val="00E22DDB"/>
    <w:rsid w:val="00E23565"/>
    <w:rsid w:val="00E24A8F"/>
    <w:rsid w:val="00E35467"/>
    <w:rsid w:val="00E4252B"/>
    <w:rsid w:val="00E44B26"/>
    <w:rsid w:val="00E53EE0"/>
    <w:rsid w:val="00E73B96"/>
    <w:rsid w:val="00E76E30"/>
    <w:rsid w:val="00E8439C"/>
    <w:rsid w:val="00EB4129"/>
    <w:rsid w:val="00EC0022"/>
    <w:rsid w:val="00EC5361"/>
    <w:rsid w:val="00ED4096"/>
    <w:rsid w:val="00EE5594"/>
    <w:rsid w:val="00F222DB"/>
    <w:rsid w:val="00F43B7A"/>
    <w:rsid w:val="00F477E2"/>
    <w:rsid w:val="00F5220C"/>
    <w:rsid w:val="00F555BE"/>
    <w:rsid w:val="00F6610D"/>
    <w:rsid w:val="00F90FA1"/>
    <w:rsid w:val="00F93985"/>
    <w:rsid w:val="00F953D1"/>
    <w:rsid w:val="00F95A3D"/>
    <w:rsid w:val="00FB04A6"/>
    <w:rsid w:val="00FC7222"/>
    <w:rsid w:val="00FE67FC"/>
    <w:rsid w:val="00FF2BB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269118"/>
  <w15:docId w15:val="{5A6B33A3-EA53-462A-B65A-054F30F6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NZ" w:eastAsia="en-AU"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ind w:left="360" w:hanging="360"/>
      <w:contextualSpacing/>
      <w:outlineLvl w:val="0"/>
    </w:pPr>
    <w:rPr>
      <w:b/>
    </w:rPr>
  </w:style>
  <w:style w:type="paragraph" w:styleId="Heading2">
    <w:name w:val="heading 2"/>
    <w:basedOn w:val="Normal"/>
    <w:next w:val="Normal"/>
    <w:rsid w:val="00902EBE"/>
    <w:pPr>
      <w:spacing w:before="200"/>
      <w:ind w:left="786" w:hanging="786"/>
      <w:outlineLvl w:val="1"/>
    </w:pPr>
    <w:rPr>
      <w:b/>
    </w:rPr>
  </w:style>
  <w:style w:type="paragraph" w:styleId="Heading3">
    <w:name w:val="heading 3"/>
    <w:basedOn w:val="Normal"/>
    <w:next w:val="Normal"/>
    <w:pPr>
      <w:spacing w:before="200" w:line="271" w:lineRule="auto"/>
      <w:outlineLvl w:val="2"/>
    </w:pPr>
    <w:rPr>
      <w:b/>
    </w:rPr>
  </w:style>
  <w:style w:type="paragraph" w:styleId="Heading4">
    <w:name w:val="heading 4"/>
    <w:basedOn w:val="Normal"/>
    <w:next w:val="Normal"/>
    <w:pPr>
      <w:spacing w:before="200"/>
      <w:outlineLvl w:val="3"/>
    </w:pPr>
    <w:rPr>
      <w:u w:val="single"/>
    </w:rPr>
  </w:style>
  <w:style w:type="paragraph" w:styleId="Heading5">
    <w:name w:val="heading 5"/>
    <w:basedOn w:val="Normal"/>
    <w:next w:val="Normal"/>
    <w:pPr>
      <w:spacing w:before="200"/>
      <w:outlineLvl w:val="4"/>
    </w:pPr>
    <w:rPr>
      <w:i/>
    </w:rPr>
  </w:style>
  <w:style w:type="paragraph" w:styleId="Heading6">
    <w:name w:val="heading 6"/>
    <w:basedOn w:val="Normal"/>
    <w:next w:val="Normal"/>
    <w:pPr>
      <w:spacing w:line="271" w:lineRule="auto"/>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contextualSpacing/>
    </w:pPr>
    <w:rPr>
      <w:rFonts w:ascii="Calibri" w:eastAsia="Calibri" w:hAnsi="Calibri" w:cs="Calibri"/>
      <w:sz w:val="52"/>
      <w:szCs w:val="52"/>
    </w:rPr>
  </w:style>
  <w:style w:type="paragraph" w:styleId="Subtitle">
    <w:name w:val="Subtitle"/>
    <w:basedOn w:val="Normal"/>
    <w:next w:val="Normal"/>
    <w:pPr>
      <w:spacing w:after="600"/>
    </w:pPr>
    <w:rPr>
      <w:rFonts w:ascii="Calibri" w:eastAsia="Calibri" w:hAnsi="Calibri" w:cs="Calibri"/>
      <w:i/>
    </w:rPr>
  </w:style>
  <w:style w:type="table" w:customStyle="1" w:styleId="1">
    <w:name w:val="1"/>
    <w:basedOn w:val="TableNormal"/>
    <w:tblPr>
      <w:tblStyleRowBandSize w:val="1"/>
      <w:tblStyleColBandSize w:val="1"/>
    </w:tblPr>
  </w:style>
  <w:style w:type="paragraph" w:styleId="Header">
    <w:name w:val="header"/>
    <w:basedOn w:val="Normal"/>
    <w:link w:val="HeaderChar"/>
    <w:uiPriority w:val="99"/>
    <w:unhideWhenUsed/>
    <w:rsid w:val="006C73C2"/>
    <w:pPr>
      <w:tabs>
        <w:tab w:val="center" w:pos="4513"/>
        <w:tab w:val="right" w:pos="9026"/>
      </w:tabs>
    </w:pPr>
  </w:style>
  <w:style w:type="character" w:customStyle="1" w:styleId="HeaderChar">
    <w:name w:val="Header Char"/>
    <w:basedOn w:val="DefaultParagraphFont"/>
    <w:link w:val="Header"/>
    <w:uiPriority w:val="99"/>
    <w:rsid w:val="006C73C2"/>
  </w:style>
  <w:style w:type="paragraph" w:styleId="Footer">
    <w:name w:val="footer"/>
    <w:basedOn w:val="Normal"/>
    <w:link w:val="FooterChar"/>
    <w:unhideWhenUsed/>
    <w:rsid w:val="006C73C2"/>
    <w:pPr>
      <w:tabs>
        <w:tab w:val="center" w:pos="4513"/>
        <w:tab w:val="right" w:pos="9026"/>
      </w:tabs>
    </w:pPr>
  </w:style>
  <w:style w:type="character" w:customStyle="1" w:styleId="FooterChar">
    <w:name w:val="Footer Char"/>
    <w:basedOn w:val="DefaultParagraphFont"/>
    <w:link w:val="Footer"/>
    <w:rsid w:val="006C73C2"/>
  </w:style>
  <w:style w:type="paragraph" w:styleId="ListParagraph">
    <w:name w:val="List Paragraph"/>
    <w:basedOn w:val="Normal"/>
    <w:uiPriority w:val="34"/>
    <w:qFormat/>
    <w:rsid w:val="00E21CCD"/>
    <w:pPr>
      <w:ind w:left="720"/>
      <w:contextualSpacing/>
    </w:pPr>
  </w:style>
  <w:style w:type="character" w:styleId="Hyperlink">
    <w:name w:val="Hyperlink"/>
    <w:basedOn w:val="DefaultParagraphFont"/>
    <w:uiPriority w:val="99"/>
    <w:unhideWhenUsed/>
    <w:rsid w:val="00E21CCD"/>
    <w:rPr>
      <w:color w:val="0000FF"/>
      <w:u w:val="single"/>
    </w:rPr>
  </w:style>
  <w:style w:type="paragraph" w:customStyle="1" w:styleId="Default">
    <w:name w:val="Default"/>
    <w:rsid w:val="000E2E7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lang w:val="en-AU"/>
    </w:rPr>
  </w:style>
  <w:style w:type="paragraph" w:styleId="BalloonText">
    <w:name w:val="Balloon Text"/>
    <w:basedOn w:val="Normal"/>
    <w:link w:val="BalloonTextChar"/>
    <w:uiPriority w:val="99"/>
    <w:semiHidden/>
    <w:unhideWhenUsed/>
    <w:rsid w:val="00CC6729"/>
    <w:rPr>
      <w:rFonts w:ascii="Tahoma" w:hAnsi="Tahoma" w:cs="Tahoma"/>
      <w:sz w:val="16"/>
      <w:szCs w:val="16"/>
    </w:rPr>
  </w:style>
  <w:style w:type="character" w:customStyle="1" w:styleId="BalloonTextChar">
    <w:name w:val="Balloon Text Char"/>
    <w:basedOn w:val="DefaultParagraphFont"/>
    <w:link w:val="BalloonText"/>
    <w:uiPriority w:val="99"/>
    <w:semiHidden/>
    <w:rsid w:val="00CC6729"/>
    <w:rPr>
      <w:rFonts w:ascii="Tahoma" w:hAnsi="Tahoma" w:cs="Tahoma"/>
      <w:sz w:val="16"/>
      <w:szCs w:val="16"/>
    </w:rPr>
  </w:style>
  <w:style w:type="table" w:styleId="TableGrid">
    <w:name w:val="Table Grid"/>
    <w:basedOn w:val="TableNormal"/>
    <w:uiPriority w:val="59"/>
    <w:rsid w:val="00513230"/>
    <w:pPr>
      <w:pBdr>
        <w:top w:val="none" w:sz="0" w:space="0" w:color="auto"/>
        <w:left w:val="none" w:sz="0" w:space="0" w:color="auto"/>
        <w:bottom w:val="none" w:sz="0" w:space="0" w:color="auto"/>
        <w:right w:val="none" w:sz="0" w:space="0" w:color="auto"/>
        <w:between w:val="none" w:sz="0" w:space="0" w:color="auto"/>
      </w:pBdr>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DB7BBC"/>
    <w:pPr>
      <w:spacing w:after="200"/>
    </w:pPr>
    <w:rPr>
      <w:iCs/>
      <w:color w:val="auto"/>
      <w:sz w:val="22"/>
      <w:szCs w:val="18"/>
    </w:rPr>
  </w:style>
  <w:style w:type="character" w:styleId="CommentReference">
    <w:name w:val="annotation reference"/>
    <w:aliases w:val="Annotationmark"/>
    <w:basedOn w:val="DefaultParagraphFont"/>
    <w:unhideWhenUsed/>
    <w:rsid w:val="00C97612"/>
    <w:rPr>
      <w:sz w:val="16"/>
      <w:szCs w:val="16"/>
    </w:rPr>
  </w:style>
  <w:style w:type="paragraph" w:styleId="CommentText">
    <w:name w:val="annotation text"/>
    <w:basedOn w:val="Normal"/>
    <w:link w:val="CommentTextChar"/>
    <w:uiPriority w:val="99"/>
    <w:unhideWhenUsed/>
    <w:rsid w:val="00C97612"/>
    <w:rPr>
      <w:sz w:val="20"/>
      <w:szCs w:val="20"/>
    </w:rPr>
  </w:style>
  <w:style w:type="character" w:customStyle="1" w:styleId="CommentTextChar">
    <w:name w:val="Comment Text Char"/>
    <w:basedOn w:val="DefaultParagraphFont"/>
    <w:link w:val="CommentText"/>
    <w:uiPriority w:val="99"/>
    <w:rsid w:val="00C97612"/>
    <w:rPr>
      <w:sz w:val="20"/>
      <w:szCs w:val="20"/>
    </w:rPr>
  </w:style>
  <w:style w:type="paragraph" w:styleId="CommentSubject">
    <w:name w:val="annotation subject"/>
    <w:basedOn w:val="CommentText"/>
    <w:next w:val="CommentText"/>
    <w:link w:val="CommentSubjectChar"/>
    <w:uiPriority w:val="99"/>
    <w:semiHidden/>
    <w:unhideWhenUsed/>
    <w:rsid w:val="00C97612"/>
    <w:rPr>
      <w:b/>
      <w:bCs/>
    </w:rPr>
  </w:style>
  <w:style w:type="character" w:customStyle="1" w:styleId="CommentSubjectChar">
    <w:name w:val="Comment Subject Char"/>
    <w:basedOn w:val="CommentTextChar"/>
    <w:link w:val="CommentSubject"/>
    <w:uiPriority w:val="99"/>
    <w:semiHidden/>
    <w:rsid w:val="00C97612"/>
    <w:rPr>
      <w:b/>
      <w:bCs/>
      <w:sz w:val="20"/>
      <w:szCs w:val="20"/>
    </w:rPr>
  </w:style>
  <w:style w:type="paragraph" w:customStyle="1" w:styleId="Paragraph">
    <w:name w:val="Paragraph"/>
    <w:basedOn w:val="Normal"/>
    <w:link w:val="ParagraphChar"/>
    <w:qFormat/>
    <w:rsid w:val="00875FD7"/>
    <w:pPr>
      <w:pBdr>
        <w:top w:val="none" w:sz="0" w:space="0" w:color="auto"/>
        <w:left w:val="none" w:sz="0" w:space="0" w:color="auto"/>
        <w:bottom w:val="none" w:sz="0" w:space="0" w:color="auto"/>
        <w:right w:val="none" w:sz="0" w:space="0" w:color="auto"/>
        <w:between w:val="none" w:sz="0" w:space="0" w:color="auto"/>
      </w:pBdr>
      <w:spacing w:after="250" w:line="300" w:lineRule="atLeast"/>
    </w:pPr>
    <w:rPr>
      <w:color w:val="auto"/>
      <w:sz w:val="22"/>
      <w:lang w:val="en-US" w:eastAsia="en-US"/>
    </w:rPr>
  </w:style>
  <w:style w:type="character" w:customStyle="1" w:styleId="ParagraphChar">
    <w:name w:val="Paragraph Char"/>
    <w:link w:val="Paragraph"/>
    <w:rsid w:val="00875FD7"/>
    <w:rPr>
      <w:color w:val="auto"/>
      <w:sz w:val="22"/>
      <w:lang w:val="en-US" w:eastAsia="en-US"/>
    </w:rPr>
  </w:style>
  <w:style w:type="paragraph" w:styleId="NormalWeb">
    <w:name w:val="Normal (Web)"/>
    <w:basedOn w:val="Normal"/>
    <w:uiPriority w:val="99"/>
    <w:unhideWhenUsed/>
    <w:rsid w:val="00DC077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lang w:val="en-GB" w:eastAsia="en-US"/>
    </w:rPr>
  </w:style>
  <w:style w:type="character" w:customStyle="1" w:styleId="apple-tab-span">
    <w:name w:val="apple-tab-span"/>
    <w:rsid w:val="00DE388D"/>
  </w:style>
  <w:style w:type="paragraph" w:customStyle="1" w:styleId="SynopsisText">
    <w:name w:val="Synopsis Text"/>
    <w:basedOn w:val="Normal"/>
    <w:link w:val="SynopsisTextChar"/>
    <w:rsid w:val="00B65D51"/>
    <w:pPr>
      <w:pBdr>
        <w:top w:val="none" w:sz="0" w:space="0" w:color="auto"/>
        <w:left w:val="none" w:sz="0" w:space="0" w:color="auto"/>
        <w:bottom w:val="none" w:sz="0" w:space="0" w:color="auto"/>
        <w:right w:val="none" w:sz="0" w:space="0" w:color="auto"/>
        <w:between w:val="none" w:sz="0" w:space="0" w:color="auto"/>
      </w:pBdr>
      <w:spacing w:after="60" w:line="220" w:lineRule="exact"/>
      <w:ind w:left="72" w:right="72"/>
    </w:pPr>
    <w:rPr>
      <w:color w:val="auto"/>
      <w:sz w:val="20"/>
      <w:lang w:val="en-US" w:eastAsia="en-US"/>
    </w:rPr>
  </w:style>
  <w:style w:type="character" w:customStyle="1" w:styleId="SynopsisTextChar">
    <w:name w:val="Synopsis Text Char"/>
    <w:link w:val="SynopsisText"/>
    <w:rsid w:val="00B65D51"/>
    <w:rPr>
      <w:color w:val="auto"/>
      <w:sz w:val="20"/>
      <w:lang w:val="en-US" w:eastAsia="en-US"/>
    </w:rPr>
  </w:style>
  <w:style w:type="paragraph" w:customStyle="1" w:styleId="TextTi12">
    <w:name w:val="Text:Ti12"/>
    <w:basedOn w:val="Normal"/>
    <w:link w:val="TextTi12Char"/>
    <w:rsid w:val="00B9039F"/>
    <w:pPr>
      <w:pBdr>
        <w:top w:val="none" w:sz="0" w:space="0" w:color="auto"/>
        <w:left w:val="none" w:sz="0" w:space="0" w:color="auto"/>
        <w:bottom w:val="none" w:sz="0" w:space="0" w:color="auto"/>
        <w:right w:val="none" w:sz="0" w:space="0" w:color="auto"/>
        <w:between w:val="none" w:sz="0" w:space="0" w:color="auto"/>
      </w:pBdr>
      <w:spacing w:after="170" w:line="280" w:lineRule="atLeast"/>
      <w:jc w:val="both"/>
    </w:pPr>
    <w:rPr>
      <w:color w:val="auto"/>
      <w:lang w:val="en-US" w:eastAsia="de-DE"/>
    </w:rPr>
  </w:style>
  <w:style w:type="character" w:customStyle="1" w:styleId="TextTi12Char">
    <w:name w:val="Text:Ti12 Char"/>
    <w:link w:val="TextTi12"/>
    <w:rsid w:val="00B9039F"/>
    <w:rPr>
      <w:color w:val="auto"/>
      <w:lang w:val="en-US" w:eastAsia="de-DE"/>
    </w:rPr>
  </w:style>
  <w:style w:type="paragraph" w:styleId="ListNumber">
    <w:name w:val="List Number"/>
    <w:basedOn w:val="Normal"/>
    <w:rsid w:val="00621701"/>
    <w:pPr>
      <w:numPr>
        <w:numId w:val="13"/>
      </w:numPr>
      <w:pBdr>
        <w:top w:val="none" w:sz="0" w:space="0" w:color="auto"/>
        <w:left w:val="none" w:sz="0" w:space="0" w:color="auto"/>
        <w:bottom w:val="none" w:sz="0" w:space="0" w:color="auto"/>
        <w:right w:val="none" w:sz="0" w:space="0" w:color="auto"/>
        <w:between w:val="none" w:sz="0" w:space="0" w:color="auto"/>
      </w:pBdr>
      <w:spacing w:after="100" w:line="280" w:lineRule="atLeast"/>
    </w:pPr>
    <w:rPr>
      <w:rFonts w:ascii="Arial" w:eastAsia="SimSun" w:hAnsi="Arial"/>
      <w:color w:val="auto"/>
      <w:sz w:val="22"/>
      <w:lang w:val="en-US" w:eastAsia="zh-CN"/>
    </w:rPr>
  </w:style>
  <w:style w:type="paragraph" w:customStyle="1" w:styleId="TabFigNote">
    <w:name w:val="TabFig Note"/>
    <w:basedOn w:val="Normal"/>
    <w:rsid w:val="00621701"/>
    <w:pPr>
      <w:keepNext/>
      <w:keepLines/>
      <w:pBdr>
        <w:top w:val="none" w:sz="0" w:space="0" w:color="auto"/>
        <w:left w:val="none" w:sz="0" w:space="0" w:color="auto"/>
        <w:bottom w:val="none" w:sz="0" w:space="0" w:color="auto"/>
        <w:right w:val="none" w:sz="0" w:space="0" w:color="auto"/>
        <w:between w:val="none" w:sz="0" w:space="0" w:color="auto"/>
      </w:pBdr>
      <w:spacing w:before="40" w:line="240" w:lineRule="exact"/>
      <w:ind w:left="29"/>
    </w:pPr>
    <w:rPr>
      <w:rFonts w:ascii="Arial" w:eastAsia="SimSun" w:hAnsi="Arial"/>
      <w:color w:val="auto"/>
      <w:sz w:val="20"/>
      <w:lang w:val="en-US" w:eastAsia="zh-CN"/>
    </w:rPr>
  </w:style>
  <w:style w:type="paragraph" w:styleId="Date">
    <w:name w:val="Date"/>
    <w:basedOn w:val="Normal"/>
    <w:next w:val="Normal"/>
    <w:link w:val="DateChar"/>
    <w:uiPriority w:val="99"/>
    <w:semiHidden/>
    <w:unhideWhenUsed/>
    <w:rsid w:val="00E35467"/>
  </w:style>
  <w:style w:type="character" w:customStyle="1" w:styleId="DateChar">
    <w:name w:val="Date Char"/>
    <w:basedOn w:val="DefaultParagraphFont"/>
    <w:link w:val="Date"/>
    <w:uiPriority w:val="99"/>
    <w:semiHidden/>
    <w:rsid w:val="00E3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334">
      <w:bodyDiv w:val="1"/>
      <w:marLeft w:val="0"/>
      <w:marRight w:val="0"/>
      <w:marTop w:val="0"/>
      <w:marBottom w:val="0"/>
      <w:divBdr>
        <w:top w:val="none" w:sz="0" w:space="0" w:color="auto"/>
        <w:left w:val="none" w:sz="0" w:space="0" w:color="auto"/>
        <w:bottom w:val="none" w:sz="0" w:space="0" w:color="auto"/>
        <w:right w:val="none" w:sz="0" w:space="0" w:color="auto"/>
      </w:divBdr>
    </w:div>
    <w:div w:id="391928215">
      <w:bodyDiv w:val="1"/>
      <w:marLeft w:val="0"/>
      <w:marRight w:val="0"/>
      <w:marTop w:val="0"/>
      <w:marBottom w:val="0"/>
      <w:divBdr>
        <w:top w:val="none" w:sz="0" w:space="0" w:color="auto"/>
        <w:left w:val="none" w:sz="0" w:space="0" w:color="auto"/>
        <w:bottom w:val="none" w:sz="0" w:space="0" w:color="auto"/>
        <w:right w:val="none" w:sz="0" w:space="0" w:color="auto"/>
      </w:divBdr>
    </w:div>
    <w:div w:id="506405403">
      <w:bodyDiv w:val="1"/>
      <w:marLeft w:val="0"/>
      <w:marRight w:val="0"/>
      <w:marTop w:val="0"/>
      <w:marBottom w:val="0"/>
      <w:divBdr>
        <w:top w:val="none" w:sz="0" w:space="0" w:color="auto"/>
        <w:left w:val="none" w:sz="0" w:space="0" w:color="auto"/>
        <w:bottom w:val="none" w:sz="0" w:space="0" w:color="auto"/>
        <w:right w:val="none" w:sz="0" w:space="0" w:color="auto"/>
      </w:divBdr>
    </w:div>
    <w:div w:id="530922535">
      <w:bodyDiv w:val="1"/>
      <w:marLeft w:val="0"/>
      <w:marRight w:val="0"/>
      <w:marTop w:val="0"/>
      <w:marBottom w:val="0"/>
      <w:divBdr>
        <w:top w:val="none" w:sz="0" w:space="0" w:color="auto"/>
        <w:left w:val="none" w:sz="0" w:space="0" w:color="auto"/>
        <w:bottom w:val="none" w:sz="0" w:space="0" w:color="auto"/>
        <w:right w:val="none" w:sz="0" w:space="0" w:color="auto"/>
      </w:divBdr>
    </w:div>
    <w:div w:id="1253582487">
      <w:bodyDiv w:val="1"/>
      <w:marLeft w:val="0"/>
      <w:marRight w:val="0"/>
      <w:marTop w:val="0"/>
      <w:marBottom w:val="0"/>
      <w:divBdr>
        <w:top w:val="none" w:sz="0" w:space="0" w:color="auto"/>
        <w:left w:val="none" w:sz="0" w:space="0" w:color="auto"/>
        <w:bottom w:val="none" w:sz="0" w:space="0" w:color="auto"/>
        <w:right w:val="none" w:sz="0" w:space="0" w:color="auto"/>
      </w:divBdr>
    </w:div>
    <w:div w:id="1260866439">
      <w:bodyDiv w:val="1"/>
      <w:marLeft w:val="0"/>
      <w:marRight w:val="0"/>
      <w:marTop w:val="0"/>
      <w:marBottom w:val="0"/>
      <w:divBdr>
        <w:top w:val="none" w:sz="0" w:space="0" w:color="auto"/>
        <w:left w:val="none" w:sz="0" w:space="0" w:color="auto"/>
        <w:bottom w:val="none" w:sz="0" w:space="0" w:color="auto"/>
        <w:right w:val="none" w:sz="0" w:space="0" w:color="auto"/>
      </w:divBdr>
    </w:div>
    <w:div w:id="1881622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porting-problems" TargetMode="External"/><Relationship Id="rId13" Type="http://schemas.openxmlformats.org/officeDocument/2006/relationships/hyperlink" Target="http://www.tga.gov.au/reporting-problem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RegANZ\Templates\Product%20Information\Data%20Sheet%20and%20Product%20Information%20(DSPI)%20Template-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E83A9-98B5-4D37-82E3-9C9FC4CAA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 Sheet and Product Information (DSPI) Template-v5.dotx</Template>
  <TotalTime>9</TotalTime>
  <Pages>24</Pages>
  <Words>7348</Words>
  <Characters>40931</Characters>
  <Application>Microsoft Office Word</Application>
  <DocSecurity>0</DocSecurity>
  <Lines>787</Lines>
  <Paragraphs>365</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47914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Vabysmo</dc:title>
  <dc:subject>prescription medicines</dc:subject>
  <dc:creator>F. Hoffmann-La Roche, Ltd.</dc:creator>
  <cp:lastModifiedBy>LACK, Janet</cp:lastModifiedBy>
  <cp:revision>3</cp:revision>
  <cp:lastPrinted>2022-08-09T03:18:00Z</cp:lastPrinted>
  <dcterms:created xsi:type="dcterms:W3CDTF">2023-03-29T21:50:00Z</dcterms:created>
  <dcterms:modified xsi:type="dcterms:W3CDTF">2023-03-29T22:20:00Z</dcterms:modified>
</cp:coreProperties>
</file>