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ink/ink1.xml" ContentType="application/inkml+xml"/>
  <Override PartName="/word/ink/ink2.xml" ContentType="application/inkml+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margin" w:tblpY="9863"/>
        <w:tblOverlap w:val="never"/>
        <w:tblW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tblGrid>
      <w:tr w:rsidR="008E7846" w:rsidRPr="00487162" w14:paraId="45454214" w14:textId="77777777" w:rsidTr="00BF1190">
        <w:trPr>
          <w:trHeight w:val="1863"/>
        </w:trPr>
        <w:tc>
          <w:tcPr>
            <w:tcW w:w="3652" w:type="dxa"/>
            <w:tcBorders>
              <w:top w:val="nil"/>
              <w:left w:val="nil"/>
              <w:bottom w:val="nil"/>
              <w:right w:val="nil"/>
            </w:tcBorders>
          </w:tcPr>
          <w:p w14:paraId="60C01DD4" w14:textId="3762EC51" w:rsidR="008E7846" w:rsidRPr="00096AA7" w:rsidRDefault="00D056E5" w:rsidP="00096AA7">
            <w:pPr>
              <w:rPr>
                <w:rFonts w:ascii="Arial" w:hAnsi="Arial" w:cs="Arial"/>
                <w:b/>
                <w:color w:val="002C47"/>
                <w:sz w:val="36"/>
                <w:szCs w:val="36"/>
              </w:rPr>
            </w:pPr>
            <w:r>
              <w:rPr>
                <w:rFonts w:ascii="Arial" w:hAnsi="Arial" w:cs="Arial"/>
                <w:b/>
                <w:color w:val="002C47"/>
                <w:sz w:val="36"/>
                <w:szCs w:val="36"/>
              </w:rPr>
              <w:t xml:space="preserve">March </w:t>
            </w:r>
            <w:r w:rsidR="006B34A1">
              <w:rPr>
                <w:rFonts w:ascii="Arial" w:hAnsi="Arial" w:cs="Arial"/>
                <w:b/>
                <w:color w:val="002C47"/>
                <w:sz w:val="36"/>
                <w:szCs w:val="36"/>
              </w:rPr>
              <w:t>202</w:t>
            </w:r>
            <w:r w:rsidR="00443C50">
              <w:rPr>
                <w:rFonts w:ascii="Arial" w:hAnsi="Arial" w:cs="Arial"/>
                <w:b/>
                <w:color w:val="002C47"/>
                <w:sz w:val="36"/>
                <w:szCs w:val="36"/>
              </w:rPr>
              <w:t>3</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14:paraId="0F374C8F" w14:textId="77777777" w:rsidTr="0032583B">
        <w:trPr>
          <w:trHeight w:val="868"/>
        </w:trPr>
        <w:tc>
          <w:tcPr>
            <w:tcW w:w="9079" w:type="dxa"/>
          </w:tcPr>
          <w:p w14:paraId="0D04E0F8" w14:textId="00E1C392" w:rsidR="0032583B" w:rsidRPr="00A964D1" w:rsidRDefault="0032583B" w:rsidP="006B34A1">
            <w:pPr>
              <w:pStyle w:val="Title"/>
              <w:rPr>
                <w:color w:val="FFFFFF" w:themeColor="background1"/>
              </w:rPr>
            </w:pPr>
            <w:r w:rsidRPr="00A964D1">
              <w:rPr>
                <w:color w:val="FFFFFF" w:themeColor="background1"/>
              </w:rPr>
              <w:t>Australian Public Assessment Report for</w:t>
            </w:r>
            <w:r w:rsidR="00AF2313">
              <w:rPr>
                <w:color w:val="FFFFFF" w:themeColor="background1"/>
              </w:rPr>
              <w:t xml:space="preserve"> </w:t>
            </w:r>
            <w:r w:rsidR="006B34A1">
              <w:rPr>
                <w:color w:val="FFFFFF" w:themeColor="background1"/>
              </w:rPr>
              <w:t>Rinvoq</w:t>
            </w:r>
          </w:p>
        </w:tc>
      </w:tr>
      <w:tr w:rsidR="0032583B" w:rsidRPr="00B64760" w14:paraId="019968A5" w14:textId="77777777" w:rsidTr="0032583B">
        <w:tc>
          <w:tcPr>
            <w:tcW w:w="9079" w:type="dxa"/>
          </w:tcPr>
          <w:p w14:paraId="5780C1D8" w14:textId="05690A6D" w:rsidR="0032583B" w:rsidRPr="008E7846" w:rsidRDefault="00443C50" w:rsidP="006B34A1">
            <w:pPr>
              <w:pStyle w:val="Subtitle"/>
              <w:rPr>
                <w:color w:val="FFFFFF" w:themeColor="background1"/>
              </w:rPr>
            </w:pPr>
            <w:r>
              <w:rPr>
                <w:color w:val="FFFFFF" w:themeColor="background1"/>
              </w:rPr>
              <w:t>Active ingredient</w:t>
            </w:r>
            <w:r w:rsidR="006B34A1">
              <w:rPr>
                <w:color w:val="FFFFFF" w:themeColor="background1"/>
              </w:rPr>
              <w:t>:</w:t>
            </w:r>
            <w:r w:rsidR="005D7175" w:rsidRPr="001D0072">
              <w:rPr>
                <w:color w:val="FFFFFF" w:themeColor="background1"/>
              </w:rPr>
              <w:t xml:space="preserve"> </w:t>
            </w:r>
            <w:r w:rsidR="001D0072">
              <w:rPr>
                <w:color w:val="FFFFFF" w:themeColor="background1"/>
              </w:rPr>
              <w:t>U</w:t>
            </w:r>
            <w:r w:rsidR="005D7175" w:rsidRPr="00443C50">
              <w:rPr>
                <w:color w:val="FFFFFF" w:themeColor="background1"/>
              </w:rPr>
              <w:t>padacitinib</w:t>
            </w:r>
          </w:p>
        </w:tc>
      </w:tr>
      <w:tr w:rsidR="0032583B" w:rsidRPr="00B64760" w14:paraId="1F1B92B2" w14:textId="77777777" w:rsidTr="0032583B">
        <w:trPr>
          <w:trHeight w:val="486"/>
        </w:trPr>
        <w:tc>
          <w:tcPr>
            <w:tcW w:w="9079" w:type="dxa"/>
          </w:tcPr>
          <w:p w14:paraId="75502801" w14:textId="0E25510E" w:rsidR="0032583B" w:rsidRPr="008E7846" w:rsidRDefault="006B34A1" w:rsidP="00443C50">
            <w:pPr>
              <w:pStyle w:val="Subtitle"/>
              <w:rPr>
                <w:color w:val="FFFFFF" w:themeColor="background1"/>
              </w:rPr>
            </w:pPr>
            <w:r>
              <w:rPr>
                <w:color w:val="FFFFFF" w:themeColor="background1"/>
              </w:rPr>
              <w:t xml:space="preserve">Sponsor: </w:t>
            </w:r>
            <w:r w:rsidR="00D55544">
              <w:rPr>
                <w:color w:val="FFFFFF" w:themeColor="background1"/>
              </w:rPr>
              <w:t>AbbVie</w:t>
            </w:r>
            <w:r>
              <w:rPr>
                <w:color w:val="FFFFFF" w:themeColor="background1"/>
              </w:rPr>
              <w:t xml:space="preserve"> Pty Ltd</w:t>
            </w:r>
          </w:p>
        </w:tc>
      </w:tr>
    </w:tbl>
    <w:p w14:paraId="7FD77E11" w14:textId="77777777" w:rsidR="008E7846" w:rsidRPr="0085156D" w:rsidRDefault="008E7846" w:rsidP="0085156D">
      <w:r w:rsidRPr="0085156D">
        <w:br w:type="page"/>
      </w:r>
    </w:p>
    <w:p w14:paraId="090C565A" w14:textId="77777777" w:rsidR="008E7846" w:rsidRPr="001F6CBA" w:rsidRDefault="008E7846" w:rsidP="008E7846">
      <w:pPr>
        <w:pStyle w:val="NonTOCHeading2"/>
      </w:pPr>
      <w:r w:rsidRPr="001F6CBA">
        <w:lastRenderedPageBreak/>
        <w:t>About the Therapeutic Goods Administration (TGA)</w:t>
      </w:r>
    </w:p>
    <w:p w14:paraId="5C486BCC" w14:textId="77777777" w:rsidR="00AF2313" w:rsidRPr="00391B0C" w:rsidRDefault="00AF2313" w:rsidP="00AF2313">
      <w:pPr>
        <w:pStyle w:val="ListBullet"/>
      </w:pPr>
      <w:r w:rsidRPr="00391B0C">
        <w:t>The Therapeutic Goods Administration (TGA) is part of the Australian Government Department of Health and is responsible for regulating therapeutic goods, including medicines, medical devices, and biologicals.</w:t>
      </w:r>
    </w:p>
    <w:p w14:paraId="615C67DE" w14:textId="3E19FB51" w:rsidR="00AF2313" w:rsidRPr="00391B0C" w:rsidRDefault="00AF2313" w:rsidP="00AF2313">
      <w:pPr>
        <w:pStyle w:val="ListBullet"/>
      </w:pPr>
      <w:r w:rsidRPr="00391B0C">
        <w:t xml:space="preserve">The TGA administers the </w:t>
      </w:r>
      <w:r w:rsidRPr="00822FCB">
        <w:rPr>
          <w:i/>
          <w:iCs/>
        </w:rPr>
        <w:t>Therapeutic Goods Act 1989</w:t>
      </w:r>
      <w:r w:rsidRPr="00391B0C">
        <w:t xml:space="preserve"> (the Act), applying a risk management approach designed to ensure therapeutic goods supplied in Australia meet acceptable standards of quality, </w:t>
      </w:r>
      <w:r w:rsidR="00CC5044" w:rsidRPr="00391B0C">
        <w:t>safety,</w:t>
      </w:r>
      <w:r w:rsidRPr="00391B0C">
        <w:t xml:space="preserve"> and efficacy.</w:t>
      </w:r>
    </w:p>
    <w:p w14:paraId="3109AC08" w14:textId="77777777" w:rsidR="00AF2313" w:rsidRPr="003C6D1F" w:rsidRDefault="00AF2313" w:rsidP="00AF2313">
      <w:pPr>
        <w:pStyle w:val="ListBullet"/>
      </w:pPr>
      <w:r w:rsidRPr="003C6D1F">
        <w:t xml:space="preserve">The work of the TGA is based on applying scientific and clinical expertise to decision-making, to ensure that the benefits to </w:t>
      </w:r>
      <w:r>
        <w:t>the Australian public</w:t>
      </w:r>
      <w:r w:rsidRPr="003C6D1F">
        <w:t xml:space="preserve"> outweigh any risks associated with the use of </w:t>
      </w:r>
      <w:r>
        <w:t>therapeutic goods</w:t>
      </w:r>
      <w:r w:rsidRPr="003C6D1F">
        <w:t>.</w:t>
      </w:r>
    </w:p>
    <w:p w14:paraId="5B197676" w14:textId="77777777" w:rsidR="00AF2313" w:rsidRPr="003C6D1F" w:rsidRDefault="00AF2313" w:rsidP="00AF2313">
      <w:pPr>
        <w:pStyle w:val="ListBullet"/>
      </w:pPr>
      <w:r w:rsidRPr="003C6D1F">
        <w:t xml:space="preserve">The TGA relies on the public, healthcare professionals and industry to report problems with </w:t>
      </w:r>
      <w:r>
        <w:t>therapeutic goods</w:t>
      </w:r>
      <w:r w:rsidRPr="003C6D1F">
        <w:t>.</w:t>
      </w:r>
      <w:r>
        <w:t xml:space="preserve"> The</w:t>
      </w:r>
      <w:r w:rsidRPr="003C6D1F">
        <w:t xml:space="preserve"> TGA investigates reports received to determine any necessary regulatory action.</w:t>
      </w:r>
    </w:p>
    <w:p w14:paraId="7AE2789C" w14:textId="5FD6A0AD" w:rsidR="00AF2313" w:rsidRDefault="00AF2313" w:rsidP="00AF2313">
      <w:pPr>
        <w:pStyle w:val="ListBullet"/>
      </w:pPr>
      <w:r w:rsidRPr="003C6D1F">
        <w:t xml:space="preserve">To report a problem with a </w:t>
      </w:r>
      <w:r>
        <w:t>therapeutic good</w:t>
      </w:r>
      <w:r w:rsidRPr="003C6D1F">
        <w:t xml:space="preserve">, please see the information on the </w:t>
      </w:r>
      <w:hyperlink r:id="rId8" w:history="1">
        <w:r w:rsidRPr="000F15B4">
          <w:rPr>
            <w:rStyle w:val="Hyperlink"/>
          </w:rPr>
          <w:t>TGA website</w:t>
        </w:r>
      </w:hyperlink>
      <w:r w:rsidRPr="003C6D1F">
        <w:t>.</w:t>
      </w:r>
    </w:p>
    <w:p w14:paraId="24A6ABFB" w14:textId="77777777" w:rsidR="008E7846" w:rsidRDefault="008E7846" w:rsidP="00875A6B">
      <w:pPr>
        <w:pStyle w:val="NonTOCHeading2"/>
      </w:pPr>
      <w:r>
        <w:t>About AusPARs</w:t>
      </w:r>
    </w:p>
    <w:p w14:paraId="3AC51836" w14:textId="47DF04A8" w:rsidR="00AF2313" w:rsidRPr="003C6D1F" w:rsidRDefault="00AF2313" w:rsidP="00AF2313">
      <w:pPr>
        <w:pStyle w:val="ListBullet"/>
      </w:pPr>
      <w:r>
        <w:t>The</w:t>
      </w:r>
      <w:r w:rsidRPr="003C6D1F">
        <w:t xml:space="preserve"> Australian Public Assessment Report (AusPAR) provides information about the evaluation of a prescription medicine and the considerations that led the TGA to approve or not approve a prescription medicine submission.</w:t>
      </w:r>
      <w:r>
        <w:t xml:space="preserve"> Further information can be found in </w:t>
      </w:r>
      <w:hyperlink r:id="rId9" w:history="1">
        <w:r w:rsidRPr="005A2EB8">
          <w:rPr>
            <w:rStyle w:val="Hyperlink"/>
          </w:rPr>
          <w:t>Australian Public Assessment Report (AusPAR) guidance</w:t>
        </w:r>
      </w:hyperlink>
      <w:r>
        <w:t>.</w:t>
      </w:r>
    </w:p>
    <w:p w14:paraId="363EABB4" w14:textId="77777777" w:rsidR="00AF2313" w:rsidRPr="003C6D1F" w:rsidRDefault="00AF2313" w:rsidP="00AF2313">
      <w:pPr>
        <w:pStyle w:val="ListBullet"/>
      </w:pPr>
      <w:r w:rsidRPr="003C6D1F">
        <w:t>AusPARs are prepared and published by the TGA.</w:t>
      </w:r>
    </w:p>
    <w:p w14:paraId="1D4DFB4C" w14:textId="1A1EA017" w:rsidR="00AF2313" w:rsidRPr="003C6D1F" w:rsidRDefault="00AF2313" w:rsidP="00AF2313">
      <w:pPr>
        <w:pStyle w:val="ListBullet"/>
      </w:pPr>
      <w:r w:rsidRPr="003C6D1F">
        <w:t>AusPAR</w:t>
      </w:r>
      <w:r>
        <w:t xml:space="preserve">s are </w:t>
      </w:r>
      <w:r w:rsidRPr="003C6D1F">
        <w:t>static document</w:t>
      </w:r>
      <w:r>
        <w:t xml:space="preserve">s that </w:t>
      </w:r>
      <w:r w:rsidRPr="003C6D1F">
        <w:t>provide information that relates to a submission at a particular point in time.</w:t>
      </w:r>
      <w:r w:rsidR="008110BC">
        <w:t xml:space="preserve"> The publication of an AusPAR is an important part of the transparency of the TGA’s decision-making process.</w:t>
      </w:r>
    </w:p>
    <w:p w14:paraId="53AE6375" w14:textId="77777777" w:rsidR="00AF2313" w:rsidRPr="003C6D1F" w:rsidRDefault="00AF2313" w:rsidP="00AF2313">
      <w:pPr>
        <w:pStyle w:val="ListBullet"/>
      </w:pPr>
      <w:r w:rsidRPr="003C6D1F">
        <w:t xml:space="preserve">A new AusPAR </w:t>
      </w:r>
      <w:r>
        <w:t xml:space="preserve">may be provided </w:t>
      </w:r>
      <w:r w:rsidRPr="003C6D1F">
        <w:t>to reflect changes to indications or major variations to a prescription medicine subject to evaluation by the TGA.</w:t>
      </w:r>
    </w:p>
    <w:p w14:paraId="5ADB5B20" w14:textId="77777777" w:rsidR="00924482" w:rsidRPr="00DF1D7F" w:rsidRDefault="00924482" w:rsidP="00F54B65">
      <w:pPr>
        <w:pStyle w:val="LegalSubheading"/>
        <w:spacing w:before="3120"/>
      </w:pPr>
      <w:r w:rsidRPr="00DF1D7F">
        <w:t>Copyright</w:t>
      </w:r>
    </w:p>
    <w:p w14:paraId="2C43B870" w14:textId="51C28BE1" w:rsidR="00924482" w:rsidRDefault="00924482" w:rsidP="00924482">
      <w:pPr>
        <w:pStyle w:val="LegalCopy"/>
      </w:pPr>
      <w:r w:rsidRPr="00191B3B">
        <w:rPr>
          <w:rFonts w:cs="Arial"/>
          <w:lang w:val="en-GB"/>
        </w:rPr>
        <w:t>© Comm</w:t>
      </w:r>
      <w:r>
        <w:rPr>
          <w:rFonts w:cs="Arial"/>
          <w:lang w:val="en-GB"/>
        </w:rPr>
        <w:t>onwealth of Australia 20</w:t>
      </w:r>
      <w:r w:rsidR="00460036">
        <w:rPr>
          <w:rFonts w:cs="Arial"/>
          <w:lang w:val="en-GB"/>
        </w:rPr>
        <w:t>2</w:t>
      </w:r>
      <w:r w:rsidR="00443C50">
        <w:rPr>
          <w:rFonts w:cs="Arial"/>
          <w:lang w:val="en-GB"/>
        </w:rPr>
        <w:t>3</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0" w:history="1">
        <w:r w:rsidRPr="00191B3B">
          <w:rPr>
            <w:rStyle w:val="Hyperlink"/>
            <w:rFonts w:cs="Arial"/>
            <w:lang w:val="en-GB"/>
          </w:rPr>
          <w:t>tga.copyright@tga.gov.au</w:t>
        </w:r>
      </w:hyperlink>
      <w:r w:rsidRPr="00191B3B">
        <w:rPr>
          <w:rFonts w:cs="Arial"/>
        </w:rPr>
        <w:t>&gt;.</w:t>
      </w:r>
    </w:p>
    <w:p w14:paraId="3D07640C" w14:textId="77777777" w:rsidR="00924482" w:rsidRDefault="00924482" w:rsidP="00924482">
      <w:pPr>
        <w:pStyle w:val="LegalCopy"/>
        <w:sectPr w:rsidR="00924482" w:rsidSect="003D1E62">
          <w:headerReference w:type="default" r:id="rId11"/>
          <w:footerReference w:type="default" r:id="rId12"/>
          <w:headerReference w:type="first" r:id="rId13"/>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5F960583" w14:textId="77777777" w:rsidR="0089635C" w:rsidRPr="0089635C" w:rsidRDefault="0089635C" w:rsidP="0010788A">
          <w:pPr>
            <w:pStyle w:val="Contents"/>
          </w:pPr>
          <w:r w:rsidRPr="0010788A">
            <w:t>Contents</w:t>
          </w:r>
        </w:p>
        <w:p w14:paraId="7ABC89ED" w14:textId="3E97DA49" w:rsidR="00B51532" w:rsidRDefault="00C525A2">
          <w:pPr>
            <w:pStyle w:val="TOC1"/>
            <w:rPr>
              <w:rFonts w:asciiTheme="minorHAnsi" w:eastAsiaTheme="minorEastAsia" w:hAnsiTheme="minorHAnsi" w:cstheme="minorBidi"/>
              <w:b w:val="0"/>
              <w:noProof/>
              <w:sz w:val="22"/>
              <w:lang w:eastAsia="en-AU"/>
            </w:rPr>
          </w:pPr>
          <w:r>
            <w:fldChar w:fldCharType="begin"/>
          </w:r>
          <w:r>
            <w:instrText xml:space="preserve"> TOC \h \z \t "Heading 2,1,Heading 3,2" </w:instrText>
          </w:r>
          <w:r>
            <w:fldChar w:fldCharType="separate"/>
          </w:r>
          <w:hyperlink w:anchor="_Toc129093296" w:history="1">
            <w:r w:rsidR="00B51532" w:rsidRPr="00D758FA">
              <w:rPr>
                <w:rStyle w:val="Hyperlink"/>
                <w:noProof/>
              </w:rPr>
              <w:t>List of abbreviations</w:t>
            </w:r>
            <w:r w:rsidR="00B51532">
              <w:rPr>
                <w:noProof/>
                <w:webHidden/>
              </w:rPr>
              <w:tab/>
            </w:r>
            <w:r w:rsidR="00B51532">
              <w:rPr>
                <w:noProof/>
                <w:webHidden/>
              </w:rPr>
              <w:fldChar w:fldCharType="begin"/>
            </w:r>
            <w:r w:rsidR="00B51532">
              <w:rPr>
                <w:noProof/>
                <w:webHidden/>
              </w:rPr>
              <w:instrText xml:space="preserve"> PAGEREF _Toc129093296 \h </w:instrText>
            </w:r>
            <w:r w:rsidR="00B51532">
              <w:rPr>
                <w:noProof/>
                <w:webHidden/>
              </w:rPr>
            </w:r>
            <w:r w:rsidR="00B51532">
              <w:rPr>
                <w:noProof/>
                <w:webHidden/>
              </w:rPr>
              <w:fldChar w:fldCharType="separate"/>
            </w:r>
            <w:r w:rsidR="0063341A">
              <w:rPr>
                <w:noProof/>
                <w:webHidden/>
              </w:rPr>
              <w:t>4</w:t>
            </w:r>
            <w:r w:rsidR="00B51532">
              <w:rPr>
                <w:noProof/>
                <w:webHidden/>
              </w:rPr>
              <w:fldChar w:fldCharType="end"/>
            </w:r>
          </w:hyperlink>
        </w:p>
        <w:p w14:paraId="2E043CDD" w14:textId="75C19998" w:rsidR="00B51532" w:rsidRDefault="006766E0">
          <w:pPr>
            <w:pStyle w:val="TOC1"/>
            <w:rPr>
              <w:rFonts w:asciiTheme="minorHAnsi" w:eastAsiaTheme="minorEastAsia" w:hAnsiTheme="minorHAnsi" w:cstheme="minorBidi"/>
              <w:b w:val="0"/>
              <w:noProof/>
              <w:sz w:val="22"/>
              <w:lang w:eastAsia="en-AU"/>
            </w:rPr>
          </w:pPr>
          <w:hyperlink w:anchor="_Toc129093297" w:history="1">
            <w:r w:rsidR="00B51532" w:rsidRPr="00D758FA">
              <w:rPr>
                <w:rStyle w:val="Hyperlink"/>
                <w:noProof/>
              </w:rPr>
              <w:t>Product submission</w:t>
            </w:r>
            <w:r w:rsidR="00B51532">
              <w:rPr>
                <w:noProof/>
                <w:webHidden/>
              </w:rPr>
              <w:tab/>
            </w:r>
            <w:r w:rsidR="00B51532">
              <w:rPr>
                <w:noProof/>
                <w:webHidden/>
              </w:rPr>
              <w:fldChar w:fldCharType="begin"/>
            </w:r>
            <w:r w:rsidR="00B51532">
              <w:rPr>
                <w:noProof/>
                <w:webHidden/>
              </w:rPr>
              <w:instrText xml:space="preserve"> PAGEREF _Toc129093297 \h </w:instrText>
            </w:r>
            <w:r w:rsidR="00B51532">
              <w:rPr>
                <w:noProof/>
                <w:webHidden/>
              </w:rPr>
            </w:r>
            <w:r w:rsidR="00B51532">
              <w:rPr>
                <w:noProof/>
                <w:webHidden/>
              </w:rPr>
              <w:fldChar w:fldCharType="separate"/>
            </w:r>
            <w:r w:rsidR="0063341A">
              <w:rPr>
                <w:noProof/>
                <w:webHidden/>
              </w:rPr>
              <w:t>7</w:t>
            </w:r>
            <w:r w:rsidR="00B51532">
              <w:rPr>
                <w:noProof/>
                <w:webHidden/>
              </w:rPr>
              <w:fldChar w:fldCharType="end"/>
            </w:r>
          </w:hyperlink>
        </w:p>
        <w:p w14:paraId="739FB62F" w14:textId="2C3DC2E9" w:rsidR="00B51532" w:rsidRDefault="006766E0">
          <w:pPr>
            <w:pStyle w:val="TOC2"/>
            <w:rPr>
              <w:rFonts w:asciiTheme="minorHAnsi" w:eastAsiaTheme="minorEastAsia" w:hAnsiTheme="minorHAnsi" w:cstheme="minorBidi"/>
              <w:b w:val="0"/>
              <w:noProof/>
              <w:sz w:val="22"/>
              <w:lang w:eastAsia="en-AU"/>
            </w:rPr>
          </w:pPr>
          <w:hyperlink w:anchor="_Toc129093298" w:history="1">
            <w:r w:rsidR="00B51532" w:rsidRPr="00D758FA">
              <w:rPr>
                <w:rStyle w:val="Hyperlink"/>
                <w:noProof/>
                <w:lang w:eastAsia="en-AU"/>
              </w:rPr>
              <w:t>Submission details</w:t>
            </w:r>
            <w:r w:rsidR="00B51532">
              <w:rPr>
                <w:noProof/>
                <w:webHidden/>
              </w:rPr>
              <w:tab/>
            </w:r>
            <w:r w:rsidR="00B51532">
              <w:rPr>
                <w:noProof/>
                <w:webHidden/>
              </w:rPr>
              <w:fldChar w:fldCharType="begin"/>
            </w:r>
            <w:r w:rsidR="00B51532">
              <w:rPr>
                <w:noProof/>
                <w:webHidden/>
              </w:rPr>
              <w:instrText xml:space="preserve"> PAGEREF _Toc129093298 \h </w:instrText>
            </w:r>
            <w:r w:rsidR="00B51532">
              <w:rPr>
                <w:noProof/>
                <w:webHidden/>
              </w:rPr>
            </w:r>
            <w:r w:rsidR="00B51532">
              <w:rPr>
                <w:noProof/>
                <w:webHidden/>
              </w:rPr>
              <w:fldChar w:fldCharType="separate"/>
            </w:r>
            <w:r w:rsidR="0063341A">
              <w:rPr>
                <w:noProof/>
                <w:webHidden/>
              </w:rPr>
              <w:t>7</w:t>
            </w:r>
            <w:r w:rsidR="00B51532">
              <w:rPr>
                <w:noProof/>
                <w:webHidden/>
              </w:rPr>
              <w:fldChar w:fldCharType="end"/>
            </w:r>
          </w:hyperlink>
        </w:p>
        <w:p w14:paraId="511D295A" w14:textId="6E830A10" w:rsidR="00B51532" w:rsidRDefault="006766E0">
          <w:pPr>
            <w:pStyle w:val="TOC2"/>
            <w:rPr>
              <w:rFonts w:asciiTheme="minorHAnsi" w:eastAsiaTheme="minorEastAsia" w:hAnsiTheme="minorHAnsi" w:cstheme="minorBidi"/>
              <w:b w:val="0"/>
              <w:noProof/>
              <w:sz w:val="22"/>
              <w:lang w:eastAsia="en-AU"/>
            </w:rPr>
          </w:pPr>
          <w:hyperlink w:anchor="_Toc129093299" w:history="1">
            <w:r w:rsidR="00B51532" w:rsidRPr="00D758FA">
              <w:rPr>
                <w:rStyle w:val="Hyperlink"/>
                <w:noProof/>
              </w:rPr>
              <w:t>Product background</w:t>
            </w:r>
            <w:r w:rsidR="00B51532">
              <w:rPr>
                <w:noProof/>
                <w:webHidden/>
              </w:rPr>
              <w:tab/>
            </w:r>
            <w:r w:rsidR="00B51532">
              <w:rPr>
                <w:noProof/>
                <w:webHidden/>
              </w:rPr>
              <w:fldChar w:fldCharType="begin"/>
            </w:r>
            <w:r w:rsidR="00B51532">
              <w:rPr>
                <w:noProof/>
                <w:webHidden/>
              </w:rPr>
              <w:instrText xml:space="preserve"> PAGEREF _Toc129093299 \h </w:instrText>
            </w:r>
            <w:r w:rsidR="00B51532">
              <w:rPr>
                <w:noProof/>
                <w:webHidden/>
              </w:rPr>
            </w:r>
            <w:r w:rsidR="00B51532">
              <w:rPr>
                <w:noProof/>
                <w:webHidden/>
              </w:rPr>
              <w:fldChar w:fldCharType="separate"/>
            </w:r>
            <w:r w:rsidR="0063341A">
              <w:rPr>
                <w:noProof/>
                <w:webHidden/>
              </w:rPr>
              <w:t>9</w:t>
            </w:r>
            <w:r w:rsidR="00B51532">
              <w:rPr>
                <w:noProof/>
                <w:webHidden/>
              </w:rPr>
              <w:fldChar w:fldCharType="end"/>
            </w:r>
          </w:hyperlink>
        </w:p>
        <w:p w14:paraId="66C83A55" w14:textId="149F2FEB" w:rsidR="00B51532" w:rsidRDefault="006766E0">
          <w:pPr>
            <w:pStyle w:val="TOC2"/>
            <w:rPr>
              <w:rFonts w:asciiTheme="minorHAnsi" w:eastAsiaTheme="minorEastAsia" w:hAnsiTheme="minorHAnsi" w:cstheme="minorBidi"/>
              <w:b w:val="0"/>
              <w:noProof/>
              <w:sz w:val="22"/>
              <w:lang w:eastAsia="en-AU"/>
            </w:rPr>
          </w:pPr>
          <w:hyperlink w:anchor="_Toc129093300" w:history="1">
            <w:r w:rsidR="00B51532" w:rsidRPr="00D758FA">
              <w:rPr>
                <w:rStyle w:val="Hyperlink"/>
                <w:noProof/>
              </w:rPr>
              <w:t>Regulatory status</w:t>
            </w:r>
            <w:r w:rsidR="00B51532">
              <w:rPr>
                <w:noProof/>
                <w:webHidden/>
              </w:rPr>
              <w:tab/>
            </w:r>
            <w:r w:rsidR="00B51532">
              <w:rPr>
                <w:noProof/>
                <w:webHidden/>
              </w:rPr>
              <w:fldChar w:fldCharType="begin"/>
            </w:r>
            <w:r w:rsidR="00B51532">
              <w:rPr>
                <w:noProof/>
                <w:webHidden/>
              </w:rPr>
              <w:instrText xml:space="preserve"> PAGEREF _Toc129093300 \h </w:instrText>
            </w:r>
            <w:r w:rsidR="00B51532">
              <w:rPr>
                <w:noProof/>
                <w:webHidden/>
              </w:rPr>
            </w:r>
            <w:r w:rsidR="00B51532">
              <w:rPr>
                <w:noProof/>
                <w:webHidden/>
              </w:rPr>
              <w:fldChar w:fldCharType="separate"/>
            </w:r>
            <w:r w:rsidR="0063341A">
              <w:rPr>
                <w:noProof/>
                <w:webHidden/>
              </w:rPr>
              <w:t>16</w:t>
            </w:r>
            <w:r w:rsidR="00B51532">
              <w:rPr>
                <w:noProof/>
                <w:webHidden/>
              </w:rPr>
              <w:fldChar w:fldCharType="end"/>
            </w:r>
          </w:hyperlink>
        </w:p>
        <w:p w14:paraId="2A72CA83" w14:textId="6304C919" w:rsidR="00B51532" w:rsidRDefault="006766E0">
          <w:pPr>
            <w:pStyle w:val="TOC2"/>
            <w:rPr>
              <w:rFonts w:asciiTheme="minorHAnsi" w:eastAsiaTheme="minorEastAsia" w:hAnsiTheme="minorHAnsi" w:cstheme="minorBidi"/>
              <w:b w:val="0"/>
              <w:noProof/>
              <w:sz w:val="22"/>
              <w:lang w:eastAsia="en-AU"/>
            </w:rPr>
          </w:pPr>
          <w:hyperlink w:anchor="_Toc129093301" w:history="1">
            <w:r w:rsidR="00B51532" w:rsidRPr="00D758FA">
              <w:rPr>
                <w:rStyle w:val="Hyperlink"/>
                <w:noProof/>
              </w:rPr>
              <w:t>Product Information</w:t>
            </w:r>
            <w:r w:rsidR="00B51532">
              <w:rPr>
                <w:noProof/>
                <w:webHidden/>
              </w:rPr>
              <w:tab/>
            </w:r>
            <w:r w:rsidR="00B51532">
              <w:rPr>
                <w:noProof/>
                <w:webHidden/>
              </w:rPr>
              <w:fldChar w:fldCharType="begin"/>
            </w:r>
            <w:r w:rsidR="00B51532">
              <w:rPr>
                <w:noProof/>
                <w:webHidden/>
              </w:rPr>
              <w:instrText xml:space="preserve"> PAGEREF _Toc129093301 \h </w:instrText>
            </w:r>
            <w:r w:rsidR="00B51532">
              <w:rPr>
                <w:noProof/>
                <w:webHidden/>
              </w:rPr>
            </w:r>
            <w:r w:rsidR="00B51532">
              <w:rPr>
                <w:noProof/>
                <w:webHidden/>
              </w:rPr>
              <w:fldChar w:fldCharType="separate"/>
            </w:r>
            <w:r w:rsidR="0063341A">
              <w:rPr>
                <w:noProof/>
                <w:webHidden/>
              </w:rPr>
              <w:t>18</w:t>
            </w:r>
            <w:r w:rsidR="00B51532">
              <w:rPr>
                <w:noProof/>
                <w:webHidden/>
              </w:rPr>
              <w:fldChar w:fldCharType="end"/>
            </w:r>
          </w:hyperlink>
        </w:p>
        <w:p w14:paraId="10CFD231" w14:textId="75974157" w:rsidR="00B51532" w:rsidRDefault="006766E0">
          <w:pPr>
            <w:pStyle w:val="TOC1"/>
            <w:rPr>
              <w:rFonts w:asciiTheme="minorHAnsi" w:eastAsiaTheme="minorEastAsia" w:hAnsiTheme="minorHAnsi" w:cstheme="minorBidi"/>
              <w:b w:val="0"/>
              <w:noProof/>
              <w:sz w:val="22"/>
              <w:lang w:eastAsia="en-AU"/>
            </w:rPr>
          </w:pPr>
          <w:hyperlink w:anchor="_Toc129093302" w:history="1">
            <w:r w:rsidR="00B51532" w:rsidRPr="00D758FA">
              <w:rPr>
                <w:rStyle w:val="Hyperlink"/>
                <w:noProof/>
              </w:rPr>
              <w:t>Registration timeline</w:t>
            </w:r>
            <w:r w:rsidR="00B51532">
              <w:rPr>
                <w:noProof/>
                <w:webHidden/>
              </w:rPr>
              <w:tab/>
            </w:r>
            <w:r w:rsidR="00B51532">
              <w:rPr>
                <w:noProof/>
                <w:webHidden/>
              </w:rPr>
              <w:fldChar w:fldCharType="begin"/>
            </w:r>
            <w:r w:rsidR="00B51532">
              <w:rPr>
                <w:noProof/>
                <w:webHidden/>
              </w:rPr>
              <w:instrText xml:space="preserve"> PAGEREF _Toc129093302 \h </w:instrText>
            </w:r>
            <w:r w:rsidR="00B51532">
              <w:rPr>
                <w:noProof/>
                <w:webHidden/>
              </w:rPr>
            </w:r>
            <w:r w:rsidR="00B51532">
              <w:rPr>
                <w:noProof/>
                <w:webHidden/>
              </w:rPr>
              <w:fldChar w:fldCharType="separate"/>
            </w:r>
            <w:r w:rsidR="0063341A">
              <w:rPr>
                <w:noProof/>
                <w:webHidden/>
              </w:rPr>
              <w:t>19</w:t>
            </w:r>
            <w:r w:rsidR="00B51532">
              <w:rPr>
                <w:noProof/>
                <w:webHidden/>
              </w:rPr>
              <w:fldChar w:fldCharType="end"/>
            </w:r>
          </w:hyperlink>
        </w:p>
        <w:p w14:paraId="0FBF6A09" w14:textId="5A347E15" w:rsidR="00B51532" w:rsidRDefault="006766E0">
          <w:pPr>
            <w:pStyle w:val="TOC1"/>
            <w:rPr>
              <w:rFonts w:asciiTheme="minorHAnsi" w:eastAsiaTheme="minorEastAsia" w:hAnsiTheme="minorHAnsi" w:cstheme="minorBidi"/>
              <w:b w:val="0"/>
              <w:noProof/>
              <w:sz w:val="22"/>
              <w:lang w:eastAsia="en-AU"/>
            </w:rPr>
          </w:pPr>
          <w:hyperlink w:anchor="_Toc129093303" w:history="1">
            <w:r w:rsidR="00B51532" w:rsidRPr="00D758FA">
              <w:rPr>
                <w:rStyle w:val="Hyperlink"/>
                <w:noProof/>
              </w:rPr>
              <w:t>Submission overview and risk/benefit assessment</w:t>
            </w:r>
            <w:r w:rsidR="00B51532">
              <w:rPr>
                <w:noProof/>
                <w:webHidden/>
              </w:rPr>
              <w:tab/>
            </w:r>
            <w:r w:rsidR="00B51532">
              <w:rPr>
                <w:noProof/>
                <w:webHidden/>
              </w:rPr>
              <w:fldChar w:fldCharType="begin"/>
            </w:r>
            <w:r w:rsidR="00B51532">
              <w:rPr>
                <w:noProof/>
                <w:webHidden/>
              </w:rPr>
              <w:instrText xml:space="preserve"> PAGEREF _Toc129093303 \h </w:instrText>
            </w:r>
            <w:r w:rsidR="00B51532">
              <w:rPr>
                <w:noProof/>
                <w:webHidden/>
              </w:rPr>
            </w:r>
            <w:r w:rsidR="00B51532">
              <w:rPr>
                <w:noProof/>
                <w:webHidden/>
              </w:rPr>
              <w:fldChar w:fldCharType="separate"/>
            </w:r>
            <w:r w:rsidR="0063341A">
              <w:rPr>
                <w:noProof/>
                <w:webHidden/>
              </w:rPr>
              <w:t>19</w:t>
            </w:r>
            <w:r w:rsidR="00B51532">
              <w:rPr>
                <w:noProof/>
                <w:webHidden/>
              </w:rPr>
              <w:fldChar w:fldCharType="end"/>
            </w:r>
          </w:hyperlink>
        </w:p>
        <w:p w14:paraId="3D5392A4" w14:textId="21907824" w:rsidR="00B51532" w:rsidRDefault="006766E0">
          <w:pPr>
            <w:pStyle w:val="TOC2"/>
            <w:rPr>
              <w:rFonts w:asciiTheme="minorHAnsi" w:eastAsiaTheme="minorEastAsia" w:hAnsiTheme="minorHAnsi" w:cstheme="minorBidi"/>
              <w:b w:val="0"/>
              <w:noProof/>
              <w:sz w:val="22"/>
              <w:lang w:eastAsia="en-AU"/>
            </w:rPr>
          </w:pPr>
          <w:hyperlink w:anchor="_Toc129093304" w:history="1">
            <w:r w:rsidR="00B51532" w:rsidRPr="00D758FA">
              <w:rPr>
                <w:rStyle w:val="Hyperlink"/>
                <w:noProof/>
              </w:rPr>
              <w:t>Quality</w:t>
            </w:r>
            <w:r w:rsidR="00B51532">
              <w:rPr>
                <w:noProof/>
                <w:webHidden/>
              </w:rPr>
              <w:tab/>
            </w:r>
            <w:r w:rsidR="00B51532">
              <w:rPr>
                <w:noProof/>
                <w:webHidden/>
              </w:rPr>
              <w:fldChar w:fldCharType="begin"/>
            </w:r>
            <w:r w:rsidR="00B51532">
              <w:rPr>
                <w:noProof/>
                <w:webHidden/>
              </w:rPr>
              <w:instrText xml:space="preserve"> PAGEREF _Toc129093304 \h </w:instrText>
            </w:r>
            <w:r w:rsidR="00B51532">
              <w:rPr>
                <w:noProof/>
                <w:webHidden/>
              </w:rPr>
            </w:r>
            <w:r w:rsidR="00B51532">
              <w:rPr>
                <w:noProof/>
                <w:webHidden/>
              </w:rPr>
              <w:fldChar w:fldCharType="separate"/>
            </w:r>
            <w:r w:rsidR="0063341A">
              <w:rPr>
                <w:noProof/>
                <w:webHidden/>
              </w:rPr>
              <w:t>20</w:t>
            </w:r>
            <w:r w:rsidR="00B51532">
              <w:rPr>
                <w:noProof/>
                <w:webHidden/>
              </w:rPr>
              <w:fldChar w:fldCharType="end"/>
            </w:r>
          </w:hyperlink>
        </w:p>
        <w:p w14:paraId="4A2D8055" w14:textId="626CF57C" w:rsidR="00B51532" w:rsidRDefault="006766E0">
          <w:pPr>
            <w:pStyle w:val="TOC2"/>
            <w:rPr>
              <w:rFonts w:asciiTheme="minorHAnsi" w:eastAsiaTheme="minorEastAsia" w:hAnsiTheme="minorHAnsi" w:cstheme="minorBidi"/>
              <w:b w:val="0"/>
              <w:noProof/>
              <w:sz w:val="22"/>
              <w:lang w:eastAsia="en-AU"/>
            </w:rPr>
          </w:pPr>
          <w:hyperlink w:anchor="_Toc129093305" w:history="1">
            <w:r w:rsidR="00B51532" w:rsidRPr="00D758FA">
              <w:rPr>
                <w:rStyle w:val="Hyperlink"/>
                <w:noProof/>
              </w:rPr>
              <w:t>Nonclinical</w:t>
            </w:r>
            <w:r w:rsidR="00B51532">
              <w:rPr>
                <w:noProof/>
                <w:webHidden/>
              </w:rPr>
              <w:tab/>
            </w:r>
            <w:r w:rsidR="00B51532">
              <w:rPr>
                <w:noProof/>
                <w:webHidden/>
              </w:rPr>
              <w:fldChar w:fldCharType="begin"/>
            </w:r>
            <w:r w:rsidR="00B51532">
              <w:rPr>
                <w:noProof/>
                <w:webHidden/>
              </w:rPr>
              <w:instrText xml:space="preserve"> PAGEREF _Toc129093305 \h </w:instrText>
            </w:r>
            <w:r w:rsidR="00B51532">
              <w:rPr>
                <w:noProof/>
                <w:webHidden/>
              </w:rPr>
            </w:r>
            <w:r w:rsidR="00B51532">
              <w:rPr>
                <w:noProof/>
                <w:webHidden/>
              </w:rPr>
              <w:fldChar w:fldCharType="separate"/>
            </w:r>
            <w:r w:rsidR="0063341A">
              <w:rPr>
                <w:noProof/>
                <w:webHidden/>
              </w:rPr>
              <w:t>21</w:t>
            </w:r>
            <w:r w:rsidR="00B51532">
              <w:rPr>
                <w:noProof/>
                <w:webHidden/>
              </w:rPr>
              <w:fldChar w:fldCharType="end"/>
            </w:r>
          </w:hyperlink>
        </w:p>
        <w:p w14:paraId="4EA12627" w14:textId="2DB20F9F" w:rsidR="00B51532" w:rsidRDefault="006766E0">
          <w:pPr>
            <w:pStyle w:val="TOC2"/>
            <w:rPr>
              <w:rFonts w:asciiTheme="minorHAnsi" w:eastAsiaTheme="minorEastAsia" w:hAnsiTheme="minorHAnsi" w:cstheme="minorBidi"/>
              <w:b w:val="0"/>
              <w:noProof/>
              <w:sz w:val="22"/>
              <w:lang w:eastAsia="en-AU"/>
            </w:rPr>
          </w:pPr>
          <w:hyperlink w:anchor="_Toc129093306" w:history="1">
            <w:r w:rsidR="00B51532" w:rsidRPr="00D758FA">
              <w:rPr>
                <w:rStyle w:val="Hyperlink"/>
                <w:noProof/>
              </w:rPr>
              <w:t>Clinical</w:t>
            </w:r>
            <w:r w:rsidR="00B51532">
              <w:rPr>
                <w:noProof/>
                <w:webHidden/>
              </w:rPr>
              <w:tab/>
            </w:r>
            <w:r w:rsidR="00B51532">
              <w:rPr>
                <w:noProof/>
                <w:webHidden/>
              </w:rPr>
              <w:fldChar w:fldCharType="begin"/>
            </w:r>
            <w:r w:rsidR="00B51532">
              <w:rPr>
                <w:noProof/>
                <w:webHidden/>
              </w:rPr>
              <w:instrText xml:space="preserve"> PAGEREF _Toc129093306 \h </w:instrText>
            </w:r>
            <w:r w:rsidR="00B51532">
              <w:rPr>
                <w:noProof/>
                <w:webHidden/>
              </w:rPr>
            </w:r>
            <w:r w:rsidR="00B51532">
              <w:rPr>
                <w:noProof/>
                <w:webHidden/>
              </w:rPr>
              <w:fldChar w:fldCharType="separate"/>
            </w:r>
            <w:r w:rsidR="0063341A">
              <w:rPr>
                <w:noProof/>
                <w:webHidden/>
              </w:rPr>
              <w:t>23</w:t>
            </w:r>
            <w:r w:rsidR="00B51532">
              <w:rPr>
                <w:noProof/>
                <w:webHidden/>
              </w:rPr>
              <w:fldChar w:fldCharType="end"/>
            </w:r>
          </w:hyperlink>
        </w:p>
        <w:p w14:paraId="174187E1" w14:textId="230EF73D" w:rsidR="00B51532" w:rsidRDefault="006766E0">
          <w:pPr>
            <w:pStyle w:val="TOC2"/>
            <w:rPr>
              <w:rFonts w:asciiTheme="minorHAnsi" w:eastAsiaTheme="minorEastAsia" w:hAnsiTheme="minorHAnsi" w:cstheme="minorBidi"/>
              <w:b w:val="0"/>
              <w:noProof/>
              <w:sz w:val="22"/>
              <w:lang w:eastAsia="en-AU"/>
            </w:rPr>
          </w:pPr>
          <w:hyperlink w:anchor="_Toc129093307" w:history="1">
            <w:r w:rsidR="00B51532" w:rsidRPr="00D758FA">
              <w:rPr>
                <w:rStyle w:val="Hyperlink"/>
                <w:noProof/>
                <w:lang w:eastAsia="en-AU"/>
              </w:rPr>
              <w:t>Risk management plan</w:t>
            </w:r>
            <w:r w:rsidR="00B51532">
              <w:rPr>
                <w:noProof/>
                <w:webHidden/>
              </w:rPr>
              <w:tab/>
            </w:r>
            <w:r w:rsidR="00B51532">
              <w:rPr>
                <w:noProof/>
                <w:webHidden/>
              </w:rPr>
              <w:fldChar w:fldCharType="begin"/>
            </w:r>
            <w:r w:rsidR="00B51532">
              <w:rPr>
                <w:noProof/>
                <w:webHidden/>
              </w:rPr>
              <w:instrText xml:space="preserve"> PAGEREF _Toc129093307 \h </w:instrText>
            </w:r>
            <w:r w:rsidR="00B51532">
              <w:rPr>
                <w:noProof/>
                <w:webHidden/>
              </w:rPr>
            </w:r>
            <w:r w:rsidR="00B51532">
              <w:rPr>
                <w:noProof/>
                <w:webHidden/>
              </w:rPr>
              <w:fldChar w:fldCharType="separate"/>
            </w:r>
            <w:r w:rsidR="0063341A">
              <w:rPr>
                <w:noProof/>
                <w:webHidden/>
              </w:rPr>
              <w:t>131</w:t>
            </w:r>
            <w:r w:rsidR="00B51532">
              <w:rPr>
                <w:noProof/>
                <w:webHidden/>
              </w:rPr>
              <w:fldChar w:fldCharType="end"/>
            </w:r>
          </w:hyperlink>
        </w:p>
        <w:p w14:paraId="480670D2" w14:textId="0777E9DE" w:rsidR="00B51532" w:rsidRDefault="006766E0">
          <w:pPr>
            <w:pStyle w:val="TOC2"/>
            <w:rPr>
              <w:rFonts w:asciiTheme="minorHAnsi" w:eastAsiaTheme="minorEastAsia" w:hAnsiTheme="minorHAnsi" w:cstheme="minorBidi"/>
              <w:b w:val="0"/>
              <w:noProof/>
              <w:sz w:val="22"/>
              <w:lang w:eastAsia="en-AU"/>
            </w:rPr>
          </w:pPr>
          <w:hyperlink w:anchor="_Toc129093308" w:history="1">
            <w:r w:rsidR="00B51532" w:rsidRPr="00D758FA">
              <w:rPr>
                <w:rStyle w:val="Hyperlink"/>
                <w:noProof/>
              </w:rPr>
              <w:t>Risk-benefit analysis</w:t>
            </w:r>
            <w:r w:rsidR="00B51532">
              <w:rPr>
                <w:noProof/>
                <w:webHidden/>
              </w:rPr>
              <w:tab/>
            </w:r>
            <w:r w:rsidR="00B51532">
              <w:rPr>
                <w:noProof/>
                <w:webHidden/>
              </w:rPr>
              <w:fldChar w:fldCharType="begin"/>
            </w:r>
            <w:r w:rsidR="00B51532">
              <w:rPr>
                <w:noProof/>
                <w:webHidden/>
              </w:rPr>
              <w:instrText xml:space="preserve"> PAGEREF _Toc129093308 \h </w:instrText>
            </w:r>
            <w:r w:rsidR="00B51532">
              <w:rPr>
                <w:noProof/>
                <w:webHidden/>
              </w:rPr>
            </w:r>
            <w:r w:rsidR="00B51532">
              <w:rPr>
                <w:noProof/>
                <w:webHidden/>
              </w:rPr>
              <w:fldChar w:fldCharType="separate"/>
            </w:r>
            <w:r w:rsidR="0063341A">
              <w:rPr>
                <w:noProof/>
                <w:webHidden/>
              </w:rPr>
              <w:t>134</w:t>
            </w:r>
            <w:r w:rsidR="00B51532">
              <w:rPr>
                <w:noProof/>
                <w:webHidden/>
              </w:rPr>
              <w:fldChar w:fldCharType="end"/>
            </w:r>
          </w:hyperlink>
        </w:p>
        <w:p w14:paraId="3A22F6F7" w14:textId="3D2351F5" w:rsidR="00B51532" w:rsidRDefault="006766E0">
          <w:pPr>
            <w:pStyle w:val="TOC1"/>
            <w:rPr>
              <w:rFonts w:asciiTheme="minorHAnsi" w:eastAsiaTheme="minorEastAsia" w:hAnsiTheme="minorHAnsi" w:cstheme="minorBidi"/>
              <w:b w:val="0"/>
              <w:noProof/>
              <w:sz w:val="22"/>
              <w:lang w:eastAsia="en-AU"/>
            </w:rPr>
          </w:pPr>
          <w:hyperlink w:anchor="_Toc129093309" w:history="1">
            <w:r w:rsidR="00B51532" w:rsidRPr="00D758FA">
              <w:rPr>
                <w:rStyle w:val="Hyperlink"/>
                <w:noProof/>
              </w:rPr>
              <w:t>Outcome</w:t>
            </w:r>
            <w:r w:rsidR="00B51532">
              <w:rPr>
                <w:noProof/>
                <w:webHidden/>
              </w:rPr>
              <w:tab/>
            </w:r>
            <w:r w:rsidR="00B51532">
              <w:rPr>
                <w:noProof/>
                <w:webHidden/>
              </w:rPr>
              <w:fldChar w:fldCharType="begin"/>
            </w:r>
            <w:r w:rsidR="00B51532">
              <w:rPr>
                <w:noProof/>
                <w:webHidden/>
              </w:rPr>
              <w:instrText xml:space="preserve"> PAGEREF _Toc129093309 \h </w:instrText>
            </w:r>
            <w:r w:rsidR="00B51532">
              <w:rPr>
                <w:noProof/>
                <w:webHidden/>
              </w:rPr>
            </w:r>
            <w:r w:rsidR="00B51532">
              <w:rPr>
                <w:noProof/>
                <w:webHidden/>
              </w:rPr>
              <w:fldChar w:fldCharType="separate"/>
            </w:r>
            <w:r w:rsidR="0063341A">
              <w:rPr>
                <w:noProof/>
                <w:webHidden/>
              </w:rPr>
              <w:t>144</w:t>
            </w:r>
            <w:r w:rsidR="00B51532">
              <w:rPr>
                <w:noProof/>
                <w:webHidden/>
              </w:rPr>
              <w:fldChar w:fldCharType="end"/>
            </w:r>
          </w:hyperlink>
        </w:p>
        <w:p w14:paraId="6A6930ED" w14:textId="5440512E" w:rsidR="00B51532" w:rsidRDefault="006766E0">
          <w:pPr>
            <w:pStyle w:val="TOC2"/>
            <w:rPr>
              <w:rFonts w:asciiTheme="minorHAnsi" w:eastAsiaTheme="minorEastAsia" w:hAnsiTheme="minorHAnsi" w:cstheme="minorBidi"/>
              <w:b w:val="0"/>
              <w:noProof/>
              <w:sz w:val="22"/>
              <w:lang w:eastAsia="en-AU"/>
            </w:rPr>
          </w:pPr>
          <w:hyperlink w:anchor="_Toc129093310" w:history="1">
            <w:r w:rsidR="00B51532" w:rsidRPr="00D758FA">
              <w:rPr>
                <w:rStyle w:val="Hyperlink"/>
                <w:noProof/>
              </w:rPr>
              <w:t>Specific conditions of registration applying to these goods</w:t>
            </w:r>
            <w:r w:rsidR="00B51532">
              <w:rPr>
                <w:noProof/>
                <w:webHidden/>
              </w:rPr>
              <w:tab/>
            </w:r>
            <w:r w:rsidR="00B51532">
              <w:rPr>
                <w:noProof/>
                <w:webHidden/>
              </w:rPr>
              <w:fldChar w:fldCharType="begin"/>
            </w:r>
            <w:r w:rsidR="00B51532">
              <w:rPr>
                <w:noProof/>
                <w:webHidden/>
              </w:rPr>
              <w:instrText xml:space="preserve"> PAGEREF _Toc129093310 \h </w:instrText>
            </w:r>
            <w:r w:rsidR="00B51532">
              <w:rPr>
                <w:noProof/>
                <w:webHidden/>
              </w:rPr>
            </w:r>
            <w:r w:rsidR="00B51532">
              <w:rPr>
                <w:noProof/>
                <w:webHidden/>
              </w:rPr>
              <w:fldChar w:fldCharType="separate"/>
            </w:r>
            <w:r w:rsidR="0063341A">
              <w:rPr>
                <w:noProof/>
                <w:webHidden/>
              </w:rPr>
              <w:t>145</w:t>
            </w:r>
            <w:r w:rsidR="00B51532">
              <w:rPr>
                <w:noProof/>
                <w:webHidden/>
              </w:rPr>
              <w:fldChar w:fldCharType="end"/>
            </w:r>
          </w:hyperlink>
        </w:p>
        <w:p w14:paraId="6086F413" w14:textId="29FA3F22" w:rsidR="00B51532" w:rsidRDefault="006766E0">
          <w:pPr>
            <w:pStyle w:val="TOC1"/>
            <w:rPr>
              <w:rFonts w:asciiTheme="minorHAnsi" w:eastAsiaTheme="minorEastAsia" w:hAnsiTheme="minorHAnsi" w:cstheme="minorBidi"/>
              <w:b w:val="0"/>
              <w:noProof/>
              <w:sz w:val="22"/>
              <w:lang w:eastAsia="en-AU"/>
            </w:rPr>
          </w:pPr>
          <w:hyperlink w:anchor="_Toc129093311" w:history="1">
            <w:r w:rsidR="00B51532" w:rsidRPr="00D758FA">
              <w:rPr>
                <w:rStyle w:val="Hyperlink"/>
                <w:noProof/>
              </w:rPr>
              <w:t>Attachment 1. Product Information</w:t>
            </w:r>
            <w:r w:rsidR="00B51532">
              <w:rPr>
                <w:noProof/>
                <w:webHidden/>
              </w:rPr>
              <w:tab/>
            </w:r>
            <w:r w:rsidR="00B51532">
              <w:rPr>
                <w:noProof/>
                <w:webHidden/>
              </w:rPr>
              <w:fldChar w:fldCharType="begin"/>
            </w:r>
            <w:r w:rsidR="00B51532">
              <w:rPr>
                <w:noProof/>
                <w:webHidden/>
              </w:rPr>
              <w:instrText xml:space="preserve"> PAGEREF _Toc129093311 \h </w:instrText>
            </w:r>
            <w:r w:rsidR="00B51532">
              <w:rPr>
                <w:noProof/>
                <w:webHidden/>
              </w:rPr>
            </w:r>
            <w:r w:rsidR="00B51532">
              <w:rPr>
                <w:noProof/>
                <w:webHidden/>
              </w:rPr>
              <w:fldChar w:fldCharType="separate"/>
            </w:r>
            <w:r w:rsidR="0063341A">
              <w:rPr>
                <w:noProof/>
                <w:webHidden/>
              </w:rPr>
              <w:t>145</w:t>
            </w:r>
            <w:r w:rsidR="00B51532">
              <w:rPr>
                <w:noProof/>
                <w:webHidden/>
              </w:rPr>
              <w:fldChar w:fldCharType="end"/>
            </w:r>
          </w:hyperlink>
        </w:p>
        <w:p w14:paraId="736E019D" w14:textId="344E6009" w:rsidR="003A7F6C" w:rsidRPr="00B811C6" w:rsidRDefault="00C525A2" w:rsidP="00B811C6">
          <w:pPr>
            <w:pStyle w:val="TOC2"/>
          </w:pPr>
          <w:r>
            <w:fldChar w:fldCharType="end"/>
          </w:r>
        </w:p>
      </w:sdtContent>
    </w:sdt>
    <w:bookmarkStart w:id="2" w:name="_Toc314842482" w:displacedByCustomXml="prev"/>
    <w:p w14:paraId="5E40D720" w14:textId="77777777" w:rsidR="00FD119B" w:rsidRDefault="00FD119B">
      <w:pPr>
        <w:spacing w:before="0" w:after="200" w:line="0" w:lineRule="auto"/>
      </w:pPr>
      <w:r>
        <w:br w:type="page"/>
      </w:r>
    </w:p>
    <w:p w14:paraId="642E4DE7" w14:textId="305819C1" w:rsidR="00833ED8" w:rsidRPr="006B34A1" w:rsidRDefault="00AF2313" w:rsidP="006B34A1">
      <w:pPr>
        <w:pStyle w:val="Heading2"/>
      </w:pPr>
      <w:bookmarkStart w:id="3" w:name="_Toc98931917"/>
      <w:bookmarkStart w:id="4" w:name="_Toc129093296"/>
      <w:r>
        <w:lastRenderedPageBreak/>
        <w:t>List of abbreviations</w:t>
      </w:r>
      <w:bookmarkEnd w:id="3"/>
      <w:bookmarkEnd w:id="4"/>
    </w:p>
    <w:tbl>
      <w:tblPr>
        <w:tblStyle w:val="TableTGAblue"/>
        <w:tblW w:w="5000" w:type="pct"/>
        <w:tblLook w:val="04A0" w:firstRow="1" w:lastRow="0" w:firstColumn="1" w:lastColumn="0" w:noHBand="0" w:noVBand="1"/>
      </w:tblPr>
      <w:tblGrid>
        <w:gridCol w:w="1719"/>
        <w:gridCol w:w="1196"/>
        <w:gridCol w:w="5569"/>
      </w:tblGrid>
      <w:tr w:rsidR="008B1EE9" w14:paraId="06CBFA11" w14:textId="77777777" w:rsidTr="00AF2313">
        <w:trPr>
          <w:cnfStyle w:val="100000000000" w:firstRow="1" w:lastRow="0" w:firstColumn="0" w:lastColumn="0" w:oddVBand="0" w:evenVBand="0" w:oddHBand="0" w:evenHBand="0" w:firstRowFirstColumn="0" w:firstRowLastColumn="0" w:lastRowFirstColumn="0" w:lastRowLastColumn="0"/>
          <w:cantSplit/>
        </w:trPr>
        <w:tc>
          <w:tcPr>
            <w:tcW w:w="1718" w:type="pct"/>
            <w:gridSpan w:val="2"/>
            <w:hideMark/>
          </w:tcPr>
          <w:p w14:paraId="45C0EBB9" w14:textId="77777777" w:rsidR="008B1EE9" w:rsidRDefault="008B1EE9">
            <w:pPr>
              <w:rPr>
                <w:color w:val="FFFFFF"/>
              </w:rPr>
            </w:pPr>
            <w:r>
              <w:t>Abbreviation</w:t>
            </w:r>
          </w:p>
        </w:tc>
        <w:tc>
          <w:tcPr>
            <w:tcW w:w="3282" w:type="pct"/>
            <w:hideMark/>
          </w:tcPr>
          <w:p w14:paraId="151FFA24" w14:textId="77777777" w:rsidR="008B1EE9" w:rsidRDefault="008B1EE9">
            <w:r>
              <w:t>Meaning</w:t>
            </w:r>
          </w:p>
        </w:tc>
      </w:tr>
      <w:tr w:rsidR="008B1EE9" w14:paraId="6D269A58"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5A45207C" w14:textId="77777777" w:rsidR="008B1EE9" w:rsidRDefault="008B1EE9">
            <w:pPr>
              <w:rPr>
                <w:color w:val="000000"/>
              </w:rPr>
            </w:pPr>
            <w:r>
              <w:rPr>
                <w:color w:val="000000"/>
              </w:rPr>
              <w:t>ABT-494</w:t>
            </w:r>
          </w:p>
        </w:tc>
        <w:tc>
          <w:tcPr>
            <w:tcW w:w="3987" w:type="pct"/>
            <w:gridSpan w:val="2"/>
            <w:tcBorders>
              <w:top w:val="single" w:sz="8" w:space="0" w:color="002C47"/>
              <w:left w:val="single" w:sz="8" w:space="0" w:color="002C47"/>
              <w:bottom w:val="single" w:sz="8" w:space="0" w:color="002C47"/>
              <w:right w:val="single" w:sz="8" w:space="0" w:color="002C47"/>
            </w:tcBorders>
          </w:tcPr>
          <w:p w14:paraId="28FC2BBC" w14:textId="77777777" w:rsidR="008B1EE9" w:rsidRDefault="008B1EE9">
            <w:pPr>
              <w:rPr>
                <w:color w:val="000000"/>
              </w:rPr>
            </w:pPr>
            <w:r>
              <w:rPr>
                <w:color w:val="000000"/>
              </w:rPr>
              <w:t>Drug development name for upadacitinib</w:t>
            </w:r>
          </w:p>
        </w:tc>
      </w:tr>
      <w:tr w:rsidR="008B1EE9" w14:paraId="0DE36FE8"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hideMark/>
          </w:tcPr>
          <w:p w14:paraId="7CFC1402" w14:textId="77777777" w:rsidR="008B1EE9" w:rsidRDefault="008B1EE9">
            <w:r>
              <w:t>ACM</w:t>
            </w:r>
          </w:p>
        </w:tc>
        <w:tc>
          <w:tcPr>
            <w:tcW w:w="3987" w:type="pct"/>
            <w:gridSpan w:val="2"/>
            <w:tcBorders>
              <w:top w:val="single" w:sz="8" w:space="0" w:color="002C47"/>
              <w:left w:val="single" w:sz="8" w:space="0" w:color="002C47"/>
              <w:bottom w:val="single" w:sz="8" w:space="0" w:color="002C47"/>
              <w:right w:val="single" w:sz="8" w:space="0" w:color="002C47"/>
            </w:tcBorders>
            <w:hideMark/>
          </w:tcPr>
          <w:p w14:paraId="6D987C3F" w14:textId="77777777" w:rsidR="008B1EE9" w:rsidRDefault="008B1EE9">
            <w:r>
              <w:t>Advisory Committee on Medicines</w:t>
            </w:r>
          </w:p>
        </w:tc>
      </w:tr>
      <w:tr w:rsidR="008B1EE9" w14:paraId="2D1CEB41"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hideMark/>
          </w:tcPr>
          <w:p w14:paraId="6948C3DD" w14:textId="77777777" w:rsidR="008B1EE9" w:rsidRDefault="008B1EE9" w:rsidP="00032647">
            <w:r>
              <w:t>ADerm-IS</w:t>
            </w:r>
          </w:p>
        </w:tc>
        <w:tc>
          <w:tcPr>
            <w:tcW w:w="3987" w:type="pct"/>
            <w:gridSpan w:val="2"/>
            <w:tcBorders>
              <w:top w:val="single" w:sz="8" w:space="0" w:color="002C47"/>
              <w:left w:val="single" w:sz="8" w:space="0" w:color="002C47"/>
              <w:bottom w:val="single" w:sz="8" w:space="0" w:color="002C47"/>
              <w:right w:val="single" w:sz="8" w:space="0" w:color="002C47"/>
            </w:tcBorders>
            <w:hideMark/>
          </w:tcPr>
          <w:p w14:paraId="278ED20C" w14:textId="77777777" w:rsidR="008B1EE9" w:rsidRDefault="008B1EE9" w:rsidP="00C4203D">
            <w:r w:rsidRPr="00D30FEF">
              <w:t xml:space="preserve">Atopic Dermatitis </w:t>
            </w:r>
            <w:r>
              <w:t>Impact</w:t>
            </w:r>
            <w:r w:rsidRPr="00D30FEF">
              <w:t xml:space="preserve"> Scale</w:t>
            </w:r>
          </w:p>
        </w:tc>
      </w:tr>
      <w:tr w:rsidR="008B1EE9" w14:paraId="57C21736"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4979EEBC" w14:textId="77777777" w:rsidR="008B1EE9" w:rsidRDefault="008B1EE9">
            <w:pPr>
              <w:rPr>
                <w:color w:val="000000"/>
              </w:rPr>
            </w:pPr>
            <w:r>
              <w:rPr>
                <w:color w:val="000000"/>
              </w:rPr>
              <w:t>ADerm-SS</w:t>
            </w:r>
          </w:p>
        </w:tc>
        <w:tc>
          <w:tcPr>
            <w:tcW w:w="3987" w:type="pct"/>
            <w:gridSpan w:val="2"/>
            <w:tcBorders>
              <w:top w:val="single" w:sz="8" w:space="0" w:color="002C47"/>
              <w:left w:val="single" w:sz="8" w:space="0" w:color="002C47"/>
              <w:bottom w:val="single" w:sz="8" w:space="0" w:color="002C47"/>
              <w:right w:val="single" w:sz="8" w:space="0" w:color="002C47"/>
            </w:tcBorders>
          </w:tcPr>
          <w:p w14:paraId="65C87F22" w14:textId="77777777" w:rsidR="008B1EE9" w:rsidRDefault="008B1EE9">
            <w:pPr>
              <w:rPr>
                <w:color w:val="000000"/>
              </w:rPr>
            </w:pPr>
            <w:r w:rsidRPr="00D30FEF">
              <w:t>Atopic Dermatitis Symptom Scale</w:t>
            </w:r>
          </w:p>
        </w:tc>
      </w:tr>
      <w:tr w:rsidR="008B1EE9" w14:paraId="49F56308"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4C0166FB" w14:textId="77777777" w:rsidR="008B1EE9" w:rsidRDefault="008B1EE9">
            <w:pPr>
              <w:rPr>
                <w:color w:val="000000"/>
              </w:rPr>
            </w:pPr>
            <w:r>
              <w:rPr>
                <w:color w:val="000000"/>
              </w:rPr>
              <w:t>ADME</w:t>
            </w:r>
          </w:p>
        </w:tc>
        <w:tc>
          <w:tcPr>
            <w:tcW w:w="3987" w:type="pct"/>
            <w:gridSpan w:val="2"/>
            <w:tcBorders>
              <w:top w:val="single" w:sz="8" w:space="0" w:color="002C47"/>
              <w:left w:val="single" w:sz="8" w:space="0" w:color="002C47"/>
              <w:bottom w:val="single" w:sz="8" w:space="0" w:color="002C47"/>
              <w:right w:val="single" w:sz="8" w:space="0" w:color="002C47"/>
            </w:tcBorders>
          </w:tcPr>
          <w:p w14:paraId="6CD88864" w14:textId="77777777" w:rsidR="008B1EE9" w:rsidRDefault="008B1EE9">
            <w:pPr>
              <w:rPr>
                <w:color w:val="000000"/>
              </w:rPr>
            </w:pPr>
            <w:r>
              <w:rPr>
                <w:color w:val="000000"/>
              </w:rPr>
              <w:t>Absorption, distribution, metabolism and excretion</w:t>
            </w:r>
          </w:p>
        </w:tc>
      </w:tr>
      <w:tr w:rsidR="008B1EE9" w14:paraId="66EA9817"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65E509BD" w14:textId="77777777" w:rsidR="008B1EE9" w:rsidRDefault="008B1EE9" w:rsidP="00032647">
            <w:r>
              <w:t>AE</w:t>
            </w:r>
          </w:p>
        </w:tc>
        <w:tc>
          <w:tcPr>
            <w:tcW w:w="3987" w:type="pct"/>
            <w:gridSpan w:val="2"/>
            <w:tcBorders>
              <w:top w:val="single" w:sz="8" w:space="0" w:color="002C47"/>
              <w:left w:val="single" w:sz="8" w:space="0" w:color="002C47"/>
              <w:bottom w:val="single" w:sz="8" w:space="0" w:color="002C47"/>
              <w:right w:val="single" w:sz="8" w:space="0" w:color="002C47"/>
            </w:tcBorders>
          </w:tcPr>
          <w:p w14:paraId="1EB37DB7" w14:textId="77777777" w:rsidR="008B1EE9" w:rsidRPr="00D30FEF" w:rsidRDefault="008B1EE9" w:rsidP="00C4203D">
            <w:r>
              <w:t>Adverse event</w:t>
            </w:r>
          </w:p>
        </w:tc>
      </w:tr>
      <w:tr w:rsidR="008B1EE9" w14:paraId="0BE79959"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50D9968D" w14:textId="77777777" w:rsidR="008B1EE9" w:rsidRDefault="008B1EE9">
            <w:pPr>
              <w:rPr>
                <w:color w:val="000000"/>
              </w:rPr>
            </w:pPr>
            <w:r>
              <w:rPr>
                <w:color w:val="000000"/>
              </w:rPr>
              <w:t>ALC</w:t>
            </w:r>
          </w:p>
        </w:tc>
        <w:tc>
          <w:tcPr>
            <w:tcW w:w="3987" w:type="pct"/>
            <w:gridSpan w:val="2"/>
            <w:tcBorders>
              <w:top w:val="single" w:sz="8" w:space="0" w:color="002C47"/>
              <w:left w:val="single" w:sz="8" w:space="0" w:color="002C47"/>
              <w:bottom w:val="single" w:sz="8" w:space="0" w:color="002C47"/>
              <w:right w:val="single" w:sz="8" w:space="0" w:color="002C47"/>
            </w:tcBorders>
          </w:tcPr>
          <w:p w14:paraId="46718427" w14:textId="77777777" w:rsidR="008B1EE9" w:rsidRDefault="008B1EE9">
            <w:pPr>
              <w:rPr>
                <w:color w:val="000000"/>
              </w:rPr>
            </w:pPr>
            <w:r>
              <w:rPr>
                <w:color w:val="000000"/>
              </w:rPr>
              <w:t>Absolute lymphocyte count</w:t>
            </w:r>
          </w:p>
        </w:tc>
      </w:tr>
      <w:tr w:rsidR="008B1EE9" w14:paraId="49AA175F"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4EF2A241" w14:textId="77777777" w:rsidR="008B1EE9" w:rsidRDefault="008B1EE9" w:rsidP="00032647">
            <w:r>
              <w:t>ALT</w:t>
            </w:r>
          </w:p>
        </w:tc>
        <w:tc>
          <w:tcPr>
            <w:tcW w:w="3987" w:type="pct"/>
            <w:gridSpan w:val="2"/>
            <w:tcBorders>
              <w:top w:val="single" w:sz="8" w:space="0" w:color="002C47"/>
              <w:left w:val="single" w:sz="8" w:space="0" w:color="002C47"/>
              <w:bottom w:val="single" w:sz="8" w:space="0" w:color="002C47"/>
              <w:right w:val="single" w:sz="8" w:space="0" w:color="002C47"/>
            </w:tcBorders>
          </w:tcPr>
          <w:p w14:paraId="4D4776EC" w14:textId="77777777" w:rsidR="008B1EE9" w:rsidRDefault="008B1EE9" w:rsidP="00C4203D">
            <w:r>
              <w:t>Alanine transaminase</w:t>
            </w:r>
          </w:p>
        </w:tc>
      </w:tr>
      <w:tr w:rsidR="008B1EE9" w14:paraId="22AB0457"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D4F76F9" w14:textId="77777777" w:rsidR="008B1EE9" w:rsidRDefault="008B1EE9">
            <w:pPr>
              <w:rPr>
                <w:color w:val="000000"/>
              </w:rPr>
            </w:pPr>
            <w:r>
              <w:rPr>
                <w:color w:val="000000"/>
              </w:rPr>
              <w:t>ANC</w:t>
            </w:r>
          </w:p>
        </w:tc>
        <w:tc>
          <w:tcPr>
            <w:tcW w:w="3987" w:type="pct"/>
            <w:gridSpan w:val="2"/>
            <w:tcBorders>
              <w:top w:val="single" w:sz="8" w:space="0" w:color="002C47"/>
              <w:left w:val="single" w:sz="8" w:space="0" w:color="002C47"/>
              <w:bottom w:val="single" w:sz="8" w:space="0" w:color="002C47"/>
              <w:right w:val="single" w:sz="8" w:space="0" w:color="002C47"/>
            </w:tcBorders>
          </w:tcPr>
          <w:p w14:paraId="0C93F1AC" w14:textId="77777777" w:rsidR="008B1EE9" w:rsidRDefault="008B1EE9">
            <w:pPr>
              <w:rPr>
                <w:color w:val="000000"/>
              </w:rPr>
            </w:pPr>
            <w:r>
              <w:rPr>
                <w:color w:val="000000"/>
              </w:rPr>
              <w:t>Absolute neutrophil count</w:t>
            </w:r>
          </w:p>
        </w:tc>
      </w:tr>
      <w:tr w:rsidR="008B1EE9" w14:paraId="7247974E"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hideMark/>
          </w:tcPr>
          <w:p w14:paraId="15D24191" w14:textId="77777777" w:rsidR="008B1EE9" w:rsidRDefault="008B1EE9">
            <w:r>
              <w:t>ARTG</w:t>
            </w:r>
          </w:p>
        </w:tc>
        <w:tc>
          <w:tcPr>
            <w:tcW w:w="3987" w:type="pct"/>
            <w:gridSpan w:val="2"/>
            <w:tcBorders>
              <w:top w:val="single" w:sz="8" w:space="0" w:color="002C47"/>
              <w:left w:val="single" w:sz="8" w:space="0" w:color="002C47"/>
              <w:bottom w:val="single" w:sz="8" w:space="0" w:color="002C47"/>
              <w:right w:val="single" w:sz="8" w:space="0" w:color="002C47"/>
            </w:tcBorders>
            <w:hideMark/>
          </w:tcPr>
          <w:p w14:paraId="3E2A27D9" w14:textId="77777777" w:rsidR="008B1EE9" w:rsidRDefault="008B1EE9">
            <w:r>
              <w:t>Australian Register of Therapeutic Goods</w:t>
            </w:r>
          </w:p>
        </w:tc>
      </w:tr>
      <w:tr w:rsidR="008B1EE9" w14:paraId="562650DD"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hideMark/>
          </w:tcPr>
          <w:p w14:paraId="3F84859F" w14:textId="77777777" w:rsidR="008B1EE9" w:rsidRDefault="008B1EE9">
            <w:r>
              <w:t>ASA</w:t>
            </w:r>
          </w:p>
        </w:tc>
        <w:tc>
          <w:tcPr>
            <w:tcW w:w="3987" w:type="pct"/>
            <w:gridSpan w:val="2"/>
            <w:tcBorders>
              <w:top w:val="single" w:sz="8" w:space="0" w:color="002C47"/>
              <w:left w:val="single" w:sz="8" w:space="0" w:color="002C47"/>
              <w:bottom w:val="single" w:sz="8" w:space="0" w:color="002C47"/>
              <w:right w:val="single" w:sz="8" w:space="0" w:color="002C47"/>
            </w:tcBorders>
            <w:hideMark/>
          </w:tcPr>
          <w:p w14:paraId="5A06E905" w14:textId="77777777" w:rsidR="008B1EE9" w:rsidRDefault="008B1EE9">
            <w:r>
              <w:t>Australia specific annex</w:t>
            </w:r>
          </w:p>
        </w:tc>
      </w:tr>
      <w:tr w:rsidR="008B1EE9" w14:paraId="0BC7D628"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6F90548" w14:textId="77777777" w:rsidR="008B1EE9" w:rsidRDefault="008B1EE9" w:rsidP="00032647">
            <w:r>
              <w:t>AST</w:t>
            </w:r>
          </w:p>
        </w:tc>
        <w:tc>
          <w:tcPr>
            <w:tcW w:w="3987" w:type="pct"/>
            <w:gridSpan w:val="2"/>
            <w:tcBorders>
              <w:top w:val="single" w:sz="8" w:space="0" w:color="002C47"/>
              <w:left w:val="single" w:sz="8" w:space="0" w:color="002C47"/>
              <w:bottom w:val="single" w:sz="8" w:space="0" w:color="002C47"/>
              <w:right w:val="single" w:sz="8" w:space="0" w:color="002C47"/>
            </w:tcBorders>
          </w:tcPr>
          <w:p w14:paraId="6A4C4A35" w14:textId="77777777" w:rsidR="008B1EE9" w:rsidRDefault="008B1EE9" w:rsidP="00C4203D">
            <w:r>
              <w:t>Aspartate transaminase</w:t>
            </w:r>
          </w:p>
        </w:tc>
      </w:tr>
      <w:tr w:rsidR="008B1EE9" w14:paraId="6A720C2F"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0C6F7C86" w14:textId="77777777" w:rsidR="008B1EE9" w:rsidRDefault="008B1EE9">
            <w:pPr>
              <w:rPr>
                <w:color w:val="000000"/>
              </w:rPr>
            </w:pPr>
            <w:r>
              <w:rPr>
                <w:color w:val="000000"/>
              </w:rPr>
              <w:t>AUC</w:t>
            </w:r>
          </w:p>
        </w:tc>
        <w:tc>
          <w:tcPr>
            <w:tcW w:w="3987" w:type="pct"/>
            <w:gridSpan w:val="2"/>
            <w:tcBorders>
              <w:top w:val="single" w:sz="8" w:space="0" w:color="002C47"/>
              <w:left w:val="single" w:sz="8" w:space="0" w:color="002C47"/>
              <w:bottom w:val="single" w:sz="8" w:space="0" w:color="002C47"/>
              <w:right w:val="single" w:sz="8" w:space="0" w:color="002C47"/>
            </w:tcBorders>
          </w:tcPr>
          <w:p w14:paraId="2C08D8CD" w14:textId="77777777" w:rsidR="008B1EE9" w:rsidRDefault="008B1EE9">
            <w:pPr>
              <w:rPr>
                <w:color w:val="000000"/>
              </w:rPr>
            </w:pPr>
            <w:r>
              <w:rPr>
                <w:color w:val="000000"/>
              </w:rPr>
              <w:t>Area under the curve</w:t>
            </w:r>
          </w:p>
        </w:tc>
      </w:tr>
      <w:tr w:rsidR="008B1EE9" w14:paraId="14D9C43C"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344A4D81" w14:textId="77777777" w:rsidR="008B1EE9" w:rsidRDefault="008B1EE9" w:rsidP="00032647">
            <w:r>
              <w:t>BMI</w:t>
            </w:r>
          </w:p>
        </w:tc>
        <w:tc>
          <w:tcPr>
            <w:tcW w:w="3987" w:type="pct"/>
            <w:gridSpan w:val="2"/>
            <w:tcBorders>
              <w:top w:val="single" w:sz="8" w:space="0" w:color="002C47"/>
              <w:left w:val="single" w:sz="8" w:space="0" w:color="002C47"/>
              <w:bottom w:val="single" w:sz="8" w:space="0" w:color="002C47"/>
              <w:right w:val="single" w:sz="8" w:space="0" w:color="002C47"/>
            </w:tcBorders>
          </w:tcPr>
          <w:p w14:paraId="218C0CF5" w14:textId="77777777" w:rsidR="008B1EE9" w:rsidRDefault="008B1EE9" w:rsidP="00C4203D">
            <w:r>
              <w:t>Body mass index</w:t>
            </w:r>
          </w:p>
        </w:tc>
      </w:tr>
      <w:tr w:rsidR="008B1EE9" w14:paraId="59EDCDEB"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0149F23D" w14:textId="77777777" w:rsidR="008B1EE9" w:rsidRDefault="008B1EE9" w:rsidP="00032647">
            <w:r>
              <w:t>BSA</w:t>
            </w:r>
          </w:p>
        </w:tc>
        <w:tc>
          <w:tcPr>
            <w:tcW w:w="3987" w:type="pct"/>
            <w:gridSpan w:val="2"/>
            <w:tcBorders>
              <w:top w:val="single" w:sz="8" w:space="0" w:color="002C47"/>
              <w:left w:val="single" w:sz="8" w:space="0" w:color="002C47"/>
              <w:bottom w:val="single" w:sz="8" w:space="0" w:color="002C47"/>
              <w:right w:val="single" w:sz="8" w:space="0" w:color="002C47"/>
            </w:tcBorders>
          </w:tcPr>
          <w:p w14:paraId="0CDEC9BB" w14:textId="77777777" w:rsidR="008B1EE9" w:rsidRPr="00D30FEF" w:rsidRDefault="008B1EE9" w:rsidP="00C4203D">
            <w:r>
              <w:t>Body surface area</w:t>
            </w:r>
          </w:p>
        </w:tc>
      </w:tr>
      <w:tr w:rsidR="008B1EE9" w14:paraId="7B0DC3C6"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301A48D" w14:textId="77777777" w:rsidR="008B1EE9" w:rsidRDefault="008B1EE9">
            <w:pPr>
              <w:rPr>
                <w:color w:val="000000"/>
              </w:rPr>
            </w:pPr>
            <w:r>
              <w:rPr>
                <w:color w:val="000000"/>
              </w:rPr>
              <w:t>CI</w:t>
            </w:r>
          </w:p>
        </w:tc>
        <w:tc>
          <w:tcPr>
            <w:tcW w:w="3987" w:type="pct"/>
            <w:gridSpan w:val="2"/>
            <w:tcBorders>
              <w:top w:val="single" w:sz="8" w:space="0" w:color="002C47"/>
              <w:left w:val="single" w:sz="8" w:space="0" w:color="002C47"/>
              <w:bottom w:val="single" w:sz="8" w:space="0" w:color="002C47"/>
              <w:right w:val="single" w:sz="8" w:space="0" w:color="002C47"/>
            </w:tcBorders>
          </w:tcPr>
          <w:p w14:paraId="41126DDE" w14:textId="77777777" w:rsidR="008B1EE9" w:rsidRDefault="008B1EE9">
            <w:pPr>
              <w:rPr>
                <w:color w:val="000000"/>
              </w:rPr>
            </w:pPr>
            <w:r>
              <w:rPr>
                <w:color w:val="000000"/>
              </w:rPr>
              <w:t>Confidence interval</w:t>
            </w:r>
          </w:p>
        </w:tc>
      </w:tr>
      <w:tr w:rsidR="008B1EE9" w14:paraId="29BB9A0A"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5A1C72DF" w14:textId="77777777" w:rsidR="008B1EE9" w:rsidRPr="00032647" w:rsidRDefault="008B1EE9">
            <w:pPr>
              <w:rPr>
                <w:color w:val="000000"/>
                <w:vertAlign w:val="subscript"/>
              </w:rPr>
            </w:pPr>
            <w:r>
              <w:rPr>
                <w:color w:val="000000"/>
              </w:rPr>
              <w:t>C</w:t>
            </w:r>
            <w:r>
              <w:rPr>
                <w:color w:val="000000"/>
                <w:vertAlign w:val="subscript"/>
              </w:rPr>
              <w:t>max</w:t>
            </w:r>
          </w:p>
        </w:tc>
        <w:tc>
          <w:tcPr>
            <w:tcW w:w="3987" w:type="pct"/>
            <w:gridSpan w:val="2"/>
            <w:tcBorders>
              <w:top w:val="single" w:sz="8" w:space="0" w:color="002C47"/>
              <w:left w:val="single" w:sz="8" w:space="0" w:color="002C47"/>
              <w:bottom w:val="single" w:sz="8" w:space="0" w:color="002C47"/>
              <w:right w:val="single" w:sz="8" w:space="0" w:color="002C47"/>
            </w:tcBorders>
          </w:tcPr>
          <w:p w14:paraId="106FBD3D" w14:textId="77777777" w:rsidR="008B1EE9" w:rsidRDefault="008B1EE9">
            <w:pPr>
              <w:rPr>
                <w:color w:val="000000"/>
              </w:rPr>
            </w:pPr>
            <w:r>
              <w:rPr>
                <w:color w:val="000000"/>
              </w:rPr>
              <w:t>Maximum concentration</w:t>
            </w:r>
          </w:p>
        </w:tc>
      </w:tr>
      <w:tr w:rsidR="008B1EE9" w14:paraId="2BBD4B86"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D11330C" w14:textId="77777777" w:rsidR="008B1EE9" w:rsidRDefault="008B1EE9">
            <w:pPr>
              <w:rPr>
                <w:color w:val="000000"/>
              </w:rPr>
            </w:pPr>
            <w:r>
              <w:rPr>
                <w:color w:val="000000"/>
              </w:rPr>
              <w:t>CrCL</w:t>
            </w:r>
          </w:p>
        </w:tc>
        <w:tc>
          <w:tcPr>
            <w:tcW w:w="3987" w:type="pct"/>
            <w:gridSpan w:val="2"/>
            <w:tcBorders>
              <w:top w:val="single" w:sz="8" w:space="0" w:color="002C47"/>
              <w:left w:val="single" w:sz="8" w:space="0" w:color="002C47"/>
              <w:bottom w:val="single" w:sz="8" w:space="0" w:color="002C47"/>
              <w:right w:val="single" w:sz="8" w:space="0" w:color="002C47"/>
            </w:tcBorders>
          </w:tcPr>
          <w:p w14:paraId="37E01CCA" w14:textId="77777777" w:rsidR="008B1EE9" w:rsidRDefault="008B1EE9">
            <w:pPr>
              <w:rPr>
                <w:color w:val="000000"/>
              </w:rPr>
            </w:pPr>
            <w:r>
              <w:rPr>
                <w:color w:val="000000"/>
              </w:rPr>
              <w:t>Creatinine clearance</w:t>
            </w:r>
          </w:p>
        </w:tc>
      </w:tr>
      <w:tr w:rsidR="008B1EE9" w14:paraId="4CD07C86"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8071ADD" w14:textId="77777777" w:rsidR="008B1EE9" w:rsidRDefault="008B1EE9">
            <w:pPr>
              <w:rPr>
                <w:color w:val="000000"/>
              </w:rPr>
            </w:pPr>
            <w:r>
              <w:rPr>
                <w:color w:val="000000"/>
              </w:rPr>
              <w:t>CYP</w:t>
            </w:r>
          </w:p>
        </w:tc>
        <w:tc>
          <w:tcPr>
            <w:tcW w:w="3987" w:type="pct"/>
            <w:gridSpan w:val="2"/>
            <w:tcBorders>
              <w:top w:val="single" w:sz="8" w:space="0" w:color="002C47"/>
              <w:left w:val="single" w:sz="8" w:space="0" w:color="002C47"/>
              <w:bottom w:val="single" w:sz="8" w:space="0" w:color="002C47"/>
              <w:right w:val="single" w:sz="8" w:space="0" w:color="002C47"/>
            </w:tcBorders>
          </w:tcPr>
          <w:p w14:paraId="639E5930" w14:textId="77777777" w:rsidR="008B1EE9" w:rsidRDefault="008B1EE9">
            <w:pPr>
              <w:rPr>
                <w:color w:val="000000"/>
              </w:rPr>
            </w:pPr>
            <w:r>
              <w:rPr>
                <w:color w:val="000000"/>
              </w:rPr>
              <w:t>Cytochrome P450</w:t>
            </w:r>
          </w:p>
        </w:tc>
      </w:tr>
      <w:tr w:rsidR="008B1EE9" w14:paraId="2B5DB195"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hideMark/>
          </w:tcPr>
          <w:p w14:paraId="754604B5" w14:textId="77777777" w:rsidR="008B1EE9" w:rsidRDefault="008B1EE9">
            <w:r>
              <w:t>DLP</w:t>
            </w:r>
          </w:p>
        </w:tc>
        <w:tc>
          <w:tcPr>
            <w:tcW w:w="3987" w:type="pct"/>
            <w:gridSpan w:val="2"/>
            <w:tcBorders>
              <w:top w:val="single" w:sz="8" w:space="0" w:color="002C47"/>
              <w:left w:val="single" w:sz="8" w:space="0" w:color="002C47"/>
              <w:bottom w:val="single" w:sz="8" w:space="0" w:color="002C47"/>
              <w:right w:val="single" w:sz="8" w:space="0" w:color="002C47"/>
            </w:tcBorders>
            <w:hideMark/>
          </w:tcPr>
          <w:p w14:paraId="1A2F8067" w14:textId="77777777" w:rsidR="008B1EE9" w:rsidRDefault="008B1EE9">
            <w:r>
              <w:t>Data lock point</w:t>
            </w:r>
          </w:p>
        </w:tc>
      </w:tr>
      <w:tr w:rsidR="008B1EE9" w14:paraId="5B70B9D0"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44726384" w14:textId="77777777" w:rsidR="008B1EE9" w:rsidRDefault="008B1EE9" w:rsidP="00032647">
            <w:r>
              <w:t>DLQI</w:t>
            </w:r>
          </w:p>
        </w:tc>
        <w:tc>
          <w:tcPr>
            <w:tcW w:w="3987" w:type="pct"/>
            <w:gridSpan w:val="2"/>
            <w:tcBorders>
              <w:top w:val="single" w:sz="8" w:space="0" w:color="002C47"/>
              <w:left w:val="single" w:sz="8" w:space="0" w:color="002C47"/>
              <w:bottom w:val="single" w:sz="8" w:space="0" w:color="002C47"/>
              <w:right w:val="single" w:sz="8" w:space="0" w:color="002C47"/>
            </w:tcBorders>
          </w:tcPr>
          <w:p w14:paraId="7360963E" w14:textId="77777777" w:rsidR="008B1EE9" w:rsidRPr="00D30FEF" w:rsidRDefault="008B1EE9" w:rsidP="00C4203D">
            <w:r>
              <w:t>Dermatology Life Quality Index</w:t>
            </w:r>
          </w:p>
        </w:tc>
      </w:tr>
      <w:tr w:rsidR="008B1EE9" w14:paraId="552E1EE2"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0E9552FB" w14:textId="77777777" w:rsidR="008B1EE9" w:rsidRDefault="008B1EE9" w:rsidP="00032647">
            <w:r>
              <w:t>EAIR</w:t>
            </w:r>
          </w:p>
        </w:tc>
        <w:tc>
          <w:tcPr>
            <w:tcW w:w="3987" w:type="pct"/>
            <w:gridSpan w:val="2"/>
            <w:tcBorders>
              <w:top w:val="single" w:sz="8" w:space="0" w:color="002C47"/>
              <w:left w:val="single" w:sz="8" w:space="0" w:color="002C47"/>
              <w:bottom w:val="single" w:sz="8" w:space="0" w:color="002C47"/>
              <w:right w:val="single" w:sz="8" w:space="0" w:color="002C47"/>
            </w:tcBorders>
          </w:tcPr>
          <w:p w14:paraId="119D28AD" w14:textId="77777777" w:rsidR="008B1EE9" w:rsidRDefault="008B1EE9" w:rsidP="00C4203D">
            <w:r>
              <w:t>Exposure-adjusted incidence rate</w:t>
            </w:r>
          </w:p>
        </w:tc>
      </w:tr>
      <w:tr w:rsidR="008B1EE9" w14:paraId="106E63AD"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65639A1E" w14:textId="77777777" w:rsidR="008B1EE9" w:rsidRDefault="008B1EE9">
            <w:pPr>
              <w:rPr>
                <w:color w:val="000000"/>
              </w:rPr>
            </w:pPr>
            <w:r>
              <w:rPr>
                <w:color w:val="000000"/>
              </w:rPr>
              <w:t>EASI</w:t>
            </w:r>
          </w:p>
        </w:tc>
        <w:tc>
          <w:tcPr>
            <w:tcW w:w="3987" w:type="pct"/>
            <w:gridSpan w:val="2"/>
            <w:tcBorders>
              <w:top w:val="single" w:sz="8" w:space="0" w:color="002C47"/>
              <w:left w:val="single" w:sz="8" w:space="0" w:color="002C47"/>
              <w:bottom w:val="single" w:sz="8" w:space="0" w:color="002C47"/>
              <w:right w:val="single" w:sz="8" w:space="0" w:color="002C47"/>
            </w:tcBorders>
          </w:tcPr>
          <w:p w14:paraId="391C5ED2" w14:textId="77777777" w:rsidR="008B1EE9" w:rsidRDefault="008B1EE9">
            <w:pPr>
              <w:rPr>
                <w:color w:val="000000"/>
              </w:rPr>
            </w:pPr>
            <w:r>
              <w:rPr>
                <w:color w:val="000000"/>
              </w:rPr>
              <w:t>Eczema Area and Severity Index</w:t>
            </w:r>
          </w:p>
        </w:tc>
      </w:tr>
      <w:tr w:rsidR="008B1EE9" w14:paraId="0100D4E5"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75F29EF7" w14:textId="77777777" w:rsidR="008B1EE9" w:rsidRDefault="008B1EE9" w:rsidP="00032647">
            <w:r>
              <w:t>eGFR</w:t>
            </w:r>
          </w:p>
        </w:tc>
        <w:tc>
          <w:tcPr>
            <w:tcW w:w="3987" w:type="pct"/>
            <w:gridSpan w:val="2"/>
            <w:tcBorders>
              <w:top w:val="single" w:sz="8" w:space="0" w:color="002C47"/>
              <w:left w:val="single" w:sz="8" w:space="0" w:color="002C47"/>
              <w:bottom w:val="single" w:sz="8" w:space="0" w:color="002C47"/>
              <w:right w:val="single" w:sz="8" w:space="0" w:color="002C47"/>
            </w:tcBorders>
          </w:tcPr>
          <w:p w14:paraId="77C94FA1" w14:textId="77777777" w:rsidR="008B1EE9" w:rsidRDefault="008B1EE9" w:rsidP="00C4203D">
            <w:r>
              <w:rPr>
                <w:lang w:val="en-US"/>
              </w:rPr>
              <w:t>Estimated glomerular filtration rate</w:t>
            </w:r>
          </w:p>
        </w:tc>
      </w:tr>
      <w:tr w:rsidR="008B1EE9" w14:paraId="6A821EB1"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7F3FCFB" w14:textId="77777777" w:rsidR="008B1EE9" w:rsidRDefault="008B1EE9">
            <w:pPr>
              <w:rPr>
                <w:color w:val="000000"/>
              </w:rPr>
            </w:pPr>
            <w:r>
              <w:rPr>
                <w:color w:val="000000"/>
              </w:rPr>
              <w:t>EMA</w:t>
            </w:r>
          </w:p>
        </w:tc>
        <w:tc>
          <w:tcPr>
            <w:tcW w:w="3987" w:type="pct"/>
            <w:gridSpan w:val="2"/>
            <w:tcBorders>
              <w:top w:val="single" w:sz="8" w:space="0" w:color="002C47"/>
              <w:left w:val="single" w:sz="8" w:space="0" w:color="002C47"/>
              <w:bottom w:val="single" w:sz="8" w:space="0" w:color="002C47"/>
              <w:right w:val="single" w:sz="8" w:space="0" w:color="002C47"/>
            </w:tcBorders>
          </w:tcPr>
          <w:p w14:paraId="063CEDF9" w14:textId="77777777" w:rsidR="008B1EE9" w:rsidRDefault="008B1EE9">
            <w:pPr>
              <w:rPr>
                <w:color w:val="000000"/>
              </w:rPr>
            </w:pPr>
            <w:r>
              <w:rPr>
                <w:color w:val="000000"/>
              </w:rPr>
              <w:t>European Medicines Agency (European Union)</w:t>
            </w:r>
          </w:p>
        </w:tc>
      </w:tr>
      <w:tr w:rsidR="008B1EE9" w14:paraId="2BCF7119"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CE05B76" w14:textId="77777777" w:rsidR="008B1EE9" w:rsidRDefault="008B1EE9" w:rsidP="00032647">
            <w:r>
              <w:lastRenderedPageBreak/>
              <w:t>ePRO</w:t>
            </w:r>
          </w:p>
        </w:tc>
        <w:tc>
          <w:tcPr>
            <w:tcW w:w="3987" w:type="pct"/>
            <w:gridSpan w:val="2"/>
            <w:tcBorders>
              <w:top w:val="single" w:sz="8" w:space="0" w:color="002C47"/>
              <w:left w:val="single" w:sz="8" w:space="0" w:color="002C47"/>
              <w:bottom w:val="single" w:sz="8" w:space="0" w:color="002C47"/>
              <w:right w:val="single" w:sz="8" w:space="0" w:color="002C47"/>
            </w:tcBorders>
          </w:tcPr>
          <w:p w14:paraId="66216FEB" w14:textId="77777777" w:rsidR="008B1EE9" w:rsidRPr="00D30FEF" w:rsidRDefault="008B1EE9" w:rsidP="00C4203D">
            <w:r>
              <w:t>Electronic patient-reported outcome</w:t>
            </w:r>
          </w:p>
        </w:tc>
      </w:tr>
      <w:tr w:rsidR="008B1EE9" w14:paraId="0F4C4389"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5032A70B" w14:textId="77777777" w:rsidR="008B1EE9" w:rsidRDefault="008B1EE9">
            <w:pPr>
              <w:rPr>
                <w:color w:val="000000"/>
              </w:rPr>
            </w:pPr>
            <w:r>
              <w:rPr>
                <w:color w:val="000000"/>
              </w:rPr>
              <w:t>EU</w:t>
            </w:r>
          </w:p>
        </w:tc>
        <w:tc>
          <w:tcPr>
            <w:tcW w:w="3987" w:type="pct"/>
            <w:gridSpan w:val="2"/>
            <w:tcBorders>
              <w:top w:val="single" w:sz="8" w:space="0" w:color="002C47"/>
              <w:left w:val="single" w:sz="8" w:space="0" w:color="002C47"/>
              <w:bottom w:val="single" w:sz="8" w:space="0" w:color="002C47"/>
              <w:right w:val="single" w:sz="8" w:space="0" w:color="002C47"/>
            </w:tcBorders>
          </w:tcPr>
          <w:p w14:paraId="423F3E77" w14:textId="77777777" w:rsidR="008B1EE9" w:rsidRDefault="008B1EE9">
            <w:pPr>
              <w:rPr>
                <w:color w:val="000000"/>
              </w:rPr>
            </w:pPr>
            <w:r>
              <w:rPr>
                <w:color w:val="000000"/>
              </w:rPr>
              <w:t>European Union</w:t>
            </w:r>
          </w:p>
        </w:tc>
      </w:tr>
      <w:tr w:rsidR="008B1EE9" w14:paraId="3E7ECC3C"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7BC78C3F" w14:textId="77777777" w:rsidR="008B1EE9" w:rsidRDefault="008B1EE9">
            <w:pPr>
              <w:rPr>
                <w:color w:val="000000"/>
              </w:rPr>
            </w:pPr>
            <w:r>
              <w:rPr>
                <w:color w:val="000000"/>
              </w:rPr>
              <w:t>FDA</w:t>
            </w:r>
          </w:p>
        </w:tc>
        <w:tc>
          <w:tcPr>
            <w:tcW w:w="3987" w:type="pct"/>
            <w:gridSpan w:val="2"/>
            <w:tcBorders>
              <w:top w:val="single" w:sz="8" w:space="0" w:color="002C47"/>
              <w:left w:val="single" w:sz="8" w:space="0" w:color="002C47"/>
              <w:bottom w:val="single" w:sz="8" w:space="0" w:color="002C47"/>
              <w:right w:val="single" w:sz="8" w:space="0" w:color="002C47"/>
            </w:tcBorders>
          </w:tcPr>
          <w:p w14:paraId="315C56E8" w14:textId="77777777" w:rsidR="008B1EE9" w:rsidRDefault="008B1EE9">
            <w:pPr>
              <w:rPr>
                <w:color w:val="000000"/>
              </w:rPr>
            </w:pPr>
            <w:r>
              <w:rPr>
                <w:color w:val="000000"/>
              </w:rPr>
              <w:t>Food and Drug Administration (United States of America)</w:t>
            </w:r>
          </w:p>
        </w:tc>
      </w:tr>
      <w:tr w:rsidR="008B1EE9" w14:paraId="50FA5538"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216DFE5A" w14:textId="77777777" w:rsidR="008B1EE9" w:rsidRDefault="008B1EE9">
            <w:pPr>
              <w:rPr>
                <w:color w:val="000000"/>
              </w:rPr>
            </w:pPr>
            <w:r>
              <w:rPr>
                <w:color w:val="000000"/>
              </w:rPr>
              <w:t>GCP</w:t>
            </w:r>
          </w:p>
        </w:tc>
        <w:tc>
          <w:tcPr>
            <w:tcW w:w="3987" w:type="pct"/>
            <w:gridSpan w:val="2"/>
            <w:tcBorders>
              <w:top w:val="single" w:sz="8" w:space="0" w:color="002C47"/>
              <w:left w:val="single" w:sz="8" w:space="0" w:color="002C47"/>
              <w:bottom w:val="single" w:sz="8" w:space="0" w:color="002C47"/>
              <w:right w:val="single" w:sz="8" w:space="0" w:color="002C47"/>
            </w:tcBorders>
          </w:tcPr>
          <w:p w14:paraId="13C39365" w14:textId="77777777" w:rsidR="008B1EE9" w:rsidRDefault="008B1EE9">
            <w:pPr>
              <w:rPr>
                <w:color w:val="000000"/>
              </w:rPr>
            </w:pPr>
            <w:r>
              <w:rPr>
                <w:color w:val="000000"/>
              </w:rPr>
              <w:t>Good Clinical Practice</w:t>
            </w:r>
          </w:p>
        </w:tc>
      </w:tr>
      <w:tr w:rsidR="008B1EE9" w14:paraId="7BFB9686"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2EA422C8" w14:textId="77777777" w:rsidR="008B1EE9" w:rsidRDefault="008B1EE9">
            <w:pPr>
              <w:rPr>
                <w:color w:val="000000"/>
              </w:rPr>
            </w:pPr>
            <w:r>
              <w:rPr>
                <w:color w:val="000000"/>
              </w:rPr>
              <w:t>GMP</w:t>
            </w:r>
          </w:p>
        </w:tc>
        <w:tc>
          <w:tcPr>
            <w:tcW w:w="3987" w:type="pct"/>
            <w:gridSpan w:val="2"/>
            <w:tcBorders>
              <w:top w:val="single" w:sz="8" w:space="0" w:color="002C47"/>
              <w:left w:val="single" w:sz="8" w:space="0" w:color="002C47"/>
              <w:bottom w:val="single" w:sz="8" w:space="0" w:color="002C47"/>
              <w:right w:val="single" w:sz="8" w:space="0" w:color="002C47"/>
            </w:tcBorders>
          </w:tcPr>
          <w:p w14:paraId="69D71989" w14:textId="77777777" w:rsidR="008B1EE9" w:rsidRDefault="008B1EE9">
            <w:pPr>
              <w:rPr>
                <w:color w:val="000000"/>
              </w:rPr>
            </w:pPr>
            <w:r>
              <w:rPr>
                <w:color w:val="000000"/>
              </w:rPr>
              <w:t>Good Manufacturing Practice</w:t>
            </w:r>
          </w:p>
        </w:tc>
      </w:tr>
      <w:tr w:rsidR="008B1EE9" w14:paraId="4651E31A"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7DCA993F" w14:textId="77777777" w:rsidR="008B1EE9" w:rsidRDefault="008B1EE9" w:rsidP="00032647">
            <w:r>
              <w:t>HADS</w:t>
            </w:r>
          </w:p>
        </w:tc>
        <w:tc>
          <w:tcPr>
            <w:tcW w:w="3987" w:type="pct"/>
            <w:gridSpan w:val="2"/>
            <w:tcBorders>
              <w:top w:val="single" w:sz="8" w:space="0" w:color="002C47"/>
              <w:left w:val="single" w:sz="8" w:space="0" w:color="002C47"/>
              <w:bottom w:val="single" w:sz="8" w:space="0" w:color="002C47"/>
              <w:right w:val="single" w:sz="8" w:space="0" w:color="002C47"/>
            </w:tcBorders>
          </w:tcPr>
          <w:p w14:paraId="60660EC7" w14:textId="77777777" w:rsidR="008B1EE9" w:rsidRPr="00D30FEF" w:rsidRDefault="008B1EE9" w:rsidP="00C4203D">
            <w:r>
              <w:t>Hospital Anxiety and Depression Scale</w:t>
            </w:r>
          </w:p>
        </w:tc>
      </w:tr>
      <w:tr w:rsidR="008B1EE9" w14:paraId="5AA06F7B"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4E822B1F" w14:textId="77777777" w:rsidR="008B1EE9" w:rsidRDefault="008B1EE9" w:rsidP="00032647">
            <w:r>
              <w:t>HCP</w:t>
            </w:r>
          </w:p>
        </w:tc>
        <w:tc>
          <w:tcPr>
            <w:tcW w:w="3987" w:type="pct"/>
            <w:gridSpan w:val="2"/>
            <w:tcBorders>
              <w:top w:val="single" w:sz="8" w:space="0" w:color="002C47"/>
              <w:left w:val="single" w:sz="8" w:space="0" w:color="002C47"/>
              <w:bottom w:val="single" w:sz="8" w:space="0" w:color="002C47"/>
              <w:right w:val="single" w:sz="8" w:space="0" w:color="002C47"/>
            </w:tcBorders>
          </w:tcPr>
          <w:p w14:paraId="72BD1375" w14:textId="540AF809" w:rsidR="008B1EE9" w:rsidRDefault="008B1EE9" w:rsidP="00C4203D">
            <w:r>
              <w:t>Healthcare Professional</w:t>
            </w:r>
          </w:p>
        </w:tc>
      </w:tr>
      <w:tr w:rsidR="008B1EE9" w14:paraId="76DEE186"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57E1A4D0" w14:textId="77777777" w:rsidR="008B1EE9" w:rsidRDefault="008B1EE9" w:rsidP="00032647">
            <w:r>
              <w:t>HECSI</w:t>
            </w:r>
          </w:p>
        </w:tc>
        <w:tc>
          <w:tcPr>
            <w:tcW w:w="3987" w:type="pct"/>
            <w:gridSpan w:val="2"/>
            <w:tcBorders>
              <w:top w:val="single" w:sz="8" w:space="0" w:color="002C47"/>
              <w:left w:val="single" w:sz="8" w:space="0" w:color="002C47"/>
              <w:bottom w:val="single" w:sz="8" w:space="0" w:color="002C47"/>
              <w:right w:val="single" w:sz="8" w:space="0" w:color="002C47"/>
            </w:tcBorders>
          </w:tcPr>
          <w:p w14:paraId="067CA552" w14:textId="77777777" w:rsidR="008B1EE9" w:rsidRPr="00D30FEF" w:rsidRDefault="008B1EE9" w:rsidP="00C4203D">
            <w:r>
              <w:t>Hand Eczema Severity Index</w:t>
            </w:r>
          </w:p>
        </w:tc>
      </w:tr>
      <w:tr w:rsidR="008B1EE9" w14:paraId="340BC076"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5F7ECE5C" w14:textId="77777777" w:rsidR="008B1EE9" w:rsidRDefault="008B1EE9">
            <w:pPr>
              <w:rPr>
                <w:color w:val="000000"/>
              </w:rPr>
            </w:pPr>
            <w:r>
              <w:rPr>
                <w:color w:val="000000"/>
              </w:rPr>
              <w:t>IGA</w:t>
            </w:r>
          </w:p>
        </w:tc>
        <w:tc>
          <w:tcPr>
            <w:tcW w:w="3987" w:type="pct"/>
            <w:gridSpan w:val="2"/>
            <w:tcBorders>
              <w:top w:val="single" w:sz="8" w:space="0" w:color="002C47"/>
              <w:left w:val="single" w:sz="8" w:space="0" w:color="002C47"/>
              <w:bottom w:val="single" w:sz="8" w:space="0" w:color="002C47"/>
              <w:right w:val="single" w:sz="8" w:space="0" w:color="002C47"/>
            </w:tcBorders>
          </w:tcPr>
          <w:p w14:paraId="1EBF82DB" w14:textId="77777777" w:rsidR="008B1EE9" w:rsidRDefault="008B1EE9">
            <w:pPr>
              <w:rPr>
                <w:color w:val="000000"/>
              </w:rPr>
            </w:pPr>
            <w:r>
              <w:rPr>
                <w:color w:val="000000"/>
              </w:rPr>
              <w:t>Investigator’s Global Assessment</w:t>
            </w:r>
          </w:p>
        </w:tc>
      </w:tr>
      <w:tr w:rsidR="008B1EE9" w14:paraId="26BBF2A1"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41E32B7C" w14:textId="77777777" w:rsidR="008B1EE9" w:rsidRDefault="008B1EE9">
            <w:pPr>
              <w:rPr>
                <w:color w:val="000000"/>
              </w:rPr>
            </w:pPr>
            <w:r>
              <w:rPr>
                <w:color w:val="000000"/>
              </w:rPr>
              <w:t>IL</w:t>
            </w:r>
          </w:p>
        </w:tc>
        <w:tc>
          <w:tcPr>
            <w:tcW w:w="3987" w:type="pct"/>
            <w:gridSpan w:val="2"/>
            <w:tcBorders>
              <w:top w:val="single" w:sz="8" w:space="0" w:color="002C47"/>
              <w:left w:val="single" w:sz="8" w:space="0" w:color="002C47"/>
              <w:bottom w:val="single" w:sz="8" w:space="0" w:color="002C47"/>
              <w:right w:val="single" w:sz="8" w:space="0" w:color="002C47"/>
            </w:tcBorders>
          </w:tcPr>
          <w:p w14:paraId="43080BDD" w14:textId="77777777" w:rsidR="008B1EE9" w:rsidRDefault="008B1EE9">
            <w:pPr>
              <w:rPr>
                <w:color w:val="000000"/>
              </w:rPr>
            </w:pPr>
            <w:r>
              <w:rPr>
                <w:color w:val="000000"/>
              </w:rPr>
              <w:t>Interleukin</w:t>
            </w:r>
          </w:p>
        </w:tc>
      </w:tr>
      <w:tr w:rsidR="008B1EE9" w14:paraId="5A67430F"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357E00F" w14:textId="77777777" w:rsidR="008B1EE9" w:rsidRDefault="008B1EE9" w:rsidP="00032647">
            <w:r>
              <w:t>ITT</w:t>
            </w:r>
          </w:p>
        </w:tc>
        <w:tc>
          <w:tcPr>
            <w:tcW w:w="3987" w:type="pct"/>
            <w:gridSpan w:val="2"/>
            <w:tcBorders>
              <w:top w:val="single" w:sz="8" w:space="0" w:color="002C47"/>
              <w:left w:val="single" w:sz="8" w:space="0" w:color="002C47"/>
              <w:bottom w:val="single" w:sz="8" w:space="0" w:color="002C47"/>
              <w:right w:val="single" w:sz="8" w:space="0" w:color="002C47"/>
            </w:tcBorders>
          </w:tcPr>
          <w:p w14:paraId="2D3B638F" w14:textId="77777777" w:rsidR="008B1EE9" w:rsidRPr="00D30FEF" w:rsidRDefault="008B1EE9" w:rsidP="00C4203D">
            <w:r>
              <w:t>Intent-to-treat</w:t>
            </w:r>
          </w:p>
        </w:tc>
      </w:tr>
      <w:tr w:rsidR="008B1EE9" w14:paraId="37BB211B"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468475AF" w14:textId="77777777" w:rsidR="008B1EE9" w:rsidRDefault="008B1EE9">
            <w:pPr>
              <w:rPr>
                <w:color w:val="000000"/>
              </w:rPr>
            </w:pPr>
            <w:r>
              <w:rPr>
                <w:color w:val="000000"/>
              </w:rPr>
              <w:t>JAK</w:t>
            </w:r>
          </w:p>
        </w:tc>
        <w:tc>
          <w:tcPr>
            <w:tcW w:w="3987" w:type="pct"/>
            <w:gridSpan w:val="2"/>
            <w:tcBorders>
              <w:top w:val="single" w:sz="8" w:space="0" w:color="002C47"/>
              <w:left w:val="single" w:sz="8" w:space="0" w:color="002C47"/>
              <w:bottom w:val="single" w:sz="8" w:space="0" w:color="002C47"/>
              <w:right w:val="single" w:sz="8" w:space="0" w:color="002C47"/>
            </w:tcBorders>
          </w:tcPr>
          <w:p w14:paraId="62A38F3E" w14:textId="77777777" w:rsidR="008B1EE9" w:rsidRDefault="008B1EE9">
            <w:pPr>
              <w:rPr>
                <w:color w:val="000000"/>
              </w:rPr>
            </w:pPr>
            <w:r>
              <w:rPr>
                <w:color w:val="000000"/>
              </w:rPr>
              <w:t>Janus kinase</w:t>
            </w:r>
          </w:p>
        </w:tc>
      </w:tr>
      <w:tr w:rsidR="008B1EE9" w14:paraId="3C7B4830"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6462ABF" w14:textId="77777777" w:rsidR="008B1EE9" w:rsidRDefault="008B1EE9" w:rsidP="00032647">
            <w:r>
              <w:t>MCID</w:t>
            </w:r>
          </w:p>
        </w:tc>
        <w:tc>
          <w:tcPr>
            <w:tcW w:w="3987" w:type="pct"/>
            <w:gridSpan w:val="2"/>
            <w:tcBorders>
              <w:top w:val="single" w:sz="8" w:space="0" w:color="002C47"/>
              <w:left w:val="single" w:sz="8" w:space="0" w:color="002C47"/>
              <w:bottom w:val="single" w:sz="8" w:space="0" w:color="002C47"/>
              <w:right w:val="single" w:sz="8" w:space="0" w:color="002C47"/>
            </w:tcBorders>
          </w:tcPr>
          <w:p w14:paraId="1CE29BAF" w14:textId="77777777" w:rsidR="008B1EE9" w:rsidRPr="00D30FEF" w:rsidRDefault="008B1EE9" w:rsidP="00C4203D">
            <w:r>
              <w:t>Minimal clinically important difference</w:t>
            </w:r>
          </w:p>
        </w:tc>
      </w:tr>
      <w:tr w:rsidR="008B1EE9" w14:paraId="7C8150B3"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608D3B71" w14:textId="77777777" w:rsidR="008B1EE9" w:rsidRDefault="008B1EE9" w:rsidP="00032647">
            <w:r>
              <w:t>MedDRA</w:t>
            </w:r>
          </w:p>
        </w:tc>
        <w:tc>
          <w:tcPr>
            <w:tcW w:w="3987" w:type="pct"/>
            <w:gridSpan w:val="2"/>
            <w:tcBorders>
              <w:top w:val="single" w:sz="8" w:space="0" w:color="002C47"/>
              <w:left w:val="single" w:sz="8" w:space="0" w:color="002C47"/>
              <w:bottom w:val="single" w:sz="8" w:space="0" w:color="002C47"/>
              <w:right w:val="single" w:sz="8" w:space="0" w:color="002C47"/>
            </w:tcBorders>
          </w:tcPr>
          <w:p w14:paraId="252E4E5F" w14:textId="77777777" w:rsidR="008B1EE9" w:rsidRDefault="008B1EE9" w:rsidP="00C4203D">
            <w:r>
              <w:t>Medical Dictionary for Regulatory Affairs</w:t>
            </w:r>
          </w:p>
        </w:tc>
      </w:tr>
      <w:tr w:rsidR="008B1EE9" w14:paraId="268BEE69"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0801DA18" w14:textId="77777777" w:rsidR="008B1EE9" w:rsidRDefault="008B1EE9" w:rsidP="00032647">
            <w:r>
              <w:t>MMRM</w:t>
            </w:r>
          </w:p>
        </w:tc>
        <w:tc>
          <w:tcPr>
            <w:tcW w:w="3987" w:type="pct"/>
            <w:gridSpan w:val="2"/>
            <w:tcBorders>
              <w:top w:val="single" w:sz="8" w:space="0" w:color="002C47"/>
              <w:left w:val="single" w:sz="8" w:space="0" w:color="002C47"/>
              <w:bottom w:val="single" w:sz="8" w:space="0" w:color="002C47"/>
              <w:right w:val="single" w:sz="8" w:space="0" w:color="002C47"/>
            </w:tcBorders>
          </w:tcPr>
          <w:p w14:paraId="4A186FF5" w14:textId="2296A768" w:rsidR="008B1EE9" w:rsidRPr="00D30FEF" w:rsidRDefault="00DD74F9" w:rsidP="00C4203D">
            <w:r w:rsidRPr="00DD74F9">
              <w:t>Mixed Models for Repeated Measures</w:t>
            </w:r>
          </w:p>
        </w:tc>
      </w:tr>
      <w:tr w:rsidR="008B1EE9" w14:paraId="1CF99B69"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6145F4E7" w14:textId="77777777" w:rsidR="008B1EE9" w:rsidRDefault="008B1EE9">
            <w:pPr>
              <w:rPr>
                <w:color w:val="000000"/>
              </w:rPr>
            </w:pPr>
            <w:r>
              <w:rPr>
                <w:color w:val="000000"/>
              </w:rPr>
              <w:t>NB-UV</w:t>
            </w:r>
          </w:p>
        </w:tc>
        <w:tc>
          <w:tcPr>
            <w:tcW w:w="3987" w:type="pct"/>
            <w:gridSpan w:val="2"/>
            <w:tcBorders>
              <w:top w:val="single" w:sz="8" w:space="0" w:color="002C47"/>
              <w:left w:val="single" w:sz="8" w:space="0" w:color="002C47"/>
              <w:bottom w:val="single" w:sz="8" w:space="0" w:color="002C47"/>
              <w:right w:val="single" w:sz="8" w:space="0" w:color="002C47"/>
            </w:tcBorders>
          </w:tcPr>
          <w:p w14:paraId="53D13C0D" w14:textId="77777777" w:rsidR="008B1EE9" w:rsidRDefault="008B1EE9">
            <w:pPr>
              <w:rPr>
                <w:color w:val="000000"/>
              </w:rPr>
            </w:pPr>
            <w:r>
              <w:rPr>
                <w:color w:val="000000"/>
              </w:rPr>
              <w:t>Narrowband ultraviolet</w:t>
            </w:r>
          </w:p>
        </w:tc>
      </w:tr>
      <w:tr w:rsidR="008B1EE9" w14:paraId="62419E1E"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2ECBD912" w14:textId="77777777" w:rsidR="008B1EE9" w:rsidRDefault="008B1EE9" w:rsidP="00032647">
            <w:r>
              <w:t>NRI-C</w:t>
            </w:r>
          </w:p>
        </w:tc>
        <w:tc>
          <w:tcPr>
            <w:tcW w:w="3987" w:type="pct"/>
            <w:gridSpan w:val="2"/>
            <w:tcBorders>
              <w:top w:val="single" w:sz="8" w:space="0" w:color="002C47"/>
              <w:left w:val="single" w:sz="8" w:space="0" w:color="002C47"/>
              <w:bottom w:val="single" w:sz="8" w:space="0" w:color="002C47"/>
              <w:right w:val="single" w:sz="8" w:space="0" w:color="002C47"/>
            </w:tcBorders>
          </w:tcPr>
          <w:p w14:paraId="5D535DC8" w14:textId="77777777" w:rsidR="008B1EE9" w:rsidRPr="00D30FEF" w:rsidRDefault="008B1EE9" w:rsidP="00C4203D">
            <w:r>
              <w:t>N</w:t>
            </w:r>
            <w:r w:rsidRPr="00C7127A">
              <w:t>on-responder imputation while incorporating multiple imputation to handle missing data due to COVID-19</w:t>
            </w:r>
          </w:p>
        </w:tc>
      </w:tr>
      <w:tr w:rsidR="008B1EE9" w14:paraId="140C742E"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0A5BC449" w14:textId="77777777" w:rsidR="008B1EE9" w:rsidRDefault="008B1EE9">
            <w:pPr>
              <w:rPr>
                <w:color w:val="000000"/>
              </w:rPr>
            </w:pPr>
            <w:r>
              <w:rPr>
                <w:color w:val="000000"/>
              </w:rPr>
              <w:t>NRS</w:t>
            </w:r>
          </w:p>
        </w:tc>
        <w:tc>
          <w:tcPr>
            <w:tcW w:w="3987" w:type="pct"/>
            <w:gridSpan w:val="2"/>
            <w:tcBorders>
              <w:top w:val="single" w:sz="8" w:space="0" w:color="002C47"/>
              <w:left w:val="single" w:sz="8" w:space="0" w:color="002C47"/>
              <w:bottom w:val="single" w:sz="8" w:space="0" w:color="002C47"/>
              <w:right w:val="single" w:sz="8" w:space="0" w:color="002C47"/>
            </w:tcBorders>
          </w:tcPr>
          <w:p w14:paraId="7D85E0C2" w14:textId="77777777" w:rsidR="008B1EE9" w:rsidRDefault="008B1EE9">
            <w:pPr>
              <w:rPr>
                <w:color w:val="000000"/>
              </w:rPr>
            </w:pPr>
            <w:r>
              <w:rPr>
                <w:color w:val="000000"/>
              </w:rPr>
              <w:t>Numerical rating scale</w:t>
            </w:r>
          </w:p>
        </w:tc>
      </w:tr>
      <w:tr w:rsidR="008B1EE9" w14:paraId="51AA16F2"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3CD1CC5F" w14:textId="77777777" w:rsidR="008B1EE9" w:rsidRDefault="008B1EE9" w:rsidP="00032647">
            <w:r>
              <w:t>PAC</w:t>
            </w:r>
          </w:p>
        </w:tc>
        <w:tc>
          <w:tcPr>
            <w:tcW w:w="3987" w:type="pct"/>
            <w:gridSpan w:val="2"/>
            <w:tcBorders>
              <w:top w:val="single" w:sz="8" w:space="0" w:color="002C47"/>
              <w:left w:val="single" w:sz="8" w:space="0" w:color="002C47"/>
              <w:bottom w:val="single" w:sz="8" w:space="0" w:color="002C47"/>
              <w:right w:val="single" w:sz="8" w:space="0" w:color="002C47"/>
            </w:tcBorders>
          </w:tcPr>
          <w:p w14:paraId="579A332D" w14:textId="77777777" w:rsidR="008B1EE9" w:rsidRDefault="008B1EE9" w:rsidP="00C4203D">
            <w:r>
              <w:t>Patient Alert Card</w:t>
            </w:r>
          </w:p>
        </w:tc>
      </w:tr>
      <w:tr w:rsidR="008B1EE9" w14:paraId="60A2E13B"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053F1457" w14:textId="77777777" w:rsidR="008B1EE9" w:rsidRDefault="008B1EE9">
            <w:pPr>
              <w:rPr>
                <w:color w:val="000000"/>
              </w:rPr>
            </w:pPr>
            <w:r>
              <w:rPr>
                <w:color w:val="000000"/>
              </w:rPr>
              <w:t>PIP</w:t>
            </w:r>
          </w:p>
        </w:tc>
        <w:tc>
          <w:tcPr>
            <w:tcW w:w="3987" w:type="pct"/>
            <w:gridSpan w:val="2"/>
            <w:tcBorders>
              <w:top w:val="single" w:sz="8" w:space="0" w:color="002C47"/>
              <w:left w:val="single" w:sz="8" w:space="0" w:color="002C47"/>
              <w:bottom w:val="single" w:sz="8" w:space="0" w:color="002C47"/>
              <w:right w:val="single" w:sz="8" w:space="0" w:color="002C47"/>
            </w:tcBorders>
          </w:tcPr>
          <w:p w14:paraId="5FFBF996" w14:textId="77777777" w:rsidR="008B1EE9" w:rsidRDefault="008B1EE9">
            <w:pPr>
              <w:rPr>
                <w:color w:val="000000"/>
              </w:rPr>
            </w:pPr>
            <w:r>
              <w:rPr>
                <w:color w:val="000000"/>
              </w:rPr>
              <w:t>Paediatric Investigation Plan (European Union)</w:t>
            </w:r>
          </w:p>
        </w:tc>
      </w:tr>
      <w:tr w:rsidR="008B1EE9" w14:paraId="6FCC82F1"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63A78A4B" w14:textId="77777777" w:rsidR="008B1EE9" w:rsidRDefault="008B1EE9">
            <w:pPr>
              <w:rPr>
                <w:color w:val="000000"/>
              </w:rPr>
            </w:pPr>
            <w:r>
              <w:rPr>
                <w:color w:val="000000"/>
              </w:rPr>
              <w:t>PIP</w:t>
            </w:r>
          </w:p>
        </w:tc>
        <w:tc>
          <w:tcPr>
            <w:tcW w:w="3987" w:type="pct"/>
            <w:gridSpan w:val="2"/>
            <w:tcBorders>
              <w:top w:val="single" w:sz="8" w:space="0" w:color="002C47"/>
              <w:left w:val="single" w:sz="8" w:space="0" w:color="002C47"/>
              <w:bottom w:val="single" w:sz="8" w:space="0" w:color="002C47"/>
              <w:right w:val="single" w:sz="8" w:space="0" w:color="002C47"/>
            </w:tcBorders>
          </w:tcPr>
          <w:p w14:paraId="2D7154BC" w14:textId="77777777" w:rsidR="008B1EE9" w:rsidRDefault="008B1EE9">
            <w:pPr>
              <w:rPr>
                <w:color w:val="000000"/>
              </w:rPr>
            </w:pPr>
            <w:r>
              <w:rPr>
                <w:color w:val="000000"/>
              </w:rPr>
              <w:t>Paediatric Investigation Plan (European Medicines Agency)</w:t>
            </w:r>
          </w:p>
        </w:tc>
      </w:tr>
      <w:tr w:rsidR="008B1EE9" w14:paraId="1357F290"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3C83ECE" w14:textId="77777777" w:rsidR="008B1EE9" w:rsidRDefault="008B1EE9">
            <w:pPr>
              <w:rPr>
                <w:color w:val="000000"/>
              </w:rPr>
            </w:pPr>
            <w:r>
              <w:rPr>
                <w:color w:val="000000"/>
              </w:rPr>
              <w:t>PK</w:t>
            </w:r>
          </w:p>
        </w:tc>
        <w:tc>
          <w:tcPr>
            <w:tcW w:w="3987" w:type="pct"/>
            <w:gridSpan w:val="2"/>
            <w:tcBorders>
              <w:top w:val="single" w:sz="8" w:space="0" w:color="002C47"/>
              <w:left w:val="single" w:sz="8" w:space="0" w:color="002C47"/>
              <w:bottom w:val="single" w:sz="8" w:space="0" w:color="002C47"/>
              <w:right w:val="single" w:sz="8" w:space="0" w:color="002C47"/>
            </w:tcBorders>
          </w:tcPr>
          <w:p w14:paraId="041E2401" w14:textId="77777777" w:rsidR="008B1EE9" w:rsidRDefault="008B1EE9">
            <w:pPr>
              <w:rPr>
                <w:color w:val="000000"/>
              </w:rPr>
            </w:pPr>
            <w:r>
              <w:rPr>
                <w:color w:val="000000"/>
              </w:rPr>
              <w:t>Pharmacokinetic(s)</w:t>
            </w:r>
          </w:p>
        </w:tc>
      </w:tr>
      <w:tr w:rsidR="008B1EE9" w14:paraId="54B19593"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30013AA2" w14:textId="77777777" w:rsidR="008B1EE9" w:rsidRDefault="008B1EE9">
            <w:pPr>
              <w:rPr>
                <w:color w:val="000000"/>
              </w:rPr>
            </w:pPr>
            <w:r>
              <w:rPr>
                <w:color w:val="000000"/>
              </w:rPr>
              <w:t>PMDA</w:t>
            </w:r>
          </w:p>
        </w:tc>
        <w:tc>
          <w:tcPr>
            <w:tcW w:w="3987" w:type="pct"/>
            <w:gridSpan w:val="2"/>
            <w:tcBorders>
              <w:top w:val="single" w:sz="8" w:space="0" w:color="002C47"/>
              <w:left w:val="single" w:sz="8" w:space="0" w:color="002C47"/>
              <w:bottom w:val="single" w:sz="8" w:space="0" w:color="002C47"/>
              <w:right w:val="single" w:sz="8" w:space="0" w:color="002C47"/>
            </w:tcBorders>
          </w:tcPr>
          <w:p w14:paraId="3A3314CB" w14:textId="77777777" w:rsidR="008B1EE9" w:rsidRDefault="008B1EE9">
            <w:pPr>
              <w:rPr>
                <w:color w:val="000000"/>
              </w:rPr>
            </w:pPr>
            <w:r w:rsidRPr="00411900">
              <w:rPr>
                <w:szCs w:val="22"/>
              </w:rPr>
              <w:t>Pharmaceutical and Medical Devices Agency</w:t>
            </w:r>
            <w:r>
              <w:rPr>
                <w:szCs w:val="22"/>
              </w:rPr>
              <w:t xml:space="preserve"> (Japan)</w:t>
            </w:r>
          </w:p>
        </w:tc>
      </w:tr>
      <w:tr w:rsidR="008B1EE9" w14:paraId="2F763BF9"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3BC3FC79" w14:textId="77777777" w:rsidR="008B1EE9" w:rsidRDefault="008B1EE9">
            <w:pPr>
              <w:rPr>
                <w:color w:val="000000"/>
              </w:rPr>
            </w:pPr>
            <w:r>
              <w:rPr>
                <w:color w:val="000000"/>
              </w:rPr>
              <w:t>POEM</w:t>
            </w:r>
          </w:p>
        </w:tc>
        <w:tc>
          <w:tcPr>
            <w:tcW w:w="3987" w:type="pct"/>
            <w:gridSpan w:val="2"/>
            <w:tcBorders>
              <w:top w:val="single" w:sz="8" w:space="0" w:color="002C47"/>
              <w:left w:val="single" w:sz="8" w:space="0" w:color="002C47"/>
              <w:bottom w:val="single" w:sz="8" w:space="0" w:color="002C47"/>
              <w:right w:val="single" w:sz="8" w:space="0" w:color="002C47"/>
            </w:tcBorders>
          </w:tcPr>
          <w:p w14:paraId="68B98027" w14:textId="77777777" w:rsidR="008B1EE9" w:rsidRDefault="008B1EE9">
            <w:pPr>
              <w:rPr>
                <w:color w:val="000000"/>
              </w:rPr>
            </w:pPr>
            <w:r>
              <w:rPr>
                <w:color w:val="000000"/>
              </w:rPr>
              <w:t>Patient Oriented Eczema Measure</w:t>
            </w:r>
          </w:p>
        </w:tc>
      </w:tr>
      <w:tr w:rsidR="008B1EE9" w14:paraId="20D9709C"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65E79732" w14:textId="77777777" w:rsidR="008B1EE9" w:rsidRDefault="008B1EE9">
            <w:pPr>
              <w:rPr>
                <w:color w:val="000000"/>
              </w:rPr>
            </w:pPr>
            <w:r>
              <w:rPr>
                <w:color w:val="000000"/>
              </w:rPr>
              <w:t>PopPK</w:t>
            </w:r>
          </w:p>
        </w:tc>
        <w:tc>
          <w:tcPr>
            <w:tcW w:w="3987" w:type="pct"/>
            <w:gridSpan w:val="2"/>
            <w:tcBorders>
              <w:top w:val="single" w:sz="8" w:space="0" w:color="002C47"/>
              <w:left w:val="single" w:sz="8" w:space="0" w:color="002C47"/>
              <w:bottom w:val="single" w:sz="8" w:space="0" w:color="002C47"/>
              <w:right w:val="single" w:sz="8" w:space="0" w:color="002C47"/>
            </w:tcBorders>
          </w:tcPr>
          <w:p w14:paraId="00A04DE8" w14:textId="77777777" w:rsidR="008B1EE9" w:rsidRDefault="008B1EE9">
            <w:pPr>
              <w:rPr>
                <w:color w:val="000000"/>
              </w:rPr>
            </w:pPr>
            <w:r>
              <w:rPr>
                <w:color w:val="000000"/>
              </w:rPr>
              <w:t>Population pharmacokinetic(s)</w:t>
            </w:r>
          </w:p>
        </w:tc>
      </w:tr>
      <w:tr w:rsidR="008B1EE9" w14:paraId="5D8A9B2B"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50C1D468" w14:textId="77777777" w:rsidR="008B1EE9" w:rsidRDefault="008B1EE9">
            <w:pPr>
              <w:rPr>
                <w:color w:val="000000"/>
              </w:rPr>
            </w:pPr>
            <w:r>
              <w:rPr>
                <w:color w:val="000000"/>
              </w:rPr>
              <w:lastRenderedPageBreak/>
              <w:t>PREA</w:t>
            </w:r>
          </w:p>
        </w:tc>
        <w:tc>
          <w:tcPr>
            <w:tcW w:w="3987" w:type="pct"/>
            <w:gridSpan w:val="2"/>
            <w:tcBorders>
              <w:top w:val="single" w:sz="8" w:space="0" w:color="002C47"/>
              <w:left w:val="single" w:sz="8" w:space="0" w:color="002C47"/>
              <w:bottom w:val="single" w:sz="8" w:space="0" w:color="002C47"/>
              <w:right w:val="single" w:sz="8" w:space="0" w:color="002C47"/>
            </w:tcBorders>
          </w:tcPr>
          <w:p w14:paraId="36FE86EA" w14:textId="77777777" w:rsidR="008B1EE9" w:rsidRDefault="008B1EE9">
            <w:pPr>
              <w:rPr>
                <w:color w:val="000000"/>
              </w:rPr>
            </w:pPr>
            <w:r>
              <w:rPr>
                <w:color w:val="000000"/>
              </w:rPr>
              <w:t>Pediatric Research Equity Act (Food and Drug Administration, United States of America)</w:t>
            </w:r>
          </w:p>
        </w:tc>
      </w:tr>
      <w:tr w:rsidR="008B1EE9" w14:paraId="7E64761F"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296FAA7F" w14:textId="77777777" w:rsidR="008B1EE9" w:rsidRDefault="008B1EE9" w:rsidP="00032647">
            <w:r>
              <w:t>PSUR</w:t>
            </w:r>
          </w:p>
        </w:tc>
        <w:tc>
          <w:tcPr>
            <w:tcW w:w="3987" w:type="pct"/>
            <w:gridSpan w:val="2"/>
            <w:tcBorders>
              <w:top w:val="single" w:sz="8" w:space="0" w:color="002C47"/>
              <w:left w:val="single" w:sz="8" w:space="0" w:color="002C47"/>
              <w:bottom w:val="single" w:sz="8" w:space="0" w:color="002C47"/>
              <w:right w:val="single" w:sz="8" w:space="0" w:color="002C47"/>
            </w:tcBorders>
          </w:tcPr>
          <w:p w14:paraId="3BEC96DD" w14:textId="77777777" w:rsidR="008B1EE9" w:rsidRDefault="008B1EE9" w:rsidP="00C4203D">
            <w:r>
              <w:t>Periodic safety update reports</w:t>
            </w:r>
          </w:p>
        </w:tc>
      </w:tr>
      <w:tr w:rsidR="008B1EE9" w14:paraId="26D24A0B"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6F147B4B" w14:textId="77777777" w:rsidR="008B1EE9" w:rsidRDefault="008B1EE9">
            <w:pPr>
              <w:rPr>
                <w:color w:val="000000"/>
              </w:rPr>
            </w:pPr>
            <w:r>
              <w:rPr>
                <w:color w:val="000000"/>
              </w:rPr>
              <w:t>QD</w:t>
            </w:r>
          </w:p>
        </w:tc>
        <w:tc>
          <w:tcPr>
            <w:tcW w:w="3987" w:type="pct"/>
            <w:gridSpan w:val="2"/>
            <w:tcBorders>
              <w:top w:val="single" w:sz="8" w:space="0" w:color="002C47"/>
              <w:left w:val="single" w:sz="8" w:space="0" w:color="002C47"/>
              <w:bottom w:val="single" w:sz="8" w:space="0" w:color="002C47"/>
              <w:right w:val="single" w:sz="8" w:space="0" w:color="002C47"/>
            </w:tcBorders>
          </w:tcPr>
          <w:p w14:paraId="7FCAEC25" w14:textId="77777777" w:rsidR="008B1EE9" w:rsidRDefault="008B1EE9">
            <w:pPr>
              <w:rPr>
                <w:color w:val="000000"/>
              </w:rPr>
            </w:pPr>
            <w:r>
              <w:rPr>
                <w:color w:val="000000"/>
              </w:rPr>
              <w:t>Once daily</w:t>
            </w:r>
          </w:p>
        </w:tc>
      </w:tr>
      <w:tr w:rsidR="008B1EE9" w14:paraId="0110FA5B"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hideMark/>
          </w:tcPr>
          <w:p w14:paraId="6C6F528C" w14:textId="77777777" w:rsidR="008B1EE9" w:rsidRDefault="008B1EE9">
            <w:r>
              <w:t>RMP</w:t>
            </w:r>
          </w:p>
        </w:tc>
        <w:tc>
          <w:tcPr>
            <w:tcW w:w="3987" w:type="pct"/>
            <w:gridSpan w:val="2"/>
            <w:tcBorders>
              <w:top w:val="single" w:sz="8" w:space="0" w:color="002C47"/>
              <w:left w:val="single" w:sz="8" w:space="0" w:color="002C47"/>
              <w:bottom w:val="single" w:sz="8" w:space="0" w:color="002C47"/>
              <w:right w:val="single" w:sz="8" w:space="0" w:color="002C47"/>
            </w:tcBorders>
            <w:hideMark/>
          </w:tcPr>
          <w:p w14:paraId="05BEBACD" w14:textId="77777777" w:rsidR="008B1EE9" w:rsidRDefault="008B1EE9">
            <w:r>
              <w:t>Risk management plan</w:t>
            </w:r>
          </w:p>
        </w:tc>
      </w:tr>
      <w:tr w:rsidR="008B1EE9" w14:paraId="36E20B1C"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03612B29" w14:textId="77777777" w:rsidR="008B1EE9" w:rsidRDefault="008B1EE9">
            <w:pPr>
              <w:rPr>
                <w:color w:val="000000"/>
              </w:rPr>
            </w:pPr>
            <w:r>
              <w:rPr>
                <w:color w:val="000000"/>
              </w:rPr>
              <w:t>SCORAD</w:t>
            </w:r>
          </w:p>
        </w:tc>
        <w:tc>
          <w:tcPr>
            <w:tcW w:w="3987" w:type="pct"/>
            <w:gridSpan w:val="2"/>
            <w:tcBorders>
              <w:top w:val="single" w:sz="8" w:space="0" w:color="002C47"/>
              <w:left w:val="single" w:sz="8" w:space="0" w:color="002C47"/>
              <w:bottom w:val="single" w:sz="8" w:space="0" w:color="002C47"/>
              <w:right w:val="single" w:sz="8" w:space="0" w:color="002C47"/>
            </w:tcBorders>
          </w:tcPr>
          <w:p w14:paraId="41C17CEB" w14:textId="77777777" w:rsidR="008B1EE9" w:rsidRDefault="008B1EE9">
            <w:pPr>
              <w:rPr>
                <w:color w:val="000000"/>
              </w:rPr>
            </w:pPr>
            <w:r>
              <w:rPr>
                <w:color w:val="000000"/>
              </w:rPr>
              <w:t>Scoring Atopic Dermatitis index</w:t>
            </w:r>
          </w:p>
        </w:tc>
      </w:tr>
      <w:tr w:rsidR="008B1EE9" w14:paraId="08AF90C5"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18D1138E" w14:textId="77777777" w:rsidR="008B1EE9" w:rsidRDefault="008B1EE9" w:rsidP="00032647">
            <w:r>
              <w:t>SD</w:t>
            </w:r>
          </w:p>
        </w:tc>
        <w:tc>
          <w:tcPr>
            <w:tcW w:w="3987" w:type="pct"/>
            <w:gridSpan w:val="2"/>
            <w:tcBorders>
              <w:top w:val="single" w:sz="8" w:space="0" w:color="002C47"/>
              <w:left w:val="single" w:sz="8" w:space="0" w:color="002C47"/>
              <w:bottom w:val="single" w:sz="8" w:space="0" w:color="002C47"/>
              <w:right w:val="single" w:sz="8" w:space="0" w:color="002C47"/>
            </w:tcBorders>
          </w:tcPr>
          <w:p w14:paraId="27E7F505" w14:textId="77777777" w:rsidR="008B1EE9" w:rsidRPr="00D30FEF" w:rsidRDefault="008B1EE9" w:rsidP="00C4203D">
            <w:r>
              <w:t>Standard deviation</w:t>
            </w:r>
          </w:p>
        </w:tc>
      </w:tr>
      <w:tr w:rsidR="008B1EE9" w14:paraId="578D261D"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525181C6" w14:textId="77777777" w:rsidR="008B1EE9" w:rsidRDefault="008B1EE9" w:rsidP="00032647">
            <w:r>
              <w:t>TEAE</w:t>
            </w:r>
          </w:p>
        </w:tc>
        <w:tc>
          <w:tcPr>
            <w:tcW w:w="3987" w:type="pct"/>
            <w:gridSpan w:val="2"/>
            <w:tcBorders>
              <w:top w:val="single" w:sz="8" w:space="0" w:color="002C47"/>
              <w:left w:val="single" w:sz="8" w:space="0" w:color="002C47"/>
              <w:bottom w:val="single" w:sz="8" w:space="0" w:color="002C47"/>
              <w:right w:val="single" w:sz="8" w:space="0" w:color="002C47"/>
            </w:tcBorders>
          </w:tcPr>
          <w:p w14:paraId="1BEC6937" w14:textId="77777777" w:rsidR="008B1EE9" w:rsidRPr="00D30FEF" w:rsidRDefault="008B1EE9" w:rsidP="00C4203D">
            <w:r>
              <w:t>Treatment-emergent adverse event</w:t>
            </w:r>
          </w:p>
        </w:tc>
      </w:tr>
      <w:tr w:rsidR="008B1EE9" w14:paraId="75368E43"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hideMark/>
          </w:tcPr>
          <w:p w14:paraId="5CFC1D25" w14:textId="77777777" w:rsidR="008B1EE9" w:rsidRDefault="008B1EE9">
            <w:r>
              <w:t>TGA</w:t>
            </w:r>
          </w:p>
        </w:tc>
        <w:tc>
          <w:tcPr>
            <w:tcW w:w="3987" w:type="pct"/>
            <w:gridSpan w:val="2"/>
            <w:tcBorders>
              <w:top w:val="single" w:sz="8" w:space="0" w:color="002C47"/>
              <w:left w:val="single" w:sz="8" w:space="0" w:color="002C47"/>
              <w:bottom w:val="single" w:sz="8" w:space="0" w:color="002C47"/>
              <w:right w:val="single" w:sz="8" w:space="0" w:color="002C47"/>
            </w:tcBorders>
            <w:hideMark/>
          </w:tcPr>
          <w:p w14:paraId="4EF702E3" w14:textId="77777777" w:rsidR="008B1EE9" w:rsidRDefault="008B1EE9">
            <w:r>
              <w:t>Therapeutic Goods Administration</w:t>
            </w:r>
          </w:p>
        </w:tc>
      </w:tr>
      <w:tr w:rsidR="008B1EE9" w14:paraId="3D9329F4"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48FC8B56" w14:textId="77777777" w:rsidR="008B1EE9" w:rsidRDefault="008B1EE9">
            <w:pPr>
              <w:rPr>
                <w:color w:val="000000"/>
              </w:rPr>
            </w:pPr>
            <w:r>
              <w:rPr>
                <w:color w:val="000000"/>
              </w:rPr>
              <w:t>UK</w:t>
            </w:r>
          </w:p>
        </w:tc>
        <w:tc>
          <w:tcPr>
            <w:tcW w:w="3987" w:type="pct"/>
            <w:gridSpan w:val="2"/>
            <w:tcBorders>
              <w:top w:val="single" w:sz="8" w:space="0" w:color="002C47"/>
              <w:left w:val="single" w:sz="8" w:space="0" w:color="002C47"/>
              <w:bottom w:val="single" w:sz="8" w:space="0" w:color="002C47"/>
              <w:right w:val="single" w:sz="8" w:space="0" w:color="002C47"/>
            </w:tcBorders>
          </w:tcPr>
          <w:p w14:paraId="1B7A4AC5" w14:textId="77777777" w:rsidR="008B1EE9" w:rsidRDefault="008B1EE9">
            <w:pPr>
              <w:rPr>
                <w:color w:val="000000"/>
              </w:rPr>
            </w:pPr>
            <w:r>
              <w:rPr>
                <w:color w:val="000000"/>
              </w:rPr>
              <w:t>United Kingdom</w:t>
            </w:r>
          </w:p>
        </w:tc>
      </w:tr>
      <w:tr w:rsidR="008B1EE9" w14:paraId="5590B32A"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51BD4CEE" w14:textId="77777777" w:rsidR="008B1EE9" w:rsidRDefault="008B1EE9">
            <w:pPr>
              <w:rPr>
                <w:color w:val="000000"/>
              </w:rPr>
            </w:pPr>
            <w:r>
              <w:rPr>
                <w:color w:val="000000"/>
              </w:rPr>
              <w:t>US(A)</w:t>
            </w:r>
          </w:p>
        </w:tc>
        <w:tc>
          <w:tcPr>
            <w:tcW w:w="3987" w:type="pct"/>
            <w:gridSpan w:val="2"/>
            <w:tcBorders>
              <w:top w:val="single" w:sz="8" w:space="0" w:color="002C47"/>
              <w:left w:val="single" w:sz="8" w:space="0" w:color="002C47"/>
              <w:bottom w:val="single" w:sz="8" w:space="0" w:color="002C47"/>
              <w:right w:val="single" w:sz="8" w:space="0" w:color="002C47"/>
            </w:tcBorders>
          </w:tcPr>
          <w:p w14:paraId="663D37C0" w14:textId="77777777" w:rsidR="008B1EE9" w:rsidRDefault="008B1EE9">
            <w:pPr>
              <w:rPr>
                <w:color w:val="000000"/>
              </w:rPr>
            </w:pPr>
            <w:r>
              <w:rPr>
                <w:color w:val="000000"/>
              </w:rPr>
              <w:t>United States (of America)</w:t>
            </w:r>
          </w:p>
        </w:tc>
      </w:tr>
      <w:tr w:rsidR="008B1EE9" w14:paraId="3301FB0F"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2B363A1C" w14:textId="77777777" w:rsidR="008B1EE9" w:rsidRDefault="008B1EE9">
            <w:pPr>
              <w:rPr>
                <w:color w:val="000000"/>
              </w:rPr>
            </w:pPr>
            <w:r>
              <w:rPr>
                <w:color w:val="000000"/>
              </w:rPr>
              <w:t>UVA</w:t>
            </w:r>
          </w:p>
        </w:tc>
        <w:tc>
          <w:tcPr>
            <w:tcW w:w="3987" w:type="pct"/>
            <w:gridSpan w:val="2"/>
            <w:tcBorders>
              <w:top w:val="single" w:sz="8" w:space="0" w:color="002C47"/>
              <w:left w:val="single" w:sz="8" w:space="0" w:color="002C47"/>
              <w:bottom w:val="single" w:sz="8" w:space="0" w:color="002C47"/>
              <w:right w:val="single" w:sz="8" w:space="0" w:color="002C47"/>
            </w:tcBorders>
          </w:tcPr>
          <w:p w14:paraId="5A601492" w14:textId="77777777" w:rsidR="008B1EE9" w:rsidRDefault="008B1EE9">
            <w:pPr>
              <w:rPr>
                <w:color w:val="000000"/>
              </w:rPr>
            </w:pPr>
            <w:r>
              <w:rPr>
                <w:color w:val="000000"/>
              </w:rPr>
              <w:t>Ultraviolet A</w:t>
            </w:r>
          </w:p>
        </w:tc>
      </w:tr>
      <w:tr w:rsidR="008B1EE9" w14:paraId="5B9603CD"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6E093601" w14:textId="77777777" w:rsidR="008B1EE9" w:rsidRDefault="008B1EE9">
            <w:pPr>
              <w:rPr>
                <w:color w:val="000000"/>
              </w:rPr>
            </w:pPr>
            <w:r>
              <w:rPr>
                <w:color w:val="000000"/>
              </w:rPr>
              <w:t>UVB</w:t>
            </w:r>
          </w:p>
        </w:tc>
        <w:tc>
          <w:tcPr>
            <w:tcW w:w="3987" w:type="pct"/>
            <w:gridSpan w:val="2"/>
            <w:tcBorders>
              <w:top w:val="single" w:sz="8" w:space="0" w:color="002C47"/>
              <w:left w:val="single" w:sz="8" w:space="0" w:color="002C47"/>
              <w:bottom w:val="single" w:sz="8" w:space="0" w:color="002C47"/>
              <w:right w:val="single" w:sz="8" w:space="0" w:color="002C47"/>
            </w:tcBorders>
          </w:tcPr>
          <w:p w14:paraId="7269B01C" w14:textId="77777777" w:rsidR="008B1EE9" w:rsidRDefault="008B1EE9">
            <w:pPr>
              <w:rPr>
                <w:color w:val="000000"/>
              </w:rPr>
            </w:pPr>
            <w:r>
              <w:rPr>
                <w:color w:val="000000"/>
              </w:rPr>
              <w:t>Ultraviolet B</w:t>
            </w:r>
          </w:p>
        </w:tc>
      </w:tr>
      <w:tr w:rsidR="008B1EE9" w14:paraId="6CBD7EA2"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251CC364" w14:textId="77777777" w:rsidR="008B1EE9" w:rsidRDefault="008B1EE9">
            <w:pPr>
              <w:rPr>
                <w:color w:val="000000"/>
              </w:rPr>
            </w:pPr>
            <w:r>
              <w:rPr>
                <w:color w:val="000000"/>
              </w:rPr>
              <w:t>vIGA-AD</w:t>
            </w:r>
          </w:p>
        </w:tc>
        <w:tc>
          <w:tcPr>
            <w:tcW w:w="3987" w:type="pct"/>
            <w:gridSpan w:val="2"/>
            <w:tcBorders>
              <w:top w:val="single" w:sz="8" w:space="0" w:color="002C47"/>
              <w:left w:val="single" w:sz="8" w:space="0" w:color="002C47"/>
              <w:bottom w:val="single" w:sz="8" w:space="0" w:color="002C47"/>
              <w:right w:val="single" w:sz="8" w:space="0" w:color="002C47"/>
            </w:tcBorders>
          </w:tcPr>
          <w:p w14:paraId="5B8086BA" w14:textId="77777777" w:rsidR="008B1EE9" w:rsidRPr="00C4203D" w:rsidRDefault="008B1EE9" w:rsidP="00C4203D">
            <w:r w:rsidRPr="00C4203D">
              <w:t>Validated Investigator Global Assessment scale for Atopic Dermatitis</w:t>
            </w:r>
          </w:p>
        </w:tc>
      </w:tr>
    </w:tbl>
    <w:p w14:paraId="144FB044" w14:textId="77777777" w:rsidR="00AF2313" w:rsidRDefault="00AF2313" w:rsidP="00AF2313">
      <w:pPr>
        <w:rPr>
          <w:szCs w:val="20"/>
        </w:rPr>
      </w:pPr>
    </w:p>
    <w:p w14:paraId="7EB96142" w14:textId="77777777" w:rsidR="00FD119B" w:rsidRPr="00FD119B" w:rsidRDefault="00FD119B" w:rsidP="00FD119B">
      <w:pPr>
        <w:spacing w:before="0" w:after="200" w:line="0" w:lineRule="auto"/>
        <w:rPr>
          <w:b/>
          <w:i/>
          <w:sz w:val="24"/>
          <w:szCs w:val="24"/>
        </w:rPr>
      </w:pPr>
      <w:r w:rsidRPr="00FD119B">
        <w:rPr>
          <w:b/>
          <w:i/>
          <w:sz w:val="24"/>
          <w:szCs w:val="24"/>
        </w:rPr>
        <w:br w:type="page"/>
      </w:r>
    </w:p>
    <w:p w14:paraId="11C8C615" w14:textId="1E2E5DD7" w:rsidR="008E7846" w:rsidRDefault="009F2673" w:rsidP="008E7846">
      <w:pPr>
        <w:pStyle w:val="Heading2"/>
      </w:pPr>
      <w:bookmarkStart w:id="5" w:name="_Toc129093297"/>
      <w:r>
        <w:lastRenderedPageBreak/>
        <w:t>Pr</w:t>
      </w:r>
      <w:r w:rsidR="008E7846">
        <w:t>oduct submission</w:t>
      </w:r>
      <w:bookmarkEnd w:id="5"/>
      <w:bookmarkEnd w:id="0"/>
      <w:bookmarkEnd w:id="2"/>
    </w:p>
    <w:p w14:paraId="5E63DF9B" w14:textId="495B8611" w:rsidR="008E7846" w:rsidRDefault="008E7846" w:rsidP="009E5A87">
      <w:pPr>
        <w:pStyle w:val="Heading3"/>
        <w:rPr>
          <w:lang w:eastAsia="en-AU"/>
        </w:rPr>
      </w:pPr>
      <w:bookmarkStart w:id="6" w:name="_Toc247691502"/>
      <w:bookmarkStart w:id="7" w:name="_Toc314842483"/>
      <w:bookmarkStart w:id="8" w:name="_Toc129093298"/>
      <w:r>
        <w:rPr>
          <w:lang w:eastAsia="en-AU"/>
        </w:rPr>
        <w:t>Submission details</w:t>
      </w:r>
      <w:bookmarkEnd w:id="6"/>
      <w:bookmarkEnd w:id="7"/>
      <w:bookmarkEnd w:id="8"/>
    </w:p>
    <w:tbl>
      <w:tblPr>
        <w:tblW w:w="5000" w:type="pct"/>
        <w:tblLook w:val="01E0" w:firstRow="1" w:lastRow="1" w:firstColumn="1" w:lastColumn="1" w:noHBand="0" w:noVBand="0"/>
      </w:tblPr>
      <w:tblGrid>
        <w:gridCol w:w="2682"/>
        <w:gridCol w:w="5822"/>
      </w:tblGrid>
      <w:tr w:rsidR="009F2673" w:rsidRPr="003D1E62" w14:paraId="5442EC4D" w14:textId="77777777" w:rsidTr="00443C50">
        <w:tc>
          <w:tcPr>
            <w:tcW w:w="1577" w:type="pct"/>
          </w:tcPr>
          <w:p w14:paraId="7C7D2B4D" w14:textId="77777777" w:rsidR="009F2673" w:rsidRPr="003D1E62" w:rsidRDefault="009F2673" w:rsidP="009E5A87">
            <w:pPr>
              <w:rPr>
                <w:i/>
              </w:rPr>
            </w:pPr>
            <w:r>
              <w:rPr>
                <w:i/>
              </w:rPr>
              <w:t>Type of s</w:t>
            </w:r>
            <w:r w:rsidRPr="003D1E62">
              <w:rPr>
                <w:i/>
              </w:rPr>
              <w:t>ubmission</w:t>
            </w:r>
            <w:r>
              <w:rPr>
                <w:i/>
              </w:rPr>
              <w:t>:</w:t>
            </w:r>
          </w:p>
        </w:tc>
        <w:tc>
          <w:tcPr>
            <w:tcW w:w="3423" w:type="pct"/>
          </w:tcPr>
          <w:p w14:paraId="68F32E45" w14:textId="587FB42F" w:rsidR="009F2673" w:rsidRPr="003D1E62" w:rsidRDefault="00443C50" w:rsidP="009E5A87">
            <w:r>
              <w:t>Extension of indications</w:t>
            </w:r>
            <w:r w:rsidR="006B34A1">
              <w:t xml:space="preserve"> and major variation (new</w:t>
            </w:r>
            <w:r w:rsidR="00DD74F9">
              <w:t> </w:t>
            </w:r>
            <w:r w:rsidR="006B34A1">
              <w:t>strength)</w:t>
            </w:r>
          </w:p>
        </w:tc>
      </w:tr>
      <w:tr w:rsidR="009F2673" w:rsidRPr="003D1E62" w14:paraId="5E8F8CBB" w14:textId="77777777" w:rsidTr="00443C50">
        <w:tc>
          <w:tcPr>
            <w:tcW w:w="1577" w:type="pct"/>
          </w:tcPr>
          <w:p w14:paraId="26701AA5" w14:textId="67FC5DEC" w:rsidR="009F2673" w:rsidRPr="003D1E62" w:rsidRDefault="006B34A1" w:rsidP="009E5A87">
            <w:pPr>
              <w:rPr>
                <w:i/>
              </w:rPr>
            </w:pPr>
            <w:r>
              <w:rPr>
                <w:i/>
              </w:rPr>
              <w:t>Product name</w:t>
            </w:r>
            <w:r w:rsidR="009F2673" w:rsidRPr="00460036">
              <w:rPr>
                <w:i/>
              </w:rPr>
              <w:t>:</w:t>
            </w:r>
          </w:p>
        </w:tc>
        <w:tc>
          <w:tcPr>
            <w:tcW w:w="3423" w:type="pct"/>
          </w:tcPr>
          <w:p w14:paraId="35BAE929" w14:textId="6A3BB3F1" w:rsidR="009F2673" w:rsidRPr="003D1E62" w:rsidRDefault="006B34A1" w:rsidP="009E5A87">
            <w:r>
              <w:t>Rinvoq</w:t>
            </w:r>
          </w:p>
        </w:tc>
      </w:tr>
      <w:tr w:rsidR="009F2673" w:rsidRPr="003D1E62" w14:paraId="36562006" w14:textId="77777777" w:rsidTr="00443C50">
        <w:tc>
          <w:tcPr>
            <w:tcW w:w="1577" w:type="pct"/>
          </w:tcPr>
          <w:p w14:paraId="4416BCAC" w14:textId="0B0F25D5" w:rsidR="009F2673" w:rsidRPr="003D1E62" w:rsidRDefault="006B34A1" w:rsidP="009E5A87">
            <w:pPr>
              <w:rPr>
                <w:i/>
              </w:rPr>
            </w:pPr>
            <w:r>
              <w:rPr>
                <w:i/>
              </w:rPr>
              <w:t>Active ingredient</w:t>
            </w:r>
            <w:r w:rsidR="009F2673" w:rsidRPr="00460036">
              <w:rPr>
                <w:i/>
              </w:rPr>
              <w:t>:</w:t>
            </w:r>
          </w:p>
        </w:tc>
        <w:tc>
          <w:tcPr>
            <w:tcW w:w="3423" w:type="pct"/>
          </w:tcPr>
          <w:p w14:paraId="3750EB0D" w14:textId="0085DA2B" w:rsidR="009F2673" w:rsidRPr="003D1E62" w:rsidRDefault="00443C50" w:rsidP="009E5A87">
            <w:r>
              <w:t>U</w:t>
            </w:r>
            <w:r w:rsidR="00782F8C">
              <w:t>padacitinib</w:t>
            </w:r>
          </w:p>
        </w:tc>
      </w:tr>
      <w:tr w:rsidR="009F2673" w:rsidRPr="003D1E62" w14:paraId="63AC562F" w14:textId="77777777" w:rsidTr="00443C50">
        <w:tc>
          <w:tcPr>
            <w:tcW w:w="1577" w:type="pct"/>
          </w:tcPr>
          <w:p w14:paraId="211758E7" w14:textId="77777777" w:rsidR="009F2673" w:rsidRPr="009F2673" w:rsidRDefault="009F2673" w:rsidP="009E5A87">
            <w:pPr>
              <w:rPr>
                <w:i/>
              </w:rPr>
            </w:pPr>
            <w:r w:rsidRPr="003D1E62">
              <w:rPr>
                <w:i/>
              </w:rPr>
              <w:t>Decision</w:t>
            </w:r>
            <w:r w:rsidRPr="009F2673">
              <w:rPr>
                <w:i/>
              </w:rPr>
              <w:t>:</w:t>
            </w:r>
          </w:p>
        </w:tc>
        <w:tc>
          <w:tcPr>
            <w:tcW w:w="3423" w:type="pct"/>
          </w:tcPr>
          <w:p w14:paraId="17BA5DC7" w14:textId="05391E6B" w:rsidR="009F2673" w:rsidRPr="003D1E62" w:rsidRDefault="006B34A1" w:rsidP="006B34A1">
            <w:r>
              <w:t>Approved</w:t>
            </w:r>
          </w:p>
        </w:tc>
      </w:tr>
      <w:tr w:rsidR="009F2673" w:rsidRPr="003D1E62" w14:paraId="54F6B185" w14:textId="77777777" w:rsidTr="00443C50">
        <w:tc>
          <w:tcPr>
            <w:tcW w:w="1577" w:type="pct"/>
          </w:tcPr>
          <w:p w14:paraId="6573406F" w14:textId="77777777" w:rsidR="009F2673" w:rsidRPr="003D1E62" w:rsidRDefault="009F2673" w:rsidP="009E5A87">
            <w:pPr>
              <w:rPr>
                <w:i/>
              </w:rPr>
            </w:pPr>
            <w:r w:rsidRPr="003D1E62">
              <w:rPr>
                <w:i/>
              </w:rPr>
              <w:t xml:space="preserve">Date of </w:t>
            </w:r>
            <w:r>
              <w:rPr>
                <w:i/>
              </w:rPr>
              <w:t>d</w:t>
            </w:r>
            <w:r w:rsidRPr="003D1E62">
              <w:rPr>
                <w:i/>
              </w:rPr>
              <w:t>ecision:</w:t>
            </w:r>
          </w:p>
        </w:tc>
        <w:tc>
          <w:tcPr>
            <w:tcW w:w="3423" w:type="pct"/>
          </w:tcPr>
          <w:p w14:paraId="117BC9BA" w14:textId="4B9BA9D2" w:rsidR="009F2673" w:rsidRPr="003D1E62" w:rsidRDefault="00B74FAD" w:rsidP="009E5A87">
            <w:r>
              <w:t>17 September 2021</w:t>
            </w:r>
          </w:p>
        </w:tc>
      </w:tr>
      <w:tr w:rsidR="009F2673" w:rsidRPr="003D1E62" w14:paraId="690618C6" w14:textId="77777777" w:rsidTr="00443C50">
        <w:tc>
          <w:tcPr>
            <w:tcW w:w="1577" w:type="pct"/>
          </w:tcPr>
          <w:p w14:paraId="17052A10" w14:textId="77777777" w:rsidR="009F2673" w:rsidRPr="00441C3F" w:rsidRDefault="009F2673" w:rsidP="009E5A87">
            <w:pPr>
              <w:rPr>
                <w:i/>
              </w:rPr>
            </w:pPr>
            <w:r w:rsidRPr="00441C3F">
              <w:rPr>
                <w:i/>
              </w:rPr>
              <w:t>Date of entry onto ARTG</w:t>
            </w:r>
            <w:r>
              <w:rPr>
                <w:i/>
              </w:rPr>
              <w:t>:</w:t>
            </w:r>
          </w:p>
        </w:tc>
        <w:tc>
          <w:tcPr>
            <w:tcW w:w="3423" w:type="pct"/>
          </w:tcPr>
          <w:p w14:paraId="3C2B6D1F" w14:textId="1AAD1D7D" w:rsidR="009F2673" w:rsidRPr="009F2673" w:rsidRDefault="00B74FAD" w:rsidP="009E5A87">
            <w:r>
              <w:t>20 September 2021</w:t>
            </w:r>
          </w:p>
        </w:tc>
      </w:tr>
      <w:tr w:rsidR="009F2673" w:rsidRPr="003D1E62" w14:paraId="593CD5EE" w14:textId="77777777" w:rsidTr="00443C50">
        <w:tc>
          <w:tcPr>
            <w:tcW w:w="1577" w:type="pct"/>
          </w:tcPr>
          <w:p w14:paraId="29F14DF4" w14:textId="7CB5D50C" w:rsidR="009F2673" w:rsidRPr="00441C3F" w:rsidRDefault="009F2673" w:rsidP="009E5A87">
            <w:pPr>
              <w:rPr>
                <w:i/>
              </w:rPr>
            </w:pPr>
            <w:r>
              <w:rPr>
                <w:i/>
              </w:rPr>
              <w:t>AR</w:t>
            </w:r>
            <w:r w:rsidR="00B74FAD">
              <w:rPr>
                <w:i/>
              </w:rPr>
              <w:t>TG numbers</w:t>
            </w:r>
            <w:r>
              <w:rPr>
                <w:i/>
              </w:rPr>
              <w:t>:</w:t>
            </w:r>
          </w:p>
        </w:tc>
        <w:tc>
          <w:tcPr>
            <w:tcW w:w="3423" w:type="pct"/>
          </w:tcPr>
          <w:p w14:paraId="2948644E" w14:textId="33901564" w:rsidR="009F2673" w:rsidRPr="00441C3F" w:rsidRDefault="006B34A1" w:rsidP="009E5A87">
            <w:r w:rsidRPr="006B34A1">
              <w:t>312687</w:t>
            </w:r>
            <w:r w:rsidR="00B74FAD">
              <w:t xml:space="preserve">, </w:t>
            </w:r>
            <w:r w:rsidR="00B74FAD" w:rsidRPr="00B74FAD">
              <w:t>346215</w:t>
            </w:r>
          </w:p>
        </w:tc>
      </w:tr>
      <w:tr w:rsidR="009F2673" w:rsidRPr="003D1E62" w14:paraId="3DC29985" w14:textId="77777777" w:rsidTr="00443C50">
        <w:tc>
          <w:tcPr>
            <w:tcW w:w="1577" w:type="pct"/>
          </w:tcPr>
          <w:p w14:paraId="0DE80440" w14:textId="13AE7519" w:rsidR="009F2673" w:rsidRDefault="001B1DA4" w:rsidP="009E5A87">
            <w:pPr>
              <w:rPr>
                <w:i/>
              </w:rPr>
            </w:pPr>
            <w:r>
              <w:rPr>
                <w:rFonts w:ascii="Wingdings 3" w:hAnsi="Wingdings 3"/>
                <w:sz w:val="34"/>
                <w:szCs w:val="34"/>
                <w:lang w:eastAsia="en-AU"/>
              </w:rPr>
              <w:t></w:t>
            </w:r>
            <w:hyperlink r:id="rId14" w:history="1">
              <w:r w:rsidR="009F2673" w:rsidRPr="009F2673">
                <w:rPr>
                  <w:rStyle w:val="Hyperlink"/>
                  <w:i/>
                </w:rPr>
                <w:t>Black Triangle Scheme</w:t>
              </w:r>
            </w:hyperlink>
            <w:r w:rsidR="009F2673">
              <w:rPr>
                <w:i/>
              </w:rPr>
              <w:t>:</w:t>
            </w:r>
          </w:p>
        </w:tc>
        <w:tc>
          <w:tcPr>
            <w:tcW w:w="3423" w:type="pct"/>
          </w:tcPr>
          <w:p w14:paraId="18F7B73C" w14:textId="49FCED7A" w:rsidR="009F2673" w:rsidRDefault="00B74FAD" w:rsidP="009E5A87">
            <w:r>
              <w:t>Yes</w:t>
            </w:r>
          </w:p>
          <w:p w14:paraId="0183F109" w14:textId="7240AFE5" w:rsidR="009F2673" w:rsidRPr="00487162" w:rsidRDefault="009F2673" w:rsidP="009E5A87">
            <w:r>
              <w:t xml:space="preserve">This product will remain in the scheme for 5 years, starting on the date the new indication </w:t>
            </w:r>
            <w:r w:rsidR="00EC64EC">
              <w:t>was approved</w:t>
            </w:r>
            <w:r>
              <w:t xml:space="preserve"> </w:t>
            </w:r>
          </w:p>
        </w:tc>
      </w:tr>
      <w:tr w:rsidR="009F2673" w:rsidRPr="003D1E62" w14:paraId="37575003" w14:textId="77777777" w:rsidTr="00443C50">
        <w:tc>
          <w:tcPr>
            <w:tcW w:w="1577" w:type="pct"/>
          </w:tcPr>
          <w:p w14:paraId="6D886672" w14:textId="77777777" w:rsidR="009F2673" w:rsidRPr="009F2673" w:rsidRDefault="009F2673" w:rsidP="009E5A87">
            <w:pPr>
              <w:rPr>
                <w:i/>
              </w:rPr>
            </w:pPr>
            <w:r w:rsidRPr="00487162">
              <w:rPr>
                <w:i/>
              </w:rPr>
              <w:t xml:space="preserve">Sponsor’s </w:t>
            </w:r>
            <w:r>
              <w:rPr>
                <w:i/>
              </w:rPr>
              <w:t>n</w:t>
            </w:r>
            <w:r w:rsidRPr="00487162">
              <w:rPr>
                <w:i/>
              </w:rPr>
              <w:t xml:space="preserve">ame and </w:t>
            </w:r>
            <w:r>
              <w:rPr>
                <w:i/>
              </w:rPr>
              <w:t>a</w:t>
            </w:r>
            <w:r w:rsidRPr="00487162">
              <w:rPr>
                <w:i/>
              </w:rPr>
              <w:t>ddress:</w:t>
            </w:r>
          </w:p>
        </w:tc>
        <w:tc>
          <w:tcPr>
            <w:tcW w:w="3423" w:type="pct"/>
          </w:tcPr>
          <w:p w14:paraId="2EADA54E" w14:textId="36A8D782" w:rsidR="00443C50" w:rsidRDefault="00D55544" w:rsidP="009E5A87">
            <w:r>
              <w:t>AbbVie</w:t>
            </w:r>
            <w:r w:rsidR="00443C50">
              <w:t xml:space="preserve"> Pty Ltd</w:t>
            </w:r>
          </w:p>
          <w:p w14:paraId="6E6B31F2" w14:textId="77777777" w:rsidR="00443C50" w:rsidRDefault="00443C50" w:rsidP="009E5A87">
            <w:r>
              <w:t>241 O’Riordan Street</w:t>
            </w:r>
          </w:p>
          <w:p w14:paraId="24CF14A2" w14:textId="549D6BBB" w:rsidR="009F2673" w:rsidRDefault="00443C50" w:rsidP="009E5A87">
            <w:r>
              <w:t>Mascot, NSW 2020</w:t>
            </w:r>
          </w:p>
        </w:tc>
      </w:tr>
      <w:tr w:rsidR="009F2673" w:rsidRPr="003D1E62" w14:paraId="6D290317" w14:textId="77777777" w:rsidTr="00443C50">
        <w:tc>
          <w:tcPr>
            <w:tcW w:w="1577" w:type="pct"/>
          </w:tcPr>
          <w:p w14:paraId="2BA54FAB" w14:textId="7ABFA437" w:rsidR="009F2673" w:rsidRPr="00487162" w:rsidRDefault="00B74FAD" w:rsidP="009E5A87">
            <w:pPr>
              <w:rPr>
                <w:i/>
              </w:rPr>
            </w:pPr>
            <w:r>
              <w:rPr>
                <w:i/>
              </w:rPr>
              <w:t>Dose form</w:t>
            </w:r>
            <w:r w:rsidR="009F2673">
              <w:rPr>
                <w:i/>
              </w:rPr>
              <w:t>:</w:t>
            </w:r>
          </w:p>
        </w:tc>
        <w:tc>
          <w:tcPr>
            <w:tcW w:w="3423" w:type="pct"/>
          </w:tcPr>
          <w:p w14:paraId="7FEE1F05" w14:textId="0EB2F5CC" w:rsidR="009F2673" w:rsidRDefault="00B74FAD" w:rsidP="009E5A87">
            <w:r>
              <w:t>Modified release tablet</w:t>
            </w:r>
          </w:p>
        </w:tc>
      </w:tr>
      <w:tr w:rsidR="009F2673" w:rsidRPr="003D1E62" w14:paraId="3EC462C6" w14:textId="77777777" w:rsidTr="00443C50">
        <w:tc>
          <w:tcPr>
            <w:tcW w:w="1577" w:type="pct"/>
          </w:tcPr>
          <w:p w14:paraId="5968885C" w14:textId="461F2006" w:rsidR="009F2673" w:rsidRPr="00487162" w:rsidRDefault="00B74FAD" w:rsidP="009E5A87">
            <w:pPr>
              <w:rPr>
                <w:i/>
              </w:rPr>
            </w:pPr>
            <w:r>
              <w:rPr>
                <w:i/>
              </w:rPr>
              <w:t>Strengths</w:t>
            </w:r>
            <w:r w:rsidR="009F2673" w:rsidRPr="00487162">
              <w:rPr>
                <w:i/>
              </w:rPr>
              <w:t>:</w:t>
            </w:r>
          </w:p>
        </w:tc>
        <w:tc>
          <w:tcPr>
            <w:tcW w:w="3423" w:type="pct"/>
          </w:tcPr>
          <w:p w14:paraId="1A4406C5" w14:textId="071D70AB" w:rsidR="009F2673" w:rsidRDefault="00B74FAD" w:rsidP="009E5A87">
            <w:r>
              <w:t>15 mg and 30 mg</w:t>
            </w:r>
          </w:p>
        </w:tc>
      </w:tr>
      <w:tr w:rsidR="009F2673" w:rsidRPr="003D1E62" w14:paraId="3696FB42" w14:textId="77777777" w:rsidTr="00443C50">
        <w:tc>
          <w:tcPr>
            <w:tcW w:w="1577" w:type="pct"/>
          </w:tcPr>
          <w:p w14:paraId="0F0E0A0B" w14:textId="3A6D9177" w:rsidR="009F2673" w:rsidRPr="00487162" w:rsidRDefault="00B74FAD" w:rsidP="009E5A87">
            <w:pPr>
              <w:rPr>
                <w:i/>
              </w:rPr>
            </w:pPr>
            <w:r>
              <w:rPr>
                <w:i/>
              </w:rPr>
              <w:t>Container</w:t>
            </w:r>
            <w:r w:rsidR="009F2673" w:rsidRPr="00487162">
              <w:rPr>
                <w:i/>
              </w:rPr>
              <w:t>:</w:t>
            </w:r>
          </w:p>
        </w:tc>
        <w:tc>
          <w:tcPr>
            <w:tcW w:w="3423" w:type="pct"/>
          </w:tcPr>
          <w:p w14:paraId="28A3FFBF" w14:textId="510C7D42" w:rsidR="009F2673" w:rsidRDefault="00B74FAD" w:rsidP="009E5A87">
            <w:r>
              <w:t>Blister pack</w:t>
            </w:r>
          </w:p>
        </w:tc>
      </w:tr>
      <w:tr w:rsidR="009F2673" w:rsidRPr="003D1E62" w14:paraId="45D23F84" w14:textId="77777777" w:rsidTr="00443C50">
        <w:tc>
          <w:tcPr>
            <w:tcW w:w="1577" w:type="pct"/>
          </w:tcPr>
          <w:p w14:paraId="5931E7A5" w14:textId="42AEF69A" w:rsidR="009F2673" w:rsidRPr="00487162" w:rsidRDefault="00B74FAD" w:rsidP="009E5A87">
            <w:pPr>
              <w:rPr>
                <w:i/>
              </w:rPr>
            </w:pPr>
            <w:r>
              <w:rPr>
                <w:i/>
              </w:rPr>
              <w:t>Pack sizes</w:t>
            </w:r>
            <w:r w:rsidR="009F2673" w:rsidRPr="00487162">
              <w:rPr>
                <w:i/>
              </w:rPr>
              <w:t>:</w:t>
            </w:r>
          </w:p>
        </w:tc>
        <w:tc>
          <w:tcPr>
            <w:tcW w:w="3423" w:type="pct"/>
          </w:tcPr>
          <w:p w14:paraId="6A908885" w14:textId="451595C4" w:rsidR="009F2673" w:rsidRDefault="00B74FAD" w:rsidP="009E5A87">
            <w:r>
              <w:t>7 t</w:t>
            </w:r>
            <w:r w:rsidR="00443C50">
              <w:t>ablets (starter pack), and pack</w:t>
            </w:r>
            <w:r>
              <w:t xml:space="preserve"> of 28 tablets</w:t>
            </w:r>
          </w:p>
        </w:tc>
      </w:tr>
      <w:tr w:rsidR="009F2673" w:rsidRPr="003D1E62" w14:paraId="1DFBA5F3" w14:textId="77777777" w:rsidTr="00443C50">
        <w:tc>
          <w:tcPr>
            <w:tcW w:w="1577" w:type="pct"/>
          </w:tcPr>
          <w:p w14:paraId="2DDB85B1" w14:textId="77777777" w:rsidR="009F2673" w:rsidRPr="00487162" w:rsidRDefault="009F2673" w:rsidP="009E5A87">
            <w:pPr>
              <w:rPr>
                <w:i/>
              </w:rPr>
            </w:pPr>
            <w:r w:rsidRPr="00487162">
              <w:rPr>
                <w:i/>
              </w:rPr>
              <w:t xml:space="preserve">Approved </w:t>
            </w:r>
            <w:r>
              <w:rPr>
                <w:i/>
              </w:rPr>
              <w:t>t</w:t>
            </w:r>
            <w:r w:rsidRPr="00487162">
              <w:rPr>
                <w:i/>
              </w:rPr>
              <w:t>herapeutic use:</w:t>
            </w:r>
          </w:p>
        </w:tc>
        <w:tc>
          <w:tcPr>
            <w:tcW w:w="3423" w:type="pct"/>
          </w:tcPr>
          <w:p w14:paraId="7183051C" w14:textId="77777777" w:rsidR="00D34EEB" w:rsidRPr="00D34EEB" w:rsidRDefault="00D34EEB" w:rsidP="00D34EEB">
            <w:pPr>
              <w:rPr>
                <w:i/>
              </w:rPr>
            </w:pPr>
            <w:r w:rsidRPr="00D34EEB">
              <w:rPr>
                <w:i/>
              </w:rPr>
              <w:t>Atopic Dermatitis</w:t>
            </w:r>
          </w:p>
          <w:p w14:paraId="59A4AFDD" w14:textId="74C243BF" w:rsidR="009F2673" w:rsidRPr="00487162" w:rsidRDefault="00D34EEB" w:rsidP="00D34EEB">
            <w:r w:rsidRPr="00D34EEB">
              <w:rPr>
                <w:i/>
              </w:rPr>
              <w:t>Rinvoq 30 mg and 15 mg (modified release tablet blister pack) is now also indic</w:t>
            </w:r>
            <w:r w:rsidR="00D55544">
              <w:rPr>
                <w:i/>
              </w:rPr>
              <w:t>a</w:t>
            </w:r>
            <w:r w:rsidRPr="00D34EEB">
              <w:rPr>
                <w:i/>
              </w:rPr>
              <w:t>ted for use in</w:t>
            </w:r>
            <w:r>
              <w:rPr>
                <w:i/>
              </w:rPr>
              <w:t xml:space="preserve"> adults and adolescents aged 12 </w:t>
            </w:r>
            <w:r w:rsidRPr="00D34EEB">
              <w:rPr>
                <w:i/>
              </w:rPr>
              <w:t>years and above who weigh at least 40 kg, for the treatment of moderate to severe atopic dermatitis which is inadequately controlled with active topical pharmacotherapies and for whom systemic therapy is indicated.</w:t>
            </w:r>
          </w:p>
        </w:tc>
      </w:tr>
      <w:tr w:rsidR="009F2673" w:rsidRPr="003D1E62" w14:paraId="38E01BD1" w14:textId="77777777" w:rsidTr="00443C50">
        <w:tc>
          <w:tcPr>
            <w:tcW w:w="1577" w:type="pct"/>
          </w:tcPr>
          <w:p w14:paraId="5A1A2DFF" w14:textId="7BCC799C" w:rsidR="009F2673" w:rsidRPr="00487162" w:rsidRDefault="00B74FAD" w:rsidP="009E5A87">
            <w:pPr>
              <w:rPr>
                <w:i/>
              </w:rPr>
            </w:pPr>
            <w:r>
              <w:rPr>
                <w:i/>
              </w:rPr>
              <w:t>Route</w:t>
            </w:r>
            <w:r w:rsidR="009F2673" w:rsidRPr="00487162">
              <w:rPr>
                <w:i/>
              </w:rPr>
              <w:t xml:space="preserve"> of administration:</w:t>
            </w:r>
          </w:p>
        </w:tc>
        <w:tc>
          <w:tcPr>
            <w:tcW w:w="3423" w:type="pct"/>
          </w:tcPr>
          <w:p w14:paraId="39637DDB" w14:textId="68F81930" w:rsidR="009F2673" w:rsidRPr="00487162" w:rsidRDefault="00B74FAD" w:rsidP="009E5A87">
            <w:r>
              <w:t>Oral</w:t>
            </w:r>
          </w:p>
        </w:tc>
      </w:tr>
      <w:tr w:rsidR="009F2673" w:rsidRPr="003D1E62" w14:paraId="176D4981" w14:textId="77777777" w:rsidTr="00443C50">
        <w:tc>
          <w:tcPr>
            <w:tcW w:w="1577" w:type="pct"/>
          </w:tcPr>
          <w:p w14:paraId="0897F1ED" w14:textId="77777777" w:rsidR="009F2673" w:rsidRPr="00487162" w:rsidRDefault="009F2673" w:rsidP="009E5A87">
            <w:pPr>
              <w:rPr>
                <w:i/>
              </w:rPr>
            </w:pPr>
            <w:r w:rsidRPr="00487162">
              <w:rPr>
                <w:i/>
              </w:rPr>
              <w:t>Dosage:</w:t>
            </w:r>
          </w:p>
        </w:tc>
        <w:tc>
          <w:tcPr>
            <w:tcW w:w="3423" w:type="pct"/>
          </w:tcPr>
          <w:p w14:paraId="71FBCBF9" w14:textId="2AA446CB" w:rsidR="00D34EEB" w:rsidRDefault="00D34EEB" w:rsidP="00D34EEB">
            <w:r>
              <w:t xml:space="preserve">Therapy with Rinvoq should be initiated and monitored by a specialist physician well versed in the use of immunomodulatory therapeutic agents like Rinvoq with expertise in the management of the indicated conditions. </w:t>
            </w:r>
          </w:p>
          <w:p w14:paraId="4828D223" w14:textId="371135F2" w:rsidR="009F2673" w:rsidRDefault="00D34EEB" w:rsidP="00D34EEB">
            <w:r>
              <w:t>Rinvoq should not be initiated in patients with an absolute lymphocyte count (ALC) less than 500 cells/mm</w:t>
            </w:r>
            <w:r w:rsidRPr="00D34EEB">
              <w:rPr>
                <w:vertAlign w:val="superscript"/>
              </w:rPr>
              <w:t>3</w:t>
            </w:r>
            <w:r>
              <w:t xml:space="preserve">, an </w:t>
            </w:r>
            <w:r>
              <w:lastRenderedPageBreak/>
              <w:t>absolute neutrophil count (ANC) less than 1000 cells/mm</w:t>
            </w:r>
            <w:r w:rsidRPr="00D34EEB">
              <w:rPr>
                <w:vertAlign w:val="superscript"/>
              </w:rPr>
              <w:t>3</w:t>
            </w:r>
            <w:r>
              <w:t xml:space="preserve"> or who have haemoglob</w:t>
            </w:r>
            <w:r w:rsidR="00443C50">
              <w:t>in levels less than 8 g/dL</w:t>
            </w:r>
            <w:r w:rsidR="009C2789">
              <w:t xml:space="preserve"> </w:t>
            </w:r>
            <w:r w:rsidR="00443C50">
              <w:t>(see </w:t>
            </w:r>
            <w:r>
              <w:t>section</w:t>
            </w:r>
            <w:r w:rsidR="00443C50">
              <w:t> </w:t>
            </w:r>
            <w:r>
              <w:t xml:space="preserve">4.4 </w:t>
            </w:r>
            <w:r w:rsidRPr="00443C50">
              <w:rPr>
                <w:i/>
              </w:rPr>
              <w:t>Special warnings and Precautions for use</w:t>
            </w:r>
            <w:r>
              <w:t xml:space="preserve"> and </w:t>
            </w:r>
            <w:r w:rsidR="00443C50">
              <w:t xml:space="preserve">section </w:t>
            </w:r>
            <w:r>
              <w:t xml:space="preserve">4.8 </w:t>
            </w:r>
            <w:r w:rsidRPr="00443C50">
              <w:rPr>
                <w:i/>
              </w:rPr>
              <w:t>Adverse effects of the Product Information</w:t>
            </w:r>
            <w:r>
              <w:t xml:space="preserve"> for further information).</w:t>
            </w:r>
          </w:p>
          <w:p w14:paraId="7EC7018C" w14:textId="53A5AB8B" w:rsidR="00D34EEB" w:rsidRDefault="00D34EEB" w:rsidP="00D34EEB">
            <w:r>
              <w:t>Rinvoq tablets should be tak</w:t>
            </w:r>
            <w:r w:rsidR="009C2789">
              <w:t xml:space="preserve">en orally with or without food. </w:t>
            </w:r>
            <w:r>
              <w:t>Rinvoq tablets should be swallowed whole. Rinvoq should not be split, crushed, or chewed.</w:t>
            </w:r>
          </w:p>
          <w:p w14:paraId="397541B0" w14:textId="08672B4B" w:rsidR="00D34EEB" w:rsidRPr="009C2789" w:rsidRDefault="00D34EEB" w:rsidP="00D34EEB">
            <w:pPr>
              <w:rPr>
                <w:b/>
                <w:i/>
              </w:rPr>
            </w:pPr>
            <w:r w:rsidRPr="009C2789">
              <w:rPr>
                <w:b/>
                <w:i/>
              </w:rPr>
              <w:t>Atopic d</w:t>
            </w:r>
            <w:r w:rsidR="009C2789" w:rsidRPr="009C2789">
              <w:rPr>
                <w:b/>
                <w:i/>
              </w:rPr>
              <w:t xml:space="preserve">ermatitis </w:t>
            </w:r>
            <w:r w:rsidR="009C2789">
              <w:rPr>
                <w:b/>
                <w:i/>
              </w:rPr>
              <w:t>(a</w:t>
            </w:r>
            <w:r w:rsidRPr="009C2789">
              <w:rPr>
                <w:b/>
                <w:i/>
              </w:rPr>
              <w:t>dults</w:t>
            </w:r>
            <w:r w:rsidR="009C2789">
              <w:rPr>
                <w:b/>
                <w:i/>
              </w:rPr>
              <w:t>)</w:t>
            </w:r>
          </w:p>
          <w:p w14:paraId="6C9D6BC2" w14:textId="0D5DFD29" w:rsidR="00D34EEB" w:rsidRDefault="00D34EEB" w:rsidP="00D34EEB">
            <w:r>
              <w:t>The recommended starting dose of Rinvoq is 15 mg once daily for adults. In adults aged less than 65 years, the dose may be increased to 30 mg once daily from 4 weeks after initiation of treatment, if clinically warranted and based on benefit-risk assessment. The lowest effective dose for maintenance should be considered.</w:t>
            </w:r>
          </w:p>
          <w:p w14:paraId="77CAE730" w14:textId="2397E2E0" w:rsidR="00D34EEB" w:rsidRPr="009C2789" w:rsidRDefault="009C2789" w:rsidP="00D34EEB">
            <w:pPr>
              <w:rPr>
                <w:b/>
                <w:i/>
              </w:rPr>
            </w:pPr>
            <w:r w:rsidRPr="009C2789">
              <w:rPr>
                <w:b/>
                <w:i/>
              </w:rPr>
              <w:t>Atopic dermatitis (a</w:t>
            </w:r>
            <w:r>
              <w:rPr>
                <w:b/>
                <w:i/>
              </w:rPr>
              <w:t>dolescents 12 to 17 years of age</w:t>
            </w:r>
            <w:r w:rsidRPr="009C2789">
              <w:rPr>
                <w:b/>
                <w:i/>
              </w:rPr>
              <w:t>)</w:t>
            </w:r>
          </w:p>
          <w:p w14:paraId="69C5C8DC" w14:textId="11855B40" w:rsidR="00D34EEB" w:rsidRDefault="00D34EEB" w:rsidP="00D34EEB">
            <w:r w:rsidRPr="00D34EEB">
              <w:t>The recommended dose of Rinvoq is 15 mg once daily for adolescents weighing at least 40 kg. Rinvoq has not been studied in adolescents weighing less than 40 kg. Rinvoq should be ceased if a satisfactory clinical response is not achieved after 16 weeks.</w:t>
            </w:r>
          </w:p>
          <w:p w14:paraId="440A51B5" w14:textId="505A483C" w:rsidR="005B2DA8" w:rsidRDefault="005B2DA8" w:rsidP="005B2DA8">
            <w:r>
              <w:t>The safety and efficacy of Rinvoq in adolescents weighing less than 40 kg and in children aged zero to less than 12 years have not yet been established. No data are available.</w:t>
            </w:r>
          </w:p>
          <w:p w14:paraId="23740F89" w14:textId="42A2A61E" w:rsidR="00D34EEB" w:rsidRPr="005B2DA8" w:rsidRDefault="00D34EEB" w:rsidP="00D34EEB">
            <w:pPr>
              <w:rPr>
                <w:i/>
              </w:rPr>
            </w:pPr>
            <w:r w:rsidRPr="005B2DA8">
              <w:rPr>
                <w:i/>
              </w:rPr>
              <w:t>Dose interruption</w:t>
            </w:r>
          </w:p>
          <w:p w14:paraId="17C9688D" w14:textId="2EE3E638" w:rsidR="005B2DA8" w:rsidRDefault="00D34EEB" w:rsidP="00D34EEB">
            <w:r>
              <w:t xml:space="preserve">Rinvoq treatment should be interrupted if a patient develops a serious infection until the infection is controlled (see section 4.4 </w:t>
            </w:r>
            <w:r w:rsidR="005B2DA8" w:rsidRPr="00443C50">
              <w:rPr>
                <w:i/>
              </w:rPr>
              <w:t>Special warnings and P</w:t>
            </w:r>
            <w:r w:rsidRPr="00443C50">
              <w:rPr>
                <w:i/>
              </w:rPr>
              <w:t>recautions for use</w:t>
            </w:r>
            <w:r w:rsidR="005B2DA8">
              <w:t xml:space="preserve"> in the Product Information</w:t>
            </w:r>
            <w:r>
              <w:t xml:space="preserve">). Interruption of dosing may be needed for management of laboratory abnormalities </w:t>
            </w:r>
            <w:r w:rsidR="005B2DA8">
              <w:t xml:space="preserve">(specifically absolute neutrophil count, absolute lymphocyte count, haemoglobin and hepatic transaminases) </w:t>
            </w:r>
            <w:r>
              <w:t xml:space="preserve">as described in </w:t>
            </w:r>
            <w:r w:rsidR="005B2DA8">
              <w:t>the Product Information.</w:t>
            </w:r>
          </w:p>
          <w:p w14:paraId="611255AA" w14:textId="77777777" w:rsidR="009F2673" w:rsidRPr="00487162" w:rsidRDefault="009F2673" w:rsidP="009E5A87">
            <w:r w:rsidRPr="00460036">
              <w:t>For further information regarding dosage, refer to the Product Information.</w:t>
            </w:r>
          </w:p>
        </w:tc>
      </w:tr>
      <w:tr w:rsidR="009F2673" w:rsidRPr="003D1E62" w14:paraId="14B62A81" w14:textId="77777777" w:rsidTr="00443C50">
        <w:tc>
          <w:tcPr>
            <w:tcW w:w="1577" w:type="pct"/>
          </w:tcPr>
          <w:p w14:paraId="56A99F2C" w14:textId="77777777" w:rsidR="009F2673" w:rsidRPr="00487162" w:rsidRDefault="009F2673" w:rsidP="009E5A87">
            <w:pPr>
              <w:rPr>
                <w:i/>
              </w:rPr>
            </w:pPr>
            <w:r w:rsidRPr="00460036">
              <w:rPr>
                <w:i/>
              </w:rPr>
              <w:lastRenderedPageBreak/>
              <w:t>Pregnancy category</w:t>
            </w:r>
            <w:r>
              <w:rPr>
                <w:i/>
              </w:rPr>
              <w:t>:</w:t>
            </w:r>
          </w:p>
        </w:tc>
        <w:tc>
          <w:tcPr>
            <w:tcW w:w="3423" w:type="pct"/>
          </w:tcPr>
          <w:p w14:paraId="444C357F" w14:textId="4DB4757D" w:rsidR="009F2673" w:rsidRDefault="00B74FAD" w:rsidP="009F2673">
            <w:r>
              <w:t>D</w:t>
            </w:r>
          </w:p>
          <w:p w14:paraId="1F0C0BE9" w14:textId="4900DE8B" w:rsidR="00D34EEB" w:rsidRDefault="00D34EEB" w:rsidP="009F2673">
            <w:r w:rsidRPr="00D34EEB">
              <w:t>Drugs which have caused, are suspected to have caused or may be expected to cause, an increased incidence of human fetal malformations or irreversible damage. These drugs may also have adverse pharmacological effects. Accompanying texts should be consulted for further details.</w:t>
            </w:r>
          </w:p>
          <w:p w14:paraId="1353E649" w14:textId="123C98EC" w:rsidR="009F2673" w:rsidRPr="00487162" w:rsidRDefault="009F2673" w:rsidP="009E5A87">
            <w:r>
              <w:t xml:space="preserve">The use of any medicine during pregnancy requires careful consideration of both risks and benefits by the treating health professional. This must not be used as the sole basis of decision making in the use of medicines during pregnancy. The TGA does not provide advice on the use of medicines in pregnancy for specific cases. More </w:t>
            </w:r>
            <w:r>
              <w:lastRenderedPageBreak/>
              <w:t>information is available from obstetric drug information service</w:t>
            </w:r>
            <w:r w:rsidR="00D34EEB">
              <w:t>s in your State or Territory.</w:t>
            </w:r>
          </w:p>
        </w:tc>
      </w:tr>
    </w:tbl>
    <w:p w14:paraId="3386E3DA" w14:textId="77777777" w:rsidR="008E7846" w:rsidRDefault="008E7846" w:rsidP="008E7846">
      <w:pPr>
        <w:pStyle w:val="Heading3"/>
      </w:pPr>
      <w:bookmarkStart w:id="9" w:name="_Toc247691503"/>
      <w:bookmarkStart w:id="10" w:name="_Toc314842484"/>
      <w:bookmarkStart w:id="11" w:name="_Toc129093299"/>
      <w:r>
        <w:lastRenderedPageBreak/>
        <w:t>Product background</w:t>
      </w:r>
      <w:bookmarkEnd w:id="9"/>
      <w:bookmarkEnd w:id="10"/>
      <w:bookmarkEnd w:id="11"/>
    </w:p>
    <w:p w14:paraId="4B80A940" w14:textId="06605EB0" w:rsidR="009F2673" w:rsidRDefault="009F2673" w:rsidP="009F2673">
      <w:r w:rsidRPr="000A4A42">
        <w:t xml:space="preserve">This AusPAR describes the </w:t>
      </w:r>
      <w:r w:rsidR="001E359E">
        <w:t>submission</w:t>
      </w:r>
      <w:r w:rsidR="005B2DA8">
        <w:t xml:space="preserve"> by Abb</w:t>
      </w:r>
      <w:r w:rsidR="00D55544">
        <w:t>V</w:t>
      </w:r>
      <w:r w:rsidR="005B2DA8">
        <w:t>ie Pty Ltd (the sponsor) to register Rinvoq</w:t>
      </w:r>
      <w:r w:rsidRPr="000A4A42">
        <w:t xml:space="preserve"> (</w:t>
      </w:r>
      <w:r w:rsidR="005B2DA8">
        <w:t xml:space="preserve">upadacitinib) 15 mg and 30 mg modified release tablets </w:t>
      </w:r>
      <w:r w:rsidRPr="000A4A42">
        <w:t xml:space="preserve">for the following </w:t>
      </w:r>
      <w:r w:rsidR="00443C50">
        <w:t>extended indication</w:t>
      </w:r>
      <w:r w:rsidRPr="000A4A42">
        <w:t>:</w:t>
      </w:r>
    </w:p>
    <w:p w14:paraId="3E258E65" w14:textId="76D18E85" w:rsidR="005B2DA8" w:rsidRPr="005B2DA8" w:rsidRDefault="005B2DA8" w:rsidP="005B2DA8">
      <w:pPr>
        <w:ind w:left="720"/>
        <w:rPr>
          <w:i/>
        </w:rPr>
      </w:pPr>
      <w:r w:rsidRPr="005B2DA8">
        <w:rPr>
          <w:i/>
        </w:rPr>
        <w:t xml:space="preserve">Rinvoq is indicated for </w:t>
      </w:r>
      <w:r w:rsidR="00AF0722">
        <w:rPr>
          <w:i/>
        </w:rPr>
        <w:t xml:space="preserve">use in </w:t>
      </w:r>
      <w:r w:rsidRPr="005B2DA8">
        <w:rPr>
          <w:i/>
        </w:rPr>
        <w:t>adults and adole</w:t>
      </w:r>
      <w:r w:rsidR="00B62751">
        <w:rPr>
          <w:i/>
        </w:rPr>
        <w:t xml:space="preserve">scents 12 years and </w:t>
      </w:r>
      <w:r w:rsidR="00AF0722">
        <w:rPr>
          <w:i/>
        </w:rPr>
        <w:t>above who weigh at least 40 kg, for the treatment of</w:t>
      </w:r>
      <w:r w:rsidR="00B62751">
        <w:rPr>
          <w:i/>
        </w:rPr>
        <w:t xml:space="preserve"> </w:t>
      </w:r>
      <w:r w:rsidRPr="005B2DA8">
        <w:rPr>
          <w:i/>
        </w:rPr>
        <w:t xml:space="preserve">moderate to severe atopic dermatitis </w:t>
      </w:r>
      <w:r w:rsidR="00AF0722">
        <w:rPr>
          <w:i/>
        </w:rPr>
        <w:t xml:space="preserve">which is inadequately controlled with active topical pharmacotherapies and for whom </w:t>
      </w:r>
      <w:r w:rsidRPr="005B2DA8">
        <w:rPr>
          <w:i/>
        </w:rPr>
        <w:t>systemic therapy</w:t>
      </w:r>
      <w:r w:rsidR="00AF0722">
        <w:rPr>
          <w:i/>
        </w:rPr>
        <w:t xml:space="preserve"> in indicated</w:t>
      </w:r>
      <w:r w:rsidRPr="005B2DA8">
        <w:rPr>
          <w:i/>
        </w:rPr>
        <w:t>.</w:t>
      </w:r>
    </w:p>
    <w:p w14:paraId="2E239A55" w14:textId="4C0051AE" w:rsidR="005B2DA8" w:rsidRDefault="005B2DA8" w:rsidP="005B2DA8">
      <w:r>
        <w:t xml:space="preserve">Atopic dermatitis, also called eczema, is a chronic, relapsing, pruritic, inflammatory skin disease that occurs more frequently in children than adults. The diagnosis of atopic dermatitis is made clinically and is based on history, morphology and distribution of skin lesions, and associated clinical signs and symptoms. </w:t>
      </w:r>
      <w:r w:rsidR="00DD74F9">
        <w:t>Due to</w:t>
      </w:r>
      <w:r>
        <w:t xml:space="preserve"> the broad differential diagnosis, it is important to exclude other conditions when diagnosing atopic dermatitis, such as other forms of eczema, psoriasis, and scabies; biopsy may be necessary in these cases. Various criteria have been developed to aid in classification.</w:t>
      </w:r>
    </w:p>
    <w:p w14:paraId="765095EF" w14:textId="59CC20A5" w:rsidR="005B2DA8" w:rsidRDefault="00243AE2" w:rsidP="005B2DA8">
      <w:r>
        <w:t>Some of the</w:t>
      </w:r>
      <w:r w:rsidR="005B2DA8">
        <w:t xml:space="preserve"> most widely used diagnostic criteria are those</w:t>
      </w:r>
      <w:r w:rsidR="00B57A42">
        <w:t xml:space="preserve"> developed by Hanifin and Rajka (1980);</w:t>
      </w:r>
      <w:bookmarkStart w:id="12" w:name="_Ref120700524"/>
      <w:r w:rsidR="00B57A42">
        <w:rPr>
          <w:rStyle w:val="FootnoteReference"/>
        </w:rPr>
        <w:footnoteReference w:id="1"/>
      </w:r>
      <w:bookmarkEnd w:id="12"/>
      <w:r w:rsidR="005B2DA8">
        <w:t xml:space="preserve"> which require that 3 of 4 major criteria and 3 of 23 minor criteria be met (as </w:t>
      </w:r>
      <w:r w:rsidR="00B57A42">
        <w:t xml:space="preserve">shown in </w:t>
      </w:r>
      <w:r w:rsidR="00B57A42">
        <w:fldChar w:fldCharType="begin"/>
      </w:r>
      <w:r w:rsidR="00B57A42">
        <w:instrText xml:space="preserve"> REF _Ref120615213 \h </w:instrText>
      </w:r>
      <w:r w:rsidR="00B57A42">
        <w:fldChar w:fldCharType="separate"/>
      </w:r>
      <w:r w:rsidR="00B51532">
        <w:t xml:space="preserve">Table </w:t>
      </w:r>
      <w:r w:rsidR="00B51532">
        <w:rPr>
          <w:noProof/>
        </w:rPr>
        <w:t>1</w:t>
      </w:r>
      <w:r w:rsidR="00B57A42">
        <w:fldChar w:fldCharType="end"/>
      </w:r>
      <w:r w:rsidR="00B57A42">
        <w:t xml:space="preserve"> </w:t>
      </w:r>
      <w:r>
        <w:t xml:space="preserve">below); </w:t>
      </w:r>
      <w:r w:rsidR="00443C50">
        <w:t xml:space="preserve">and </w:t>
      </w:r>
      <w:r>
        <w:t xml:space="preserve">the </w:t>
      </w:r>
      <w:r w:rsidR="00443C50">
        <w:t>United Kingdom (</w:t>
      </w:r>
      <w:r>
        <w:t>UK</w:t>
      </w:r>
      <w:r w:rsidR="00443C50">
        <w:t>)</w:t>
      </w:r>
      <w:r>
        <w:t xml:space="preserve"> Working Party criteria (shown in </w:t>
      </w:r>
      <w:r>
        <w:fldChar w:fldCharType="begin"/>
      </w:r>
      <w:r>
        <w:instrText xml:space="preserve"> REF _Ref120616762 \h </w:instrText>
      </w:r>
      <w:r>
        <w:fldChar w:fldCharType="separate"/>
      </w:r>
      <w:r w:rsidR="00B51532">
        <w:t xml:space="preserve">Table </w:t>
      </w:r>
      <w:r w:rsidR="00B51532">
        <w:rPr>
          <w:noProof/>
        </w:rPr>
        <w:t>2</w:t>
      </w:r>
      <w:r>
        <w:fldChar w:fldCharType="end"/>
      </w:r>
      <w:r w:rsidR="00443C50">
        <w:t>).</w:t>
      </w:r>
      <w:r>
        <w:rPr>
          <w:rStyle w:val="FootnoteReference"/>
        </w:rPr>
        <w:footnoteReference w:id="2"/>
      </w:r>
    </w:p>
    <w:p w14:paraId="083968E7" w14:textId="5CB4012A" w:rsidR="00DD74F9" w:rsidRDefault="00DD74F9" w:rsidP="00362371">
      <w:pPr>
        <w:spacing w:before="0" w:after="200" w:line="0" w:lineRule="auto"/>
      </w:pPr>
      <w:r>
        <w:br w:type="page"/>
      </w:r>
    </w:p>
    <w:p w14:paraId="2E7E1DB4" w14:textId="3B6895C8" w:rsidR="00B57A42" w:rsidRDefault="00B57A42" w:rsidP="00B57A42">
      <w:pPr>
        <w:pStyle w:val="Tabletitle0"/>
      </w:pPr>
      <w:bookmarkStart w:id="13" w:name="_Ref120615213"/>
      <w:bookmarkStart w:id="14" w:name="_Ref120722905"/>
      <w:r>
        <w:lastRenderedPageBreak/>
        <w:t xml:space="preserve">Table </w:t>
      </w:r>
      <w:fldSimple w:instr=" SEQ Table \* ARABIC ">
        <w:r w:rsidR="00B51532">
          <w:rPr>
            <w:noProof/>
          </w:rPr>
          <w:t>1</w:t>
        </w:r>
      </w:fldSimple>
      <w:bookmarkEnd w:id="13"/>
      <w:r>
        <w:t xml:space="preserve">: </w:t>
      </w:r>
      <w:r w:rsidRPr="00B57A42">
        <w:t xml:space="preserve">Hanifin and Rajka </w:t>
      </w:r>
      <w:r>
        <w:t xml:space="preserve">(1980) </w:t>
      </w:r>
      <w:r w:rsidRPr="00B57A42">
        <w:t>Criteria for Atopic Dermatitis</w:t>
      </w:r>
      <w:bookmarkEnd w:id="14"/>
    </w:p>
    <w:tbl>
      <w:tblPr>
        <w:tblStyle w:val="TableTGAblue"/>
        <w:tblW w:w="5119" w:type="pct"/>
        <w:tblLook w:val="04A0" w:firstRow="1" w:lastRow="0" w:firstColumn="1" w:lastColumn="0" w:noHBand="0" w:noVBand="1"/>
      </w:tblPr>
      <w:tblGrid>
        <w:gridCol w:w="1520"/>
        <w:gridCol w:w="7166"/>
      </w:tblGrid>
      <w:tr w:rsidR="00B57A42" w:rsidRPr="00B57A42" w14:paraId="78983195" w14:textId="77777777" w:rsidTr="00443C50">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1C11F95D" w14:textId="4429B3A1" w:rsidR="00B57A42" w:rsidRPr="00B57A42" w:rsidRDefault="00B57A42" w:rsidP="00B57A42">
            <w:r w:rsidRPr="00B57A42">
              <w:t>Hanifin and Rajka Cr</w:t>
            </w:r>
            <w:r>
              <w:t>iteria for Atopic Dermatitis</w:t>
            </w:r>
          </w:p>
        </w:tc>
      </w:tr>
      <w:tr w:rsidR="00B57A42" w:rsidRPr="00B57A42" w14:paraId="45099E6E" w14:textId="77777777" w:rsidTr="00362371">
        <w:tc>
          <w:tcPr>
            <w:tcW w:w="875" w:type="pct"/>
            <w:hideMark/>
          </w:tcPr>
          <w:p w14:paraId="01B3284E" w14:textId="21430F61" w:rsidR="00B57A42" w:rsidRPr="00443C50" w:rsidRDefault="00B57A42" w:rsidP="00B57A42">
            <w:pPr>
              <w:rPr>
                <w:sz w:val="20"/>
              </w:rPr>
            </w:pPr>
            <w:r w:rsidRPr="00443C50">
              <w:rPr>
                <w:b/>
                <w:sz w:val="20"/>
              </w:rPr>
              <w:t>Major criteria</w:t>
            </w:r>
            <w:r w:rsidRPr="00443C50">
              <w:rPr>
                <w:sz w:val="20"/>
              </w:rPr>
              <w:br/>
              <w:t>(must have 3 of 4)</w:t>
            </w:r>
          </w:p>
        </w:tc>
        <w:tc>
          <w:tcPr>
            <w:tcW w:w="4125" w:type="pct"/>
            <w:hideMark/>
          </w:tcPr>
          <w:p w14:paraId="511DDF86" w14:textId="03961D89" w:rsidR="00B57A42" w:rsidRPr="00443C50" w:rsidRDefault="00243AE2" w:rsidP="00443C50">
            <w:pPr>
              <w:pStyle w:val="ListBullet"/>
              <w:spacing w:before="60" w:line="120" w:lineRule="atLeast"/>
              <w:ind w:right="173"/>
              <w:rPr>
                <w:sz w:val="20"/>
              </w:rPr>
            </w:pPr>
            <w:r w:rsidRPr="00443C50">
              <w:rPr>
                <w:sz w:val="20"/>
              </w:rPr>
              <w:t>Itchy skin (p</w:t>
            </w:r>
            <w:r w:rsidR="00B57A42" w:rsidRPr="00443C50">
              <w:rPr>
                <w:sz w:val="20"/>
              </w:rPr>
              <w:t>ruritus</w:t>
            </w:r>
            <w:r w:rsidRPr="00443C50">
              <w:rPr>
                <w:sz w:val="20"/>
              </w:rPr>
              <w:t>)</w:t>
            </w:r>
          </w:p>
          <w:p w14:paraId="0214F173" w14:textId="6242828D" w:rsidR="00B57A42" w:rsidRPr="00443C50" w:rsidRDefault="00243AE2" w:rsidP="00443C50">
            <w:pPr>
              <w:pStyle w:val="ListBullet"/>
              <w:spacing w:before="60" w:line="120" w:lineRule="atLeast"/>
              <w:ind w:right="173"/>
              <w:rPr>
                <w:sz w:val="20"/>
              </w:rPr>
            </w:pPr>
            <w:r w:rsidRPr="00443C50">
              <w:rPr>
                <w:sz w:val="20"/>
              </w:rPr>
              <w:t>Skin inflammation (d</w:t>
            </w:r>
            <w:r w:rsidR="00B57A42" w:rsidRPr="00443C50">
              <w:rPr>
                <w:sz w:val="20"/>
              </w:rPr>
              <w:t>ermatitis</w:t>
            </w:r>
            <w:r w:rsidRPr="00443C50">
              <w:rPr>
                <w:sz w:val="20"/>
              </w:rPr>
              <w:t>)</w:t>
            </w:r>
            <w:r w:rsidR="00B57A42" w:rsidRPr="00443C50">
              <w:rPr>
                <w:sz w:val="20"/>
              </w:rPr>
              <w:t xml:space="preserve"> affecting flexural surfaces in adults or face and extensor surfaces in infants</w:t>
            </w:r>
          </w:p>
          <w:p w14:paraId="787F841E" w14:textId="77777777" w:rsidR="00B57A42" w:rsidRPr="00443C50" w:rsidRDefault="00B57A42" w:rsidP="00443C50">
            <w:pPr>
              <w:pStyle w:val="ListBullet"/>
              <w:spacing w:before="60" w:line="120" w:lineRule="atLeast"/>
              <w:ind w:right="173"/>
              <w:rPr>
                <w:sz w:val="20"/>
              </w:rPr>
            </w:pPr>
            <w:r w:rsidRPr="00443C50">
              <w:rPr>
                <w:sz w:val="20"/>
              </w:rPr>
              <w:t>Chronic or relapsing dermatitis</w:t>
            </w:r>
          </w:p>
          <w:p w14:paraId="4EFC6DB5" w14:textId="77777777" w:rsidR="00B57A42" w:rsidRPr="00443C50" w:rsidRDefault="00B57A42" w:rsidP="00443C50">
            <w:pPr>
              <w:pStyle w:val="ListBullet"/>
              <w:spacing w:before="60" w:line="120" w:lineRule="atLeast"/>
              <w:ind w:right="173"/>
              <w:rPr>
                <w:sz w:val="20"/>
              </w:rPr>
            </w:pPr>
            <w:r w:rsidRPr="00443C50">
              <w:rPr>
                <w:sz w:val="20"/>
              </w:rPr>
              <w:t>Personal or family history of cutaneous or respiratory allergy</w:t>
            </w:r>
          </w:p>
        </w:tc>
      </w:tr>
      <w:tr w:rsidR="00B57A42" w:rsidRPr="00B57A42" w14:paraId="68904851" w14:textId="77777777" w:rsidTr="00362371">
        <w:trPr>
          <w:trHeight w:val="3808"/>
        </w:trPr>
        <w:tc>
          <w:tcPr>
            <w:tcW w:w="875" w:type="pct"/>
            <w:hideMark/>
          </w:tcPr>
          <w:p w14:paraId="1D0FCE76" w14:textId="37F6E986" w:rsidR="00B57A42" w:rsidRPr="00443C50" w:rsidRDefault="00B57A42" w:rsidP="00B57A42">
            <w:pPr>
              <w:rPr>
                <w:sz w:val="20"/>
              </w:rPr>
            </w:pPr>
            <w:r w:rsidRPr="00443C50">
              <w:rPr>
                <w:b/>
                <w:sz w:val="20"/>
              </w:rPr>
              <w:t>Minor criteria</w:t>
            </w:r>
            <w:r w:rsidRPr="00443C50">
              <w:rPr>
                <w:sz w:val="20"/>
              </w:rPr>
              <w:br/>
              <w:t>(must have 3 of 32)</w:t>
            </w:r>
          </w:p>
        </w:tc>
        <w:tc>
          <w:tcPr>
            <w:tcW w:w="4125" w:type="pct"/>
            <w:hideMark/>
          </w:tcPr>
          <w:p w14:paraId="027038F2" w14:textId="77777777" w:rsidR="00B57A42" w:rsidRPr="00443C50" w:rsidRDefault="00B57A42" w:rsidP="00443C50">
            <w:pPr>
              <w:pStyle w:val="ListBullet"/>
              <w:numPr>
                <w:ilvl w:val="0"/>
                <w:numId w:val="0"/>
              </w:numPr>
              <w:spacing w:before="60" w:line="120" w:lineRule="atLeast"/>
              <w:ind w:left="360" w:right="173" w:hanging="360"/>
              <w:rPr>
                <w:i/>
                <w:sz w:val="20"/>
              </w:rPr>
            </w:pPr>
            <w:r w:rsidRPr="00443C50">
              <w:rPr>
                <w:i/>
                <w:sz w:val="20"/>
              </w:rPr>
              <w:t>Facial features</w:t>
            </w:r>
          </w:p>
          <w:p w14:paraId="2645589C" w14:textId="77777777" w:rsidR="00B57A42" w:rsidRPr="00443C50" w:rsidRDefault="00B57A42" w:rsidP="00443C50">
            <w:pPr>
              <w:pStyle w:val="ListBullet"/>
              <w:spacing w:before="60" w:line="120" w:lineRule="atLeast"/>
              <w:ind w:right="173"/>
              <w:rPr>
                <w:sz w:val="20"/>
              </w:rPr>
            </w:pPr>
            <w:r w:rsidRPr="00443C50">
              <w:rPr>
                <w:sz w:val="20"/>
              </w:rPr>
              <w:t>Facial pallor, erythema, hypopigmented patches, infraorbital darkening, cheilitis, infraorbital folds, recurrent conjunctivitis, anterior neck folds</w:t>
            </w:r>
          </w:p>
          <w:p w14:paraId="4D651118" w14:textId="77777777" w:rsidR="00B57A42" w:rsidRPr="00443C50" w:rsidRDefault="00B57A42" w:rsidP="00443C50">
            <w:pPr>
              <w:pStyle w:val="ListBullet"/>
              <w:numPr>
                <w:ilvl w:val="0"/>
                <w:numId w:val="0"/>
              </w:numPr>
              <w:spacing w:before="60" w:line="120" w:lineRule="atLeast"/>
              <w:ind w:right="173"/>
              <w:rPr>
                <w:i/>
                <w:sz w:val="20"/>
              </w:rPr>
            </w:pPr>
            <w:r w:rsidRPr="00443C50">
              <w:rPr>
                <w:i/>
                <w:sz w:val="20"/>
              </w:rPr>
              <w:t>Triggers</w:t>
            </w:r>
          </w:p>
          <w:p w14:paraId="394DADF2" w14:textId="77777777" w:rsidR="00B57A42" w:rsidRPr="00443C50" w:rsidRDefault="00B57A42" w:rsidP="00443C50">
            <w:pPr>
              <w:pStyle w:val="ListBullet"/>
              <w:spacing w:before="60" w:line="120" w:lineRule="atLeast"/>
              <w:ind w:right="173"/>
              <w:rPr>
                <w:sz w:val="20"/>
              </w:rPr>
            </w:pPr>
            <w:r w:rsidRPr="00443C50">
              <w:rPr>
                <w:sz w:val="20"/>
              </w:rPr>
              <w:t>Emotional factors, environmental factors, food, skin irritants</w:t>
            </w:r>
          </w:p>
          <w:p w14:paraId="7416E9CA" w14:textId="77777777" w:rsidR="00B57A42" w:rsidRPr="00443C50" w:rsidRDefault="00B57A42" w:rsidP="00443C50">
            <w:pPr>
              <w:pStyle w:val="ListBullet"/>
              <w:numPr>
                <w:ilvl w:val="0"/>
                <w:numId w:val="0"/>
              </w:numPr>
              <w:spacing w:before="60" w:line="120" w:lineRule="atLeast"/>
              <w:ind w:right="173"/>
              <w:rPr>
                <w:i/>
                <w:sz w:val="20"/>
              </w:rPr>
            </w:pPr>
            <w:r w:rsidRPr="00443C50">
              <w:rPr>
                <w:i/>
                <w:sz w:val="20"/>
              </w:rPr>
              <w:t>Complications</w:t>
            </w:r>
          </w:p>
          <w:p w14:paraId="2E13D229" w14:textId="77777777" w:rsidR="00B57A42" w:rsidRPr="00443C50" w:rsidRDefault="00B57A42" w:rsidP="00443C50">
            <w:pPr>
              <w:pStyle w:val="ListBullet"/>
              <w:spacing w:before="60" w:line="120" w:lineRule="atLeast"/>
              <w:ind w:right="173"/>
              <w:rPr>
                <w:sz w:val="20"/>
              </w:rPr>
            </w:pPr>
            <w:r w:rsidRPr="00443C50">
              <w:rPr>
                <w:sz w:val="20"/>
              </w:rPr>
              <w:t>Susceptibility to skin infections, impaired cell-mediated immunity, predisposition to keratoconus and anterior subcapsular cataracts, immediate skin reactivity</w:t>
            </w:r>
          </w:p>
          <w:p w14:paraId="49723866" w14:textId="77777777" w:rsidR="00B57A42" w:rsidRPr="00443C50" w:rsidRDefault="00B57A42" w:rsidP="00443C50">
            <w:pPr>
              <w:pStyle w:val="ListBullet"/>
              <w:numPr>
                <w:ilvl w:val="0"/>
                <w:numId w:val="0"/>
              </w:numPr>
              <w:spacing w:before="60" w:line="120" w:lineRule="atLeast"/>
              <w:ind w:right="173"/>
              <w:rPr>
                <w:i/>
                <w:sz w:val="20"/>
              </w:rPr>
            </w:pPr>
            <w:r w:rsidRPr="00443C50">
              <w:rPr>
                <w:i/>
                <w:sz w:val="20"/>
              </w:rPr>
              <w:t>Other</w:t>
            </w:r>
          </w:p>
          <w:p w14:paraId="3DEA822A" w14:textId="77777777" w:rsidR="00B57A42" w:rsidRPr="00443C50" w:rsidRDefault="00B57A42" w:rsidP="00443C50">
            <w:pPr>
              <w:pStyle w:val="ListBullet"/>
              <w:spacing w:before="60" w:line="120" w:lineRule="atLeast"/>
              <w:ind w:right="173"/>
              <w:rPr>
                <w:sz w:val="20"/>
              </w:rPr>
            </w:pPr>
            <w:r w:rsidRPr="00443C50">
              <w:rPr>
                <w:sz w:val="20"/>
              </w:rPr>
              <w:t>Early age of onset, dry skin, ichthyosis, hyperlinear palms, keratosis pilaris, hand and foot dermatitis, nipple eczema, white dermographism, perifollicular accentuation</w:t>
            </w:r>
          </w:p>
        </w:tc>
      </w:tr>
    </w:tbl>
    <w:p w14:paraId="1A3498B8" w14:textId="6903CC94" w:rsidR="005B2DA8" w:rsidRDefault="005F4A63" w:rsidP="00443C50">
      <w:pPr>
        <w:pStyle w:val="TableDescription"/>
      </w:pPr>
      <w:r>
        <w:t xml:space="preserve">Adapted from: </w:t>
      </w:r>
      <w:r w:rsidR="00B57A42" w:rsidRPr="00B57A42">
        <w:t xml:space="preserve">Hanifin JM, Rajka G. Diagnostic features of atopic dermatitis. </w:t>
      </w:r>
      <w:r w:rsidR="00B57A42" w:rsidRPr="005F4A63">
        <w:rPr>
          <w:i/>
        </w:rPr>
        <w:t>Acta Derm Venereol Suppl</w:t>
      </w:r>
      <w:r w:rsidR="00B57A42" w:rsidRPr="00B57A42">
        <w:t xml:space="preserve"> (Stockh)</w:t>
      </w:r>
      <w:r>
        <w:t xml:space="preserve"> </w:t>
      </w:r>
      <w:r w:rsidR="00B57A42" w:rsidRPr="00B57A42">
        <w:t>1980; 92:44-7</w:t>
      </w:r>
    </w:p>
    <w:p w14:paraId="3D901C92" w14:textId="31035F4B" w:rsidR="00243AE2" w:rsidRDefault="00243AE2" w:rsidP="00243AE2">
      <w:pPr>
        <w:pStyle w:val="Tabletitle0"/>
      </w:pPr>
      <w:bookmarkStart w:id="15" w:name="_Ref120616762"/>
      <w:r>
        <w:t xml:space="preserve">Table </w:t>
      </w:r>
      <w:fldSimple w:instr=" SEQ Table \* ARABIC ">
        <w:r w:rsidR="00B51532">
          <w:rPr>
            <w:noProof/>
          </w:rPr>
          <w:t>2</w:t>
        </w:r>
      </w:fldSimple>
      <w:bookmarkEnd w:id="15"/>
      <w:r>
        <w:t>: UK Working Party Diagnostic Criteria for Eczema (1994)</w:t>
      </w:r>
    </w:p>
    <w:tbl>
      <w:tblPr>
        <w:tblStyle w:val="TableTGAblue"/>
        <w:tblW w:w="5000" w:type="pct"/>
        <w:tblLook w:val="04A0" w:firstRow="1" w:lastRow="0" w:firstColumn="1" w:lastColumn="0" w:noHBand="0" w:noVBand="1"/>
      </w:tblPr>
      <w:tblGrid>
        <w:gridCol w:w="8484"/>
      </w:tblGrid>
      <w:tr w:rsidR="00243AE2" w:rsidRPr="00243AE2" w14:paraId="0DD5E383" w14:textId="77777777" w:rsidTr="00243AE2">
        <w:trPr>
          <w:cnfStyle w:val="100000000000" w:firstRow="1" w:lastRow="0" w:firstColumn="0" w:lastColumn="0" w:oddVBand="0" w:evenVBand="0" w:oddHBand="0" w:evenHBand="0" w:firstRowFirstColumn="0" w:firstRowLastColumn="0" w:lastRowFirstColumn="0" w:lastRowLastColumn="0"/>
        </w:trPr>
        <w:tc>
          <w:tcPr>
            <w:tcW w:w="5000" w:type="pct"/>
            <w:hideMark/>
          </w:tcPr>
          <w:p w14:paraId="3FB7EB97" w14:textId="3804AB93" w:rsidR="00243AE2" w:rsidRPr="00243AE2" w:rsidRDefault="00243AE2" w:rsidP="00243AE2">
            <w:r>
              <w:t>UK Working Party Diagnostic Criteria for Eczema</w:t>
            </w:r>
          </w:p>
        </w:tc>
      </w:tr>
      <w:tr w:rsidR="00243AE2" w:rsidRPr="00243AE2" w14:paraId="233096A4" w14:textId="77777777" w:rsidTr="005F4A63">
        <w:trPr>
          <w:trHeight w:val="3070"/>
        </w:trPr>
        <w:tc>
          <w:tcPr>
            <w:tcW w:w="5000" w:type="pct"/>
            <w:hideMark/>
          </w:tcPr>
          <w:p w14:paraId="11038BE1" w14:textId="54DE62F4" w:rsidR="00243AE2" w:rsidRPr="005F4A63" w:rsidRDefault="005F4A63" w:rsidP="00243AE2">
            <w:pPr>
              <w:rPr>
                <w:sz w:val="20"/>
              </w:rPr>
            </w:pPr>
            <w:r>
              <w:rPr>
                <w:sz w:val="20"/>
              </w:rPr>
              <w:t>[A patient must have an] i</w:t>
            </w:r>
            <w:r w:rsidR="00243AE2" w:rsidRPr="005F4A63">
              <w:rPr>
                <w:sz w:val="20"/>
              </w:rPr>
              <w:t>tchy skin condition, plus three (or more) of the following:</w:t>
            </w:r>
          </w:p>
          <w:p w14:paraId="5019E0D9" w14:textId="74846CE7" w:rsidR="00243AE2" w:rsidRPr="005F4A63" w:rsidRDefault="00243AE2" w:rsidP="00243AE2">
            <w:pPr>
              <w:pStyle w:val="ListBullet2"/>
              <w:rPr>
                <w:sz w:val="20"/>
              </w:rPr>
            </w:pPr>
            <w:r w:rsidRPr="005F4A63">
              <w:rPr>
                <w:sz w:val="20"/>
              </w:rPr>
              <w:t>Visible flexural eczema, for example antecubital and popliteal fossae (or visible dermatitis of the cheeks and extensor surfaces if under 18 months)</w:t>
            </w:r>
          </w:p>
          <w:p w14:paraId="0BD3C1D2" w14:textId="77777777" w:rsidR="00243AE2" w:rsidRPr="005F4A63" w:rsidRDefault="00243AE2" w:rsidP="00243AE2">
            <w:pPr>
              <w:pStyle w:val="ListBullet2"/>
              <w:rPr>
                <w:sz w:val="20"/>
              </w:rPr>
            </w:pPr>
            <w:r w:rsidRPr="005F4A63">
              <w:rPr>
                <w:sz w:val="20"/>
              </w:rPr>
              <w:t>Personal history of dermatitis as above</w:t>
            </w:r>
          </w:p>
          <w:p w14:paraId="55BF58B9" w14:textId="77777777" w:rsidR="00243AE2" w:rsidRPr="005F4A63" w:rsidRDefault="00243AE2" w:rsidP="00243AE2">
            <w:pPr>
              <w:pStyle w:val="ListBullet2"/>
              <w:rPr>
                <w:sz w:val="20"/>
              </w:rPr>
            </w:pPr>
            <w:r w:rsidRPr="005F4A63">
              <w:rPr>
                <w:sz w:val="20"/>
              </w:rPr>
              <w:t>Personal history of dry skin in the last 12 months</w:t>
            </w:r>
          </w:p>
          <w:p w14:paraId="28BB9D55" w14:textId="39455D93" w:rsidR="00243AE2" w:rsidRPr="005F4A63" w:rsidRDefault="00243AE2" w:rsidP="00243AE2">
            <w:pPr>
              <w:pStyle w:val="ListBullet2"/>
              <w:rPr>
                <w:sz w:val="20"/>
              </w:rPr>
            </w:pPr>
            <w:r w:rsidRPr="005F4A63">
              <w:rPr>
                <w:sz w:val="20"/>
              </w:rPr>
              <w:t>Personal history of asthma or allergic rhinitis (or history of eczema</w:t>
            </w:r>
            <w:r w:rsidR="005F4A63">
              <w:rPr>
                <w:sz w:val="20"/>
              </w:rPr>
              <w:t xml:space="preserve"> in a first degree relative if under </w:t>
            </w:r>
            <w:r w:rsidRPr="005F4A63">
              <w:rPr>
                <w:sz w:val="20"/>
              </w:rPr>
              <w:t xml:space="preserve">4 years </w:t>
            </w:r>
            <w:r w:rsidR="005F4A63">
              <w:rPr>
                <w:sz w:val="20"/>
              </w:rPr>
              <w:t>of age</w:t>
            </w:r>
            <w:r w:rsidRPr="005F4A63">
              <w:rPr>
                <w:sz w:val="20"/>
              </w:rPr>
              <w:t>)</w:t>
            </w:r>
          </w:p>
          <w:p w14:paraId="684B134E" w14:textId="4C6D8EBC" w:rsidR="00243AE2" w:rsidRPr="00243AE2" w:rsidRDefault="00243AE2" w:rsidP="00243AE2">
            <w:pPr>
              <w:pStyle w:val="ListBullet2"/>
            </w:pPr>
            <w:r w:rsidRPr="005F4A63">
              <w:rPr>
                <w:sz w:val="20"/>
              </w:rPr>
              <w:t xml:space="preserve">Onset of signs and symptoms under the age of 2 years (this criteria </w:t>
            </w:r>
            <w:r w:rsidR="005F4A63">
              <w:rPr>
                <w:sz w:val="20"/>
              </w:rPr>
              <w:t xml:space="preserve">should not be used in children under </w:t>
            </w:r>
            <w:r w:rsidRPr="005F4A63">
              <w:rPr>
                <w:sz w:val="20"/>
              </w:rPr>
              <w:t>4 years</w:t>
            </w:r>
            <w:r w:rsidR="005F4A63">
              <w:rPr>
                <w:sz w:val="20"/>
              </w:rPr>
              <w:t xml:space="preserve"> of age</w:t>
            </w:r>
            <w:r w:rsidRPr="005F4A63">
              <w:rPr>
                <w:sz w:val="20"/>
              </w:rPr>
              <w:t>)</w:t>
            </w:r>
          </w:p>
        </w:tc>
      </w:tr>
    </w:tbl>
    <w:p w14:paraId="65D65A91" w14:textId="6DFD1209" w:rsidR="00243AE2" w:rsidRPr="00C15AF0" w:rsidRDefault="005F4A63" w:rsidP="00C15AF0">
      <w:pPr>
        <w:pStyle w:val="TableDescription"/>
      </w:pPr>
      <w:r>
        <w:t xml:space="preserve">Adapted from: </w:t>
      </w:r>
      <w:r w:rsidR="00C15AF0" w:rsidRPr="00C15AF0">
        <w:t xml:space="preserve">The UK working party's diagnostic criteria for atopic dermatitis III: Independent hospital validation. Williams HC, Burney PGJ, Pembroke AC, Hay RJ. </w:t>
      </w:r>
      <w:r w:rsidR="00C15AF0" w:rsidRPr="005F4A63">
        <w:rPr>
          <w:i/>
        </w:rPr>
        <w:t>Br J Dermatol</w:t>
      </w:r>
      <w:r w:rsidR="00C15AF0" w:rsidRPr="00C15AF0">
        <w:t xml:space="preserve"> 1994;131:406-416</w:t>
      </w:r>
    </w:p>
    <w:p w14:paraId="35220F17" w14:textId="1AD4C220" w:rsidR="00C15AF0" w:rsidRPr="00C15AF0" w:rsidRDefault="00C15AF0" w:rsidP="00C15AF0">
      <w:pPr>
        <w:rPr>
          <w:vertAlign w:val="superscript"/>
        </w:rPr>
      </w:pPr>
      <w:r>
        <w:t>The severity of atopic dermatitis is usually determined based on clinician assessment, including estimation of the proportion of body surface area involved and subjective assessment of signs and symptoms. One-third of patients with atopic dermatitis have moderate to severe disease that is often accompani</w:t>
      </w:r>
      <w:r w:rsidR="005F4A63">
        <w:t>ed by negative impact on health</w:t>
      </w:r>
      <w:r w:rsidR="005F4A63">
        <w:noBreakHyphen/>
      </w:r>
      <w:r>
        <w:t xml:space="preserve">related quality of life, including fatigue, work productivity, and everyday activities </w:t>
      </w:r>
      <w:r>
        <w:lastRenderedPageBreak/>
        <w:t>as well as an increased incidence of attention deficit hyperactivity disorder (ADHD) in children, depression, suicidal ideation and sleep disturbance.</w:t>
      </w:r>
      <w:bookmarkStart w:id="16" w:name="_Ref125534230"/>
      <w:r>
        <w:rPr>
          <w:rStyle w:val="FootnoteReference"/>
        </w:rPr>
        <w:footnoteReference w:id="3"/>
      </w:r>
      <w:bookmarkEnd w:id="16"/>
      <w:r>
        <w:rPr>
          <w:vertAlign w:val="superscript"/>
        </w:rPr>
        <w:t>,</w:t>
      </w:r>
      <w:bookmarkStart w:id="17" w:name="_Ref125534235"/>
      <w:r>
        <w:rPr>
          <w:rStyle w:val="FootnoteReference"/>
        </w:rPr>
        <w:footnoteReference w:id="4"/>
      </w:r>
      <w:bookmarkEnd w:id="17"/>
      <w:r>
        <w:rPr>
          <w:vertAlign w:val="superscript"/>
        </w:rPr>
        <w:t>,</w:t>
      </w:r>
      <w:bookmarkStart w:id="18" w:name="_Ref125534238"/>
      <w:r>
        <w:rPr>
          <w:rStyle w:val="FootnoteReference"/>
        </w:rPr>
        <w:footnoteReference w:id="5"/>
      </w:r>
      <w:bookmarkEnd w:id="18"/>
    </w:p>
    <w:p w14:paraId="67D6F2D7" w14:textId="70DD904F" w:rsidR="00C15AF0" w:rsidRDefault="005F4A63" w:rsidP="00C15AF0">
      <w:r>
        <w:t>Adolescent patients are estimate</w:t>
      </w:r>
      <w:r w:rsidR="00FA3039">
        <w:t>d</w:t>
      </w:r>
      <w:r>
        <w:t xml:space="preserve"> to count for between 8% and</w:t>
      </w:r>
      <w:r w:rsidR="00C15AF0">
        <w:t xml:space="preserve"> 14% of </w:t>
      </w:r>
      <w:r>
        <w:t xml:space="preserve">all </w:t>
      </w:r>
      <w:r w:rsidR="00C15AF0">
        <w:t>patients with moderate to severe atopic dermatitis.</w:t>
      </w:r>
      <w:r w:rsidRPr="005F4A63">
        <w:rPr>
          <w:vertAlign w:val="superscript"/>
        </w:rPr>
        <w:fldChar w:fldCharType="begin"/>
      </w:r>
      <w:r w:rsidRPr="005F4A63">
        <w:rPr>
          <w:vertAlign w:val="superscript"/>
        </w:rPr>
        <w:instrText xml:space="preserve"> NOTEREF _Ref125534230 \h </w:instrText>
      </w:r>
      <w:r>
        <w:rPr>
          <w:vertAlign w:val="superscript"/>
        </w:rPr>
        <w:instrText xml:space="preserve"> \* MERGEFORMAT </w:instrText>
      </w:r>
      <w:r w:rsidRPr="005F4A63">
        <w:rPr>
          <w:vertAlign w:val="superscript"/>
        </w:rPr>
      </w:r>
      <w:r w:rsidRPr="005F4A63">
        <w:rPr>
          <w:vertAlign w:val="superscript"/>
        </w:rPr>
        <w:fldChar w:fldCharType="separate"/>
      </w:r>
      <w:r w:rsidR="00B51532">
        <w:rPr>
          <w:vertAlign w:val="superscript"/>
        </w:rPr>
        <w:t>3</w:t>
      </w:r>
      <w:r w:rsidRPr="005F4A63">
        <w:rPr>
          <w:vertAlign w:val="superscript"/>
        </w:rPr>
        <w:fldChar w:fldCharType="end"/>
      </w:r>
      <w:r w:rsidRPr="005F4A63">
        <w:rPr>
          <w:vertAlign w:val="superscript"/>
        </w:rPr>
        <w:t>,</w:t>
      </w:r>
      <w:r w:rsidRPr="005F4A63">
        <w:rPr>
          <w:vertAlign w:val="superscript"/>
        </w:rPr>
        <w:fldChar w:fldCharType="begin"/>
      </w:r>
      <w:r w:rsidRPr="005F4A63">
        <w:rPr>
          <w:vertAlign w:val="superscript"/>
        </w:rPr>
        <w:instrText xml:space="preserve"> NOTEREF _Ref125534235 \h </w:instrText>
      </w:r>
      <w:r>
        <w:rPr>
          <w:vertAlign w:val="superscript"/>
        </w:rPr>
        <w:instrText xml:space="preserve"> \* MERGEFORMAT </w:instrText>
      </w:r>
      <w:r w:rsidRPr="005F4A63">
        <w:rPr>
          <w:vertAlign w:val="superscript"/>
        </w:rPr>
      </w:r>
      <w:r w:rsidRPr="005F4A63">
        <w:rPr>
          <w:vertAlign w:val="superscript"/>
        </w:rPr>
        <w:fldChar w:fldCharType="separate"/>
      </w:r>
      <w:r w:rsidR="00B51532">
        <w:rPr>
          <w:vertAlign w:val="superscript"/>
        </w:rPr>
        <w:t>4</w:t>
      </w:r>
      <w:r w:rsidRPr="005F4A63">
        <w:rPr>
          <w:vertAlign w:val="superscript"/>
        </w:rPr>
        <w:fldChar w:fldCharType="end"/>
      </w:r>
    </w:p>
    <w:p w14:paraId="653EBF31" w14:textId="42A346A5" w:rsidR="00C15AF0" w:rsidRPr="00BC46D9" w:rsidRDefault="00C15AF0" w:rsidP="00C15AF0">
      <w:pPr>
        <w:rPr>
          <w:vertAlign w:val="superscript"/>
        </w:rPr>
      </w:pPr>
      <w:r>
        <w:t>Certain age-related variations in disease presentation are characteristic of atopic dermatitis. Infants generally experience highly pruritic erythematous lesions on the face and scalp, whereas older children exhibit more lichenified lesions typical of chronic dis</w:t>
      </w:r>
      <w:r w:rsidR="00BC46D9">
        <w:t>ease involving the extremities.</w:t>
      </w:r>
      <w:bookmarkStart w:id="19" w:name="_Ref125534390"/>
      <w:r w:rsidR="00BC46D9">
        <w:rPr>
          <w:rStyle w:val="FootnoteReference"/>
        </w:rPr>
        <w:footnoteReference w:id="6"/>
      </w:r>
      <w:bookmarkEnd w:id="19"/>
      <w:r w:rsidR="00BC46D9">
        <w:t xml:space="preserve"> </w:t>
      </w:r>
      <w:r>
        <w:t>In adolescents and adults, disease typically involves flexural folds, face, neck, upper arms and back, and dorsal surfaces of the hands and feet. Generally, severe lesions are more frequent in adults than in children</w:t>
      </w:r>
      <w:r w:rsidR="00BC46D9">
        <w:t>.</w:t>
      </w:r>
      <w:bookmarkStart w:id="20" w:name="_Ref125534494"/>
      <w:r w:rsidR="00BC46D9">
        <w:rPr>
          <w:rStyle w:val="FootnoteReference"/>
        </w:rPr>
        <w:footnoteReference w:id="7"/>
      </w:r>
      <w:bookmarkEnd w:id="20"/>
      <w:r w:rsidR="00BC46D9">
        <w:rPr>
          <w:vertAlign w:val="superscript"/>
        </w:rPr>
        <w:t>,</w:t>
      </w:r>
      <w:bookmarkStart w:id="21" w:name="_Ref125534497"/>
      <w:r w:rsidR="00BC46D9">
        <w:rPr>
          <w:rStyle w:val="FootnoteReference"/>
        </w:rPr>
        <w:footnoteReference w:id="8"/>
      </w:r>
      <w:bookmarkEnd w:id="21"/>
    </w:p>
    <w:p w14:paraId="71357C7E" w14:textId="4559009E" w:rsidR="00243AE2" w:rsidRPr="00C15AF0" w:rsidRDefault="00C15AF0" w:rsidP="00C15AF0">
      <w:r>
        <w:t>Atopic dermatitis generally begins in childhood as indicated by its higher preva</w:t>
      </w:r>
      <w:r w:rsidR="00BC46D9">
        <w:t xml:space="preserve">lence rate among children (6% to </w:t>
      </w:r>
      <w:r>
        <w:t>14%) r</w:t>
      </w:r>
      <w:r w:rsidR="00BC46D9">
        <w:t xml:space="preserve">elative to adults (3.2% to </w:t>
      </w:r>
      <w:r>
        <w:t>10.2%)</w:t>
      </w:r>
      <w:r w:rsidR="00BC46D9">
        <w:t>.</w:t>
      </w:r>
      <w:bookmarkStart w:id="22" w:name="_Ref125534477"/>
      <w:r w:rsidR="00BC46D9">
        <w:rPr>
          <w:rStyle w:val="FootnoteReference"/>
        </w:rPr>
        <w:footnoteReference w:id="9"/>
      </w:r>
      <w:bookmarkEnd w:id="22"/>
      <w:r w:rsidR="00BC46D9">
        <w:rPr>
          <w:vertAlign w:val="superscript"/>
        </w:rPr>
        <w:t>,</w:t>
      </w:r>
      <w:bookmarkStart w:id="23" w:name="_Ref125534480"/>
      <w:r w:rsidR="00BC46D9">
        <w:rPr>
          <w:rStyle w:val="FootnoteReference"/>
        </w:rPr>
        <w:footnoteReference w:id="10"/>
      </w:r>
      <w:bookmarkEnd w:id="23"/>
      <w:r>
        <w:t xml:space="preserve"> The prevalence of eczema</w:t>
      </w:r>
      <w:r w:rsidR="00BC46D9">
        <w:t xml:space="preserve"> (or atopic dermatitis)</w:t>
      </w:r>
      <w:r>
        <w:t xml:space="preserve"> varies widely between populations and countries and is said to have doubled or tripled in industrialis</w:t>
      </w:r>
      <w:r w:rsidR="00BC46D9">
        <w:t>ed countries in recent decades.</w:t>
      </w:r>
      <w:r w:rsidR="00BC46D9">
        <w:rPr>
          <w:rStyle w:val="FootnoteReference"/>
        </w:rPr>
        <w:footnoteReference w:id="11"/>
      </w:r>
      <w:r w:rsidR="00BC46D9">
        <w:t xml:space="preserve"> </w:t>
      </w:r>
      <w:r>
        <w:t>The population prevalence of eczema in Australia was estimated to be 16% in 4-year</w:t>
      </w:r>
      <w:r w:rsidR="009F35FA">
        <w:t xml:space="preserve"> olds and 20.3% in 1</w:t>
      </w:r>
      <w:r w:rsidR="00DD74F9">
        <w:noBreakHyphen/>
      </w:r>
      <w:r w:rsidR="009F35FA">
        <w:t xml:space="preserve">year </w:t>
      </w:r>
      <w:r w:rsidR="00BC46D9">
        <w:t>olds.</w:t>
      </w:r>
      <w:bookmarkStart w:id="24" w:name="_Ref125534629"/>
      <w:r w:rsidR="00BC46D9">
        <w:rPr>
          <w:rStyle w:val="FootnoteReference"/>
        </w:rPr>
        <w:footnoteReference w:id="12"/>
      </w:r>
      <w:bookmarkEnd w:id="24"/>
    </w:p>
    <w:p w14:paraId="4B02E208" w14:textId="1BE4FCB4" w:rsidR="009F35FA" w:rsidRDefault="009F35FA" w:rsidP="009F35FA">
      <w:pPr>
        <w:pStyle w:val="Heading4"/>
      </w:pPr>
      <w:r>
        <w:t>Current treatment options</w:t>
      </w:r>
    </w:p>
    <w:p w14:paraId="48A63522" w14:textId="77777777" w:rsidR="009F35FA" w:rsidRDefault="009F35FA" w:rsidP="009F35FA">
      <w:r>
        <w:t>The goal of treatment is control of symptoms and reduction of disease flares, not cure of the disease.</w:t>
      </w:r>
    </w:p>
    <w:p w14:paraId="2B51263B" w14:textId="660450AF" w:rsidR="009F35FA" w:rsidRDefault="009F35FA" w:rsidP="009F35FA">
      <w:r>
        <w:t>Management of atopic dermatitis in adults and children primarily consists of trigger avoidance, careful attention to skin care, and both pharmacologic and non-pharmacologic treatment.</w:t>
      </w:r>
      <w:r w:rsidR="00B51532">
        <w:t xml:space="preserve"> </w:t>
      </w:r>
      <w:r>
        <w:t>In the majority of cases, disease flares will occur despite appropriate non-pharmacologic skin care and trigger avoidance.</w:t>
      </w:r>
    </w:p>
    <w:p w14:paraId="33CF9277" w14:textId="32207540" w:rsidR="00DE0A80" w:rsidRDefault="00DE0A80" w:rsidP="009F35FA">
      <w:r>
        <w:t>In adults and adolescents, the most commonly used topical agents are corticosteroids, calcineurin inhibitors</w:t>
      </w:r>
      <w:r w:rsidR="00372A01">
        <w:t xml:space="preserve"> </w:t>
      </w:r>
      <w:r>
        <w:t>and moisturisers (emollients). When topical therapies are insufficient for treating atopic dermatitis, phototherapy or systemic therapy are generally added to topical agents.</w:t>
      </w:r>
    </w:p>
    <w:p w14:paraId="7AC00846" w14:textId="5034EC32" w:rsidR="004963FA" w:rsidRPr="00053E47" w:rsidRDefault="004963FA" w:rsidP="009F35FA">
      <w:pPr>
        <w:rPr>
          <w:vertAlign w:val="superscript"/>
        </w:rPr>
      </w:pPr>
      <w:r>
        <w:t xml:space="preserve">The following </w:t>
      </w:r>
      <w:r w:rsidR="00053E47">
        <w:t>is an extract of a consensus statement (2021) published by the Australasian College of Dermatologists on the management of atopic dermatitis.</w:t>
      </w:r>
      <w:bookmarkStart w:id="25" w:name="_Ref125632014"/>
      <w:r w:rsidR="00053E47">
        <w:rPr>
          <w:rStyle w:val="FootnoteReference"/>
        </w:rPr>
        <w:footnoteReference w:id="13"/>
      </w:r>
      <w:bookmarkEnd w:id="25"/>
      <w:r w:rsidR="00053E47">
        <w:rPr>
          <w:vertAlign w:val="superscript"/>
        </w:rPr>
        <w:t>,</w:t>
      </w:r>
      <w:bookmarkStart w:id="26" w:name="_Ref125631953"/>
      <w:r w:rsidR="00053E47">
        <w:rPr>
          <w:rStyle w:val="FootnoteReference"/>
        </w:rPr>
        <w:footnoteReference w:id="14"/>
      </w:r>
      <w:bookmarkEnd w:id="26"/>
    </w:p>
    <w:p w14:paraId="164EE749" w14:textId="2B5BD91F" w:rsidR="00AA5BAE" w:rsidRDefault="00AA5BAE" w:rsidP="00AA5BAE">
      <w:pPr>
        <w:pStyle w:val="Tabletitle0"/>
      </w:pPr>
      <w:r>
        <w:lastRenderedPageBreak/>
        <w:t xml:space="preserve">Table </w:t>
      </w:r>
      <w:fldSimple w:instr=" SEQ Table \* ARABIC ">
        <w:r w:rsidR="00B51532">
          <w:rPr>
            <w:noProof/>
          </w:rPr>
          <w:t>3</w:t>
        </w:r>
      </w:fldSimple>
      <w:r>
        <w:t>: Management of atopic dermatitis (Australasian College of Dermatologists con</w:t>
      </w:r>
      <w:r w:rsidR="00292D15">
        <w:t>s</w:t>
      </w:r>
      <w:r>
        <w:t>ensus statement, 2021)</w:t>
      </w:r>
    </w:p>
    <w:tbl>
      <w:tblPr>
        <w:tblStyle w:val="TableTGAblue"/>
        <w:tblW w:w="8748" w:type="dxa"/>
        <w:tblLook w:val="04A0" w:firstRow="1" w:lastRow="0" w:firstColumn="1" w:lastColumn="0" w:noHBand="0" w:noVBand="1"/>
      </w:tblPr>
      <w:tblGrid>
        <w:gridCol w:w="2268"/>
        <w:gridCol w:w="6480"/>
      </w:tblGrid>
      <w:tr w:rsidR="004963FA" w14:paraId="24CEDB19" w14:textId="77777777" w:rsidTr="00762ADC">
        <w:trPr>
          <w:cnfStyle w:val="100000000000" w:firstRow="1" w:lastRow="0" w:firstColumn="0" w:lastColumn="0" w:oddVBand="0" w:evenVBand="0" w:oddHBand="0" w:evenHBand="0" w:firstRowFirstColumn="0" w:firstRowLastColumn="0" w:lastRowFirstColumn="0" w:lastRowLastColumn="0"/>
        </w:trPr>
        <w:tc>
          <w:tcPr>
            <w:tcW w:w="8748" w:type="dxa"/>
            <w:gridSpan w:val="2"/>
          </w:tcPr>
          <w:p w14:paraId="18022194" w14:textId="2DFA92B4" w:rsidR="004963FA" w:rsidRDefault="004963FA" w:rsidP="009F35FA">
            <w:r>
              <w:t>Australasian College</w:t>
            </w:r>
            <w:r w:rsidR="00053E47">
              <w:t xml:space="preserve"> of Dermatologists</w:t>
            </w:r>
            <w:r>
              <w:t>: Management of atopic dermatitis (consensus statement)</w:t>
            </w:r>
          </w:p>
        </w:tc>
      </w:tr>
      <w:tr w:rsidR="004963FA" w14:paraId="366CDA4C" w14:textId="77777777" w:rsidTr="00762ADC">
        <w:tc>
          <w:tcPr>
            <w:tcW w:w="2268" w:type="dxa"/>
          </w:tcPr>
          <w:p w14:paraId="2EB807A1" w14:textId="13C5BA79" w:rsidR="004963FA" w:rsidRPr="004963FA" w:rsidRDefault="004963FA" w:rsidP="009F35FA">
            <w:pPr>
              <w:rPr>
                <w:b/>
              </w:rPr>
            </w:pPr>
            <w:r w:rsidRPr="004963FA">
              <w:rPr>
                <w:b/>
              </w:rPr>
              <w:t>General measures</w:t>
            </w:r>
          </w:p>
        </w:tc>
        <w:tc>
          <w:tcPr>
            <w:tcW w:w="6480" w:type="dxa"/>
          </w:tcPr>
          <w:p w14:paraId="06ADC343" w14:textId="77777777" w:rsidR="004963FA" w:rsidRPr="00762ADC" w:rsidRDefault="004963FA" w:rsidP="004963FA">
            <w:pPr>
              <w:rPr>
                <w:sz w:val="21"/>
              </w:rPr>
            </w:pPr>
            <w:r w:rsidRPr="00762ADC">
              <w:rPr>
                <w:sz w:val="21"/>
              </w:rPr>
              <w:t>All general skin measures (soap-free wash, moisturiser, short, lukewarm showers, bath oils) should be maintained as a constant background therapy in all patients. Moisturisers are a cornerstone of therapy and should be included in the daily management plan.</w:t>
            </w:r>
          </w:p>
          <w:p w14:paraId="65097225" w14:textId="0AE074FB" w:rsidR="004963FA" w:rsidRPr="00762ADC" w:rsidRDefault="004963FA" w:rsidP="004963FA">
            <w:pPr>
              <w:rPr>
                <w:sz w:val="21"/>
              </w:rPr>
            </w:pPr>
            <w:r w:rsidRPr="00762ADC">
              <w:rPr>
                <w:sz w:val="21"/>
              </w:rPr>
              <w:t>Clinicians should optimise general measures and topical therapy before considering systemic medications for atopic dermatitis, unless the impact on quality of life is substantial at the initial consultation.</w:t>
            </w:r>
          </w:p>
        </w:tc>
      </w:tr>
      <w:tr w:rsidR="004963FA" w14:paraId="056795D1" w14:textId="77777777" w:rsidTr="00762ADC">
        <w:tc>
          <w:tcPr>
            <w:tcW w:w="2268" w:type="dxa"/>
          </w:tcPr>
          <w:p w14:paraId="08FF5BD2" w14:textId="1A8EA80D" w:rsidR="004963FA" w:rsidRPr="004963FA" w:rsidRDefault="004963FA" w:rsidP="009F35FA">
            <w:pPr>
              <w:rPr>
                <w:b/>
              </w:rPr>
            </w:pPr>
            <w:r w:rsidRPr="004963FA">
              <w:rPr>
                <w:b/>
              </w:rPr>
              <w:t>Topical therapy</w:t>
            </w:r>
          </w:p>
        </w:tc>
        <w:tc>
          <w:tcPr>
            <w:tcW w:w="6480" w:type="dxa"/>
          </w:tcPr>
          <w:p w14:paraId="47724255" w14:textId="6F39515E" w:rsidR="004963FA" w:rsidRPr="00762ADC" w:rsidRDefault="004963FA" w:rsidP="004963FA">
            <w:pPr>
              <w:rPr>
                <w:sz w:val="21"/>
              </w:rPr>
            </w:pPr>
            <w:r w:rsidRPr="00762ADC">
              <w:rPr>
                <w:sz w:val="21"/>
              </w:rPr>
              <w:t>The aim is always to optimise topical therapies which include topical microbiome measures (for example bleach baths), wet wrap therapy, emollients and appropriate use of topical corticosteroids and topical calcineurin inhibitors.</w:t>
            </w:r>
          </w:p>
        </w:tc>
      </w:tr>
    </w:tbl>
    <w:p w14:paraId="23BFFC90" w14:textId="0CD13F17" w:rsidR="003B360B" w:rsidRDefault="009C2789" w:rsidP="009C2789">
      <w:pPr>
        <w:pStyle w:val="Tabletitle0"/>
      </w:pPr>
      <w:r>
        <w:t>Table 3 (continued): Management of atopic dermatitis (Australasian College of Dermatologists con</w:t>
      </w:r>
      <w:r w:rsidR="00292D15">
        <w:t>s</w:t>
      </w:r>
      <w:r>
        <w:t>ensus statement, 2021)</w:t>
      </w:r>
    </w:p>
    <w:tbl>
      <w:tblPr>
        <w:tblStyle w:val="TableTGAblue"/>
        <w:tblW w:w="8748" w:type="dxa"/>
        <w:tblLook w:val="04A0" w:firstRow="1" w:lastRow="0" w:firstColumn="1" w:lastColumn="0" w:noHBand="0" w:noVBand="1"/>
      </w:tblPr>
      <w:tblGrid>
        <w:gridCol w:w="2268"/>
        <w:gridCol w:w="6480"/>
      </w:tblGrid>
      <w:tr w:rsidR="004963FA" w14:paraId="22301D0F" w14:textId="77777777" w:rsidTr="003B360B">
        <w:trPr>
          <w:cnfStyle w:val="100000000000" w:firstRow="1" w:lastRow="0" w:firstColumn="0" w:lastColumn="0" w:oddVBand="0" w:evenVBand="0" w:oddHBand="0" w:evenHBand="0" w:firstRowFirstColumn="0" w:firstRowLastColumn="0" w:lastRowFirstColumn="0" w:lastRowLastColumn="0"/>
          <w:cantSplit/>
        </w:trPr>
        <w:tc>
          <w:tcPr>
            <w:tcW w:w="8748" w:type="dxa"/>
            <w:gridSpan w:val="2"/>
          </w:tcPr>
          <w:p w14:paraId="65F925E8" w14:textId="526E14AC" w:rsidR="004963FA" w:rsidRPr="004963FA" w:rsidRDefault="003B360B" w:rsidP="009F35FA">
            <w:pPr>
              <w:rPr>
                <w:b w:val="0"/>
              </w:rPr>
            </w:pPr>
            <w:r>
              <w:t>Management of atopic dermatitis (Australasian College of Dermatologists con</w:t>
            </w:r>
            <w:r w:rsidR="00292D15">
              <w:t>s</w:t>
            </w:r>
            <w:r>
              <w:t>ensus statement, 2021)</w:t>
            </w:r>
          </w:p>
        </w:tc>
      </w:tr>
      <w:tr w:rsidR="003B360B" w14:paraId="08A0DE1C" w14:textId="77777777" w:rsidTr="003B360B">
        <w:trPr>
          <w:cantSplit/>
        </w:trPr>
        <w:tc>
          <w:tcPr>
            <w:tcW w:w="8748" w:type="dxa"/>
            <w:gridSpan w:val="2"/>
          </w:tcPr>
          <w:p w14:paraId="4642B830" w14:textId="7E6255B6" w:rsidR="003B360B" w:rsidRDefault="003B360B" w:rsidP="009F35FA">
            <w:pPr>
              <w:rPr>
                <w:b/>
              </w:rPr>
            </w:pPr>
            <w:r>
              <w:rPr>
                <w:b/>
              </w:rPr>
              <w:t>Systemic therapies</w:t>
            </w:r>
          </w:p>
        </w:tc>
      </w:tr>
      <w:tr w:rsidR="004963FA" w:rsidRPr="00762ADC" w14:paraId="5CED04EB" w14:textId="77777777" w:rsidTr="003B360B">
        <w:trPr>
          <w:cantSplit/>
        </w:trPr>
        <w:tc>
          <w:tcPr>
            <w:tcW w:w="2268" w:type="dxa"/>
          </w:tcPr>
          <w:p w14:paraId="2AD791E1" w14:textId="0F9801DD" w:rsidR="004963FA" w:rsidRPr="004963FA" w:rsidRDefault="004963FA" w:rsidP="009F35FA">
            <w:pPr>
              <w:rPr>
                <w:b/>
              </w:rPr>
            </w:pPr>
            <w:r w:rsidRPr="004963FA">
              <w:rPr>
                <w:b/>
              </w:rPr>
              <w:t>Phototherapy</w:t>
            </w:r>
          </w:p>
        </w:tc>
        <w:tc>
          <w:tcPr>
            <w:tcW w:w="6480" w:type="dxa"/>
          </w:tcPr>
          <w:p w14:paraId="2B043EE1" w14:textId="61AA023C" w:rsidR="004963FA" w:rsidRPr="00762ADC" w:rsidRDefault="004963FA" w:rsidP="004963FA">
            <w:pPr>
              <w:rPr>
                <w:sz w:val="21"/>
              </w:rPr>
            </w:pPr>
            <w:r w:rsidRPr="00762ADC">
              <w:rPr>
                <w:sz w:val="21"/>
              </w:rPr>
              <w:t>Phototherapy (narrowband ultraviolet B (NB-UVB) or ultraviolet A1 (UVA1)) should be considered before the use of other systemic therapy if accessible and practical. Phototherapy is usually safe and well tolerated, but adverse events due to sensitive skin in atopic dermatitis patients may impact compliance.</w:t>
            </w:r>
          </w:p>
        </w:tc>
      </w:tr>
      <w:tr w:rsidR="004963FA" w14:paraId="0AFC4F01" w14:textId="77777777" w:rsidTr="00762ADC">
        <w:tc>
          <w:tcPr>
            <w:tcW w:w="2268" w:type="dxa"/>
          </w:tcPr>
          <w:p w14:paraId="0BE29AA5" w14:textId="2E24CFA7" w:rsidR="004963FA" w:rsidRPr="004963FA" w:rsidRDefault="004963FA" w:rsidP="004963FA">
            <w:pPr>
              <w:rPr>
                <w:b/>
              </w:rPr>
            </w:pPr>
            <w:r w:rsidRPr="004963FA">
              <w:rPr>
                <w:b/>
              </w:rPr>
              <w:t>Systemic corticosteroids</w:t>
            </w:r>
          </w:p>
        </w:tc>
        <w:tc>
          <w:tcPr>
            <w:tcW w:w="6480" w:type="dxa"/>
          </w:tcPr>
          <w:p w14:paraId="0F53554E" w14:textId="3FE1B1DD" w:rsidR="004963FA" w:rsidRPr="00762ADC" w:rsidRDefault="004963FA" w:rsidP="004963FA">
            <w:pPr>
              <w:rPr>
                <w:sz w:val="21"/>
              </w:rPr>
            </w:pPr>
            <w:r w:rsidRPr="00762ADC">
              <w:rPr>
                <w:sz w:val="21"/>
              </w:rPr>
              <w:t>Systemic corticosteroids are effective, but associated with short-term and long-term adverse events; use should be limited to bridging, rescue of flares, anticipation of a major life event or in patients with severe atopic dermatitis.</w:t>
            </w:r>
          </w:p>
        </w:tc>
      </w:tr>
      <w:tr w:rsidR="004963FA" w14:paraId="5AD7AF3D" w14:textId="77777777" w:rsidTr="00762ADC">
        <w:trPr>
          <w:cantSplit/>
        </w:trPr>
        <w:tc>
          <w:tcPr>
            <w:tcW w:w="2268" w:type="dxa"/>
          </w:tcPr>
          <w:p w14:paraId="0C6F9FA6" w14:textId="18ECB909" w:rsidR="004963FA" w:rsidRPr="004963FA" w:rsidRDefault="004963FA" w:rsidP="00053E47">
            <w:pPr>
              <w:rPr>
                <w:b/>
              </w:rPr>
            </w:pPr>
            <w:r w:rsidRPr="004963FA">
              <w:rPr>
                <w:b/>
              </w:rPr>
              <w:t xml:space="preserve">Systemic antimicrobial </w:t>
            </w:r>
            <w:r w:rsidR="00053E47">
              <w:rPr>
                <w:b/>
              </w:rPr>
              <w:t>agents</w:t>
            </w:r>
          </w:p>
        </w:tc>
        <w:tc>
          <w:tcPr>
            <w:tcW w:w="6480" w:type="dxa"/>
          </w:tcPr>
          <w:p w14:paraId="314C6551" w14:textId="60C99C1B" w:rsidR="004963FA" w:rsidRPr="00762ADC" w:rsidRDefault="004963FA" w:rsidP="00053E47">
            <w:pPr>
              <w:rPr>
                <w:sz w:val="21"/>
              </w:rPr>
            </w:pPr>
            <w:r w:rsidRPr="00762ADC">
              <w:rPr>
                <w:sz w:val="21"/>
              </w:rPr>
              <w:t>Systemic antimicrobials should be reserved for short-term use only in the majority of patients with infected atopic dermatitis, excluding those with h</w:t>
            </w:r>
            <w:r w:rsidR="00053E47" w:rsidRPr="00762ADC">
              <w:rPr>
                <w:sz w:val="21"/>
              </w:rPr>
              <w:t xml:space="preserve">yper-IgE </w:t>
            </w:r>
            <w:r w:rsidR="00762ADC" w:rsidRPr="00762ADC">
              <w:rPr>
                <w:sz w:val="21"/>
              </w:rPr>
              <w:t xml:space="preserve">syndromes </w:t>
            </w:r>
            <w:r w:rsidR="00053E47" w:rsidRPr="00762ADC">
              <w:rPr>
                <w:sz w:val="21"/>
              </w:rPr>
              <w:t>and immunosuppression.</w:t>
            </w:r>
          </w:p>
        </w:tc>
      </w:tr>
      <w:tr w:rsidR="004963FA" w14:paraId="1974D591" w14:textId="77777777" w:rsidTr="00762ADC">
        <w:tc>
          <w:tcPr>
            <w:tcW w:w="2268" w:type="dxa"/>
          </w:tcPr>
          <w:p w14:paraId="1F6A96B2" w14:textId="41604DAC" w:rsidR="004963FA" w:rsidRDefault="00053E47" w:rsidP="009F35FA">
            <w:r w:rsidRPr="004963FA">
              <w:rPr>
                <w:b/>
              </w:rPr>
              <w:t>Other systemic therapies</w:t>
            </w:r>
          </w:p>
        </w:tc>
        <w:tc>
          <w:tcPr>
            <w:tcW w:w="6480" w:type="dxa"/>
          </w:tcPr>
          <w:p w14:paraId="5723F4D8" w14:textId="48B55EC9" w:rsidR="004963FA" w:rsidRPr="00762ADC" w:rsidRDefault="00053E47" w:rsidP="00762ADC">
            <w:pPr>
              <w:rPr>
                <w:sz w:val="21"/>
              </w:rPr>
            </w:pPr>
            <w:r w:rsidRPr="00762ADC">
              <w:rPr>
                <w:sz w:val="21"/>
              </w:rPr>
              <w:t xml:space="preserve">Considering currently available data and the safety profiles of systemic therapies that are approved by the Australian Therapeutic Goods Administration (TGA) to treat </w:t>
            </w:r>
            <w:r w:rsidR="00762ADC" w:rsidRPr="00762ADC">
              <w:rPr>
                <w:sz w:val="21"/>
              </w:rPr>
              <w:t>atopic dermatitis</w:t>
            </w:r>
            <w:r w:rsidRPr="00762ADC">
              <w:rPr>
                <w:sz w:val="21"/>
              </w:rPr>
              <w:t xml:space="preserve">, it is recommended that dupilumab could be considered as a first-line systemic treatment option in adults with severe </w:t>
            </w:r>
            <w:r w:rsidR="00762ADC" w:rsidRPr="00762ADC">
              <w:rPr>
                <w:sz w:val="21"/>
              </w:rPr>
              <w:t>atopic dermatitis</w:t>
            </w:r>
            <w:r w:rsidRPr="00762ADC">
              <w:rPr>
                <w:sz w:val="21"/>
              </w:rPr>
              <w:t xml:space="preserve"> who are uncontrolled with topical therapies.</w:t>
            </w:r>
          </w:p>
        </w:tc>
      </w:tr>
    </w:tbl>
    <w:p w14:paraId="762EB409" w14:textId="70288CD3" w:rsidR="00BC31B0" w:rsidRDefault="00053E47" w:rsidP="00053E47">
      <w:pPr>
        <w:pStyle w:val="TableDescription"/>
      </w:pPr>
      <w:r>
        <w:lastRenderedPageBreak/>
        <w:t xml:space="preserve">This consensus statement has been adapted from Smith S et al. (2020), Atopic dermatitis in adults: An Australian management consensus. </w:t>
      </w:r>
      <w:r w:rsidRPr="00053E47">
        <w:rPr>
          <w:i/>
        </w:rPr>
        <w:t>Australas J Dermatol</w:t>
      </w:r>
      <w:r>
        <w:t>, 61: 23-32. by The Australasian College of Dermatologists with permission from the authors.</w:t>
      </w:r>
    </w:p>
    <w:p w14:paraId="6F27D59D" w14:textId="466F85E5" w:rsidR="000604A8" w:rsidRDefault="00762ADC" w:rsidP="000604A8">
      <w:r>
        <w:t>From the same consensus statement,</w:t>
      </w:r>
      <w:r w:rsidRPr="00762ADC">
        <w:rPr>
          <w:vertAlign w:val="superscript"/>
        </w:rPr>
        <w:fldChar w:fldCharType="begin"/>
      </w:r>
      <w:r w:rsidRPr="00762ADC">
        <w:rPr>
          <w:vertAlign w:val="superscript"/>
        </w:rPr>
        <w:instrText xml:space="preserve"> NOTEREF _Ref125632014 \h </w:instrText>
      </w:r>
      <w:r>
        <w:rPr>
          <w:vertAlign w:val="superscript"/>
        </w:rPr>
        <w:instrText xml:space="preserve"> \* MERGEFORMAT </w:instrText>
      </w:r>
      <w:r w:rsidRPr="00762ADC">
        <w:rPr>
          <w:vertAlign w:val="superscript"/>
        </w:rPr>
      </w:r>
      <w:r w:rsidRPr="00762ADC">
        <w:rPr>
          <w:vertAlign w:val="superscript"/>
        </w:rPr>
        <w:fldChar w:fldCharType="separate"/>
      </w:r>
      <w:r w:rsidR="00B51532">
        <w:rPr>
          <w:vertAlign w:val="superscript"/>
        </w:rPr>
        <w:t>13</w:t>
      </w:r>
      <w:r w:rsidRPr="00762ADC">
        <w:rPr>
          <w:vertAlign w:val="superscript"/>
        </w:rPr>
        <w:fldChar w:fldCharType="end"/>
      </w:r>
      <w:r w:rsidRPr="00762ADC">
        <w:rPr>
          <w:vertAlign w:val="superscript"/>
        </w:rPr>
        <w:t>,</w:t>
      </w:r>
      <w:r w:rsidRPr="00762ADC">
        <w:rPr>
          <w:vertAlign w:val="superscript"/>
        </w:rPr>
        <w:fldChar w:fldCharType="begin"/>
      </w:r>
      <w:r w:rsidRPr="00762ADC">
        <w:rPr>
          <w:vertAlign w:val="superscript"/>
        </w:rPr>
        <w:instrText xml:space="preserve"> NOTEREF _Ref125631953 \h </w:instrText>
      </w:r>
      <w:r>
        <w:rPr>
          <w:vertAlign w:val="superscript"/>
        </w:rPr>
        <w:instrText xml:space="preserve"> \* MERGEFORMAT </w:instrText>
      </w:r>
      <w:r w:rsidRPr="00762ADC">
        <w:rPr>
          <w:vertAlign w:val="superscript"/>
        </w:rPr>
      </w:r>
      <w:r w:rsidRPr="00762ADC">
        <w:rPr>
          <w:vertAlign w:val="superscript"/>
        </w:rPr>
        <w:fldChar w:fldCharType="separate"/>
      </w:r>
      <w:r w:rsidR="00B51532">
        <w:rPr>
          <w:vertAlign w:val="superscript"/>
        </w:rPr>
        <w:t>14</w:t>
      </w:r>
      <w:r w:rsidRPr="00762ADC">
        <w:rPr>
          <w:vertAlign w:val="superscript"/>
        </w:rPr>
        <w:fldChar w:fldCharType="end"/>
      </w:r>
      <w:r>
        <w:t xml:space="preserve"> t</w:t>
      </w:r>
      <w:r w:rsidR="000604A8">
        <w:t>he optimal duration of trial to establish treatment response to different therapeutic approaches are as set out below.</w:t>
      </w:r>
    </w:p>
    <w:p w14:paraId="2CFE1D2C" w14:textId="140ADFB0" w:rsidR="00AA5BAE" w:rsidRDefault="00AA5BAE" w:rsidP="003B360B">
      <w:pPr>
        <w:pStyle w:val="Tabletitle0"/>
      </w:pPr>
      <w:r>
        <w:t xml:space="preserve">Table </w:t>
      </w:r>
      <w:fldSimple w:instr=" SEQ Table \* ARABIC ">
        <w:r w:rsidR="00B51532">
          <w:rPr>
            <w:noProof/>
          </w:rPr>
          <w:t>4</w:t>
        </w:r>
      </w:fldSimple>
      <w:r>
        <w:t xml:space="preserve">: </w:t>
      </w:r>
      <w:r w:rsidR="003B360B">
        <w:t>Optimal duration of trialled therapy (Australasian College of Dermatologists con</w:t>
      </w:r>
      <w:r w:rsidR="00292D15">
        <w:t>s</w:t>
      </w:r>
      <w:r w:rsidR="003B360B">
        <w:t>ensus statement, 2021)</w:t>
      </w:r>
    </w:p>
    <w:tbl>
      <w:tblPr>
        <w:tblStyle w:val="TableTGAblue"/>
        <w:tblW w:w="0" w:type="auto"/>
        <w:tblLook w:val="04A0" w:firstRow="1" w:lastRow="0" w:firstColumn="1" w:lastColumn="0" w:noHBand="0" w:noVBand="1"/>
      </w:tblPr>
      <w:tblGrid>
        <w:gridCol w:w="4338"/>
        <w:gridCol w:w="3420"/>
      </w:tblGrid>
      <w:tr w:rsidR="000604A8" w:rsidRPr="000604A8" w14:paraId="5D8137E0" w14:textId="77777777" w:rsidTr="00762ADC">
        <w:trPr>
          <w:cnfStyle w:val="100000000000" w:firstRow="1" w:lastRow="0" w:firstColumn="0" w:lastColumn="0" w:oddVBand="0" w:evenVBand="0" w:oddHBand="0" w:evenHBand="0" w:firstRowFirstColumn="0" w:firstRowLastColumn="0" w:lastRowFirstColumn="0" w:lastRowLastColumn="0"/>
        </w:trPr>
        <w:tc>
          <w:tcPr>
            <w:tcW w:w="4338" w:type="dxa"/>
            <w:tcBorders>
              <w:bottom w:val="single" w:sz="4" w:space="0" w:color="auto"/>
            </w:tcBorders>
          </w:tcPr>
          <w:p w14:paraId="72D7389E" w14:textId="77777777" w:rsidR="000604A8" w:rsidRPr="000604A8" w:rsidRDefault="000604A8" w:rsidP="00C54AEE">
            <w:r w:rsidRPr="000604A8">
              <w:t xml:space="preserve">Therapy </w:t>
            </w:r>
          </w:p>
        </w:tc>
        <w:tc>
          <w:tcPr>
            <w:tcW w:w="3420" w:type="dxa"/>
            <w:tcBorders>
              <w:bottom w:val="single" w:sz="4" w:space="0" w:color="auto"/>
            </w:tcBorders>
          </w:tcPr>
          <w:p w14:paraId="45A400A8" w14:textId="35A3BF5A" w:rsidR="000604A8" w:rsidRPr="000604A8" w:rsidRDefault="000604A8" w:rsidP="006957F8">
            <w:pPr>
              <w:ind w:left="0"/>
            </w:pPr>
            <w:r w:rsidRPr="000604A8">
              <w:t>Optimal trial duration</w:t>
            </w:r>
            <w:r w:rsidR="006957F8">
              <w:rPr>
                <w:vertAlign w:val="superscript"/>
              </w:rPr>
              <w:t>1</w:t>
            </w:r>
          </w:p>
        </w:tc>
      </w:tr>
      <w:tr w:rsidR="000604A8" w:rsidRPr="000604A8" w14:paraId="6B736CFF" w14:textId="77777777" w:rsidTr="00762ADC">
        <w:tc>
          <w:tcPr>
            <w:tcW w:w="7758" w:type="dxa"/>
            <w:gridSpan w:val="2"/>
            <w:tcBorders>
              <w:top w:val="single" w:sz="4" w:space="0" w:color="auto"/>
              <w:left w:val="single" w:sz="4" w:space="0" w:color="auto"/>
              <w:bottom w:val="nil"/>
              <w:right w:val="single" w:sz="4" w:space="0" w:color="auto"/>
            </w:tcBorders>
          </w:tcPr>
          <w:p w14:paraId="3792A146" w14:textId="419F6C5E" w:rsidR="000604A8" w:rsidRPr="000604A8" w:rsidRDefault="000604A8" w:rsidP="00C54AEE">
            <w:pPr>
              <w:rPr>
                <w:b/>
              </w:rPr>
            </w:pPr>
            <w:r w:rsidRPr="000604A8">
              <w:rPr>
                <w:b/>
              </w:rPr>
              <w:t>Topical therapies</w:t>
            </w:r>
          </w:p>
        </w:tc>
      </w:tr>
      <w:tr w:rsidR="000604A8" w:rsidRPr="000604A8" w14:paraId="7E9008F5" w14:textId="77777777" w:rsidTr="00762ADC">
        <w:tc>
          <w:tcPr>
            <w:tcW w:w="4338" w:type="dxa"/>
            <w:tcBorders>
              <w:top w:val="nil"/>
              <w:left w:val="single" w:sz="4" w:space="0" w:color="auto"/>
              <w:bottom w:val="nil"/>
              <w:right w:val="nil"/>
            </w:tcBorders>
            <w:vAlign w:val="center"/>
          </w:tcPr>
          <w:p w14:paraId="46295445" w14:textId="77777777" w:rsidR="000604A8" w:rsidRPr="00762ADC" w:rsidRDefault="000604A8" w:rsidP="006957F8">
            <w:pPr>
              <w:spacing w:before="0"/>
              <w:rPr>
                <w:sz w:val="21"/>
              </w:rPr>
            </w:pPr>
            <w:r w:rsidRPr="00762ADC">
              <w:rPr>
                <w:sz w:val="21"/>
              </w:rPr>
              <w:t>Wet dressings</w:t>
            </w:r>
          </w:p>
        </w:tc>
        <w:tc>
          <w:tcPr>
            <w:tcW w:w="3420" w:type="dxa"/>
            <w:tcBorders>
              <w:top w:val="nil"/>
              <w:left w:val="nil"/>
              <w:bottom w:val="nil"/>
              <w:right w:val="single" w:sz="4" w:space="0" w:color="auto"/>
            </w:tcBorders>
            <w:vAlign w:val="center"/>
          </w:tcPr>
          <w:p w14:paraId="3A92A89E" w14:textId="5C7BFA08" w:rsidR="000604A8" w:rsidRPr="00762ADC" w:rsidRDefault="000604A8" w:rsidP="006957F8">
            <w:pPr>
              <w:spacing w:before="0"/>
              <w:ind w:left="0"/>
              <w:rPr>
                <w:sz w:val="21"/>
              </w:rPr>
            </w:pPr>
            <w:r w:rsidRPr="00762ADC">
              <w:rPr>
                <w:sz w:val="21"/>
              </w:rPr>
              <w:t xml:space="preserve">Several </w:t>
            </w:r>
            <w:r w:rsidR="006957F8" w:rsidRPr="00762ADC">
              <w:rPr>
                <w:sz w:val="21"/>
              </w:rPr>
              <w:t xml:space="preserve">(5 to </w:t>
            </w:r>
            <w:r w:rsidRPr="00762ADC">
              <w:rPr>
                <w:sz w:val="21"/>
              </w:rPr>
              <w:t>7) days</w:t>
            </w:r>
          </w:p>
        </w:tc>
      </w:tr>
      <w:tr w:rsidR="000604A8" w:rsidRPr="000604A8" w14:paraId="1A62F972" w14:textId="77777777" w:rsidTr="00762ADC">
        <w:tc>
          <w:tcPr>
            <w:tcW w:w="4338" w:type="dxa"/>
            <w:tcBorders>
              <w:top w:val="nil"/>
              <w:left w:val="single" w:sz="4" w:space="0" w:color="auto"/>
              <w:bottom w:val="nil"/>
              <w:right w:val="nil"/>
            </w:tcBorders>
            <w:vAlign w:val="center"/>
          </w:tcPr>
          <w:p w14:paraId="76B4A2E0" w14:textId="77777777" w:rsidR="000604A8" w:rsidRPr="00762ADC" w:rsidRDefault="000604A8" w:rsidP="006957F8">
            <w:pPr>
              <w:spacing w:before="0"/>
              <w:rPr>
                <w:sz w:val="21"/>
              </w:rPr>
            </w:pPr>
            <w:r w:rsidRPr="00762ADC">
              <w:rPr>
                <w:sz w:val="21"/>
              </w:rPr>
              <w:t>Topical corticosteroids</w:t>
            </w:r>
          </w:p>
        </w:tc>
        <w:tc>
          <w:tcPr>
            <w:tcW w:w="3420" w:type="dxa"/>
            <w:tcBorders>
              <w:top w:val="nil"/>
              <w:left w:val="nil"/>
              <w:bottom w:val="nil"/>
              <w:right w:val="single" w:sz="4" w:space="0" w:color="auto"/>
            </w:tcBorders>
            <w:vAlign w:val="center"/>
          </w:tcPr>
          <w:p w14:paraId="0AD95F98" w14:textId="79E82775" w:rsidR="000604A8" w:rsidRPr="00762ADC" w:rsidRDefault="006957F8" w:rsidP="006957F8">
            <w:pPr>
              <w:spacing w:before="0"/>
              <w:ind w:left="0"/>
              <w:rPr>
                <w:sz w:val="21"/>
              </w:rPr>
            </w:pPr>
            <w:r w:rsidRPr="00762ADC">
              <w:rPr>
                <w:sz w:val="21"/>
              </w:rPr>
              <w:t xml:space="preserve">2 to </w:t>
            </w:r>
            <w:r w:rsidR="000604A8" w:rsidRPr="00762ADC">
              <w:rPr>
                <w:sz w:val="21"/>
              </w:rPr>
              <w:t>4 weeks</w:t>
            </w:r>
          </w:p>
        </w:tc>
      </w:tr>
      <w:tr w:rsidR="000604A8" w:rsidRPr="000604A8" w14:paraId="11C8F3F8" w14:textId="77777777" w:rsidTr="00762ADC">
        <w:tc>
          <w:tcPr>
            <w:tcW w:w="4338" w:type="dxa"/>
            <w:tcBorders>
              <w:top w:val="nil"/>
              <w:left w:val="single" w:sz="4" w:space="0" w:color="auto"/>
              <w:bottom w:val="single" w:sz="4" w:space="0" w:color="auto"/>
              <w:right w:val="nil"/>
            </w:tcBorders>
            <w:vAlign w:val="center"/>
          </w:tcPr>
          <w:p w14:paraId="62083EF0" w14:textId="77777777" w:rsidR="000604A8" w:rsidRPr="00762ADC" w:rsidRDefault="000604A8" w:rsidP="006957F8">
            <w:pPr>
              <w:spacing w:before="0"/>
              <w:rPr>
                <w:sz w:val="21"/>
              </w:rPr>
            </w:pPr>
            <w:r w:rsidRPr="00762ADC">
              <w:rPr>
                <w:sz w:val="21"/>
              </w:rPr>
              <w:t>Topical calcineurin inhibitors</w:t>
            </w:r>
          </w:p>
        </w:tc>
        <w:tc>
          <w:tcPr>
            <w:tcW w:w="3420" w:type="dxa"/>
            <w:tcBorders>
              <w:top w:val="nil"/>
              <w:left w:val="nil"/>
              <w:bottom w:val="single" w:sz="4" w:space="0" w:color="auto"/>
              <w:right w:val="single" w:sz="4" w:space="0" w:color="auto"/>
            </w:tcBorders>
            <w:vAlign w:val="center"/>
          </w:tcPr>
          <w:p w14:paraId="716363B0" w14:textId="3E212A68" w:rsidR="000604A8" w:rsidRPr="00762ADC" w:rsidRDefault="006957F8" w:rsidP="006957F8">
            <w:pPr>
              <w:spacing w:before="0"/>
              <w:ind w:left="0"/>
              <w:rPr>
                <w:sz w:val="21"/>
              </w:rPr>
            </w:pPr>
            <w:r w:rsidRPr="00762ADC">
              <w:rPr>
                <w:sz w:val="21"/>
              </w:rPr>
              <w:t xml:space="preserve">2 to </w:t>
            </w:r>
            <w:r w:rsidR="000604A8" w:rsidRPr="00762ADC">
              <w:rPr>
                <w:sz w:val="21"/>
              </w:rPr>
              <w:t>4 weeks</w:t>
            </w:r>
          </w:p>
        </w:tc>
      </w:tr>
      <w:tr w:rsidR="006957F8" w:rsidRPr="000604A8" w14:paraId="0732E968" w14:textId="77777777" w:rsidTr="00762ADC">
        <w:tc>
          <w:tcPr>
            <w:tcW w:w="7758" w:type="dxa"/>
            <w:gridSpan w:val="2"/>
            <w:tcBorders>
              <w:top w:val="single" w:sz="4" w:space="0" w:color="auto"/>
              <w:left w:val="single" w:sz="4" w:space="0" w:color="auto"/>
              <w:bottom w:val="nil"/>
              <w:right w:val="single" w:sz="4" w:space="0" w:color="auto"/>
            </w:tcBorders>
            <w:vAlign w:val="center"/>
          </w:tcPr>
          <w:p w14:paraId="0546C3AB" w14:textId="62D4CA4D" w:rsidR="006957F8" w:rsidRPr="000604A8" w:rsidRDefault="006957F8" w:rsidP="006957F8">
            <w:r>
              <w:rPr>
                <w:b/>
              </w:rPr>
              <w:t>Phototherapy</w:t>
            </w:r>
          </w:p>
        </w:tc>
      </w:tr>
      <w:tr w:rsidR="000604A8" w:rsidRPr="000604A8" w14:paraId="0BD36E5F" w14:textId="77777777" w:rsidTr="00762ADC">
        <w:tc>
          <w:tcPr>
            <w:tcW w:w="4338" w:type="dxa"/>
            <w:tcBorders>
              <w:top w:val="nil"/>
              <w:left w:val="single" w:sz="4" w:space="0" w:color="auto"/>
              <w:bottom w:val="single" w:sz="4" w:space="0" w:color="auto"/>
              <w:right w:val="nil"/>
            </w:tcBorders>
            <w:vAlign w:val="center"/>
          </w:tcPr>
          <w:p w14:paraId="5624BC8E" w14:textId="45E414A4" w:rsidR="000604A8" w:rsidRPr="00762ADC" w:rsidRDefault="000604A8" w:rsidP="006957F8">
            <w:pPr>
              <w:spacing w:before="0"/>
              <w:rPr>
                <w:b/>
                <w:sz w:val="21"/>
              </w:rPr>
            </w:pPr>
            <w:r w:rsidRPr="00762ADC">
              <w:rPr>
                <w:sz w:val="21"/>
              </w:rPr>
              <w:t xml:space="preserve">Narrowband ultraviolet B (NB-UVB) or </w:t>
            </w:r>
            <w:r w:rsidR="006957F8" w:rsidRPr="00762ADC">
              <w:rPr>
                <w:sz w:val="21"/>
              </w:rPr>
              <w:t xml:space="preserve">ultraviolet A1 </w:t>
            </w:r>
            <w:r w:rsidRPr="00762ADC">
              <w:rPr>
                <w:sz w:val="21"/>
              </w:rPr>
              <w:t>(UVA1))</w:t>
            </w:r>
          </w:p>
        </w:tc>
        <w:tc>
          <w:tcPr>
            <w:tcW w:w="3420" w:type="dxa"/>
            <w:tcBorders>
              <w:top w:val="nil"/>
              <w:left w:val="nil"/>
              <w:bottom w:val="single" w:sz="4" w:space="0" w:color="auto"/>
              <w:right w:val="single" w:sz="4" w:space="0" w:color="auto"/>
            </w:tcBorders>
            <w:vAlign w:val="center"/>
          </w:tcPr>
          <w:p w14:paraId="5A626542" w14:textId="6F87D991" w:rsidR="000604A8" w:rsidRPr="00762ADC" w:rsidRDefault="006957F8" w:rsidP="006957F8">
            <w:pPr>
              <w:spacing w:before="0"/>
              <w:ind w:left="0"/>
              <w:rPr>
                <w:sz w:val="21"/>
              </w:rPr>
            </w:pPr>
            <w:r w:rsidRPr="00762ADC">
              <w:rPr>
                <w:sz w:val="21"/>
              </w:rPr>
              <w:t xml:space="preserve">8 to </w:t>
            </w:r>
            <w:r w:rsidR="000604A8" w:rsidRPr="00762ADC">
              <w:rPr>
                <w:sz w:val="21"/>
              </w:rPr>
              <w:t>12 weeks</w:t>
            </w:r>
          </w:p>
        </w:tc>
      </w:tr>
      <w:tr w:rsidR="006957F8" w:rsidRPr="000604A8" w14:paraId="5068498B" w14:textId="77777777" w:rsidTr="003B360B">
        <w:trPr>
          <w:cantSplit/>
        </w:trPr>
        <w:tc>
          <w:tcPr>
            <w:tcW w:w="7758" w:type="dxa"/>
            <w:gridSpan w:val="2"/>
            <w:tcBorders>
              <w:top w:val="single" w:sz="4" w:space="0" w:color="auto"/>
              <w:left w:val="single" w:sz="4" w:space="0" w:color="auto"/>
              <w:bottom w:val="nil"/>
            </w:tcBorders>
            <w:vAlign w:val="center"/>
          </w:tcPr>
          <w:p w14:paraId="39C9DBD1" w14:textId="36C1ACEF" w:rsidR="006957F8" w:rsidRPr="000604A8" w:rsidRDefault="006957F8" w:rsidP="006957F8">
            <w:pPr>
              <w:rPr>
                <w:b/>
              </w:rPr>
            </w:pPr>
            <w:r w:rsidRPr="000604A8">
              <w:rPr>
                <w:b/>
              </w:rPr>
              <w:t>Systemic therapies</w:t>
            </w:r>
          </w:p>
        </w:tc>
      </w:tr>
      <w:tr w:rsidR="000604A8" w:rsidRPr="000604A8" w14:paraId="56D2A76E" w14:textId="77777777" w:rsidTr="003B360B">
        <w:trPr>
          <w:cantSplit/>
        </w:trPr>
        <w:tc>
          <w:tcPr>
            <w:tcW w:w="4338" w:type="dxa"/>
            <w:tcBorders>
              <w:top w:val="nil"/>
              <w:left w:val="single" w:sz="4" w:space="0" w:color="auto"/>
              <w:bottom w:val="nil"/>
              <w:right w:val="nil"/>
            </w:tcBorders>
            <w:vAlign w:val="center"/>
          </w:tcPr>
          <w:p w14:paraId="4BDA3775" w14:textId="77777777" w:rsidR="000604A8" w:rsidRPr="00762ADC" w:rsidRDefault="000604A8" w:rsidP="006957F8">
            <w:pPr>
              <w:spacing w:before="0"/>
              <w:rPr>
                <w:sz w:val="21"/>
              </w:rPr>
            </w:pPr>
            <w:r w:rsidRPr="00762ADC">
              <w:rPr>
                <w:sz w:val="21"/>
              </w:rPr>
              <w:t>Ciclosporin</w:t>
            </w:r>
          </w:p>
        </w:tc>
        <w:tc>
          <w:tcPr>
            <w:tcW w:w="3420" w:type="dxa"/>
            <w:tcBorders>
              <w:top w:val="nil"/>
              <w:left w:val="nil"/>
              <w:bottom w:val="nil"/>
              <w:right w:val="single" w:sz="4" w:space="0" w:color="auto"/>
            </w:tcBorders>
            <w:vAlign w:val="center"/>
          </w:tcPr>
          <w:p w14:paraId="0D8E54CE" w14:textId="77777777" w:rsidR="000604A8" w:rsidRPr="00762ADC" w:rsidRDefault="000604A8" w:rsidP="006957F8">
            <w:pPr>
              <w:spacing w:before="0"/>
              <w:ind w:left="0"/>
              <w:rPr>
                <w:sz w:val="21"/>
              </w:rPr>
            </w:pPr>
            <w:r w:rsidRPr="00762ADC">
              <w:rPr>
                <w:sz w:val="21"/>
              </w:rPr>
              <w:t>6 weeks</w:t>
            </w:r>
          </w:p>
        </w:tc>
      </w:tr>
      <w:tr w:rsidR="000604A8" w:rsidRPr="000604A8" w14:paraId="7A0C143A" w14:textId="77777777" w:rsidTr="003B360B">
        <w:trPr>
          <w:cantSplit/>
        </w:trPr>
        <w:tc>
          <w:tcPr>
            <w:tcW w:w="4338" w:type="dxa"/>
            <w:tcBorders>
              <w:top w:val="nil"/>
              <w:left w:val="single" w:sz="4" w:space="0" w:color="auto"/>
              <w:bottom w:val="nil"/>
              <w:right w:val="nil"/>
            </w:tcBorders>
            <w:vAlign w:val="center"/>
          </w:tcPr>
          <w:p w14:paraId="6A6E1734" w14:textId="044DB355" w:rsidR="000604A8" w:rsidRPr="00762ADC" w:rsidRDefault="006957F8" w:rsidP="006957F8">
            <w:pPr>
              <w:spacing w:before="0"/>
              <w:rPr>
                <w:sz w:val="21"/>
                <w:vertAlign w:val="superscript"/>
              </w:rPr>
            </w:pPr>
            <w:r w:rsidRPr="00762ADC">
              <w:rPr>
                <w:sz w:val="21"/>
              </w:rPr>
              <w:t>Azathioprine</w:t>
            </w:r>
            <w:r w:rsidRPr="00762ADC">
              <w:rPr>
                <w:sz w:val="21"/>
                <w:vertAlign w:val="superscript"/>
              </w:rPr>
              <w:t>2</w:t>
            </w:r>
          </w:p>
        </w:tc>
        <w:tc>
          <w:tcPr>
            <w:tcW w:w="3420" w:type="dxa"/>
            <w:tcBorders>
              <w:top w:val="nil"/>
              <w:left w:val="nil"/>
              <w:bottom w:val="nil"/>
              <w:right w:val="single" w:sz="4" w:space="0" w:color="auto"/>
            </w:tcBorders>
            <w:vAlign w:val="center"/>
          </w:tcPr>
          <w:p w14:paraId="1C7D037B" w14:textId="77777777" w:rsidR="000604A8" w:rsidRPr="00762ADC" w:rsidRDefault="000604A8" w:rsidP="006957F8">
            <w:pPr>
              <w:spacing w:before="0"/>
              <w:ind w:left="0"/>
              <w:rPr>
                <w:sz w:val="21"/>
              </w:rPr>
            </w:pPr>
            <w:r w:rsidRPr="00762ADC">
              <w:rPr>
                <w:sz w:val="21"/>
              </w:rPr>
              <w:t>12 weeks</w:t>
            </w:r>
          </w:p>
        </w:tc>
      </w:tr>
      <w:tr w:rsidR="000604A8" w:rsidRPr="000604A8" w14:paraId="1ABBDF8F" w14:textId="77777777" w:rsidTr="00762ADC">
        <w:tc>
          <w:tcPr>
            <w:tcW w:w="4338" w:type="dxa"/>
            <w:tcBorders>
              <w:top w:val="nil"/>
              <w:left w:val="single" w:sz="4" w:space="0" w:color="auto"/>
              <w:bottom w:val="nil"/>
              <w:right w:val="nil"/>
            </w:tcBorders>
            <w:vAlign w:val="center"/>
          </w:tcPr>
          <w:p w14:paraId="3C70FC65" w14:textId="076F6EAC" w:rsidR="000604A8" w:rsidRPr="00762ADC" w:rsidRDefault="006957F8" w:rsidP="006957F8">
            <w:pPr>
              <w:spacing w:before="0"/>
              <w:rPr>
                <w:sz w:val="21"/>
              </w:rPr>
            </w:pPr>
            <w:r w:rsidRPr="00762ADC">
              <w:rPr>
                <w:sz w:val="21"/>
              </w:rPr>
              <w:t>Methotrexate</w:t>
            </w:r>
            <w:r w:rsidRPr="00762ADC">
              <w:rPr>
                <w:sz w:val="21"/>
                <w:vertAlign w:val="superscript"/>
              </w:rPr>
              <w:t>2</w:t>
            </w:r>
          </w:p>
        </w:tc>
        <w:tc>
          <w:tcPr>
            <w:tcW w:w="3420" w:type="dxa"/>
            <w:tcBorders>
              <w:top w:val="nil"/>
              <w:left w:val="nil"/>
              <w:bottom w:val="nil"/>
              <w:right w:val="single" w:sz="4" w:space="0" w:color="auto"/>
            </w:tcBorders>
            <w:vAlign w:val="center"/>
          </w:tcPr>
          <w:p w14:paraId="558F7AE4" w14:textId="6D509C54" w:rsidR="000604A8" w:rsidRPr="00762ADC" w:rsidRDefault="006957F8" w:rsidP="006957F8">
            <w:pPr>
              <w:spacing w:before="0"/>
              <w:ind w:left="0"/>
              <w:rPr>
                <w:sz w:val="21"/>
              </w:rPr>
            </w:pPr>
            <w:r w:rsidRPr="00762ADC">
              <w:rPr>
                <w:sz w:val="21"/>
              </w:rPr>
              <w:t xml:space="preserve">12 to </w:t>
            </w:r>
            <w:r w:rsidR="000604A8" w:rsidRPr="00762ADC">
              <w:rPr>
                <w:sz w:val="21"/>
              </w:rPr>
              <w:t>16 weeks</w:t>
            </w:r>
          </w:p>
        </w:tc>
      </w:tr>
      <w:tr w:rsidR="000604A8" w:rsidRPr="000604A8" w14:paraId="76F9919E" w14:textId="77777777" w:rsidTr="00762ADC">
        <w:tc>
          <w:tcPr>
            <w:tcW w:w="4338" w:type="dxa"/>
            <w:tcBorders>
              <w:top w:val="nil"/>
              <w:left w:val="single" w:sz="4" w:space="0" w:color="auto"/>
              <w:bottom w:val="nil"/>
              <w:right w:val="nil"/>
            </w:tcBorders>
            <w:vAlign w:val="center"/>
          </w:tcPr>
          <w:p w14:paraId="347C216E" w14:textId="288A6D58" w:rsidR="000604A8" w:rsidRPr="00762ADC" w:rsidRDefault="006957F8" w:rsidP="006957F8">
            <w:pPr>
              <w:spacing w:before="0"/>
              <w:rPr>
                <w:sz w:val="21"/>
              </w:rPr>
            </w:pPr>
            <w:r w:rsidRPr="00762ADC">
              <w:rPr>
                <w:sz w:val="21"/>
              </w:rPr>
              <w:t>Mycophenolate mofetil</w:t>
            </w:r>
            <w:r w:rsidRPr="00762ADC">
              <w:rPr>
                <w:sz w:val="21"/>
                <w:vertAlign w:val="superscript"/>
              </w:rPr>
              <w:t>2</w:t>
            </w:r>
          </w:p>
        </w:tc>
        <w:tc>
          <w:tcPr>
            <w:tcW w:w="3420" w:type="dxa"/>
            <w:tcBorders>
              <w:top w:val="nil"/>
              <w:left w:val="nil"/>
              <w:bottom w:val="nil"/>
              <w:right w:val="single" w:sz="4" w:space="0" w:color="auto"/>
            </w:tcBorders>
            <w:vAlign w:val="center"/>
          </w:tcPr>
          <w:p w14:paraId="191B4072" w14:textId="77777777" w:rsidR="000604A8" w:rsidRPr="00762ADC" w:rsidRDefault="000604A8" w:rsidP="006957F8">
            <w:pPr>
              <w:spacing w:before="0"/>
              <w:ind w:left="0"/>
              <w:rPr>
                <w:sz w:val="21"/>
              </w:rPr>
            </w:pPr>
            <w:r w:rsidRPr="00762ADC">
              <w:rPr>
                <w:sz w:val="21"/>
              </w:rPr>
              <w:t>12 weeks</w:t>
            </w:r>
          </w:p>
        </w:tc>
      </w:tr>
      <w:tr w:rsidR="000604A8" w:rsidRPr="000604A8" w14:paraId="56B03250" w14:textId="77777777" w:rsidTr="00762ADC">
        <w:tc>
          <w:tcPr>
            <w:tcW w:w="4338" w:type="dxa"/>
            <w:tcBorders>
              <w:top w:val="nil"/>
              <w:left w:val="single" w:sz="4" w:space="0" w:color="auto"/>
              <w:bottom w:val="single" w:sz="4" w:space="0" w:color="auto"/>
              <w:right w:val="nil"/>
            </w:tcBorders>
            <w:vAlign w:val="center"/>
          </w:tcPr>
          <w:p w14:paraId="5F543FED" w14:textId="77777777" w:rsidR="000604A8" w:rsidRPr="00762ADC" w:rsidRDefault="000604A8" w:rsidP="006957F8">
            <w:pPr>
              <w:spacing w:before="0"/>
              <w:rPr>
                <w:sz w:val="21"/>
              </w:rPr>
            </w:pPr>
            <w:r w:rsidRPr="00762ADC">
              <w:rPr>
                <w:sz w:val="21"/>
              </w:rPr>
              <w:t>Dupilumab</w:t>
            </w:r>
          </w:p>
        </w:tc>
        <w:tc>
          <w:tcPr>
            <w:tcW w:w="3420" w:type="dxa"/>
            <w:tcBorders>
              <w:top w:val="nil"/>
              <w:left w:val="nil"/>
              <w:bottom w:val="single" w:sz="4" w:space="0" w:color="auto"/>
              <w:right w:val="single" w:sz="4" w:space="0" w:color="auto"/>
            </w:tcBorders>
            <w:vAlign w:val="center"/>
          </w:tcPr>
          <w:p w14:paraId="3E2545BC" w14:textId="77777777" w:rsidR="000604A8" w:rsidRPr="00762ADC" w:rsidRDefault="000604A8" w:rsidP="006957F8">
            <w:pPr>
              <w:spacing w:before="0"/>
              <w:ind w:left="0"/>
              <w:rPr>
                <w:sz w:val="21"/>
              </w:rPr>
            </w:pPr>
            <w:r w:rsidRPr="00762ADC">
              <w:rPr>
                <w:sz w:val="21"/>
              </w:rPr>
              <w:t>16 weeks</w:t>
            </w:r>
          </w:p>
        </w:tc>
      </w:tr>
    </w:tbl>
    <w:p w14:paraId="22913FC0" w14:textId="59A9AEB5" w:rsidR="000604A8" w:rsidRDefault="006957F8" w:rsidP="006957F8">
      <w:pPr>
        <w:pStyle w:val="TableDescription"/>
      </w:pPr>
      <w:r>
        <w:t xml:space="preserve">1: </w:t>
      </w:r>
      <w:r w:rsidR="000604A8">
        <w:t>Timeframes to response times may differ according to disease severity</w:t>
      </w:r>
      <w:r>
        <w:t xml:space="preserve">, disease location and patient </w:t>
      </w:r>
      <w:r w:rsidR="000604A8">
        <w:t>factors</w:t>
      </w:r>
      <w:r>
        <w:t>.</w:t>
      </w:r>
    </w:p>
    <w:p w14:paraId="3CB4D047" w14:textId="77777777" w:rsidR="006957F8" w:rsidRDefault="006957F8" w:rsidP="006957F8">
      <w:pPr>
        <w:pStyle w:val="TableDescription"/>
      </w:pPr>
      <w:r>
        <w:t xml:space="preserve">2: </w:t>
      </w:r>
      <w:r w:rsidR="000604A8">
        <w:t>Not approved by the Australian Therapeutic Goods Administration (TGA) to treat atopic dermatitis.</w:t>
      </w:r>
    </w:p>
    <w:p w14:paraId="750A5CE9" w14:textId="54E3A81A" w:rsidR="006957F8" w:rsidRDefault="006957F8" w:rsidP="006957F8">
      <w:pPr>
        <w:pStyle w:val="TableDescription"/>
      </w:pPr>
      <w:r>
        <w:t xml:space="preserve">This consensus statement has been adapted from Smith S et al. (2020), Atopic dermatitis in adults: An Australian management consensus. </w:t>
      </w:r>
      <w:r w:rsidRPr="00053E47">
        <w:rPr>
          <w:i/>
        </w:rPr>
        <w:t>Australas J Dermatol</w:t>
      </w:r>
      <w:r>
        <w:t>, 61: 23-32. by The Australasian College of Dermatologists with permission from the authors.</w:t>
      </w:r>
    </w:p>
    <w:p w14:paraId="7A2FDA95" w14:textId="5AFA71E7" w:rsidR="009F35FA" w:rsidRDefault="009F35FA" w:rsidP="009F35FA">
      <w:r>
        <w:t xml:space="preserve">Systemic immunomodulatory agents </w:t>
      </w:r>
      <w:r w:rsidR="00762ADC">
        <w:t xml:space="preserve">that have and may be </w:t>
      </w:r>
      <w:r>
        <w:t>used to treat atopic dermatiti</w:t>
      </w:r>
      <w:r w:rsidR="00762ADC">
        <w:t xml:space="preserve">s include the older medications including oral glucocorticoids, </w:t>
      </w:r>
      <w:r w:rsidR="002A56CC">
        <w:t>cyclosporine, methotrexate, azathioprine, and mycophenolyate; h</w:t>
      </w:r>
      <w:r>
        <w:t>owever, most of the above drugs cannot be used long term either due to cumulative toxicity (</w:t>
      </w:r>
      <w:r w:rsidR="00372A01">
        <w:t>for example, with long term oral corticosteroids or</w:t>
      </w:r>
      <w:r>
        <w:t xml:space="preserve"> cyclosporin) or are not approved for use in atopic der</w:t>
      </w:r>
      <w:r w:rsidR="002A56CC">
        <w:t>matitis.</w:t>
      </w:r>
    </w:p>
    <w:p w14:paraId="54F084C2" w14:textId="1AE6DB9A" w:rsidR="002A56CC" w:rsidRDefault="00AA5BAE" w:rsidP="009F35FA">
      <w:r>
        <w:t>The following table (</w:t>
      </w:r>
      <w:r>
        <w:fldChar w:fldCharType="begin"/>
      </w:r>
      <w:r>
        <w:instrText xml:space="preserve"> REF _Ref125633547 \h </w:instrText>
      </w:r>
      <w:r>
        <w:fldChar w:fldCharType="separate"/>
      </w:r>
      <w:r w:rsidR="00B51532">
        <w:t xml:space="preserve">Table </w:t>
      </w:r>
      <w:r w:rsidR="00B51532">
        <w:rPr>
          <w:noProof/>
        </w:rPr>
        <w:t>5</w:t>
      </w:r>
      <w:r>
        <w:fldChar w:fldCharType="end"/>
      </w:r>
      <w:r>
        <w:t>) gives an overview of systemic treatments used in the treatment of atopic dermatitis, their general regulatory status, and the safety issues associated with use, adapted from a European consensus-led guideline on treatment options for atopic dermatitis (Wollenberg et al. 2018).</w:t>
      </w:r>
      <w:r>
        <w:rPr>
          <w:rStyle w:val="FootnoteReference"/>
        </w:rPr>
        <w:footnoteReference w:id="15"/>
      </w:r>
      <w:r>
        <w:rPr>
          <w:rStyle w:val="FootnoteReference"/>
        </w:rPr>
        <w:footnoteReference w:id="16"/>
      </w:r>
    </w:p>
    <w:p w14:paraId="16803E27" w14:textId="29AA9560" w:rsidR="00AA5BAE" w:rsidRDefault="00AA5BAE" w:rsidP="00AA5BAE">
      <w:pPr>
        <w:pStyle w:val="Tabletitle0"/>
      </w:pPr>
      <w:bookmarkStart w:id="27" w:name="_Ref125633547"/>
      <w:r>
        <w:lastRenderedPageBreak/>
        <w:t xml:space="preserve">Table </w:t>
      </w:r>
      <w:fldSimple w:instr=" SEQ Table \* ARABIC ">
        <w:r w:rsidR="00B51532">
          <w:rPr>
            <w:noProof/>
          </w:rPr>
          <w:t>5</w:t>
        </w:r>
      </w:fldSimple>
      <w:bookmarkEnd w:id="27"/>
      <w:r>
        <w:t>: Systemic treatments used in the treatment of atopic dermatitis</w:t>
      </w:r>
    </w:p>
    <w:tbl>
      <w:tblPr>
        <w:tblStyle w:val="TableTGAblue"/>
        <w:tblW w:w="0" w:type="auto"/>
        <w:tblLook w:val="04A0" w:firstRow="1" w:lastRow="0" w:firstColumn="1" w:lastColumn="0" w:noHBand="0" w:noVBand="1"/>
      </w:tblPr>
      <w:tblGrid>
        <w:gridCol w:w="2037"/>
        <w:gridCol w:w="2720"/>
        <w:gridCol w:w="3727"/>
      </w:tblGrid>
      <w:tr w:rsidR="002A56CC" w14:paraId="7CF58B8D" w14:textId="77777777" w:rsidTr="00AA5BAE">
        <w:trPr>
          <w:cnfStyle w:val="100000000000" w:firstRow="1" w:lastRow="0" w:firstColumn="0" w:lastColumn="0" w:oddVBand="0" w:evenVBand="0" w:oddHBand="0" w:evenHBand="0" w:firstRowFirstColumn="0" w:firstRowLastColumn="0" w:lastRowFirstColumn="0" w:lastRowLastColumn="0"/>
        </w:trPr>
        <w:tc>
          <w:tcPr>
            <w:tcW w:w="2037" w:type="dxa"/>
          </w:tcPr>
          <w:p w14:paraId="2D34A260" w14:textId="77109B64" w:rsidR="002A56CC" w:rsidRDefault="002A56CC" w:rsidP="009F35FA">
            <w:r>
              <w:t>Therapeutic agent</w:t>
            </w:r>
          </w:p>
        </w:tc>
        <w:tc>
          <w:tcPr>
            <w:tcW w:w="2765" w:type="dxa"/>
          </w:tcPr>
          <w:p w14:paraId="57460D1F" w14:textId="59B775E2" w:rsidR="002A56CC" w:rsidRDefault="002A56CC" w:rsidP="009F35FA">
            <w:r>
              <w:t>Safety issues</w:t>
            </w:r>
          </w:p>
        </w:tc>
        <w:tc>
          <w:tcPr>
            <w:tcW w:w="3918" w:type="dxa"/>
          </w:tcPr>
          <w:p w14:paraId="35724CB5" w14:textId="18A0B6B5" w:rsidR="002A56CC" w:rsidRDefault="002A56CC" w:rsidP="009F35FA">
            <w:r>
              <w:t>Comments</w:t>
            </w:r>
          </w:p>
        </w:tc>
      </w:tr>
      <w:tr w:rsidR="002A56CC" w14:paraId="608649E9" w14:textId="77777777" w:rsidTr="00EA1F71">
        <w:tc>
          <w:tcPr>
            <w:tcW w:w="8720" w:type="dxa"/>
            <w:gridSpan w:val="3"/>
          </w:tcPr>
          <w:p w14:paraId="489A3F96" w14:textId="776A877D" w:rsidR="002A56CC" w:rsidRPr="002A56CC" w:rsidRDefault="002A56CC" w:rsidP="009F35FA">
            <w:pPr>
              <w:rPr>
                <w:i/>
                <w:sz w:val="21"/>
              </w:rPr>
            </w:pPr>
            <w:r w:rsidRPr="002A56CC">
              <w:rPr>
                <w:i/>
                <w:sz w:val="21"/>
              </w:rPr>
              <w:t>Mainly used in short-term therapy</w:t>
            </w:r>
          </w:p>
        </w:tc>
      </w:tr>
      <w:tr w:rsidR="002A56CC" w14:paraId="3AD5BC38" w14:textId="77777777" w:rsidTr="00AA5BAE">
        <w:tc>
          <w:tcPr>
            <w:tcW w:w="2037" w:type="dxa"/>
          </w:tcPr>
          <w:p w14:paraId="72F78B38" w14:textId="48BF848B" w:rsidR="002A56CC" w:rsidRPr="002A56CC" w:rsidRDefault="002A56CC" w:rsidP="009F35FA">
            <w:pPr>
              <w:rPr>
                <w:b/>
                <w:sz w:val="21"/>
              </w:rPr>
            </w:pPr>
            <w:r w:rsidRPr="002A56CC">
              <w:rPr>
                <w:b/>
                <w:sz w:val="21"/>
              </w:rPr>
              <w:t>Oral glucocorticoids</w:t>
            </w:r>
          </w:p>
        </w:tc>
        <w:tc>
          <w:tcPr>
            <w:tcW w:w="2765" w:type="dxa"/>
          </w:tcPr>
          <w:p w14:paraId="1DA4CBDF" w14:textId="19FECA6C" w:rsidR="002A56CC" w:rsidRPr="002A56CC" w:rsidRDefault="002A56CC" w:rsidP="009F35FA">
            <w:pPr>
              <w:rPr>
                <w:sz w:val="21"/>
              </w:rPr>
            </w:pPr>
            <w:r w:rsidRPr="002A56CC">
              <w:rPr>
                <w:sz w:val="21"/>
              </w:rPr>
              <w:t>Cushing’s (glucocorticoid excess); diabetes mellitus; osteoporosis</w:t>
            </w:r>
          </w:p>
        </w:tc>
        <w:tc>
          <w:tcPr>
            <w:tcW w:w="3918" w:type="dxa"/>
          </w:tcPr>
          <w:p w14:paraId="5F274662" w14:textId="77777777" w:rsidR="002A56CC" w:rsidRPr="002A56CC" w:rsidRDefault="002A56CC" w:rsidP="009F35FA">
            <w:pPr>
              <w:rPr>
                <w:sz w:val="21"/>
              </w:rPr>
            </w:pPr>
            <w:r w:rsidRPr="002A56CC">
              <w:rPr>
                <w:sz w:val="21"/>
              </w:rPr>
              <w:t>Limited data showing lower efficacy compared with cyclosporine.</w:t>
            </w:r>
          </w:p>
          <w:p w14:paraId="7F1AF307" w14:textId="281E9ED8" w:rsidR="002A56CC" w:rsidRPr="002A56CC" w:rsidRDefault="002A56CC" w:rsidP="009F35FA">
            <w:pPr>
              <w:rPr>
                <w:sz w:val="21"/>
              </w:rPr>
            </w:pPr>
            <w:r w:rsidRPr="002A56CC">
              <w:rPr>
                <w:sz w:val="21"/>
              </w:rPr>
              <w:t>Approved for atopic dermatitis in the USA under a broad indication</w:t>
            </w:r>
            <w:r w:rsidR="00292D15">
              <w:rPr>
                <w:sz w:val="21"/>
              </w:rPr>
              <w:t>.</w:t>
            </w:r>
          </w:p>
          <w:p w14:paraId="562DEC79" w14:textId="1D913420" w:rsidR="002A56CC" w:rsidRPr="002A56CC" w:rsidRDefault="002A56CC" w:rsidP="009F35FA">
            <w:pPr>
              <w:rPr>
                <w:sz w:val="21"/>
              </w:rPr>
            </w:pPr>
            <w:r w:rsidRPr="002A56CC">
              <w:rPr>
                <w:sz w:val="21"/>
              </w:rPr>
              <w:t xml:space="preserve">Long term use is not recommended due to </w:t>
            </w:r>
            <w:r w:rsidR="00DD74F9" w:rsidRPr="002A56CC">
              <w:rPr>
                <w:sz w:val="21"/>
              </w:rPr>
              <w:t>toxicity</w:t>
            </w:r>
            <w:r w:rsidR="00292D15">
              <w:rPr>
                <w:sz w:val="21"/>
              </w:rPr>
              <w:t>.</w:t>
            </w:r>
          </w:p>
        </w:tc>
      </w:tr>
      <w:tr w:rsidR="002A56CC" w14:paraId="2C541304" w14:textId="77777777" w:rsidTr="00AA5BAE">
        <w:tc>
          <w:tcPr>
            <w:tcW w:w="2037" w:type="dxa"/>
          </w:tcPr>
          <w:p w14:paraId="34A27727" w14:textId="7BC750FC" w:rsidR="002A56CC" w:rsidRPr="002A56CC" w:rsidRDefault="002A56CC" w:rsidP="009F35FA">
            <w:pPr>
              <w:rPr>
                <w:b/>
                <w:sz w:val="21"/>
              </w:rPr>
            </w:pPr>
            <w:r w:rsidRPr="002A56CC">
              <w:rPr>
                <w:b/>
                <w:sz w:val="21"/>
              </w:rPr>
              <w:t>Cyclosporin</w:t>
            </w:r>
          </w:p>
        </w:tc>
        <w:tc>
          <w:tcPr>
            <w:tcW w:w="2765" w:type="dxa"/>
          </w:tcPr>
          <w:p w14:paraId="57C1DF98" w14:textId="478A518A" w:rsidR="002A56CC" w:rsidRPr="002A56CC" w:rsidRDefault="002A56CC" w:rsidP="009F35FA">
            <w:pPr>
              <w:rPr>
                <w:sz w:val="21"/>
              </w:rPr>
            </w:pPr>
            <w:r w:rsidRPr="002A56CC">
              <w:rPr>
                <w:sz w:val="21"/>
              </w:rPr>
              <w:t>Nephrotoxicity; hypertension</w:t>
            </w:r>
          </w:p>
        </w:tc>
        <w:tc>
          <w:tcPr>
            <w:tcW w:w="3918" w:type="dxa"/>
          </w:tcPr>
          <w:p w14:paraId="53F3BE66" w14:textId="77777777" w:rsidR="002A56CC" w:rsidRPr="002A56CC" w:rsidRDefault="002A56CC" w:rsidP="009F35FA">
            <w:pPr>
              <w:rPr>
                <w:sz w:val="21"/>
              </w:rPr>
            </w:pPr>
            <w:r w:rsidRPr="002A56CC">
              <w:rPr>
                <w:sz w:val="21"/>
              </w:rPr>
              <w:t>Approved for severe atopic dermatitis in the EU.</w:t>
            </w:r>
          </w:p>
          <w:p w14:paraId="43ABAE8C" w14:textId="1523C99F" w:rsidR="002A56CC" w:rsidRPr="002A56CC" w:rsidRDefault="002A56CC" w:rsidP="009F35FA">
            <w:pPr>
              <w:rPr>
                <w:sz w:val="21"/>
              </w:rPr>
            </w:pPr>
            <w:r w:rsidRPr="002A56CC">
              <w:rPr>
                <w:sz w:val="21"/>
              </w:rPr>
              <w:t>Typically used for short-term control (3 to 6 months) due to cumulative toxicity.</w:t>
            </w:r>
          </w:p>
        </w:tc>
      </w:tr>
      <w:tr w:rsidR="002A56CC" w14:paraId="78DC71DD" w14:textId="77777777" w:rsidTr="00EA1F71">
        <w:tc>
          <w:tcPr>
            <w:tcW w:w="8720" w:type="dxa"/>
            <w:gridSpan w:val="3"/>
          </w:tcPr>
          <w:p w14:paraId="7FCD0F9A" w14:textId="7259B5E2" w:rsidR="002A56CC" w:rsidRPr="002A56CC" w:rsidRDefault="002A56CC" w:rsidP="009F35FA">
            <w:pPr>
              <w:rPr>
                <w:i/>
                <w:sz w:val="21"/>
              </w:rPr>
            </w:pPr>
            <w:r w:rsidRPr="002A56CC">
              <w:rPr>
                <w:i/>
                <w:sz w:val="21"/>
              </w:rPr>
              <w:t>May be used in long-term therapy</w:t>
            </w:r>
          </w:p>
        </w:tc>
      </w:tr>
      <w:tr w:rsidR="002A56CC" w14:paraId="25A2BC06" w14:textId="77777777" w:rsidTr="00AA5BAE">
        <w:tc>
          <w:tcPr>
            <w:tcW w:w="2037" w:type="dxa"/>
          </w:tcPr>
          <w:p w14:paraId="3C093348" w14:textId="193167CD" w:rsidR="002A56CC" w:rsidRPr="002A56CC" w:rsidRDefault="002A56CC" w:rsidP="009F35FA">
            <w:pPr>
              <w:rPr>
                <w:b/>
                <w:sz w:val="21"/>
              </w:rPr>
            </w:pPr>
            <w:r w:rsidRPr="002A56CC">
              <w:rPr>
                <w:b/>
                <w:sz w:val="21"/>
              </w:rPr>
              <w:t>Methotrexate</w:t>
            </w:r>
          </w:p>
        </w:tc>
        <w:tc>
          <w:tcPr>
            <w:tcW w:w="2765" w:type="dxa"/>
          </w:tcPr>
          <w:p w14:paraId="48011EB5" w14:textId="0C236CE9" w:rsidR="002A56CC" w:rsidRPr="002A56CC" w:rsidRDefault="002A56CC" w:rsidP="009F35FA">
            <w:pPr>
              <w:rPr>
                <w:sz w:val="21"/>
              </w:rPr>
            </w:pPr>
            <w:r>
              <w:rPr>
                <w:sz w:val="21"/>
              </w:rPr>
              <w:t>Known human teratogen;</w:t>
            </w:r>
            <w:r>
              <w:rPr>
                <w:sz w:val="21"/>
              </w:rPr>
              <w:br/>
            </w:r>
            <w:r w:rsidRPr="002A56CC">
              <w:rPr>
                <w:sz w:val="21"/>
              </w:rPr>
              <w:t>liver enzyme elevations; gastrointestinal side effects</w:t>
            </w:r>
          </w:p>
        </w:tc>
        <w:tc>
          <w:tcPr>
            <w:tcW w:w="3918" w:type="dxa"/>
            <w:vMerge w:val="restart"/>
          </w:tcPr>
          <w:p w14:paraId="7EFFE749" w14:textId="77777777" w:rsidR="002A56CC" w:rsidRPr="002A56CC" w:rsidRDefault="002A56CC" w:rsidP="009F35FA">
            <w:pPr>
              <w:rPr>
                <w:sz w:val="21"/>
              </w:rPr>
            </w:pPr>
            <w:r w:rsidRPr="002A56CC">
              <w:rPr>
                <w:sz w:val="21"/>
              </w:rPr>
              <w:t>Not approved for atopic dermatitis.</w:t>
            </w:r>
          </w:p>
          <w:p w14:paraId="6E03DF84" w14:textId="1DDEF1DC" w:rsidR="002A56CC" w:rsidRPr="002A56CC" w:rsidRDefault="002A56CC" w:rsidP="009F35FA">
            <w:pPr>
              <w:rPr>
                <w:sz w:val="21"/>
              </w:rPr>
            </w:pPr>
            <w:r w:rsidRPr="002A56CC">
              <w:rPr>
                <w:sz w:val="21"/>
              </w:rPr>
              <w:t>Lack of well-controlled efficacy data supporting use in moderate-to-severe atopic dermatitis</w:t>
            </w:r>
          </w:p>
        </w:tc>
      </w:tr>
      <w:tr w:rsidR="002A56CC" w14:paraId="5B5BA205" w14:textId="77777777" w:rsidTr="00AA5BAE">
        <w:tc>
          <w:tcPr>
            <w:tcW w:w="2037" w:type="dxa"/>
          </w:tcPr>
          <w:p w14:paraId="6F13E966" w14:textId="7ADBF5E0" w:rsidR="002A56CC" w:rsidRPr="002A56CC" w:rsidRDefault="002A56CC" w:rsidP="009F35FA">
            <w:pPr>
              <w:rPr>
                <w:b/>
                <w:sz w:val="21"/>
              </w:rPr>
            </w:pPr>
            <w:r w:rsidRPr="002A56CC">
              <w:rPr>
                <w:b/>
                <w:sz w:val="21"/>
              </w:rPr>
              <w:t>Azathioprine</w:t>
            </w:r>
          </w:p>
        </w:tc>
        <w:tc>
          <w:tcPr>
            <w:tcW w:w="2765" w:type="dxa"/>
          </w:tcPr>
          <w:p w14:paraId="69EDE93C" w14:textId="2B25939C" w:rsidR="002A56CC" w:rsidRPr="002A56CC" w:rsidRDefault="002A56CC" w:rsidP="009F35FA">
            <w:pPr>
              <w:rPr>
                <w:sz w:val="21"/>
              </w:rPr>
            </w:pPr>
            <w:r>
              <w:rPr>
                <w:sz w:val="21"/>
              </w:rPr>
              <w:t>Bone marrow suppression;</w:t>
            </w:r>
            <w:r>
              <w:rPr>
                <w:sz w:val="21"/>
              </w:rPr>
              <w:br/>
            </w:r>
            <w:r w:rsidRPr="002A56CC">
              <w:rPr>
                <w:sz w:val="21"/>
              </w:rPr>
              <w:t>liver enzyme elevations; gastrointestinal side effects</w:t>
            </w:r>
          </w:p>
        </w:tc>
        <w:tc>
          <w:tcPr>
            <w:tcW w:w="3918" w:type="dxa"/>
            <w:vMerge/>
          </w:tcPr>
          <w:p w14:paraId="67199450" w14:textId="77777777" w:rsidR="002A56CC" w:rsidRDefault="002A56CC" w:rsidP="009F35FA"/>
        </w:tc>
      </w:tr>
      <w:tr w:rsidR="002A56CC" w14:paraId="7F80A257" w14:textId="77777777" w:rsidTr="00AA5BAE">
        <w:tc>
          <w:tcPr>
            <w:tcW w:w="2037" w:type="dxa"/>
          </w:tcPr>
          <w:p w14:paraId="6563754D" w14:textId="5E2AFF41" w:rsidR="002A56CC" w:rsidRPr="002A56CC" w:rsidRDefault="002A56CC" w:rsidP="009F35FA">
            <w:pPr>
              <w:rPr>
                <w:b/>
                <w:sz w:val="21"/>
              </w:rPr>
            </w:pPr>
            <w:r w:rsidRPr="002A56CC">
              <w:rPr>
                <w:b/>
                <w:sz w:val="21"/>
              </w:rPr>
              <w:t>Mycophenolate mofetil</w:t>
            </w:r>
          </w:p>
        </w:tc>
        <w:tc>
          <w:tcPr>
            <w:tcW w:w="2765" w:type="dxa"/>
          </w:tcPr>
          <w:p w14:paraId="339802DC" w14:textId="22C70C39" w:rsidR="002A56CC" w:rsidRPr="002A56CC" w:rsidRDefault="002A56CC" w:rsidP="002A56CC">
            <w:pPr>
              <w:rPr>
                <w:sz w:val="21"/>
              </w:rPr>
            </w:pPr>
            <w:r w:rsidRPr="002A56CC">
              <w:rPr>
                <w:sz w:val="21"/>
              </w:rPr>
              <w:t>Known human teratogen; leukopenia and thrombocytopenia; gastrointestinal side effects</w:t>
            </w:r>
          </w:p>
        </w:tc>
        <w:tc>
          <w:tcPr>
            <w:tcW w:w="3918" w:type="dxa"/>
            <w:vMerge/>
          </w:tcPr>
          <w:p w14:paraId="69B27D5F" w14:textId="77777777" w:rsidR="002A56CC" w:rsidRDefault="002A56CC" w:rsidP="009F35FA"/>
        </w:tc>
      </w:tr>
    </w:tbl>
    <w:p w14:paraId="64D7DD70" w14:textId="770597CC" w:rsidR="00243AE2" w:rsidRDefault="009F35FA" w:rsidP="003B360B">
      <w:r>
        <w:t>Recently, dupilumab, a monoclonal antibody that inhibits cytokines, specifically the interleukins (IL)</w:t>
      </w:r>
      <w:r>
        <w:noBreakHyphen/>
        <w:t>4 and IL-13 signalling pathway has been approved in the United States of America (USA), European Union (EU), Japan, Canada and Australia for the treatment of moderate to severe atopic dermatitis in adults and paediatric patients older than 6 years of age. Dupilumab is administered subcutaneously (30</w:t>
      </w:r>
      <w:r w:rsidR="008B4C65">
        <w:t>0 mg</w:t>
      </w:r>
      <w:r>
        <w:t xml:space="preserve"> every 2 weeks) and therefore, possibly a need for an oral treatment development.</w:t>
      </w:r>
    </w:p>
    <w:p w14:paraId="7FCE340E" w14:textId="37DE133A" w:rsidR="00422362" w:rsidRDefault="003B360B" w:rsidP="00422362">
      <w:pPr>
        <w:pStyle w:val="Heading4"/>
      </w:pPr>
      <w:bookmarkStart w:id="28" w:name="_Toc314842485"/>
      <w:bookmarkStart w:id="29" w:name="_Toc247691504"/>
      <w:r>
        <w:t>U</w:t>
      </w:r>
      <w:r w:rsidR="00782F8C">
        <w:t>padacitinib</w:t>
      </w:r>
    </w:p>
    <w:p w14:paraId="358738F9" w14:textId="365007A8" w:rsidR="00B92523" w:rsidRPr="00835E7C" w:rsidRDefault="003B360B" w:rsidP="00422362">
      <w:r>
        <w:t>U</w:t>
      </w:r>
      <w:r w:rsidR="00782F8C">
        <w:t>padacitinib</w:t>
      </w:r>
      <w:r w:rsidR="00422362" w:rsidRPr="00422362">
        <w:t xml:space="preserve"> is an oral </w:t>
      </w:r>
      <w:r w:rsidR="00422362">
        <w:t>selective and reversible Janus k</w:t>
      </w:r>
      <w:r w:rsidR="00422362" w:rsidRPr="00422362">
        <w:t xml:space="preserve">inase (JAK)-1 inhibitor. </w:t>
      </w:r>
      <w:r>
        <w:t xml:space="preserve">At the time this submission was considered, Rinvoq (upadacitinib) has been approved for use in the </w:t>
      </w:r>
      <w:r>
        <w:lastRenderedPageBreak/>
        <w:t>treatment of rheumatoid arthritis</w:t>
      </w:r>
      <w:r w:rsidR="00AF0722">
        <w:t>, psoriatic arthritis</w:t>
      </w:r>
      <w:r>
        <w:t xml:space="preserve"> and ankylosing spondylitis (see</w:t>
      </w:r>
      <w:r w:rsidR="00835E7C">
        <w:t xml:space="preserve"> section:</w:t>
      </w:r>
      <w:r>
        <w:t xml:space="preserve"> </w:t>
      </w:r>
      <w:r w:rsidRPr="00835E7C">
        <w:rPr>
          <w:i/>
        </w:rPr>
        <w:fldChar w:fldCharType="begin"/>
      </w:r>
      <w:r w:rsidRPr="00835E7C">
        <w:rPr>
          <w:i/>
        </w:rPr>
        <w:instrText xml:space="preserve"> REF _Ref125634636 \h </w:instrText>
      </w:r>
      <w:r w:rsidR="00835E7C">
        <w:rPr>
          <w:i/>
        </w:rPr>
        <w:instrText xml:space="preserve"> \* MERGEFORMAT </w:instrText>
      </w:r>
      <w:r w:rsidRPr="00835E7C">
        <w:rPr>
          <w:i/>
        </w:rPr>
      </w:r>
      <w:r w:rsidRPr="00835E7C">
        <w:rPr>
          <w:i/>
        </w:rPr>
        <w:fldChar w:fldCharType="separate"/>
      </w:r>
      <w:r w:rsidR="00B51532" w:rsidRPr="00B51532">
        <w:rPr>
          <w:i/>
        </w:rPr>
        <w:t>Regulatory status</w:t>
      </w:r>
      <w:r w:rsidRPr="00835E7C">
        <w:rPr>
          <w:i/>
        </w:rPr>
        <w:fldChar w:fldCharType="end"/>
      </w:r>
      <w:r w:rsidR="00835E7C">
        <w:rPr>
          <w:i/>
        </w:rPr>
        <w:t xml:space="preserve">, </w:t>
      </w:r>
      <w:r w:rsidR="00835E7C">
        <w:t>below).</w:t>
      </w:r>
    </w:p>
    <w:p w14:paraId="0414AD38" w14:textId="1ED00188" w:rsidR="00422362" w:rsidRDefault="00B92523" w:rsidP="00B92523">
      <w:pPr>
        <w:pStyle w:val="Heading5"/>
      </w:pPr>
      <w:r>
        <w:t>Clinical rationale</w:t>
      </w:r>
    </w:p>
    <w:p w14:paraId="12B7F6C6" w14:textId="2727413A" w:rsidR="00B92523" w:rsidRPr="00B92523" w:rsidRDefault="00B92523" w:rsidP="00B92523">
      <w:r>
        <w:t xml:space="preserve">The following is an excerpt of the sponsor’s rationale for the use of Rinvoq (upadacitinib) for the </w:t>
      </w:r>
      <w:r w:rsidR="00835E7C">
        <w:t xml:space="preserve">intending </w:t>
      </w:r>
      <w:r>
        <w:t xml:space="preserve">indication: </w:t>
      </w:r>
    </w:p>
    <w:p w14:paraId="499AA8FF" w14:textId="49A1DD2E" w:rsidR="00422362" w:rsidRDefault="00B92523" w:rsidP="00B92523">
      <w:pPr>
        <w:ind w:left="720"/>
      </w:pPr>
      <w:r>
        <w:t>Atopic d</w:t>
      </w:r>
      <w:r w:rsidR="00422362">
        <w:t xml:space="preserve">ermatitis is a common, chronic, relapsing, inflammatory skin disease characterised by highly pruritic, erythematous, excoriated, and oozing papules and plaques that may become lichenified over time. </w:t>
      </w:r>
      <w:r>
        <w:t>Atopic dermatitis</w:t>
      </w:r>
      <w:r w:rsidR="00422362">
        <w:t xml:space="preserve"> is driven by pro-inflammatory cytokines (including IL-4, IL-13, IL- 22, TSLP, IL-31 </w:t>
      </w:r>
      <w:r>
        <w:t>and IFN gamma via the JAK1 pathway;</w:t>
      </w:r>
      <w:bookmarkStart w:id="30" w:name="_Ref125534518"/>
      <w:r>
        <w:rPr>
          <w:rStyle w:val="FootnoteReference"/>
        </w:rPr>
        <w:footnoteReference w:id="17"/>
      </w:r>
      <w:bookmarkEnd w:id="30"/>
      <w:r>
        <w:rPr>
          <w:vertAlign w:val="superscript"/>
        </w:rPr>
        <w:t>,</w:t>
      </w:r>
      <w:bookmarkStart w:id="31" w:name="_Ref125534521"/>
      <w:r>
        <w:rPr>
          <w:rStyle w:val="FootnoteReference"/>
        </w:rPr>
        <w:footnoteReference w:id="18"/>
      </w:r>
      <w:bookmarkEnd w:id="31"/>
      <w:r>
        <w:rPr>
          <w:vertAlign w:val="superscript"/>
        </w:rPr>
        <w:t>,</w:t>
      </w:r>
      <w:bookmarkStart w:id="32" w:name="_Ref125534533"/>
      <w:r>
        <w:rPr>
          <w:rStyle w:val="FootnoteReference"/>
        </w:rPr>
        <w:footnoteReference w:id="19"/>
      </w:r>
      <w:bookmarkEnd w:id="32"/>
      <w:r>
        <w:t xml:space="preserve"> and, inhibiting JAK1 with u</w:t>
      </w:r>
      <w:r w:rsidR="00422362">
        <w:t xml:space="preserve">padacitinib reduces the signaling of many mediators which drive the signs and symptoms of </w:t>
      </w:r>
      <w:r>
        <w:t>atopic dermatitis</w:t>
      </w:r>
      <w:r w:rsidR="00422362">
        <w:t>.</w:t>
      </w:r>
    </w:p>
    <w:p w14:paraId="4D521ACC" w14:textId="7075E5BA" w:rsidR="00422362" w:rsidRPr="00B92523" w:rsidRDefault="00422362" w:rsidP="00B92523">
      <w:pPr>
        <w:ind w:left="720"/>
        <w:rPr>
          <w:vertAlign w:val="superscript"/>
        </w:rPr>
      </w:pPr>
      <w:r>
        <w:t xml:space="preserve">The use of systemic immunomodulatory drugs is recommended </w:t>
      </w:r>
      <w:r w:rsidR="00B92523">
        <w:t xml:space="preserve">for patients in whom optimised </w:t>
      </w:r>
      <w:r>
        <w:t xml:space="preserve">topical regimens or phototherapy do not provide effective control of signs and symptoms of </w:t>
      </w:r>
      <w:r w:rsidR="00B92523">
        <w:t>atopic dermatitis</w:t>
      </w:r>
      <w:r>
        <w:t>;</w:t>
      </w:r>
      <w:bookmarkStart w:id="33" w:name="_Ref120627971"/>
      <w:r w:rsidR="00B92523">
        <w:rPr>
          <w:rStyle w:val="FootnoteReference"/>
        </w:rPr>
        <w:footnoteReference w:id="20"/>
      </w:r>
      <w:bookmarkEnd w:id="33"/>
      <w:r w:rsidR="00B92523">
        <w:rPr>
          <w:vertAlign w:val="superscript"/>
        </w:rPr>
        <w:t>,</w:t>
      </w:r>
      <w:bookmarkStart w:id="34" w:name="_Ref120627974"/>
      <w:r w:rsidR="00B92523">
        <w:rPr>
          <w:rStyle w:val="FootnoteReference"/>
        </w:rPr>
        <w:footnoteReference w:id="21"/>
      </w:r>
      <w:bookmarkEnd w:id="34"/>
    </w:p>
    <w:p w14:paraId="35BF9E32" w14:textId="77777777" w:rsidR="00B92523" w:rsidRDefault="00422362" w:rsidP="00B92523">
      <w:pPr>
        <w:ind w:left="720"/>
      </w:pPr>
      <w:r>
        <w:t>There is lack of adequate data to enable definite recommendations regarding optimal dosing and monitoring for systemic immunomodulatory treatments and risk of cumulative toxicity limits duration of treatment. Hence, there is a need for oral treatments which provide rapid itch relief, clearance of skin lesions and have a safety prof</w:t>
      </w:r>
      <w:r w:rsidR="00B92523">
        <w:t>ile suitable for long-term use.</w:t>
      </w:r>
    </w:p>
    <w:p w14:paraId="7D760784" w14:textId="40DC6069" w:rsidR="00422362" w:rsidRPr="00422362" w:rsidRDefault="00835E7C" w:rsidP="00B92523">
      <w:pPr>
        <w:ind w:left="720"/>
      </w:pPr>
      <w:r>
        <w:t>U</w:t>
      </w:r>
      <w:r w:rsidR="00782F8C">
        <w:t>padacitinib</w:t>
      </w:r>
      <w:r w:rsidR="00B92523">
        <w:t xml:space="preserve"> (</w:t>
      </w:r>
      <w:r w:rsidR="00DD74F9">
        <w:t xml:space="preserve">Rinvoq; </w:t>
      </w:r>
      <w:r w:rsidR="00B92523">
        <w:t>ABT-494</w:t>
      </w:r>
      <w:r w:rsidR="00DD74F9">
        <w:t>)</w:t>
      </w:r>
      <w:r w:rsidR="00B92523">
        <w:t>;</w:t>
      </w:r>
      <w:r w:rsidR="00B92523">
        <w:rPr>
          <w:rStyle w:val="FootnoteReference"/>
        </w:rPr>
        <w:footnoteReference w:id="22"/>
      </w:r>
      <w:r w:rsidR="00422362">
        <w:t xml:space="preserve"> is a selective and reversible Janus kinase (JAK) inhibitor that was approved for rheumatoid arthritis (RA) in the United States (US) and in the European Union (EU) in 2019; it was also approved in Australia (in Jan 2020).</w:t>
      </w:r>
    </w:p>
    <w:p w14:paraId="2498B904" w14:textId="4B715EF5" w:rsidR="001A416F" w:rsidRPr="001A416F" w:rsidRDefault="001A416F" w:rsidP="001A416F">
      <w:r w:rsidRPr="001A416F">
        <w:t>Regarding the mechanism of action, the following is an extract from the draft Product Information (PI):</w:t>
      </w:r>
    </w:p>
    <w:p w14:paraId="11FE8860" w14:textId="616B66B2" w:rsidR="001A416F" w:rsidRDefault="00DD74F9" w:rsidP="001A416F">
      <w:pPr>
        <w:ind w:left="720"/>
      </w:pPr>
      <w:r>
        <w:t>U</w:t>
      </w:r>
      <w:r w:rsidR="00782F8C">
        <w:t>padacitinib</w:t>
      </w:r>
      <w:r w:rsidR="001A416F" w:rsidRPr="001A416F">
        <w:t xml:space="preserve"> is a selective and reversible inhibitor of JAK1.</w:t>
      </w:r>
      <w:r w:rsidR="005D7175">
        <w:t xml:space="preserve"> upadacitinib</w:t>
      </w:r>
      <w:r w:rsidR="001A416F" w:rsidRPr="001A416F">
        <w:t xml:space="preserve"> more potently inhibits JAK1 compared to JAK2 and JAK3. In cellular potency assays that correlated with the </w:t>
      </w:r>
      <w:r w:rsidR="001A416F" w:rsidRPr="00362371">
        <w:rPr>
          <w:i/>
        </w:rPr>
        <w:t xml:space="preserve">in vivo </w:t>
      </w:r>
      <w:r w:rsidR="001A416F" w:rsidRPr="001A416F">
        <w:t>pharmacodynamic responses, upadacitinib demonstrated 33-</w:t>
      </w:r>
      <w:r w:rsidR="001A416F">
        <w:t xml:space="preserve"> to </w:t>
      </w:r>
      <w:r w:rsidR="001A416F" w:rsidRPr="001A416F">
        <w:t>197-fold greater selectivity for JAK1-associated signalling over JAK2-JAK2 signalling. In enzyme assays, upadacitinib had &gt;</w:t>
      </w:r>
      <w:r w:rsidR="001A416F">
        <w:t xml:space="preserve"> </w:t>
      </w:r>
      <w:r w:rsidR="001A416F" w:rsidRPr="001A416F">
        <w:t xml:space="preserve">50-fold selectivity for JAK1 over JAK3. Atopic dermatitis pathogenesis is driven by pro-inflammatory cytokines (including </w:t>
      </w:r>
      <w:r w:rsidR="00835E7C">
        <w:t xml:space="preserve">[interleukins] </w:t>
      </w:r>
      <w:r w:rsidR="001A416F" w:rsidRPr="001A416F">
        <w:t>IL-4, IL-13, IL-22, TSLP, IL-31 and IFN-γ</w:t>
      </w:r>
      <w:r w:rsidR="00835E7C">
        <w:t xml:space="preserve"> </w:t>
      </w:r>
      <w:r w:rsidR="00835E7C">
        <w:lastRenderedPageBreak/>
        <w:t>[interferon gamma]</w:t>
      </w:r>
      <w:r w:rsidR="001A416F" w:rsidRPr="001A416F">
        <w:t>)</w:t>
      </w:r>
      <w:r w:rsidR="003159DC">
        <w:t>;</w:t>
      </w:r>
      <w:r w:rsidR="003159DC">
        <w:rPr>
          <w:rStyle w:val="FootnoteReference"/>
        </w:rPr>
        <w:footnoteReference w:id="23"/>
      </w:r>
      <w:r w:rsidR="003159DC">
        <w:rPr>
          <w:vertAlign w:val="superscript"/>
        </w:rPr>
        <w:t>,</w:t>
      </w:r>
      <w:r w:rsidR="003159DC">
        <w:rPr>
          <w:rStyle w:val="FootnoteReference"/>
        </w:rPr>
        <w:footnoteReference w:id="24"/>
      </w:r>
      <w:r w:rsidR="001A416F" w:rsidRPr="001A416F">
        <w:t xml:space="preserve"> that transduce signals via the JAK1 pathway.</w:t>
      </w:r>
      <w:r w:rsidR="003159DC">
        <w:rPr>
          <w:rStyle w:val="FootnoteReference"/>
        </w:rPr>
        <w:footnoteReference w:id="25"/>
      </w:r>
      <w:r w:rsidR="003159DC">
        <w:rPr>
          <w:vertAlign w:val="superscript"/>
        </w:rPr>
        <w:t>,</w:t>
      </w:r>
      <w:r w:rsidR="003159DC">
        <w:rPr>
          <w:rStyle w:val="FootnoteReference"/>
        </w:rPr>
        <w:footnoteReference w:id="26"/>
      </w:r>
      <w:r w:rsidR="001A416F" w:rsidRPr="001A416F">
        <w:t xml:space="preserve"> Inhibiting JAK1 with upadacitinib reduces the signaling of many mediators which drive the signs and symptoms of atopic dermatitis such as eczematous skin lesions and </w:t>
      </w:r>
      <w:r w:rsidR="003159DC">
        <w:t>pruritus</w:t>
      </w:r>
      <w:r w:rsidR="001A416F" w:rsidRPr="001A416F">
        <w:t>.</w:t>
      </w:r>
    </w:p>
    <w:p w14:paraId="768C3955" w14:textId="110EBE7C" w:rsidR="003159DC" w:rsidRDefault="003159DC" w:rsidP="003159DC">
      <w:r>
        <w:t>To further justify the inclusion of the above statement on the pathogenesis of atopic dermatitis, the sponsor added that results from a Phase III</w:t>
      </w:r>
      <w:r w:rsidRPr="00A030AC">
        <w:t xml:space="preserve"> study for</w:t>
      </w:r>
      <w:r w:rsidRPr="00A030AC">
        <w:rPr>
          <w:spacing w:val="1"/>
        </w:rPr>
        <w:t xml:space="preserve"> </w:t>
      </w:r>
      <w:r w:rsidRPr="00A030AC">
        <w:t xml:space="preserve">dupilumab showed that inhibition of </w:t>
      </w:r>
      <w:r w:rsidR="00835E7C" w:rsidRPr="00A030AC">
        <w:t>signalling</w:t>
      </w:r>
      <w:r w:rsidRPr="00A030AC">
        <w:t xml:space="preserve"> of IL-4 and IL-13 improved the signs and</w:t>
      </w:r>
      <w:r w:rsidRPr="00A030AC">
        <w:rPr>
          <w:spacing w:val="1"/>
        </w:rPr>
        <w:t xml:space="preserve"> </w:t>
      </w:r>
      <w:r w:rsidRPr="00A030AC">
        <w:t>symptoms</w:t>
      </w:r>
      <w:r w:rsidRPr="00A030AC">
        <w:rPr>
          <w:spacing w:val="-3"/>
        </w:rPr>
        <w:t xml:space="preserve"> </w:t>
      </w:r>
      <w:r w:rsidRPr="00A030AC">
        <w:t xml:space="preserve">of </w:t>
      </w:r>
      <w:r>
        <w:t>atopic dermatitis.</w:t>
      </w:r>
      <w:r>
        <w:rPr>
          <w:rStyle w:val="FootnoteReference"/>
        </w:rPr>
        <w:footnoteReference w:id="27"/>
      </w:r>
    </w:p>
    <w:p w14:paraId="7DAE6466" w14:textId="13A35E1D" w:rsidR="00835E7C" w:rsidRDefault="00835E7C" w:rsidP="00835E7C">
      <w:pPr>
        <w:pStyle w:val="Heading4"/>
      </w:pPr>
      <w:r>
        <w:t>Current and proposed new strength</w:t>
      </w:r>
    </w:p>
    <w:p w14:paraId="001C2E58" w14:textId="1A2815CE" w:rsidR="00835E7C" w:rsidRDefault="00E62BEE" w:rsidP="00835E7C">
      <w:r>
        <w:t xml:space="preserve">At the time that this submission was considered, </w:t>
      </w:r>
      <w:r w:rsidR="00835E7C">
        <w:t>Rinvoq (upadacitinib) 15 mg modified releas</w:t>
      </w:r>
      <w:r>
        <w:t xml:space="preserve">e tablets had already received approval and were registered on the </w:t>
      </w:r>
      <w:r w:rsidR="00DD74F9">
        <w:t>Australian Register of Therapeutic Goods (</w:t>
      </w:r>
      <w:r>
        <w:t>ARTG</w:t>
      </w:r>
      <w:r w:rsidR="00DD74F9">
        <w:t>)</w:t>
      </w:r>
      <w:r>
        <w:t xml:space="preserve"> (see section: </w:t>
      </w:r>
      <w:r w:rsidRPr="00835E7C">
        <w:rPr>
          <w:i/>
        </w:rPr>
        <w:fldChar w:fldCharType="begin"/>
      </w:r>
      <w:r w:rsidRPr="00835E7C">
        <w:rPr>
          <w:i/>
        </w:rPr>
        <w:instrText xml:space="preserve"> REF _Ref125634636 \h </w:instrText>
      </w:r>
      <w:r>
        <w:rPr>
          <w:i/>
        </w:rPr>
        <w:instrText xml:space="preserve"> \* MERGEFORMAT </w:instrText>
      </w:r>
      <w:r w:rsidRPr="00835E7C">
        <w:rPr>
          <w:i/>
        </w:rPr>
      </w:r>
      <w:r w:rsidRPr="00835E7C">
        <w:rPr>
          <w:i/>
        </w:rPr>
        <w:fldChar w:fldCharType="separate"/>
      </w:r>
      <w:r w:rsidR="00B51532" w:rsidRPr="00B51532">
        <w:rPr>
          <w:i/>
        </w:rPr>
        <w:t>Regulatory status</w:t>
      </w:r>
      <w:r w:rsidRPr="00835E7C">
        <w:rPr>
          <w:i/>
        </w:rPr>
        <w:fldChar w:fldCharType="end"/>
      </w:r>
      <w:r>
        <w:rPr>
          <w:i/>
        </w:rPr>
        <w:t xml:space="preserve">, </w:t>
      </w:r>
      <w:r>
        <w:t>below).</w:t>
      </w:r>
    </w:p>
    <w:p w14:paraId="131C3713" w14:textId="704FB099" w:rsidR="00835E7C" w:rsidRDefault="00835E7C" w:rsidP="00835E7C">
      <w:r>
        <w:t xml:space="preserve">The dosing regimen for atopic dermatitis proposes to include both </w:t>
      </w:r>
      <w:r w:rsidR="00E62BEE">
        <w:t xml:space="preserve">the </w:t>
      </w:r>
      <w:r>
        <w:t>15</w:t>
      </w:r>
      <w:r w:rsidR="00E62BEE">
        <w:t xml:space="preserve"> </w:t>
      </w:r>
      <w:r>
        <w:t>mg (</w:t>
      </w:r>
      <w:r w:rsidR="00E62BEE">
        <w:t xml:space="preserve">as </w:t>
      </w:r>
      <w:r>
        <w:t xml:space="preserve">currently approved) and </w:t>
      </w:r>
      <w:r w:rsidR="00E62BEE">
        <w:t xml:space="preserve">a </w:t>
      </w:r>
      <w:r>
        <w:t>new 30</w:t>
      </w:r>
      <w:r w:rsidR="00E62BEE">
        <w:t xml:space="preserve"> mg strength modified release tablet</w:t>
      </w:r>
      <w:r>
        <w:t xml:space="preserve">. </w:t>
      </w:r>
    </w:p>
    <w:p w14:paraId="3DD5F9D8" w14:textId="77777777" w:rsidR="008E7846" w:rsidRPr="003F31A2" w:rsidRDefault="00386150" w:rsidP="008E7846">
      <w:pPr>
        <w:pStyle w:val="Heading3"/>
      </w:pPr>
      <w:bookmarkStart w:id="35" w:name="_Ref125634636"/>
      <w:bookmarkStart w:id="36" w:name="_Toc129093300"/>
      <w:r>
        <w:t>Regulatory s</w:t>
      </w:r>
      <w:r w:rsidR="008E7846">
        <w:t>tatus</w:t>
      </w:r>
      <w:bookmarkEnd w:id="28"/>
      <w:bookmarkEnd w:id="29"/>
      <w:bookmarkEnd w:id="35"/>
      <w:bookmarkEnd w:id="36"/>
    </w:p>
    <w:p w14:paraId="2703EB55" w14:textId="51AFF486" w:rsidR="00C54AEE" w:rsidRDefault="00C54AEE" w:rsidP="00332715">
      <w:bookmarkStart w:id="37" w:name="_Toc247691505"/>
      <w:bookmarkStart w:id="38" w:name="_Toc314842486"/>
      <w:r>
        <w:t>Rinvoq (upadacitinib) as 15 mg modified release tablets</w:t>
      </w:r>
      <w:r w:rsidR="00332715">
        <w:t xml:space="preserve"> received initial registration on the Australian Register</w:t>
      </w:r>
      <w:r>
        <w:t xml:space="preserve"> of Therapeutic Goods (ARTG) on 17 January 2020;</w:t>
      </w:r>
      <w:r>
        <w:rPr>
          <w:rStyle w:val="FootnoteReference"/>
        </w:rPr>
        <w:footnoteReference w:id="28"/>
      </w:r>
      <w:bookmarkStart w:id="39" w:name="_Ref120630016"/>
      <w:r>
        <w:rPr>
          <w:rStyle w:val="FootnoteReference"/>
        </w:rPr>
        <w:footnoteReference w:id="29"/>
      </w:r>
      <w:bookmarkEnd w:id="39"/>
      <w:r>
        <w:t xml:space="preserve"> for the following indication:</w:t>
      </w:r>
    </w:p>
    <w:p w14:paraId="541EABF5" w14:textId="70F276B2" w:rsidR="00C54AEE" w:rsidRPr="00C54AEE" w:rsidRDefault="00C54AEE" w:rsidP="00C54AEE">
      <w:pPr>
        <w:ind w:left="720"/>
        <w:rPr>
          <w:i/>
        </w:rPr>
      </w:pPr>
      <w:r w:rsidRPr="00C54AEE">
        <w:rPr>
          <w:i/>
        </w:rPr>
        <w:t>Rinvoq is indicated for the treatment of moderate to severe active rheumatoid arthritis in adult patients who have responded inadequately to, or who are intolerant to, one or more disease-modifying anti-rheumatic drugs (DMARDs).</w:t>
      </w:r>
    </w:p>
    <w:p w14:paraId="06E2E1CB" w14:textId="583FD241" w:rsidR="00C54AEE" w:rsidRDefault="00C54AEE" w:rsidP="00C54AEE">
      <w:pPr>
        <w:ind w:left="720"/>
        <w:rPr>
          <w:i/>
        </w:rPr>
      </w:pPr>
      <w:r w:rsidRPr="00C54AEE">
        <w:rPr>
          <w:i/>
        </w:rPr>
        <w:t>Rinvoq may be used as monotherapy or in combination with methotrexate or other conventional synthetic disease-modifying anti-rheumatic drugs (csDMARDs).</w:t>
      </w:r>
    </w:p>
    <w:p w14:paraId="2371FDA1" w14:textId="05FEA00E" w:rsidR="00C54AEE" w:rsidRDefault="00C54AEE" w:rsidP="00C54AEE">
      <w:r>
        <w:t>Subsequently, Rinvoq (upadacitinib) was approved for an extension of indications on 7 May 2021</w:t>
      </w:r>
      <w:r w:rsidR="00B62751">
        <w:t>;</w:t>
      </w:r>
      <w:r w:rsidR="00B62751">
        <w:rPr>
          <w:rStyle w:val="FootnoteReference"/>
        </w:rPr>
        <w:footnoteReference w:id="30"/>
      </w:r>
      <w:r>
        <w:t xml:space="preserve"> for the following </w:t>
      </w:r>
      <w:r w:rsidR="00B62751">
        <w:t xml:space="preserve">additional </w:t>
      </w:r>
      <w:r>
        <w:t>indication</w:t>
      </w:r>
      <w:r w:rsidR="00B62751">
        <w:t>s</w:t>
      </w:r>
      <w:r>
        <w:t>:</w:t>
      </w:r>
    </w:p>
    <w:p w14:paraId="754ECA80" w14:textId="13DB6E04" w:rsidR="00C54AEE" w:rsidRPr="00B62751" w:rsidRDefault="00C54AEE" w:rsidP="00C54AEE">
      <w:pPr>
        <w:ind w:firstLine="720"/>
        <w:rPr>
          <w:i/>
        </w:rPr>
      </w:pPr>
      <w:r w:rsidRPr="00B62751">
        <w:rPr>
          <w:i/>
        </w:rPr>
        <w:t xml:space="preserve">Psoriatic </w:t>
      </w:r>
      <w:r w:rsidR="00B62751" w:rsidRPr="00B62751">
        <w:rPr>
          <w:i/>
        </w:rPr>
        <w:t>arthritis</w:t>
      </w:r>
    </w:p>
    <w:p w14:paraId="61AEF206" w14:textId="0AA9734C" w:rsidR="00C54AEE" w:rsidRPr="00B62751" w:rsidRDefault="00C54AEE" w:rsidP="00C54AEE">
      <w:pPr>
        <w:ind w:left="720"/>
        <w:rPr>
          <w:i/>
        </w:rPr>
      </w:pPr>
      <w:r w:rsidRPr="00B62751">
        <w:rPr>
          <w:i/>
        </w:rPr>
        <w:t xml:space="preserve">Rinvoq is indicated for the treatment of moderate to severe active psoriatic arthritis in adult patients who have responded inadequately to, or are intolerant to one or more DMARDs. </w:t>
      </w:r>
      <w:r w:rsidR="00B62751" w:rsidRPr="00B62751">
        <w:rPr>
          <w:i/>
        </w:rPr>
        <w:t xml:space="preserve">Rinvoq </w:t>
      </w:r>
      <w:r w:rsidRPr="00B62751">
        <w:rPr>
          <w:i/>
        </w:rPr>
        <w:t>may be used as monotherapy or in combination with a non-biological DMARD.</w:t>
      </w:r>
    </w:p>
    <w:p w14:paraId="5E014988" w14:textId="72E1F5D3" w:rsidR="00C54AEE" w:rsidRPr="00B62751" w:rsidRDefault="00B62751" w:rsidP="00C54AEE">
      <w:pPr>
        <w:ind w:left="720"/>
        <w:rPr>
          <w:i/>
        </w:rPr>
      </w:pPr>
      <w:r w:rsidRPr="00B62751">
        <w:rPr>
          <w:i/>
        </w:rPr>
        <w:t>Ankylosing s</w:t>
      </w:r>
      <w:r w:rsidR="00C54AEE" w:rsidRPr="00B62751">
        <w:rPr>
          <w:i/>
        </w:rPr>
        <w:t>pondylitis</w:t>
      </w:r>
    </w:p>
    <w:p w14:paraId="781318DA" w14:textId="03534FAC" w:rsidR="00C54AEE" w:rsidRPr="00B62751" w:rsidRDefault="00B62751" w:rsidP="00B62751">
      <w:pPr>
        <w:ind w:left="720"/>
        <w:rPr>
          <w:i/>
        </w:rPr>
      </w:pPr>
      <w:r w:rsidRPr="00B62751">
        <w:rPr>
          <w:i/>
        </w:rPr>
        <w:lastRenderedPageBreak/>
        <w:t xml:space="preserve">Rinvoq </w:t>
      </w:r>
      <w:r w:rsidR="00C54AEE" w:rsidRPr="00B62751">
        <w:rPr>
          <w:i/>
        </w:rPr>
        <w:t>is now also indicated for the treatment of adults with active ankylosing spondylitis.</w:t>
      </w:r>
    </w:p>
    <w:p w14:paraId="6FD7E247" w14:textId="20931239" w:rsidR="00C82ED0" w:rsidRDefault="0072292E" w:rsidP="00362371">
      <w:r>
        <w:t xml:space="preserve">The following table </w:t>
      </w:r>
      <w:r w:rsidR="00332715">
        <w:t xml:space="preserve">summarises these </w:t>
      </w:r>
      <w:r w:rsidR="00BB0B78">
        <w:t>submissions</w:t>
      </w:r>
      <w:r w:rsidR="00332715">
        <w:t xml:space="preserve"> and provides the indications where approved.</w:t>
      </w:r>
    </w:p>
    <w:p w14:paraId="6366F494" w14:textId="53423A9D" w:rsidR="00324E45" w:rsidRPr="00F0146F" w:rsidRDefault="00324E45" w:rsidP="00324E45">
      <w:pPr>
        <w:pStyle w:val="TableTitle"/>
      </w:pPr>
      <w:bookmarkStart w:id="40" w:name="_Ref99705479"/>
      <w:r>
        <w:t xml:space="preserve">Table </w:t>
      </w:r>
      <w:fldSimple w:instr=" SEQ Table \* ARABIC ">
        <w:r w:rsidR="00B51532">
          <w:rPr>
            <w:noProof/>
          </w:rPr>
          <w:t>6</w:t>
        </w:r>
      </w:fldSimple>
      <w:bookmarkEnd w:id="40"/>
      <w:r>
        <w:t>: International regulatory status</w:t>
      </w:r>
    </w:p>
    <w:tbl>
      <w:tblPr>
        <w:tblStyle w:val="TableTGAblue"/>
        <w:tblW w:w="8815" w:type="dxa"/>
        <w:tblLook w:val="04A0" w:firstRow="1" w:lastRow="0" w:firstColumn="1" w:lastColumn="0" w:noHBand="0" w:noVBand="1"/>
      </w:tblPr>
      <w:tblGrid>
        <w:gridCol w:w="1410"/>
        <w:gridCol w:w="1915"/>
        <w:gridCol w:w="1917"/>
        <w:gridCol w:w="3573"/>
      </w:tblGrid>
      <w:tr w:rsidR="00006FAB" w:rsidRPr="00C82ED0" w14:paraId="5ADED265" w14:textId="77777777" w:rsidTr="00362371">
        <w:trPr>
          <w:cnfStyle w:val="100000000000" w:firstRow="1" w:lastRow="0" w:firstColumn="0" w:lastColumn="0" w:oddVBand="0" w:evenVBand="0" w:oddHBand="0" w:evenHBand="0" w:firstRowFirstColumn="0" w:firstRowLastColumn="0" w:lastRowFirstColumn="0" w:lastRowLastColumn="0"/>
        </w:trPr>
        <w:tc>
          <w:tcPr>
            <w:tcW w:w="1410" w:type="dxa"/>
            <w:tcBorders>
              <w:top w:val="single" w:sz="4" w:space="0" w:color="auto"/>
              <w:left w:val="single" w:sz="4" w:space="0" w:color="auto"/>
              <w:bottom w:val="single" w:sz="4" w:space="0" w:color="auto"/>
              <w:right w:val="single" w:sz="4" w:space="0" w:color="auto"/>
            </w:tcBorders>
          </w:tcPr>
          <w:p w14:paraId="7FC1B976" w14:textId="77777777" w:rsidR="00006FAB" w:rsidRPr="00C82ED0" w:rsidRDefault="00006FAB" w:rsidP="00006FAB">
            <w:pPr>
              <w:ind w:left="0" w:right="0"/>
              <w:rPr>
                <w:sz w:val="20"/>
              </w:rPr>
            </w:pPr>
            <w:r w:rsidRPr="00C82ED0">
              <w:rPr>
                <w:sz w:val="20"/>
              </w:rPr>
              <w:t>Region</w:t>
            </w:r>
          </w:p>
        </w:tc>
        <w:tc>
          <w:tcPr>
            <w:tcW w:w="1915" w:type="dxa"/>
            <w:tcBorders>
              <w:top w:val="single" w:sz="4" w:space="0" w:color="auto"/>
              <w:left w:val="single" w:sz="4" w:space="0" w:color="auto"/>
              <w:bottom w:val="single" w:sz="4" w:space="0" w:color="auto"/>
              <w:right w:val="single" w:sz="4" w:space="0" w:color="auto"/>
            </w:tcBorders>
          </w:tcPr>
          <w:p w14:paraId="45F4F30E" w14:textId="77777777" w:rsidR="00006FAB" w:rsidRPr="00C82ED0" w:rsidRDefault="00006FAB" w:rsidP="00006FAB">
            <w:pPr>
              <w:ind w:left="0" w:right="0"/>
              <w:rPr>
                <w:sz w:val="20"/>
              </w:rPr>
            </w:pPr>
            <w:r w:rsidRPr="00C82ED0">
              <w:rPr>
                <w:sz w:val="20"/>
              </w:rPr>
              <w:t>Submission date</w:t>
            </w:r>
          </w:p>
        </w:tc>
        <w:tc>
          <w:tcPr>
            <w:tcW w:w="1917" w:type="dxa"/>
            <w:tcBorders>
              <w:top w:val="single" w:sz="4" w:space="0" w:color="auto"/>
              <w:left w:val="single" w:sz="4" w:space="0" w:color="auto"/>
              <w:bottom w:val="single" w:sz="4" w:space="0" w:color="auto"/>
              <w:right w:val="single" w:sz="4" w:space="0" w:color="auto"/>
            </w:tcBorders>
          </w:tcPr>
          <w:p w14:paraId="611D3E6B" w14:textId="77777777" w:rsidR="00006FAB" w:rsidRPr="00C82ED0" w:rsidRDefault="00006FAB" w:rsidP="00006FAB">
            <w:pPr>
              <w:ind w:left="0" w:right="0"/>
              <w:rPr>
                <w:sz w:val="20"/>
              </w:rPr>
            </w:pPr>
            <w:r w:rsidRPr="00C82ED0">
              <w:rPr>
                <w:sz w:val="20"/>
              </w:rPr>
              <w:t>Status</w:t>
            </w:r>
          </w:p>
        </w:tc>
        <w:tc>
          <w:tcPr>
            <w:tcW w:w="3573" w:type="dxa"/>
            <w:tcBorders>
              <w:top w:val="single" w:sz="4" w:space="0" w:color="auto"/>
              <w:left w:val="single" w:sz="4" w:space="0" w:color="auto"/>
              <w:bottom w:val="single" w:sz="4" w:space="0" w:color="auto"/>
              <w:right w:val="single" w:sz="4" w:space="0" w:color="auto"/>
            </w:tcBorders>
          </w:tcPr>
          <w:p w14:paraId="39F08303" w14:textId="77777777" w:rsidR="00006FAB" w:rsidRPr="00C82ED0" w:rsidRDefault="00006FAB" w:rsidP="00006FAB">
            <w:pPr>
              <w:ind w:left="0" w:right="0"/>
              <w:rPr>
                <w:sz w:val="20"/>
              </w:rPr>
            </w:pPr>
            <w:r w:rsidRPr="00C82ED0">
              <w:rPr>
                <w:sz w:val="20"/>
              </w:rPr>
              <w:t>Approved indications</w:t>
            </w:r>
          </w:p>
        </w:tc>
      </w:tr>
      <w:tr w:rsidR="00006FAB" w:rsidRPr="00C82ED0" w14:paraId="5962983B" w14:textId="77777777" w:rsidTr="00362371">
        <w:tc>
          <w:tcPr>
            <w:tcW w:w="1410" w:type="dxa"/>
            <w:tcBorders>
              <w:top w:val="single" w:sz="4" w:space="0" w:color="auto"/>
            </w:tcBorders>
          </w:tcPr>
          <w:p w14:paraId="313A5165" w14:textId="3AE920D5" w:rsidR="00006FAB" w:rsidRPr="00C82ED0" w:rsidRDefault="00B62751" w:rsidP="00006FAB">
            <w:pPr>
              <w:ind w:left="0" w:right="0"/>
              <w:rPr>
                <w:sz w:val="20"/>
              </w:rPr>
            </w:pPr>
            <w:r w:rsidRPr="00C82ED0">
              <w:rPr>
                <w:sz w:val="20"/>
              </w:rPr>
              <w:t>European Union (Centralised procedure)</w:t>
            </w:r>
          </w:p>
        </w:tc>
        <w:tc>
          <w:tcPr>
            <w:tcW w:w="1915" w:type="dxa"/>
            <w:tcBorders>
              <w:top w:val="single" w:sz="4" w:space="0" w:color="auto"/>
            </w:tcBorders>
          </w:tcPr>
          <w:p w14:paraId="25516E54" w14:textId="78287DEA" w:rsidR="00006FAB" w:rsidRPr="00C82ED0" w:rsidRDefault="00B62751" w:rsidP="00006FAB">
            <w:pPr>
              <w:ind w:left="0" w:right="0"/>
              <w:rPr>
                <w:sz w:val="20"/>
              </w:rPr>
            </w:pPr>
            <w:r w:rsidRPr="00C82ED0">
              <w:rPr>
                <w:sz w:val="20"/>
              </w:rPr>
              <w:t>8 October 2020</w:t>
            </w:r>
          </w:p>
        </w:tc>
        <w:tc>
          <w:tcPr>
            <w:tcW w:w="1917" w:type="dxa"/>
            <w:tcBorders>
              <w:top w:val="single" w:sz="4" w:space="0" w:color="auto"/>
            </w:tcBorders>
          </w:tcPr>
          <w:p w14:paraId="26AF799D" w14:textId="77777777" w:rsidR="00006FAB" w:rsidRDefault="00167DF2" w:rsidP="00006FAB">
            <w:pPr>
              <w:ind w:left="0" w:right="0"/>
              <w:rPr>
                <w:sz w:val="20"/>
              </w:rPr>
            </w:pPr>
            <w:r>
              <w:rPr>
                <w:sz w:val="20"/>
              </w:rPr>
              <w:t>Approved</w:t>
            </w:r>
          </w:p>
          <w:p w14:paraId="40024FCD" w14:textId="5C283F46" w:rsidR="00A51B66" w:rsidRPr="00C82ED0" w:rsidRDefault="00A51B66" w:rsidP="00006FAB">
            <w:pPr>
              <w:ind w:left="0" w:right="0"/>
              <w:rPr>
                <w:sz w:val="20"/>
              </w:rPr>
            </w:pPr>
            <w:r>
              <w:rPr>
                <w:sz w:val="20"/>
              </w:rPr>
              <w:t>23 Aug</w:t>
            </w:r>
            <w:r w:rsidR="009A0394">
              <w:rPr>
                <w:sz w:val="20"/>
              </w:rPr>
              <w:t>ust</w:t>
            </w:r>
            <w:r>
              <w:rPr>
                <w:sz w:val="20"/>
              </w:rPr>
              <w:t xml:space="preserve"> 2021</w:t>
            </w:r>
          </w:p>
        </w:tc>
        <w:tc>
          <w:tcPr>
            <w:tcW w:w="3573" w:type="dxa"/>
            <w:tcBorders>
              <w:top w:val="single" w:sz="4" w:space="0" w:color="auto"/>
            </w:tcBorders>
          </w:tcPr>
          <w:p w14:paraId="33BC49A9" w14:textId="6F536817" w:rsidR="00006FAB" w:rsidRPr="00C82ED0" w:rsidRDefault="009A0394" w:rsidP="00006FAB">
            <w:pPr>
              <w:ind w:left="0" w:right="0"/>
              <w:rPr>
                <w:i/>
                <w:sz w:val="20"/>
              </w:rPr>
            </w:pPr>
            <w:r w:rsidRPr="00167DF2">
              <w:rPr>
                <w:i/>
                <w:sz w:val="20"/>
              </w:rPr>
              <w:t xml:space="preserve">Rinvoq </w:t>
            </w:r>
            <w:r w:rsidR="00167DF2" w:rsidRPr="00167DF2">
              <w:rPr>
                <w:i/>
                <w:sz w:val="20"/>
              </w:rPr>
              <w:t>is indicated for the treatment of moderate to severe atopic dermatitis in adults and adolescents 12 years and older who are candidates for systemic therapy.</w:t>
            </w:r>
          </w:p>
        </w:tc>
      </w:tr>
      <w:tr w:rsidR="00006FAB" w:rsidRPr="00C82ED0" w14:paraId="56CA5604" w14:textId="77777777" w:rsidTr="00362371">
        <w:tc>
          <w:tcPr>
            <w:tcW w:w="1410" w:type="dxa"/>
          </w:tcPr>
          <w:p w14:paraId="36770658" w14:textId="261E4905" w:rsidR="00006FAB" w:rsidRPr="00C82ED0" w:rsidRDefault="00B62751" w:rsidP="00006FAB">
            <w:pPr>
              <w:ind w:left="0" w:right="0"/>
              <w:rPr>
                <w:sz w:val="20"/>
              </w:rPr>
            </w:pPr>
            <w:r w:rsidRPr="00C82ED0">
              <w:rPr>
                <w:sz w:val="20"/>
              </w:rPr>
              <w:t>United States of America</w:t>
            </w:r>
          </w:p>
        </w:tc>
        <w:tc>
          <w:tcPr>
            <w:tcW w:w="1915" w:type="dxa"/>
          </w:tcPr>
          <w:p w14:paraId="0F3B41ED" w14:textId="34BC2576" w:rsidR="00006FAB" w:rsidRPr="00C82ED0" w:rsidRDefault="00B62751" w:rsidP="00006FAB">
            <w:pPr>
              <w:ind w:left="0" w:right="0"/>
              <w:rPr>
                <w:sz w:val="20"/>
              </w:rPr>
            </w:pPr>
            <w:r w:rsidRPr="00C82ED0">
              <w:rPr>
                <w:sz w:val="20"/>
              </w:rPr>
              <w:t>15 October 2020</w:t>
            </w:r>
          </w:p>
        </w:tc>
        <w:tc>
          <w:tcPr>
            <w:tcW w:w="1917" w:type="dxa"/>
          </w:tcPr>
          <w:p w14:paraId="679F6D85" w14:textId="77777777" w:rsidR="00006FAB" w:rsidRDefault="00167DF2" w:rsidP="00006FAB">
            <w:pPr>
              <w:ind w:left="0" w:right="0"/>
              <w:rPr>
                <w:sz w:val="20"/>
              </w:rPr>
            </w:pPr>
            <w:r>
              <w:rPr>
                <w:sz w:val="20"/>
              </w:rPr>
              <w:t>Approved</w:t>
            </w:r>
          </w:p>
          <w:p w14:paraId="6F5CE069" w14:textId="4B34A269" w:rsidR="00A51B66" w:rsidRPr="00C82ED0" w:rsidRDefault="00A51B66" w:rsidP="00006FAB">
            <w:pPr>
              <w:ind w:left="0" w:right="0"/>
              <w:rPr>
                <w:sz w:val="20"/>
              </w:rPr>
            </w:pPr>
            <w:r>
              <w:rPr>
                <w:sz w:val="20"/>
              </w:rPr>
              <w:t>14 Jan</w:t>
            </w:r>
            <w:r w:rsidR="009A0394">
              <w:rPr>
                <w:sz w:val="20"/>
              </w:rPr>
              <w:t>uary</w:t>
            </w:r>
            <w:r>
              <w:rPr>
                <w:sz w:val="20"/>
              </w:rPr>
              <w:t xml:space="preserve"> 2022</w:t>
            </w:r>
          </w:p>
        </w:tc>
        <w:tc>
          <w:tcPr>
            <w:tcW w:w="3573" w:type="dxa"/>
          </w:tcPr>
          <w:p w14:paraId="591A08A4" w14:textId="74523CDF" w:rsidR="00006FAB" w:rsidRPr="00C82ED0" w:rsidRDefault="009A0394" w:rsidP="00006FAB">
            <w:pPr>
              <w:ind w:left="0" w:right="0"/>
              <w:rPr>
                <w:sz w:val="20"/>
              </w:rPr>
            </w:pPr>
            <w:r w:rsidRPr="00167DF2">
              <w:rPr>
                <w:i/>
                <w:sz w:val="20"/>
              </w:rPr>
              <w:t xml:space="preserve">Rinvoq </w:t>
            </w:r>
            <w:r w:rsidR="00167DF2" w:rsidRPr="00167DF2">
              <w:rPr>
                <w:i/>
                <w:sz w:val="20"/>
              </w:rPr>
              <w:t>is indicated for the treatment of adults and pediatric patients 12 years of age and older with refractory, moderate to severe atopic dermatitis whose disease is not adequately controlled with other systemic drug products, including biologics, or when use of those therapies are inadvisable.</w:t>
            </w:r>
          </w:p>
        </w:tc>
      </w:tr>
      <w:tr w:rsidR="00C82ED0" w:rsidRPr="00C82ED0" w14:paraId="409F4C63" w14:textId="77777777" w:rsidTr="00362371">
        <w:tc>
          <w:tcPr>
            <w:tcW w:w="1410" w:type="dxa"/>
          </w:tcPr>
          <w:p w14:paraId="44E81C11" w14:textId="51A402DC" w:rsidR="00C82ED0" w:rsidRPr="00C82ED0" w:rsidRDefault="00C82ED0" w:rsidP="00C82ED0">
            <w:pPr>
              <w:ind w:left="0"/>
              <w:rPr>
                <w:sz w:val="20"/>
              </w:rPr>
            </w:pPr>
            <w:r>
              <w:rPr>
                <w:sz w:val="20"/>
              </w:rPr>
              <w:t>Great Britain</w:t>
            </w:r>
          </w:p>
        </w:tc>
        <w:tc>
          <w:tcPr>
            <w:tcW w:w="1915" w:type="dxa"/>
          </w:tcPr>
          <w:p w14:paraId="17899A69" w14:textId="6D39888E" w:rsidR="00C82ED0" w:rsidRPr="00C82ED0" w:rsidRDefault="00167DF2" w:rsidP="00362371">
            <w:pPr>
              <w:ind w:left="0"/>
              <w:rPr>
                <w:sz w:val="20"/>
              </w:rPr>
            </w:pPr>
            <w:r>
              <w:rPr>
                <w:sz w:val="20"/>
              </w:rPr>
              <w:t>29 June 2021</w:t>
            </w:r>
          </w:p>
        </w:tc>
        <w:tc>
          <w:tcPr>
            <w:tcW w:w="1917" w:type="dxa"/>
          </w:tcPr>
          <w:p w14:paraId="10562960" w14:textId="77777777" w:rsidR="00C82ED0" w:rsidRDefault="00167DF2">
            <w:pPr>
              <w:ind w:left="0"/>
              <w:rPr>
                <w:sz w:val="20"/>
              </w:rPr>
            </w:pPr>
            <w:r>
              <w:rPr>
                <w:sz w:val="20"/>
              </w:rPr>
              <w:t>Approved</w:t>
            </w:r>
          </w:p>
          <w:p w14:paraId="14F566A5" w14:textId="590548C4" w:rsidR="00A51B66" w:rsidRPr="00C82ED0" w:rsidRDefault="00A51B66" w:rsidP="00362371">
            <w:pPr>
              <w:ind w:left="0"/>
              <w:rPr>
                <w:sz w:val="20"/>
              </w:rPr>
            </w:pPr>
            <w:r>
              <w:rPr>
                <w:sz w:val="20"/>
              </w:rPr>
              <w:t>25 Aug</w:t>
            </w:r>
            <w:r w:rsidR="009A0394">
              <w:rPr>
                <w:sz w:val="20"/>
              </w:rPr>
              <w:t>ust</w:t>
            </w:r>
            <w:r>
              <w:rPr>
                <w:sz w:val="20"/>
              </w:rPr>
              <w:t xml:space="preserve"> 2021 </w:t>
            </w:r>
          </w:p>
        </w:tc>
        <w:tc>
          <w:tcPr>
            <w:tcW w:w="3573" w:type="dxa"/>
          </w:tcPr>
          <w:p w14:paraId="256F79C5" w14:textId="6070A7D4" w:rsidR="00C82ED0" w:rsidRPr="00C82ED0" w:rsidRDefault="00DD74F9" w:rsidP="00362371">
            <w:pPr>
              <w:ind w:left="0"/>
              <w:rPr>
                <w:i/>
                <w:sz w:val="20"/>
              </w:rPr>
            </w:pPr>
            <w:r w:rsidRPr="00167DF2">
              <w:rPr>
                <w:i/>
                <w:sz w:val="20"/>
              </w:rPr>
              <w:t xml:space="preserve">Rinvoq </w:t>
            </w:r>
            <w:r w:rsidR="00167DF2" w:rsidRPr="00167DF2">
              <w:rPr>
                <w:i/>
                <w:sz w:val="20"/>
              </w:rPr>
              <w:t>is indicated for the treatment of moderate to severe atopic dermatitis in adults and adolescents 12 years and older who are candidates for systemic therapy.</w:t>
            </w:r>
          </w:p>
        </w:tc>
      </w:tr>
      <w:tr w:rsidR="00B62751" w:rsidRPr="00C82ED0" w14:paraId="3EB518DE" w14:textId="77777777" w:rsidTr="00362371">
        <w:tc>
          <w:tcPr>
            <w:tcW w:w="1410" w:type="dxa"/>
          </w:tcPr>
          <w:p w14:paraId="4B0584C1" w14:textId="07BC0E68" w:rsidR="00B62751" w:rsidRPr="00C82ED0" w:rsidRDefault="00B62751" w:rsidP="00B62751">
            <w:pPr>
              <w:ind w:left="0"/>
              <w:rPr>
                <w:sz w:val="20"/>
              </w:rPr>
            </w:pPr>
            <w:r w:rsidRPr="00C82ED0">
              <w:rPr>
                <w:sz w:val="20"/>
              </w:rPr>
              <w:t>Canada</w:t>
            </w:r>
          </w:p>
        </w:tc>
        <w:tc>
          <w:tcPr>
            <w:tcW w:w="1915" w:type="dxa"/>
          </w:tcPr>
          <w:p w14:paraId="2DC2AC77" w14:textId="6FA9E75F" w:rsidR="00B62751" w:rsidRPr="00C82ED0" w:rsidRDefault="00B62751" w:rsidP="00B62751">
            <w:pPr>
              <w:ind w:left="0"/>
              <w:rPr>
                <w:sz w:val="20"/>
              </w:rPr>
            </w:pPr>
            <w:r w:rsidRPr="00C82ED0">
              <w:rPr>
                <w:sz w:val="20"/>
              </w:rPr>
              <w:t>23 October 2020</w:t>
            </w:r>
          </w:p>
        </w:tc>
        <w:tc>
          <w:tcPr>
            <w:tcW w:w="1917" w:type="dxa"/>
          </w:tcPr>
          <w:p w14:paraId="15FDDBEC" w14:textId="77777777" w:rsidR="00B62751" w:rsidRDefault="00BB77AA">
            <w:pPr>
              <w:ind w:left="0"/>
              <w:rPr>
                <w:sz w:val="20"/>
              </w:rPr>
            </w:pPr>
            <w:r>
              <w:rPr>
                <w:sz w:val="20"/>
              </w:rPr>
              <w:t>Approved</w:t>
            </w:r>
          </w:p>
          <w:p w14:paraId="205F2E98" w14:textId="11F61DBE" w:rsidR="00A51B66" w:rsidRPr="00C82ED0" w:rsidRDefault="00A51B66" w:rsidP="00362371">
            <w:pPr>
              <w:ind w:left="0"/>
              <w:rPr>
                <w:sz w:val="20"/>
              </w:rPr>
            </w:pPr>
            <w:r>
              <w:rPr>
                <w:sz w:val="20"/>
              </w:rPr>
              <w:t>6 Oct</w:t>
            </w:r>
            <w:r w:rsidR="009A0394">
              <w:rPr>
                <w:sz w:val="20"/>
              </w:rPr>
              <w:t>ober</w:t>
            </w:r>
            <w:r>
              <w:rPr>
                <w:sz w:val="20"/>
              </w:rPr>
              <w:t xml:space="preserve"> 2021</w:t>
            </w:r>
          </w:p>
        </w:tc>
        <w:tc>
          <w:tcPr>
            <w:tcW w:w="3573" w:type="dxa"/>
          </w:tcPr>
          <w:p w14:paraId="7E8B3D21" w14:textId="0670BF1B" w:rsidR="00B62751" w:rsidRPr="00C82ED0" w:rsidRDefault="00DD74F9" w:rsidP="00B62751">
            <w:pPr>
              <w:ind w:left="0"/>
              <w:rPr>
                <w:sz w:val="20"/>
              </w:rPr>
            </w:pPr>
            <w:r w:rsidRPr="00167DF2">
              <w:rPr>
                <w:i/>
                <w:sz w:val="20"/>
              </w:rPr>
              <w:t xml:space="preserve">Rinvoq </w:t>
            </w:r>
            <w:r w:rsidR="00167DF2" w:rsidRPr="00167DF2">
              <w:rPr>
                <w:i/>
                <w:sz w:val="20"/>
              </w:rPr>
              <w:t>is indicated for the treatment of adults and adolescents 12 years of age and older with refractory moderate to severe atopic dermatitis (AD) who are not adequately controlled with a systemic treatment (e.g., steroid or biologic) or when use of those therapies is inadvisable.</w:t>
            </w:r>
          </w:p>
        </w:tc>
      </w:tr>
      <w:tr w:rsidR="00B62751" w:rsidRPr="00C82ED0" w14:paraId="15422F43" w14:textId="77777777" w:rsidTr="00362371">
        <w:tc>
          <w:tcPr>
            <w:tcW w:w="1410" w:type="dxa"/>
          </w:tcPr>
          <w:p w14:paraId="3BE4297F" w14:textId="223BD38A" w:rsidR="00B62751" w:rsidRPr="00C82ED0" w:rsidRDefault="00B62751" w:rsidP="00B62751">
            <w:pPr>
              <w:ind w:left="0"/>
              <w:rPr>
                <w:sz w:val="20"/>
              </w:rPr>
            </w:pPr>
            <w:r w:rsidRPr="00C82ED0">
              <w:rPr>
                <w:sz w:val="20"/>
              </w:rPr>
              <w:t>New Zealand</w:t>
            </w:r>
          </w:p>
        </w:tc>
        <w:tc>
          <w:tcPr>
            <w:tcW w:w="1915" w:type="dxa"/>
          </w:tcPr>
          <w:p w14:paraId="3B18BB70" w14:textId="3A9CCA58" w:rsidR="00B62751" w:rsidRPr="00C82ED0" w:rsidRDefault="007F238F" w:rsidP="00B62751">
            <w:pPr>
              <w:ind w:left="0"/>
              <w:rPr>
                <w:sz w:val="20"/>
              </w:rPr>
            </w:pPr>
            <w:r>
              <w:rPr>
                <w:sz w:val="20"/>
              </w:rPr>
              <w:t>2</w:t>
            </w:r>
            <w:r w:rsidR="00167DF2">
              <w:rPr>
                <w:sz w:val="20"/>
              </w:rPr>
              <w:t>5</w:t>
            </w:r>
            <w:r w:rsidR="00DD74F9">
              <w:rPr>
                <w:sz w:val="20"/>
              </w:rPr>
              <w:t xml:space="preserve"> </w:t>
            </w:r>
            <w:r>
              <w:rPr>
                <w:sz w:val="20"/>
              </w:rPr>
              <w:t>November 2020</w:t>
            </w:r>
          </w:p>
        </w:tc>
        <w:tc>
          <w:tcPr>
            <w:tcW w:w="1917" w:type="dxa"/>
          </w:tcPr>
          <w:p w14:paraId="78A88A2C" w14:textId="77777777" w:rsidR="00B62751" w:rsidRDefault="005B31E1">
            <w:pPr>
              <w:ind w:left="0"/>
              <w:rPr>
                <w:sz w:val="20"/>
              </w:rPr>
            </w:pPr>
            <w:r>
              <w:rPr>
                <w:sz w:val="20"/>
              </w:rPr>
              <w:t>Approved</w:t>
            </w:r>
          </w:p>
          <w:p w14:paraId="170A2B0B" w14:textId="2C0B721A" w:rsidR="00A51B66" w:rsidRDefault="00A51B66" w:rsidP="00A51B66">
            <w:pPr>
              <w:ind w:left="0"/>
              <w:rPr>
                <w:sz w:val="20"/>
              </w:rPr>
            </w:pPr>
            <w:r>
              <w:rPr>
                <w:sz w:val="20"/>
              </w:rPr>
              <w:t>5 Aug</w:t>
            </w:r>
            <w:r w:rsidR="009A0394">
              <w:rPr>
                <w:sz w:val="20"/>
              </w:rPr>
              <w:t>ust</w:t>
            </w:r>
            <w:r>
              <w:rPr>
                <w:sz w:val="20"/>
              </w:rPr>
              <w:t xml:space="preserve"> 2021 (15 mg);</w:t>
            </w:r>
          </w:p>
          <w:p w14:paraId="3EDB8A69" w14:textId="1A758C21" w:rsidR="00A51B66" w:rsidRPr="00C82ED0" w:rsidRDefault="00A51B66" w:rsidP="00362371">
            <w:pPr>
              <w:ind w:left="0"/>
              <w:rPr>
                <w:sz w:val="20"/>
              </w:rPr>
            </w:pPr>
            <w:r>
              <w:rPr>
                <w:sz w:val="20"/>
              </w:rPr>
              <w:t>20 Jan</w:t>
            </w:r>
            <w:r w:rsidR="009A0394">
              <w:rPr>
                <w:sz w:val="20"/>
              </w:rPr>
              <w:t>uary</w:t>
            </w:r>
            <w:r>
              <w:rPr>
                <w:sz w:val="20"/>
              </w:rPr>
              <w:t xml:space="preserve"> 2022 (30 mg)</w:t>
            </w:r>
          </w:p>
        </w:tc>
        <w:tc>
          <w:tcPr>
            <w:tcW w:w="3573" w:type="dxa"/>
          </w:tcPr>
          <w:p w14:paraId="0759A601" w14:textId="454713DC" w:rsidR="00B62751" w:rsidRPr="00740323" w:rsidRDefault="005B31E1" w:rsidP="00006FAB">
            <w:pPr>
              <w:ind w:left="0"/>
              <w:rPr>
                <w:i/>
                <w:iCs/>
                <w:sz w:val="20"/>
              </w:rPr>
            </w:pPr>
            <w:r w:rsidRPr="00740323">
              <w:rPr>
                <w:i/>
                <w:iCs/>
                <w:sz w:val="20"/>
              </w:rPr>
              <w:t>Rinvoq is indicated for the treatment of adults and adolescents 12 years and older with moderate to severe atopic dermatitis who are candidates for systemic therapy.</w:t>
            </w:r>
          </w:p>
        </w:tc>
      </w:tr>
      <w:tr w:rsidR="00B62751" w:rsidRPr="00C82ED0" w14:paraId="79E6F77D" w14:textId="77777777" w:rsidTr="00362371">
        <w:tc>
          <w:tcPr>
            <w:tcW w:w="1410" w:type="dxa"/>
          </w:tcPr>
          <w:p w14:paraId="7364923A" w14:textId="0C1096ED" w:rsidR="00B62751" w:rsidRPr="00C82ED0" w:rsidRDefault="00B62751" w:rsidP="00B62751">
            <w:pPr>
              <w:ind w:left="0"/>
              <w:rPr>
                <w:sz w:val="20"/>
              </w:rPr>
            </w:pPr>
            <w:r w:rsidRPr="00C82ED0">
              <w:rPr>
                <w:sz w:val="20"/>
              </w:rPr>
              <w:t>Singapore</w:t>
            </w:r>
          </w:p>
        </w:tc>
        <w:tc>
          <w:tcPr>
            <w:tcW w:w="1915" w:type="dxa"/>
          </w:tcPr>
          <w:p w14:paraId="744ABB32" w14:textId="65B5FB25" w:rsidR="00B62751" w:rsidRPr="00C82ED0" w:rsidRDefault="00167DF2" w:rsidP="00362371">
            <w:pPr>
              <w:ind w:left="0"/>
              <w:rPr>
                <w:sz w:val="20"/>
              </w:rPr>
            </w:pPr>
            <w:r>
              <w:rPr>
                <w:sz w:val="20"/>
              </w:rPr>
              <w:t>31 August 2021</w:t>
            </w:r>
          </w:p>
        </w:tc>
        <w:tc>
          <w:tcPr>
            <w:tcW w:w="1917" w:type="dxa"/>
          </w:tcPr>
          <w:p w14:paraId="6EB1FF55" w14:textId="77777777" w:rsidR="00B62751" w:rsidRDefault="00167DF2" w:rsidP="00362371">
            <w:pPr>
              <w:ind w:left="0"/>
              <w:rPr>
                <w:sz w:val="20"/>
              </w:rPr>
            </w:pPr>
            <w:r>
              <w:rPr>
                <w:sz w:val="20"/>
              </w:rPr>
              <w:t>Approved</w:t>
            </w:r>
          </w:p>
          <w:p w14:paraId="71FC5E61" w14:textId="3D38FF90" w:rsidR="00A51B66" w:rsidRPr="00C82ED0" w:rsidRDefault="00A51B66" w:rsidP="00362371">
            <w:pPr>
              <w:ind w:left="0"/>
              <w:rPr>
                <w:sz w:val="20"/>
              </w:rPr>
            </w:pPr>
            <w:r>
              <w:rPr>
                <w:sz w:val="20"/>
              </w:rPr>
              <w:t>21 Jun</w:t>
            </w:r>
            <w:r w:rsidR="00DD74F9">
              <w:rPr>
                <w:sz w:val="20"/>
              </w:rPr>
              <w:t>e</w:t>
            </w:r>
            <w:r>
              <w:rPr>
                <w:sz w:val="20"/>
              </w:rPr>
              <w:t xml:space="preserve"> 2022</w:t>
            </w:r>
          </w:p>
        </w:tc>
        <w:tc>
          <w:tcPr>
            <w:tcW w:w="3573" w:type="dxa"/>
          </w:tcPr>
          <w:p w14:paraId="79BD9AC2" w14:textId="4E252B02" w:rsidR="00B62751" w:rsidRPr="00C82ED0" w:rsidRDefault="00DD74F9" w:rsidP="00362371">
            <w:pPr>
              <w:ind w:left="0"/>
              <w:rPr>
                <w:sz w:val="20"/>
              </w:rPr>
            </w:pPr>
            <w:r w:rsidRPr="00362371">
              <w:rPr>
                <w:i/>
                <w:sz w:val="20"/>
              </w:rPr>
              <w:t xml:space="preserve">Rinvoq </w:t>
            </w:r>
            <w:r w:rsidR="00167DF2" w:rsidRPr="00362371">
              <w:rPr>
                <w:i/>
                <w:sz w:val="20"/>
              </w:rPr>
              <w:t>is indicated for the treatment of moderate to severe atopic dermatitis in adults and adolescents 12 years and older who are candidates for systemic therapy and whose disease is not adequately controlled with topical medications or for whom topical treatments are otherwise medically inadvisable</w:t>
            </w:r>
            <w:r w:rsidR="00167DF2" w:rsidRPr="00167DF2">
              <w:rPr>
                <w:sz w:val="20"/>
              </w:rPr>
              <w:t>.</w:t>
            </w:r>
            <w:r w:rsidR="00167DF2">
              <w:rPr>
                <w:sz w:val="20"/>
              </w:rPr>
              <w:t xml:space="preserve"> </w:t>
            </w:r>
          </w:p>
        </w:tc>
      </w:tr>
      <w:tr w:rsidR="00B62751" w:rsidRPr="00C82ED0" w14:paraId="10051BA6" w14:textId="77777777" w:rsidTr="00362371">
        <w:tc>
          <w:tcPr>
            <w:tcW w:w="1410" w:type="dxa"/>
          </w:tcPr>
          <w:p w14:paraId="0784B3A7" w14:textId="4B0B2F47" w:rsidR="00B62751" w:rsidRPr="00C82ED0" w:rsidRDefault="00B62751" w:rsidP="00B62751">
            <w:pPr>
              <w:ind w:left="0"/>
              <w:rPr>
                <w:sz w:val="20"/>
              </w:rPr>
            </w:pPr>
            <w:r w:rsidRPr="00C82ED0">
              <w:rPr>
                <w:sz w:val="20"/>
              </w:rPr>
              <w:lastRenderedPageBreak/>
              <w:t>Switzerland</w:t>
            </w:r>
          </w:p>
        </w:tc>
        <w:tc>
          <w:tcPr>
            <w:tcW w:w="1915" w:type="dxa"/>
          </w:tcPr>
          <w:p w14:paraId="08ECC7E4" w14:textId="714E6956" w:rsidR="00B62751" w:rsidRPr="00C82ED0" w:rsidRDefault="00B62751" w:rsidP="00B62751">
            <w:pPr>
              <w:ind w:left="0"/>
              <w:rPr>
                <w:sz w:val="20"/>
              </w:rPr>
            </w:pPr>
            <w:r w:rsidRPr="00C82ED0">
              <w:rPr>
                <w:sz w:val="20"/>
              </w:rPr>
              <w:t>16 October 2020</w:t>
            </w:r>
          </w:p>
        </w:tc>
        <w:tc>
          <w:tcPr>
            <w:tcW w:w="1917" w:type="dxa"/>
          </w:tcPr>
          <w:p w14:paraId="4E40AC0D" w14:textId="77777777" w:rsidR="00B62751" w:rsidRDefault="00167DF2" w:rsidP="00362371">
            <w:pPr>
              <w:ind w:left="0"/>
              <w:rPr>
                <w:sz w:val="20"/>
              </w:rPr>
            </w:pPr>
            <w:r>
              <w:rPr>
                <w:sz w:val="20"/>
              </w:rPr>
              <w:t>Approved</w:t>
            </w:r>
          </w:p>
          <w:p w14:paraId="7EBD2E78" w14:textId="4CAADC42" w:rsidR="00A51B66" w:rsidRPr="00C82ED0" w:rsidRDefault="00A51B66" w:rsidP="00362371">
            <w:pPr>
              <w:ind w:left="0"/>
              <w:rPr>
                <w:sz w:val="20"/>
              </w:rPr>
            </w:pPr>
            <w:r>
              <w:rPr>
                <w:sz w:val="20"/>
              </w:rPr>
              <w:t>26 Nov</w:t>
            </w:r>
            <w:r w:rsidR="00DD74F9">
              <w:rPr>
                <w:sz w:val="20"/>
              </w:rPr>
              <w:t>ember</w:t>
            </w:r>
            <w:r>
              <w:rPr>
                <w:sz w:val="20"/>
              </w:rPr>
              <w:t xml:space="preserve"> 2021</w:t>
            </w:r>
          </w:p>
        </w:tc>
        <w:tc>
          <w:tcPr>
            <w:tcW w:w="3573" w:type="dxa"/>
          </w:tcPr>
          <w:p w14:paraId="3AACBE16" w14:textId="242E46B2" w:rsidR="00B62751" w:rsidRPr="00C82ED0" w:rsidRDefault="00DD74F9" w:rsidP="00B62751">
            <w:pPr>
              <w:ind w:left="0"/>
              <w:rPr>
                <w:sz w:val="20"/>
              </w:rPr>
            </w:pPr>
            <w:r w:rsidRPr="00167DF2">
              <w:rPr>
                <w:i/>
                <w:sz w:val="20"/>
              </w:rPr>
              <w:t xml:space="preserve">Rinvoq </w:t>
            </w:r>
            <w:r w:rsidR="00167DF2" w:rsidRPr="00167DF2">
              <w:rPr>
                <w:i/>
                <w:sz w:val="20"/>
              </w:rPr>
              <w:t>is indicated for the treatment of moderate to severe atopic dermatitis in adults when conventional topical drug therapy does not provide adequate disease control or cannot be used.</w:t>
            </w:r>
          </w:p>
        </w:tc>
      </w:tr>
    </w:tbl>
    <w:p w14:paraId="2B52BA83" w14:textId="1D4845CF" w:rsidR="008E7846" w:rsidRDefault="008E7846" w:rsidP="00940A89">
      <w:pPr>
        <w:pStyle w:val="Heading3"/>
      </w:pPr>
      <w:bookmarkStart w:id="41" w:name="_Toc129093301"/>
      <w:r>
        <w:t>Product Information</w:t>
      </w:r>
      <w:bookmarkEnd w:id="37"/>
      <w:bookmarkEnd w:id="38"/>
      <w:bookmarkEnd w:id="41"/>
    </w:p>
    <w:p w14:paraId="5F0F31F8" w14:textId="2ECF80AA" w:rsidR="00332715" w:rsidRDefault="00332715" w:rsidP="000B0B48">
      <w:pPr>
        <w:rPr>
          <w:rStyle w:val="Hyperlink"/>
        </w:rPr>
      </w:pPr>
      <w:bookmarkStart w:id="42" w:name="_Toc504480011"/>
      <w:bookmarkStart w:id="43" w:name="_Toc247691506"/>
      <w:bookmarkStart w:id="44" w:name="_Toc314842487"/>
      <w:r>
        <w:t xml:space="preserve">The Product Information (PI) approved with the submission which is described in this AusPAR can be found as Attachment 1. For the most recent PI, please refer to the TGA </w:t>
      </w:r>
      <w:hyperlink r:id="rId15" w:history="1">
        <w:r>
          <w:rPr>
            <w:rStyle w:val="Hyperlink"/>
          </w:rPr>
          <w:t>PI/CMI search facility.</w:t>
        </w:r>
      </w:hyperlink>
    </w:p>
    <w:p w14:paraId="5FAC0123" w14:textId="4BFECF95" w:rsidR="00C82ED0" w:rsidRPr="00C82ED0" w:rsidRDefault="00C82ED0" w:rsidP="00C82ED0">
      <w:pPr>
        <w:spacing w:before="0" w:after="200" w:line="0" w:lineRule="auto"/>
        <w:rPr>
          <w:color w:val="0000FF"/>
          <w:u w:val="single"/>
        </w:rPr>
      </w:pPr>
      <w:r>
        <w:rPr>
          <w:rStyle w:val="Hyperlink"/>
        </w:rPr>
        <w:br w:type="page"/>
      </w:r>
    </w:p>
    <w:p w14:paraId="03C8D302" w14:textId="51E00A5B" w:rsidR="00500337" w:rsidRDefault="00500337" w:rsidP="00500337">
      <w:pPr>
        <w:pStyle w:val="Heading2"/>
      </w:pPr>
      <w:bookmarkStart w:id="45" w:name="_Toc129093302"/>
      <w:r>
        <w:lastRenderedPageBreak/>
        <w:t>Registration timeline</w:t>
      </w:r>
      <w:bookmarkEnd w:id="42"/>
      <w:bookmarkEnd w:id="45"/>
    </w:p>
    <w:p w14:paraId="017FB785" w14:textId="6946D960" w:rsidR="0074163C" w:rsidRPr="00C93EC1" w:rsidRDefault="0074163C" w:rsidP="0074163C">
      <w:r w:rsidRPr="00C93EC1">
        <w:t xml:space="preserve">The following table captures the key steps and dates for this </w:t>
      </w:r>
      <w:r w:rsidR="00804D99">
        <w:t>submission</w:t>
      </w:r>
      <w:r w:rsidRPr="00C93EC1">
        <w:t>.</w:t>
      </w:r>
    </w:p>
    <w:p w14:paraId="16B7DF93" w14:textId="5E840377" w:rsidR="0074163C" w:rsidRPr="00C82ED0" w:rsidRDefault="0074163C" w:rsidP="00C82ED0">
      <w:pPr>
        <w:pStyle w:val="TableTitle"/>
      </w:pPr>
      <w:r>
        <w:t xml:space="preserve">Table </w:t>
      </w:r>
      <w:fldSimple w:instr=" SEQ Table \* ARABIC ">
        <w:r w:rsidR="00B51532">
          <w:rPr>
            <w:noProof/>
          </w:rPr>
          <w:t>7</w:t>
        </w:r>
      </w:fldSimple>
      <w:r>
        <w:t>:</w:t>
      </w:r>
      <w:r w:rsidRPr="006A58A8">
        <w:t xml:space="preserve"> Timeline for Submission PM-20</w:t>
      </w:r>
      <w:r>
        <w:t>2</w:t>
      </w:r>
      <w:r w:rsidR="00C82ED0">
        <w:t>0-04791-1-1</w:t>
      </w:r>
    </w:p>
    <w:tbl>
      <w:tblPr>
        <w:tblStyle w:val="TableTGAblue"/>
        <w:tblW w:w="0" w:type="auto"/>
        <w:tblLook w:val="04A0" w:firstRow="1" w:lastRow="0" w:firstColumn="1" w:lastColumn="0" w:noHBand="0" w:noVBand="1"/>
      </w:tblPr>
      <w:tblGrid>
        <w:gridCol w:w="4255"/>
        <w:gridCol w:w="4239"/>
      </w:tblGrid>
      <w:tr w:rsidR="0074163C" w14:paraId="71577D1F" w14:textId="77777777" w:rsidTr="009E5A87">
        <w:trPr>
          <w:cnfStyle w:val="100000000000" w:firstRow="1" w:lastRow="0" w:firstColumn="0" w:lastColumn="0" w:oddVBand="0" w:evenVBand="0" w:oddHBand="0" w:evenHBand="0" w:firstRowFirstColumn="0" w:firstRowLastColumn="0" w:lastRowFirstColumn="0" w:lastRowLastColumn="0"/>
        </w:trPr>
        <w:tc>
          <w:tcPr>
            <w:tcW w:w="4360" w:type="dxa"/>
            <w:tcBorders>
              <w:top w:val="single" w:sz="4" w:space="0" w:color="auto"/>
              <w:left w:val="single" w:sz="4" w:space="0" w:color="auto"/>
              <w:bottom w:val="single" w:sz="4" w:space="0" w:color="auto"/>
              <w:right w:val="single" w:sz="4" w:space="0" w:color="auto"/>
            </w:tcBorders>
          </w:tcPr>
          <w:p w14:paraId="2708D6D5" w14:textId="77777777" w:rsidR="0074163C" w:rsidRDefault="0074163C" w:rsidP="009E5A87">
            <w:r>
              <w:t>Description</w:t>
            </w:r>
          </w:p>
        </w:tc>
        <w:tc>
          <w:tcPr>
            <w:tcW w:w="4360" w:type="dxa"/>
            <w:tcBorders>
              <w:top w:val="single" w:sz="4" w:space="0" w:color="auto"/>
              <w:left w:val="single" w:sz="4" w:space="0" w:color="auto"/>
              <w:bottom w:val="single" w:sz="4" w:space="0" w:color="auto"/>
              <w:right w:val="single" w:sz="4" w:space="0" w:color="auto"/>
            </w:tcBorders>
          </w:tcPr>
          <w:p w14:paraId="19266759" w14:textId="77777777" w:rsidR="0074163C" w:rsidRDefault="0074163C" w:rsidP="009E5A87">
            <w:r>
              <w:t>Date</w:t>
            </w:r>
          </w:p>
        </w:tc>
      </w:tr>
      <w:tr w:rsidR="0074163C" w14:paraId="48DAE205" w14:textId="77777777" w:rsidTr="009E5A87">
        <w:tc>
          <w:tcPr>
            <w:tcW w:w="4360" w:type="dxa"/>
            <w:tcBorders>
              <w:top w:val="single" w:sz="4" w:space="0" w:color="auto"/>
            </w:tcBorders>
          </w:tcPr>
          <w:p w14:paraId="44680C84" w14:textId="77777777" w:rsidR="0074163C" w:rsidRDefault="0074163C" w:rsidP="009E5A87">
            <w:r>
              <w:t>Submission dossier accepted and first round evaluation commenced</w:t>
            </w:r>
          </w:p>
        </w:tc>
        <w:tc>
          <w:tcPr>
            <w:tcW w:w="4360" w:type="dxa"/>
            <w:tcBorders>
              <w:top w:val="single" w:sz="4" w:space="0" w:color="auto"/>
            </w:tcBorders>
          </w:tcPr>
          <w:p w14:paraId="66B50056" w14:textId="5FBED57D" w:rsidR="0074163C" w:rsidRDefault="007850EA" w:rsidP="009E5A87">
            <w:r>
              <w:t>2 November 2020</w:t>
            </w:r>
          </w:p>
        </w:tc>
      </w:tr>
      <w:tr w:rsidR="0074163C" w14:paraId="5470C8F9" w14:textId="77777777" w:rsidTr="009E5A87">
        <w:tc>
          <w:tcPr>
            <w:tcW w:w="4360" w:type="dxa"/>
          </w:tcPr>
          <w:p w14:paraId="101DC08C" w14:textId="77777777" w:rsidR="0074163C" w:rsidRDefault="0074163C" w:rsidP="009E5A87">
            <w:r>
              <w:t>First round evaluation completed</w:t>
            </w:r>
          </w:p>
        </w:tc>
        <w:tc>
          <w:tcPr>
            <w:tcW w:w="4360" w:type="dxa"/>
          </w:tcPr>
          <w:p w14:paraId="60706F75" w14:textId="45DAD714" w:rsidR="0074163C" w:rsidRDefault="003E48BB" w:rsidP="009E5A87">
            <w:r>
              <w:t>30 March 2021</w:t>
            </w:r>
          </w:p>
        </w:tc>
      </w:tr>
      <w:tr w:rsidR="0074163C" w14:paraId="01AF9B73" w14:textId="77777777" w:rsidTr="009E5A87">
        <w:tc>
          <w:tcPr>
            <w:tcW w:w="4360" w:type="dxa"/>
          </w:tcPr>
          <w:p w14:paraId="05DAE0C3" w14:textId="77777777" w:rsidR="0074163C" w:rsidRDefault="0074163C" w:rsidP="009E5A87">
            <w:r>
              <w:t>Sponsor provides responses on questions raised in first round evaluation</w:t>
            </w:r>
          </w:p>
        </w:tc>
        <w:tc>
          <w:tcPr>
            <w:tcW w:w="4360" w:type="dxa"/>
          </w:tcPr>
          <w:p w14:paraId="38ED4652" w14:textId="777A02CA" w:rsidR="0074163C" w:rsidRDefault="003E48BB" w:rsidP="009E5A87">
            <w:r>
              <w:t>28 April 2021</w:t>
            </w:r>
          </w:p>
        </w:tc>
      </w:tr>
      <w:tr w:rsidR="0074163C" w14:paraId="4C20FD4F" w14:textId="77777777" w:rsidTr="009E5A87">
        <w:tc>
          <w:tcPr>
            <w:tcW w:w="4360" w:type="dxa"/>
          </w:tcPr>
          <w:p w14:paraId="48EB2E38" w14:textId="77777777" w:rsidR="0074163C" w:rsidRDefault="0074163C" w:rsidP="009E5A87">
            <w:r>
              <w:t>Second round evaluation completed</w:t>
            </w:r>
          </w:p>
        </w:tc>
        <w:tc>
          <w:tcPr>
            <w:tcW w:w="4360" w:type="dxa"/>
          </w:tcPr>
          <w:p w14:paraId="0158F0F8" w14:textId="42DB37CB" w:rsidR="0074163C" w:rsidRDefault="003E48BB" w:rsidP="009E5A87">
            <w:r>
              <w:t>24 May 2021</w:t>
            </w:r>
          </w:p>
        </w:tc>
      </w:tr>
      <w:tr w:rsidR="0074163C" w14:paraId="62CA5FAA" w14:textId="77777777" w:rsidTr="009E5A87">
        <w:tc>
          <w:tcPr>
            <w:tcW w:w="4360" w:type="dxa"/>
          </w:tcPr>
          <w:p w14:paraId="28A2A7C7" w14:textId="38C4781C" w:rsidR="0074163C" w:rsidRDefault="0074163C" w:rsidP="001A6327">
            <w:r>
              <w:t>Delegate’s Overall benefit-risk assessment</w:t>
            </w:r>
            <w:r w:rsidRPr="001A6327">
              <w:rPr>
                <w:color w:val="auto"/>
              </w:rPr>
              <w:t xml:space="preserve"> and reques</w:t>
            </w:r>
            <w:r w:rsidR="001A6327" w:rsidRPr="001A6327">
              <w:rPr>
                <w:color w:val="auto"/>
              </w:rPr>
              <w:t>t for Advisory Committee advice</w:t>
            </w:r>
          </w:p>
        </w:tc>
        <w:tc>
          <w:tcPr>
            <w:tcW w:w="4360" w:type="dxa"/>
          </w:tcPr>
          <w:p w14:paraId="030B47B3" w14:textId="7528B7AE" w:rsidR="0074163C" w:rsidRDefault="001A6327" w:rsidP="009E5A87">
            <w:r>
              <w:t>6 July 2021</w:t>
            </w:r>
          </w:p>
        </w:tc>
      </w:tr>
      <w:tr w:rsidR="0074163C" w14:paraId="7FEA49BC" w14:textId="77777777" w:rsidTr="009E5A87">
        <w:tc>
          <w:tcPr>
            <w:tcW w:w="4360" w:type="dxa"/>
          </w:tcPr>
          <w:p w14:paraId="08C4DB19" w14:textId="77777777" w:rsidR="0074163C" w:rsidRDefault="0074163C" w:rsidP="009E5A87">
            <w:r>
              <w:t>Sponsor’s pre-Advisory Committee response</w:t>
            </w:r>
          </w:p>
        </w:tc>
        <w:tc>
          <w:tcPr>
            <w:tcW w:w="4360" w:type="dxa"/>
          </w:tcPr>
          <w:p w14:paraId="03160C80" w14:textId="44AD2DD8" w:rsidR="0074163C" w:rsidRDefault="003E48BB" w:rsidP="009E5A87">
            <w:r>
              <w:t>19 July 2021</w:t>
            </w:r>
          </w:p>
        </w:tc>
      </w:tr>
      <w:tr w:rsidR="0074163C" w14:paraId="2C79699E" w14:textId="77777777" w:rsidTr="009E5A87">
        <w:tc>
          <w:tcPr>
            <w:tcW w:w="4360" w:type="dxa"/>
          </w:tcPr>
          <w:p w14:paraId="5A1BBD30" w14:textId="77777777" w:rsidR="0074163C" w:rsidRDefault="0074163C" w:rsidP="009E5A87">
            <w:r>
              <w:t>Advisory Committee meeting</w:t>
            </w:r>
          </w:p>
        </w:tc>
        <w:tc>
          <w:tcPr>
            <w:tcW w:w="4360" w:type="dxa"/>
          </w:tcPr>
          <w:p w14:paraId="7535CFFF" w14:textId="297EDDA9" w:rsidR="0074163C" w:rsidRDefault="001A6327" w:rsidP="009E5A87">
            <w:r>
              <w:t>6 August 2021</w:t>
            </w:r>
          </w:p>
        </w:tc>
      </w:tr>
      <w:tr w:rsidR="0074163C" w14:paraId="558C5431" w14:textId="77777777" w:rsidTr="009E5A87">
        <w:tc>
          <w:tcPr>
            <w:tcW w:w="4360" w:type="dxa"/>
          </w:tcPr>
          <w:p w14:paraId="48D58F2A" w14:textId="77777777" w:rsidR="0074163C" w:rsidRDefault="0074163C" w:rsidP="009E5A87">
            <w:r>
              <w:t>Registration decision (Outcome)</w:t>
            </w:r>
          </w:p>
        </w:tc>
        <w:tc>
          <w:tcPr>
            <w:tcW w:w="4360" w:type="dxa"/>
          </w:tcPr>
          <w:p w14:paraId="43E22403" w14:textId="09504C2A" w:rsidR="0074163C" w:rsidRDefault="00CE3E87" w:rsidP="009E5A87">
            <w:r>
              <w:t>17 September 2021</w:t>
            </w:r>
          </w:p>
        </w:tc>
      </w:tr>
      <w:tr w:rsidR="0074163C" w14:paraId="0921CDC8" w14:textId="77777777" w:rsidTr="009E5A87">
        <w:tc>
          <w:tcPr>
            <w:tcW w:w="4360" w:type="dxa"/>
          </w:tcPr>
          <w:p w14:paraId="0386B21F" w14:textId="77777777" w:rsidR="0074163C" w:rsidRDefault="0074163C" w:rsidP="009E5A87">
            <w:r w:rsidRPr="005A79F5">
              <w:t>Completion of administrative activities and registration on the ARTG</w:t>
            </w:r>
          </w:p>
        </w:tc>
        <w:tc>
          <w:tcPr>
            <w:tcW w:w="4360" w:type="dxa"/>
          </w:tcPr>
          <w:p w14:paraId="616C0C54" w14:textId="05FDEC66" w:rsidR="0074163C" w:rsidRDefault="00CE3E87" w:rsidP="009E5A87">
            <w:r>
              <w:t>20 September 2021</w:t>
            </w:r>
          </w:p>
        </w:tc>
      </w:tr>
      <w:tr w:rsidR="0074163C" w14:paraId="5D28453B" w14:textId="77777777" w:rsidTr="009E5A87">
        <w:tc>
          <w:tcPr>
            <w:tcW w:w="4360" w:type="dxa"/>
          </w:tcPr>
          <w:p w14:paraId="70E02E45" w14:textId="77777777" w:rsidR="0074163C" w:rsidRDefault="0074163C" w:rsidP="009E5A87">
            <w:r>
              <w:t>Number of working days from submission dossier acceptance to registration decision*</w:t>
            </w:r>
          </w:p>
        </w:tc>
        <w:tc>
          <w:tcPr>
            <w:tcW w:w="4360" w:type="dxa"/>
          </w:tcPr>
          <w:p w14:paraId="635C0B3E" w14:textId="17208A87" w:rsidR="0074163C" w:rsidRDefault="007850EA" w:rsidP="009E5A87">
            <w:r>
              <w:t>197</w:t>
            </w:r>
          </w:p>
        </w:tc>
      </w:tr>
    </w:tbl>
    <w:p w14:paraId="6CF4BE00" w14:textId="6272BB93" w:rsidR="0074163C" w:rsidRDefault="0074163C" w:rsidP="0074163C">
      <w:pPr>
        <w:pStyle w:val="TableDescription"/>
      </w:pPr>
      <w:r>
        <w:t>*</w:t>
      </w:r>
      <w:r w:rsidRPr="00BF3774">
        <w:t xml:space="preserve">Statutory </w:t>
      </w:r>
      <w:r>
        <w:t xml:space="preserve">timeframe for standard </w:t>
      </w:r>
      <w:r w:rsidR="00BB0B78">
        <w:t>submission</w:t>
      </w:r>
      <w:r>
        <w:t>s is 255 working days</w:t>
      </w:r>
    </w:p>
    <w:p w14:paraId="7FC1EB9F" w14:textId="3F5FAC7A" w:rsidR="008E7846" w:rsidRPr="00792A32" w:rsidRDefault="00006FAB" w:rsidP="008E7846">
      <w:pPr>
        <w:pStyle w:val="Heading2"/>
      </w:pPr>
      <w:bookmarkStart w:id="46" w:name="_Toc196046504"/>
      <w:bookmarkStart w:id="47" w:name="_Toc247691527"/>
      <w:bookmarkStart w:id="48" w:name="_Toc314842510"/>
      <w:bookmarkStart w:id="49" w:name="_Toc129093303"/>
      <w:bookmarkStart w:id="50" w:name="_Toc163441390"/>
      <w:bookmarkEnd w:id="43"/>
      <w:bookmarkEnd w:id="44"/>
      <w:bookmarkEnd w:id="1"/>
      <w:r w:rsidRPr="00006FAB">
        <w:t xml:space="preserve">Submission overview </w:t>
      </w:r>
      <w:r w:rsidR="008E7846" w:rsidRPr="00792A32">
        <w:t xml:space="preserve">and </w:t>
      </w:r>
      <w:r w:rsidR="008E7846">
        <w:t>r</w:t>
      </w:r>
      <w:r w:rsidR="008E7846" w:rsidRPr="00792A32">
        <w:t>isk/</w:t>
      </w:r>
      <w:r w:rsidR="008E7846">
        <w:t>b</w:t>
      </w:r>
      <w:r w:rsidR="008E7846" w:rsidRPr="00792A32">
        <w:t xml:space="preserve">enefit </w:t>
      </w:r>
      <w:r w:rsidR="008E7846">
        <w:t>a</w:t>
      </w:r>
      <w:r w:rsidR="008E7846" w:rsidRPr="00792A32">
        <w:t>ssessment</w:t>
      </w:r>
      <w:bookmarkEnd w:id="46"/>
      <w:bookmarkEnd w:id="47"/>
      <w:bookmarkEnd w:id="48"/>
      <w:bookmarkEnd w:id="49"/>
    </w:p>
    <w:p w14:paraId="1906126F" w14:textId="18FDEA08" w:rsidR="005A79F5" w:rsidRDefault="005A79F5" w:rsidP="0074163C">
      <w:pPr>
        <w:pStyle w:val="Instructions"/>
        <w:rPr>
          <w:i w:val="0"/>
          <w:color w:val="auto"/>
        </w:rPr>
      </w:pPr>
      <w:bookmarkStart w:id="51" w:name="_Toc247691528"/>
      <w:bookmarkStart w:id="52" w:name="_Toc314842511"/>
      <w:r w:rsidRPr="005A79F5">
        <w:rPr>
          <w:i w:val="0"/>
          <w:color w:val="auto"/>
        </w:rPr>
        <w:t>A summary of the TGA’s assessment for this submission is provided below</w:t>
      </w:r>
      <w:r>
        <w:rPr>
          <w:i w:val="0"/>
          <w:color w:val="auto"/>
        </w:rPr>
        <w:t>.</w:t>
      </w:r>
    </w:p>
    <w:p w14:paraId="79E0DA42" w14:textId="1C2CB670" w:rsidR="000B0B48" w:rsidRPr="00411900" w:rsidRDefault="000B0B48" w:rsidP="000B0B48">
      <w:pPr>
        <w:pStyle w:val="BodyText"/>
        <w:spacing w:before="126"/>
        <w:ind w:right="956"/>
        <w:rPr>
          <w:sz w:val="22"/>
          <w:szCs w:val="22"/>
        </w:rPr>
      </w:pPr>
      <w:r w:rsidRPr="00411900">
        <w:rPr>
          <w:sz w:val="22"/>
          <w:szCs w:val="22"/>
        </w:rPr>
        <w:t>There are no standardised guidelines for evaluation of systemic therapies for management of</w:t>
      </w:r>
      <w:r w:rsidRPr="00411900">
        <w:rPr>
          <w:spacing w:val="1"/>
          <w:sz w:val="22"/>
          <w:szCs w:val="22"/>
        </w:rPr>
        <w:t xml:space="preserve"> </w:t>
      </w:r>
      <w:r w:rsidRPr="00411900">
        <w:rPr>
          <w:sz w:val="22"/>
          <w:szCs w:val="22"/>
        </w:rPr>
        <w:t xml:space="preserve">atopic dermatitis. However, the </w:t>
      </w:r>
      <w:r>
        <w:rPr>
          <w:sz w:val="22"/>
          <w:szCs w:val="22"/>
        </w:rPr>
        <w:t>upadacitinib Phase III atopic dermatitis</w:t>
      </w:r>
      <w:r w:rsidRPr="00411900">
        <w:rPr>
          <w:sz w:val="22"/>
          <w:szCs w:val="22"/>
        </w:rPr>
        <w:t xml:space="preserve"> clinical development program was</w:t>
      </w:r>
      <w:r w:rsidRPr="00411900">
        <w:rPr>
          <w:spacing w:val="1"/>
          <w:sz w:val="22"/>
          <w:szCs w:val="22"/>
        </w:rPr>
        <w:t xml:space="preserve"> </w:t>
      </w:r>
      <w:r w:rsidRPr="00411900">
        <w:rPr>
          <w:sz w:val="22"/>
          <w:szCs w:val="22"/>
        </w:rPr>
        <w:t>designed in close collaboration with regulatory authorities, incorporating guidance and</w:t>
      </w:r>
      <w:r w:rsidRPr="00411900">
        <w:rPr>
          <w:spacing w:val="1"/>
          <w:sz w:val="22"/>
          <w:szCs w:val="22"/>
        </w:rPr>
        <w:t xml:space="preserve"> </w:t>
      </w:r>
      <w:r w:rsidRPr="00411900">
        <w:rPr>
          <w:sz w:val="22"/>
          <w:szCs w:val="22"/>
        </w:rPr>
        <w:t xml:space="preserve">scientific advice from the </w:t>
      </w:r>
      <w:r>
        <w:rPr>
          <w:sz w:val="22"/>
          <w:szCs w:val="22"/>
        </w:rPr>
        <w:t>US Food and Drug Administration (</w:t>
      </w:r>
      <w:r w:rsidRPr="00411900">
        <w:rPr>
          <w:sz w:val="22"/>
          <w:szCs w:val="22"/>
        </w:rPr>
        <w:t>FDA</w:t>
      </w:r>
      <w:r>
        <w:rPr>
          <w:sz w:val="22"/>
          <w:szCs w:val="22"/>
        </w:rPr>
        <w:t>)</w:t>
      </w:r>
      <w:r w:rsidRPr="00411900">
        <w:rPr>
          <w:sz w:val="22"/>
          <w:szCs w:val="22"/>
        </w:rPr>
        <w:t xml:space="preserve">, the </w:t>
      </w:r>
      <w:r>
        <w:rPr>
          <w:sz w:val="22"/>
          <w:szCs w:val="22"/>
        </w:rPr>
        <w:t xml:space="preserve">European Medicines Agency’s (EMA’s) </w:t>
      </w:r>
      <w:r w:rsidRPr="00411900">
        <w:rPr>
          <w:sz w:val="22"/>
          <w:szCs w:val="22"/>
        </w:rPr>
        <w:t>Committee for Medicinal Products for Human Use (CHMP),</w:t>
      </w:r>
      <w:r w:rsidRPr="00411900">
        <w:rPr>
          <w:spacing w:val="1"/>
          <w:sz w:val="22"/>
          <w:szCs w:val="22"/>
        </w:rPr>
        <w:t xml:space="preserve"> </w:t>
      </w:r>
      <w:r w:rsidRPr="00411900">
        <w:rPr>
          <w:sz w:val="22"/>
          <w:szCs w:val="22"/>
        </w:rPr>
        <w:t>and the Japanese Pharmaceutical and Medical Devices Agency</w:t>
      </w:r>
      <w:r>
        <w:rPr>
          <w:sz w:val="22"/>
          <w:szCs w:val="22"/>
        </w:rPr>
        <w:t xml:space="preserve"> (PMDA)</w:t>
      </w:r>
      <w:r w:rsidR="00A41785">
        <w:rPr>
          <w:sz w:val="22"/>
          <w:szCs w:val="22"/>
        </w:rPr>
        <w:t>.</w:t>
      </w:r>
    </w:p>
    <w:p w14:paraId="4C7D349B" w14:textId="7A142E19" w:rsidR="000B0B48" w:rsidRPr="000B0B48" w:rsidRDefault="000B0B48" w:rsidP="000B0B48">
      <w:r w:rsidRPr="000B0B48">
        <w:t>The clinical evaluation has also considered the Consensus-based European guidelines for treatment of atopic eczema (atopic dermatitis) in adults and children (Parts I and II);</w:t>
      </w:r>
      <w:r w:rsidRPr="000B0B48">
        <w:rPr>
          <w:vertAlign w:val="superscript"/>
        </w:rPr>
        <w:fldChar w:fldCharType="begin"/>
      </w:r>
      <w:r w:rsidRPr="000B0B48">
        <w:rPr>
          <w:vertAlign w:val="superscript"/>
        </w:rPr>
        <w:instrText xml:space="preserve"> NOTEREF _Ref120627971 \h  \* MERGEFORMAT </w:instrText>
      </w:r>
      <w:r w:rsidRPr="000B0B48">
        <w:rPr>
          <w:vertAlign w:val="superscript"/>
        </w:rPr>
      </w:r>
      <w:r w:rsidRPr="000B0B48">
        <w:rPr>
          <w:vertAlign w:val="superscript"/>
        </w:rPr>
        <w:fldChar w:fldCharType="separate"/>
      </w:r>
      <w:r w:rsidR="00B51532">
        <w:rPr>
          <w:vertAlign w:val="superscript"/>
        </w:rPr>
        <w:t>20</w:t>
      </w:r>
      <w:r w:rsidRPr="000B0B48">
        <w:rPr>
          <w:vertAlign w:val="superscript"/>
        </w:rPr>
        <w:fldChar w:fldCharType="end"/>
      </w:r>
      <w:r w:rsidRPr="000B0B48">
        <w:rPr>
          <w:vertAlign w:val="superscript"/>
        </w:rPr>
        <w:t>,</w:t>
      </w:r>
      <w:r w:rsidRPr="000B0B48">
        <w:rPr>
          <w:vertAlign w:val="superscript"/>
        </w:rPr>
        <w:fldChar w:fldCharType="begin"/>
      </w:r>
      <w:r w:rsidRPr="000B0B48">
        <w:rPr>
          <w:vertAlign w:val="superscript"/>
        </w:rPr>
        <w:instrText xml:space="preserve"> NOTEREF _Ref120627974 \h  \* MERGEFORMAT </w:instrText>
      </w:r>
      <w:r w:rsidRPr="000B0B48">
        <w:rPr>
          <w:vertAlign w:val="superscript"/>
        </w:rPr>
      </w:r>
      <w:r w:rsidRPr="000B0B48">
        <w:rPr>
          <w:vertAlign w:val="superscript"/>
        </w:rPr>
        <w:fldChar w:fldCharType="separate"/>
      </w:r>
      <w:r w:rsidR="00B51532">
        <w:rPr>
          <w:vertAlign w:val="superscript"/>
        </w:rPr>
        <w:t>21</w:t>
      </w:r>
      <w:r w:rsidRPr="000B0B48">
        <w:rPr>
          <w:vertAlign w:val="superscript"/>
        </w:rPr>
        <w:fldChar w:fldCharType="end"/>
      </w:r>
      <w:r w:rsidRPr="000B0B48">
        <w:t xml:space="preserve"> during evaluation of this submission.</w:t>
      </w:r>
    </w:p>
    <w:p w14:paraId="2226105D" w14:textId="7AB9259B" w:rsidR="008E7846" w:rsidRDefault="008E7846" w:rsidP="008E7846">
      <w:pPr>
        <w:pStyle w:val="Heading3"/>
      </w:pPr>
      <w:bookmarkStart w:id="53" w:name="_Toc129093304"/>
      <w:r>
        <w:lastRenderedPageBreak/>
        <w:t>Quality</w:t>
      </w:r>
      <w:bookmarkEnd w:id="51"/>
      <w:bookmarkEnd w:id="52"/>
      <w:bookmarkEnd w:id="53"/>
    </w:p>
    <w:p w14:paraId="13F6D334" w14:textId="7BAEE1C9" w:rsidR="00324EB9" w:rsidRDefault="00324EB9" w:rsidP="002C0170">
      <w:r>
        <w:t>Rinvoq</w:t>
      </w:r>
      <w:r w:rsidR="002C0170">
        <w:t xml:space="preserve"> </w:t>
      </w:r>
      <w:r>
        <w:t>(</w:t>
      </w:r>
      <w:r w:rsidR="002C0170">
        <w:t>upadacitinib</w:t>
      </w:r>
      <w:r>
        <w:t>)</w:t>
      </w:r>
      <w:r w:rsidR="002C0170">
        <w:t xml:space="preserve"> 15 mg modified release tablets in blisters were approved by the TGA in January 2020</w:t>
      </w:r>
      <w:r>
        <w:t xml:space="preserve">. A full quality evaluation was conducted at the time this product received initial registration </w:t>
      </w:r>
      <w:r w:rsidR="002C0170">
        <w:t>(</w:t>
      </w:r>
      <w:r>
        <w:t xml:space="preserve">see the related AusPAR for submission </w:t>
      </w:r>
      <w:r w:rsidR="002C0170">
        <w:t>PM-2018-05603-1-3</w:t>
      </w:r>
      <w:r>
        <w:t xml:space="preserve"> for further details).</w:t>
      </w:r>
      <w:r w:rsidRPr="00324EB9">
        <w:rPr>
          <w:vertAlign w:val="superscript"/>
        </w:rPr>
        <w:fldChar w:fldCharType="begin"/>
      </w:r>
      <w:r w:rsidRPr="00324EB9">
        <w:rPr>
          <w:vertAlign w:val="superscript"/>
        </w:rPr>
        <w:instrText xml:space="preserve"> NOTEREF _Ref120630016 \h </w:instrText>
      </w:r>
      <w:r>
        <w:rPr>
          <w:vertAlign w:val="superscript"/>
        </w:rPr>
        <w:instrText xml:space="preserve"> \* MERGEFORMAT </w:instrText>
      </w:r>
      <w:r w:rsidRPr="00324EB9">
        <w:rPr>
          <w:vertAlign w:val="superscript"/>
        </w:rPr>
      </w:r>
      <w:r w:rsidRPr="00324EB9">
        <w:rPr>
          <w:vertAlign w:val="superscript"/>
        </w:rPr>
        <w:fldChar w:fldCharType="separate"/>
      </w:r>
      <w:r w:rsidR="00B51532">
        <w:rPr>
          <w:vertAlign w:val="superscript"/>
        </w:rPr>
        <w:t>29</w:t>
      </w:r>
      <w:r w:rsidRPr="00324EB9">
        <w:rPr>
          <w:vertAlign w:val="superscript"/>
        </w:rPr>
        <w:fldChar w:fldCharType="end"/>
      </w:r>
    </w:p>
    <w:p w14:paraId="535D48EE" w14:textId="75A3398E" w:rsidR="002C0170" w:rsidRDefault="00324EB9" w:rsidP="002C0170">
      <w:r>
        <w:t xml:space="preserve">With this submission to </w:t>
      </w:r>
      <w:r w:rsidR="002C0170">
        <w:t xml:space="preserve">extend the registered indications for the upadacitinib 15 mg </w:t>
      </w:r>
      <w:r>
        <w:t>modified release tablets, the sponsor also proposed to</w:t>
      </w:r>
      <w:r w:rsidR="002C0170">
        <w:t xml:space="preserve"> register a new strength</w:t>
      </w:r>
      <w:r>
        <w:t>, that is, Rinvoq (</w:t>
      </w:r>
      <w:r w:rsidR="002C0170">
        <w:t>upadacitinib</w:t>
      </w:r>
      <w:r>
        <w:t>)</w:t>
      </w:r>
      <w:r w:rsidR="002C0170">
        <w:t xml:space="preserve"> 30 mg</w:t>
      </w:r>
      <w:r>
        <w:t xml:space="preserve"> modified release tablets</w:t>
      </w:r>
      <w:r w:rsidR="002C0170">
        <w:t>, to facilitate once-daily dosi</w:t>
      </w:r>
      <w:r>
        <w:t>ng for atopic dermatitis.</w:t>
      </w:r>
    </w:p>
    <w:p w14:paraId="076C323B" w14:textId="676DABED" w:rsidR="002C0170" w:rsidRDefault="002C0170" w:rsidP="002C0170">
      <w:r>
        <w:t>The currently registered 15 mg upadacitinib modified release drug product appears as a purple, biconvex, oblong, film coated tablet with dimensions of 14 x 8 mm, and is debossed with ‘a15’ on one side.</w:t>
      </w:r>
    </w:p>
    <w:p w14:paraId="47F23A77" w14:textId="586A7736" w:rsidR="002C0170" w:rsidRDefault="002C0170" w:rsidP="002C0170">
      <w:r>
        <w:t>The proposed 30 mg upadacitinib modified release drug product appears as a red, biconvex, oblong, film coated tablet with dimensions of 14 x 8 mm, and is debossed with ‘a30’ on one side.</w:t>
      </w:r>
    </w:p>
    <w:p w14:paraId="18F77AD2" w14:textId="2353CEF4" w:rsidR="002C0170" w:rsidRDefault="00324EB9" w:rsidP="002C0170">
      <w:r>
        <w:t xml:space="preserve">The tablets are not scored. </w:t>
      </w:r>
      <w:r w:rsidR="002C0170">
        <w:t>The tablets are to be taken with or without food, swallowed whole and not split, crushed or chewed</w:t>
      </w:r>
    </w:p>
    <w:p w14:paraId="466B0F0B" w14:textId="1CC43E0D" w:rsidR="002C0170" w:rsidRDefault="00324EB9" w:rsidP="002C0170">
      <w:r>
        <w:t xml:space="preserve">The proposed packaging are </w:t>
      </w:r>
      <w:r w:rsidR="002C0170">
        <w:t>blister p</w:t>
      </w:r>
      <w:r>
        <w:t>acks containing 7 tablets as a ‘starter pack’</w:t>
      </w:r>
      <w:r w:rsidR="002C0170">
        <w:t>,</w:t>
      </w:r>
      <w:r>
        <w:t xml:space="preserve"> or containing 28 tablets as a ‘monthly pack’</w:t>
      </w:r>
      <w:r w:rsidR="002C0170">
        <w:t>.</w:t>
      </w:r>
    </w:p>
    <w:p w14:paraId="2F8D4334" w14:textId="17B7C8F4" w:rsidR="00324EB9" w:rsidRDefault="00940710" w:rsidP="00940710">
      <w:pPr>
        <w:pStyle w:val="Heading4"/>
      </w:pPr>
      <w:r>
        <w:t>New strength formulation</w:t>
      </w:r>
    </w:p>
    <w:p w14:paraId="48D1D1F4" w14:textId="20D8DD41" w:rsidR="00324EB9" w:rsidRDefault="00324EB9" w:rsidP="00324EB9">
      <w:r>
        <w:t>An additional strength (30 mg) of the Rinvoq upadacitinib modified release tablets is proposed for registration</w:t>
      </w:r>
      <w:r w:rsidR="009A0394">
        <w:t xml:space="preserve">. The 30 mg tablets </w:t>
      </w:r>
      <w:r>
        <w:t>contains 30.7 mg upadacitinib (hemihydrate) equivalent to 30.0 mg upadacitinib (anhydrous). The tablet strengths (15 mg versus 30</w:t>
      </w:r>
      <w:r w:rsidR="009A0394">
        <w:t> </w:t>
      </w:r>
      <w:r>
        <w:t xml:space="preserve">mg) are easily distinguishable from one another in terms of </w:t>
      </w:r>
      <w:r w:rsidR="009A0394">
        <w:t xml:space="preserve">the </w:t>
      </w:r>
      <w:r>
        <w:t>colour and debossing used.</w:t>
      </w:r>
    </w:p>
    <w:p w14:paraId="46217439" w14:textId="0B2D078C" w:rsidR="00324EB9" w:rsidRDefault="00324EB9" w:rsidP="00324EB9">
      <w:r>
        <w:t>The tablets are manufactured using a conventional wet granulation followed by milling, blending, tableting and coating manufacturing process which is identical to that registered for the 15 mg strength tablet. The drug substance is highly soluble, and whilst particle size is controlled to a two tier limit it does not impact on the release rate of the drug substance from the dosage form.</w:t>
      </w:r>
    </w:p>
    <w:p w14:paraId="0C74827B" w14:textId="33958B14" w:rsidR="00324EB9" w:rsidRDefault="00324EB9" w:rsidP="00324EB9">
      <w:r>
        <w:t xml:space="preserve">Good </w:t>
      </w:r>
      <w:r w:rsidR="009A0394">
        <w:t>M</w:t>
      </w:r>
      <w:r>
        <w:t xml:space="preserve">anufacturing </w:t>
      </w:r>
      <w:r w:rsidR="009A0394">
        <w:t>P</w:t>
      </w:r>
      <w:r>
        <w:t>ractice (GMP) clearances for the drug substance and drug product manufacturing sites are considered acceptable.</w:t>
      </w:r>
    </w:p>
    <w:p w14:paraId="6CBE5F01" w14:textId="036E31B2" w:rsidR="00324EB9" w:rsidRDefault="00324EB9" w:rsidP="00324EB9">
      <w:r>
        <w:t>The quality of the drug products are controlled by specifications that include tests and limits for description, identification (by UV and HPLC), a</w:t>
      </w:r>
      <w:r w:rsidR="00940710">
        <w:t>ssay (by HPLC), d</w:t>
      </w:r>
      <w:r>
        <w:t>egradation products (by HPLC), water content, dissolu</w:t>
      </w:r>
      <w:r w:rsidR="00940710">
        <w:t>tion and uniformity of dosage. G</w:t>
      </w:r>
      <w:r>
        <w:t>ranulation, average and individual tablet weight and hardness are controlled during the manufacturing process.</w:t>
      </w:r>
    </w:p>
    <w:p w14:paraId="5E4F9DA7" w14:textId="0B055663" w:rsidR="00324EB9" w:rsidRDefault="00324EB9" w:rsidP="00324EB9">
      <w:r>
        <w:t>The new 30 mg strength demonstrated stability under long-term conditions and there was no evidence of any significant physical or chemical change after 36 months in the batches tested.</w:t>
      </w:r>
    </w:p>
    <w:p w14:paraId="2F5FE5E9" w14:textId="5F4A2712" w:rsidR="00324EB9" w:rsidRDefault="00324EB9" w:rsidP="00324EB9">
      <w:r>
        <w:t xml:space="preserve">The release and expiry limits are the same as those specified for the 15 mg </w:t>
      </w:r>
      <w:r w:rsidR="00940710">
        <w:t>Rinvoq</w:t>
      </w:r>
      <w:r>
        <w:t xml:space="preserve"> upadacitinib modified release tablet.</w:t>
      </w:r>
    </w:p>
    <w:p w14:paraId="0D03F81C" w14:textId="66CFB874" w:rsidR="00324EB9" w:rsidRDefault="00324EB9" w:rsidP="00324EB9">
      <w:r>
        <w:t xml:space="preserve">The </w:t>
      </w:r>
      <w:r w:rsidRPr="00940710">
        <w:rPr>
          <w:i/>
        </w:rPr>
        <w:t>in vitro</w:t>
      </w:r>
      <w:r w:rsidR="00940710">
        <w:t xml:space="preserve"> d</w:t>
      </w:r>
      <w:r>
        <w:t xml:space="preserve">issolution test method is identical to that used </w:t>
      </w:r>
      <w:r w:rsidR="00940710">
        <w:t xml:space="preserve">for the currently registered 15 mg Rinvoq </w:t>
      </w:r>
      <w:r>
        <w:t>upadacitinib modified release tablet, is discriminatory, and consistent with a ‘modified release’ drug product, a three tier dissolution l</w:t>
      </w:r>
      <w:r w:rsidR="00940710">
        <w:t>imit is applied. The proposed d</w:t>
      </w:r>
      <w:r>
        <w:t>issolution limits are supported by dissolution data for the clinical study batches.</w:t>
      </w:r>
    </w:p>
    <w:p w14:paraId="6C520331" w14:textId="77777777" w:rsidR="00324EB9" w:rsidRDefault="00324EB9" w:rsidP="00324EB9">
      <w:r>
        <w:lastRenderedPageBreak/>
        <w:t>All test parameters and limits proposed for the drug product specifications are considered acceptable.</w:t>
      </w:r>
    </w:p>
    <w:p w14:paraId="21515169" w14:textId="77777777" w:rsidR="00324EB9" w:rsidRDefault="00324EB9" w:rsidP="00324EB9">
      <w:r>
        <w:t>The analytical methods used to analyse the drug products were adequately described and validated.</w:t>
      </w:r>
    </w:p>
    <w:p w14:paraId="47ACDE1E" w14:textId="5082D777" w:rsidR="00324EB9" w:rsidRDefault="00324EB9" w:rsidP="00324EB9">
      <w:r>
        <w:t>The proposed commercial containe</w:t>
      </w:r>
      <w:r w:rsidR="00940710">
        <w:t xml:space="preserve">r closure system for the Rinvoq </w:t>
      </w:r>
      <w:r>
        <w:t>30 mg drug product is PVC/PE/PCTFE (Aclar) film and aluminium push-through foil blister cards and is identi</w:t>
      </w:r>
      <w:r w:rsidR="00940710">
        <w:t xml:space="preserve">cal to that used for the Rinvoq </w:t>
      </w:r>
      <w:r>
        <w:t xml:space="preserve">15 mg drug product. Each </w:t>
      </w:r>
      <w:r w:rsidR="00940710">
        <w:t xml:space="preserve">blister card contains seven </w:t>
      </w:r>
      <w:r>
        <w:t>tablets, equiva</w:t>
      </w:r>
      <w:r w:rsidR="00940710">
        <w:t xml:space="preserve">lent to a weekly dose. One </w:t>
      </w:r>
      <w:r>
        <w:t>blister card is packaged in a weekl</w:t>
      </w:r>
      <w:r w:rsidR="00940710">
        <w:t>y carton and four </w:t>
      </w:r>
      <w:r>
        <w:t>blister cards are packaged in a monthly carton (</w:t>
      </w:r>
      <w:r w:rsidR="00940710">
        <w:t>that is,</w:t>
      </w:r>
      <w:r>
        <w:t xml:space="preserve"> 28 tablets).</w:t>
      </w:r>
    </w:p>
    <w:p w14:paraId="4DD20ED9" w14:textId="77777777" w:rsidR="00324EB9" w:rsidRDefault="00324EB9" w:rsidP="00324EB9">
      <w:r>
        <w:t>The Product Information (PI) document is finalised from a pharmaceutical chemistry and quality control perspective.</w:t>
      </w:r>
    </w:p>
    <w:p w14:paraId="0E906E88" w14:textId="7F18C9F0" w:rsidR="00324EB9" w:rsidRDefault="00324EB9" w:rsidP="00324EB9">
      <w:r>
        <w:t>The Product Labelling has been finalised from a pharmaceutical chemistry perspective and complies with the requirements of</w:t>
      </w:r>
      <w:r w:rsidR="00032647">
        <w:t xml:space="preserve"> </w:t>
      </w:r>
      <w:r w:rsidR="00032647" w:rsidRPr="00032647">
        <w:t>Therapeutic Goods Order No. 91 - Standard for labels of prescription and related medicines</w:t>
      </w:r>
      <w:r>
        <w:t xml:space="preserve"> </w:t>
      </w:r>
      <w:r w:rsidR="00032647">
        <w:t>(</w:t>
      </w:r>
      <w:hyperlink r:id="rId16" w:history="1">
        <w:r w:rsidRPr="00032647">
          <w:rPr>
            <w:rStyle w:val="Hyperlink"/>
          </w:rPr>
          <w:t>TGO 91</w:t>
        </w:r>
      </w:hyperlink>
      <w:r w:rsidR="00032647">
        <w:t>)</w:t>
      </w:r>
      <w:r>
        <w:t>.</w:t>
      </w:r>
    </w:p>
    <w:p w14:paraId="55ED06C3" w14:textId="77777777" w:rsidR="00324EB9" w:rsidRDefault="00324EB9" w:rsidP="00940710">
      <w:pPr>
        <w:pStyle w:val="Heading4"/>
      </w:pPr>
      <w:r>
        <w:t>Biopharmaceutics</w:t>
      </w:r>
    </w:p>
    <w:p w14:paraId="012938E4" w14:textId="428CEFE5" w:rsidR="00324EB9" w:rsidRDefault="00324EB9" w:rsidP="00324EB9">
      <w:r>
        <w:t xml:space="preserve">The </w:t>
      </w:r>
      <w:r w:rsidR="00940710">
        <w:t xml:space="preserve">Rinvoq </w:t>
      </w:r>
      <w:r>
        <w:t>30 mg market-image upadacitinib formulation was found to be bioequivale</w:t>
      </w:r>
      <w:r w:rsidR="00940710">
        <w:t xml:space="preserve">nt to the 30 mg strength Phase III formulation </w:t>
      </w:r>
      <w:r>
        <w:t>under fasting conditions and after a high-fat/high-calorie meal.</w:t>
      </w:r>
    </w:p>
    <w:p w14:paraId="25783256" w14:textId="459AEF3C" w:rsidR="00324EB9" w:rsidRDefault="00940710" w:rsidP="00940710">
      <w:pPr>
        <w:pStyle w:val="Heading4"/>
      </w:pPr>
      <w:r>
        <w:t>Conclusion</w:t>
      </w:r>
    </w:p>
    <w:p w14:paraId="4E1FACC6" w14:textId="0F2FC6DE" w:rsidR="00324EB9" w:rsidRDefault="00324EB9" w:rsidP="00324EB9">
      <w:r>
        <w:t>Approval is recommended from a pharmaceutical chemistry and quality control perspective.</w:t>
      </w:r>
    </w:p>
    <w:p w14:paraId="522AD1A2" w14:textId="11555A50" w:rsidR="00EA1F71" w:rsidRDefault="008E7846" w:rsidP="00EA1F71">
      <w:pPr>
        <w:pStyle w:val="Heading3"/>
      </w:pPr>
      <w:bookmarkStart w:id="54" w:name="_Toc314842512"/>
      <w:bookmarkStart w:id="55" w:name="_Toc129093305"/>
      <w:r>
        <w:t>Nonclinical</w:t>
      </w:r>
      <w:bookmarkEnd w:id="54"/>
      <w:bookmarkEnd w:id="55"/>
    </w:p>
    <w:p w14:paraId="4FB90C44" w14:textId="49DACF99" w:rsidR="00EA1F71" w:rsidRPr="00546A5D" w:rsidRDefault="00EA1F71" w:rsidP="00EA1F71">
      <w:r>
        <w:rPr>
          <w:rFonts w:eastAsia="MS Mincho"/>
        </w:rPr>
        <w:t xml:space="preserve">The sponsor </w:t>
      </w:r>
      <w:r w:rsidRPr="00EA1F71">
        <w:t>has</w:t>
      </w:r>
      <w:r>
        <w:rPr>
          <w:rFonts w:eastAsia="MS Mincho"/>
        </w:rPr>
        <w:t xml:space="preserve"> submitted an application to extend the indications for Rinvoq</w:t>
      </w:r>
      <w:r w:rsidRPr="008A299E">
        <w:rPr>
          <w:b/>
          <w:smallCaps/>
          <w:position w:val="5"/>
          <w:sz w:val="13"/>
          <w:szCs w:val="13"/>
        </w:rPr>
        <w:t xml:space="preserve"> </w:t>
      </w:r>
      <w:r>
        <w:rPr>
          <w:rFonts w:eastAsia="MS Mincho"/>
        </w:rPr>
        <w:t xml:space="preserve">(upadacitinib) </w:t>
      </w:r>
      <w:r w:rsidRPr="008B5198">
        <w:t>to include</w:t>
      </w:r>
      <w:r>
        <w:t xml:space="preserve"> </w:t>
      </w:r>
      <w:r w:rsidRPr="008B5198">
        <w:t xml:space="preserve">treatment of </w:t>
      </w:r>
      <w:r>
        <w:t xml:space="preserve">atopic dermatitis in adults and adolescents (12 years and older), </w:t>
      </w:r>
      <w:r w:rsidRPr="008A299E">
        <w:rPr>
          <w:rFonts w:eastAsia="MS Mincho"/>
        </w:rPr>
        <w:t>and</w:t>
      </w:r>
      <w:r>
        <w:rPr>
          <w:rFonts w:eastAsia="MS Mincho"/>
        </w:rPr>
        <w:t xml:space="preserve"> </w:t>
      </w:r>
      <w:r>
        <w:t xml:space="preserve">a new higher strength of 30 mg. </w:t>
      </w:r>
      <w:r w:rsidRPr="00546A5D">
        <w:t>The proposed dosing regimen involves oral administration of one single 30 mg tablet da</w:t>
      </w:r>
      <w:r>
        <w:t>ily in adults and one single 15 </w:t>
      </w:r>
      <w:r w:rsidRPr="00546A5D">
        <w:t>mg tablet</w:t>
      </w:r>
      <w:r>
        <w:t xml:space="preserve"> daily</w:t>
      </w:r>
      <w:r w:rsidRPr="00546A5D">
        <w:t xml:space="preserve"> in adolescents.</w:t>
      </w:r>
      <w:r>
        <w:t xml:space="preserve"> Rinvoq </w:t>
      </w:r>
      <w:r w:rsidRPr="00546A5D">
        <w:t xml:space="preserve">is currently registered for </w:t>
      </w:r>
      <w:r>
        <w:t>the</w:t>
      </w:r>
      <w:r w:rsidRPr="00546A5D">
        <w:t xml:space="preserve"> treatment of adults with rheumatoid arthritis</w:t>
      </w:r>
      <w:r>
        <w:t xml:space="preserve"> at a dose of 15 mg/day</w:t>
      </w:r>
      <w:r w:rsidRPr="00546A5D">
        <w:t>.</w:t>
      </w:r>
    </w:p>
    <w:p w14:paraId="0918736F" w14:textId="6F6B05DD" w:rsidR="00EA1F71" w:rsidRPr="00EA1F71" w:rsidRDefault="00EA1F71" w:rsidP="00EA1F71">
      <w:r>
        <w:t xml:space="preserve">No nonclinical data was submitted </w:t>
      </w:r>
      <w:r>
        <w:rPr>
          <w:rFonts w:asciiTheme="minorHAnsi" w:hAnsiTheme="minorHAnsi"/>
        </w:rPr>
        <w:t>by the sponsor</w:t>
      </w:r>
      <w:r>
        <w:t>. In terms of safety assessment, this is acceptable given the previous nonclinical evaluation of currently registered upadacitinib 15 mg tablet for adults with rheumatoid arthritis</w:t>
      </w:r>
      <w:r w:rsidRPr="00506C84">
        <w:t>.</w:t>
      </w:r>
    </w:p>
    <w:p w14:paraId="0A111DED" w14:textId="4A0F076E" w:rsidR="00EA1F71" w:rsidRDefault="00EA1F71" w:rsidP="00EA1F71">
      <w:r>
        <w:t>Based on studies previously submitted and evaluated at the initial registration of Rinvoq (see the related AusPAR for submission PM-2018-05603-1-3);</w:t>
      </w:r>
      <w:r w:rsidRPr="00EA1F71">
        <w:rPr>
          <w:vertAlign w:val="superscript"/>
        </w:rPr>
        <w:fldChar w:fldCharType="begin"/>
      </w:r>
      <w:r w:rsidRPr="00EA1F71">
        <w:rPr>
          <w:vertAlign w:val="superscript"/>
        </w:rPr>
        <w:instrText xml:space="preserve"> NOTEREF _Ref120630016 \h </w:instrText>
      </w:r>
      <w:r>
        <w:rPr>
          <w:vertAlign w:val="superscript"/>
        </w:rPr>
        <w:instrText xml:space="preserve"> \* MERGEFORMAT </w:instrText>
      </w:r>
      <w:r w:rsidRPr="00EA1F71">
        <w:rPr>
          <w:vertAlign w:val="superscript"/>
        </w:rPr>
      </w:r>
      <w:r w:rsidRPr="00EA1F71">
        <w:rPr>
          <w:vertAlign w:val="superscript"/>
        </w:rPr>
        <w:fldChar w:fldCharType="separate"/>
      </w:r>
      <w:r w:rsidR="00B51532">
        <w:rPr>
          <w:vertAlign w:val="superscript"/>
        </w:rPr>
        <w:t>29</w:t>
      </w:r>
      <w:r w:rsidRPr="00EA1F71">
        <w:rPr>
          <w:vertAlign w:val="superscript"/>
        </w:rPr>
        <w:fldChar w:fldCharType="end"/>
      </w:r>
      <w:r>
        <w:t xml:space="preserve"> data </w:t>
      </w:r>
      <w:r w:rsidR="00D7028E">
        <w:t>from</w:t>
      </w:r>
      <w:r>
        <w:t xml:space="preserve"> juvenile rats </w:t>
      </w:r>
      <w:r w:rsidR="00D7028E">
        <w:t xml:space="preserve">showed </w:t>
      </w:r>
      <w:r>
        <w:t>e</w:t>
      </w:r>
      <w:r w:rsidRPr="00046B37">
        <w:t>xposure ratio</w:t>
      </w:r>
      <w:r>
        <w:t xml:space="preserve">s were higher in younger rats (post-natal Day </w:t>
      </w:r>
      <w:r w:rsidRPr="00046B37">
        <w:t>15) than in adult rats (</w:t>
      </w:r>
      <w:r>
        <w:t>post</w:t>
      </w:r>
      <w:r>
        <w:noBreakHyphen/>
        <w:t xml:space="preserve">natal Day </w:t>
      </w:r>
      <w:r w:rsidRPr="00046B37">
        <w:t>63) at equivalent doses</w:t>
      </w:r>
      <w:r>
        <w:t xml:space="preserve"> (see </w:t>
      </w:r>
      <w:r w:rsidR="00671141">
        <w:fldChar w:fldCharType="begin"/>
      </w:r>
      <w:r w:rsidR="00671141">
        <w:instrText xml:space="preserve"> REF _Ref125645627 \h </w:instrText>
      </w:r>
      <w:r w:rsidR="00671141">
        <w:fldChar w:fldCharType="separate"/>
      </w:r>
      <w:r w:rsidR="00B51532">
        <w:t xml:space="preserve">Table </w:t>
      </w:r>
      <w:r w:rsidR="00B51532">
        <w:rPr>
          <w:noProof/>
        </w:rPr>
        <w:t>8</w:t>
      </w:r>
      <w:r w:rsidR="00671141">
        <w:fldChar w:fldCharType="end"/>
      </w:r>
      <w:r w:rsidR="00671141">
        <w:t xml:space="preserve"> below).</w:t>
      </w:r>
    </w:p>
    <w:p w14:paraId="497DD43C" w14:textId="1845D5DF" w:rsidR="00671141" w:rsidRPr="00EA1F71" w:rsidRDefault="00671141" w:rsidP="00671141">
      <w:pPr>
        <w:spacing w:before="0" w:after="200" w:line="0" w:lineRule="auto"/>
      </w:pPr>
      <w:r>
        <w:br w:type="page"/>
      </w:r>
    </w:p>
    <w:p w14:paraId="4540E35B" w14:textId="20581E9B" w:rsidR="00D7028E" w:rsidRDefault="00D7028E" w:rsidP="00671141">
      <w:pPr>
        <w:pStyle w:val="Tabletitle0"/>
      </w:pPr>
      <w:bookmarkStart w:id="56" w:name="_Ref125645627"/>
      <w:r>
        <w:lastRenderedPageBreak/>
        <w:t xml:space="preserve">Table </w:t>
      </w:r>
      <w:fldSimple w:instr=" SEQ Table \* ARABIC ">
        <w:r w:rsidR="00B51532">
          <w:rPr>
            <w:noProof/>
          </w:rPr>
          <w:t>8</w:t>
        </w:r>
      </w:fldSimple>
      <w:bookmarkEnd w:id="56"/>
      <w:r>
        <w:t xml:space="preserve">: </w:t>
      </w:r>
      <w:r w:rsidR="00671141">
        <w:t>Summary of upadacitinib exposure ratio</w:t>
      </w:r>
      <w:r>
        <w:t xml:space="preserve"> in nonclinical studies</w:t>
      </w:r>
    </w:p>
    <w:tbl>
      <w:tblPr>
        <w:tblStyle w:val="TableTGAblue"/>
        <w:tblW w:w="5000" w:type="pct"/>
        <w:tblLook w:val="01E0" w:firstRow="1" w:lastRow="1" w:firstColumn="1" w:lastColumn="1" w:noHBand="0" w:noVBand="0"/>
      </w:tblPr>
      <w:tblGrid>
        <w:gridCol w:w="1751"/>
        <w:gridCol w:w="1568"/>
        <w:gridCol w:w="1463"/>
        <w:gridCol w:w="1030"/>
        <w:gridCol w:w="1430"/>
        <w:gridCol w:w="1242"/>
      </w:tblGrid>
      <w:tr w:rsidR="00671141" w:rsidRPr="00DA23A3" w14:paraId="7D69F0B8" w14:textId="77777777" w:rsidTr="00D7028E">
        <w:trPr>
          <w:cnfStyle w:val="100000000000" w:firstRow="1" w:lastRow="0" w:firstColumn="0" w:lastColumn="0" w:oddVBand="0" w:evenVBand="0" w:oddHBand="0" w:evenHBand="0" w:firstRowFirstColumn="0" w:firstRowLastColumn="0" w:lastRowFirstColumn="0" w:lastRowLastColumn="0"/>
          <w:trHeight w:val="493"/>
        </w:trPr>
        <w:tc>
          <w:tcPr>
            <w:tcW w:w="1032" w:type="pct"/>
          </w:tcPr>
          <w:p w14:paraId="4DB5D434" w14:textId="77777777" w:rsidR="00EA1F71" w:rsidRPr="00D7028E" w:rsidRDefault="00EA1F71" w:rsidP="00D7028E">
            <w:pPr>
              <w:ind w:left="0" w:right="0"/>
              <w:rPr>
                <w:sz w:val="20"/>
              </w:rPr>
            </w:pPr>
            <w:r w:rsidRPr="00D7028E">
              <w:rPr>
                <w:sz w:val="20"/>
              </w:rPr>
              <w:t>Species</w:t>
            </w:r>
          </w:p>
        </w:tc>
        <w:tc>
          <w:tcPr>
            <w:tcW w:w="924" w:type="pct"/>
          </w:tcPr>
          <w:p w14:paraId="539AB731" w14:textId="77777777" w:rsidR="00EA1F71" w:rsidRPr="00D7028E" w:rsidRDefault="00EA1F71" w:rsidP="00D7028E">
            <w:pPr>
              <w:ind w:left="0" w:right="0"/>
              <w:rPr>
                <w:sz w:val="20"/>
              </w:rPr>
            </w:pPr>
            <w:r w:rsidRPr="00D7028E">
              <w:rPr>
                <w:sz w:val="20"/>
              </w:rPr>
              <w:t>Study duration</w:t>
            </w:r>
          </w:p>
          <w:p w14:paraId="7172A6A5" w14:textId="11F402CE" w:rsidR="00EA1F71" w:rsidRPr="00D7028E" w:rsidRDefault="00EA1F71" w:rsidP="00671141">
            <w:pPr>
              <w:ind w:left="0" w:right="0"/>
              <w:rPr>
                <w:sz w:val="20"/>
              </w:rPr>
            </w:pPr>
            <w:r w:rsidRPr="00D7028E">
              <w:rPr>
                <w:sz w:val="20"/>
              </w:rPr>
              <w:t xml:space="preserve">Study </w:t>
            </w:r>
            <w:r w:rsidR="00671141">
              <w:rPr>
                <w:sz w:val="20"/>
              </w:rPr>
              <w:t>ID</w:t>
            </w:r>
          </w:p>
        </w:tc>
        <w:tc>
          <w:tcPr>
            <w:tcW w:w="862" w:type="pct"/>
          </w:tcPr>
          <w:p w14:paraId="566FEB98" w14:textId="77777777" w:rsidR="00EA1F71" w:rsidRPr="00D7028E" w:rsidRDefault="00EA1F71" w:rsidP="00D7028E">
            <w:pPr>
              <w:ind w:left="0" w:right="0"/>
              <w:rPr>
                <w:sz w:val="20"/>
              </w:rPr>
            </w:pPr>
            <w:r w:rsidRPr="00D7028E">
              <w:rPr>
                <w:sz w:val="20"/>
              </w:rPr>
              <w:t>Dose</w:t>
            </w:r>
            <w:r w:rsidRPr="00D7028E">
              <w:rPr>
                <w:sz w:val="20"/>
              </w:rPr>
              <w:br/>
              <w:t>(mg/kg/day)</w:t>
            </w:r>
          </w:p>
        </w:tc>
        <w:tc>
          <w:tcPr>
            <w:tcW w:w="607" w:type="pct"/>
          </w:tcPr>
          <w:p w14:paraId="1EAE168A" w14:textId="77777777" w:rsidR="00EA1F71" w:rsidRPr="00D7028E" w:rsidRDefault="00EA1F71" w:rsidP="00D7028E">
            <w:pPr>
              <w:ind w:left="0" w:right="0"/>
              <w:rPr>
                <w:sz w:val="20"/>
              </w:rPr>
            </w:pPr>
            <w:r w:rsidRPr="00D7028E">
              <w:rPr>
                <w:sz w:val="20"/>
              </w:rPr>
              <w:t>Day</w:t>
            </w:r>
          </w:p>
        </w:tc>
        <w:tc>
          <w:tcPr>
            <w:tcW w:w="843" w:type="pct"/>
          </w:tcPr>
          <w:p w14:paraId="17A36A53" w14:textId="77777777" w:rsidR="00EA1F71" w:rsidRPr="00D7028E" w:rsidRDefault="00EA1F71" w:rsidP="00D7028E">
            <w:pPr>
              <w:ind w:left="0" w:right="0"/>
              <w:rPr>
                <w:sz w:val="20"/>
              </w:rPr>
            </w:pPr>
            <w:r w:rsidRPr="00D7028E">
              <w:rPr>
                <w:sz w:val="20"/>
              </w:rPr>
              <w:t>AUC</w:t>
            </w:r>
            <w:r w:rsidRPr="00D7028E">
              <w:rPr>
                <w:sz w:val="20"/>
                <w:vertAlign w:val="subscript"/>
              </w:rPr>
              <w:t>0–24 h</w:t>
            </w:r>
            <w:r w:rsidRPr="00D7028E">
              <w:rPr>
                <w:sz w:val="20"/>
                <w:vertAlign w:val="superscript"/>
              </w:rPr>
              <w:t>^</w:t>
            </w:r>
            <w:r w:rsidRPr="00D7028E">
              <w:rPr>
                <w:sz w:val="20"/>
              </w:rPr>
              <w:br/>
              <w:t>(ng∙h/mL)</w:t>
            </w:r>
          </w:p>
        </w:tc>
        <w:tc>
          <w:tcPr>
            <w:tcW w:w="733" w:type="pct"/>
          </w:tcPr>
          <w:p w14:paraId="7332C2D9" w14:textId="77777777" w:rsidR="00EA1F71" w:rsidRPr="00D7028E" w:rsidRDefault="00EA1F71" w:rsidP="00D7028E">
            <w:pPr>
              <w:ind w:left="0" w:right="0"/>
              <w:rPr>
                <w:sz w:val="20"/>
              </w:rPr>
            </w:pPr>
            <w:r w:rsidRPr="00D7028E">
              <w:rPr>
                <w:sz w:val="20"/>
              </w:rPr>
              <w:t>Exposure ratio</w:t>
            </w:r>
            <w:r w:rsidRPr="00D7028E">
              <w:rPr>
                <w:sz w:val="20"/>
                <w:vertAlign w:val="superscript"/>
              </w:rPr>
              <w:t>#</w:t>
            </w:r>
          </w:p>
        </w:tc>
      </w:tr>
      <w:tr w:rsidR="00671141" w:rsidRPr="00DA23A3" w14:paraId="0FC8BC15" w14:textId="77777777" w:rsidTr="00D7028E">
        <w:trPr>
          <w:trHeight w:val="113"/>
        </w:trPr>
        <w:tc>
          <w:tcPr>
            <w:tcW w:w="1032" w:type="pct"/>
            <w:vMerge w:val="restart"/>
          </w:tcPr>
          <w:p w14:paraId="6444C6A4" w14:textId="77777777" w:rsidR="00EA1F71" w:rsidRPr="00D7028E" w:rsidRDefault="00EA1F71" w:rsidP="00D7028E">
            <w:pPr>
              <w:ind w:left="0" w:right="0"/>
              <w:rPr>
                <w:sz w:val="20"/>
              </w:rPr>
            </w:pPr>
            <w:r w:rsidRPr="00D7028E">
              <w:rPr>
                <w:sz w:val="20"/>
              </w:rPr>
              <w:t>Juvenile Rat</w:t>
            </w:r>
            <w:r w:rsidRPr="00D7028E">
              <w:rPr>
                <w:sz w:val="20"/>
              </w:rPr>
              <w:br/>
              <w:t>(SD)</w:t>
            </w:r>
          </w:p>
        </w:tc>
        <w:tc>
          <w:tcPr>
            <w:tcW w:w="924" w:type="pct"/>
            <w:vMerge w:val="restart"/>
          </w:tcPr>
          <w:p w14:paraId="3D856EE6" w14:textId="77777777" w:rsidR="00EA1F71" w:rsidRPr="00D7028E" w:rsidRDefault="00EA1F71" w:rsidP="00D7028E">
            <w:pPr>
              <w:ind w:left="0" w:right="0"/>
              <w:rPr>
                <w:sz w:val="20"/>
              </w:rPr>
            </w:pPr>
            <w:r w:rsidRPr="00D7028E">
              <w:rPr>
                <w:sz w:val="20"/>
              </w:rPr>
              <w:t>48 days</w:t>
            </w:r>
          </w:p>
          <w:p w14:paraId="42FC47EB" w14:textId="057E2DC6" w:rsidR="00EA1F71" w:rsidRPr="00D7028E" w:rsidRDefault="00671141" w:rsidP="00D7028E">
            <w:pPr>
              <w:ind w:left="0" w:right="0"/>
              <w:rPr>
                <w:sz w:val="20"/>
              </w:rPr>
            </w:pPr>
            <w:r>
              <w:rPr>
                <w:sz w:val="20"/>
              </w:rPr>
              <w:t xml:space="preserve">(PND 15 to </w:t>
            </w:r>
            <w:r w:rsidR="00EA1F71" w:rsidRPr="00D7028E">
              <w:rPr>
                <w:sz w:val="20"/>
              </w:rPr>
              <w:t>63)</w:t>
            </w:r>
          </w:p>
          <w:p w14:paraId="2E15BE07" w14:textId="77777777" w:rsidR="00671141" w:rsidRDefault="00671141" w:rsidP="00D7028E">
            <w:pPr>
              <w:ind w:left="0" w:right="0"/>
              <w:rPr>
                <w:sz w:val="20"/>
              </w:rPr>
            </w:pPr>
            <w:r>
              <w:rPr>
                <w:sz w:val="20"/>
              </w:rPr>
              <w:t xml:space="preserve"> </w:t>
            </w:r>
          </w:p>
          <w:p w14:paraId="635FDE75" w14:textId="6F31A2CC" w:rsidR="00EA1F71" w:rsidRPr="00D7028E" w:rsidRDefault="00671141" w:rsidP="00D7028E">
            <w:pPr>
              <w:ind w:left="0" w:right="0"/>
              <w:rPr>
                <w:sz w:val="20"/>
              </w:rPr>
            </w:pPr>
            <w:r>
              <w:rPr>
                <w:sz w:val="20"/>
              </w:rPr>
              <w:t xml:space="preserve">Study </w:t>
            </w:r>
            <w:r w:rsidR="00EA1F71" w:rsidRPr="00D7028E">
              <w:rPr>
                <w:sz w:val="20"/>
              </w:rPr>
              <w:t xml:space="preserve">R&amp;D/17/0588 </w:t>
            </w:r>
          </w:p>
        </w:tc>
        <w:tc>
          <w:tcPr>
            <w:tcW w:w="862" w:type="pct"/>
          </w:tcPr>
          <w:p w14:paraId="6FE61168" w14:textId="77777777" w:rsidR="00EA1F71" w:rsidRPr="00D7028E" w:rsidRDefault="00EA1F71" w:rsidP="00D7028E">
            <w:pPr>
              <w:ind w:left="0" w:right="0"/>
              <w:rPr>
                <w:sz w:val="20"/>
              </w:rPr>
            </w:pPr>
            <w:r w:rsidRPr="00D7028E">
              <w:rPr>
                <w:sz w:val="20"/>
              </w:rPr>
              <w:t>5</w:t>
            </w:r>
          </w:p>
        </w:tc>
        <w:tc>
          <w:tcPr>
            <w:tcW w:w="607" w:type="pct"/>
            <w:vMerge w:val="restart"/>
          </w:tcPr>
          <w:p w14:paraId="6836B9FD" w14:textId="77777777" w:rsidR="00EA1F71" w:rsidRPr="00D7028E" w:rsidRDefault="00EA1F71" w:rsidP="00D7028E">
            <w:pPr>
              <w:ind w:left="0" w:right="0"/>
              <w:rPr>
                <w:sz w:val="20"/>
              </w:rPr>
            </w:pPr>
            <w:r w:rsidRPr="00D7028E">
              <w:rPr>
                <w:sz w:val="20"/>
              </w:rPr>
              <w:t>PND 15</w:t>
            </w:r>
          </w:p>
        </w:tc>
        <w:tc>
          <w:tcPr>
            <w:tcW w:w="843" w:type="pct"/>
          </w:tcPr>
          <w:p w14:paraId="168A1ED1" w14:textId="77777777" w:rsidR="00EA1F71" w:rsidRPr="00D7028E" w:rsidRDefault="00EA1F71" w:rsidP="00D7028E">
            <w:pPr>
              <w:ind w:left="0" w:right="0"/>
              <w:rPr>
                <w:sz w:val="20"/>
              </w:rPr>
            </w:pPr>
            <w:r w:rsidRPr="00D7028E">
              <w:rPr>
                <w:sz w:val="20"/>
              </w:rPr>
              <w:t>8255</w:t>
            </w:r>
          </w:p>
        </w:tc>
        <w:tc>
          <w:tcPr>
            <w:tcW w:w="733" w:type="pct"/>
          </w:tcPr>
          <w:p w14:paraId="4BCCEDB9" w14:textId="77777777" w:rsidR="00EA1F71" w:rsidRPr="00D7028E" w:rsidRDefault="00EA1F71" w:rsidP="00D7028E">
            <w:pPr>
              <w:ind w:left="0" w:right="0"/>
              <w:rPr>
                <w:sz w:val="20"/>
              </w:rPr>
            </w:pPr>
            <w:r w:rsidRPr="00D7028E">
              <w:rPr>
                <w:sz w:val="20"/>
              </w:rPr>
              <w:t>23</w:t>
            </w:r>
          </w:p>
        </w:tc>
      </w:tr>
      <w:tr w:rsidR="00671141" w:rsidRPr="00DA23A3" w14:paraId="43988BEF" w14:textId="77777777" w:rsidTr="00D7028E">
        <w:trPr>
          <w:trHeight w:val="113"/>
        </w:trPr>
        <w:tc>
          <w:tcPr>
            <w:tcW w:w="1032" w:type="pct"/>
            <w:vMerge/>
          </w:tcPr>
          <w:p w14:paraId="22E43E5C" w14:textId="77777777" w:rsidR="00EA1F71" w:rsidRPr="00D7028E" w:rsidRDefault="00EA1F71" w:rsidP="00D7028E">
            <w:pPr>
              <w:ind w:left="0" w:right="0"/>
              <w:rPr>
                <w:sz w:val="20"/>
              </w:rPr>
            </w:pPr>
          </w:p>
        </w:tc>
        <w:tc>
          <w:tcPr>
            <w:tcW w:w="924" w:type="pct"/>
            <w:vMerge/>
          </w:tcPr>
          <w:p w14:paraId="293902E6" w14:textId="77777777" w:rsidR="00EA1F71" w:rsidRPr="00D7028E" w:rsidRDefault="00EA1F71" w:rsidP="00D7028E">
            <w:pPr>
              <w:ind w:left="0" w:right="0"/>
              <w:rPr>
                <w:sz w:val="20"/>
              </w:rPr>
            </w:pPr>
          </w:p>
        </w:tc>
        <w:tc>
          <w:tcPr>
            <w:tcW w:w="862" w:type="pct"/>
          </w:tcPr>
          <w:p w14:paraId="0B31033B" w14:textId="77777777" w:rsidR="00EA1F71" w:rsidRPr="00D7028E" w:rsidRDefault="00EA1F71" w:rsidP="00D7028E">
            <w:pPr>
              <w:ind w:left="0" w:right="0"/>
              <w:rPr>
                <w:sz w:val="20"/>
              </w:rPr>
            </w:pPr>
            <w:r w:rsidRPr="00D7028E">
              <w:rPr>
                <w:sz w:val="20"/>
              </w:rPr>
              <w:t>20</w:t>
            </w:r>
          </w:p>
        </w:tc>
        <w:tc>
          <w:tcPr>
            <w:tcW w:w="607" w:type="pct"/>
            <w:vMerge/>
          </w:tcPr>
          <w:p w14:paraId="7255A175" w14:textId="77777777" w:rsidR="00EA1F71" w:rsidRPr="00D7028E" w:rsidRDefault="00EA1F71" w:rsidP="00D7028E">
            <w:pPr>
              <w:ind w:left="0" w:right="0"/>
              <w:rPr>
                <w:sz w:val="20"/>
              </w:rPr>
            </w:pPr>
          </w:p>
        </w:tc>
        <w:tc>
          <w:tcPr>
            <w:tcW w:w="843" w:type="pct"/>
          </w:tcPr>
          <w:p w14:paraId="5A1FFA17" w14:textId="77777777" w:rsidR="00EA1F71" w:rsidRPr="00D7028E" w:rsidRDefault="00EA1F71" w:rsidP="00D7028E">
            <w:pPr>
              <w:ind w:left="0" w:right="0"/>
              <w:rPr>
                <w:sz w:val="20"/>
              </w:rPr>
            </w:pPr>
            <w:r w:rsidRPr="00D7028E">
              <w:rPr>
                <w:sz w:val="20"/>
              </w:rPr>
              <w:t>28450</w:t>
            </w:r>
          </w:p>
        </w:tc>
        <w:tc>
          <w:tcPr>
            <w:tcW w:w="733" w:type="pct"/>
          </w:tcPr>
          <w:p w14:paraId="17CA3679" w14:textId="77777777" w:rsidR="00EA1F71" w:rsidRPr="00D7028E" w:rsidRDefault="00EA1F71" w:rsidP="00D7028E">
            <w:pPr>
              <w:ind w:left="0" w:right="0"/>
              <w:rPr>
                <w:sz w:val="20"/>
              </w:rPr>
            </w:pPr>
            <w:r w:rsidRPr="00D7028E">
              <w:rPr>
                <w:sz w:val="20"/>
              </w:rPr>
              <w:t>81</w:t>
            </w:r>
          </w:p>
        </w:tc>
      </w:tr>
      <w:tr w:rsidR="00671141" w:rsidRPr="00DA23A3" w14:paraId="5096C85E" w14:textId="77777777" w:rsidTr="00D7028E">
        <w:trPr>
          <w:trHeight w:val="113"/>
        </w:trPr>
        <w:tc>
          <w:tcPr>
            <w:tcW w:w="1032" w:type="pct"/>
            <w:vMerge/>
          </w:tcPr>
          <w:p w14:paraId="4E3D30B5" w14:textId="77777777" w:rsidR="00EA1F71" w:rsidRPr="00D7028E" w:rsidRDefault="00EA1F71" w:rsidP="00D7028E">
            <w:pPr>
              <w:ind w:left="0" w:right="0"/>
              <w:rPr>
                <w:sz w:val="20"/>
              </w:rPr>
            </w:pPr>
          </w:p>
        </w:tc>
        <w:tc>
          <w:tcPr>
            <w:tcW w:w="924" w:type="pct"/>
            <w:vMerge/>
          </w:tcPr>
          <w:p w14:paraId="1C826447" w14:textId="77777777" w:rsidR="00EA1F71" w:rsidRPr="00D7028E" w:rsidRDefault="00EA1F71" w:rsidP="00D7028E">
            <w:pPr>
              <w:ind w:left="0" w:right="0"/>
              <w:rPr>
                <w:sz w:val="20"/>
              </w:rPr>
            </w:pPr>
          </w:p>
        </w:tc>
        <w:tc>
          <w:tcPr>
            <w:tcW w:w="862" w:type="pct"/>
          </w:tcPr>
          <w:p w14:paraId="514DA712" w14:textId="77777777" w:rsidR="00EA1F71" w:rsidRPr="00D7028E" w:rsidRDefault="00EA1F71" w:rsidP="00D7028E">
            <w:pPr>
              <w:ind w:left="0" w:right="0"/>
              <w:rPr>
                <w:sz w:val="20"/>
              </w:rPr>
            </w:pPr>
            <w:r w:rsidRPr="00D7028E">
              <w:rPr>
                <w:sz w:val="20"/>
              </w:rPr>
              <w:t>50</w:t>
            </w:r>
          </w:p>
        </w:tc>
        <w:tc>
          <w:tcPr>
            <w:tcW w:w="607" w:type="pct"/>
            <w:vMerge/>
          </w:tcPr>
          <w:p w14:paraId="2B0F4EFB" w14:textId="77777777" w:rsidR="00EA1F71" w:rsidRPr="00D7028E" w:rsidRDefault="00EA1F71" w:rsidP="00D7028E">
            <w:pPr>
              <w:ind w:left="0" w:right="0"/>
              <w:rPr>
                <w:sz w:val="20"/>
              </w:rPr>
            </w:pPr>
          </w:p>
        </w:tc>
        <w:tc>
          <w:tcPr>
            <w:tcW w:w="843" w:type="pct"/>
          </w:tcPr>
          <w:p w14:paraId="0555CD2D" w14:textId="77777777" w:rsidR="00EA1F71" w:rsidRPr="00D7028E" w:rsidRDefault="00EA1F71" w:rsidP="00D7028E">
            <w:pPr>
              <w:ind w:left="0" w:right="0"/>
              <w:rPr>
                <w:sz w:val="20"/>
              </w:rPr>
            </w:pPr>
            <w:r w:rsidRPr="00D7028E">
              <w:rPr>
                <w:sz w:val="20"/>
              </w:rPr>
              <w:t>76850</w:t>
            </w:r>
          </w:p>
        </w:tc>
        <w:tc>
          <w:tcPr>
            <w:tcW w:w="733" w:type="pct"/>
          </w:tcPr>
          <w:p w14:paraId="47ACF098" w14:textId="77777777" w:rsidR="00EA1F71" w:rsidRPr="00D7028E" w:rsidRDefault="00EA1F71" w:rsidP="00D7028E">
            <w:pPr>
              <w:ind w:left="0" w:right="0"/>
              <w:rPr>
                <w:sz w:val="20"/>
              </w:rPr>
            </w:pPr>
            <w:r w:rsidRPr="00D7028E">
              <w:rPr>
                <w:sz w:val="20"/>
              </w:rPr>
              <w:t>218</w:t>
            </w:r>
          </w:p>
        </w:tc>
      </w:tr>
      <w:tr w:rsidR="00671141" w:rsidRPr="00DA23A3" w14:paraId="6C38998E" w14:textId="77777777" w:rsidTr="00D7028E">
        <w:trPr>
          <w:trHeight w:val="113"/>
        </w:trPr>
        <w:tc>
          <w:tcPr>
            <w:tcW w:w="1032" w:type="pct"/>
            <w:vMerge/>
          </w:tcPr>
          <w:p w14:paraId="43918D1F" w14:textId="77777777" w:rsidR="00EA1F71" w:rsidRPr="00D7028E" w:rsidRDefault="00EA1F71" w:rsidP="00D7028E">
            <w:pPr>
              <w:ind w:left="0" w:right="0"/>
              <w:rPr>
                <w:sz w:val="20"/>
              </w:rPr>
            </w:pPr>
          </w:p>
        </w:tc>
        <w:tc>
          <w:tcPr>
            <w:tcW w:w="924" w:type="pct"/>
            <w:vMerge/>
          </w:tcPr>
          <w:p w14:paraId="41DFC956" w14:textId="77777777" w:rsidR="00EA1F71" w:rsidRPr="00D7028E" w:rsidRDefault="00EA1F71" w:rsidP="00D7028E">
            <w:pPr>
              <w:ind w:left="0" w:right="0"/>
              <w:rPr>
                <w:sz w:val="20"/>
              </w:rPr>
            </w:pPr>
          </w:p>
        </w:tc>
        <w:tc>
          <w:tcPr>
            <w:tcW w:w="862" w:type="pct"/>
          </w:tcPr>
          <w:p w14:paraId="413BB15F" w14:textId="77777777" w:rsidR="00EA1F71" w:rsidRPr="00D7028E" w:rsidRDefault="00EA1F71" w:rsidP="00D7028E">
            <w:pPr>
              <w:ind w:left="0" w:right="0"/>
              <w:rPr>
                <w:sz w:val="20"/>
              </w:rPr>
            </w:pPr>
            <w:r w:rsidRPr="00D7028E">
              <w:rPr>
                <w:sz w:val="20"/>
              </w:rPr>
              <w:t>5</w:t>
            </w:r>
          </w:p>
        </w:tc>
        <w:tc>
          <w:tcPr>
            <w:tcW w:w="607" w:type="pct"/>
            <w:vMerge w:val="restart"/>
          </w:tcPr>
          <w:p w14:paraId="2A106E24" w14:textId="77777777" w:rsidR="00EA1F71" w:rsidRPr="00D7028E" w:rsidRDefault="00EA1F71" w:rsidP="00D7028E">
            <w:pPr>
              <w:ind w:left="0" w:right="0"/>
              <w:rPr>
                <w:sz w:val="20"/>
              </w:rPr>
            </w:pPr>
            <w:r w:rsidRPr="00D7028E">
              <w:rPr>
                <w:sz w:val="20"/>
              </w:rPr>
              <w:t>PND 63</w:t>
            </w:r>
          </w:p>
        </w:tc>
        <w:tc>
          <w:tcPr>
            <w:tcW w:w="843" w:type="pct"/>
          </w:tcPr>
          <w:p w14:paraId="535E32BE" w14:textId="77777777" w:rsidR="00EA1F71" w:rsidRPr="00D7028E" w:rsidRDefault="00EA1F71" w:rsidP="00D7028E">
            <w:pPr>
              <w:ind w:left="0" w:right="0"/>
              <w:rPr>
                <w:sz w:val="20"/>
              </w:rPr>
            </w:pPr>
            <w:r w:rsidRPr="00D7028E">
              <w:rPr>
                <w:sz w:val="20"/>
              </w:rPr>
              <w:t>542</w:t>
            </w:r>
          </w:p>
        </w:tc>
        <w:tc>
          <w:tcPr>
            <w:tcW w:w="733" w:type="pct"/>
          </w:tcPr>
          <w:p w14:paraId="5FCD90CB" w14:textId="77777777" w:rsidR="00EA1F71" w:rsidRPr="00D7028E" w:rsidRDefault="00EA1F71" w:rsidP="00D7028E">
            <w:pPr>
              <w:ind w:left="0" w:right="0"/>
              <w:rPr>
                <w:sz w:val="20"/>
              </w:rPr>
            </w:pPr>
            <w:r w:rsidRPr="00D7028E">
              <w:rPr>
                <w:sz w:val="20"/>
              </w:rPr>
              <w:t>2</w:t>
            </w:r>
          </w:p>
        </w:tc>
      </w:tr>
      <w:tr w:rsidR="00671141" w:rsidRPr="00DA23A3" w14:paraId="5AFB6CF2" w14:textId="77777777" w:rsidTr="00D7028E">
        <w:trPr>
          <w:trHeight w:val="113"/>
        </w:trPr>
        <w:tc>
          <w:tcPr>
            <w:tcW w:w="1032" w:type="pct"/>
            <w:vMerge/>
          </w:tcPr>
          <w:p w14:paraId="5267C64F" w14:textId="77777777" w:rsidR="00EA1F71" w:rsidRPr="00D7028E" w:rsidRDefault="00EA1F71" w:rsidP="00D7028E">
            <w:pPr>
              <w:ind w:left="0" w:right="0"/>
              <w:rPr>
                <w:sz w:val="20"/>
              </w:rPr>
            </w:pPr>
          </w:p>
        </w:tc>
        <w:tc>
          <w:tcPr>
            <w:tcW w:w="924" w:type="pct"/>
            <w:vMerge/>
          </w:tcPr>
          <w:p w14:paraId="722FA9ED" w14:textId="77777777" w:rsidR="00EA1F71" w:rsidRPr="00D7028E" w:rsidRDefault="00EA1F71" w:rsidP="00D7028E">
            <w:pPr>
              <w:ind w:left="0" w:right="0"/>
              <w:rPr>
                <w:sz w:val="20"/>
              </w:rPr>
            </w:pPr>
          </w:p>
        </w:tc>
        <w:tc>
          <w:tcPr>
            <w:tcW w:w="862" w:type="pct"/>
          </w:tcPr>
          <w:p w14:paraId="2996D226" w14:textId="77777777" w:rsidR="00EA1F71" w:rsidRPr="00D7028E" w:rsidRDefault="00EA1F71" w:rsidP="00D7028E">
            <w:pPr>
              <w:ind w:left="0" w:right="0"/>
              <w:rPr>
                <w:sz w:val="20"/>
              </w:rPr>
            </w:pPr>
            <w:r w:rsidRPr="00D7028E">
              <w:rPr>
                <w:sz w:val="20"/>
              </w:rPr>
              <w:t>20</w:t>
            </w:r>
          </w:p>
        </w:tc>
        <w:tc>
          <w:tcPr>
            <w:tcW w:w="607" w:type="pct"/>
            <w:vMerge/>
          </w:tcPr>
          <w:p w14:paraId="1A08C8C2" w14:textId="77777777" w:rsidR="00EA1F71" w:rsidRPr="00D7028E" w:rsidRDefault="00EA1F71" w:rsidP="00D7028E">
            <w:pPr>
              <w:ind w:left="0" w:right="0"/>
              <w:rPr>
                <w:sz w:val="20"/>
              </w:rPr>
            </w:pPr>
          </w:p>
        </w:tc>
        <w:tc>
          <w:tcPr>
            <w:tcW w:w="843" w:type="pct"/>
          </w:tcPr>
          <w:p w14:paraId="5E0A82DB" w14:textId="77777777" w:rsidR="00EA1F71" w:rsidRPr="00D7028E" w:rsidRDefault="00EA1F71" w:rsidP="00D7028E">
            <w:pPr>
              <w:ind w:left="0" w:right="0"/>
              <w:rPr>
                <w:sz w:val="20"/>
              </w:rPr>
            </w:pPr>
            <w:r w:rsidRPr="00D7028E">
              <w:rPr>
                <w:sz w:val="20"/>
              </w:rPr>
              <w:t>3715</w:t>
            </w:r>
          </w:p>
        </w:tc>
        <w:tc>
          <w:tcPr>
            <w:tcW w:w="733" w:type="pct"/>
          </w:tcPr>
          <w:p w14:paraId="544AF73B" w14:textId="77777777" w:rsidR="00EA1F71" w:rsidRPr="00D7028E" w:rsidRDefault="00EA1F71" w:rsidP="00D7028E">
            <w:pPr>
              <w:ind w:left="0" w:right="0"/>
              <w:rPr>
                <w:sz w:val="20"/>
              </w:rPr>
            </w:pPr>
            <w:r w:rsidRPr="00D7028E">
              <w:rPr>
                <w:sz w:val="20"/>
              </w:rPr>
              <w:t>11</w:t>
            </w:r>
          </w:p>
        </w:tc>
      </w:tr>
      <w:tr w:rsidR="00671141" w:rsidRPr="00DA23A3" w14:paraId="7414BC65" w14:textId="77777777" w:rsidTr="00D7028E">
        <w:trPr>
          <w:trHeight w:val="57"/>
        </w:trPr>
        <w:tc>
          <w:tcPr>
            <w:tcW w:w="1032" w:type="pct"/>
            <w:vMerge/>
          </w:tcPr>
          <w:p w14:paraId="7A8F69EF" w14:textId="77777777" w:rsidR="00EA1F71" w:rsidRPr="00D7028E" w:rsidRDefault="00EA1F71" w:rsidP="00D7028E">
            <w:pPr>
              <w:ind w:left="0" w:right="0"/>
              <w:rPr>
                <w:sz w:val="20"/>
              </w:rPr>
            </w:pPr>
          </w:p>
        </w:tc>
        <w:tc>
          <w:tcPr>
            <w:tcW w:w="924" w:type="pct"/>
            <w:vMerge/>
          </w:tcPr>
          <w:p w14:paraId="6ADFF6D9" w14:textId="77777777" w:rsidR="00EA1F71" w:rsidRPr="00D7028E" w:rsidRDefault="00EA1F71" w:rsidP="00D7028E">
            <w:pPr>
              <w:ind w:left="0" w:right="0"/>
              <w:rPr>
                <w:sz w:val="20"/>
              </w:rPr>
            </w:pPr>
          </w:p>
        </w:tc>
        <w:tc>
          <w:tcPr>
            <w:tcW w:w="862" w:type="pct"/>
          </w:tcPr>
          <w:p w14:paraId="2D0DDAF2" w14:textId="77777777" w:rsidR="00EA1F71" w:rsidRPr="00D7028E" w:rsidRDefault="00EA1F71" w:rsidP="00D7028E">
            <w:pPr>
              <w:ind w:left="0" w:right="0"/>
              <w:rPr>
                <w:sz w:val="20"/>
              </w:rPr>
            </w:pPr>
            <w:r w:rsidRPr="00D7028E">
              <w:rPr>
                <w:sz w:val="20"/>
              </w:rPr>
              <w:t>50</w:t>
            </w:r>
          </w:p>
        </w:tc>
        <w:tc>
          <w:tcPr>
            <w:tcW w:w="607" w:type="pct"/>
            <w:vMerge/>
          </w:tcPr>
          <w:p w14:paraId="07952FFD" w14:textId="77777777" w:rsidR="00EA1F71" w:rsidRPr="00D7028E" w:rsidRDefault="00EA1F71" w:rsidP="00D7028E">
            <w:pPr>
              <w:ind w:left="0" w:right="0"/>
              <w:rPr>
                <w:sz w:val="20"/>
              </w:rPr>
            </w:pPr>
          </w:p>
        </w:tc>
        <w:tc>
          <w:tcPr>
            <w:tcW w:w="843" w:type="pct"/>
          </w:tcPr>
          <w:p w14:paraId="015EA7A0" w14:textId="77777777" w:rsidR="00EA1F71" w:rsidRPr="00D7028E" w:rsidRDefault="00EA1F71" w:rsidP="00D7028E">
            <w:pPr>
              <w:ind w:left="0" w:right="0"/>
              <w:rPr>
                <w:sz w:val="20"/>
              </w:rPr>
            </w:pPr>
            <w:r w:rsidRPr="00D7028E">
              <w:rPr>
                <w:sz w:val="20"/>
              </w:rPr>
              <w:t>8730</w:t>
            </w:r>
          </w:p>
        </w:tc>
        <w:tc>
          <w:tcPr>
            <w:tcW w:w="733" w:type="pct"/>
          </w:tcPr>
          <w:p w14:paraId="275146C5" w14:textId="77777777" w:rsidR="00EA1F71" w:rsidRPr="00D7028E" w:rsidRDefault="00EA1F71" w:rsidP="00D7028E">
            <w:pPr>
              <w:ind w:left="0" w:right="0"/>
              <w:rPr>
                <w:sz w:val="20"/>
              </w:rPr>
            </w:pPr>
            <w:r w:rsidRPr="00D7028E">
              <w:rPr>
                <w:sz w:val="20"/>
              </w:rPr>
              <w:t>25</w:t>
            </w:r>
          </w:p>
        </w:tc>
      </w:tr>
      <w:tr w:rsidR="00671141" w:rsidRPr="00DA23A3" w14:paraId="40195DE4" w14:textId="77777777" w:rsidTr="00D7028E">
        <w:trPr>
          <w:trHeight w:val="198"/>
        </w:trPr>
        <w:tc>
          <w:tcPr>
            <w:tcW w:w="1032" w:type="pct"/>
          </w:tcPr>
          <w:p w14:paraId="5A8C694F" w14:textId="74775652" w:rsidR="00EA1F71" w:rsidRPr="00D7028E" w:rsidRDefault="00671141" w:rsidP="00D7028E">
            <w:pPr>
              <w:ind w:left="0" w:right="0"/>
              <w:rPr>
                <w:sz w:val="20"/>
              </w:rPr>
            </w:pPr>
            <w:r>
              <w:rPr>
                <w:sz w:val="20"/>
              </w:rPr>
              <w:t>Adolescent subjects</w:t>
            </w:r>
            <w:r w:rsidR="00EA1F71" w:rsidRPr="00D7028E">
              <w:rPr>
                <w:sz w:val="20"/>
              </w:rPr>
              <w:t xml:space="preserve"> </w:t>
            </w:r>
          </w:p>
          <w:p w14:paraId="57B0F29C" w14:textId="4519B910" w:rsidR="00EA1F71" w:rsidRPr="00D7028E" w:rsidRDefault="00671141" w:rsidP="00D7028E">
            <w:pPr>
              <w:ind w:left="0" w:right="0"/>
              <w:rPr>
                <w:sz w:val="20"/>
              </w:rPr>
            </w:pPr>
            <w:r>
              <w:rPr>
                <w:sz w:val="20"/>
              </w:rPr>
              <w:t xml:space="preserve">(12 to </w:t>
            </w:r>
            <w:r w:rsidR="00EA1F71" w:rsidRPr="00D7028E">
              <w:rPr>
                <w:sz w:val="20"/>
              </w:rPr>
              <w:t xml:space="preserve">18 years) </w:t>
            </w:r>
          </w:p>
        </w:tc>
        <w:tc>
          <w:tcPr>
            <w:tcW w:w="924" w:type="pct"/>
          </w:tcPr>
          <w:p w14:paraId="3A582EA0" w14:textId="77777777" w:rsidR="00EA1F71" w:rsidRPr="00D7028E" w:rsidRDefault="00EA1F71" w:rsidP="00D7028E">
            <w:pPr>
              <w:ind w:left="0" w:right="0"/>
              <w:rPr>
                <w:sz w:val="20"/>
              </w:rPr>
            </w:pPr>
            <w:r w:rsidRPr="00D7028E">
              <w:rPr>
                <w:sz w:val="20"/>
              </w:rPr>
              <w:t>Steady state</w:t>
            </w:r>
          </w:p>
          <w:p w14:paraId="640195CD" w14:textId="14C8500F" w:rsidR="00EA1F71" w:rsidRPr="00D7028E" w:rsidRDefault="00EA1F71" w:rsidP="00D7028E">
            <w:pPr>
              <w:ind w:left="0" w:right="0"/>
              <w:rPr>
                <w:sz w:val="20"/>
              </w:rPr>
            </w:pPr>
            <w:r w:rsidRPr="00D7028E">
              <w:rPr>
                <w:sz w:val="20"/>
              </w:rPr>
              <w:t xml:space="preserve">PopPK </w:t>
            </w:r>
            <w:r w:rsidR="009A0394">
              <w:rPr>
                <w:sz w:val="20"/>
              </w:rPr>
              <w:t xml:space="preserve">analysis </w:t>
            </w:r>
            <w:r w:rsidRPr="00D7028E">
              <w:rPr>
                <w:sz w:val="20"/>
              </w:rPr>
              <w:t>R&amp;D/20/0641</w:t>
            </w:r>
          </w:p>
        </w:tc>
        <w:tc>
          <w:tcPr>
            <w:tcW w:w="862" w:type="pct"/>
          </w:tcPr>
          <w:p w14:paraId="2BDCC5F8" w14:textId="77777777" w:rsidR="00EA1F71" w:rsidRPr="00D7028E" w:rsidRDefault="00EA1F71" w:rsidP="00D7028E">
            <w:pPr>
              <w:ind w:left="0" w:right="0"/>
              <w:rPr>
                <w:sz w:val="20"/>
              </w:rPr>
            </w:pPr>
            <w:r w:rsidRPr="00D7028E">
              <w:rPr>
                <w:sz w:val="20"/>
              </w:rPr>
              <w:t>15 mg/day</w:t>
            </w:r>
          </w:p>
        </w:tc>
        <w:tc>
          <w:tcPr>
            <w:tcW w:w="607" w:type="pct"/>
          </w:tcPr>
          <w:p w14:paraId="4FA39588" w14:textId="77777777" w:rsidR="00EA1F71" w:rsidRPr="00D7028E" w:rsidRDefault="00EA1F71" w:rsidP="00D7028E">
            <w:pPr>
              <w:ind w:left="0" w:right="0"/>
              <w:rPr>
                <w:sz w:val="20"/>
              </w:rPr>
            </w:pPr>
            <w:r w:rsidRPr="00D7028E">
              <w:rPr>
                <w:sz w:val="20"/>
              </w:rPr>
              <w:t>–</w:t>
            </w:r>
          </w:p>
        </w:tc>
        <w:tc>
          <w:tcPr>
            <w:tcW w:w="843" w:type="pct"/>
          </w:tcPr>
          <w:p w14:paraId="51AC6576" w14:textId="77777777" w:rsidR="00EA1F71" w:rsidRPr="00D7028E" w:rsidRDefault="00EA1F71" w:rsidP="00D7028E">
            <w:pPr>
              <w:ind w:left="0" w:right="0"/>
              <w:rPr>
                <w:sz w:val="20"/>
              </w:rPr>
            </w:pPr>
            <w:r w:rsidRPr="00D7028E">
              <w:rPr>
                <w:sz w:val="20"/>
              </w:rPr>
              <w:t>352</w:t>
            </w:r>
          </w:p>
        </w:tc>
        <w:tc>
          <w:tcPr>
            <w:tcW w:w="733" w:type="pct"/>
          </w:tcPr>
          <w:p w14:paraId="5DBD3EA6" w14:textId="77777777" w:rsidR="00EA1F71" w:rsidRPr="00D7028E" w:rsidRDefault="00EA1F71" w:rsidP="00D7028E">
            <w:pPr>
              <w:ind w:left="0" w:right="0"/>
              <w:rPr>
                <w:sz w:val="20"/>
              </w:rPr>
            </w:pPr>
            <w:r w:rsidRPr="00D7028E">
              <w:rPr>
                <w:sz w:val="20"/>
              </w:rPr>
              <w:t>–</w:t>
            </w:r>
          </w:p>
        </w:tc>
      </w:tr>
    </w:tbl>
    <w:p w14:paraId="1916929A" w14:textId="5E44F6BC" w:rsidR="00671141" w:rsidRDefault="00671141" w:rsidP="00671141">
      <w:pPr>
        <w:pStyle w:val="TableDescription"/>
      </w:pPr>
      <w:r>
        <w:t xml:space="preserve">Abbreviations: </w:t>
      </w:r>
      <w:r w:rsidR="009A0394" w:rsidRPr="00AB3520">
        <w:t>AUC</w:t>
      </w:r>
      <w:r w:rsidR="009A0394" w:rsidRPr="00AB3520">
        <w:rPr>
          <w:vertAlign w:val="subscript"/>
        </w:rPr>
        <w:t>0–24</w:t>
      </w:r>
      <w:r w:rsidR="009A0394" w:rsidRPr="00AB3520">
        <w:rPr>
          <w:w w:val="50"/>
          <w:vertAlign w:val="subscript"/>
        </w:rPr>
        <w:t> </w:t>
      </w:r>
      <w:r w:rsidR="009A0394" w:rsidRPr="00AB3520">
        <w:rPr>
          <w:vertAlign w:val="subscript"/>
        </w:rPr>
        <w:t>h</w:t>
      </w:r>
      <w:r w:rsidR="009A0394" w:rsidDel="009A0394">
        <w:t xml:space="preserve"> </w:t>
      </w:r>
      <w:r>
        <w:t>= area under the curve from time zero to 24 hours; PND =post-natal day</w:t>
      </w:r>
      <w:r w:rsidR="009A0394">
        <w:t>; PopPK = population pharmacokinetics; SD = standard deviation.</w:t>
      </w:r>
    </w:p>
    <w:p w14:paraId="5E5995C2" w14:textId="3D725C64" w:rsidR="009A0394" w:rsidRPr="000E4896" w:rsidRDefault="009A0394" w:rsidP="00671141">
      <w:pPr>
        <w:pStyle w:val="TableDescription"/>
      </w:pPr>
      <w:r w:rsidRPr="00AB3520">
        <w:rPr>
          <w:position w:val="-2"/>
          <w:vertAlign w:val="superscript"/>
        </w:rPr>
        <w:t>#</w:t>
      </w:r>
      <w:r w:rsidRPr="00AB3520">
        <w:t xml:space="preserve"> animal:</w:t>
      </w:r>
      <w:r>
        <w:t xml:space="preserve"> </w:t>
      </w:r>
      <w:r w:rsidRPr="00AB3520">
        <w:t>human plasma AUC</w:t>
      </w:r>
      <w:r w:rsidRPr="00AB3520">
        <w:rPr>
          <w:vertAlign w:val="subscript"/>
        </w:rPr>
        <w:t>0–24</w:t>
      </w:r>
      <w:r w:rsidRPr="00AB3520">
        <w:rPr>
          <w:w w:val="50"/>
          <w:vertAlign w:val="subscript"/>
        </w:rPr>
        <w:t> </w:t>
      </w:r>
      <w:r w:rsidRPr="00AB3520">
        <w:rPr>
          <w:vertAlign w:val="subscript"/>
        </w:rPr>
        <w:t>h</w:t>
      </w:r>
      <w:r w:rsidRPr="005B4DC1">
        <w:t xml:space="preserve">; </w:t>
      </w:r>
      <w:r w:rsidRPr="005B4DC1">
        <w:rPr>
          <w:vertAlign w:val="superscript"/>
        </w:rPr>
        <w:t>^</w:t>
      </w:r>
      <w:r>
        <w:t xml:space="preserve"> </w:t>
      </w:r>
      <w:r w:rsidRPr="005B4DC1">
        <w:t>= data are from the last sampling occasion</w:t>
      </w:r>
      <w:r>
        <w:t xml:space="preserve"> for the sexes combined.</w:t>
      </w:r>
    </w:p>
    <w:p w14:paraId="65D07184" w14:textId="479F5C2D" w:rsidR="00EA1F71" w:rsidRPr="008967E6" w:rsidRDefault="00EA1F71" w:rsidP="00671141">
      <w:pPr>
        <w:rPr>
          <w:rFonts w:cs="Lato-Regular"/>
        </w:rPr>
      </w:pPr>
      <w:r w:rsidRPr="00671141">
        <w:t>Studies</w:t>
      </w:r>
      <w:r>
        <w:t xml:space="preserve"> in juvenile rats (evaluated in </w:t>
      </w:r>
      <w:r w:rsidR="00671141">
        <w:t>the initial submission (see the related AusPAR for details</w:t>
      </w:r>
      <w:r>
        <w:t>)</w:t>
      </w:r>
      <w:r w:rsidR="00671141">
        <w:t>;</w:t>
      </w:r>
      <w:r w:rsidR="00671141" w:rsidRPr="00671141">
        <w:rPr>
          <w:vertAlign w:val="superscript"/>
        </w:rPr>
        <w:fldChar w:fldCharType="begin"/>
      </w:r>
      <w:r w:rsidR="00671141" w:rsidRPr="00671141">
        <w:rPr>
          <w:vertAlign w:val="superscript"/>
        </w:rPr>
        <w:instrText xml:space="preserve"> NOTEREF _Ref120630016 \h  \* MERGEFORMAT </w:instrText>
      </w:r>
      <w:r w:rsidR="00671141" w:rsidRPr="00671141">
        <w:rPr>
          <w:vertAlign w:val="superscript"/>
        </w:rPr>
      </w:r>
      <w:r w:rsidR="00671141" w:rsidRPr="00671141">
        <w:rPr>
          <w:vertAlign w:val="superscript"/>
        </w:rPr>
        <w:fldChar w:fldCharType="separate"/>
      </w:r>
      <w:r w:rsidR="00B51532">
        <w:rPr>
          <w:vertAlign w:val="superscript"/>
        </w:rPr>
        <w:t>29</w:t>
      </w:r>
      <w:r w:rsidR="00671141" w:rsidRPr="00671141">
        <w:rPr>
          <w:vertAlign w:val="superscript"/>
        </w:rPr>
        <w:fldChar w:fldCharType="end"/>
      </w:r>
      <w:r>
        <w:t xml:space="preserve"> revealed similar findings to those seen in treated adults: lymphopaenia and lymphoid depletion in the spleen, thymus and other lymphoid tissues (JAK1 inhibition) and, at higher doses, reduced red blood cell parameters and reticulocytes with decreased bone marrow haematopoiesis (JAK2 inhibition). Immune responses were compromised as demonstrated by the T cell dependent antibody response assay. Reversibility of effects was not examined. A </w:t>
      </w:r>
      <w:r w:rsidR="00671141">
        <w:t>no observable adverse effect level</w:t>
      </w:r>
      <w:r>
        <w:t xml:space="preserve"> of 20 mg/kg/day was est</w:t>
      </w:r>
      <w:r w:rsidR="00671141">
        <w:t>ablished in juvenile animals (relative exposure</w:t>
      </w:r>
      <w:r>
        <w:t xml:space="preserve"> </w:t>
      </w:r>
      <w:r w:rsidR="009A0394">
        <w:t xml:space="preserve">of </w:t>
      </w:r>
      <w:r>
        <w:t>81 base</w:t>
      </w:r>
      <w:r w:rsidR="00671141">
        <w:t>d</w:t>
      </w:r>
      <w:r>
        <w:t xml:space="preserve"> on an </w:t>
      </w:r>
      <w:r w:rsidR="00671141">
        <w:t>area under the curve (</w:t>
      </w:r>
      <w:r>
        <w:t>AUC</w:t>
      </w:r>
      <w:r w:rsidR="00671141">
        <w:t>) of 28450 </w:t>
      </w:r>
      <w:r>
        <w:t>ng</w:t>
      </w:r>
      <w:r w:rsidR="009A0394">
        <w:t xml:space="preserve"> x </w:t>
      </w:r>
      <w:r>
        <w:t>h/mL in juvenile rats and 352 ng</w:t>
      </w:r>
      <w:r w:rsidR="009A0394">
        <w:t xml:space="preserve"> x </w:t>
      </w:r>
      <w:r>
        <w:t xml:space="preserve">h/mL in adolescent patients). </w:t>
      </w:r>
      <w:r w:rsidRPr="00FF5DD1">
        <w:t xml:space="preserve">Overall, juvenile animals do not appear to be more prone to </w:t>
      </w:r>
      <w:r>
        <w:t>upadacitinib</w:t>
      </w:r>
      <w:r w:rsidRPr="00FF5DD1">
        <w:t xml:space="preserve"> toxicity compared to adults.</w:t>
      </w:r>
    </w:p>
    <w:p w14:paraId="089FC4D3" w14:textId="63069D80" w:rsidR="00EA1F71" w:rsidRPr="002A7CCB" w:rsidRDefault="00EA1F71" w:rsidP="002A7CCB">
      <w:r>
        <w:t xml:space="preserve">Population </w:t>
      </w:r>
      <w:r w:rsidR="00671141">
        <w:t>pharmacokinetic</w:t>
      </w:r>
      <w:r>
        <w:t xml:space="preserve"> studies conducted in adults with </w:t>
      </w:r>
      <w:r w:rsidR="00671141">
        <w:t>atopic dermatitis</w:t>
      </w:r>
      <w:r>
        <w:t xml:space="preserve"> following a dose of 30 mg/day demonstra</w:t>
      </w:r>
      <w:r w:rsidR="00671141">
        <w:t>ted a roughly 2</w:t>
      </w:r>
      <w:r w:rsidR="00671141">
        <w:noBreakHyphen/>
      </w:r>
      <w:r>
        <w:t>fold increase in exposure compared to the 15 mg/day dose that is currently registered. Exposure mar</w:t>
      </w:r>
      <w:r w:rsidR="002A7CCB">
        <w:t>gins calculated in the nonclinical evaluation of upadacitinib</w:t>
      </w:r>
      <w:r>
        <w:t xml:space="preserve"> </w:t>
      </w:r>
      <w:r w:rsidR="002A7CCB">
        <w:t>in the initial submission for registration;</w:t>
      </w:r>
      <w:r w:rsidR="002A7CCB" w:rsidRPr="00671141">
        <w:rPr>
          <w:vertAlign w:val="superscript"/>
        </w:rPr>
        <w:fldChar w:fldCharType="begin"/>
      </w:r>
      <w:r w:rsidR="002A7CCB" w:rsidRPr="00671141">
        <w:rPr>
          <w:vertAlign w:val="superscript"/>
        </w:rPr>
        <w:instrText xml:space="preserve"> NOTEREF _Ref120630016 \h  \* MERGEFORMAT </w:instrText>
      </w:r>
      <w:r w:rsidR="002A7CCB" w:rsidRPr="00671141">
        <w:rPr>
          <w:vertAlign w:val="superscript"/>
        </w:rPr>
      </w:r>
      <w:r w:rsidR="002A7CCB" w:rsidRPr="00671141">
        <w:rPr>
          <w:vertAlign w:val="superscript"/>
        </w:rPr>
        <w:fldChar w:fldCharType="separate"/>
      </w:r>
      <w:r w:rsidR="00B51532">
        <w:rPr>
          <w:vertAlign w:val="superscript"/>
        </w:rPr>
        <w:t>29</w:t>
      </w:r>
      <w:r w:rsidR="002A7CCB" w:rsidRPr="00671141">
        <w:rPr>
          <w:vertAlign w:val="superscript"/>
        </w:rPr>
        <w:fldChar w:fldCharType="end"/>
      </w:r>
      <w:r w:rsidR="002A7CCB">
        <w:t xml:space="preserve"> </w:t>
      </w:r>
      <w:r>
        <w:t>that were calculated using exposure from a 15 mg/day do</w:t>
      </w:r>
      <w:r w:rsidR="002A7CCB">
        <w:t>se are therefore lower by approximately 2</w:t>
      </w:r>
      <w:r w:rsidR="002A7CCB">
        <w:noBreakHyphen/>
      </w:r>
      <w:r>
        <w:t>f</w:t>
      </w:r>
      <w:r w:rsidR="002A7CCB">
        <w:t>old compared with the higher 30 </w:t>
      </w:r>
      <w:r>
        <w:t xml:space="preserve">mg/day dose, however this does not affect the safety assessment and potential risks identified in the original nonclinical </w:t>
      </w:r>
      <w:r w:rsidR="002A7CCB">
        <w:t>evaluation</w:t>
      </w:r>
      <w:r>
        <w:t>. It is appropriate tha</w:t>
      </w:r>
      <w:r w:rsidR="002A7CCB">
        <w:t xml:space="preserve">t the lower margins with the </w:t>
      </w:r>
      <w:r w:rsidR="002A7CCB" w:rsidRPr="002A7CCB">
        <w:t>30 </w:t>
      </w:r>
      <w:r w:rsidRPr="002A7CCB">
        <w:t xml:space="preserve">mg/day dose are included in the </w:t>
      </w:r>
      <w:r w:rsidR="002A7CCB" w:rsidRPr="002A7CCB">
        <w:t>PI</w:t>
      </w:r>
      <w:r w:rsidRPr="002A7CCB">
        <w:t xml:space="preserve">. </w:t>
      </w:r>
    </w:p>
    <w:p w14:paraId="744E8D65" w14:textId="374AD4EB" w:rsidR="00EA1F71" w:rsidRDefault="00EA1F71" w:rsidP="002A7CCB">
      <w:r w:rsidRPr="002A7CCB">
        <w:t xml:space="preserve">The </w:t>
      </w:r>
      <w:r w:rsidR="002A7CCB">
        <w:t>s</w:t>
      </w:r>
      <w:r w:rsidRPr="002A7CCB">
        <w:t>ponsor</w:t>
      </w:r>
      <w:r w:rsidRPr="00971B3A">
        <w:t xml:space="preserve"> provided three literature references to support nonclinical statements proposed for the </w:t>
      </w:r>
      <w:r w:rsidR="002A7CCB">
        <w:t>PI</w:t>
      </w:r>
      <w:r w:rsidRPr="00971B3A">
        <w:t xml:space="preserve"> document regarding the mechanism of action of upadacitinib in the pathogenesis of </w:t>
      </w:r>
      <w:r w:rsidR="002A7CCB">
        <w:t>atopic dermatitis</w:t>
      </w:r>
      <w:r w:rsidRPr="00971B3A">
        <w:t>.</w:t>
      </w:r>
      <w:r w:rsidR="00B51532">
        <w:t xml:space="preserve"> </w:t>
      </w:r>
      <w:r w:rsidRPr="00190C72">
        <w:rPr>
          <w:rFonts w:cs="STIX-Regular"/>
        </w:rPr>
        <w:t xml:space="preserve">These and other published studies describe the pathogenesis of </w:t>
      </w:r>
      <w:r w:rsidR="002A7CCB">
        <w:rPr>
          <w:rFonts w:cs="STIX-Regular"/>
        </w:rPr>
        <w:t>atopic dermatitis. Atopic dermatitis</w:t>
      </w:r>
      <w:r w:rsidRPr="00971B3A">
        <w:rPr>
          <w:rFonts w:cs="STIX-Regular"/>
        </w:rPr>
        <w:t xml:space="preserve"> is driven by barrier dysfunction and abnormal immune activation of T helper </w:t>
      </w:r>
      <w:r w:rsidR="002A7CCB">
        <w:rPr>
          <w:rFonts w:cs="STIX-Regular"/>
        </w:rPr>
        <w:t>cell</w:t>
      </w:r>
      <w:r w:rsidR="009A0394">
        <w:rPr>
          <w:rFonts w:cs="STIX-Regular"/>
        </w:rPr>
        <w:t>s</w:t>
      </w:r>
      <w:r w:rsidR="002A7CCB">
        <w:rPr>
          <w:rFonts w:cs="STIX-Regular"/>
        </w:rPr>
        <w:t xml:space="preserve"> </w:t>
      </w:r>
      <w:r w:rsidRPr="00971B3A">
        <w:rPr>
          <w:rFonts w:cs="STIX-Regular"/>
        </w:rPr>
        <w:t>(T</w:t>
      </w:r>
      <w:r w:rsidRPr="002A7CCB">
        <w:rPr>
          <w:rFonts w:cs="STIX-Regular"/>
          <w:vertAlign w:val="subscript"/>
        </w:rPr>
        <w:t>h</w:t>
      </w:r>
      <w:r w:rsidRPr="00971B3A">
        <w:rPr>
          <w:rFonts w:cs="STIX-Regular"/>
        </w:rPr>
        <w:t>)</w:t>
      </w:r>
      <w:r w:rsidR="009A0394">
        <w:rPr>
          <w:rFonts w:cs="STIX-Regular"/>
        </w:rPr>
        <w:t>-</w:t>
      </w:r>
      <w:r w:rsidRPr="00971B3A">
        <w:rPr>
          <w:rFonts w:cs="STIX-Regular"/>
        </w:rPr>
        <w:t>2</w:t>
      </w:r>
      <w:r w:rsidR="002A7CCB">
        <w:rPr>
          <w:rFonts w:cs="STIX-Regular"/>
        </w:rPr>
        <w:t xml:space="preserve"> (T</w:t>
      </w:r>
      <w:r w:rsidR="002A7CCB" w:rsidRPr="002A7CCB">
        <w:rPr>
          <w:rFonts w:cs="STIX-Regular"/>
          <w:vertAlign w:val="subscript"/>
        </w:rPr>
        <w:t>h</w:t>
      </w:r>
      <w:r w:rsidR="002A7CCB">
        <w:rPr>
          <w:rFonts w:cs="STIX-Regular"/>
        </w:rPr>
        <w:t>2)</w:t>
      </w:r>
      <w:r w:rsidRPr="00971B3A">
        <w:rPr>
          <w:rFonts w:cs="STIX-Regular"/>
        </w:rPr>
        <w:t>,</w:t>
      </w:r>
      <w:r w:rsidR="009A0394">
        <w:rPr>
          <w:rFonts w:cs="STIX-Regular"/>
        </w:rPr>
        <w:t xml:space="preserve"> and</w:t>
      </w:r>
      <w:r w:rsidRPr="00971B3A">
        <w:rPr>
          <w:rFonts w:cs="STIX-Regular"/>
        </w:rPr>
        <w:t xml:space="preserve"> T</w:t>
      </w:r>
      <w:r w:rsidRPr="002A7CCB">
        <w:rPr>
          <w:rFonts w:cs="STIX-Regular"/>
          <w:vertAlign w:val="subscript"/>
        </w:rPr>
        <w:t>h</w:t>
      </w:r>
      <w:r w:rsidRPr="00971B3A">
        <w:rPr>
          <w:rFonts w:cs="STIX-Regular"/>
        </w:rPr>
        <w:t>22, with varying degrees of T</w:t>
      </w:r>
      <w:r w:rsidRPr="002A7CCB">
        <w:rPr>
          <w:rFonts w:cs="STIX-Regular"/>
          <w:vertAlign w:val="subscript"/>
        </w:rPr>
        <w:t>h</w:t>
      </w:r>
      <w:r w:rsidRPr="00971B3A">
        <w:rPr>
          <w:rFonts w:cs="STIX-Regular"/>
        </w:rPr>
        <w:t>1 and T</w:t>
      </w:r>
      <w:r w:rsidRPr="002A7CCB">
        <w:rPr>
          <w:rFonts w:cs="STIX-Regular"/>
          <w:vertAlign w:val="subscript"/>
        </w:rPr>
        <w:t>h</w:t>
      </w:r>
      <w:r w:rsidRPr="00971B3A">
        <w:rPr>
          <w:rFonts w:cs="STIX-Regular"/>
        </w:rPr>
        <w:t xml:space="preserve">17 also involved. The JAK–signal transducer and activator of transcription (STAT) and spleen tyrosine kinase (SYK) pathways are involved in signalling of several </w:t>
      </w:r>
      <w:r w:rsidR="002A7CCB">
        <w:rPr>
          <w:rFonts w:cs="STIX-Regular"/>
        </w:rPr>
        <w:t>atopic dermatitis</w:t>
      </w:r>
      <w:r w:rsidRPr="00971B3A">
        <w:rPr>
          <w:rFonts w:cs="STIX-Regular"/>
        </w:rPr>
        <w:t xml:space="preserve">-related cytokines, such as </w:t>
      </w:r>
      <w:r w:rsidR="002A7CCB">
        <w:rPr>
          <w:rFonts w:cs="STIX-Regular"/>
        </w:rPr>
        <w:t>interferon gamma (</w:t>
      </w:r>
      <w:r w:rsidRPr="00971B3A">
        <w:rPr>
          <w:rFonts w:cs="STIX-Regular"/>
        </w:rPr>
        <w:t>IFN-γ</w:t>
      </w:r>
      <w:r w:rsidR="002A7CCB">
        <w:rPr>
          <w:rFonts w:cs="STIX-Regular"/>
        </w:rPr>
        <w:t>)</w:t>
      </w:r>
      <w:r w:rsidRPr="00971B3A">
        <w:rPr>
          <w:rFonts w:cs="STIX-Regular"/>
        </w:rPr>
        <w:t>,</w:t>
      </w:r>
      <w:r w:rsidR="002A7CCB">
        <w:rPr>
          <w:rFonts w:cs="STIX-Regular"/>
        </w:rPr>
        <w:t xml:space="preserve"> the interleukins </w:t>
      </w:r>
      <w:r w:rsidR="002A7CCB">
        <w:rPr>
          <w:rFonts w:cs="STIX-Regular"/>
        </w:rPr>
        <w:lastRenderedPageBreak/>
        <w:t>(IL):</w:t>
      </w:r>
      <w:r w:rsidRPr="00971B3A">
        <w:rPr>
          <w:rFonts w:cs="STIX-Regular"/>
        </w:rPr>
        <w:t xml:space="preserve"> IL-4, IL-13, IL-31, IL-33, IL-23, IL-22, IL-17</w:t>
      </w:r>
      <w:r w:rsidR="002A7CCB">
        <w:rPr>
          <w:rFonts w:cs="STIX-Regular"/>
        </w:rPr>
        <w:t>;</w:t>
      </w:r>
      <w:r w:rsidRPr="00971B3A">
        <w:rPr>
          <w:rFonts w:cs="STIX-Regular"/>
        </w:rPr>
        <w:t xml:space="preserve"> and thymic stromal lymphopoietin (TSLP), mediating downstream inflammation and barrier alterations</w:t>
      </w:r>
      <w:bookmarkStart w:id="57" w:name="_Ref70085217"/>
      <w:r w:rsidR="002A7CCB">
        <w:rPr>
          <w:rFonts w:cs="STIX-Regular"/>
        </w:rPr>
        <w:t>.</w:t>
      </w:r>
      <w:r>
        <w:rPr>
          <w:rStyle w:val="FootnoteReference"/>
          <w:rFonts w:cs="STIX-Regular"/>
        </w:rPr>
        <w:footnoteReference w:id="31"/>
      </w:r>
      <w:bookmarkEnd w:id="57"/>
      <w:r w:rsidRPr="00971B3A">
        <w:rPr>
          <w:rFonts w:cs="STIX-Regular"/>
          <w:vertAlign w:val="superscript"/>
        </w:rPr>
        <w:t>,</w:t>
      </w:r>
      <w:r>
        <w:rPr>
          <w:rStyle w:val="FootnoteReference"/>
          <w:rFonts w:cs="STIX-Regular"/>
        </w:rPr>
        <w:footnoteReference w:id="32"/>
      </w:r>
      <w:r w:rsidRPr="00971B3A">
        <w:rPr>
          <w:rFonts w:cs="STIX-Regular"/>
          <w:vertAlign w:val="superscript"/>
        </w:rPr>
        <w:t>,</w:t>
      </w:r>
      <w:r>
        <w:rPr>
          <w:rStyle w:val="FootnoteReference"/>
          <w:rFonts w:cs="STIX-Regular"/>
        </w:rPr>
        <w:footnoteReference w:id="33"/>
      </w:r>
      <w:r w:rsidRPr="00971B3A">
        <w:rPr>
          <w:rFonts w:cs="STIX-Regular"/>
          <w:vertAlign w:val="superscript"/>
        </w:rPr>
        <w:t>,</w:t>
      </w:r>
      <w:r>
        <w:rPr>
          <w:rStyle w:val="FootnoteReference"/>
          <w:rFonts w:cs="STIX-Regular"/>
        </w:rPr>
        <w:footnoteReference w:id="34"/>
      </w:r>
      <w:r w:rsidRPr="00971B3A">
        <w:rPr>
          <w:rFonts w:cs="STIX-Regular"/>
        </w:rPr>
        <w:t xml:space="preserve"> The </w:t>
      </w:r>
      <w:r w:rsidR="002A7CCB">
        <w:rPr>
          <w:rFonts w:cs="STIX-Regular"/>
        </w:rPr>
        <w:t>gamma chain (</w:t>
      </w:r>
      <w:r w:rsidRPr="00971B3A">
        <w:rPr>
          <w:rFonts w:cs="STIX-Regular"/>
        </w:rPr>
        <w:t>γc</w:t>
      </w:r>
      <w:r w:rsidR="002A7CCB">
        <w:rPr>
          <w:rFonts w:cs="STIX-Regular"/>
        </w:rPr>
        <w:t>)</w:t>
      </w:r>
      <w:r w:rsidRPr="00971B3A">
        <w:rPr>
          <w:rFonts w:cs="STIX-Regular"/>
        </w:rPr>
        <w:t xml:space="preserve"> family of cytokines, including IL-4, and a number of other key cytokines including </w:t>
      </w:r>
      <w:r w:rsidR="002A7CCB">
        <w:rPr>
          <w:rFonts w:cs="STIX-Regular"/>
        </w:rPr>
        <w:t>interferons alpha (</w:t>
      </w:r>
      <w:r w:rsidRPr="00971B3A">
        <w:rPr>
          <w:rFonts w:cs="STIX-Regular"/>
        </w:rPr>
        <w:t>IFN-α</w:t>
      </w:r>
      <w:r w:rsidR="002A7CCB">
        <w:rPr>
          <w:rFonts w:cs="STIX-Regular"/>
        </w:rPr>
        <w:t>)</w:t>
      </w:r>
      <w:r w:rsidRPr="00971B3A">
        <w:rPr>
          <w:rFonts w:cs="STIX-Regular"/>
        </w:rPr>
        <w:t xml:space="preserve"> and</w:t>
      </w:r>
      <w:r w:rsidR="002A7CCB">
        <w:rPr>
          <w:rFonts w:cs="STIX-Regular"/>
        </w:rPr>
        <w:t xml:space="preserve"> beta</w:t>
      </w:r>
      <w:r w:rsidRPr="00971B3A">
        <w:rPr>
          <w:rFonts w:cs="STIX-Regular"/>
        </w:rPr>
        <w:t xml:space="preserve"> </w:t>
      </w:r>
      <w:r w:rsidR="002A7CCB">
        <w:rPr>
          <w:rFonts w:cs="STIX-Regular"/>
        </w:rPr>
        <w:t xml:space="preserve">(IFN-β; </w:t>
      </w:r>
      <w:r w:rsidRPr="00971B3A">
        <w:rPr>
          <w:rFonts w:cs="STIX-Regular"/>
        </w:rPr>
        <w:t>JAK1/TYK2 dependent), IFN-γ (JAK1/JAK2 dependent), IL-6 (JAK1/JAK2/TYK2 dependent), and IL</w:t>
      </w:r>
      <w:r>
        <w:rPr>
          <w:rFonts w:cs="STIX-Regular"/>
        </w:rPr>
        <w:noBreakHyphen/>
      </w:r>
      <w:r w:rsidRPr="00971B3A">
        <w:rPr>
          <w:rFonts w:cs="STIX-Regular"/>
        </w:rPr>
        <w:t>21 (JAK1/JAK3 dependent) require JAK1 for signal transduction</w:t>
      </w:r>
      <w:r w:rsidR="00D315DA">
        <w:rPr>
          <w:rFonts w:cs="STIX-Regular"/>
        </w:rPr>
        <w:t>.</w:t>
      </w:r>
      <w:r w:rsidRPr="00971B3A">
        <w:rPr>
          <w:rFonts w:cs="STIX-Regular"/>
          <w:vertAlign w:val="superscript"/>
        </w:rPr>
        <w:fldChar w:fldCharType="begin"/>
      </w:r>
      <w:r w:rsidRPr="00971B3A">
        <w:rPr>
          <w:rFonts w:cs="STIX-Regular"/>
          <w:vertAlign w:val="superscript"/>
        </w:rPr>
        <w:instrText xml:space="preserve"> NOTEREF _Ref70085217 \h  \* MERGEFORMAT </w:instrText>
      </w:r>
      <w:r w:rsidRPr="00971B3A">
        <w:rPr>
          <w:rFonts w:cs="STIX-Regular"/>
          <w:vertAlign w:val="superscript"/>
        </w:rPr>
      </w:r>
      <w:r w:rsidRPr="00971B3A">
        <w:rPr>
          <w:rFonts w:cs="STIX-Regular"/>
          <w:vertAlign w:val="superscript"/>
        </w:rPr>
        <w:fldChar w:fldCharType="separate"/>
      </w:r>
      <w:r w:rsidR="00B51532">
        <w:rPr>
          <w:rFonts w:cs="STIX-Regular"/>
          <w:vertAlign w:val="superscript"/>
        </w:rPr>
        <w:t>31</w:t>
      </w:r>
      <w:r w:rsidRPr="00971B3A">
        <w:rPr>
          <w:rFonts w:cs="STIX-Regular"/>
          <w:vertAlign w:val="superscript"/>
        </w:rPr>
        <w:fldChar w:fldCharType="end"/>
      </w:r>
      <w:r w:rsidRPr="00971B3A">
        <w:rPr>
          <w:rFonts w:cs="STIX-Regular"/>
        </w:rPr>
        <w:t xml:space="preserve"> </w:t>
      </w:r>
      <w:r>
        <w:t xml:space="preserve">In </w:t>
      </w:r>
      <w:r w:rsidR="002A7CCB">
        <w:t>the P</w:t>
      </w:r>
      <w:r>
        <w:t xml:space="preserve">hase II clinical trials in adults with moderate to severe </w:t>
      </w:r>
      <w:r w:rsidR="002A7CCB">
        <w:t>atopic dermatitis</w:t>
      </w:r>
      <w:r>
        <w:t>, upadacitinib resulted in a dose-dependent reduction in symptoms</w:t>
      </w:r>
      <w:r w:rsidR="002A7CCB">
        <w:t>.</w:t>
      </w:r>
      <w:r w:rsidRPr="00971B3A">
        <w:rPr>
          <w:vertAlign w:val="superscript"/>
        </w:rPr>
        <w:fldChar w:fldCharType="begin"/>
      </w:r>
      <w:r w:rsidRPr="00971B3A">
        <w:rPr>
          <w:vertAlign w:val="superscript"/>
        </w:rPr>
        <w:instrText xml:space="preserve"> NOTEREF _Ref70085217 \h  \* MERGEFORMAT </w:instrText>
      </w:r>
      <w:r w:rsidRPr="00971B3A">
        <w:rPr>
          <w:vertAlign w:val="superscript"/>
        </w:rPr>
      </w:r>
      <w:r w:rsidRPr="00971B3A">
        <w:rPr>
          <w:vertAlign w:val="superscript"/>
        </w:rPr>
        <w:fldChar w:fldCharType="separate"/>
      </w:r>
      <w:r w:rsidR="00B51532">
        <w:rPr>
          <w:vertAlign w:val="superscript"/>
        </w:rPr>
        <w:t>31</w:t>
      </w:r>
      <w:r w:rsidRPr="00971B3A">
        <w:rPr>
          <w:vertAlign w:val="superscript"/>
        </w:rPr>
        <w:fldChar w:fldCharType="end"/>
      </w:r>
    </w:p>
    <w:p w14:paraId="67A55B34" w14:textId="100D7C76" w:rsidR="00E606A2" w:rsidRDefault="00E606A2" w:rsidP="00E606A2">
      <w:pPr>
        <w:pStyle w:val="Heading4"/>
      </w:pPr>
      <w:r>
        <w:t>Conclusions and recommendations</w:t>
      </w:r>
    </w:p>
    <w:p w14:paraId="4D9FE5C8" w14:textId="6DBC30B4" w:rsidR="00EA1F71" w:rsidRDefault="00EA1F71" w:rsidP="00E606A2">
      <w:r w:rsidRPr="00FF5DD1">
        <w:t>No new major target organs of toxicity have been identified in juvenile animals</w:t>
      </w:r>
      <w:r>
        <w:t xml:space="preserve"> and o</w:t>
      </w:r>
      <w:r w:rsidRPr="00FF5DD1">
        <w:t xml:space="preserve">verall, juvenile animals do not appear to be more prone to </w:t>
      </w:r>
      <w:r>
        <w:t>upadacitinib</w:t>
      </w:r>
      <w:r w:rsidRPr="00FF5DD1">
        <w:t xml:space="preserve"> toxicity compared to adults.</w:t>
      </w:r>
    </w:p>
    <w:p w14:paraId="0A3F1B53" w14:textId="73A2FB49" w:rsidR="00EA1F71" w:rsidRPr="00E606A2" w:rsidRDefault="00EA1F71" w:rsidP="00E606A2">
      <w:r w:rsidRPr="00E606A2">
        <w:t xml:space="preserve">In adults, a dose of 30 mg/day resulted in a 2-fold increase in exposure compared to the 15 mg/day dose. The increase in exposure does not change the overall safety assessment from the original nonclinical </w:t>
      </w:r>
      <w:r w:rsidR="00E606A2">
        <w:t>evaluation for the initial submission to approve Rinvoq (upadacitinib) for rheumatoid arthritis</w:t>
      </w:r>
      <w:r w:rsidRPr="00E606A2">
        <w:t>.</w:t>
      </w:r>
      <w:r w:rsidR="00E606A2">
        <w:rPr>
          <w:vertAlign w:val="superscript"/>
        </w:rPr>
        <w:fldChar w:fldCharType="begin"/>
      </w:r>
      <w:r w:rsidR="00E606A2">
        <w:rPr>
          <w:vertAlign w:val="superscript"/>
        </w:rPr>
        <w:instrText xml:space="preserve"> NOTEREF _Ref120630016 \h  \* MERGEFORMAT </w:instrText>
      </w:r>
      <w:r w:rsidR="00E606A2">
        <w:rPr>
          <w:vertAlign w:val="superscript"/>
        </w:rPr>
      </w:r>
      <w:r w:rsidR="00E606A2">
        <w:rPr>
          <w:vertAlign w:val="superscript"/>
        </w:rPr>
        <w:fldChar w:fldCharType="separate"/>
      </w:r>
      <w:r w:rsidR="00B51532">
        <w:rPr>
          <w:vertAlign w:val="superscript"/>
        </w:rPr>
        <w:t>29</w:t>
      </w:r>
      <w:r w:rsidR="00E606A2">
        <w:rPr>
          <w:vertAlign w:val="superscript"/>
        </w:rPr>
        <w:fldChar w:fldCharType="end"/>
      </w:r>
    </w:p>
    <w:p w14:paraId="320807AF" w14:textId="2EAD9693" w:rsidR="00EA1F71" w:rsidRPr="00E606A2" w:rsidRDefault="00EA1F71" w:rsidP="00E606A2">
      <w:r w:rsidRPr="00E606A2">
        <w:t xml:space="preserve">There are no nonclinical objections to the proposed extension of indications for the treatment of </w:t>
      </w:r>
      <w:r w:rsidR="00E606A2">
        <w:t>atopic dermatitis</w:t>
      </w:r>
      <w:r w:rsidRPr="00E606A2">
        <w:t xml:space="preserve"> in adults at a dose of 30 mg/day and adolescents at a dose of 15 mg/day.</w:t>
      </w:r>
    </w:p>
    <w:p w14:paraId="49DA0A99" w14:textId="234C4085" w:rsidR="008E7846" w:rsidRDefault="008E7846" w:rsidP="008E7846">
      <w:pPr>
        <w:pStyle w:val="Heading3"/>
      </w:pPr>
      <w:bookmarkStart w:id="58" w:name="_Toc247691530"/>
      <w:bookmarkStart w:id="59" w:name="_Toc314842513"/>
      <w:bookmarkStart w:id="60" w:name="_Toc129093306"/>
      <w:r>
        <w:t>Clinical</w:t>
      </w:r>
      <w:bookmarkEnd w:id="58"/>
      <w:bookmarkEnd w:id="59"/>
      <w:bookmarkEnd w:id="60"/>
    </w:p>
    <w:p w14:paraId="2849B0B2" w14:textId="77777777" w:rsidR="0074163C" w:rsidRDefault="0074163C" w:rsidP="0074163C">
      <w:pPr>
        <w:pStyle w:val="Heading4"/>
      </w:pPr>
      <w:bookmarkStart w:id="61" w:name="_Toc98931928"/>
      <w:r>
        <w:t>Summary of clinical studies</w:t>
      </w:r>
      <w:bookmarkEnd w:id="61"/>
    </w:p>
    <w:p w14:paraId="2E0C6AD1" w14:textId="2B9BA291" w:rsidR="0074163C" w:rsidRDefault="0074163C" w:rsidP="0074163C">
      <w:r>
        <w:t xml:space="preserve">The clinical dossier consisted of </w:t>
      </w:r>
      <w:r w:rsidR="00A41785">
        <w:t>the following:</w:t>
      </w:r>
    </w:p>
    <w:p w14:paraId="0CDA9392" w14:textId="5FACD06D" w:rsidR="0088203B" w:rsidRDefault="0088203B" w:rsidP="0088203B">
      <w:pPr>
        <w:pStyle w:val="ListBullet"/>
      </w:pPr>
      <w:r>
        <w:t>One Phase I study:</w:t>
      </w:r>
    </w:p>
    <w:p w14:paraId="03C4D2D9" w14:textId="30ED8B52" w:rsidR="0088203B" w:rsidRDefault="0088203B" w:rsidP="0088203B">
      <w:pPr>
        <w:pStyle w:val="ListBullet2"/>
      </w:pPr>
      <w:r>
        <w:t xml:space="preserve">Study M20-017, a </w:t>
      </w:r>
      <w:r>
        <w:rPr>
          <w:lang w:val="en-US"/>
        </w:rPr>
        <w:t>Phase I</w:t>
      </w:r>
      <w:r w:rsidRPr="00AA468B">
        <w:rPr>
          <w:lang w:val="en-US"/>
        </w:rPr>
        <w:t xml:space="preserve"> study to evaluate the bioavailability after a high-fat/</w:t>
      </w:r>
      <w:r>
        <w:rPr>
          <w:lang w:val="en-US"/>
        </w:rPr>
        <w:t xml:space="preserve"> </w:t>
      </w:r>
      <w:r w:rsidRPr="00AA468B">
        <w:rPr>
          <w:lang w:val="en-US"/>
        </w:rPr>
        <w:t>high-calorie meal and under fasting conditions of upadacitinib market-image formulation relative to the wet granulated formu</w:t>
      </w:r>
      <w:r>
        <w:rPr>
          <w:lang w:val="en-US"/>
        </w:rPr>
        <w:t xml:space="preserve">lation </w:t>
      </w:r>
      <w:r w:rsidR="00A41785">
        <w:rPr>
          <w:lang w:val="en-US"/>
        </w:rPr>
        <w:t>used</w:t>
      </w:r>
      <w:r>
        <w:rPr>
          <w:lang w:val="en-US"/>
        </w:rPr>
        <w:t xml:space="preserve"> in upadacitinib Phase III</w:t>
      </w:r>
      <w:r w:rsidRPr="00AA468B">
        <w:rPr>
          <w:lang w:val="en-US"/>
        </w:rPr>
        <w:t xml:space="preserve"> trials</w:t>
      </w:r>
      <w:r w:rsidR="00A41785">
        <w:rPr>
          <w:lang w:val="en-US"/>
        </w:rPr>
        <w:t>.</w:t>
      </w:r>
    </w:p>
    <w:p w14:paraId="17C21188" w14:textId="77777777" w:rsidR="0088203B" w:rsidRDefault="0088203B" w:rsidP="0088203B">
      <w:pPr>
        <w:pStyle w:val="ListBullet"/>
      </w:pPr>
      <w:r>
        <w:t>Two population pharmacokinetic (popPK) analyses:</w:t>
      </w:r>
    </w:p>
    <w:p w14:paraId="15A3EB12" w14:textId="1BB50F5D" w:rsidR="0088203B" w:rsidRPr="0088203B" w:rsidRDefault="0088203B" w:rsidP="0088203B">
      <w:pPr>
        <w:pStyle w:val="ListBullet2"/>
      </w:pPr>
      <w:r w:rsidRPr="0088203B">
        <w:rPr>
          <w:lang w:val="en-US"/>
        </w:rPr>
        <w:t>Analysis R&amp;D/18/1079</w:t>
      </w:r>
      <w:r>
        <w:rPr>
          <w:lang w:val="en-US"/>
        </w:rPr>
        <w:t>,</w:t>
      </w:r>
      <w:r w:rsidR="00B51532">
        <w:rPr>
          <w:lang w:val="en-US"/>
        </w:rPr>
        <w:t xml:space="preserve"> </w:t>
      </w:r>
      <w:r>
        <w:rPr>
          <w:lang w:val="en-US"/>
        </w:rPr>
        <w:t>the population p</w:t>
      </w:r>
      <w:r w:rsidRPr="0088203B">
        <w:rPr>
          <w:lang w:val="en-US"/>
        </w:rPr>
        <w:t>harmacokinetics of upadacitinib in healthy subjects and subje</w:t>
      </w:r>
      <w:r>
        <w:rPr>
          <w:lang w:val="en-US"/>
        </w:rPr>
        <w:t>cts with rheumatoid arthritis, C</w:t>
      </w:r>
      <w:r w:rsidRPr="0088203B">
        <w:rPr>
          <w:lang w:val="en-US"/>
        </w:rPr>
        <w:t xml:space="preserve">rohn's disease, ulcerative colitis or </w:t>
      </w:r>
      <w:r>
        <w:rPr>
          <w:lang w:val="en-US"/>
        </w:rPr>
        <w:t>atopic dermatitis: analyses of Phase I and II studies</w:t>
      </w:r>
      <w:r w:rsidR="001D040E">
        <w:rPr>
          <w:lang w:val="en-US"/>
        </w:rPr>
        <w:t>.</w:t>
      </w:r>
    </w:p>
    <w:p w14:paraId="101AC731" w14:textId="0A1FECC0" w:rsidR="0088203B" w:rsidRPr="001D040E" w:rsidRDefault="0088203B" w:rsidP="0088203B">
      <w:pPr>
        <w:pStyle w:val="ListBullet2"/>
      </w:pPr>
      <w:r>
        <w:rPr>
          <w:lang w:val="en-US"/>
        </w:rPr>
        <w:t xml:space="preserve">Analysis </w:t>
      </w:r>
      <w:r w:rsidRPr="0088203B">
        <w:rPr>
          <w:lang w:val="en-US"/>
        </w:rPr>
        <w:t>R&amp;D/20/0641</w:t>
      </w:r>
      <w:r w:rsidR="001D040E">
        <w:rPr>
          <w:lang w:val="en-US"/>
        </w:rPr>
        <w:t>,</w:t>
      </w:r>
      <w:r w:rsidR="00B51532">
        <w:rPr>
          <w:lang w:val="en-US"/>
        </w:rPr>
        <w:t xml:space="preserve"> </w:t>
      </w:r>
      <w:r w:rsidR="001D040E">
        <w:rPr>
          <w:lang w:val="en-US"/>
        </w:rPr>
        <w:t xml:space="preserve">a </w:t>
      </w:r>
      <w:r w:rsidR="001D040E">
        <w:rPr>
          <w:color w:val="000000"/>
          <w:lang w:val="en-US"/>
        </w:rPr>
        <w:t>p</w:t>
      </w:r>
      <w:r w:rsidR="001D040E" w:rsidRPr="0088203B">
        <w:rPr>
          <w:color w:val="000000"/>
          <w:lang w:val="en-US"/>
        </w:rPr>
        <w:t xml:space="preserve">opulation pharmacokinetic analysis of upadacitinib in healthy volunteers and adult and adolescent subjects with atopic dermatitis: </w:t>
      </w:r>
      <w:r w:rsidR="001D040E" w:rsidRPr="001D040E">
        <w:rPr>
          <w:color w:val="000000"/>
          <w:lang w:val="en-US"/>
        </w:rPr>
        <w:t>analyses of Phase I, II and III studies.</w:t>
      </w:r>
    </w:p>
    <w:p w14:paraId="002BFD54" w14:textId="7AC2A19E" w:rsidR="001D040E" w:rsidRPr="001D040E" w:rsidRDefault="0088203B" w:rsidP="001D040E">
      <w:pPr>
        <w:pStyle w:val="ListBullet"/>
        <w:rPr>
          <w:lang w:val="en-US"/>
        </w:rPr>
      </w:pPr>
      <w:r w:rsidRPr="001D040E">
        <w:t xml:space="preserve">Three </w:t>
      </w:r>
      <w:r w:rsidR="001D040E">
        <w:t>Phase III, pivotal, efficacy/safety studies:</w:t>
      </w:r>
    </w:p>
    <w:p w14:paraId="5EAED642" w14:textId="72ABE637" w:rsidR="001D040E" w:rsidRDefault="001D040E" w:rsidP="0088203B">
      <w:pPr>
        <w:pStyle w:val="ListBullet2"/>
        <w:rPr>
          <w:lang w:val="en-US"/>
        </w:rPr>
      </w:pPr>
      <w:r>
        <w:lastRenderedPageBreak/>
        <w:t>Study M16</w:t>
      </w:r>
      <w:r w:rsidR="00A41785">
        <w:t>-045</w:t>
      </w:r>
      <w:r>
        <w:t xml:space="preserve"> and Study M18-891, t</w:t>
      </w:r>
      <w:r w:rsidR="0088203B" w:rsidRPr="00AA468B">
        <w:t xml:space="preserve">wo pivotal </w:t>
      </w:r>
      <w:r>
        <w:rPr>
          <w:lang w:val="en-US"/>
        </w:rPr>
        <w:t>Phase III</w:t>
      </w:r>
      <w:r w:rsidR="0088203B" w:rsidRPr="00AA468B">
        <w:rPr>
          <w:lang w:val="en-US"/>
        </w:rPr>
        <w:t xml:space="preserve"> random</w:t>
      </w:r>
      <w:r w:rsidR="0088203B">
        <w:rPr>
          <w:lang w:val="en-US"/>
        </w:rPr>
        <w:t>is</w:t>
      </w:r>
      <w:r w:rsidR="00A41785">
        <w:rPr>
          <w:lang w:val="en-US"/>
        </w:rPr>
        <w:t>ed, placebo</w:t>
      </w:r>
      <w:r w:rsidR="00A41785">
        <w:rPr>
          <w:lang w:val="en-US"/>
        </w:rPr>
        <w:noBreakHyphen/>
      </w:r>
      <w:r w:rsidRPr="00AA468B">
        <w:rPr>
          <w:lang w:val="en-US"/>
        </w:rPr>
        <w:t>controlled, double-blind studies evaluated upadacitinib (30</w:t>
      </w:r>
      <w:r>
        <w:rPr>
          <w:lang w:val="en-US"/>
        </w:rPr>
        <w:t xml:space="preserve"> </w:t>
      </w:r>
      <w:r w:rsidRPr="00AA468B">
        <w:rPr>
          <w:lang w:val="en-US"/>
        </w:rPr>
        <w:t>mg and 15</w:t>
      </w:r>
      <w:r w:rsidR="00A41785">
        <w:rPr>
          <w:lang w:val="en-US"/>
        </w:rPr>
        <w:t> </w:t>
      </w:r>
      <w:r w:rsidRPr="00AA468B">
        <w:rPr>
          <w:lang w:val="en-US"/>
        </w:rPr>
        <w:t>mg) as monotherapy in adolescent and adult subjects with moder</w:t>
      </w:r>
      <w:r>
        <w:rPr>
          <w:lang w:val="en-US"/>
        </w:rPr>
        <w:t>ate to severe atopic dermatitis.</w:t>
      </w:r>
    </w:p>
    <w:p w14:paraId="557A44F1" w14:textId="7077C862" w:rsidR="001D040E" w:rsidRPr="001D040E" w:rsidRDefault="001D040E" w:rsidP="001D040E">
      <w:pPr>
        <w:pStyle w:val="ListBullet2"/>
        <w:rPr>
          <w:lang w:val="en-US"/>
        </w:rPr>
      </w:pPr>
      <w:r>
        <w:t>Study M16-047, one pivotal Phase III</w:t>
      </w:r>
      <w:r w:rsidR="0088203B" w:rsidRPr="001D040E">
        <w:t xml:space="preserve">, </w:t>
      </w:r>
      <w:r w:rsidR="0088203B" w:rsidRPr="001D040E">
        <w:rPr>
          <w:lang w:val="en-US"/>
        </w:rPr>
        <w:t>randomised, placebo-controlled</w:t>
      </w:r>
      <w:r>
        <w:rPr>
          <w:lang w:val="en-US"/>
        </w:rPr>
        <w:t>, double-blind study evaluated u</w:t>
      </w:r>
      <w:r w:rsidR="0088203B" w:rsidRPr="001D040E">
        <w:rPr>
          <w:lang w:val="en-US"/>
        </w:rPr>
        <w:t>padacitinib (</w:t>
      </w:r>
      <w:r w:rsidR="005D7175">
        <w:rPr>
          <w:lang w:val="en-US"/>
        </w:rPr>
        <w:t>30 mg</w:t>
      </w:r>
      <w:r w:rsidR="0088203B" w:rsidRPr="001D040E">
        <w:rPr>
          <w:lang w:val="en-US"/>
        </w:rPr>
        <w:t xml:space="preserve"> and </w:t>
      </w:r>
      <w:r w:rsidR="005D7175">
        <w:rPr>
          <w:lang w:val="en-US"/>
        </w:rPr>
        <w:t>15 mg</w:t>
      </w:r>
      <w:r w:rsidR="0088203B" w:rsidRPr="001D040E">
        <w:rPr>
          <w:lang w:val="en-US"/>
        </w:rPr>
        <w:t>) in combinatio</w:t>
      </w:r>
      <w:r>
        <w:rPr>
          <w:lang w:val="en-US"/>
        </w:rPr>
        <w:t xml:space="preserve">n with topical corticosteroids </w:t>
      </w:r>
      <w:r w:rsidR="0088203B" w:rsidRPr="001D040E">
        <w:rPr>
          <w:lang w:val="en-US"/>
        </w:rPr>
        <w:t xml:space="preserve">in adolescent and adult subjects with </w:t>
      </w:r>
      <w:r w:rsidRPr="001D040E">
        <w:rPr>
          <w:lang w:val="en-US"/>
        </w:rPr>
        <w:t>moder</w:t>
      </w:r>
      <w:r>
        <w:rPr>
          <w:lang w:val="en-US"/>
        </w:rPr>
        <w:t>ate to severe atopic dermatitis.</w:t>
      </w:r>
    </w:p>
    <w:p w14:paraId="101EA7A3" w14:textId="77777777" w:rsidR="001D040E" w:rsidRPr="001D040E" w:rsidRDefault="0088203B" w:rsidP="001D040E">
      <w:pPr>
        <w:pStyle w:val="ListBullet"/>
        <w:rPr>
          <w:lang w:val="en-US"/>
        </w:rPr>
      </w:pPr>
      <w:r w:rsidRPr="001D040E">
        <w:t xml:space="preserve">Two </w:t>
      </w:r>
      <w:r w:rsidR="001D040E">
        <w:t>s</w:t>
      </w:r>
      <w:r w:rsidRPr="001D040E">
        <w:t>upportive efficacy/safety studies</w:t>
      </w:r>
      <w:r w:rsidR="001D040E">
        <w:t>:</w:t>
      </w:r>
    </w:p>
    <w:p w14:paraId="7F2D0623" w14:textId="399AE6C3" w:rsidR="001D040E" w:rsidRPr="001D040E" w:rsidRDefault="001D040E" w:rsidP="0088203B">
      <w:pPr>
        <w:pStyle w:val="ListBullet2"/>
        <w:rPr>
          <w:lang w:val="en-US"/>
        </w:rPr>
      </w:pPr>
      <w:r>
        <w:t xml:space="preserve">Study </w:t>
      </w:r>
      <w:r w:rsidR="0088203B" w:rsidRPr="001D040E">
        <w:t>M16-048</w:t>
      </w:r>
      <w:r>
        <w:t>,</w:t>
      </w:r>
      <w:r w:rsidR="0088203B" w:rsidRPr="001D040E">
        <w:t xml:space="preserve"> </w:t>
      </w:r>
      <w:r>
        <w:t>a Phase II</w:t>
      </w:r>
      <w:r w:rsidR="0088203B" w:rsidRPr="001D040E">
        <w:t xml:space="preserve">b </w:t>
      </w:r>
      <w:r>
        <w:t>multicent</w:t>
      </w:r>
      <w:r w:rsidRPr="001D040E">
        <w:t>r</w:t>
      </w:r>
      <w:r>
        <w:t>e</w:t>
      </w:r>
      <w:r w:rsidRPr="001D040E">
        <w:t>, randomised, placebo controlled, double-blind d</w:t>
      </w:r>
      <w:r>
        <w:t>ose-ranging study to evaluate ABT</w:t>
      </w:r>
      <w:r w:rsidRPr="001D040E">
        <w:t>-494 (upadacitinib) in adult subjects with moder</w:t>
      </w:r>
      <w:r>
        <w:t>ate to severe atopic dermatitis.</w:t>
      </w:r>
    </w:p>
    <w:p w14:paraId="0AFFB7AE" w14:textId="77777777" w:rsidR="001D040E" w:rsidRDefault="001D040E" w:rsidP="001D040E">
      <w:pPr>
        <w:pStyle w:val="ListBullet2"/>
        <w:rPr>
          <w:lang w:val="en-US"/>
        </w:rPr>
      </w:pPr>
      <w:r>
        <w:t xml:space="preserve">Study </w:t>
      </w:r>
      <w:r w:rsidR="0088203B" w:rsidRPr="001D040E">
        <w:t>M17-377</w:t>
      </w:r>
      <w:r>
        <w:t>, a Phase III</w:t>
      </w:r>
      <w:r w:rsidR="0088203B" w:rsidRPr="001D040E">
        <w:t xml:space="preserve"> study for e</w:t>
      </w:r>
      <w:r w:rsidR="0088203B" w:rsidRPr="001D040E">
        <w:rPr>
          <w:lang w:val="en-US"/>
        </w:rPr>
        <w:t xml:space="preserve">valuation of </w:t>
      </w:r>
      <w:r w:rsidRPr="001D040E">
        <w:rPr>
          <w:lang w:val="en-US"/>
        </w:rPr>
        <w:t>upadacitinib in combination with topical corticosteroids in adolescent and adult subjects in</w:t>
      </w:r>
      <w:r w:rsidR="0088203B" w:rsidRPr="001D040E">
        <w:rPr>
          <w:lang w:val="en-US"/>
        </w:rPr>
        <w:t xml:space="preserve"> Japan. </w:t>
      </w:r>
    </w:p>
    <w:p w14:paraId="13CE6881" w14:textId="1CB2A9E6" w:rsidR="001D040E" w:rsidRPr="00A41785" w:rsidRDefault="001D040E" w:rsidP="002C0170">
      <w:pPr>
        <w:pStyle w:val="ListBullet"/>
        <w:rPr>
          <w:lang w:val="en-US"/>
        </w:rPr>
      </w:pPr>
      <w:r>
        <w:t>Multiple o</w:t>
      </w:r>
      <w:r w:rsidR="00A41785">
        <w:t xml:space="preserve">ther reports including </w:t>
      </w:r>
      <w:r>
        <w:t xml:space="preserve">an </w:t>
      </w:r>
      <w:r w:rsidR="00A41785">
        <w:t>i</w:t>
      </w:r>
      <w:r w:rsidR="00A41785" w:rsidRPr="00AA468B">
        <w:t xml:space="preserve">ntegrated </w:t>
      </w:r>
      <w:r w:rsidR="00A41785">
        <w:t xml:space="preserve">summary of efficacy and safety, and cardiovascular adjudication, atopic dermatitis data monitoring charters and minutes, </w:t>
      </w:r>
      <w:r w:rsidR="002C0170">
        <w:t>a clinical o</w:t>
      </w:r>
      <w:r w:rsidR="002C0170" w:rsidRPr="002C0170">
        <w:t>verview, summaries of clinical pharmacology, clinical efficacy and clinical safety</w:t>
      </w:r>
      <w:r w:rsidR="002C0170">
        <w:t>,</w:t>
      </w:r>
      <w:r w:rsidR="002C0170" w:rsidRPr="002C0170">
        <w:t xml:space="preserve"> and literature references.</w:t>
      </w:r>
    </w:p>
    <w:p w14:paraId="06D16CC5" w14:textId="6939190B" w:rsidR="00A41785" w:rsidRDefault="00963553" w:rsidP="001D040E">
      <w:pPr>
        <w:pStyle w:val="ListBullet"/>
      </w:pPr>
      <w:r>
        <w:t xml:space="preserve">Two </w:t>
      </w:r>
      <w:r w:rsidR="009A0394">
        <w:t>e</w:t>
      </w:r>
      <w:r w:rsidR="00A41785">
        <w:t>xposure-response analyses:</w:t>
      </w:r>
    </w:p>
    <w:p w14:paraId="6A660DD5" w14:textId="2FAECDF0" w:rsidR="00A41785" w:rsidRDefault="00A41785" w:rsidP="00A41785">
      <w:pPr>
        <w:pStyle w:val="ListBullet2"/>
      </w:pPr>
      <w:r>
        <w:t xml:space="preserve">Analysis </w:t>
      </w:r>
      <w:r w:rsidR="0088203B" w:rsidRPr="001D040E">
        <w:t>R</w:t>
      </w:r>
      <w:r>
        <w:t>&amp;</w:t>
      </w:r>
      <w:r w:rsidR="0088203B" w:rsidRPr="001D040E">
        <w:t>D180643: Exposure-</w:t>
      </w:r>
      <w:r w:rsidRPr="001D040E">
        <w:t>response analyses of</w:t>
      </w:r>
      <w:r>
        <w:t xml:space="preserve"> upadacitinib</w:t>
      </w:r>
      <w:r w:rsidRPr="001D040E">
        <w:t xml:space="preserve"> efficacy and effects on laboratory parameters in subjects with moderate-to-severe</w:t>
      </w:r>
      <w:r>
        <w:t xml:space="preserve"> atopic dermatitis: results of P</w:t>
      </w:r>
      <w:r w:rsidRPr="001D040E">
        <w:t>eriod 1</w:t>
      </w:r>
      <w:r>
        <w:t xml:space="preserve"> of the Phase II Study M16-048.</w:t>
      </w:r>
    </w:p>
    <w:p w14:paraId="438C2190" w14:textId="61BF2748" w:rsidR="0088203B" w:rsidRPr="001D040E" w:rsidRDefault="00A41785" w:rsidP="00A41785">
      <w:pPr>
        <w:pStyle w:val="ListBullet2"/>
      </w:pPr>
      <w:r>
        <w:t xml:space="preserve">Analysis </w:t>
      </w:r>
      <w:r w:rsidR="0088203B" w:rsidRPr="001D040E">
        <w:t>R&amp;D/20/0642: Exposure-</w:t>
      </w:r>
      <w:r w:rsidRPr="001D040E">
        <w:t>response analyses for</w:t>
      </w:r>
      <w:r>
        <w:t xml:space="preserve"> upadacitinib</w:t>
      </w:r>
      <w:r w:rsidRPr="001D040E">
        <w:t xml:space="preserve"> efficacy and safety in adult and adolescent subjects with </w:t>
      </w:r>
      <w:r>
        <w:t>atopic dermatitis: analyses of Phases II and III</w:t>
      </w:r>
      <w:r w:rsidRPr="001D040E">
        <w:t xml:space="preserve"> studies </w:t>
      </w:r>
    </w:p>
    <w:p w14:paraId="6EB16262" w14:textId="2BABBBC8" w:rsidR="000B0B48" w:rsidRDefault="000B0B48" w:rsidP="000B0B48">
      <w:pPr>
        <w:pStyle w:val="Heading5"/>
      </w:pPr>
      <w:r>
        <w:t>Paediatric data</w:t>
      </w:r>
    </w:p>
    <w:p w14:paraId="7DD615FE" w14:textId="4522D2CB" w:rsidR="000B0B48" w:rsidRPr="00AA468B" w:rsidRDefault="002C0170" w:rsidP="000B0B48">
      <w:pPr>
        <w:spacing w:before="0" w:line="240" w:lineRule="auto"/>
      </w:pPr>
      <w:r>
        <w:t>U</w:t>
      </w:r>
      <w:r w:rsidR="00782F8C">
        <w:t>padacitinib</w:t>
      </w:r>
      <w:r w:rsidR="000B0B48" w:rsidRPr="00AA468B">
        <w:t xml:space="preserve"> has been evaluated in adolescents age</w:t>
      </w:r>
      <w:r w:rsidR="000B0B48">
        <w:t>d 12 to 17 years (and weighing more than</w:t>
      </w:r>
      <w:r w:rsidR="000B0B48" w:rsidRPr="00AA468B">
        <w:t xml:space="preserve"> 40</w:t>
      </w:r>
      <w:r w:rsidR="000B0B48">
        <w:t xml:space="preserve"> </w:t>
      </w:r>
      <w:r w:rsidR="000B0B48" w:rsidRPr="00AA468B">
        <w:t>kg). Ther</w:t>
      </w:r>
      <w:r w:rsidR="000B0B48">
        <w:t xml:space="preserve">e is no data in children aged 2 to </w:t>
      </w:r>
      <w:r w:rsidR="000B0B48" w:rsidRPr="00AA468B">
        <w:t xml:space="preserve">11 years. </w:t>
      </w:r>
    </w:p>
    <w:p w14:paraId="1916A7AA" w14:textId="162BA58D" w:rsidR="000B0B48" w:rsidRPr="00AA468B" w:rsidRDefault="000B0B48" w:rsidP="000B0B48">
      <w:pPr>
        <w:autoSpaceDE w:val="0"/>
        <w:autoSpaceDN w:val="0"/>
        <w:adjustRightInd w:val="0"/>
        <w:spacing w:before="0" w:line="240" w:lineRule="auto"/>
      </w:pPr>
      <w:r w:rsidRPr="00AA468B">
        <w:rPr>
          <w:rFonts w:eastAsiaTheme="minorHAnsi" w:cs="Arial"/>
          <w:lang w:val="en-US"/>
        </w:rPr>
        <w:t>There is an agreed Paediatric Investigation Plan (PIP) in Europe (the first study report was</w:t>
      </w:r>
      <w:r>
        <w:rPr>
          <w:rFonts w:eastAsiaTheme="minorHAnsi" w:cs="Arial"/>
          <w:lang w:val="en-US"/>
        </w:rPr>
        <w:t xml:space="preserve"> the non-clinical Study </w:t>
      </w:r>
      <w:r w:rsidRPr="00AA468B">
        <w:rPr>
          <w:rFonts w:eastAsiaTheme="minorHAnsi" w:cs="Arial"/>
          <w:lang w:val="en-US"/>
        </w:rPr>
        <w:t>TA16-134</w:t>
      </w:r>
      <w:r>
        <w:rPr>
          <w:rFonts w:eastAsiaTheme="minorHAnsi" w:cs="Arial"/>
          <w:lang w:val="en-US"/>
        </w:rPr>
        <w:t>, a</w:t>
      </w:r>
      <w:r w:rsidRPr="00AA468B">
        <w:rPr>
          <w:rFonts w:eastAsiaTheme="minorHAnsi" w:cs="Arial"/>
          <w:lang w:val="en-US"/>
        </w:rPr>
        <w:t xml:space="preserve"> dose range finding juvenile toxicity study, which was</w:t>
      </w:r>
      <w:r>
        <w:rPr>
          <w:rFonts w:eastAsiaTheme="minorHAnsi" w:cs="Arial"/>
          <w:lang w:val="en-US"/>
        </w:rPr>
        <w:t xml:space="preserve"> </w:t>
      </w:r>
      <w:r w:rsidRPr="00AA468B">
        <w:rPr>
          <w:rFonts w:eastAsiaTheme="minorHAnsi" w:cs="Arial"/>
          <w:lang w:val="en-US"/>
        </w:rPr>
        <w:t>submitted in April 2018). Whilst a PIP has been agreed to by the EMA and is in place, a waiver for a subset of the paediatric population was also granted in accordance with Article 13 of Regulation (EC) No. 1901</w:t>
      </w:r>
      <w:r>
        <w:rPr>
          <w:rFonts w:eastAsiaTheme="minorHAnsi" w:cs="Arial"/>
          <w:lang w:val="en-US"/>
        </w:rPr>
        <w:t>/2006. The waiver applies to:</w:t>
      </w:r>
      <w:r w:rsidR="0076677D">
        <w:rPr>
          <w:rFonts w:eastAsiaTheme="minorHAnsi" w:cs="Arial"/>
          <w:lang w:val="en-US"/>
        </w:rPr>
        <w:t xml:space="preserve"> the</w:t>
      </w:r>
      <w:r>
        <w:rPr>
          <w:rFonts w:eastAsiaTheme="minorHAnsi" w:cs="Arial"/>
          <w:lang w:val="en-US"/>
        </w:rPr>
        <w:t xml:space="preserve"> </w:t>
      </w:r>
      <w:r w:rsidRPr="00AA468B">
        <w:rPr>
          <w:rFonts w:eastAsiaTheme="minorHAnsi" w:cs="Arial"/>
          <w:lang w:val="en-US"/>
        </w:rPr>
        <w:t>paediatric population from birt</w:t>
      </w:r>
      <w:r>
        <w:rPr>
          <w:rFonts w:eastAsiaTheme="minorHAnsi" w:cs="Arial"/>
          <w:lang w:val="en-US"/>
        </w:rPr>
        <w:t xml:space="preserve">h to less than 2 years of age; </w:t>
      </w:r>
      <w:r w:rsidRPr="00AA468B">
        <w:rPr>
          <w:rFonts w:eastAsiaTheme="minorHAnsi" w:cs="Arial"/>
          <w:lang w:val="en-US"/>
        </w:rPr>
        <w:t>prolonged-released tablet, prolonged-release capsule, age-appropriate oral solid dosage form, age-appropriate oral liquid dosage form, oral use. This waiver has been granted by the EMA on the grounds that the specific medicinal product is likely to be unsafe in these instances.</w:t>
      </w:r>
    </w:p>
    <w:p w14:paraId="152AD7F0" w14:textId="5999454B" w:rsidR="000B0B48" w:rsidRPr="00AA468B" w:rsidRDefault="000B0B48" w:rsidP="000B0B48">
      <w:pPr>
        <w:autoSpaceDE w:val="0"/>
        <w:autoSpaceDN w:val="0"/>
        <w:adjustRightInd w:val="0"/>
        <w:spacing w:before="0" w:line="240" w:lineRule="auto"/>
      </w:pPr>
      <w:r w:rsidRPr="00AA468B">
        <w:rPr>
          <w:rFonts w:eastAsiaTheme="minorHAnsi" w:cs="Arial"/>
          <w:lang w:val="en-US"/>
        </w:rPr>
        <w:t xml:space="preserve">There is an agreed Pediatric Plan under the </w:t>
      </w:r>
      <w:r w:rsidRPr="000B0B48">
        <w:rPr>
          <w:rFonts w:eastAsiaTheme="minorHAnsi" w:cs="Arial"/>
          <w:iCs/>
          <w:lang w:val="en-US"/>
        </w:rPr>
        <w:t>Pediatric Research Equity Act</w:t>
      </w:r>
      <w:r w:rsidRPr="00AA468B">
        <w:rPr>
          <w:rFonts w:eastAsiaTheme="minorHAnsi" w:cs="Arial"/>
          <w:i/>
          <w:iCs/>
          <w:lang w:val="en-US"/>
        </w:rPr>
        <w:t xml:space="preserve"> </w:t>
      </w:r>
      <w:r w:rsidRPr="00AA468B">
        <w:rPr>
          <w:rFonts w:eastAsiaTheme="minorHAnsi" w:cs="Arial"/>
          <w:lang w:val="en-US"/>
        </w:rPr>
        <w:t>(PREA) in the</w:t>
      </w:r>
      <w:r>
        <w:rPr>
          <w:rFonts w:eastAsiaTheme="minorHAnsi" w:cs="Arial"/>
          <w:lang w:val="en-US"/>
        </w:rPr>
        <w:t xml:space="preserve"> </w:t>
      </w:r>
      <w:r w:rsidRPr="00AA468B">
        <w:rPr>
          <w:rFonts w:eastAsiaTheme="minorHAnsi" w:cs="Arial"/>
          <w:lang w:val="en-US"/>
        </w:rPr>
        <w:t xml:space="preserve">USA. Clinical development of upadacitinib in subjects 6 months to 11 years old with </w:t>
      </w:r>
      <w:r w:rsidR="0088203B">
        <w:rPr>
          <w:rFonts w:eastAsiaTheme="minorHAnsi" w:cs="Arial"/>
          <w:lang w:val="en-US"/>
        </w:rPr>
        <w:t>atopic dermatitis</w:t>
      </w:r>
      <w:r w:rsidRPr="00AA468B">
        <w:rPr>
          <w:rFonts w:eastAsiaTheme="minorHAnsi" w:cs="Arial"/>
          <w:lang w:val="en-US"/>
        </w:rPr>
        <w:t xml:space="preserve"> is</w:t>
      </w:r>
      <w:r>
        <w:rPr>
          <w:rFonts w:eastAsiaTheme="minorHAnsi" w:cs="Arial"/>
          <w:lang w:val="en-US"/>
        </w:rPr>
        <w:t xml:space="preserve"> </w:t>
      </w:r>
      <w:r w:rsidRPr="00AA468B">
        <w:rPr>
          <w:rFonts w:eastAsiaTheme="minorHAnsi" w:cs="Arial"/>
          <w:lang w:val="en-US"/>
        </w:rPr>
        <w:t>proposed to start in November 2018. This will reduce the risk of administering ineffective or poorly tolerated doses of upada</w:t>
      </w:r>
      <w:r w:rsidR="0088203B">
        <w:rPr>
          <w:rFonts w:eastAsiaTheme="minorHAnsi" w:cs="Arial"/>
          <w:lang w:val="en-US"/>
        </w:rPr>
        <w:t>citinib to children in a Phase I pharmacokinetic</w:t>
      </w:r>
      <w:r w:rsidRPr="00AA468B">
        <w:rPr>
          <w:rFonts w:eastAsiaTheme="minorHAnsi" w:cs="Arial"/>
          <w:lang w:val="en-US"/>
        </w:rPr>
        <w:t xml:space="preserve"> study, which would not be appropriate both for ethical reasons and in view of other available treatment options in </w:t>
      </w:r>
      <w:r w:rsidR="0088203B">
        <w:rPr>
          <w:rFonts w:eastAsiaTheme="minorHAnsi" w:cs="Arial"/>
          <w:lang w:val="en-US"/>
        </w:rPr>
        <w:t>atopic dermatitis</w:t>
      </w:r>
      <w:r w:rsidRPr="00AA468B">
        <w:rPr>
          <w:rFonts w:eastAsiaTheme="minorHAnsi" w:cs="Arial"/>
          <w:lang w:val="en-US"/>
        </w:rPr>
        <w:t>. JAK inhibition and selectivity is dose dependent, and certain adverse effects are related to the underlying pharmacology of JAK inhibition. It will therefore be important to</w:t>
      </w:r>
      <w:r>
        <w:rPr>
          <w:rFonts w:eastAsiaTheme="minorHAnsi" w:cs="Arial"/>
          <w:lang w:val="en-US"/>
        </w:rPr>
        <w:t xml:space="preserve"> </w:t>
      </w:r>
      <w:r w:rsidRPr="00AA468B">
        <w:rPr>
          <w:rFonts w:eastAsiaTheme="minorHAnsi" w:cs="Arial"/>
          <w:lang w:val="en-US"/>
        </w:rPr>
        <w:t xml:space="preserve">adequately assess safety in the </w:t>
      </w:r>
      <w:r w:rsidR="0088203B">
        <w:rPr>
          <w:rFonts w:eastAsiaTheme="minorHAnsi" w:cs="Arial"/>
          <w:lang w:val="en-US"/>
        </w:rPr>
        <w:t>Phase I</w:t>
      </w:r>
      <w:r>
        <w:rPr>
          <w:rFonts w:eastAsiaTheme="minorHAnsi" w:cs="Arial"/>
          <w:lang w:val="en-US"/>
        </w:rPr>
        <w:t xml:space="preserve"> PK study</w:t>
      </w:r>
      <w:r w:rsidRPr="00AA468B">
        <w:rPr>
          <w:rFonts w:eastAsiaTheme="minorHAnsi" w:cs="Arial"/>
          <w:lang w:val="en-US"/>
        </w:rPr>
        <w:t xml:space="preserve"> prior to performing </w:t>
      </w:r>
      <w:r>
        <w:rPr>
          <w:rFonts w:eastAsiaTheme="minorHAnsi" w:cs="Arial"/>
          <w:lang w:val="en-US"/>
        </w:rPr>
        <w:t>additional</w:t>
      </w:r>
      <w:r w:rsidRPr="00AA468B">
        <w:rPr>
          <w:rFonts w:eastAsiaTheme="minorHAnsi" w:cs="Arial"/>
          <w:lang w:val="en-US"/>
        </w:rPr>
        <w:t xml:space="preserve"> upadacitinib studies in the p</w:t>
      </w:r>
      <w:r w:rsidR="0076677D">
        <w:rPr>
          <w:rFonts w:eastAsiaTheme="minorHAnsi" w:cs="Arial"/>
          <w:lang w:val="en-US"/>
        </w:rPr>
        <w:t>a</w:t>
      </w:r>
      <w:r w:rsidRPr="00AA468B">
        <w:rPr>
          <w:rFonts w:eastAsiaTheme="minorHAnsi" w:cs="Arial"/>
          <w:lang w:val="en-US"/>
        </w:rPr>
        <w:t>ediatric population</w:t>
      </w:r>
      <w:r>
        <w:rPr>
          <w:rFonts w:eastAsiaTheme="minorHAnsi" w:cs="Arial"/>
          <w:lang w:val="en-US"/>
        </w:rPr>
        <w:t xml:space="preserve"> below 12 years of age</w:t>
      </w:r>
      <w:r w:rsidRPr="00AA468B">
        <w:rPr>
          <w:rFonts w:eastAsiaTheme="minorHAnsi" w:cs="Arial"/>
          <w:lang w:val="en-US"/>
        </w:rPr>
        <w:t>.</w:t>
      </w:r>
    </w:p>
    <w:p w14:paraId="6EBEF1AC" w14:textId="4CC4291E" w:rsidR="000B0B48" w:rsidRDefault="0088203B" w:rsidP="0088203B">
      <w:pPr>
        <w:pStyle w:val="Heading5"/>
      </w:pPr>
      <w:r>
        <w:lastRenderedPageBreak/>
        <w:t>Good Clinical Practice</w:t>
      </w:r>
    </w:p>
    <w:p w14:paraId="1C6A2FA7" w14:textId="1CC3D947" w:rsidR="0088203B" w:rsidRDefault="0088203B" w:rsidP="0088203B">
      <w:r w:rsidRPr="0088203B">
        <w:t>All clinical studies were conducted in compliance with current Good Clinical Practice (GCP)</w:t>
      </w:r>
      <w:r>
        <w:t xml:space="preserve"> guidelines</w:t>
      </w:r>
      <w:r w:rsidRPr="0088203B">
        <w:t xml:space="preserve"> and</w:t>
      </w:r>
      <w:r>
        <w:t xml:space="preserve"> were closely monitored by the s</w:t>
      </w:r>
      <w:r w:rsidRPr="0088203B">
        <w:t>ponsor or designated contract research organisation for compliance to the protocol, relevant standard operating procedures and adherence to applicable regulatory guidelines.</w:t>
      </w:r>
    </w:p>
    <w:p w14:paraId="5AB26F10" w14:textId="2ADD9B68" w:rsidR="00D01C74" w:rsidRPr="00E606A2" w:rsidRDefault="00D01C74" w:rsidP="00E606A2">
      <w:pPr>
        <w:pStyle w:val="Heading4"/>
      </w:pPr>
      <w:r w:rsidRPr="00042A19">
        <w:t>Pharmacokinetic</w:t>
      </w:r>
      <w:r w:rsidR="00E56326">
        <w:t>s</w:t>
      </w:r>
    </w:p>
    <w:p w14:paraId="6DF24EE4" w14:textId="61092D40" w:rsidR="00E56326" w:rsidRDefault="00E56326" w:rsidP="00E606A2">
      <w:r w:rsidRPr="00E56326">
        <w:t xml:space="preserve">As per the </w:t>
      </w:r>
      <w:r w:rsidRPr="00E606A2">
        <w:t>clinical</w:t>
      </w:r>
      <w:r w:rsidRPr="00E56326">
        <w:t xml:space="preserve"> evaluation</w:t>
      </w:r>
      <w:r w:rsidR="00D01C74" w:rsidRPr="00E56326">
        <w:t xml:space="preserve">, the </w:t>
      </w:r>
      <w:r w:rsidRPr="00E56326">
        <w:t>pharmacokinetic (</w:t>
      </w:r>
      <w:r w:rsidR="00D01C74" w:rsidRPr="00E56326">
        <w:t>PK</w:t>
      </w:r>
      <w:r w:rsidRPr="00E56326">
        <w:t>)</w:t>
      </w:r>
      <w:r w:rsidR="00D01C74" w:rsidRPr="00E56326">
        <w:t xml:space="preserve"> characteristics</w:t>
      </w:r>
      <w:r>
        <w:t xml:space="preserve">, </w:t>
      </w:r>
      <w:r w:rsidR="00D01C74" w:rsidRPr="00E56326">
        <w:t>in terms of absorption, distribution, metabolism, excretion (ADME)</w:t>
      </w:r>
      <w:r>
        <w:t>,</w:t>
      </w:r>
      <w:r w:rsidR="00D01C74" w:rsidRPr="00E56326">
        <w:t xml:space="preserve"> of </w:t>
      </w:r>
      <w:r>
        <w:t>u</w:t>
      </w:r>
      <w:r w:rsidR="00D01C74" w:rsidRPr="00E56326">
        <w:t xml:space="preserve">padacitinib after single and multiple doses, its drug-drug interaction (DDI) potential </w:t>
      </w:r>
      <w:r>
        <w:t xml:space="preserve">and </w:t>
      </w:r>
      <w:r w:rsidR="00D01C74" w:rsidRPr="00E56326">
        <w:t>PK in special populations were submitted and evaluated, in the regulatory submission dossier for its use in</w:t>
      </w:r>
      <w:r>
        <w:t xml:space="preserve"> the treatment of rheumatoid arthritis [see the relevant AusPAR for further details]</w:t>
      </w:r>
      <w:r w:rsidR="00D01C74" w:rsidRPr="00E56326">
        <w:t>.</w:t>
      </w:r>
      <w:r w:rsidRPr="00E56326">
        <w:rPr>
          <w:vertAlign w:val="superscript"/>
        </w:rPr>
        <w:fldChar w:fldCharType="begin"/>
      </w:r>
      <w:r w:rsidRPr="00E56326">
        <w:rPr>
          <w:vertAlign w:val="superscript"/>
        </w:rPr>
        <w:instrText xml:space="preserve"> NOTEREF _Ref120630016 \h </w:instrText>
      </w:r>
      <w:r>
        <w:rPr>
          <w:vertAlign w:val="superscript"/>
        </w:rPr>
        <w:instrText xml:space="preserve"> \* MERGEFORMAT </w:instrText>
      </w:r>
      <w:r w:rsidRPr="00E56326">
        <w:rPr>
          <w:vertAlign w:val="superscript"/>
        </w:rPr>
      </w:r>
      <w:r w:rsidRPr="00E56326">
        <w:rPr>
          <w:vertAlign w:val="superscript"/>
        </w:rPr>
        <w:fldChar w:fldCharType="separate"/>
      </w:r>
      <w:r w:rsidR="00B51532">
        <w:rPr>
          <w:vertAlign w:val="superscript"/>
        </w:rPr>
        <w:t>29</w:t>
      </w:r>
      <w:r w:rsidRPr="00E56326">
        <w:rPr>
          <w:vertAlign w:val="superscript"/>
        </w:rPr>
        <w:fldChar w:fldCharType="end"/>
      </w:r>
      <w:r w:rsidR="00D01C74" w:rsidRPr="00E56326">
        <w:t xml:space="preserve"> No new PK studies were submitted in the current </w:t>
      </w:r>
      <w:r>
        <w:t>atopic dermatitis</w:t>
      </w:r>
      <w:r w:rsidR="00D01C74" w:rsidRPr="00E56326">
        <w:t xml:space="preserve"> dossier.</w:t>
      </w:r>
    </w:p>
    <w:p w14:paraId="6D8E9D88" w14:textId="7B8A8A7F" w:rsidR="00D01C74" w:rsidRPr="003122EC" w:rsidRDefault="00D01C74" w:rsidP="00E56326">
      <w:r w:rsidRPr="003122EC">
        <w:t>The exception</w:t>
      </w:r>
      <w:r w:rsidRPr="003122EC">
        <w:rPr>
          <w:spacing w:val="1"/>
        </w:rPr>
        <w:t xml:space="preserve"> was</w:t>
      </w:r>
      <w:r w:rsidR="00E56326">
        <w:t xml:space="preserve"> S</w:t>
      </w:r>
      <w:r w:rsidRPr="003122EC">
        <w:t>tudy M20-017, which assessed and compared the bioavailability of both the 15</w:t>
      </w:r>
      <w:r w:rsidR="00E56326">
        <w:t xml:space="preserve"> </w:t>
      </w:r>
      <w:r w:rsidRPr="003122EC">
        <w:t>mg and 30</w:t>
      </w:r>
      <w:r w:rsidR="00E56326">
        <w:t xml:space="preserve"> mg u</w:t>
      </w:r>
      <w:r w:rsidRPr="003122EC">
        <w:t xml:space="preserve">padacitinib formulation used in </w:t>
      </w:r>
      <w:r w:rsidR="00E56326">
        <w:t>the Phase III</w:t>
      </w:r>
      <w:r w:rsidRPr="003122EC">
        <w:t xml:space="preserve"> </w:t>
      </w:r>
      <w:r w:rsidR="00E56326">
        <w:t>atopic dermatitis</w:t>
      </w:r>
      <w:r w:rsidRPr="003122EC">
        <w:t xml:space="preserve"> clinical trial with the </w:t>
      </w:r>
      <w:r w:rsidR="00E56326">
        <w:t>same strengths of the proposed u</w:t>
      </w:r>
      <w:r w:rsidRPr="003122EC">
        <w:t>padacitinib market formulation,</w:t>
      </w:r>
      <w:r w:rsidR="00E56326">
        <w:t xml:space="preserve"> under fasting and fed (that is, </w:t>
      </w:r>
      <w:r w:rsidR="00E606A2">
        <w:t xml:space="preserve">after a </w:t>
      </w:r>
      <w:r w:rsidR="00E56326">
        <w:t>high fat/ high calorie meal)</w:t>
      </w:r>
      <w:r w:rsidR="00E606A2">
        <w:t xml:space="preserve"> conditions.</w:t>
      </w:r>
    </w:p>
    <w:p w14:paraId="4F5D9B90" w14:textId="51DBC749" w:rsidR="00E56326" w:rsidRPr="00256EDF" w:rsidRDefault="00E56326" w:rsidP="00256EDF">
      <w:pPr>
        <w:pStyle w:val="TableTitle"/>
      </w:pPr>
      <w:r>
        <w:t xml:space="preserve">Table </w:t>
      </w:r>
      <w:fldSimple w:instr=" SEQ Table \* ARABIC ">
        <w:r w:rsidR="00B51532">
          <w:rPr>
            <w:noProof/>
          </w:rPr>
          <w:t>9</w:t>
        </w:r>
      </w:fldSimple>
      <w:r>
        <w:t>: Submitted pharmacokinetic studies</w:t>
      </w:r>
    </w:p>
    <w:tbl>
      <w:tblPr>
        <w:tblStyle w:val="TableTGAblue"/>
        <w:tblW w:w="5000" w:type="pct"/>
        <w:tblLook w:val="01E0" w:firstRow="1" w:lastRow="1" w:firstColumn="1" w:lastColumn="1" w:noHBand="0" w:noVBand="0"/>
      </w:tblPr>
      <w:tblGrid>
        <w:gridCol w:w="1491"/>
        <w:gridCol w:w="4979"/>
        <w:gridCol w:w="2014"/>
      </w:tblGrid>
      <w:tr w:rsidR="00256EDF" w:rsidRPr="00256EDF" w14:paraId="47A447E7" w14:textId="77777777" w:rsidTr="00362371">
        <w:trPr>
          <w:cnfStyle w:val="100000000000" w:firstRow="1" w:lastRow="0" w:firstColumn="0" w:lastColumn="0" w:oddVBand="0" w:evenVBand="0" w:oddHBand="0" w:evenHBand="0" w:firstRowFirstColumn="0" w:firstRowLastColumn="0" w:lastRowFirstColumn="0" w:lastRowLastColumn="0"/>
          <w:trHeight w:val="486"/>
        </w:trPr>
        <w:tc>
          <w:tcPr>
            <w:tcW w:w="168" w:type="pct"/>
          </w:tcPr>
          <w:p w14:paraId="0DBB2CB9" w14:textId="77777777" w:rsidR="00256EDF" w:rsidRPr="00256EDF" w:rsidRDefault="00256EDF" w:rsidP="00256EDF">
            <w:r w:rsidRPr="00256EDF">
              <w:t>PK topic</w:t>
            </w:r>
          </w:p>
        </w:tc>
        <w:tc>
          <w:tcPr>
            <w:tcW w:w="3290" w:type="pct"/>
          </w:tcPr>
          <w:p w14:paraId="60AF6024" w14:textId="77777777" w:rsidR="00256EDF" w:rsidRPr="00256EDF" w:rsidRDefault="00256EDF" w:rsidP="00256EDF">
            <w:r w:rsidRPr="00256EDF">
              <w:t>Subtopic</w:t>
            </w:r>
          </w:p>
        </w:tc>
        <w:tc>
          <w:tcPr>
            <w:tcW w:w="1542" w:type="pct"/>
          </w:tcPr>
          <w:p w14:paraId="430821FD" w14:textId="77777777" w:rsidR="00256EDF" w:rsidRPr="00256EDF" w:rsidRDefault="00256EDF" w:rsidP="00256EDF">
            <w:r w:rsidRPr="00256EDF">
              <w:t>Study ID</w:t>
            </w:r>
          </w:p>
        </w:tc>
      </w:tr>
      <w:tr w:rsidR="00770E31" w:rsidRPr="00256EDF" w14:paraId="7927ED87" w14:textId="77777777" w:rsidTr="00362371">
        <w:trPr>
          <w:trHeight w:val="364"/>
        </w:trPr>
        <w:tc>
          <w:tcPr>
            <w:tcW w:w="168" w:type="pct"/>
            <w:vMerge w:val="restart"/>
          </w:tcPr>
          <w:p w14:paraId="04674682" w14:textId="77777777" w:rsidR="00770E31" w:rsidRPr="00362371" w:rsidRDefault="00770E31" w:rsidP="00256EDF">
            <w:pPr>
              <w:rPr>
                <w:sz w:val="20"/>
              </w:rPr>
            </w:pPr>
            <w:r w:rsidRPr="00362371">
              <w:rPr>
                <w:sz w:val="20"/>
              </w:rPr>
              <w:t>PK in healthy adults</w:t>
            </w:r>
          </w:p>
        </w:tc>
        <w:tc>
          <w:tcPr>
            <w:tcW w:w="3290" w:type="pct"/>
          </w:tcPr>
          <w:p w14:paraId="090897B0" w14:textId="321BD0E5" w:rsidR="00770E31" w:rsidRPr="00362371" w:rsidRDefault="00770E31" w:rsidP="00256EDF">
            <w:pPr>
              <w:rPr>
                <w:sz w:val="20"/>
              </w:rPr>
            </w:pPr>
            <w:r w:rsidRPr="00362371">
              <w:rPr>
                <w:sz w:val="20"/>
              </w:rPr>
              <w:t>Bioequivalence† (single dose)</w:t>
            </w:r>
          </w:p>
        </w:tc>
        <w:tc>
          <w:tcPr>
            <w:tcW w:w="1542" w:type="pct"/>
          </w:tcPr>
          <w:p w14:paraId="29AFDFBB" w14:textId="41DCEC8D" w:rsidR="00770E31" w:rsidRPr="00362371" w:rsidRDefault="00770E31" w:rsidP="00256EDF">
            <w:pPr>
              <w:rPr>
                <w:sz w:val="20"/>
              </w:rPr>
            </w:pPr>
            <w:r w:rsidRPr="00362371">
              <w:rPr>
                <w:sz w:val="20"/>
              </w:rPr>
              <w:t>Study M20-017</w:t>
            </w:r>
          </w:p>
        </w:tc>
      </w:tr>
      <w:tr w:rsidR="00770E31" w:rsidRPr="00256EDF" w14:paraId="46F10D2C" w14:textId="77777777" w:rsidTr="00362371">
        <w:trPr>
          <w:trHeight w:val="1124"/>
        </w:trPr>
        <w:tc>
          <w:tcPr>
            <w:tcW w:w="168" w:type="pct"/>
            <w:vMerge/>
          </w:tcPr>
          <w:p w14:paraId="0BD04BEF" w14:textId="77777777" w:rsidR="00770E31" w:rsidRPr="00362371" w:rsidRDefault="00770E31" w:rsidP="00256EDF">
            <w:pPr>
              <w:rPr>
                <w:sz w:val="20"/>
              </w:rPr>
            </w:pPr>
          </w:p>
        </w:tc>
        <w:tc>
          <w:tcPr>
            <w:tcW w:w="3290" w:type="pct"/>
          </w:tcPr>
          <w:p w14:paraId="50FDB4EA" w14:textId="2311A85C" w:rsidR="00770E31" w:rsidRPr="00362371" w:rsidRDefault="00770E31" w:rsidP="00256EDF">
            <w:pPr>
              <w:rPr>
                <w:sz w:val="20"/>
              </w:rPr>
            </w:pPr>
            <w:r w:rsidRPr="00362371">
              <w:rPr>
                <w:sz w:val="20"/>
              </w:rPr>
              <w:t>Food effect</w:t>
            </w:r>
          </w:p>
        </w:tc>
        <w:tc>
          <w:tcPr>
            <w:tcW w:w="1542" w:type="pct"/>
          </w:tcPr>
          <w:p w14:paraId="30124B7A" w14:textId="7CD1FAE5" w:rsidR="00770E31" w:rsidRPr="00362371" w:rsidRDefault="0076677D" w:rsidP="00256EDF">
            <w:pPr>
              <w:rPr>
                <w:sz w:val="20"/>
              </w:rPr>
            </w:pPr>
            <w:r>
              <w:rPr>
                <w:sz w:val="20"/>
              </w:rPr>
              <w:t xml:space="preserve">Study </w:t>
            </w:r>
            <w:r w:rsidR="00770E31" w:rsidRPr="00362371">
              <w:rPr>
                <w:sz w:val="20"/>
              </w:rPr>
              <w:t>M20-017</w:t>
            </w:r>
          </w:p>
        </w:tc>
      </w:tr>
      <w:tr w:rsidR="00770E31" w:rsidRPr="00256EDF" w14:paraId="56FB1C1A" w14:textId="77777777" w:rsidTr="00362371">
        <w:trPr>
          <w:trHeight w:val="366"/>
        </w:trPr>
        <w:tc>
          <w:tcPr>
            <w:tcW w:w="168" w:type="pct"/>
            <w:vMerge w:val="restart"/>
          </w:tcPr>
          <w:p w14:paraId="04320E13" w14:textId="7B29B49C" w:rsidR="00770E31" w:rsidRPr="00362371" w:rsidRDefault="00770E31" w:rsidP="00770E31">
            <w:pPr>
              <w:rPr>
                <w:sz w:val="20"/>
              </w:rPr>
            </w:pPr>
            <w:r w:rsidRPr="00362371">
              <w:rPr>
                <w:sz w:val="20"/>
              </w:rPr>
              <w:t>Population PK analyses</w:t>
            </w:r>
          </w:p>
        </w:tc>
        <w:tc>
          <w:tcPr>
            <w:tcW w:w="3290" w:type="pct"/>
          </w:tcPr>
          <w:p w14:paraId="0F529B30" w14:textId="3A1D7CF8" w:rsidR="00770E31" w:rsidRPr="00362371" w:rsidRDefault="00770E31" w:rsidP="00770E31">
            <w:pPr>
              <w:rPr>
                <w:sz w:val="20"/>
              </w:rPr>
            </w:pPr>
            <w:r w:rsidRPr="00362371">
              <w:rPr>
                <w:sz w:val="20"/>
              </w:rPr>
              <w:t>Target population: pharmacokinetics of upadacitinib in healthy volunteers and adult and adolescent subjects with atopic dermatitis: analyses of Phase I, II and III studies</w:t>
            </w:r>
          </w:p>
        </w:tc>
        <w:tc>
          <w:tcPr>
            <w:tcW w:w="1542" w:type="pct"/>
          </w:tcPr>
          <w:p w14:paraId="6F184153" w14:textId="5265E226" w:rsidR="006429CE" w:rsidRPr="00362371" w:rsidRDefault="0076677D" w:rsidP="00770E31">
            <w:pPr>
              <w:rPr>
                <w:sz w:val="20"/>
              </w:rPr>
            </w:pPr>
            <w:r>
              <w:rPr>
                <w:sz w:val="20"/>
              </w:rPr>
              <w:t xml:space="preserve">Analysis </w:t>
            </w:r>
            <w:r w:rsidR="00770E31" w:rsidRPr="00362371">
              <w:rPr>
                <w:sz w:val="20"/>
              </w:rPr>
              <w:t>RD200641</w:t>
            </w:r>
          </w:p>
        </w:tc>
      </w:tr>
      <w:tr w:rsidR="00770E31" w:rsidRPr="00256EDF" w14:paraId="109452A4" w14:textId="77777777" w:rsidTr="00362371">
        <w:trPr>
          <w:trHeight w:val="606"/>
        </w:trPr>
        <w:tc>
          <w:tcPr>
            <w:tcW w:w="168" w:type="pct"/>
            <w:vMerge/>
          </w:tcPr>
          <w:p w14:paraId="7A720355" w14:textId="77777777" w:rsidR="00770E31" w:rsidRPr="00362371" w:rsidRDefault="00770E31" w:rsidP="00256EDF">
            <w:pPr>
              <w:rPr>
                <w:sz w:val="20"/>
              </w:rPr>
            </w:pPr>
          </w:p>
        </w:tc>
        <w:tc>
          <w:tcPr>
            <w:tcW w:w="3290" w:type="pct"/>
          </w:tcPr>
          <w:p w14:paraId="02F6D7AF" w14:textId="3BA7A9E1" w:rsidR="00770E31" w:rsidRPr="00362371" w:rsidRDefault="00770E31" w:rsidP="00256EDF">
            <w:pPr>
              <w:rPr>
                <w:sz w:val="20"/>
              </w:rPr>
            </w:pPr>
            <w:r w:rsidRPr="00362371">
              <w:rPr>
                <w:sz w:val="20"/>
              </w:rPr>
              <w:t>Other population: pharmacokinetics of</w:t>
            </w:r>
            <w:r w:rsidR="00B51532">
              <w:rPr>
                <w:sz w:val="20"/>
              </w:rPr>
              <w:t xml:space="preserve"> </w:t>
            </w:r>
            <w:r w:rsidRPr="00362371">
              <w:rPr>
                <w:sz w:val="20"/>
              </w:rPr>
              <w:t>upadacitinib in healthy subjects and subjects with rheumatoid arthritis, Crohn's disease, ulcerative colitis or atopic dermatitis: analyses of Phase I and II studies</w:t>
            </w:r>
          </w:p>
        </w:tc>
        <w:tc>
          <w:tcPr>
            <w:tcW w:w="1542" w:type="pct"/>
          </w:tcPr>
          <w:p w14:paraId="52BCF52B" w14:textId="68042E61" w:rsidR="006429CE" w:rsidRPr="00362371" w:rsidRDefault="0076677D" w:rsidP="00256EDF">
            <w:pPr>
              <w:rPr>
                <w:sz w:val="20"/>
              </w:rPr>
            </w:pPr>
            <w:r>
              <w:rPr>
                <w:sz w:val="20"/>
              </w:rPr>
              <w:t xml:space="preserve">Analysis </w:t>
            </w:r>
            <w:r w:rsidR="00770E31" w:rsidRPr="00362371">
              <w:rPr>
                <w:sz w:val="20"/>
              </w:rPr>
              <w:t>RD181079</w:t>
            </w:r>
          </w:p>
        </w:tc>
      </w:tr>
    </w:tbl>
    <w:p w14:paraId="6A0DB7CC" w14:textId="1DB4FCBD" w:rsidR="00D01C74" w:rsidRPr="00770E31" w:rsidRDefault="00D01C74" w:rsidP="00770E31">
      <w:pPr>
        <w:pStyle w:val="TableDescription"/>
      </w:pPr>
      <w:r w:rsidRPr="00770E31">
        <w:t>† Bioequivalence of different formulations.</w:t>
      </w:r>
    </w:p>
    <w:p w14:paraId="2B50F569" w14:textId="42C80557" w:rsidR="00D01C74" w:rsidRPr="00682774" w:rsidRDefault="00682774" w:rsidP="00256EDF">
      <w:r w:rsidRPr="00256EDF">
        <w:t>Study M20-017 was a Phase I</w:t>
      </w:r>
      <w:r w:rsidR="00D01C74" w:rsidRPr="00256EDF">
        <w:t xml:space="preserve"> single-dose, open-label, randomised, </w:t>
      </w:r>
      <w:r w:rsidRPr="00256EDF">
        <w:t>four-period</w:t>
      </w:r>
      <w:r>
        <w:t>, four</w:t>
      </w:r>
      <w:r>
        <w:noBreakHyphen/>
      </w:r>
      <w:r w:rsidR="00D01C74" w:rsidRPr="00682774">
        <w:t>sequ</w:t>
      </w:r>
      <w:r w:rsidR="00770E31">
        <w:t>ence, two-part crossover study.</w:t>
      </w:r>
    </w:p>
    <w:p w14:paraId="443E1D91" w14:textId="17223E4A" w:rsidR="00D01C74" w:rsidRPr="00682774" w:rsidRDefault="00D01C74" w:rsidP="00682774">
      <w:r w:rsidRPr="00682774">
        <w:t>Bi</w:t>
      </w:r>
      <w:r w:rsidR="00682774">
        <w:t xml:space="preserve">oequivalence between the Phase III atopic dermatitis </w:t>
      </w:r>
      <w:r w:rsidRPr="00682774">
        <w:t>clinical trial</w:t>
      </w:r>
      <w:r w:rsidR="00682774">
        <w:t xml:space="preserve"> formulation</w:t>
      </w:r>
      <w:r w:rsidRPr="00682774">
        <w:t xml:space="preserve"> and the proposed market formulation of bot</w:t>
      </w:r>
      <w:r w:rsidR="00682774">
        <w:t xml:space="preserve">h the </w:t>
      </w:r>
      <w:r w:rsidR="005D7175">
        <w:t>15 mg</w:t>
      </w:r>
      <w:r w:rsidR="00682774">
        <w:t xml:space="preserve"> and </w:t>
      </w:r>
      <w:r w:rsidR="005D7175">
        <w:t>30 mg</w:t>
      </w:r>
      <w:r w:rsidR="00B51532">
        <w:t xml:space="preserve"> </w:t>
      </w:r>
      <w:r w:rsidR="00682774">
        <w:t>strengths upadacitinib modified-release</w:t>
      </w:r>
      <w:r w:rsidRPr="00682774">
        <w:t xml:space="preserve"> tablets was established under fasting conditions, as well as after a high fat/ high calorie meal. The estimates of relative bioavailability and their 90% </w:t>
      </w:r>
      <w:r w:rsidR="00682774">
        <w:t>confidence intervals (</w:t>
      </w:r>
      <w:r w:rsidRPr="00682774">
        <w:t>CIs</w:t>
      </w:r>
      <w:r w:rsidR="00682774">
        <w:t>)</w:t>
      </w:r>
      <w:r w:rsidRPr="00682774">
        <w:t xml:space="preserve"> were within the accepted bioequivalence limits of </w:t>
      </w:r>
      <w:r w:rsidR="00682774">
        <w:t xml:space="preserve">0.80 to </w:t>
      </w:r>
      <w:r w:rsidRPr="00682774">
        <w:t>1.25.</w:t>
      </w:r>
    </w:p>
    <w:p w14:paraId="296EFE4D" w14:textId="48C4A545" w:rsidR="00D01C74" w:rsidRPr="00682774" w:rsidRDefault="00D01C74" w:rsidP="00682774">
      <w:r w:rsidRPr="00682774">
        <w:t xml:space="preserve">Additional analysis </w:t>
      </w:r>
      <w:r w:rsidR="00682774">
        <w:t>showed that the 15 mg strength modified-release u</w:t>
      </w:r>
      <w:r w:rsidRPr="00682774">
        <w:t xml:space="preserve">padacitinib market-image </w:t>
      </w:r>
      <w:r w:rsidR="00682774">
        <w:t xml:space="preserve">formulation </w:t>
      </w:r>
      <w:r w:rsidRPr="00682774">
        <w:t xml:space="preserve">provided equivalent dose-normalised plasma exposures to the 30 mg </w:t>
      </w:r>
      <w:r w:rsidR="00682774">
        <w:t>strength upadacitinib Phase III</w:t>
      </w:r>
      <w:r w:rsidRPr="00682774">
        <w:t xml:space="preserve"> formulation under fast</w:t>
      </w:r>
      <w:r w:rsidR="00682774">
        <w:t>ing conditions and after a high-</w:t>
      </w:r>
      <w:r w:rsidRPr="00682774">
        <w:t>fat/ high-calorie meal</w:t>
      </w:r>
    </w:p>
    <w:p w14:paraId="5A297A7F" w14:textId="138A59B4" w:rsidR="00D01C74" w:rsidRPr="00682774" w:rsidRDefault="00682774" w:rsidP="00682774">
      <w:r w:rsidRPr="00682774">
        <w:lastRenderedPageBreak/>
        <w:t>The clinical</w:t>
      </w:r>
      <w:r>
        <w:t xml:space="preserve"> evaluation noted </w:t>
      </w:r>
      <w:r w:rsidR="00D01C74" w:rsidRPr="00682774">
        <w:t>that the 30</w:t>
      </w:r>
      <w:r>
        <w:t xml:space="preserve"> mg once daily</w:t>
      </w:r>
      <w:r w:rsidR="00D01C74" w:rsidRPr="00682774">
        <w:t xml:space="preserve"> dose is not approved for the </w:t>
      </w:r>
      <w:r>
        <w:t>treatment of rheumatoid arthritis</w:t>
      </w:r>
      <w:r w:rsidR="00D01C74" w:rsidRPr="00682774">
        <w:t xml:space="preserve">, but is proposed for use in </w:t>
      </w:r>
      <w:r>
        <w:t>atopic dermatitis</w:t>
      </w:r>
      <w:r w:rsidR="00D01C74" w:rsidRPr="00682774">
        <w:t>. The sponsors have proposed that only the lower dose of 15</w:t>
      </w:r>
      <w:r>
        <w:t xml:space="preserve"> </w:t>
      </w:r>
      <w:r w:rsidR="00D01C74" w:rsidRPr="00682774">
        <w:t xml:space="preserve">mg </w:t>
      </w:r>
      <w:r>
        <w:t>once daily</w:t>
      </w:r>
      <w:r w:rsidR="00D01C74" w:rsidRPr="00682774">
        <w:t xml:space="preserve"> be used for proposed indication of </w:t>
      </w:r>
      <w:r>
        <w:t>atopic dermatitis</w:t>
      </w:r>
      <w:r w:rsidR="00D01C74" w:rsidRPr="00682774">
        <w:t xml:space="preserve"> in adolescents at this time as more safety data</w:t>
      </w:r>
      <w:r w:rsidR="00B51532">
        <w:t xml:space="preserve"> </w:t>
      </w:r>
      <w:r w:rsidR="00D01C74" w:rsidRPr="00682774">
        <w:t>accrue on the 30</w:t>
      </w:r>
      <w:r>
        <w:t xml:space="preserve"> </w:t>
      </w:r>
      <w:r w:rsidR="00D01C74" w:rsidRPr="00682774">
        <w:t>mg dose.</w:t>
      </w:r>
    </w:p>
    <w:p w14:paraId="24258916" w14:textId="7A3B2758" w:rsidR="00D01C74" w:rsidRDefault="00D01C74" w:rsidP="00682774">
      <w:r w:rsidRPr="00682774">
        <w:t xml:space="preserve">Studies submitted earlier for the </w:t>
      </w:r>
      <w:r w:rsidR="00682774">
        <w:t>rheumatoid arthritis</w:t>
      </w:r>
      <w:r w:rsidRPr="00682774">
        <w:t xml:space="preserve"> </w:t>
      </w:r>
      <w:r w:rsidR="00682774">
        <w:t>indication;</w:t>
      </w:r>
      <w:r w:rsidR="00682774" w:rsidRPr="00682774">
        <w:rPr>
          <w:vertAlign w:val="superscript"/>
        </w:rPr>
        <w:fldChar w:fldCharType="begin"/>
      </w:r>
      <w:r w:rsidR="00682774" w:rsidRPr="00682774">
        <w:rPr>
          <w:vertAlign w:val="superscript"/>
        </w:rPr>
        <w:instrText xml:space="preserve"> NOTEREF _Ref120630016 \h </w:instrText>
      </w:r>
      <w:r w:rsidR="00682774">
        <w:rPr>
          <w:vertAlign w:val="superscript"/>
        </w:rPr>
        <w:instrText xml:space="preserve"> \* MERGEFORMAT </w:instrText>
      </w:r>
      <w:r w:rsidR="00682774" w:rsidRPr="00682774">
        <w:rPr>
          <w:vertAlign w:val="superscript"/>
        </w:rPr>
      </w:r>
      <w:r w:rsidR="00682774" w:rsidRPr="00682774">
        <w:rPr>
          <w:vertAlign w:val="superscript"/>
        </w:rPr>
        <w:fldChar w:fldCharType="separate"/>
      </w:r>
      <w:r w:rsidR="00B51532">
        <w:rPr>
          <w:vertAlign w:val="superscript"/>
        </w:rPr>
        <w:t>29</w:t>
      </w:r>
      <w:r w:rsidR="00682774" w:rsidRPr="00682774">
        <w:rPr>
          <w:vertAlign w:val="superscript"/>
        </w:rPr>
        <w:fldChar w:fldCharType="end"/>
      </w:r>
      <w:r w:rsidRPr="00682774">
        <w:t xml:space="preserve"> showed higher </w:t>
      </w:r>
      <w:r w:rsidR="00682774">
        <w:t>u</w:t>
      </w:r>
      <w:r w:rsidRPr="00682774">
        <w:t xml:space="preserve">padacitinib exposure in subjects with severe renal impairment (44% higher </w:t>
      </w:r>
      <w:r w:rsidR="00682774">
        <w:t>u</w:t>
      </w:r>
      <w:r w:rsidRPr="00682774">
        <w:t xml:space="preserve">padacitinib </w:t>
      </w:r>
      <w:r w:rsidR="00682774">
        <w:t>area under the concentration versus time curve (</w:t>
      </w:r>
      <w:r w:rsidRPr="00682774">
        <w:t>AUC</w:t>
      </w:r>
      <w:r w:rsidR="00682774">
        <w:t>)</w:t>
      </w:r>
      <w:r w:rsidRPr="00682774">
        <w:t xml:space="preserve"> compared to those with normal renal function) and when administered with strong </w:t>
      </w:r>
      <w:r w:rsidR="00682774">
        <w:t>cytochrome P450</w:t>
      </w:r>
      <w:r w:rsidR="007440B9">
        <w:t>;</w:t>
      </w:r>
      <w:r w:rsidR="007440B9">
        <w:rPr>
          <w:rStyle w:val="FootnoteReference"/>
        </w:rPr>
        <w:footnoteReference w:id="35"/>
      </w:r>
      <w:r w:rsidR="00682774">
        <w:t xml:space="preserve"> (</w:t>
      </w:r>
      <w:r w:rsidRPr="00682774">
        <w:t>CYP</w:t>
      </w:r>
      <w:r w:rsidR="00682774">
        <w:t>) 3A4 inhibitors (a</w:t>
      </w:r>
      <w:r w:rsidRPr="00682774">
        <w:t xml:space="preserve"> 75% higher </w:t>
      </w:r>
      <w:r w:rsidR="00682774">
        <w:t>u</w:t>
      </w:r>
      <w:r w:rsidRPr="00682774">
        <w:t>padacitinib exposure following concomitant administration of ketoconazole</w:t>
      </w:r>
      <w:r w:rsidR="00682774">
        <w:t>, a potent CYP3A4 inhibitor).</w:t>
      </w:r>
    </w:p>
    <w:p w14:paraId="71331778" w14:textId="2B7CE661" w:rsidR="00682774" w:rsidRPr="00682774" w:rsidRDefault="00682774" w:rsidP="00FB2942">
      <w:pPr>
        <w:pStyle w:val="Heading4"/>
      </w:pPr>
      <w:r>
        <w:t>Population pharmacokinetics</w:t>
      </w:r>
    </w:p>
    <w:p w14:paraId="6223FE9B" w14:textId="47F518A0" w:rsidR="00D01C74" w:rsidRDefault="00682774" w:rsidP="00FB2942">
      <w:r>
        <w:t>P</w:t>
      </w:r>
      <w:r w:rsidR="00D01C74" w:rsidRPr="00682774">
        <w:t>opulation pharmacokinetics</w:t>
      </w:r>
      <w:r>
        <w:t xml:space="preserve"> (popPK)</w:t>
      </w:r>
      <w:r w:rsidR="00D01C74" w:rsidRPr="00682774">
        <w:t xml:space="preserve"> was </w:t>
      </w:r>
      <w:r>
        <w:t xml:space="preserve">extracted from </w:t>
      </w:r>
      <w:r w:rsidR="00DC55A7">
        <w:t>popPK A</w:t>
      </w:r>
      <w:r w:rsidR="00D01C74" w:rsidRPr="00682774">
        <w:t>nalysis</w:t>
      </w:r>
      <w:r w:rsidR="00F56E15">
        <w:t xml:space="preserve"> </w:t>
      </w:r>
      <w:r w:rsidR="00DC55A7">
        <w:rPr>
          <w:lang w:val="en-US"/>
        </w:rPr>
        <w:t>R&amp;D/20/0641</w:t>
      </w:r>
      <w:r w:rsidR="00D01C74" w:rsidRPr="00682774">
        <w:t>, which included data from</w:t>
      </w:r>
      <w:r w:rsidR="00DC55A7">
        <w:t xml:space="preserve"> the Phase </w:t>
      </w:r>
      <w:r w:rsidR="0076677D">
        <w:t>II</w:t>
      </w:r>
      <w:r w:rsidR="00DC55A7">
        <w:t>b S</w:t>
      </w:r>
      <w:r w:rsidR="00D01C74" w:rsidRPr="00682774">
        <w:t>tudy M16-048;</w:t>
      </w:r>
      <w:r w:rsidR="00DC55A7">
        <w:t xml:space="preserve"> three global Phase III studies (Studies M16-045, M16-047 and</w:t>
      </w:r>
      <w:r w:rsidR="00D01C74" w:rsidRPr="00682774">
        <w:t xml:space="preserve"> M18-891</w:t>
      </w:r>
      <w:r w:rsidR="00DC55A7">
        <w:t>; and a supportive Japanese Phase III</w:t>
      </w:r>
      <w:r w:rsidR="00D01C74" w:rsidRPr="00682774">
        <w:t xml:space="preserve"> study </w:t>
      </w:r>
      <w:r w:rsidR="00DC55A7">
        <w:t>(Study M17</w:t>
      </w:r>
      <w:r w:rsidR="00DC55A7">
        <w:noBreakHyphen/>
      </w:r>
      <w:r w:rsidR="00D01C74" w:rsidRPr="00682774">
        <w:t>377</w:t>
      </w:r>
      <w:r w:rsidR="00DC55A7">
        <w:t>)</w:t>
      </w:r>
      <w:r w:rsidR="00D01C74" w:rsidRPr="00682774">
        <w:t>.</w:t>
      </w:r>
    </w:p>
    <w:p w14:paraId="36084E2D" w14:textId="20BE7EC7" w:rsidR="002A1C30" w:rsidRPr="00682774" w:rsidRDefault="002A1C30" w:rsidP="00FB2942">
      <w:pPr>
        <w:pStyle w:val="Heading5"/>
      </w:pPr>
      <w:r>
        <w:t xml:space="preserve">Analysis </w:t>
      </w:r>
      <w:r>
        <w:rPr>
          <w:lang w:val="en-US"/>
        </w:rPr>
        <w:t>R&amp;D/20/0641</w:t>
      </w:r>
    </w:p>
    <w:p w14:paraId="357F378B" w14:textId="083E2351" w:rsidR="00DC55A7" w:rsidRDefault="00D01C74" w:rsidP="00FB2942">
      <w:r w:rsidRPr="00682774">
        <w:t xml:space="preserve">The objective of </w:t>
      </w:r>
      <w:r w:rsidR="00DC55A7">
        <w:t xml:space="preserve">popPK Analysis </w:t>
      </w:r>
      <w:r w:rsidR="00DC55A7">
        <w:rPr>
          <w:lang w:val="en-US"/>
        </w:rPr>
        <w:t xml:space="preserve">R&amp;D/20/0641 </w:t>
      </w:r>
      <w:r w:rsidRPr="00682774">
        <w:t>was to characterise the population pharmacokinetics of</w:t>
      </w:r>
      <w:r w:rsidR="00DC55A7">
        <w:t xml:space="preserve"> u</w:t>
      </w:r>
      <w:r w:rsidRPr="00682774">
        <w:t xml:space="preserve">padacitinib in adult and adolescent subjects, with moderate to severe </w:t>
      </w:r>
      <w:r w:rsidR="00DC55A7">
        <w:t>atopic dermatitis</w:t>
      </w:r>
      <w:r w:rsidRPr="00682774">
        <w:t xml:space="preserve"> and, to provide data to support </w:t>
      </w:r>
      <w:r w:rsidR="00DC55A7">
        <w:t>dose justification for u</w:t>
      </w:r>
      <w:r w:rsidRPr="00682774">
        <w:t xml:space="preserve">padacitinib in adult and adolescent subjects with moderate to severe </w:t>
      </w:r>
      <w:r w:rsidR="00DC55A7">
        <w:t xml:space="preserve">atopic dermatitis. </w:t>
      </w:r>
      <w:r w:rsidRPr="00682774">
        <w:t>4,</w:t>
      </w:r>
      <w:r w:rsidR="00DC55A7">
        <w:t>161 u</w:t>
      </w:r>
      <w:r w:rsidRPr="00682774">
        <w:t xml:space="preserve">padacitinib plasma concentrations were collected from 911 subjects following administration of </w:t>
      </w:r>
      <w:r w:rsidR="00DC55A7">
        <w:t>u</w:t>
      </w:r>
      <w:r w:rsidRPr="00682774">
        <w:t>padacitinib doses of 7.5</w:t>
      </w:r>
      <w:r w:rsidR="00DC55A7">
        <w:t xml:space="preserve"> mg</w:t>
      </w:r>
      <w:r w:rsidRPr="00682774">
        <w:t>, 15</w:t>
      </w:r>
      <w:r w:rsidR="00DC55A7">
        <w:t xml:space="preserve"> mg</w:t>
      </w:r>
      <w:r w:rsidRPr="00682774">
        <w:t xml:space="preserve"> and 30 mg.</w:t>
      </w:r>
    </w:p>
    <w:p w14:paraId="1E99BB66" w14:textId="0D34B5FF" w:rsidR="00D01C74" w:rsidRPr="00682774" w:rsidRDefault="00D01C74" w:rsidP="00FB2942">
      <w:r w:rsidRPr="00682774">
        <w:t xml:space="preserve">A non-linear mixed-effects modelling approach was assumed to analyse the observed </w:t>
      </w:r>
      <w:r w:rsidR="00DC55A7">
        <w:t>u</w:t>
      </w:r>
      <w:r w:rsidRPr="00682774">
        <w:t xml:space="preserve">padacitinib plasma concentration-time profiles. It yielded </w:t>
      </w:r>
      <w:r w:rsidR="00DC55A7">
        <w:t>u</w:t>
      </w:r>
      <w:r w:rsidRPr="00682774">
        <w:t>padacitinib pharmacokinetics as being a two-compartment model with mixed zero and first order absorption, with lag time for the</w:t>
      </w:r>
      <w:r w:rsidR="005D7175">
        <w:t xml:space="preserve"> upadacitinib</w:t>
      </w:r>
      <w:r w:rsidRPr="00682774">
        <w:t xml:space="preserve"> extended release formulation. Model evaluations assessed the predictive performance of the developed models and examined the usefulness of the models for describing observed data. Model parameters based on the original dataset were compared against the bootstrap results.</w:t>
      </w:r>
    </w:p>
    <w:p w14:paraId="261D8D18" w14:textId="5CA4D085" w:rsidR="00D01C74" w:rsidRPr="00682774" w:rsidRDefault="00D01C74" w:rsidP="00FB2942">
      <w:r w:rsidRPr="00682774">
        <w:t xml:space="preserve">Demographics and baseline characteristics for subjects included in the PK analysis were similar to those of the overall study populations, indicating generalisability of the analysis results to the overall patient population enrolled in the Phase </w:t>
      </w:r>
      <w:r w:rsidR="00DC55A7">
        <w:t>III</w:t>
      </w:r>
      <w:r w:rsidRPr="00682774">
        <w:t xml:space="preserve"> studies.</w:t>
      </w:r>
    </w:p>
    <w:p w14:paraId="4D0D5B67" w14:textId="2902A387" w:rsidR="00D01C74" w:rsidRPr="00DC55A7" w:rsidRDefault="00DC55A7" w:rsidP="00FB2942">
      <w:r>
        <w:t>Analysis</w:t>
      </w:r>
      <w:r w:rsidR="00D01C74" w:rsidRPr="00DC55A7">
        <w:t xml:space="preserve"> </w:t>
      </w:r>
      <w:r w:rsidRPr="00DC55A7">
        <w:t>R&amp;D/20/</w:t>
      </w:r>
      <w:r>
        <w:t>0641</w:t>
      </w:r>
      <w:r w:rsidR="00D01C74" w:rsidRPr="00DC55A7">
        <w:t xml:space="preserve"> indicated that:</w:t>
      </w:r>
    </w:p>
    <w:p w14:paraId="18B14318" w14:textId="77777777" w:rsidR="00DC55A7" w:rsidRDefault="00D01C74" w:rsidP="00FB2942">
      <w:pPr>
        <w:pStyle w:val="ListBullet"/>
      </w:pPr>
      <w:r w:rsidRPr="00DC55A7">
        <w:t>Patient pop</w:t>
      </w:r>
      <w:r w:rsidR="00DC55A7">
        <w:t>ulation (atopic dermatitis versus healthy volunteers)</w:t>
      </w:r>
      <w:r w:rsidRPr="00DC55A7">
        <w:t xml:space="preserve">, sex and creatinine clearance were statistically significant covariates on </w:t>
      </w:r>
      <w:r w:rsidR="00DC55A7">
        <w:t>u</w:t>
      </w:r>
      <w:r w:rsidRPr="00DC55A7">
        <w:t xml:space="preserve">padacitinib </w:t>
      </w:r>
      <w:r w:rsidR="00DC55A7">
        <w:t>oral clearance.</w:t>
      </w:r>
    </w:p>
    <w:p w14:paraId="3B713A8A" w14:textId="47126B2A" w:rsidR="00DC55A7" w:rsidRDefault="00D01C74" w:rsidP="00FB2942">
      <w:pPr>
        <w:pStyle w:val="ListBullet"/>
      </w:pPr>
      <w:r w:rsidRPr="00DC55A7">
        <w:t>Compared to subjects with normal renal function, those with mild (</w:t>
      </w:r>
      <w:r w:rsidR="00DC55A7">
        <w:t>creatinine clearance (</w:t>
      </w:r>
      <w:r w:rsidRPr="00DC55A7">
        <w:t>CrCL</w:t>
      </w:r>
      <w:r w:rsidR="00DC55A7">
        <w:t>)</w:t>
      </w:r>
      <w:r w:rsidRPr="00DC55A7">
        <w:t xml:space="preserve"> of 60 to &lt; 90 mL/min) or moderate (CrCL of 30 to &lt; 60 mL/min) renal impairment were predicted to have approximately 12% and 25% higher </w:t>
      </w:r>
      <w:r w:rsidR="00DC55A7">
        <w:t xml:space="preserve">area </w:t>
      </w:r>
      <w:r w:rsidR="00DC55A7">
        <w:lastRenderedPageBreak/>
        <w:t>under the concentration versus time curve from time zero to 24 hours (</w:t>
      </w:r>
      <w:r w:rsidRPr="00DC55A7">
        <w:t>AUC</w:t>
      </w:r>
      <w:r w:rsidR="00DC55A7">
        <w:rPr>
          <w:vertAlign w:val="subscript"/>
        </w:rPr>
        <w:t>0-2</w:t>
      </w:r>
      <w:r w:rsidRPr="00DC55A7">
        <w:rPr>
          <w:vertAlign w:val="subscript"/>
        </w:rPr>
        <w:t>4</w:t>
      </w:r>
      <w:r w:rsidR="00DC55A7" w:rsidRPr="00DC55A7">
        <w:rPr>
          <w:vertAlign w:val="subscript"/>
        </w:rPr>
        <w:t>h</w:t>
      </w:r>
      <w:r w:rsidR="0076677D">
        <w:t xml:space="preserve">) </w:t>
      </w:r>
      <w:r w:rsidRPr="00DC55A7">
        <w:t xml:space="preserve">and 9% and 17% higher </w:t>
      </w:r>
      <w:r w:rsidR="00DC55A7">
        <w:t>maximum concentration (</w:t>
      </w:r>
      <w:r w:rsidRPr="00DC55A7">
        <w:t>C</w:t>
      </w:r>
      <w:r w:rsidRPr="00DC55A7">
        <w:rPr>
          <w:vertAlign w:val="subscript"/>
        </w:rPr>
        <w:t>max</w:t>
      </w:r>
      <w:r w:rsidR="00DC55A7">
        <w:t>)</w:t>
      </w:r>
      <w:r w:rsidRPr="00DC55A7">
        <w:t>, respectively</w:t>
      </w:r>
      <w:r w:rsidR="00DC55A7">
        <w:t>.</w:t>
      </w:r>
    </w:p>
    <w:p w14:paraId="5A57F5AC" w14:textId="77777777" w:rsidR="00DC55A7" w:rsidRDefault="00D01C74" w:rsidP="00FB2942">
      <w:pPr>
        <w:pStyle w:val="ListBullet"/>
      </w:pPr>
      <w:r w:rsidRPr="00DC55A7">
        <w:t xml:space="preserve">Female subjects were predicted to have 20% higher </w:t>
      </w:r>
      <w:r w:rsidR="00DC55A7">
        <w:t>AUC</w:t>
      </w:r>
      <w:r w:rsidR="00DC55A7">
        <w:rPr>
          <w:vertAlign w:val="subscript"/>
        </w:rPr>
        <w:t>0-24h</w:t>
      </w:r>
      <w:r w:rsidR="00DC55A7">
        <w:t xml:space="preserve"> </w:t>
      </w:r>
      <w:r w:rsidRPr="00DC55A7">
        <w:t xml:space="preserve">and 14% higher </w:t>
      </w:r>
      <w:r w:rsidR="00DC55A7">
        <w:t>C</w:t>
      </w:r>
      <w:r w:rsidR="00DC55A7">
        <w:rPr>
          <w:vertAlign w:val="subscript"/>
        </w:rPr>
        <w:t>max</w:t>
      </w:r>
      <w:r w:rsidRPr="00DC55A7">
        <w:t>, respectively, compared to male subjects</w:t>
      </w:r>
      <w:r w:rsidR="00DC55A7">
        <w:t>.</w:t>
      </w:r>
    </w:p>
    <w:p w14:paraId="3C9CF65D" w14:textId="59D4D1D0" w:rsidR="00D01C74" w:rsidRPr="00DC55A7" w:rsidRDefault="00D01C74" w:rsidP="00FB2942">
      <w:pPr>
        <w:pStyle w:val="ListBullet"/>
      </w:pPr>
      <w:r w:rsidRPr="00DC55A7">
        <w:t xml:space="preserve">Subjects with </w:t>
      </w:r>
      <w:r w:rsidR="00DC55A7">
        <w:t>atopic dermatitis</w:t>
      </w:r>
      <w:r w:rsidRPr="00DC55A7">
        <w:t xml:space="preserve"> were predicted to have 18% higher </w:t>
      </w:r>
      <w:r w:rsidR="00DC55A7">
        <w:t>AUC</w:t>
      </w:r>
      <w:r w:rsidR="00DC55A7">
        <w:rPr>
          <w:vertAlign w:val="subscript"/>
        </w:rPr>
        <w:t>0-24h</w:t>
      </w:r>
      <w:r w:rsidR="00DC55A7">
        <w:t xml:space="preserve"> </w:t>
      </w:r>
      <w:r w:rsidRPr="00DC55A7">
        <w:t xml:space="preserve">and 12% higher </w:t>
      </w:r>
      <w:r w:rsidR="00DC55A7">
        <w:t>C</w:t>
      </w:r>
      <w:r w:rsidR="00DC55A7">
        <w:rPr>
          <w:vertAlign w:val="subscript"/>
        </w:rPr>
        <w:t>max</w:t>
      </w:r>
      <w:r w:rsidR="00DC55A7" w:rsidRPr="00DC55A7">
        <w:t xml:space="preserve"> </w:t>
      </w:r>
      <w:r w:rsidRPr="00DC55A7">
        <w:t xml:space="preserve">compared to </w:t>
      </w:r>
      <w:r w:rsidR="00DC55A7">
        <w:t>healthy volunteers</w:t>
      </w:r>
      <w:r w:rsidRPr="00DC55A7">
        <w:t>. However, the influence of the statistically significant covariates in the final model led to &lt;</w:t>
      </w:r>
      <w:r w:rsidR="00DC55A7">
        <w:t xml:space="preserve"> </w:t>
      </w:r>
      <w:r w:rsidRPr="00DC55A7">
        <w:t xml:space="preserve">25% changes on model-predicted </w:t>
      </w:r>
      <w:r w:rsidR="00DC55A7">
        <w:t>u</w:t>
      </w:r>
      <w:r w:rsidRPr="00DC55A7">
        <w:t>padacitinib steady state exposures (</w:t>
      </w:r>
      <w:r w:rsidR="00DC55A7">
        <w:t>AUC</w:t>
      </w:r>
      <w:r w:rsidR="00DC55A7">
        <w:rPr>
          <w:vertAlign w:val="subscript"/>
        </w:rPr>
        <w:t>0-24h</w:t>
      </w:r>
      <w:r w:rsidR="00DC55A7">
        <w:t xml:space="preserve"> </w:t>
      </w:r>
      <w:r w:rsidRPr="00DC55A7">
        <w:t xml:space="preserve">and </w:t>
      </w:r>
      <w:r w:rsidR="00DC55A7">
        <w:t>C</w:t>
      </w:r>
      <w:r w:rsidR="00DC55A7">
        <w:rPr>
          <w:vertAlign w:val="subscript"/>
        </w:rPr>
        <w:t>max</w:t>
      </w:r>
      <w:r w:rsidRPr="00DC55A7">
        <w:t xml:space="preserve">) and, are unlikely to be clinically relevant in subjects with </w:t>
      </w:r>
      <w:r w:rsidR="00DC55A7">
        <w:t>atopic dermatitis</w:t>
      </w:r>
      <w:r w:rsidRPr="00DC55A7">
        <w:t>;</w:t>
      </w:r>
    </w:p>
    <w:p w14:paraId="6CA4309D" w14:textId="48157BCC" w:rsidR="00D01C74" w:rsidRPr="00DC55A7" w:rsidRDefault="00D01C74" w:rsidP="00FB2942">
      <w:r w:rsidRPr="00DC55A7">
        <w:t>Other covariates, such as age, body weigh</w:t>
      </w:r>
      <w:r w:rsidR="00DC55A7">
        <w:t xml:space="preserve">t, and geographic region (for example, </w:t>
      </w:r>
      <w:r w:rsidR="00032647">
        <w:t xml:space="preserve">Japan or </w:t>
      </w:r>
      <w:r w:rsidRPr="00DC55A7">
        <w:t xml:space="preserve">China) did not show any impact on </w:t>
      </w:r>
      <w:r w:rsidR="00DC55A7">
        <w:t>u</w:t>
      </w:r>
      <w:r w:rsidR="00032647">
        <w:t>padacitinib pharmacokinetics.</w:t>
      </w:r>
    </w:p>
    <w:p w14:paraId="71E9E746" w14:textId="71F0E79F" w:rsidR="00D01C74" w:rsidRPr="00DC55A7" w:rsidRDefault="00D01C74" w:rsidP="00FB2942">
      <w:r w:rsidRPr="00DC55A7">
        <w:t>Comparison of the model predicted</w:t>
      </w:r>
      <w:r w:rsidR="005D7175">
        <w:t xml:space="preserve"> upadacitinib</w:t>
      </w:r>
      <w:r w:rsidRPr="00DC55A7">
        <w:t xml:space="preserve"> exposures between adolescent and adult subjects with </w:t>
      </w:r>
      <w:r w:rsidR="00DC55A7">
        <w:t>atopic dermatitis</w:t>
      </w:r>
      <w:r w:rsidRPr="00DC55A7">
        <w:t xml:space="preserve"> showed that</w:t>
      </w:r>
      <w:r w:rsidR="005D7175">
        <w:t xml:space="preserve"> upadacitinib</w:t>
      </w:r>
      <w:r w:rsidRPr="00DC55A7">
        <w:t xml:space="preserve"> exposures were sim</w:t>
      </w:r>
      <w:r w:rsidR="00032647">
        <w:t>ilar between the two age groups.</w:t>
      </w:r>
    </w:p>
    <w:p w14:paraId="355A6C87" w14:textId="45067D47" w:rsidR="00D01C74" w:rsidRPr="00DC55A7" w:rsidRDefault="00D01C74" w:rsidP="00FB2942">
      <w:r w:rsidRPr="00DC55A7">
        <w:t>The observed</w:t>
      </w:r>
      <w:r w:rsidR="002A1C30">
        <w:t xml:space="preserve"> u</w:t>
      </w:r>
      <w:r w:rsidRPr="00DC55A7">
        <w:t xml:space="preserve">padacitinib concentrations in both subjects with </w:t>
      </w:r>
      <w:r w:rsidR="002A1C30">
        <w:t>atopic dermatitis</w:t>
      </w:r>
      <w:r w:rsidRPr="00DC55A7">
        <w:t xml:space="preserve"> and subjects with </w:t>
      </w:r>
      <w:r w:rsidR="002A1C30">
        <w:t>rheumatoid arthritis</w:t>
      </w:r>
      <w:r w:rsidRPr="00DC55A7">
        <w:t xml:space="preserve"> indicated that </w:t>
      </w:r>
      <w:r w:rsidR="002A1C30">
        <w:t>u</w:t>
      </w:r>
      <w:r w:rsidRPr="00DC55A7">
        <w:t>padacitinib exposures were comparable between the two patient populations.</w:t>
      </w:r>
    </w:p>
    <w:p w14:paraId="1A3EB042" w14:textId="0790CFD9" w:rsidR="00D01C74" w:rsidRDefault="007440B9" w:rsidP="00FB2942">
      <w:r>
        <w:t>U</w:t>
      </w:r>
      <w:r w:rsidR="00782F8C">
        <w:t>padacitinib</w:t>
      </w:r>
      <w:r w:rsidR="00D01C74" w:rsidRPr="00DC55A7">
        <w:t xml:space="preserve"> plasma exposures were comparable between Japanese and non-Japanese subjects with </w:t>
      </w:r>
      <w:r w:rsidR="002A1C30">
        <w:t>atopic dermatitis</w:t>
      </w:r>
      <w:r w:rsidR="00D01C74" w:rsidRPr="00DC55A7">
        <w:t xml:space="preserve"> for both the 15 mg and 30 mg </w:t>
      </w:r>
      <w:r w:rsidR="002A1C30">
        <w:t>once daily</w:t>
      </w:r>
      <w:r w:rsidR="00D01C74" w:rsidRPr="00DC55A7">
        <w:t xml:space="preserve"> regimens. Results from previous Phase</w:t>
      </w:r>
      <w:r w:rsidR="002A1C30">
        <w:t xml:space="preserve"> I</w:t>
      </w:r>
      <w:r w:rsidR="00D01C74" w:rsidRPr="00DC55A7">
        <w:t xml:space="preserve"> studies (Studies M13-543 and M15-558) have demonstrated similar </w:t>
      </w:r>
      <w:r w:rsidR="002A1C30">
        <w:t>u</w:t>
      </w:r>
      <w:r w:rsidR="00D01C74" w:rsidRPr="00DC55A7">
        <w:t xml:space="preserve">padacitinib pharmacokinetics between Japanese, Chinese, and Western subjects. Hence, subjects with </w:t>
      </w:r>
      <w:r w:rsidR="002A1C30">
        <w:t>atopic dermatitis</w:t>
      </w:r>
      <w:r w:rsidR="00D01C74" w:rsidRPr="00DC55A7">
        <w:t xml:space="preserve"> from other Asian countries (</w:t>
      </w:r>
      <w:r w:rsidR="002A1C30">
        <w:t>for example,</w:t>
      </w:r>
      <w:r w:rsidR="00D01C74" w:rsidRPr="00DC55A7">
        <w:t xml:space="preserve"> China) are also expected to have similar </w:t>
      </w:r>
      <w:r w:rsidR="002A1C30">
        <w:t>u</w:t>
      </w:r>
      <w:r w:rsidR="00D01C74" w:rsidRPr="00DC55A7">
        <w:t>padacitinib plasma exposures to non-Asian subjects. Although the small sample size for subjects from other Asian countries (</w:t>
      </w:r>
      <w:r w:rsidR="002A1C30">
        <w:t>for example,</w:t>
      </w:r>
      <w:r w:rsidR="00D01C74" w:rsidRPr="00DC55A7">
        <w:t xml:space="preserve"> China) did not allow for covariate testing, </w:t>
      </w:r>
      <w:r w:rsidR="00D01C74" w:rsidRPr="00362371">
        <w:rPr>
          <w:i/>
        </w:rPr>
        <w:t>post-hoc</w:t>
      </w:r>
      <w:r w:rsidR="00D01C74" w:rsidRPr="00DC55A7">
        <w:t xml:space="preserve"> exposures stratified by geographic regions showed similar </w:t>
      </w:r>
      <w:r w:rsidR="002A1C30">
        <w:t>u</w:t>
      </w:r>
      <w:r w:rsidR="00D01C74" w:rsidRPr="00DC55A7">
        <w:t>padacitinib pharmacokinetics across the different study regions, including Asian countries (</w:t>
      </w:r>
      <w:r w:rsidR="002A1C30">
        <w:t xml:space="preserve">for example </w:t>
      </w:r>
      <w:r w:rsidR="00D01C74" w:rsidRPr="00DC55A7">
        <w:t>Japan,</w:t>
      </w:r>
      <w:r w:rsidR="002A1C30">
        <w:t xml:space="preserve"> and</w:t>
      </w:r>
      <w:r w:rsidR="00D01C74" w:rsidRPr="00DC55A7">
        <w:t xml:space="preserve"> China).</w:t>
      </w:r>
    </w:p>
    <w:p w14:paraId="6CCA7304" w14:textId="16B00B0E" w:rsidR="002A1C30" w:rsidRPr="00DC55A7" w:rsidRDefault="002A1C30" w:rsidP="00FB2942">
      <w:pPr>
        <w:pStyle w:val="Heading5"/>
      </w:pPr>
      <w:r>
        <w:t xml:space="preserve">Analysis </w:t>
      </w:r>
      <w:r>
        <w:rPr>
          <w:lang w:val="en-US"/>
        </w:rPr>
        <w:t>R&amp;D/18/1079</w:t>
      </w:r>
    </w:p>
    <w:p w14:paraId="2268397D" w14:textId="4307FBB1" w:rsidR="00D01C74" w:rsidRPr="00945667" w:rsidRDefault="00D01C74" w:rsidP="00FB2942">
      <w:r w:rsidRPr="00E06C9E">
        <w:rPr>
          <w:color w:val="001422"/>
        </w:rPr>
        <w:t>PopPK</w:t>
      </w:r>
      <w:r w:rsidRPr="00E06C9E">
        <w:rPr>
          <w:color w:val="001422"/>
          <w:spacing w:val="-4"/>
        </w:rPr>
        <w:t xml:space="preserve"> </w:t>
      </w:r>
      <w:r w:rsidRPr="00E06C9E">
        <w:rPr>
          <w:color w:val="001422"/>
        </w:rPr>
        <w:t>analysis</w:t>
      </w:r>
      <w:r w:rsidRPr="00E06C9E">
        <w:rPr>
          <w:color w:val="001422"/>
          <w:spacing w:val="-2"/>
        </w:rPr>
        <w:t xml:space="preserve"> </w:t>
      </w:r>
      <w:r w:rsidR="002A1C30">
        <w:rPr>
          <w:lang w:val="en-US"/>
        </w:rPr>
        <w:t>R&amp;D/18/1079</w:t>
      </w:r>
      <w:r w:rsidR="002A1C30" w:rsidRPr="00E06C9E">
        <w:t xml:space="preserve"> </w:t>
      </w:r>
      <w:r w:rsidRPr="00E06C9E">
        <w:t>included data from</w:t>
      </w:r>
      <w:r w:rsidR="002A1C30">
        <w:t xml:space="preserve"> the Phase I and II studies.</w:t>
      </w:r>
    </w:p>
    <w:p w14:paraId="13722B02" w14:textId="28A6000D" w:rsidR="00D01C74" w:rsidRPr="00511438" w:rsidRDefault="00D01C74" w:rsidP="00C3742F">
      <w:pPr>
        <w:rPr>
          <w:spacing w:val="1"/>
        </w:rPr>
      </w:pPr>
      <w:r w:rsidRPr="00511438">
        <w:t xml:space="preserve">The objective of this analysis was to characterise the </w:t>
      </w:r>
      <w:r w:rsidR="0076677D">
        <w:t>PopPK</w:t>
      </w:r>
      <w:r w:rsidRPr="00511438">
        <w:t xml:space="preserve"> of</w:t>
      </w:r>
      <w:r w:rsidRPr="00511438">
        <w:rPr>
          <w:spacing w:val="1"/>
        </w:rPr>
        <w:t xml:space="preserve"> </w:t>
      </w:r>
      <w:r w:rsidR="002A1C30">
        <w:rPr>
          <w:spacing w:val="1"/>
        </w:rPr>
        <w:t>u</w:t>
      </w:r>
      <w:r w:rsidRPr="00511438">
        <w:t>padacitinib in healthy subjects and subj</w:t>
      </w:r>
      <w:r w:rsidR="002A1C30">
        <w:t xml:space="preserve">ects with rheumatoid arthritis, </w:t>
      </w:r>
      <w:r w:rsidRPr="00511438">
        <w:t>Crohn's disease</w:t>
      </w:r>
      <w:r w:rsidR="002A1C30">
        <w:rPr>
          <w:spacing w:val="1"/>
        </w:rPr>
        <w:t xml:space="preserve">, </w:t>
      </w:r>
      <w:r w:rsidR="002A1C30">
        <w:t>atopic dermatitis, or ulcerative colitis.</w:t>
      </w:r>
      <w:r w:rsidRPr="00511438">
        <w:rPr>
          <w:spacing w:val="1"/>
        </w:rPr>
        <w:t xml:space="preserve"> </w:t>
      </w:r>
    </w:p>
    <w:p w14:paraId="1DE8AC5B" w14:textId="5842CC13" w:rsidR="00D01C74" w:rsidRPr="002A1C30" w:rsidRDefault="00D01C74" w:rsidP="00FB2942">
      <w:r w:rsidRPr="002A1C30">
        <w:t xml:space="preserve">The </w:t>
      </w:r>
      <w:r w:rsidR="002A1C30" w:rsidRPr="002A1C30">
        <w:t xml:space="preserve">R&amp;D/18/1079 </w:t>
      </w:r>
      <w:r w:rsidRPr="002A1C30">
        <w:t>analysis indicated that:</w:t>
      </w:r>
    </w:p>
    <w:p w14:paraId="0228D8DF" w14:textId="7C9E90CE" w:rsidR="00D01C74" w:rsidRPr="002A1C30" w:rsidRDefault="00D01C74" w:rsidP="00FB2942">
      <w:pPr>
        <w:pStyle w:val="ListBullet"/>
      </w:pPr>
      <w:r w:rsidRPr="002A1C30">
        <w:t>Compared to males, females had 21% higher steady state AUC</w:t>
      </w:r>
      <w:r w:rsidR="002A1C30">
        <w:t>.</w:t>
      </w:r>
    </w:p>
    <w:p w14:paraId="74148883" w14:textId="7019ED42" w:rsidR="00D01C74" w:rsidRPr="002A1C30" w:rsidRDefault="00D01C74" w:rsidP="00FB2942">
      <w:pPr>
        <w:pStyle w:val="ListBullet"/>
      </w:pPr>
      <w:r w:rsidRPr="002A1C30">
        <w:t xml:space="preserve">Compared to healthy subjects, subjects with </w:t>
      </w:r>
      <w:r w:rsidR="002A1C30">
        <w:t>atopic dermatitis, ulcerative colitis or Crohn’s disease</w:t>
      </w:r>
      <w:r w:rsidRPr="002A1C30">
        <w:t xml:space="preserve"> had 21% higher steady state AUC, while subjects with </w:t>
      </w:r>
      <w:r w:rsidR="002A1C30">
        <w:t xml:space="preserve">rheumatoid arthritis </w:t>
      </w:r>
      <w:r w:rsidRPr="002A1C30">
        <w:t>had 35% higher steady state AUC</w:t>
      </w:r>
      <w:r w:rsidR="002A1C30">
        <w:t>.</w:t>
      </w:r>
    </w:p>
    <w:p w14:paraId="52C5F334" w14:textId="6FB38F20" w:rsidR="00D01C74" w:rsidRPr="002A1C30" w:rsidRDefault="00D01C74" w:rsidP="00FB2942">
      <w:pPr>
        <w:pStyle w:val="ListBullet"/>
      </w:pPr>
      <w:r w:rsidRPr="002A1C30">
        <w:t>Subjects with mild or moderate renal impairment were estimated to have 8% or 18% higher AUC, respectively, compared to subjects with no</w:t>
      </w:r>
      <w:r w:rsidR="002A1C30">
        <w:t>rmal renal</w:t>
      </w:r>
      <w:r w:rsidRPr="002A1C30">
        <w:t xml:space="preserve"> function</w:t>
      </w:r>
      <w:r w:rsidR="002A1C30">
        <w:t>.</w:t>
      </w:r>
    </w:p>
    <w:p w14:paraId="3C27A907" w14:textId="035CCBBE" w:rsidR="00D01C74" w:rsidRPr="00166CDC" w:rsidRDefault="00D01C74" w:rsidP="00FB2942">
      <w:r w:rsidRPr="002A1C30">
        <w:t>Overall, the results from the population pharmacokinetic analysis indicated no</w:t>
      </w:r>
      <w:r w:rsidR="002A1C30">
        <w:t xml:space="preserve"> </w:t>
      </w:r>
      <w:r w:rsidRPr="002A1C30">
        <w:t>clinically relevant covariate effects and suggest that</w:t>
      </w:r>
      <w:r w:rsidR="005D7175">
        <w:t xml:space="preserve"> upadacitinib</w:t>
      </w:r>
      <w:r w:rsidR="002A1C30">
        <w:t xml:space="preserve"> </w:t>
      </w:r>
      <w:r w:rsidRPr="002A1C30">
        <w:t xml:space="preserve">pharmacokinetics are comparable between healthy subjects and subjects with </w:t>
      </w:r>
      <w:r w:rsidR="002A1C30">
        <w:t xml:space="preserve">rheumatoid arthritis, </w:t>
      </w:r>
      <w:r w:rsidR="002A1C30" w:rsidRPr="00511438">
        <w:t>Crohn's disease</w:t>
      </w:r>
      <w:r w:rsidR="002A1C30">
        <w:rPr>
          <w:spacing w:val="1"/>
        </w:rPr>
        <w:t xml:space="preserve">, </w:t>
      </w:r>
      <w:r w:rsidR="002A1C30">
        <w:t>atopic dermatitis, or ulcerative colitis</w:t>
      </w:r>
      <w:r w:rsidR="00166CDC">
        <w:t>.</w:t>
      </w:r>
    </w:p>
    <w:p w14:paraId="588C5798" w14:textId="368D4E81" w:rsidR="00D01C74" w:rsidRPr="002A1C30" w:rsidRDefault="002A1C30" w:rsidP="00FB2942">
      <w:pPr>
        <w:pStyle w:val="Heading5"/>
      </w:pPr>
      <w:r>
        <w:t>Conclusions</w:t>
      </w:r>
    </w:p>
    <w:p w14:paraId="1B094B32" w14:textId="342A8114" w:rsidR="00D01C74" w:rsidRPr="002A1C30" w:rsidRDefault="00D01C74" w:rsidP="002A1C30">
      <w:r w:rsidRPr="002A1C30">
        <w:t>Bio</w:t>
      </w:r>
      <w:r w:rsidR="002A1C30">
        <w:t xml:space="preserve">equivalence between the Phase III atopic dermatitis </w:t>
      </w:r>
      <w:r w:rsidRPr="002A1C30">
        <w:t>clinical trial formulation and proposed market formulation of both the 15</w:t>
      </w:r>
      <w:r w:rsidR="002A1C30">
        <w:t xml:space="preserve"> </w:t>
      </w:r>
      <w:r w:rsidRPr="002A1C30">
        <w:t>mg and 30</w:t>
      </w:r>
      <w:r w:rsidR="002A1C30">
        <w:t xml:space="preserve"> </w:t>
      </w:r>
      <w:r w:rsidRPr="002A1C30">
        <w:t xml:space="preserve">mg extended </w:t>
      </w:r>
      <w:r w:rsidR="002A1C30">
        <w:t xml:space="preserve">release modified-release </w:t>
      </w:r>
      <w:r w:rsidRPr="002A1C30">
        <w:t>tablets was established, under both</w:t>
      </w:r>
      <w:r w:rsidR="00B51532">
        <w:t xml:space="preserve"> </w:t>
      </w:r>
      <w:r w:rsidRPr="002A1C30">
        <w:t>fasting</w:t>
      </w:r>
      <w:r w:rsidR="007440B9">
        <w:t xml:space="preserve"> conditions as well as after a </w:t>
      </w:r>
      <w:r w:rsidRPr="002A1C30">
        <w:t xml:space="preserve">high fat/ </w:t>
      </w:r>
      <w:r w:rsidRPr="002A1C30">
        <w:lastRenderedPageBreak/>
        <w:t xml:space="preserve">high calorie meal, as the estimates of relative bioavailability and their 90% </w:t>
      </w:r>
      <w:r w:rsidR="00032647">
        <w:t>confidence intervals (</w:t>
      </w:r>
      <w:r w:rsidRPr="002A1C30">
        <w:t>CIs</w:t>
      </w:r>
      <w:r w:rsidR="00032647">
        <w:t>)</w:t>
      </w:r>
      <w:r w:rsidRPr="002A1C30">
        <w:t xml:space="preserve"> were within the accepte</w:t>
      </w:r>
      <w:r w:rsidR="00166CDC">
        <w:t xml:space="preserve">d bioequivalence limits of 0.80 to </w:t>
      </w:r>
      <w:r w:rsidRPr="002A1C30">
        <w:t>1.25</w:t>
      </w:r>
      <w:r w:rsidR="002A1C30">
        <w:t>.</w:t>
      </w:r>
    </w:p>
    <w:p w14:paraId="4E9682FF" w14:textId="1A00E369" w:rsidR="00D01C74" w:rsidRPr="002A1C30" w:rsidRDefault="00D01C74" w:rsidP="002A1C30">
      <w:r w:rsidRPr="002A1C30">
        <w:t>Additional analysis showed that the 15 mg strength</w:t>
      </w:r>
      <w:r w:rsidR="002A1C30">
        <w:t xml:space="preserve"> modified-release</w:t>
      </w:r>
      <w:r w:rsidRPr="002A1C30">
        <w:t xml:space="preserve"> </w:t>
      </w:r>
      <w:r w:rsidR="002A1C30">
        <w:t>u</w:t>
      </w:r>
      <w:r w:rsidRPr="002A1C30">
        <w:t>padacitinib market</w:t>
      </w:r>
      <w:r w:rsidR="0076677D">
        <w:noBreakHyphen/>
      </w:r>
      <w:r w:rsidRPr="002A1C30">
        <w:t xml:space="preserve">image </w:t>
      </w:r>
      <w:r w:rsidR="002A1C30">
        <w:t xml:space="preserve">formulation </w:t>
      </w:r>
      <w:r w:rsidRPr="002A1C30">
        <w:t xml:space="preserve">provides equivalent dose-normalised plasma exposures to the 30 mg strength </w:t>
      </w:r>
      <w:r w:rsidR="002A1C30">
        <w:t>upadacitinib Phase III</w:t>
      </w:r>
      <w:r w:rsidRPr="002A1C30">
        <w:t xml:space="preserve"> formulation, under fasting conditions and after a </w:t>
      </w:r>
      <w:r w:rsidR="002A1C30">
        <w:t>high-</w:t>
      </w:r>
      <w:r w:rsidRPr="002A1C30">
        <w:t>fat/ high-calorie meal</w:t>
      </w:r>
      <w:r w:rsidR="002A1C30">
        <w:t>.</w:t>
      </w:r>
    </w:p>
    <w:p w14:paraId="62DB68DA" w14:textId="7D1F089F" w:rsidR="00D01C74" w:rsidRPr="00471342" w:rsidRDefault="00166CDC" w:rsidP="00471342">
      <w:r>
        <w:t>Overall, Pop</w:t>
      </w:r>
      <w:r w:rsidR="00D01C74" w:rsidRPr="002A1C30">
        <w:t xml:space="preserve">PK analyses demonstrated similar </w:t>
      </w:r>
      <w:r w:rsidR="002A1C30">
        <w:t>u</w:t>
      </w:r>
      <w:r w:rsidR="00D01C74" w:rsidRPr="002A1C30">
        <w:t xml:space="preserve">padacitinib exposure in the </w:t>
      </w:r>
      <w:r w:rsidR="002A1C30">
        <w:t>atopic dermatitis and rheumatoid arthritis</w:t>
      </w:r>
      <w:r w:rsidR="00D01C74" w:rsidRPr="002A1C30">
        <w:t xml:space="preserve"> patients as well as across different ethnic groups with no dose adjustments warranted in any of these groups. PopPK modelling analyses also indicated similar </w:t>
      </w:r>
      <w:r w:rsidR="002A1C30">
        <w:t>u</w:t>
      </w:r>
      <w:r w:rsidR="00D01C74" w:rsidRPr="002A1C30">
        <w:t xml:space="preserve">padacitinib exposures in adult and adolescent subjects with </w:t>
      </w:r>
      <w:r w:rsidR="002A1C30">
        <w:t>atopic dermatitis</w:t>
      </w:r>
      <w:r w:rsidR="00D01C74" w:rsidRPr="002A1C30">
        <w:t>. However, it is noted that the sponsors do not propose use of the higher 30</w:t>
      </w:r>
      <w:r w:rsidR="002A1C30">
        <w:t xml:space="preserve"> </w:t>
      </w:r>
      <w:r w:rsidR="007440B9">
        <w:t>mg dose in adolescents (reason</w:t>
      </w:r>
      <w:r w:rsidR="00D01C74" w:rsidRPr="002A1C30">
        <w:t xml:space="preserve"> stated was that they await more safety data on the 30</w:t>
      </w:r>
      <w:r w:rsidR="002A1C30">
        <w:t xml:space="preserve"> </w:t>
      </w:r>
      <w:r w:rsidR="00D01C74" w:rsidRPr="002A1C30">
        <w:t>mg dose for adolescents).</w:t>
      </w:r>
    </w:p>
    <w:p w14:paraId="733D88B0" w14:textId="7047F50B" w:rsidR="00D01C74" w:rsidRPr="00471342" w:rsidRDefault="00D01C74" w:rsidP="00471342">
      <w:pPr>
        <w:pStyle w:val="Heading4"/>
      </w:pPr>
      <w:r w:rsidRPr="002A1C30">
        <w:t>Pharmacodynamic</w:t>
      </w:r>
      <w:r w:rsidR="00471342">
        <w:t>s</w:t>
      </w:r>
    </w:p>
    <w:p w14:paraId="1C4A082F" w14:textId="4BDF4C41" w:rsidR="00471342" w:rsidRDefault="00471342" w:rsidP="00471342">
      <w:r>
        <w:t>Through e</w:t>
      </w:r>
      <w:r w:rsidR="00D01C74" w:rsidRPr="00471342">
        <w:t>xposure response analyses</w:t>
      </w:r>
      <w:r>
        <w:t>, t</w:t>
      </w:r>
      <w:r w:rsidR="00D01C74" w:rsidRPr="00471342">
        <w:t xml:space="preserve">he relationships between </w:t>
      </w:r>
      <w:r>
        <w:t>u</w:t>
      </w:r>
      <w:r w:rsidR="00D01C74" w:rsidRPr="00471342">
        <w:t xml:space="preserve">padacitinib plasma exposures and clinical efficacy and safety in adolescent and adult subjects with </w:t>
      </w:r>
      <w:r>
        <w:t>atopic dermatitis</w:t>
      </w:r>
      <w:r w:rsidR="00D01C74" w:rsidRPr="00471342">
        <w:t xml:space="preserve"> was analysed using data </w:t>
      </w:r>
      <w:r>
        <w:t xml:space="preserve">from one Phase IIb and three Phase III </w:t>
      </w:r>
      <w:r w:rsidR="00D01C74" w:rsidRPr="00471342">
        <w:t xml:space="preserve">studies across subjects receiving </w:t>
      </w:r>
      <w:r>
        <w:t>u</w:t>
      </w:r>
      <w:r w:rsidR="00D01C74" w:rsidRPr="00471342">
        <w:t xml:space="preserve">padacitinib alone or in </w:t>
      </w:r>
      <w:r>
        <w:t>combination with t</w:t>
      </w:r>
      <w:r w:rsidR="00D01C74" w:rsidRPr="00471342">
        <w:t xml:space="preserve">opical </w:t>
      </w:r>
      <w:r>
        <w:t>corticosteroids.</w:t>
      </w:r>
      <w:r w:rsidR="005D7175">
        <w:t xml:space="preserve"> upadacitinib</w:t>
      </w:r>
      <w:r w:rsidR="00D01C74" w:rsidRPr="00471342">
        <w:t xml:space="preserve"> individual </w:t>
      </w:r>
      <w:r>
        <w:t>average concentration</w:t>
      </w:r>
      <w:r w:rsidR="00D01C74" w:rsidRPr="00471342">
        <w:t xml:space="preserve"> values in subjects with </w:t>
      </w:r>
      <w:r>
        <w:t>atopic dermatitis</w:t>
      </w:r>
      <w:r w:rsidR="00D01C74" w:rsidRPr="00471342">
        <w:t xml:space="preserve"> were estimated using empirical Bayesian individual estimates from the population pharmacokinetics analysis</w:t>
      </w:r>
      <w:r>
        <w:t>.</w:t>
      </w:r>
    </w:p>
    <w:p w14:paraId="0E05EE32" w14:textId="132CE7EE" w:rsidR="00FB2942" w:rsidRDefault="00FB2942" w:rsidP="00FB2942">
      <w:pPr>
        <w:pStyle w:val="Heading5"/>
      </w:pPr>
      <w:r>
        <w:t>Exposure-response analyses</w:t>
      </w:r>
    </w:p>
    <w:p w14:paraId="0BF30D45" w14:textId="1B7E486A" w:rsidR="00166CDC" w:rsidRPr="00D61470" w:rsidRDefault="00D01C74" w:rsidP="00D61470">
      <w:r w:rsidRPr="00471342">
        <w:t>With regard to the outcome</w:t>
      </w:r>
      <w:r w:rsidR="00D61470">
        <w:t>, i</w:t>
      </w:r>
      <w:r w:rsidRPr="00D61470">
        <w:t xml:space="preserve">n subjects receiving </w:t>
      </w:r>
      <w:r w:rsidR="00471342" w:rsidRPr="00D61470">
        <w:t>u</w:t>
      </w:r>
      <w:r w:rsidRPr="00D61470">
        <w:t>padacitinib monotherapy</w:t>
      </w:r>
      <w:r w:rsidR="00D61470">
        <w:t xml:space="preserve">, </w:t>
      </w:r>
      <w:r w:rsidRPr="00D61470">
        <w:t xml:space="preserve">statistically significant exposure-dependent increases in </w:t>
      </w:r>
      <w:r w:rsidR="00471342" w:rsidRPr="00D61470">
        <w:t>u</w:t>
      </w:r>
      <w:r w:rsidRPr="00D61470">
        <w:t>padacitinib effic</w:t>
      </w:r>
      <w:r w:rsidR="00471342" w:rsidRPr="00D61470">
        <w:t>acy</w:t>
      </w:r>
      <w:r w:rsidR="00166CDC" w:rsidRPr="00D61470">
        <w:t xml:space="preserve"> </w:t>
      </w:r>
      <w:r w:rsidRPr="00D61470">
        <w:t xml:space="preserve">were observed </w:t>
      </w:r>
      <w:r w:rsidRPr="007440B9">
        <w:t xml:space="preserve">for Eczema Area </w:t>
      </w:r>
      <w:r w:rsidR="00032647">
        <w:t xml:space="preserve">and </w:t>
      </w:r>
      <w:r w:rsidRPr="007440B9">
        <w:t>Severity I</w:t>
      </w:r>
      <w:r w:rsidR="00166CDC" w:rsidRPr="007440B9">
        <w:t>ndex (EASI)</w:t>
      </w:r>
      <w:r w:rsidRPr="007440B9">
        <w:t xml:space="preserve"> 75, EASI 90, Investigators Global A</w:t>
      </w:r>
      <w:r w:rsidR="00166CDC" w:rsidRPr="007440B9">
        <w:t>ssessment (IGA)</w:t>
      </w:r>
      <w:r w:rsidRPr="007440B9">
        <w:t xml:space="preserve"> 0/1, IGA 0,</w:t>
      </w:r>
      <w:r w:rsidRPr="00D61470">
        <w:t xml:space="preserve"> and improvement in Worst Pruritus numeric</w:t>
      </w:r>
      <w:r w:rsidR="008A1524" w:rsidRPr="00D61470">
        <w:t>al rating scale (NRS) ≥ 4 from B</w:t>
      </w:r>
      <w:r w:rsidRPr="00D61470">
        <w:t>aseline at Week 16</w:t>
      </w:r>
      <w:r w:rsidR="007440B9">
        <w:t xml:space="preserve"> (see section: </w:t>
      </w:r>
      <w:r w:rsidR="007440B9" w:rsidRPr="007440B9">
        <w:rPr>
          <w:i/>
        </w:rPr>
        <w:fldChar w:fldCharType="begin"/>
      </w:r>
      <w:r w:rsidR="007440B9" w:rsidRPr="007440B9">
        <w:rPr>
          <w:i/>
        </w:rPr>
        <w:instrText xml:space="preserve"> REF _Ref125651610 \h </w:instrText>
      </w:r>
      <w:r w:rsidR="007440B9">
        <w:rPr>
          <w:i/>
        </w:rPr>
        <w:instrText xml:space="preserve"> \* MERGEFORMAT </w:instrText>
      </w:r>
      <w:r w:rsidR="007440B9" w:rsidRPr="007440B9">
        <w:rPr>
          <w:i/>
        </w:rPr>
      </w:r>
      <w:r w:rsidR="007440B9" w:rsidRPr="007440B9">
        <w:rPr>
          <w:i/>
        </w:rPr>
        <w:fldChar w:fldCharType="separate"/>
      </w:r>
      <w:r w:rsidR="00B51532" w:rsidRPr="00B51532">
        <w:rPr>
          <w:i/>
        </w:rPr>
        <w:t>Scoring systems used in the clinical studies</w:t>
      </w:r>
      <w:r w:rsidR="007440B9" w:rsidRPr="007440B9">
        <w:rPr>
          <w:i/>
        </w:rPr>
        <w:fldChar w:fldCharType="end"/>
      </w:r>
      <w:r w:rsidR="007440B9">
        <w:rPr>
          <w:i/>
        </w:rPr>
        <w:t xml:space="preserve"> </w:t>
      </w:r>
      <w:r w:rsidR="007440B9">
        <w:t>for more information on these outcome measures)</w:t>
      </w:r>
      <w:r w:rsidR="00166CDC" w:rsidRPr="00D61470">
        <w:t>.</w:t>
      </w:r>
    </w:p>
    <w:p w14:paraId="022AE138" w14:textId="1FDE8AC3" w:rsidR="008A1524" w:rsidRPr="008A1524" w:rsidRDefault="008A1524" w:rsidP="008A1524">
      <w:pPr>
        <w:spacing w:before="0" w:after="200" w:line="0" w:lineRule="auto"/>
      </w:pPr>
      <w:r>
        <w:br w:type="page"/>
      </w:r>
    </w:p>
    <w:p w14:paraId="3C931E4A" w14:textId="6B525250" w:rsidR="00166CDC" w:rsidRDefault="00166CDC" w:rsidP="008A1524">
      <w:pPr>
        <w:pStyle w:val="FigureTitle"/>
      </w:pPr>
      <w:r>
        <w:lastRenderedPageBreak/>
        <w:t xml:space="preserve">Figure </w:t>
      </w:r>
      <w:fldSimple w:instr=" SEQ Figure \* ARABIC ">
        <w:r w:rsidR="00B51532">
          <w:rPr>
            <w:noProof/>
          </w:rPr>
          <w:t>1</w:t>
        </w:r>
      </w:fldSimple>
      <w:r>
        <w:t>: Exposure-response</w:t>
      </w:r>
      <w:r w:rsidR="008A1524">
        <w:t xml:space="preserve"> analyses</w:t>
      </w:r>
      <w:r>
        <w:t xml:space="preserve">, </w:t>
      </w:r>
      <w:r w:rsidR="006829C5" w:rsidRPr="006829C5">
        <w:t>observ</w:t>
      </w:r>
      <w:r w:rsidR="006829C5">
        <w:t>ed EASI75 and EASI90 responses rates (NRI</w:t>
      </w:r>
      <w:r w:rsidR="00C4203D">
        <w:t>-C</w:t>
      </w:r>
      <w:r w:rsidR="006829C5" w:rsidRPr="006829C5">
        <w:t xml:space="preserve">) versus upadacitinib </w:t>
      </w:r>
      <w:r w:rsidR="006829C5">
        <w:t>average concentration quartiles at W</w:t>
      </w:r>
      <w:r w:rsidR="006829C5" w:rsidRPr="006829C5">
        <w:t xml:space="preserve">eek 16 for upadacitinib monotherapy (Studies M16-048, M16-045, </w:t>
      </w:r>
      <w:r w:rsidR="00B1522F">
        <w:t xml:space="preserve">and </w:t>
      </w:r>
      <w:r w:rsidR="006829C5" w:rsidRPr="006829C5">
        <w:t>M18-891)</w:t>
      </w:r>
    </w:p>
    <w:p w14:paraId="0F596C1C" w14:textId="7E85A4FE" w:rsidR="00166CDC" w:rsidRDefault="00166CDC" w:rsidP="00166CDC">
      <w:r w:rsidRPr="00166CDC">
        <w:rPr>
          <w:noProof/>
          <w:lang w:val="en-GB" w:eastAsia="en-GB"/>
        </w:rPr>
        <w:drawing>
          <wp:inline distT="0" distB="0" distL="0" distR="0" wp14:anchorId="130AE038" wp14:editId="500255C6">
            <wp:extent cx="3363402" cy="1922382"/>
            <wp:effectExtent l="0" t="0" r="8890" b="1905"/>
            <wp:docPr id="13" name="Picture 13" descr="Exposure-response analyses, observed EASI75 and EASI90 responses rates (NRI-C) versus upadacitinib average concentration quartiles at Week 16 for upadacitinib monotherapy (Studies M16-048, M16-045, and M18-891)" title="Exposure-response analyses, observed EASI75 and EASI90 responses rates (NRI-C) versus upadacitinib average concentration quartiles at Week 16 for upadacitinib monotherapy (Studies M16-048, M16-045, and M1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r="50055" b="67048"/>
                    <a:stretch/>
                  </pic:blipFill>
                  <pic:spPr bwMode="auto">
                    <a:xfrm>
                      <a:off x="0" y="0"/>
                      <a:ext cx="3390246" cy="1937725"/>
                    </a:xfrm>
                    <a:prstGeom prst="rect">
                      <a:avLst/>
                    </a:prstGeom>
                    <a:noFill/>
                    <a:ln>
                      <a:noFill/>
                    </a:ln>
                    <a:extLst>
                      <a:ext uri="{53640926-AAD7-44D8-BBD7-CCE9431645EC}">
                        <a14:shadowObscured xmlns:a14="http://schemas.microsoft.com/office/drawing/2010/main"/>
                      </a:ext>
                    </a:extLst>
                  </pic:spPr>
                </pic:pic>
              </a:graphicData>
            </a:graphic>
          </wp:inline>
        </w:drawing>
      </w:r>
    </w:p>
    <w:p w14:paraId="6817A140" w14:textId="5A33C3B3" w:rsidR="008A1524" w:rsidRDefault="008A1524" w:rsidP="00166CDC">
      <w:r w:rsidRPr="00166CDC">
        <w:rPr>
          <w:noProof/>
          <w:lang w:val="en-GB" w:eastAsia="en-GB"/>
        </w:rPr>
        <w:drawing>
          <wp:inline distT="0" distB="0" distL="0" distR="0" wp14:anchorId="17B8F77F" wp14:editId="6C72EA6C">
            <wp:extent cx="3327793" cy="2146852"/>
            <wp:effectExtent l="0" t="0" r="6350" b="6350"/>
            <wp:docPr id="17" name="Picture 17" descr="Exposure-response analyses, observed EASI75 and EASI90 responses rates (NRI-C) versus upadacitinib average concentration quartiles at Week 16 for upadacitinib monotherapy (Studies M16-048, M16-045, and M18-891)" title="Exposure-response analyses, observed EASI75 and EASI90 responses rates (NRI-C) versus upadacitinib average concentration quartiles at Week 16 for upadacitinib monotherapy (Studies M16-048, M16-045, and M1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50558" b="66457"/>
                    <a:stretch/>
                  </pic:blipFill>
                  <pic:spPr bwMode="auto">
                    <a:xfrm>
                      <a:off x="0" y="0"/>
                      <a:ext cx="3372037" cy="2175395"/>
                    </a:xfrm>
                    <a:prstGeom prst="rect">
                      <a:avLst/>
                    </a:prstGeom>
                    <a:noFill/>
                    <a:ln>
                      <a:noFill/>
                    </a:ln>
                    <a:extLst>
                      <a:ext uri="{53640926-AAD7-44D8-BBD7-CCE9431645EC}">
                        <a14:shadowObscured xmlns:a14="http://schemas.microsoft.com/office/drawing/2010/main"/>
                      </a:ext>
                    </a:extLst>
                  </pic:spPr>
                </pic:pic>
              </a:graphicData>
            </a:graphic>
          </wp:inline>
        </w:drawing>
      </w:r>
    </w:p>
    <w:p w14:paraId="0EE7928E" w14:textId="1F5EA83F" w:rsidR="002015FB" w:rsidRDefault="002015FB" w:rsidP="00B1522F">
      <w:pPr>
        <w:pStyle w:val="FigureDescription"/>
      </w:pPr>
      <w:r>
        <w:t>Abbreviations: Cavg = average concentration</w:t>
      </w:r>
      <w:r w:rsidR="00B1522F">
        <w:t xml:space="preserve">; EASI = </w:t>
      </w:r>
      <w:r w:rsidR="00B1522F" w:rsidRPr="007440B9">
        <w:t>Eczema Area Severity Index</w:t>
      </w:r>
      <w:r w:rsidR="00B1522F">
        <w:t xml:space="preserve">; EASI75 = </w:t>
      </w:r>
      <w:r w:rsidR="00B1522F" w:rsidRPr="007440B9">
        <w:t>Eczema Area Severity Index</w:t>
      </w:r>
      <w:r w:rsidR="00B1522F">
        <w:t xml:space="preserve"> 75% improvement response; EASI90 = </w:t>
      </w:r>
      <w:r w:rsidR="00B1522F" w:rsidRPr="007440B9">
        <w:t>Eczema Area Severity Index</w:t>
      </w:r>
      <w:r w:rsidR="00B1522F">
        <w:t xml:space="preserve"> 90% improvement response; NRI = non-responder imputation</w:t>
      </w:r>
      <w:r w:rsidR="004C5EC0">
        <w:t xml:space="preserve"> due to COVID-19 disease</w:t>
      </w:r>
      <w:r w:rsidR="00B1522F">
        <w:t>; TCS = topical corticosteroids.</w:t>
      </w:r>
    </w:p>
    <w:p w14:paraId="2F23A04D" w14:textId="2124DDD9" w:rsidR="008A1524" w:rsidRDefault="008A1524" w:rsidP="006829C5">
      <w:pPr>
        <w:pStyle w:val="FigureTitle"/>
      </w:pPr>
      <w:r>
        <w:t xml:space="preserve">Figure </w:t>
      </w:r>
      <w:fldSimple w:instr=" SEQ Figure \* ARABIC ">
        <w:r w:rsidR="00B51532">
          <w:rPr>
            <w:noProof/>
          </w:rPr>
          <w:t>2</w:t>
        </w:r>
      </w:fldSimple>
      <w:r>
        <w:t xml:space="preserve">: </w:t>
      </w:r>
      <w:r w:rsidR="006829C5">
        <w:t xml:space="preserve">Exposure-response analyses, </w:t>
      </w:r>
      <w:r w:rsidR="006829C5" w:rsidRPr="006829C5">
        <w:t>observ</w:t>
      </w:r>
      <w:r w:rsidR="006829C5">
        <w:t>ed improvement in worst pruritus NRS of 4 or more responses rates (NRI</w:t>
      </w:r>
      <w:r w:rsidR="006829C5" w:rsidRPr="006829C5">
        <w:t xml:space="preserve">) versus upadacitinib </w:t>
      </w:r>
      <w:r w:rsidR="006829C5">
        <w:t>average concentration quartiles at W</w:t>
      </w:r>
      <w:r w:rsidR="006829C5" w:rsidRPr="006829C5">
        <w:t>eek 16 for upadacitinib monotherapy (Studies M16-048, M16-045, M18-891)</w:t>
      </w:r>
    </w:p>
    <w:p w14:paraId="36A0E8E0" w14:textId="4DE7963C" w:rsidR="006829C5" w:rsidRDefault="006829C5" w:rsidP="006829C5">
      <w:r w:rsidRPr="006829C5">
        <w:rPr>
          <w:noProof/>
          <w:lang w:val="en-GB" w:eastAsia="en-GB"/>
        </w:rPr>
        <w:drawing>
          <wp:inline distT="0" distB="0" distL="0" distR="0" wp14:anchorId="57F40864" wp14:editId="03413BB3">
            <wp:extent cx="3466769" cy="1956021"/>
            <wp:effectExtent l="0" t="0" r="635" b="6350"/>
            <wp:docPr id="18" name="Picture 18" descr="Exposure-response analyses, observed improvement in worst pruritus NRS of 4 or more responses rates (NRI) versus upadacitinib average concentration quartiles at Week 16 for upadacitinib monotherapy (Studies M16-048, M16-045, M18-891)" title="Exposure-response analyses, observed improvement in worst pruritus NRS of 4 or more responses rates (NRI) versus upadacitinib average concentration quartiles at Week 16 for upadacitinib monotherapy (Studies M16-048, M16-045, M18-89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7">
                      <a:extLst>
                        <a:ext uri="{28A0092B-C50C-407E-A947-70E740481C1C}">
                          <a14:useLocalDpi xmlns:a14="http://schemas.microsoft.com/office/drawing/2010/main" val="0"/>
                        </a:ext>
                      </a:extLst>
                    </a:blip>
                    <a:srcRect t="67306" r="50055"/>
                    <a:stretch/>
                  </pic:blipFill>
                  <pic:spPr bwMode="auto">
                    <a:xfrm>
                      <a:off x="0" y="0"/>
                      <a:ext cx="3471016" cy="1958417"/>
                    </a:xfrm>
                    <a:prstGeom prst="rect">
                      <a:avLst/>
                    </a:prstGeom>
                    <a:noFill/>
                    <a:ln>
                      <a:noFill/>
                    </a:ln>
                    <a:extLst>
                      <a:ext uri="{53640926-AAD7-44D8-BBD7-CCE9431645EC}">
                        <a14:shadowObscured xmlns:a14="http://schemas.microsoft.com/office/drawing/2010/main"/>
                      </a:ext>
                    </a:extLst>
                  </pic:spPr>
                </pic:pic>
              </a:graphicData>
            </a:graphic>
          </wp:inline>
        </w:drawing>
      </w:r>
    </w:p>
    <w:p w14:paraId="7DFAC6E4" w14:textId="2F20ED24" w:rsidR="0076677D" w:rsidRPr="006829C5" w:rsidRDefault="00B1522F" w:rsidP="00B1522F">
      <w:pPr>
        <w:pStyle w:val="FigureDescription"/>
      </w:pPr>
      <w:r>
        <w:t>Abbreviations: Cavg = average concentration; NRS = numerical rating scale; NRI = non-responder imputation; TCS = topical corticosteroids.</w:t>
      </w:r>
    </w:p>
    <w:p w14:paraId="7B1196C4" w14:textId="77777777" w:rsidR="0076677D" w:rsidRDefault="0076677D" w:rsidP="00362371">
      <w:pPr>
        <w:pStyle w:val="FigureDescription"/>
      </w:pPr>
    </w:p>
    <w:p w14:paraId="3FA4D847" w14:textId="5C46FA2E" w:rsidR="0076677D" w:rsidRDefault="008A1524" w:rsidP="006829C5">
      <w:pPr>
        <w:pStyle w:val="FigureTitle"/>
      </w:pPr>
      <w:r>
        <w:lastRenderedPageBreak/>
        <w:t xml:space="preserve">Figure </w:t>
      </w:r>
      <w:fldSimple w:instr=" SEQ Figure \* ARABIC ">
        <w:r w:rsidR="00B51532">
          <w:rPr>
            <w:noProof/>
          </w:rPr>
          <w:t>3</w:t>
        </w:r>
      </w:fldSimple>
      <w:r>
        <w:t xml:space="preserve">: </w:t>
      </w:r>
      <w:r w:rsidR="006829C5">
        <w:t xml:space="preserve">Exposure-response analyses, </w:t>
      </w:r>
      <w:r w:rsidR="006829C5" w:rsidRPr="006829C5">
        <w:t>observ</w:t>
      </w:r>
      <w:r w:rsidR="006829C5">
        <w:t>ed IGA0 and IGA0/1 responses rates (NRI</w:t>
      </w:r>
      <w:r w:rsidR="006829C5" w:rsidRPr="006829C5">
        <w:t xml:space="preserve">) versus upadacitinib </w:t>
      </w:r>
      <w:r w:rsidR="006829C5">
        <w:t>average concentration quartiles at W</w:t>
      </w:r>
      <w:r w:rsidR="006829C5" w:rsidRPr="006829C5">
        <w:t>eek 16 for upadacitinib monotherapy (Studies M16-048, M16-045, M18-891)</w:t>
      </w:r>
    </w:p>
    <w:p w14:paraId="3D7CA744" w14:textId="2929B22B" w:rsidR="008A1524" w:rsidRPr="008A1524" w:rsidRDefault="008A1524" w:rsidP="006829C5">
      <w:pPr>
        <w:pStyle w:val="FigureTitle"/>
      </w:pPr>
      <w:r w:rsidRPr="00166CDC">
        <w:rPr>
          <w:noProof/>
          <w:lang w:val="en-GB" w:eastAsia="en-GB"/>
        </w:rPr>
        <w:drawing>
          <wp:inline distT="0" distB="0" distL="0" distR="0" wp14:anchorId="09CFDC86" wp14:editId="6AA21D6C">
            <wp:extent cx="4047061" cy="2551099"/>
            <wp:effectExtent l="0" t="0" r="0" b="1905"/>
            <wp:docPr id="14" name="Picture 14" descr="Exposure-response analyses, observed IGA0 and IGA0/1 responses rates (NRI) versus upadacitinib average concentration quartiles at Week 16 for upadacitinib monotherapy (Studies M16-048, M16-045, M18-891)" title="Exposure-response analyses, observed IGA0 and IGA0/1 responses rates (NRI) versus upadacitinib average concentration quartiles at Week 16 for upadacitinib monotherapy (Studies M16-048, M16-045, M1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50558" t="32399" b="31882"/>
                    <a:stretch/>
                  </pic:blipFill>
                  <pic:spPr bwMode="auto">
                    <a:xfrm>
                      <a:off x="0" y="0"/>
                      <a:ext cx="4075136" cy="2568796"/>
                    </a:xfrm>
                    <a:prstGeom prst="rect">
                      <a:avLst/>
                    </a:prstGeom>
                    <a:noFill/>
                    <a:ln>
                      <a:noFill/>
                    </a:ln>
                    <a:extLst>
                      <a:ext uri="{53640926-AAD7-44D8-BBD7-CCE9431645EC}">
                        <a14:shadowObscured xmlns:a14="http://schemas.microsoft.com/office/drawing/2010/main"/>
                      </a:ext>
                    </a:extLst>
                  </pic:spPr>
                </pic:pic>
              </a:graphicData>
            </a:graphic>
          </wp:inline>
        </w:drawing>
      </w:r>
    </w:p>
    <w:p w14:paraId="3AA09A8B" w14:textId="6340A5ED" w:rsidR="00166CDC" w:rsidRDefault="00166CDC" w:rsidP="00166CDC">
      <w:r w:rsidRPr="00166CDC">
        <w:rPr>
          <w:noProof/>
          <w:lang w:val="en-GB" w:eastAsia="en-GB"/>
        </w:rPr>
        <w:drawing>
          <wp:inline distT="0" distB="0" distL="0" distR="0" wp14:anchorId="55FF23B6" wp14:editId="7547C1D0">
            <wp:extent cx="4020820" cy="2543415"/>
            <wp:effectExtent l="0" t="0" r="0" b="9525"/>
            <wp:docPr id="16" name="Picture 16" descr="Exposure-response analyses, observed IGA0 and IGA0/1 responses rates (NRI) versus upadacitinib average concentration quartiles at Week 16 for upadacitinib monotherapy (Studies M16-048, M16-045, M18-891)" title="Exposure-response analyses, observed IGA0 and IGA0/1 responses rates (NRI) versus upadacitinib average concentration quartiles at Week 16 for upadacitinib monotherapy (Studies M16-048, M16-045, M1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t="33333" r="50055" b="33333"/>
                    <a:stretch/>
                  </pic:blipFill>
                  <pic:spPr bwMode="auto">
                    <a:xfrm>
                      <a:off x="0" y="0"/>
                      <a:ext cx="4042682" cy="2557244"/>
                    </a:xfrm>
                    <a:prstGeom prst="rect">
                      <a:avLst/>
                    </a:prstGeom>
                    <a:noFill/>
                    <a:ln>
                      <a:noFill/>
                    </a:ln>
                    <a:extLst>
                      <a:ext uri="{53640926-AAD7-44D8-BBD7-CCE9431645EC}">
                        <a14:shadowObscured xmlns:a14="http://schemas.microsoft.com/office/drawing/2010/main"/>
                      </a:ext>
                    </a:extLst>
                  </pic:spPr>
                </pic:pic>
              </a:graphicData>
            </a:graphic>
          </wp:inline>
        </w:drawing>
      </w:r>
    </w:p>
    <w:p w14:paraId="422A64BE" w14:textId="49BB2452" w:rsidR="00B1522F" w:rsidRDefault="00B1522F" w:rsidP="00B1522F">
      <w:pPr>
        <w:pStyle w:val="FigureDescription"/>
      </w:pPr>
      <w:r>
        <w:t>Abbreviations: Cavg = average concentration; IGA0/1 = Investigators Global Assessment score of 0 or 1; NRI = non-responder imputation; TCS = topical corticosteroids.</w:t>
      </w:r>
    </w:p>
    <w:p w14:paraId="4C2E5FAE" w14:textId="0C6E1025" w:rsidR="00D01C74" w:rsidRDefault="006829C5" w:rsidP="00D61470">
      <w:pPr>
        <w:rPr>
          <w:b/>
          <w:spacing w:val="1"/>
        </w:rPr>
      </w:pPr>
      <w:r>
        <w:t>S</w:t>
      </w:r>
      <w:r w:rsidR="00D01C74" w:rsidRPr="00D0300C">
        <w:t>imilar statistically significant exposure-response relationships for all</w:t>
      </w:r>
      <w:r w:rsidR="00D01C74" w:rsidRPr="00D0300C">
        <w:rPr>
          <w:spacing w:val="1"/>
        </w:rPr>
        <w:t xml:space="preserve"> </w:t>
      </w:r>
      <w:r w:rsidR="00D01C74" w:rsidRPr="00D0300C">
        <w:t>these</w:t>
      </w:r>
      <w:r w:rsidR="00D01C74" w:rsidRPr="00D0300C">
        <w:rPr>
          <w:spacing w:val="-4"/>
        </w:rPr>
        <w:t xml:space="preserve"> </w:t>
      </w:r>
      <w:r w:rsidR="00D01C74" w:rsidRPr="00D0300C">
        <w:t>endpoints</w:t>
      </w:r>
      <w:r w:rsidR="00D01C74" w:rsidRPr="00D0300C">
        <w:rPr>
          <w:spacing w:val="-2"/>
        </w:rPr>
        <w:t xml:space="preserve"> </w:t>
      </w:r>
      <w:r w:rsidR="00D01C74" w:rsidRPr="00D0300C">
        <w:t>were</w:t>
      </w:r>
      <w:r w:rsidR="00D01C74" w:rsidRPr="00D0300C">
        <w:rPr>
          <w:spacing w:val="-3"/>
        </w:rPr>
        <w:t xml:space="preserve"> </w:t>
      </w:r>
      <w:r w:rsidR="00D01C74" w:rsidRPr="00D0300C">
        <w:t>also</w:t>
      </w:r>
      <w:r w:rsidR="00D01C74" w:rsidRPr="00D0300C">
        <w:rPr>
          <w:spacing w:val="-5"/>
        </w:rPr>
        <w:t xml:space="preserve"> </w:t>
      </w:r>
      <w:r w:rsidR="00D01C74" w:rsidRPr="00D0300C">
        <w:t>demonstrated</w:t>
      </w:r>
      <w:r w:rsidR="00D01C74" w:rsidRPr="00D0300C">
        <w:rPr>
          <w:spacing w:val="-5"/>
        </w:rPr>
        <w:t xml:space="preserve"> </w:t>
      </w:r>
      <w:r w:rsidR="00D01C74" w:rsidRPr="00D0300C">
        <w:t>following</w:t>
      </w:r>
      <w:r w:rsidR="00D01C74" w:rsidRPr="00D0300C">
        <w:rPr>
          <w:spacing w:val="-5"/>
        </w:rPr>
        <w:t xml:space="preserve"> </w:t>
      </w:r>
      <w:r w:rsidR="00D01C74" w:rsidRPr="00D0300C">
        <w:t>logistic</w:t>
      </w:r>
      <w:r w:rsidR="00D01C74" w:rsidRPr="00D0300C">
        <w:rPr>
          <w:spacing w:val="-2"/>
        </w:rPr>
        <w:t xml:space="preserve"> </w:t>
      </w:r>
      <w:r w:rsidR="00D01C74" w:rsidRPr="00D0300C">
        <w:t>regression</w:t>
      </w:r>
      <w:r w:rsidR="00D01C74" w:rsidRPr="00D0300C">
        <w:rPr>
          <w:spacing w:val="-4"/>
        </w:rPr>
        <w:t xml:space="preserve"> </w:t>
      </w:r>
      <w:r w:rsidR="00D61470">
        <w:t xml:space="preserve">analyses as shown in </w:t>
      </w:r>
      <w:r w:rsidR="00D61470">
        <w:fldChar w:fldCharType="begin"/>
      </w:r>
      <w:r w:rsidR="00D61470">
        <w:instrText xml:space="preserve"> REF _Ref120634334 \h </w:instrText>
      </w:r>
      <w:r w:rsidR="00D61470">
        <w:fldChar w:fldCharType="separate"/>
      </w:r>
      <w:r w:rsidR="00B51532">
        <w:t xml:space="preserve">Figure </w:t>
      </w:r>
      <w:r w:rsidR="00B51532">
        <w:rPr>
          <w:noProof/>
        </w:rPr>
        <w:t>4</w:t>
      </w:r>
      <w:r w:rsidR="00D61470">
        <w:fldChar w:fldCharType="end"/>
      </w:r>
      <w:r w:rsidR="00D61470">
        <w:t>, below.</w:t>
      </w:r>
    </w:p>
    <w:p w14:paraId="4298F9D5" w14:textId="72D9E3BC" w:rsidR="00D61470" w:rsidRDefault="00D61470" w:rsidP="00D61470">
      <w:pPr>
        <w:pStyle w:val="FigureTitle"/>
      </w:pPr>
      <w:bookmarkStart w:id="62" w:name="_Ref120634334"/>
      <w:r>
        <w:lastRenderedPageBreak/>
        <w:t xml:space="preserve">Figure </w:t>
      </w:r>
      <w:fldSimple w:instr=" SEQ Figure \* ARABIC ">
        <w:r w:rsidR="00B51532">
          <w:rPr>
            <w:noProof/>
          </w:rPr>
          <w:t>4</w:t>
        </w:r>
      </w:fldSimple>
      <w:bookmarkEnd w:id="62"/>
      <w:r>
        <w:t xml:space="preserve">: Exposure-response analyses, </w:t>
      </w:r>
      <w:r w:rsidR="006829C5">
        <w:t>o</w:t>
      </w:r>
      <w:r w:rsidR="006829C5" w:rsidRPr="006829C5">
        <w:t>bserved (NRI) and model-p</w:t>
      </w:r>
      <w:r w:rsidR="006829C5">
        <w:t>redicted efficacy responses at W</w:t>
      </w:r>
      <w:r w:rsidR="006829C5" w:rsidRPr="006829C5">
        <w:t>eek 16 v</w:t>
      </w:r>
      <w:r w:rsidR="006829C5">
        <w:t>ersus upadacitinib average concentration for upadacitinib m</w:t>
      </w:r>
      <w:r w:rsidR="006829C5" w:rsidRPr="006829C5">
        <w:t>onotherapy (base models)</w:t>
      </w:r>
      <w:r w:rsidR="0076677D">
        <w:t xml:space="preserve">; </w:t>
      </w:r>
      <w:r w:rsidR="0076677D" w:rsidRPr="006829C5">
        <w:t>(Studies M16-048, M16-045, M18-891)</w:t>
      </w:r>
    </w:p>
    <w:p w14:paraId="02CE3926" w14:textId="2CA11F87" w:rsidR="008A1524" w:rsidRDefault="006829C5" w:rsidP="00D61470">
      <w:r w:rsidRPr="00BD5D00">
        <w:rPr>
          <w:rFonts w:asciiTheme="minorHAnsi" w:eastAsia="TimesNewRoman,Bold" w:hAnsiTheme="minorHAnsi" w:cstheme="minorHAnsi"/>
          <w:b/>
          <w:bCs/>
          <w:noProof/>
          <w:sz w:val="20"/>
          <w:szCs w:val="20"/>
          <w:lang w:val="en-GB" w:eastAsia="en-GB"/>
        </w:rPr>
        <w:drawing>
          <wp:inline distT="0" distB="0" distL="0" distR="0" wp14:anchorId="2B703ED1" wp14:editId="0489B78A">
            <wp:extent cx="5417243" cy="6496125"/>
            <wp:effectExtent l="0" t="0" r="0" b="0"/>
            <wp:docPr id="376" name="Picture 376" descr="Exposure-response analyses, observed (NRI) and model-predicted efficacy responses at Week 16 versus upadacitinib average concentration for upadacitinib monotherapy (base models); (Studies M16-048, M16-045, M18-891)" title="Exposure-response analyses, observed (NRI) and model-predicted efficacy responses at Week 16 versus upadacitinib average concentration for upadacitinib monotherapy (base models); (Studies M16-048, M16-045, M1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11676" r="13769" b="17194"/>
                    <a:stretch/>
                  </pic:blipFill>
                  <pic:spPr bwMode="auto">
                    <a:xfrm>
                      <a:off x="0" y="0"/>
                      <a:ext cx="5444644" cy="6528983"/>
                    </a:xfrm>
                    <a:prstGeom prst="rect">
                      <a:avLst/>
                    </a:prstGeom>
                    <a:noFill/>
                    <a:ln>
                      <a:noFill/>
                    </a:ln>
                    <a:extLst>
                      <a:ext uri="{53640926-AAD7-44D8-BBD7-CCE9431645EC}">
                        <a14:shadowObscured xmlns:a14="http://schemas.microsoft.com/office/drawing/2010/main"/>
                      </a:ext>
                    </a:extLst>
                  </pic:spPr>
                </pic:pic>
              </a:graphicData>
            </a:graphic>
          </wp:inline>
        </w:drawing>
      </w:r>
    </w:p>
    <w:p w14:paraId="3C4355B6" w14:textId="4694F0D7" w:rsidR="00B1522F" w:rsidRDefault="00B1522F" w:rsidP="00B1522F">
      <w:pPr>
        <w:pStyle w:val="FigureDescription"/>
      </w:pPr>
      <w:r>
        <w:t xml:space="preserve">Abbreviations: Cavg = average concentration; EASI = </w:t>
      </w:r>
      <w:r w:rsidRPr="007440B9">
        <w:t>Eczema Area Severity Index</w:t>
      </w:r>
      <w:r>
        <w:t xml:space="preserve">; EASI75 = </w:t>
      </w:r>
      <w:r w:rsidRPr="007440B9">
        <w:t>Eczema Area Severity Index</w:t>
      </w:r>
      <w:r>
        <w:t xml:space="preserve"> 75% improvement response; EASI90 = </w:t>
      </w:r>
      <w:r w:rsidRPr="007440B9">
        <w:t>Eczema Area Severity Index</w:t>
      </w:r>
      <w:r>
        <w:t xml:space="preserve"> 90% improvement response;</w:t>
      </w:r>
      <w:r w:rsidRPr="00B1522F">
        <w:t xml:space="preserve"> </w:t>
      </w:r>
      <w:r>
        <w:t>IGA0/1 = Investigators Global Assessment score of 0 or 1; NRS = numerical rating scale; NRI = non-responder imputation; TCS = topical corticosteroids.</w:t>
      </w:r>
    </w:p>
    <w:p w14:paraId="1901429D" w14:textId="6FE20D87" w:rsidR="008A1524" w:rsidRPr="00D61470" w:rsidRDefault="00D61470" w:rsidP="00D61470">
      <w:pPr>
        <w:pStyle w:val="FigureDescription"/>
      </w:pPr>
      <w:r>
        <w:t>Note the blue solid line represents median predicted response and the blue shaded area represent 95% confidence intervals of the predicted response. The dots and error bars represent median and 95% binomial CIs of binned observed rates. For the horizontal box plots, the band inside the box is the median of the upadacitinib average concentration per 15 mg once daily, and 30 mg once daily dosing. The lower and upper hinges correspond to the 25th and 75th percentiles. Whiskers represent 1.5 interquartile range. The data beyond the end of the whiskers are plotted individually.</w:t>
      </w:r>
    </w:p>
    <w:p w14:paraId="2A198302" w14:textId="77777777" w:rsidR="00D01C74" w:rsidRPr="00D61470" w:rsidRDefault="00D01C74" w:rsidP="00D61470">
      <w:r w:rsidRPr="00D61470">
        <w:lastRenderedPageBreak/>
        <w:t>No statistically significant effects of age group (adolescent versus adult subjects), weight, or race were identified in any of the exposure-response models.</w:t>
      </w:r>
    </w:p>
    <w:p w14:paraId="1C96268B" w14:textId="43A2C2AA" w:rsidR="00D61470" w:rsidRDefault="00D61470" w:rsidP="00D61470">
      <w:r>
        <w:t xml:space="preserve">In </w:t>
      </w:r>
      <w:r w:rsidR="00D01C74" w:rsidRPr="00D61470">
        <w:t>simulations using the final exposure-response models demonstrated clinically significant improvement in responses with both 15 mg and 30 mg doses</w:t>
      </w:r>
      <w:r w:rsidR="00ED4537">
        <w:t>.</w:t>
      </w:r>
    </w:p>
    <w:p w14:paraId="18D2B090" w14:textId="3A93333E" w:rsidR="00ED4537" w:rsidRDefault="00ED4537" w:rsidP="00ED4537">
      <w:pPr>
        <w:pStyle w:val="Tabletitle0"/>
      </w:pPr>
      <w:r>
        <w:t xml:space="preserve">Table </w:t>
      </w:r>
      <w:fldSimple w:instr=" SEQ Table \* ARABIC ">
        <w:r w:rsidR="00B51532">
          <w:rPr>
            <w:noProof/>
          </w:rPr>
          <w:t>10</w:t>
        </w:r>
      </w:fldSimple>
      <w:r>
        <w:t>: Exposure-response analyses, model s</w:t>
      </w:r>
      <w:r w:rsidRPr="00ED4537">
        <w:t xml:space="preserve">imulated </w:t>
      </w:r>
      <w:r>
        <w:t>clinical efficacy responses at Week 16 (median and 90% confidence intervals) following placebo and u</w:t>
      </w:r>
      <w:r w:rsidRPr="00ED4537">
        <w:t xml:space="preserve">padacitinib 15 mg and </w:t>
      </w:r>
      <w:r w:rsidR="005D7175">
        <w:t>30 mg</w:t>
      </w:r>
      <w:r w:rsidRPr="00ED4537">
        <w:t xml:space="preserve"> </w:t>
      </w:r>
      <w:r>
        <w:t>once daily</w:t>
      </w:r>
      <w:r w:rsidRPr="00ED4537">
        <w:t xml:space="preserve"> regimens</w:t>
      </w:r>
    </w:p>
    <w:p w14:paraId="5612C6C7" w14:textId="37E5B767" w:rsidR="00ED4537" w:rsidRDefault="00ED4537" w:rsidP="00D61470">
      <w:r>
        <w:rPr>
          <w:noProof/>
          <w:lang w:val="en-GB" w:eastAsia="en-GB"/>
        </w:rPr>
        <w:drawing>
          <wp:inline distT="0" distB="0" distL="0" distR="0" wp14:anchorId="20E7563E" wp14:editId="6B35342B">
            <wp:extent cx="5041900" cy="1701165"/>
            <wp:effectExtent l="0" t="0" r="6350" b="0"/>
            <wp:docPr id="21" name="Picture 21" descr="Exposure-response analyses, model simulated clinical efficacy responses at Week 16 (median and 90% confidence intervals) following placebo and upadacitinib 15 mg and 30 mg once daily regim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Exposure-response analyses, model simulated clinical efficacy responses at Week 16 (median and 90% confidence intervals) following placebo and upadacitinib 15 mg and 30 mg once daily regimen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0" cy="1701165"/>
                    </a:xfrm>
                    <a:prstGeom prst="rect">
                      <a:avLst/>
                    </a:prstGeom>
                    <a:noFill/>
                  </pic:spPr>
                </pic:pic>
              </a:graphicData>
            </a:graphic>
          </wp:inline>
        </w:drawing>
      </w:r>
    </w:p>
    <w:p w14:paraId="3316C0A9" w14:textId="0343F274" w:rsidR="00B1522F" w:rsidRDefault="00B1522F" w:rsidP="00C3742F">
      <w:pPr>
        <w:pStyle w:val="TableDescription"/>
      </w:pPr>
      <w:r>
        <w:t>Abbreviations: EASI = Eczema Area Severity Index; EASI75 = Eczema Area Severity Index 75% improvement response; EASI90 = Eczema Area Severity Index 90% improvement response; IGA0/1 = Investigators Global Assessment score of 0 or 1;</w:t>
      </w:r>
      <w:r w:rsidRPr="00B1522F">
        <w:t xml:space="preserve"> </w:t>
      </w:r>
      <w:r>
        <w:t>NRS = numerical rating scale; QD = once daily; TCS = topical corticosteroids.</w:t>
      </w:r>
    </w:p>
    <w:p w14:paraId="4158D727" w14:textId="25BF3310" w:rsidR="00D01C74" w:rsidRDefault="00D01C74" w:rsidP="00D61470">
      <w:r w:rsidRPr="00D61470">
        <w:t xml:space="preserve">The 30 mg </w:t>
      </w:r>
      <w:r w:rsidR="00782F8C">
        <w:t>once daily</w:t>
      </w:r>
      <w:r w:rsidRPr="00D61470">
        <w:t xml:space="preserve"> dose showed greater benefits compared to the 15 mg </w:t>
      </w:r>
      <w:r w:rsidR="00782F8C">
        <w:t>once daily</w:t>
      </w:r>
      <w:r w:rsidRPr="00D61470">
        <w:t xml:space="preserve"> dose in terms of 12% to 14% greater response for EASI 75, EASI 90, and IGA 0/1 as well as 9% for IGA 0 (refl</w:t>
      </w:r>
      <w:r w:rsidR="00ED4537">
        <w:t>ecting complete skin clearance).</w:t>
      </w:r>
    </w:p>
    <w:p w14:paraId="2CEAFC57" w14:textId="30D43D68" w:rsidR="00ED4537" w:rsidRPr="00D61470" w:rsidRDefault="00ED4537" w:rsidP="00D61470">
      <w:r w:rsidRPr="00ED4537">
        <w:t>In subjects receiving upa</w:t>
      </w:r>
      <w:r>
        <w:t xml:space="preserve">dacitinib in combination with topical corticosteroids, </w:t>
      </w:r>
      <w:r w:rsidRPr="00ED4537">
        <w:t>statistically significant exposure- dependent increases in</w:t>
      </w:r>
      <w:r w:rsidR="005D7175">
        <w:t xml:space="preserve"> upadacitinib</w:t>
      </w:r>
      <w:r w:rsidRPr="00ED4537">
        <w:t xml:space="preserve"> </w:t>
      </w:r>
      <w:r>
        <w:t>efficacy were observed for EASI </w:t>
      </w:r>
      <w:r w:rsidRPr="00ED4537">
        <w:t xml:space="preserve">90, IGA 0/1, and IGA 0 at Week 16 </w:t>
      </w:r>
      <w:r>
        <w:t xml:space="preserve">(see </w:t>
      </w:r>
      <w:r>
        <w:fldChar w:fldCharType="begin"/>
      </w:r>
      <w:r>
        <w:instrText xml:space="preserve"> REF _Ref120637618 \h </w:instrText>
      </w:r>
      <w:r>
        <w:fldChar w:fldCharType="separate"/>
      </w:r>
      <w:r w:rsidR="00B51532">
        <w:t xml:space="preserve">Figure </w:t>
      </w:r>
      <w:r w:rsidR="00B51532">
        <w:rPr>
          <w:noProof/>
        </w:rPr>
        <w:t>5</w:t>
      </w:r>
      <w:r>
        <w:fldChar w:fldCharType="end"/>
      </w:r>
      <w:r>
        <w:t>, below).</w:t>
      </w:r>
    </w:p>
    <w:p w14:paraId="1F2610AC" w14:textId="35C371E9" w:rsidR="00D61470" w:rsidRDefault="00D61470" w:rsidP="00ED4537">
      <w:pPr>
        <w:pStyle w:val="FigureTitle"/>
      </w:pPr>
      <w:bookmarkStart w:id="63" w:name="Table_5.1.3:_Model_Simulated_clinical_ef"/>
      <w:bookmarkStart w:id="64" w:name="_bookmark194"/>
      <w:bookmarkStart w:id="65" w:name="_Ref120637618"/>
      <w:bookmarkEnd w:id="63"/>
      <w:bookmarkEnd w:id="64"/>
      <w:r>
        <w:lastRenderedPageBreak/>
        <w:t xml:space="preserve">Figure </w:t>
      </w:r>
      <w:fldSimple w:instr=" SEQ Figure \* ARABIC ">
        <w:r w:rsidR="00B51532">
          <w:rPr>
            <w:noProof/>
          </w:rPr>
          <w:t>5</w:t>
        </w:r>
      </w:fldSimple>
      <w:bookmarkEnd w:id="65"/>
      <w:r>
        <w:t xml:space="preserve">: </w:t>
      </w:r>
      <w:r w:rsidR="00ED4537">
        <w:t>Exposure-response analyses, o</w:t>
      </w:r>
      <w:r w:rsidR="00ED4537" w:rsidRPr="00ED4537">
        <w:t xml:space="preserve">bserved efficacy responses (NRI) </w:t>
      </w:r>
      <w:r w:rsidR="00ED4537">
        <w:t>versus u</w:t>
      </w:r>
      <w:r w:rsidR="00ED4537" w:rsidRPr="00ED4537">
        <w:t xml:space="preserve">padacitinib </w:t>
      </w:r>
      <w:r w:rsidR="00ED4537">
        <w:t>average concentration quartiles at Week 16 for u</w:t>
      </w:r>
      <w:r w:rsidR="00ED4537" w:rsidRPr="00ED4537">
        <w:t xml:space="preserve">padacitinib in combination with </w:t>
      </w:r>
      <w:r w:rsidR="00ED4537">
        <w:t>topical corticosteroids</w:t>
      </w:r>
      <w:r w:rsidR="00ED4537" w:rsidRPr="00ED4537">
        <w:t xml:space="preserve"> (Study M16-047)</w:t>
      </w:r>
    </w:p>
    <w:p w14:paraId="2987CA27" w14:textId="2F531373" w:rsidR="00D01C74" w:rsidRDefault="00D61470" w:rsidP="00ED4537">
      <w:r>
        <w:rPr>
          <w:noProof/>
          <w:lang w:val="en-GB" w:eastAsia="en-GB"/>
        </w:rPr>
        <w:drawing>
          <wp:inline distT="0" distB="0" distL="0" distR="0" wp14:anchorId="6231CAB3" wp14:editId="1EF3D355">
            <wp:extent cx="5353050" cy="5810250"/>
            <wp:effectExtent l="0" t="0" r="0" b="0"/>
            <wp:docPr id="20" name="Picture 20" descr="Exposure-response analyses, observed efficacy responses (NRI) versus upadacitinib average concentration quartiles at Week 16 for upadacitinib in combination with topical corticosteroids (Study M1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Exposure-response analyses, observed efficacy responses (NRI) versus upadacitinib average concentration quartiles at Week 16 for upadacitinib in combination with topical corticosteroids (Study M16-04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3050" cy="5810250"/>
                    </a:xfrm>
                    <a:prstGeom prst="rect">
                      <a:avLst/>
                    </a:prstGeom>
                    <a:noFill/>
                  </pic:spPr>
                </pic:pic>
              </a:graphicData>
            </a:graphic>
          </wp:inline>
        </w:drawing>
      </w:r>
    </w:p>
    <w:p w14:paraId="211DE624" w14:textId="41A11420" w:rsidR="00956CB2" w:rsidRPr="00ED4537" w:rsidRDefault="00956CB2" w:rsidP="00956CB2">
      <w:pPr>
        <w:pStyle w:val="FigureDescription"/>
      </w:pPr>
      <w:r>
        <w:t>Abbreviations: Cavg = average concentration; EASI = Eczema Area Severity Index; EASI75 = Eczema Area Severity Index 75% improvement response; EASI90 = Eczema Area Severity Index 90% improvement response; IGA0/1 = Investigators Global Assessment score of 0 or 1;</w:t>
      </w:r>
      <w:r w:rsidRPr="00B1522F">
        <w:t xml:space="preserve"> </w:t>
      </w:r>
      <w:r>
        <w:t>NRS = numerical rating scale; QD = once daily; TCS = topical corticosteroids.</w:t>
      </w:r>
    </w:p>
    <w:p w14:paraId="5962F8BB" w14:textId="77A4B978" w:rsidR="00D01C74" w:rsidRPr="00ED4537" w:rsidRDefault="00ED4537" w:rsidP="00ED4537">
      <w:r>
        <w:t>S</w:t>
      </w:r>
      <w:r w:rsidR="00D01C74" w:rsidRPr="00ED4537">
        <w:t>imilar statistically significant exposure-response relationships for all these endpoints were also demonstrated</w:t>
      </w:r>
      <w:r w:rsidR="00956CB2">
        <w:t xml:space="preserve"> following logistic regression (see </w:t>
      </w:r>
      <w:r w:rsidR="00956CB2">
        <w:fldChar w:fldCharType="begin"/>
      </w:r>
      <w:r w:rsidR="00956CB2">
        <w:instrText xml:space="preserve"> REF _Ref125654208 \h </w:instrText>
      </w:r>
      <w:r w:rsidR="00956CB2">
        <w:fldChar w:fldCharType="separate"/>
      </w:r>
      <w:r w:rsidR="00B51532">
        <w:t xml:space="preserve">Figure </w:t>
      </w:r>
      <w:r w:rsidR="00B51532">
        <w:rPr>
          <w:noProof/>
        </w:rPr>
        <w:t>6</w:t>
      </w:r>
      <w:r w:rsidR="00956CB2">
        <w:fldChar w:fldCharType="end"/>
      </w:r>
      <w:r w:rsidR="00956CB2">
        <w:t xml:space="preserve">, below). </w:t>
      </w:r>
      <w:r w:rsidR="00D01C74" w:rsidRPr="00ED4537">
        <w:t xml:space="preserve">No statistically significant effects of age group (adult versus adolescent subjects), weight, or subject race were identified in any </w:t>
      </w:r>
      <w:r w:rsidR="00956CB2">
        <w:t>of the exposure-response models.</w:t>
      </w:r>
    </w:p>
    <w:p w14:paraId="7845D95D" w14:textId="7A35C890" w:rsidR="00FB2942" w:rsidRDefault="00FB2942" w:rsidP="00FB2942">
      <w:pPr>
        <w:pStyle w:val="FigureTitle"/>
      </w:pPr>
      <w:bookmarkStart w:id="66" w:name="_Ref125654208"/>
      <w:r>
        <w:lastRenderedPageBreak/>
        <w:t xml:space="preserve">Figure </w:t>
      </w:r>
      <w:fldSimple w:instr=" SEQ Figure \* ARABIC ">
        <w:r w:rsidR="00B51532">
          <w:rPr>
            <w:noProof/>
          </w:rPr>
          <w:t>6</w:t>
        </w:r>
      </w:fldSimple>
      <w:bookmarkEnd w:id="66"/>
      <w:r>
        <w:t>: Exposure-response analyses, o</w:t>
      </w:r>
      <w:r w:rsidRPr="00FB2942">
        <w:t xml:space="preserve">bserved (NRI) and model-predicted </w:t>
      </w:r>
      <w:r>
        <w:t>efficacy responses at Week 16 versus u</w:t>
      </w:r>
      <w:r w:rsidRPr="00FB2942">
        <w:t xml:space="preserve">padacitinib </w:t>
      </w:r>
      <w:r>
        <w:t>average concentration for u</w:t>
      </w:r>
      <w:r w:rsidRPr="00FB2942">
        <w:t xml:space="preserve">padacitinib in combination with </w:t>
      </w:r>
      <w:r>
        <w:t>topical corticosteroids</w:t>
      </w:r>
      <w:r w:rsidRPr="00FB2942">
        <w:t xml:space="preserve"> (base models</w:t>
      </w:r>
      <w:r w:rsidR="0076677D">
        <w:t>; Study M16-047)</w:t>
      </w:r>
    </w:p>
    <w:p w14:paraId="44ED1179" w14:textId="7EA4D1A5" w:rsidR="00D01C74" w:rsidRDefault="00ED4537" w:rsidP="00ED4537">
      <w:r w:rsidRPr="00ED4537">
        <w:rPr>
          <w:noProof/>
          <w:lang w:val="en-GB" w:eastAsia="en-GB"/>
        </w:rPr>
        <w:drawing>
          <wp:inline distT="0" distB="0" distL="0" distR="0" wp14:anchorId="5AC2577B" wp14:editId="2E519CC4">
            <wp:extent cx="5447980" cy="4469993"/>
            <wp:effectExtent l="0" t="0" r="635" b="6985"/>
            <wp:docPr id="22" name="Picture 22" descr="Exposure-response analyses, observed (NRI) and model-predicted efficacy responses at Week 16 versus upadacitinib average concentration for upadacitinib in combination with topical corticosteroids (base models; Study M1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Exposure-response analyses, observed (NRI) and model-predicted efficacy responses at Week 16 versus upadacitinib average concentration for upadacitinib in combination with topical corticosteroids (base models; Study M16-047)"/>
                    <pic:cNvPicPr>
                      <a:picLocks noChangeAspect="1" noChangeArrowheads="1"/>
                    </pic:cNvPicPr>
                  </pic:nvPicPr>
                  <pic:blipFill rotWithShape="1">
                    <a:blip r:embed="rId21">
                      <a:extLst>
                        <a:ext uri="{28A0092B-C50C-407E-A947-70E740481C1C}">
                          <a14:useLocalDpi xmlns:a14="http://schemas.microsoft.com/office/drawing/2010/main" val="0"/>
                        </a:ext>
                      </a:extLst>
                    </a:blip>
                    <a:srcRect l="7189" r="5581" b="19442"/>
                    <a:stretch/>
                  </pic:blipFill>
                  <pic:spPr bwMode="auto">
                    <a:xfrm>
                      <a:off x="0" y="0"/>
                      <a:ext cx="5459779" cy="4479674"/>
                    </a:xfrm>
                    <a:prstGeom prst="rect">
                      <a:avLst/>
                    </a:prstGeom>
                    <a:noFill/>
                    <a:ln>
                      <a:noFill/>
                    </a:ln>
                    <a:extLst>
                      <a:ext uri="{53640926-AAD7-44D8-BBD7-CCE9431645EC}">
                        <a14:shadowObscured xmlns:a14="http://schemas.microsoft.com/office/drawing/2010/main"/>
                      </a:ext>
                    </a:extLst>
                  </pic:spPr>
                </pic:pic>
              </a:graphicData>
            </a:graphic>
          </wp:inline>
        </w:drawing>
      </w:r>
    </w:p>
    <w:p w14:paraId="140B91B8" w14:textId="6680401F" w:rsidR="00956CB2" w:rsidRDefault="00956CB2" w:rsidP="00956CB2">
      <w:pPr>
        <w:pStyle w:val="FigureDescription"/>
      </w:pPr>
      <w:r>
        <w:t>Abbreviations: Cavg = average concentration; EASI = Eczema Area Severity Index; EASI75 = Eczema Area Severity Index 75% improvement response; EASI90 = Eczema Area Severity Index 90% improvement response; IGA0/1 = Investigators Global Assessment score of 0 or 1;</w:t>
      </w:r>
      <w:r w:rsidRPr="00B1522F">
        <w:t xml:space="preserve"> </w:t>
      </w:r>
      <w:r>
        <w:t>NRS = numerical rating scale; QD = once daily; TCS = topical corticosteroids.</w:t>
      </w:r>
    </w:p>
    <w:p w14:paraId="5AF38F8F" w14:textId="54A91128" w:rsidR="00D01C74" w:rsidRPr="00FB2942" w:rsidRDefault="00FB2942" w:rsidP="00FB2942">
      <w:pPr>
        <w:pStyle w:val="FigureDescription"/>
      </w:pPr>
      <w:r>
        <w:t>Note the blue solid line represents median predicted response and the blue shaded area represent 95% confidence intervals of the predicted response. The dots and error bars represent median and 95% binomial CIs of binned observed rates. For the horizontal box plots, the band inside the box is the median of the upadacitinib average concentration per 15 mg once daily, and 30 mg once daily dosing. The lower and upper hinges correspond to the 25th and 75th percentiles. Whiskers represent 1.5 interquartile range. The data beyond the end of the whiskers are plotted individually.</w:t>
      </w:r>
    </w:p>
    <w:p w14:paraId="4CD74B46" w14:textId="176A86C6" w:rsidR="00D01C74" w:rsidRDefault="00FB2942" w:rsidP="00FB2942">
      <w:r>
        <w:t>S</w:t>
      </w:r>
      <w:r w:rsidR="00D01C74" w:rsidRPr="00396816">
        <w:t>imulations</w:t>
      </w:r>
      <w:r w:rsidR="00D01C74" w:rsidRPr="00396816">
        <w:rPr>
          <w:spacing w:val="1"/>
        </w:rPr>
        <w:t xml:space="preserve"> </w:t>
      </w:r>
      <w:r w:rsidR="00D01C74" w:rsidRPr="00396816">
        <w:t>using the final exposure-response models demonstrate clinically significant improvement in</w:t>
      </w:r>
      <w:r w:rsidR="00D01C74" w:rsidRPr="00396816">
        <w:rPr>
          <w:spacing w:val="1"/>
        </w:rPr>
        <w:t xml:space="preserve"> </w:t>
      </w:r>
      <w:r w:rsidR="00D01C74" w:rsidRPr="00396816">
        <w:t xml:space="preserve">responses with both 15 mg and 30 mg doses in combination with </w:t>
      </w:r>
      <w:r>
        <w:t xml:space="preserve">topical corticosteroids, as shown in </w:t>
      </w:r>
      <w:r>
        <w:fldChar w:fldCharType="begin"/>
      </w:r>
      <w:r>
        <w:instrText xml:space="preserve"> REF _Ref120638124 \h </w:instrText>
      </w:r>
      <w:r>
        <w:fldChar w:fldCharType="separate"/>
      </w:r>
      <w:r w:rsidR="00B51532">
        <w:t xml:space="preserve">Table </w:t>
      </w:r>
      <w:r w:rsidR="00B51532">
        <w:rPr>
          <w:noProof/>
        </w:rPr>
        <w:t>11</w:t>
      </w:r>
      <w:r>
        <w:fldChar w:fldCharType="end"/>
      </w:r>
      <w:r>
        <w:t xml:space="preserve"> below.</w:t>
      </w:r>
      <w:r w:rsidR="00D01C74" w:rsidRPr="00396816">
        <w:t xml:space="preserve"> The</w:t>
      </w:r>
      <w:r w:rsidR="00D01C74" w:rsidRPr="00396816">
        <w:rPr>
          <w:spacing w:val="1"/>
        </w:rPr>
        <w:t xml:space="preserve"> </w:t>
      </w:r>
      <w:r w:rsidR="005D7175">
        <w:t>30 mg</w:t>
      </w:r>
      <w:r w:rsidR="00D01C74" w:rsidRPr="00396816">
        <w:t xml:space="preserve"> </w:t>
      </w:r>
      <w:r>
        <w:t>once daily</w:t>
      </w:r>
      <w:r w:rsidR="00D01C74" w:rsidRPr="00396816">
        <w:t xml:space="preserve"> dose showed greater benefits compared to 15 mg </w:t>
      </w:r>
      <w:r>
        <w:t>once daily in terms of 12% to</w:t>
      </w:r>
      <w:r w:rsidR="00D01C74" w:rsidRPr="00396816">
        <w:t xml:space="preserve"> 14% greater</w:t>
      </w:r>
      <w:r w:rsidR="00D01C74" w:rsidRPr="00396816">
        <w:rPr>
          <w:spacing w:val="1"/>
        </w:rPr>
        <w:t xml:space="preserve"> </w:t>
      </w:r>
      <w:r w:rsidR="00D01C74" w:rsidRPr="00396816">
        <w:t>response</w:t>
      </w:r>
      <w:r w:rsidR="00D01C74" w:rsidRPr="00396816">
        <w:rPr>
          <w:spacing w:val="-2"/>
        </w:rPr>
        <w:t xml:space="preserve"> </w:t>
      </w:r>
      <w:r w:rsidR="00D01C74" w:rsidRPr="00396816">
        <w:t>for</w:t>
      </w:r>
      <w:r w:rsidR="00D01C74" w:rsidRPr="00396816">
        <w:rPr>
          <w:spacing w:val="-1"/>
        </w:rPr>
        <w:t xml:space="preserve"> </w:t>
      </w:r>
      <w:r w:rsidR="00D01C74" w:rsidRPr="00396816">
        <w:t>EASI</w:t>
      </w:r>
      <w:r>
        <w:rPr>
          <w:spacing w:val="-1"/>
        </w:rPr>
        <w:t> </w:t>
      </w:r>
      <w:r w:rsidR="00D01C74" w:rsidRPr="00396816">
        <w:t>90,</w:t>
      </w:r>
      <w:r w:rsidR="00D01C74" w:rsidRPr="00396816">
        <w:rPr>
          <w:spacing w:val="-1"/>
        </w:rPr>
        <w:t xml:space="preserve"> </w:t>
      </w:r>
      <w:r w:rsidR="00D01C74" w:rsidRPr="00396816">
        <w:t>IGA</w:t>
      </w:r>
      <w:r w:rsidR="00D01C74" w:rsidRPr="00396816">
        <w:rPr>
          <w:spacing w:val="-4"/>
        </w:rPr>
        <w:t xml:space="preserve"> </w:t>
      </w:r>
      <w:r w:rsidR="00D01C74" w:rsidRPr="00396816">
        <w:t>0/1,</w:t>
      </w:r>
      <w:r w:rsidR="00D01C74" w:rsidRPr="00396816">
        <w:rPr>
          <w:spacing w:val="-1"/>
        </w:rPr>
        <w:t xml:space="preserve"> </w:t>
      </w:r>
      <w:r w:rsidR="00D01C74" w:rsidRPr="00396816">
        <w:t>and</w:t>
      </w:r>
      <w:r w:rsidR="00D01C74" w:rsidRPr="00396816">
        <w:rPr>
          <w:spacing w:val="-1"/>
        </w:rPr>
        <w:t xml:space="preserve"> </w:t>
      </w:r>
      <w:r w:rsidR="00D01C74" w:rsidRPr="00396816">
        <w:t>IGA</w:t>
      </w:r>
      <w:r w:rsidR="00D01C74" w:rsidRPr="00396816">
        <w:rPr>
          <w:spacing w:val="-2"/>
        </w:rPr>
        <w:t xml:space="preserve"> </w:t>
      </w:r>
      <w:r>
        <w:t>0</w:t>
      </w:r>
      <w:r w:rsidR="00956CB2">
        <w:t xml:space="preserve"> outcomes</w:t>
      </w:r>
      <w:r>
        <w:t>.</w:t>
      </w:r>
    </w:p>
    <w:p w14:paraId="4477E3DA" w14:textId="14DD4FEA" w:rsidR="0076677D" w:rsidRPr="00362371" w:rsidRDefault="0076677D" w:rsidP="00FB2942">
      <w:r>
        <w:br w:type="page"/>
      </w:r>
    </w:p>
    <w:p w14:paraId="296C45BB" w14:textId="0B93FCEA" w:rsidR="00FB2942" w:rsidRDefault="00FB2942" w:rsidP="00FB2942">
      <w:pPr>
        <w:pStyle w:val="Tabletitle0"/>
      </w:pPr>
      <w:bookmarkStart w:id="67" w:name="_Ref120638124"/>
      <w:r>
        <w:lastRenderedPageBreak/>
        <w:t xml:space="preserve">Table </w:t>
      </w:r>
      <w:fldSimple w:instr=" SEQ Table \* ARABIC ">
        <w:r w:rsidR="00B51532">
          <w:rPr>
            <w:noProof/>
          </w:rPr>
          <w:t>11</w:t>
        </w:r>
      </w:fldSimple>
      <w:bookmarkEnd w:id="67"/>
      <w:r>
        <w:t>: Exposure-response analyses, model simulated clinical efficacy respons</w:t>
      </w:r>
      <w:r w:rsidR="00956CB2">
        <w:t>es at Week 16 (median and 90% confidence interval</w:t>
      </w:r>
      <w:r>
        <w:t xml:space="preserve">) following placebo and upadacitinib </w:t>
      </w:r>
      <w:r w:rsidR="005D7175">
        <w:t>15 mg</w:t>
      </w:r>
      <w:r>
        <w:t xml:space="preserve"> and </w:t>
      </w:r>
      <w:r w:rsidR="005D7175">
        <w:t>30 mg</w:t>
      </w:r>
      <w:r>
        <w:t xml:space="preserve"> once weekly regimens in combination with topical corticosteroids</w:t>
      </w:r>
    </w:p>
    <w:p w14:paraId="7A6F8C9A" w14:textId="462108C8" w:rsidR="00D01C74" w:rsidRDefault="00FB2942" w:rsidP="00D01C74">
      <w:pPr>
        <w:pStyle w:val="BodyText"/>
        <w:spacing w:before="120"/>
        <w:ind w:right="802"/>
        <w:rPr>
          <w:b/>
          <w:sz w:val="22"/>
          <w:szCs w:val="22"/>
        </w:rPr>
      </w:pPr>
      <w:r>
        <w:rPr>
          <w:b/>
          <w:noProof/>
          <w:sz w:val="22"/>
          <w:szCs w:val="22"/>
          <w:lang w:val="en-GB" w:eastAsia="en-GB" w:bidi="ar-SA"/>
        </w:rPr>
        <w:drawing>
          <wp:inline distT="0" distB="0" distL="0" distR="0" wp14:anchorId="466662BF" wp14:editId="36333830">
            <wp:extent cx="5596890" cy="1176655"/>
            <wp:effectExtent l="0" t="0" r="3810" b="4445"/>
            <wp:docPr id="23" name="Picture 23" descr="Exposure-response analyses, model simulated clinical efficacy responses at Week 16 (median and 90% confidence interval) following placebo and upadacitinib 15 mg and 30 mg once weekly regimens in combination with topical corticoster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Exposure-response analyses, model simulated clinical efficacy responses at Week 16 (median and 90% confidence interval) following placebo and upadacitinib 15 mg and 30 mg once weekly regimens in combination with topical corticosteroid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96890" cy="1176655"/>
                    </a:xfrm>
                    <a:prstGeom prst="rect">
                      <a:avLst/>
                    </a:prstGeom>
                    <a:noFill/>
                  </pic:spPr>
                </pic:pic>
              </a:graphicData>
            </a:graphic>
          </wp:inline>
        </w:drawing>
      </w:r>
    </w:p>
    <w:p w14:paraId="7C5AC834" w14:textId="7F913B1E" w:rsidR="00956CB2" w:rsidRPr="00956CB2" w:rsidRDefault="00956CB2" w:rsidP="00956CB2">
      <w:pPr>
        <w:pStyle w:val="TableDescription"/>
        <w:rPr>
          <w:szCs w:val="22"/>
        </w:rPr>
      </w:pPr>
      <w:r>
        <w:t>Abbreviations: Cavg = average concentration; EASI = Eczema Area Severity Index; EASI75 = Eczema Area Severity Index 75% improvement response; EASI90 = Eczema Area Severity Index 90% improvement response; IGA0/1 = Investigators Global Assessment score of 0 or 1;</w:t>
      </w:r>
      <w:r w:rsidRPr="00B1522F">
        <w:t xml:space="preserve"> </w:t>
      </w:r>
      <w:r>
        <w:t>NRS = numerical rating scale; QD = once daily; TCS = topical corticosteroids.</w:t>
      </w:r>
    </w:p>
    <w:p w14:paraId="552E88A9" w14:textId="7E74E350" w:rsidR="00D01C74" w:rsidRPr="00FB2942" w:rsidRDefault="00D01C74" w:rsidP="00FB2942">
      <w:r w:rsidRPr="00FB2942">
        <w:t xml:space="preserve">Overall, response rates and exposure-response trends were similar between adolescent and adult subjects with </w:t>
      </w:r>
      <w:r w:rsidR="00956CB2">
        <w:t>atopic dermatitis</w:t>
      </w:r>
      <w:r w:rsidRPr="00FB2942">
        <w:t xml:space="preserve"> as well as across the different weight and race groups for both subjects receiving</w:t>
      </w:r>
      <w:r w:rsidR="00FB2942">
        <w:t xml:space="preserve"> u</w:t>
      </w:r>
      <w:r w:rsidRPr="00FB2942">
        <w:t xml:space="preserve">padacitinib as monotherapy and in combination with </w:t>
      </w:r>
      <w:r w:rsidR="00FB2942">
        <w:t>topical corticosteroids.</w:t>
      </w:r>
    </w:p>
    <w:p w14:paraId="753DA351" w14:textId="08EA990E" w:rsidR="00D01C74" w:rsidRDefault="00D01C74" w:rsidP="00FB2942">
      <w:r w:rsidRPr="00FB2942">
        <w:t>No clear or marked trends for exposure-dependent relationships were observed between</w:t>
      </w:r>
      <w:r w:rsidR="00FB2942">
        <w:t xml:space="preserve"> u</w:t>
      </w:r>
      <w:r w:rsidRPr="00FB2942">
        <w:t>padacitinib average concentrations (</w:t>
      </w:r>
      <w:r w:rsidR="00FB2942">
        <w:t>average concentration</w:t>
      </w:r>
      <w:r w:rsidRPr="00FB2942">
        <w:t>) and probability of occurrence of any infection or acne at Week 16. There was a trend indicating increase in percentage of subjects experiencing a decreas</w:t>
      </w:r>
      <w:r w:rsidR="00C4203D">
        <w:t>e in haemoglobin &gt; 2 g/dL from B</w:t>
      </w:r>
      <w:r w:rsidRPr="00FB2942">
        <w:t>aseline at Week 16 with higher</w:t>
      </w:r>
      <w:r w:rsidR="005D7175">
        <w:t xml:space="preserve"> upadacitinib</w:t>
      </w:r>
      <w:r w:rsidRPr="00FB2942">
        <w:t xml:space="preserve"> exposures, similar to that previously observed in subjects with </w:t>
      </w:r>
      <w:r w:rsidR="00FB2942">
        <w:t>rheumatoid arthritis or atopic dermatitis.</w:t>
      </w:r>
    </w:p>
    <w:p w14:paraId="2E2FE1CF" w14:textId="12E8AD58" w:rsidR="00FB2942" w:rsidRPr="00FB2942" w:rsidRDefault="00FB2942" w:rsidP="00FB2942">
      <w:pPr>
        <w:pStyle w:val="Heading5"/>
      </w:pPr>
      <w:r>
        <w:t>Conclusions</w:t>
      </w:r>
    </w:p>
    <w:p w14:paraId="7D70F070" w14:textId="467BFF34" w:rsidR="00D01C74" w:rsidRPr="00FB2942" w:rsidRDefault="00D01C74" w:rsidP="00FB2942">
      <w:r w:rsidRPr="00FB2942">
        <w:t xml:space="preserve">No new pharmacodynamic studies were provided in this </w:t>
      </w:r>
      <w:r w:rsidR="00FB2942">
        <w:t>submission.</w:t>
      </w:r>
    </w:p>
    <w:p w14:paraId="70C506C0" w14:textId="6E26CF55" w:rsidR="00D01C74" w:rsidRPr="00FB2942" w:rsidRDefault="00D01C74" w:rsidP="00FB2942">
      <w:r w:rsidRPr="00FB2942">
        <w:t>The exposure-respo</w:t>
      </w:r>
      <w:r w:rsidR="00FB2942">
        <w:t>nse analyses demonstrated that u</w:t>
      </w:r>
      <w:r w:rsidRPr="00FB2942">
        <w:t xml:space="preserve">padacitinib 15 mg and 30 mg </w:t>
      </w:r>
      <w:r w:rsidR="00FB2942">
        <w:t>once daily</w:t>
      </w:r>
      <w:r w:rsidRPr="00FB2942">
        <w:t xml:space="preserve"> alone or in combination with </w:t>
      </w:r>
      <w:r w:rsidR="00FB2942">
        <w:t>topical corticosteroids</w:t>
      </w:r>
      <w:r w:rsidRPr="00FB2942">
        <w:t xml:space="preserve"> provided significant clinical benefit for treatment of adult and </w:t>
      </w:r>
      <w:r w:rsidR="00FB2942">
        <w:t>adolescent subjects with atopic dermatitis.</w:t>
      </w:r>
    </w:p>
    <w:p w14:paraId="51A0DC93" w14:textId="5FC1BA30" w:rsidR="00D01C74" w:rsidRPr="00D54A8F" w:rsidRDefault="00D01C74" w:rsidP="00FB2942">
      <w:r w:rsidRPr="00FB2942">
        <w:t xml:space="preserve">The 30 mg </w:t>
      </w:r>
      <w:r w:rsidR="00FB2942">
        <w:t>once daily</w:t>
      </w:r>
      <w:r w:rsidRPr="00FB2942">
        <w:t xml:space="preserve"> dose provided added clinical benefit over the 15 mg </w:t>
      </w:r>
      <w:r w:rsidR="00463E4D">
        <w:t>once daily dose</w:t>
      </w:r>
      <w:r w:rsidRPr="00FB2942">
        <w:t xml:space="preserve"> dose across several endpoints of skin clearance or itch and regardless of </w:t>
      </w:r>
      <w:r w:rsidR="00463E4D">
        <w:t>topical steroid co</w:t>
      </w:r>
      <w:r w:rsidR="00463E4D">
        <w:noBreakHyphen/>
      </w:r>
      <w:r w:rsidRPr="00FB2942">
        <w:t>administration. These improvements were observed without clinically relevant</w:t>
      </w:r>
      <w:r w:rsidR="00B51532">
        <w:t xml:space="preserve"> </w:t>
      </w:r>
      <w:r w:rsidRPr="00FB2942">
        <w:t xml:space="preserve">higher exposure-dependent increases in the incidence of the tested </w:t>
      </w:r>
      <w:r w:rsidR="00463E4D">
        <w:t>adverse events</w:t>
      </w:r>
      <w:r w:rsidRPr="00FB2942">
        <w:t xml:space="preserve"> or changes in laboratory parameters at Week 16</w:t>
      </w:r>
      <w:r w:rsidRPr="00D54A8F">
        <w:t xml:space="preserve"> </w:t>
      </w:r>
      <w:r w:rsidRPr="00463E4D">
        <w:t>(with the ex</w:t>
      </w:r>
      <w:r w:rsidR="00463E4D" w:rsidRPr="00463E4D">
        <w:t>ception of trend of the higher u</w:t>
      </w:r>
      <w:r w:rsidRPr="00463E4D">
        <w:t>padacitinib exposures, being associated with more subjects experiencing a decrease in haemoglobin &gt;</w:t>
      </w:r>
      <w:r w:rsidR="00463E4D" w:rsidRPr="00463E4D">
        <w:t> </w:t>
      </w:r>
      <w:r w:rsidRPr="00463E4D">
        <w:t>2</w:t>
      </w:r>
      <w:r w:rsidR="00463E4D" w:rsidRPr="00463E4D">
        <w:t> </w:t>
      </w:r>
      <w:r w:rsidR="00956CB2">
        <w:t>g/dL from B</w:t>
      </w:r>
      <w:r w:rsidRPr="00463E4D">
        <w:t>aseline at Week 16).</w:t>
      </w:r>
    </w:p>
    <w:p w14:paraId="20733D34" w14:textId="1498DBBA" w:rsidR="00D01C74" w:rsidRDefault="00463E4D" w:rsidP="00D01C74">
      <w:pPr>
        <w:pStyle w:val="Heading4"/>
      </w:pPr>
      <w:r>
        <w:t>Dose-finding</w:t>
      </w:r>
      <w:r w:rsidR="0076677D">
        <w:t xml:space="preserve"> data</w:t>
      </w:r>
    </w:p>
    <w:p w14:paraId="1935C87E" w14:textId="3DB11BF7" w:rsidR="00956CB2" w:rsidRPr="00956CB2" w:rsidRDefault="00956CB2" w:rsidP="00956CB2">
      <w:pPr>
        <w:pStyle w:val="Heading5"/>
      </w:pPr>
      <w:r>
        <w:t>Study M16-048</w:t>
      </w:r>
    </w:p>
    <w:p w14:paraId="6351D27A" w14:textId="4226178C" w:rsidR="00C865A9" w:rsidRDefault="00C865A9" w:rsidP="00C865A9">
      <w:r>
        <w:t>The Phase IIb double-blind, placebo-controlled Study M16-048 showed that upadacitinib at doses of 7.5 mg, 15 mg and 30 mg once daily for 16 weeks was effective in the treatment of adult subjects with moderate to severe atopic dermatitis.</w:t>
      </w:r>
    </w:p>
    <w:p w14:paraId="1FC5A95D" w14:textId="359B9DBF" w:rsidR="00C865A9" w:rsidRDefault="00C865A9" w:rsidP="00C865A9">
      <w:r>
        <w:t>In Period 1 of this study, upadacitinib met the primary (percent improvement in EASI) and key secondary endpoints (including EASI 75 and IGA 0/1) across all dose groups</w:t>
      </w:r>
      <w:r w:rsidR="00956CB2">
        <w:t xml:space="preserve"> (see section: </w:t>
      </w:r>
      <w:r w:rsidR="00956CB2" w:rsidRPr="007440B9">
        <w:rPr>
          <w:i/>
        </w:rPr>
        <w:fldChar w:fldCharType="begin"/>
      </w:r>
      <w:r w:rsidR="00956CB2" w:rsidRPr="007440B9">
        <w:rPr>
          <w:i/>
        </w:rPr>
        <w:instrText xml:space="preserve"> REF _Ref125651610 \h </w:instrText>
      </w:r>
      <w:r w:rsidR="00956CB2">
        <w:rPr>
          <w:i/>
        </w:rPr>
        <w:instrText xml:space="preserve"> \* MERGEFORMAT </w:instrText>
      </w:r>
      <w:r w:rsidR="00956CB2" w:rsidRPr="007440B9">
        <w:rPr>
          <w:i/>
        </w:rPr>
      </w:r>
      <w:r w:rsidR="00956CB2" w:rsidRPr="007440B9">
        <w:rPr>
          <w:i/>
        </w:rPr>
        <w:fldChar w:fldCharType="separate"/>
      </w:r>
      <w:r w:rsidR="00B51532" w:rsidRPr="00B51532">
        <w:rPr>
          <w:i/>
        </w:rPr>
        <w:t>Scoring systems used in the clinical studies</w:t>
      </w:r>
      <w:r w:rsidR="00956CB2" w:rsidRPr="007440B9">
        <w:rPr>
          <w:i/>
        </w:rPr>
        <w:fldChar w:fldCharType="end"/>
      </w:r>
      <w:r w:rsidR="00956CB2">
        <w:rPr>
          <w:i/>
        </w:rPr>
        <w:t xml:space="preserve"> </w:t>
      </w:r>
      <w:r w:rsidR="00956CB2">
        <w:t>for more information on these outcome measures)</w:t>
      </w:r>
      <w:r>
        <w:t xml:space="preserve">. Clear dose-response relationships were demonstrated for all key endpoints. Pair-wise comparison of treatment differences in EASI 75 and IGA 0/1 at Week 16 were </w:t>
      </w:r>
      <w:r>
        <w:lastRenderedPageBreak/>
        <w:t>statistically significant for each</w:t>
      </w:r>
      <w:r w:rsidR="005D7175">
        <w:t xml:space="preserve"> upadacitinib</w:t>
      </w:r>
      <w:r>
        <w:t xml:space="preserve"> dose versus placebo (p-value &lt; 0.05 for the 7.5 mg group, and &lt; 0.001 for both 15 mg and 30 mg groups).</w:t>
      </w:r>
    </w:p>
    <w:p w14:paraId="7CFF0BB4" w14:textId="3188AB7B" w:rsidR="00C865A9" w:rsidRDefault="00C865A9" w:rsidP="00C865A9">
      <w:r>
        <w:t xml:space="preserve">Both the proposed doses of </w:t>
      </w:r>
      <w:r w:rsidR="005D7175">
        <w:t>15 mg</w:t>
      </w:r>
      <w:r>
        <w:t xml:space="preserve"> and </w:t>
      </w:r>
      <w:r w:rsidR="005D7175">
        <w:t>30 mg</w:t>
      </w:r>
      <w:r>
        <w:t xml:space="preserve"> once daily were evaluated in the pivotal Phase III studies.</w:t>
      </w:r>
    </w:p>
    <w:p w14:paraId="5D9FBC9F" w14:textId="75ADA009" w:rsidR="00463E4D" w:rsidRPr="00463E4D" w:rsidRDefault="00C865A9" w:rsidP="00C865A9">
      <w:r>
        <w:t xml:space="preserve">The overall conclusions on dose finding for the pivotal studies from the clinical evaluation was that the selection of the </w:t>
      </w:r>
      <w:r w:rsidR="005D7175">
        <w:t>15 mg</w:t>
      </w:r>
      <w:r>
        <w:t xml:space="preserve"> and </w:t>
      </w:r>
      <w:r w:rsidR="005D7175">
        <w:t>30 mg</w:t>
      </w:r>
      <w:r>
        <w:t xml:space="preserve"> once daily doses for the pivotal Phase III atopic dermatitis studies was supported by results of the Phase IIb Study M16-048 and the exposure response analyses.</w:t>
      </w:r>
    </w:p>
    <w:p w14:paraId="0AA21A1E" w14:textId="52D46C0D" w:rsidR="00463E4D" w:rsidRDefault="00AE6E33" w:rsidP="00AE6E33">
      <w:pPr>
        <w:pStyle w:val="Heading4"/>
      </w:pPr>
      <w:r>
        <w:t>Efficacy</w:t>
      </w:r>
    </w:p>
    <w:p w14:paraId="3A420318" w14:textId="1AE6D142" w:rsidR="00AE6E33" w:rsidRPr="00AE6E33" w:rsidRDefault="00E67277" w:rsidP="00E67277">
      <w:pPr>
        <w:pStyle w:val="Heading5"/>
      </w:pPr>
      <w:bookmarkStart w:id="68" w:name="_Ref125651610"/>
      <w:r>
        <w:t>Scoring systems</w:t>
      </w:r>
      <w:r w:rsidR="007435A6">
        <w:t xml:space="preserve"> used in the clinical studies</w:t>
      </w:r>
      <w:bookmarkEnd w:id="68"/>
    </w:p>
    <w:p w14:paraId="49348091" w14:textId="587EF82B" w:rsidR="00AE6E33" w:rsidRPr="00AE6E33" w:rsidRDefault="00E67277" w:rsidP="00E67277">
      <w:pPr>
        <w:pStyle w:val="Heading6"/>
      </w:pPr>
      <w:bookmarkStart w:id="69" w:name="_Ref126044782"/>
      <w:r>
        <w:t>Eczema</w:t>
      </w:r>
      <w:r w:rsidR="007435A6">
        <w:t xml:space="preserve"> Area and Severity Index (EASI)</w:t>
      </w:r>
      <w:bookmarkEnd w:id="69"/>
    </w:p>
    <w:p w14:paraId="3EE9C1F3" w14:textId="010ED59F" w:rsidR="007435A6" w:rsidRDefault="007435A6" w:rsidP="007435A6">
      <w:r>
        <w:t>The Eczema Area and Severity Index (EASI) is a validated scoring system;</w:t>
      </w:r>
      <w:r>
        <w:rPr>
          <w:rStyle w:val="FootnoteReference"/>
        </w:rPr>
        <w:footnoteReference w:id="36"/>
      </w:r>
      <w:r w:rsidR="001A0F07">
        <w:rPr>
          <w:vertAlign w:val="superscript"/>
        </w:rPr>
        <w:t>,</w:t>
      </w:r>
      <w:bookmarkStart w:id="70" w:name="_Ref125673919"/>
      <w:r w:rsidR="001A0F07">
        <w:rPr>
          <w:rStyle w:val="FootnoteReference"/>
        </w:rPr>
        <w:footnoteReference w:id="37"/>
      </w:r>
      <w:bookmarkEnd w:id="70"/>
      <w:r w:rsidR="001A0F07">
        <w:rPr>
          <w:vertAlign w:val="superscript"/>
        </w:rPr>
        <w:t>,</w:t>
      </w:r>
      <w:r w:rsidR="001A0F07">
        <w:rPr>
          <w:rStyle w:val="FootnoteReference"/>
        </w:rPr>
        <w:footnoteReference w:id="38"/>
      </w:r>
      <w:r>
        <w:t xml:space="preserve"> that measures the physical signs of atopic dermatitis (eczema) by a composite score, that measures the extent (area) and severity of erythema, oedema/papulation scratches and lichenification across 4 different body sites.</w:t>
      </w:r>
    </w:p>
    <w:p w14:paraId="16FB4EC0" w14:textId="3F1A5ACC" w:rsidR="007435A6" w:rsidRDefault="00B059E6" w:rsidP="00B059E6">
      <w:pPr>
        <w:pStyle w:val="Heading7"/>
        <w:rPr>
          <w:b/>
        </w:rPr>
      </w:pPr>
      <w:r w:rsidRPr="00B059E6">
        <w:rPr>
          <w:b/>
        </w:rPr>
        <w:t>Calculating the EASI score</w:t>
      </w:r>
    </w:p>
    <w:p w14:paraId="711A2C55" w14:textId="554B4446" w:rsidR="00B059E6" w:rsidRPr="00B059E6" w:rsidRDefault="00B059E6" w:rsidP="00B059E6">
      <w:r>
        <w:fldChar w:fldCharType="begin"/>
      </w:r>
      <w:r>
        <w:instrText xml:space="preserve"> REF _Ref125670865 \h </w:instrText>
      </w:r>
      <w:r>
        <w:fldChar w:fldCharType="separate"/>
      </w:r>
      <w:r w:rsidR="00B51532">
        <w:t xml:space="preserve">Table </w:t>
      </w:r>
      <w:r w:rsidR="00B51532">
        <w:rPr>
          <w:noProof/>
        </w:rPr>
        <w:t>12</w:t>
      </w:r>
      <w:r>
        <w:fldChar w:fldCharType="end"/>
      </w:r>
      <w:r>
        <w:t xml:space="preserve"> provides a summary of how the EASI score is assessed and calculated.</w:t>
      </w:r>
    </w:p>
    <w:p w14:paraId="2E0E993E" w14:textId="4E9404ED" w:rsidR="00B059E6" w:rsidRDefault="00B059E6" w:rsidP="00B059E6">
      <w:pPr>
        <w:pStyle w:val="Tabletitle0"/>
      </w:pPr>
      <w:bookmarkStart w:id="71" w:name="_Ref125670865"/>
      <w:r>
        <w:t xml:space="preserve">Table </w:t>
      </w:r>
      <w:fldSimple w:instr=" SEQ Table \* ARABIC ">
        <w:r w:rsidR="00B51532">
          <w:rPr>
            <w:noProof/>
          </w:rPr>
          <w:t>12</w:t>
        </w:r>
      </w:fldSimple>
      <w:bookmarkEnd w:id="71"/>
      <w:r>
        <w:t>: Eczema Area and Severity Index (EASI) score calculation</w:t>
      </w:r>
    </w:p>
    <w:tbl>
      <w:tblPr>
        <w:tblStyle w:val="TableTGAblue"/>
        <w:tblW w:w="8748" w:type="dxa"/>
        <w:tblLayout w:type="fixed"/>
        <w:tblLook w:val="04A0" w:firstRow="1" w:lastRow="0" w:firstColumn="1" w:lastColumn="0" w:noHBand="0" w:noVBand="1"/>
      </w:tblPr>
      <w:tblGrid>
        <w:gridCol w:w="1638"/>
        <w:gridCol w:w="270"/>
        <w:gridCol w:w="494"/>
        <w:gridCol w:w="946"/>
        <w:gridCol w:w="1080"/>
        <w:gridCol w:w="1080"/>
        <w:gridCol w:w="1080"/>
        <w:gridCol w:w="1080"/>
        <w:gridCol w:w="1080"/>
      </w:tblGrid>
      <w:tr w:rsidR="00F81006" w:rsidRPr="00F81006" w14:paraId="6303FC9C" w14:textId="77777777" w:rsidTr="00B059E6">
        <w:trPr>
          <w:cnfStyle w:val="100000000000" w:firstRow="1" w:lastRow="0" w:firstColumn="0" w:lastColumn="0" w:oddVBand="0" w:evenVBand="0" w:oddHBand="0" w:evenHBand="0" w:firstRowFirstColumn="0" w:firstRowLastColumn="0" w:lastRowFirstColumn="0" w:lastRowLastColumn="0"/>
        </w:trPr>
        <w:tc>
          <w:tcPr>
            <w:tcW w:w="8748" w:type="dxa"/>
            <w:gridSpan w:val="9"/>
          </w:tcPr>
          <w:p w14:paraId="4AEC36ED" w14:textId="296F3887" w:rsidR="00F81006" w:rsidRPr="00E2600A" w:rsidRDefault="00E2600A" w:rsidP="007435A6">
            <w:pPr>
              <w:rPr>
                <w:szCs w:val="20"/>
              </w:rPr>
            </w:pPr>
            <w:r w:rsidRPr="00E2600A">
              <w:rPr>
                <w:szCs w:val="20"/>
              </w:rPr>
              <w:t>Eczema Area and Severity Index (EASI) score calculation</w:t>
            </w:r>
          </w:p>
        </w:tc>
      </w:tr>
      <w:tr w:rsidR="00F81006" w:rsidRPr="00F81006" w14:paraId="2B49C431" w14:textId="77777777" w:rsidTr="00B059E6">
        <w:tc>
          <w:tcPr>
            <w:tcW w:w="8748" w:type="dxa"/>
            <w:gridSpan w:val="9"/>
          </w:tcPr>
          <w:p w14:paraId="09CA2713" w14:textId="3C723726" w:rsidR="00F81006" w:rsidRPr="00461873" w:rsidRDefault="00F81006" w:rsidP="00461873">
            <w:pPr>
              <w:rPr>
                <w:b/>
                <w:sz w:val="20"/>
                <w:szCs w:val="20"/>
              </w:rPr>
            </w:pPr>
            <w:r w:rsidRPr="00F81006">
              <w:rPr>
                <w:b/>
                <w:sz w:val="20"/>
                <w:szCs w:val="20"/>
              </w:rPr>
              <w:t>Body regions</w:t>
            </w:r>
            <w:r w:rsidR="00461873">
              <w:rPr>
                <w:b/>
                <w:sz w:val="20"/>
                <w:szCs w:val="20"/>
              </w:rPr>
              <w:br/>
            </w:r>
            <w:r>
              <w:rPr>
                <w:sz w:val="20"/>
                <w:szCs w:val="20"/>
              </w:rPr>
              <w:t>The body is divided into 4 regions as described below.</w:t>
            </w:r>
          </w:p>
        </w:tc>
      </w:tr>
      <w:tr w:rsidR="003E3174" w:rsidRPr="00F81006" w14:paraId="59658329" w14:textId="77777777" w:rsidTr="00B059E6">
        <w:tc>
          <w:tcPr>
            <w:tcW w:w="1908" w:type="dxa"/>
            <w:gridSpan w:val="2"/>
          </w:tcPr>
          <w:p w14:paraId="35BFF472" w14:textId="1AF423E6" w:rsidR="003E3174" w:rsidRPr="00461873" w:rsidRDefault="003E3174" w:rsidP="007435A6">
            <w:pPr>
              <w:rPr>
                <w:b/>
                <w:sz w:val="20"/>
                <w:szCs w:val="20"/>
              </w:rPr>
            </w:pPr>
            <w:r w:rsidRPr="00461873">
              <w:rPr>
                <w:b/>
                <w:sz w:val="20"/>
                <w:szCs w:val="20"/>
              </w:rPr>
              <w:t>Region</w:t>
            </w:r>
          </w:p>
        </w:tc>
        <w:tc>
          <w:tcPr>
            <w:tcW w:w="6840" w:type="dxa"/>
            <w:gridSpan w:val="7"/>
          </w:tcPr>
          <w:p w14:paraId="20117941" w14:textId="68BE88E2" w:rsidR="003E3174" w:rsidRPr="00461873" w:rsidRDefault="003E3174" w:rsidP="007435A6">
            <w:pPr>
              <w:rPr>
                <w:b/>
                <w:sz w:val="20"/>
                <w:szCs w:val="20"/>
              </w:rPr>
            </w:pPr>
            <w:r w:rsidRPr="00461873">
              <w:rPr>
                <w:b/>
                <w:sz w:val="20"/>
                <w:szCs w:val="20"/>
              </w:rPr>
              <w:t>Description</w:t>
            </w:r>
          </w:p>
        </w:tc>
      </w:tr>
      <w:tr w:rsidR="00F81006" w:rsidRPr="00F81006" w14:paraId="39031C0C" w14:textId="77777777" w:rsidTr="00B059E6">
        <w:tc>
          <w:tcPr>
            <w:tcW w:w="1908" w:type="dxa"/>
            <w:gridSpan w:val="2"/>
          </w:tcPr>
          <w:p w14:paraId="073CA4CD" w14:textId="713CD76B" w:rsidR="00F81006" w:rsidRPr="00F81006" w:rsidRDefault="00F81006" w:rsidP="00461873">
            <w:pPr>
              <w:spacing w:before="60" w:after="60"/>
              <w:ind w:left="173" w:right="173"/>
              <w:rPr>
                <w:sz w:val="20"/>
                <w:szCs w:val="20"/>
              </w:rPr>
            </w:pPr>
            <w:r w:rsidRPr="00F81006">
              <w:rPr>
                <w:sz w:val="20"/>
                <w:szCs w:val="20"/>
              </w:rPr>
              <w:t>Head and neck</w:t>
            </w:r>
          </w:p>
        </w:tc>
        <w:tc>
          <w:tcPr>
            <w:tcW w:w="6840" w:type="dxa"/>
            <w:gridSpan w:val="7"/>
          </w:tcPr>
          <w:p w14:paraId="3C8AEF17" w14:textId="776D3243" w:rsidR="00F81006" w:rsidRPr="00F81006" w:rsidRDefault="00F81006" w:rsidP="00461873">
            <w:pPr>
              <w:spacing w:before="60" w:after="60"/>
              <w:ind w:left="173" w:right="173"/>
              <w:rPr>
                <w:sz w:val="20"/>
                <w:szCs w:val="20"/>
              </w:rPr>
            </w:pPr>
            <w:r w:rsidRPr="00F81006">
              <w:rPr>
                <w:sz w:val="20"/>
                <w:szCs w:val="20"/>
              </w:rPr>
              <w:t>Fa</w:t>
            </w:r>
            <w:r w:rsidR="0050649B">
              <w:rPr>
                <w:sz w:val="20"/>
                <w:szCs w:val="20"/>
              </w:rPr>
              <w:t>ce occupies 33% (17% each side), neck 33% (17% front and back).</w:t>
            </w:r>
            <w:r w:rsidR="0050649B">
              <w:rPr>
                <w:sz w:val="20"/>
                <w:szCs w:val="20"/>
              </w:rPr>
              <w:br/>
            </w:r>
            <w:r w:rsidRPr="00F81006">
              <w:rPr>
                <w:sz w:val="20"/>
                <w:szCs w:val="20"/>
              </w:rPr>
              <w:t>Scalp 33% of the head and neck region</w:t>
            </w:r>
          </w:p>
        </w:tc>
      </w:tr>
      <w:tr w:rsidR="00F81006" w:rsidRPr="00F81006" w14:paraId="674CBF0F" w14:textId="77777777" w:rsidTr="00B059E6">
        <w:tc>
          <w:tcPr>
            <w:tcW w:w="1908" w:type="dxa"/>
            <w:gridSpan w:val="2"/>
          </w:tcPr>
          <w:p w14:paraId="4757D844" w14:textId="75A40FAF" w:rsidR="00F81006" w:rsidRPr="00F81006" w:rsidRDefault="00F81006" w:rsidP="00461873">
            <w:pPr>
              <w:spacing w:before="60" w:after="60"/>
              <w:ind w:left="173" w:right="173"/>
              <w:rPr>
                <w:sz w:val="20"/>
                <w:szCs w:val="20"/>
              </w:rPr>
            </w:pPr>
            <w:r w:rsidRPr="00F81006">
              <w:rPr>
                <w:sz w:val="20"/>
                <w:szCs w:val="20"/>
              </w:rPr>
              <w:t>Trunk</w:t>
            </w:r>
          </w:p>
        </w:tc>
        <w:tc>
          <w:tcPr>
            <w:tcW w:w="6840" w:type="dxa"/>
            <w:gridSpan w:val="7"/>
          </w:tcPr>
          <w:p w14:paraId="101095BA" w14:textId="07869E9C" w:rsidR="00F81006" w:rsidRPr="00F81006" w:rsidRDefault="00F81006" w:rsidP="00461873">
            <w:pPr>
              <w:spacing w:before="60" w:after="60"/>
              <w:ind w:left="173" w:right="173"/>
              <w:rPr>
                <w:sz w:val="20"/>
                <w:szCs w:val="20"/>
              </w:rPr>
            </w:pPr>
            <w:r w:rsidRPr="00F81006">
              <w:rPr>
                <w:sz w:val="20"/>
                <w:szCs w:val="20"/>
              </w:rPr>
              <w:t>Trunk includes chest, abdomen, pelvis, and back, and the genital area</w:t>
            </w:r>
            <w:r w:rsidR="0050649B">
              <w:rPr>
                <w:sz w:val="20"/>
                <w:szCs w:val="20"/>
              </w:rPr>
              <w:t>.</w:t>
            </w:r>
            <w:r w:rsidR="0050649B">
              <w:rPr>
                <w:sz w:val="20"/>
                <w:szCs w:val="20"/>
              </w:rPr>
              <w:br/>
              <w:t>Front surface of trunk 55%, b</w:t>
            </w:r>
            <w:r w:rsidRPr="00F81006">
              <w:rPr>
                <w:sz w:val="20"/>
                <w:szCs w:val="20"/>
              </w:rPr>
              <w:t>ack surface of trunk 45%</w:t>
            </w:r>
          </w:p>
        </w:tc>
      </w:tr>
      <w:tr w:rsidR="00F81006" w:rsidRPr="00F81006" w14:paraId="220C2DA5" w14:textId="77777777" w:rsidTr="00B059E6">
        <w:tc>
          <w:tcPr>
            <w:tcW w:w="1908" w:type="dxa"/>
            <w:gridSpan w:val="2"/>
          </w:tcPr>
          <w:p w14:paraId="064A8F06" w14:textId="2DB0A05D" w:rsidR="00F81006" w:rsidRPr="00F81006" w:rsidRDefault="00F81006" w:rsidP="00461873">
            <w:pPr>
              <w:spacing w:before="60" w:after="60"/>
              <w:ind w:left="173" w:right="173"/>
              <w:rPr>
                <w:sz w:val="20"/>
                <w:szCs w:val="20"/>
              </w:rPr>
            </w:pPr>
            <w:r w:rsidRPr="00F81006">
              <w:rPr>
                <w:sz w:val="20"/>
                <w:szCs w:val="20"/>
              </w:rPr>
              <w:t>Upper limbs</w:t>
            </w:r>
          </w:p>
        </w:tc>
        <w:tc>
          <w:tcPr>
            <w:tcW w:w="6840" w:type="dxa"/>
            <w:gridSpan w:val="7"/>
          </w:tcPr>
          <w:p w14:paraId="755D9438" w14:textId="54F4A1C3" w:rsidR="00F81006" w:rsidRPr="00F81006" w:rsidRDefault="00F81006" w:rsidP="00461873">
            <w:pPr>
              <w:spacing w:before="60" w:after="60"/>
              <w:ind w:left="173" w:right="173"/>
              <w:rPr>
                <w:sz w:val="20"/>
                <w:szCs w:val="20"/>
              </w:rPr>
            </w:pPr>
            <w:r w:rsidRPr="00F81006">
              <w:rPr>
                <w:sz w:val="20"/>
                <w:szCs w:val="20"/>
              </w:rPr>
              <w:t>Each arm occupies 50% of the upp</w:t>
            </w:r>
            <w:r w:rsidR="0050649B">
              <w:rPr>
                <w:sz w:val="20"/>
                <w:szCs w:val="20"/>
              </w:rPr>
              <w:t xml:space="preserve">er limbs region (front or back of </w:t>
            </w:r>
            <w:r w:rsidRPr="00F81006">
              <w:rPr>
                <w:sz w:val="20"/>
                <w:szCs w:val="20"/>
              </w:rPr>
              <w:t>one arm is 25%)</w:t>
            </w:r>
          </w:p>
        </w:tc>
      </w:tr>
      <w:tr w:rsidR="00F81006" w:rsidRPr="00F81006" w14:paraId="4A071E03" w14:textId="77777777" w:rsidTr="00B059E6">
        <w:tc>
          <w:tcPr>
            <w:tcW w:w="1908" w:type="dxa"/>
            <w:gridSpan w:val="2"/>
            <w:tcBorders>
              <w:bottom w:val="single" w:sz="8" w:space="0" w:color="auto"/>
            </w:tcBorders>
          </w:tcPr>
          <w:p w14:paraId="483FCBD0" w14:textId="0F25431C" w:rsidR="00F81006" w:rsidRPr="00F81006" w:rsidRDefault="00F81006" w:rsidP="00461873">
            <w:pPr>
              <w:spacing w:before="60" w:after="60"/>
              <w:ind w:left="173" w:right="173"/>
              <w:rPr>
                <w:sz w:val="20"/>
                <w:szCs w:val="20"/>
              </w:rPr>
            </w:pPr>
            <w:r w:rsidRPr="00F81006">
              <w:rPr>
                <w:sz w:val="20"/>
                <w:szCs w:val="20"/>
              </w:rPr>
              <w:t>Lower limbs</w:t>
            </w:r>
          </w:p>
        </w:tc>
        <w:tc>
          <w:tcPr>
            <w:tcW w:w="6840" w:type="dxa"/>
            <w:gridSpan w:val="7"/>
            <w:tcBorders>
              <w:bottom w:val="single" w:sz="8" w:space="0" w:color="auto"/>
            </w:tcBorders>
          </w:tcPr>
          <w:p w14:paraId="527ABF3B" w14:textId="19C911D9" w:rsidR="00F81006" w:rsidRPr="00F81006" w:rsidRDefault="00F81006" w:rsidP="00461873">
            <w:pPr>
              <w:spacing w:before="60" w:after="60"/>
              <w:ind w:left="173" w:right="173"/>
              <w:rPr>
                <w:sz w:val="20"/>
                <w:szCs w:val="20"/>
              </w:rPr>
            </w:pPr>
            <w:r w:rsidRPr="00F81006">
              <w:rPr>
                <w:sz w:val="20"/>
                <w:szCs w:val="20"/>
              </w:rPr>
              <w:t>Each leg occupies 45% (fro</w:t>
            </w:r>
            <w:r w:rsidR="0050649B">
              <w:rPr>
                <w:sz w:val="20"/>
                <w:szCs w:val="20"/>
              </w:rPr>
              <w:t>nt or back of one leg is 22.5%)</w:t>
            </w:r>
            <w:r w:rsidR="0050649B">
              <w:rPr>
                <w:sz w:val="20"/>
                <w:szCs w:val="20"/>
              </w:rPr>
              <w:br/>
            </w:r>
            <w:r w:rsidRPr="00F81006">
              <w:rPr>
                <w:sz w:val="20"/>
                <w:szCs w:val="20"/>
              </w:rPr>
              <w:t>Buttocks 10% of the lower limbs region</w:t>
            </w:r>
          </w:p>
        </w:tc>
      </w:tr>
      <w:tr w:rsidR="00F81006" w:rsidRPr="00F81006" w14:paraId="66AF85D6" w14:textId="77777777" w:rsidTr="00B059E6">
        <w:trPr>
          <w:trHeight w:val="811"/>
        </w:trPr>
        <w:tc>
          <w:tcPr>
            <w:tcW w:w="8748" w:type="dxa"/>
            <w:gridSpan w:val="9"/>
            <w:tcBorders>
              <w:top w:val="single" w:sz="8" w:space="0" w:color="auto"/>
              <w:left w:val="single" w:sz="4" w:space="0" w:color="auto"/>
              <w:bottom w:val="single" w:sz="4" w:space="0" w:color="auto"/>
              <w:right w:val="single" w:sz="4" w:space="0" w:color="auto"/>
            </w:tcBorders>
          </w:tcPr>
          <w:p w14:paraId="767AF901" w14:textId="1E41C511" w:rsidR="00E36B82" w:rsidRPr="00600C62" w:rsidRDefault="0050649B" w:rsidP="00600C62">
            <w:pPr>
              <w:rPr>
                <w:sz w:val="20"/>
              </w:rPr>
            </w:pPr>
            <w:r w:rsidRPr="0050649B">
              <w:rPr>
                <w:b/>
                <w:sz w:val="20"/>
                <w:szCs w:val="20"/>
              </w:rPr>
              <w:t>Area score</w:t>
            </w:r>
            <w:r>
              <w:rPr>
                <w:sz w:val="20"/>
                <w:szCs w:val="20"/>
              </w:rPr>
              <w:br/>
            </w:r>
            <w:r w:rsidRPr="0050649B">
              <w:rPr>
                <w:sz w:val="20"/>
              </w:rPr>
              <w:t>Area score is recorded for each of the four regions of the body. The area score is the percentage of skin affected by eczema for each body region.</w:t>
            </w:r>
          </w:p>
        </w:tc>
      </w:tr>
      <w:tr w:rsidR="00503BE7" w:rsidRPr="00F81006" w14:paraId="00494D5D" w14:textId="77777777" w:rsidTr="00B059E6">
        <w:trPr>
          <w:trHeight w:val="810"/>
        </w:trPr>
        <w:tc>
          <w:tcPr>
            <w:tcW w:w="1638" w:type="dxa"/>
            <w:tcBorders>
              <w:top w:val="single" w:sz="4" w:space="0" w:color="auto"/>
              <w:left w:val="single" w:sz="4" w:space="0" w:color="auto"/>
              <w:bottom w:val="single" w:sz="4" w:space="0" w:color="auto"/>
              <w:right w:val="single" w:sz="4" w:space="0" w:color="auto"/>
            </w:tcBorders>
          </w:tcPr>
          <w:p w14:paraId="7B922B74" w14:textId="48ABDCEA" w:rsidR="00503BE7" w:rsidRPr="00600C62" w:rsidRDefault="00503BE7" w:rsidP="00600C62">
            <w:pPr>
              <w:rPr>
                <w:b/>
                <w:sz w:val="20"/>
                <w:szCs w:val="20"/>
              </w:rPr>
            </w:pPr>
            <w:r w:rsidRPr="00600C62">
              <w:rPr>
                <w:sz w:val="20"/>
              </w:rPr>
              <w:t>% involvement</w:t>
            </w:r>
          </w:p>
        </w:tc>
        <w:tc>
          <w:tcPr>
            <w:tcW w:w="764" w:type="dxa"/>
            <w:gridSpan w:val="2"/>
            <w:tcBorders>
              <w:top w:val="single" w:sz="4" w:space="0" w:color="auto"/>
              <w:left w:val="single" w:sz="4" w:space="0" w:color="auto"/>
              <w:bottom w:val="single" w:sz="4" w:space="0" w:color="auto"/>
              <w:right w:val="single" w:sz="4" w:space="0" w:color="auto"/>
            </w:tcBorders>
          </w:tcPr>
          <w:p w14:paraId="319A00F8" w14:textId="0446DE45" w:rsidR="00503BE7" w:rsidRPr="00600C62" w:rsidRDefault="00503BE7" w:rsidP="00600C62">
            <w:pPr>
              <w:ind w:left="0" w:right="0"/>
              <w:rPr>
                <w:b/>
                <w:sz w:val="20"/>
                <w:szCs w:val="20"/>
              </w:rPr>
            </w:pPr>
            <w:r w:rsidRPr="00600C62">
              <w:rPr>
                <w:sz w:val="20"/>
              </w:rPr>
              <w:t>0%</w:t>
            </w:r>
          </w:p>
        </w:tc>
        <w:tc>
          <w:tcPr>
            <w:tcW w:w="946" w:type="dxa"/>
            <w:tcBorders>
              <w:top w:val="single" w:sz="4" w:space="0" w:color="auto"/>
              <w:left w:val="single" w:sz="4" w:space="0" w:color="auto"/>
              <w:bottom w:val="single" w:sz="4" w:space="0" w:color="auto"/>
              <w:right w:val="single" w:sz="4" w:space="0" w:color="auto"/>
            </w:tcBorders>
          </w:tcPr>
          <w:p w14:paraId="7C23FF6F" w14:textId="6AE10813" w:rsidR="00503BE7" w:rsidRPr="00600C62" w:rsidRDefault="00503BE7" w:rsidP="00600C62">
            <w:pPr>
              <w:ind w:left="0" w:right="0"/>
              <w:rPr>
                <w:b/>
                <w:sz w:val="20"/>
                <w:szCs w:val="20"/>
              </w:rPr>
            </w:pPr>
            <w:r w:rsidRPr="00600C62">
              <w:rPr>
                <w:sz w:val="20"/>
              </w:rPr>
              <w:t>1</w:t>
            </w:r>
            <w:r w:rsidR="00600C62" w:rsidRPr="00600C62">
              <w:rPr>
                <w:sz w:val="20"/>
              </w:rPr>
              <w:t xml:space="preserve"> </w:t>
            </w:r>
            <w:r w:rsidRPr="00600C62">
              <w:rPr>
                <w:sz w:val="20"/>
              </w:rPr>
              <w:t>-</w:t>
            </w:r>
            <w:r w:rsidR="00600C62" w:rsidRPr="00600C62">
              <w:rPr>
                <w:sz w:val="20"/>
              </w:rPr>
              <w:t xml:space="preserve"> </w:t>
            </w:r>
            <w:r w:rsidRPr="00600C62">
              <w:rPr>
                <w:sz w:val="20"/>
              </w:rPr>
              <w:t>9%</w:t>
            </w:r>
          </w:p>
        </w:tc>
        <w:tc>
          <w:tcPr>
            <w:tcW w:w="1080" w:type="dxa"/>
            <w:tcBorders>
              <w:top w:val="single" w:sz="4" w:space="0" w:color="auto"/>
              <w:left w:val="single" w:sz="4" w:space="0" w:color="auto"/>
              <w:bottom w:val="single" w:sz="4" w:space="0" w:color="auto"/>
              <w:right w:val="single" w:sz="4" w:space="0" w:color="auto"/>
            </w:tcBorders>
          </w:tcPr>
          <w:p w14:paraId="0C0B4142" w14:textId="1D982587" w:rsidR="00503BE7" w:rsidRPr="00600C62" w:rsidRDefault="00503BE7" w:rsidP="00600C62">
            <w:pPr>
              <w:ind w:left="0" w:right="0"/>
              <w:rPr>
                <w:b/>
                <w:sz w:val="20"/>
                <w:szCs w:val="20"/>
              </w:rPr>
            </w:pPr>
            <w:r w:rsidRPr="00600C62">
              <w:rPr>
                <w:sz w:val="20"/>
              </w:rPr>
              <w:t>10</w:t>
            </w:r>
            <w:r w:rsidR="00600C62" w:rsidRPr="00600C62">
              <w:rPr>
                <w:sz w:val="20"/>
              </w:rPr>
              <w:t xml:space="preserve"> </w:t>
            </w:r>
            <w:r w:rsidRPr="00600C62">
              <w:rPr>
                <w:sz w:val="20"/>
              </w:rPr>
              <w:t>-</w:t>
            </w:r>
            <w:r w:rsidR="00600C62" w:rsidRPr="00600C62">
              <w:rPr>
                <w:sz w:val="20"/>
              </w:rPr>
              <w:t xml:space="preserve"> </w:t>
            </w:r>
            <w:r w:rsidRPr="00600C62">
              <w:rPr>
                <w:sz w:val="20"/>
              </w:rPr>
              <w:t>29%</w:t>
            </w:r>
          </w:p>
        </w:tc>
        <w:tc>
          <w:tcPr>
            <w:tcW w:w="1080" w:type="dxa"/>
            <w:tcBorders>
              <w:top w:val="single" w:sz="4" w:space="0" w:color="auto"/>
              <w:left w:val="single" w:sz="4" w:space="0" w:color="auto"/>
              <w:bottom w:val="single" w:sz="4" w:space="0" w:color="auto"/>
              <w:right w:val="single" w:sz="4" w:space="0" w:color="auto"/>
            </w:tcBorders>
          </w:tcPr>
          <w:p w14:paraId="26D3453D" w14:textId="4C53F9CA" w:rsidR="00503BE7" w:rsidRPr="00600C62" w:rsidRDefault="00503BE7" w:rsidP="00600C62">
            <w:pPr>
              <w:ind w:left="0" w:right="0"/>
              <w:rPr>
                <w:b/>
                <w:sz w:val="20"/>
                <w:szCs w:val="20"/>
              </w:rPr>
            </w:pPr>
            <w:r w:rsidRPr="00600C62">
              <w:rPr>
                <w:sz w:val="20"/>
              </w:rPr>
              <w:t>30</w:t>
            </w:r>
            <w:r w:rsidR="00600C62" w:rsidRPr="00600C62">
              <w:rPr>
                <w:sz w:val="20"/>
              </w:rPr>
              <w:t xml:space="preserve"> </w:t>
            </w:r>
            <w:r w:rsidRPr="00600C62">
              <w:rPr>
                <w:sz w:val="20"/>
              </w:rPr>
              <w:t>-</w:t>
            </w:r>
            <w:r w:rsidR="00600C62" w:rsidRPr="00600C62">
              <w:rPr>
                <w:sz w:val="20"/>
              </w:rPr>
              <w:t xml:space="preserve"> </w:t>
            </w:r>
            <w:r w:rsidRPr="00600C62">
              <w:rPr>
                <w:sz w:val="20"/>
              </w:rPr>
              <w:t>49%</w:t>
            </w:r>
          </w:p>
        </w:tc>
        <w:tc>
          <w:tcPr>
            <w:tcW w:w="1080" w:type="dxa"/>
            <w:tcBorders>
              <w:top w:val="single" w:sz="4" w:space="0" w:color="auto"/>
              <w:left w:val="single" w:sz="4" w:space="0" w:color="auto"/>
              <w:bottom w:val="single" w:sz="4" w:space="0" w:color="auto"/>
              <w:right w:val="single" w:sz="4" w:space="0" w:color="auto"/>
            </w:tcBorders>
          </w:tcPr>
          <w:p w14:paraId="1213FAD9" w14:textId="435F7648" w:rsidR="00503BE7" w:rsidRPr="00600C62" w:rsidRDefault="00503BE7" w:rsidP="00600C62">
            <w:pPr>
              <w:ind w:left="0" w:right="0"/>
              <w:rPr>
                <w:b/>
                <w:sz w:val="20"/>
                <w:szCs w:val="20"/>
              </w:rPr>
            </w:pPr>
            <w:r w:rsidRPr="00600C62">
              <w:rPr>
                <w:sz w:val="20"/>
              </w:rPr>
              <w:t>50</w:t>
            </w:r>
            <w:r w:rsidR="00600C62" w:rsidRPr="00600C62">
              <w:rPr>
                <w:sz w:val="20"/>
              </w:rPr>
              <w:t xml:space="preserve"> </w:t>
            </w:r>
            <w:r w:rsidRPr="00600C62">
              <w:rPr>
                <w:sz w:val="20"/>
              </w:rPr>
              <w:t>-</w:t>
            </w:r>
            <w:r w:rsidR="00600C62" w:rsidRPr="00600C62">
              <w:rPr>
                <w:sz w:val="20"/>
              </w:rPr>
              <w:t xml:space="preserve"> </w:t>
            </w:r>
            <w:r w:rsidRPr="00600C62">
              <w:rPr>
                <w:sz w:val="20"/>
              </w:rPr>
              <w:t>69%</w:t>
            </w:r>
          </w:p>
        </w:tc>
        <w:tc>
          <w:tcPr>
            <w:tcW w:w="1080" w:type="dxa"/>
            <w:tcBorders>
              <w:top w:val="single" w:sz="4" w:space="0" w:color="auto"/>
              <w:left w:val="single" w:sz="4" w:space="0" w:color="auto"/>
              <w:bottom w:val="single" w:sz="4" w:space="0" w:color="auto"/>
              <w:right w:val="single" w:sz="4" w:space="0" w:color="auto"/>
            </w:tcBorders>
          </w:tcPr>
          <w:p w14:paraId="238B0776" w14:textId="04FF7AF9" w:rsidR="00503BE7" w:rsidRPr="00600C62" w:rsidRDefault="00503BE7" w:rsidP="00600C62">
            <w:pPr>
              <w:ind w:left="0" w:right="0"/>
              <w:rPr>
                <w:b/>
                <w:sz w:val="20"/>
                <w:szCs w:val="20"/>
              </w:rPr>
            </w:pPr>
            <w:r w:rsidRPr="00600C62">
              <w:rPr>
                <w:sz w:val="20"/>
              </w:rPr>
              <w:t>70</w:t>
            </w:r>
            <w:r w:rsidR="00600C62" w:rsidRPr="00600C62">
              <w:rPr>
                <w:sz w:val="20"/>
              </w:rPr>
              <w:t xml:space="preserve"> </w:t>
            </w:r>
            <w:r w:rsidRPr="00600C62">
              <w:rPr>
                <w:sz w:val="20"/>
              </w:rPr>
              <w:t>-</w:t>
            </w:r>
            <w:r w:rsidR="00600C62" w:rsidRPr="00600C62">
              <w:rPr>
                <w:sz w:val="20"/>
              </w:rPr>
              <w:t xml:space="preserve"> </w:t>
            </w:r>
            <w:r w:rsidRPr="00600C62">
              <w:rPr>
                <w:sz w:val="20"/>
              </w:rPr>
              <w:t>89%</w:t>
            </w:r>
          </w:p>
        </w:tc>
        <w:tc>
          <w:tcPr>
            <w:tcW w:w="1080" w:type="dxa"/>
            <w:tcBorders>
              <w:top w:val="single" w:sz="4" w:space="0" w:color="auto"/>
              <w:left w:val="single" w:sz="4" w:space="0" w:color="auto"/>
              <w:bottom w:val="single" w:sz="4" w:space="0" w:color="auto"/>
              <w:right w:val="single" w:sz="4" w:space="0" w:color="auto"/>
            </w:tcBorders>
          </w:tcPr>
          <w:p w14:paraId="73543384" w14:textId="4911A2BA" w:rsidR="00503BE7" w:rsidRPr="00600C62" w:rsidRDefault="00503BE7" w:rsidP="00600C62">
            <w:pPr>
              <w:ind w:left="0" w:right="0"/>
              <w:rPr>
                <w:b/>
                <w:sz w:val="20"/>
                <w:szCs w:val="20"/>
              </w:rPr>
            </w:pPr>
            <w:r w:rsidRPr="00600C62">
              <w:rPr>
                <w:sz w:val="20"/>
              </w:rPr>
              <w:t>90-100%</w:t>
            </w:r>
          </w:p>
        </w:tc>
      </w:tr>
      <w:tr w:rsidR="00503BE7" w:rsidRPr="00F81006" w14:paraId="2F152DC7" w14:textId="77777777" w:rsidTr="00B059E6">
        <w:trPr>
          <w:trHeight w:val="497"/>
        </w:trPr>
        <w:tc>
          <w:tcPr>
            <w:tcW w:w="1638" w:type="dxa"/>
            <w:tcBorders>
              <w:top w:val="single" w:sz="4" w:space="0" w:color="auto"/>
              <w:left w:val="single" w:sz="4" w:space="0" w:color="auto"/>
              <w:bottom w:val="single" w:sz="4" w:space="0" w:color="auto"/>
              <w:right w:val="single" w:sz="4" w:space="0" w:color="auto"/>
            </w:tcBorders>
          </w:tcPr>
          <w:p w14:paraId="343BB658" w14:textId="3734FAB2" w:rsidR="00503BE7" w:rsidRPr="00600C62" w:rsidRDefault="00600C62" w:rsidP="00600C62">
            <w:pPr>
              <w:rPr>
                <w:b/>
                <w:sz w:val="20"/>
                <w:szCs w:val="20"/>
              </w:rPr>
            </w:pPr>
            <w:r w:rsidRPr="00600C62">
              <w:rPr>
                <w:sz w:val="20"/>
              </w:rPr>
              <w:lastRenderedPageBreak/>
              <w:t>Area sc</w:t>
            </w:r>
            <w:r w:rsidR="00503BE7" w:rsidRPr="00600C62">
              <w:rPr>
                <w:sz w:val="20"/>
              </w:rPr>
              <w:t>ore</w:t>
            </w:r>
          </w:p>
        </w:tc>
        <w:tc>
          <w:tcPr>
            <w:tcW w:w="764" w:type="dxa"/>
            <w:gridSpan w:val="2"/>
            <w:tcBorders>
              <w:top w:val="single" w:sz="4" w:space="0" w:color="auto"/>
              <w:left w:val="single" w:sz="4" w:space="0" w:color="auto"/>
              <w:bottom w:val="single" w:sz="4" w:space="0" w:color="auto"/>
              <w:right w:val="single" w:sz="4" w:space="0" w:color="auto"/>
            </w:tcBorders>
          </w:tcPr>
          <w:p w14:paraId="71CF1B4B" w14:textId="483CD8E2" w:rsidR="00503BE7" w:rsidRPr="00600C62" w:rsidRDefault="00503BE7" w:rsidP="00600C62">
            <w:pPr>
              <w:ind w:left="0" w:right="0"/>
              <w:rPr>
                <w:b/>
                <w:sz w:val="20"/>
                <w:szCs w:val="20"/>
              </w:rPr>
            </w:pPr>
            <w:r w:rsidRPr="00600C62">
              <w:rPr>
                <w:sz w:val="20"/>
              </w:rPr>
              <w:t>0</w:t>
            </w:r>
          </w:p>
        </w:tc>
        <w:tc>
          <w:tcPr>
            <w:tcW w:w="946" w:type="dxa"/>
            <w:tcBorders>
              <w:top w:val="single" w:sz="4" w:space="0" w:color="auto"/>
              <w:left w:val="single" w:sz="4" w:space="0" w:color="auto"/>
              <w:bottom w:val="single" w:sz="4" w:space="0" w:color="auto"/>
              <w:right w:val="single" w:sz="4" w:space="0" w:color="auto"/>
            </w:tcBorders>
          </w:tcPr>
          <w:p w14:paraId="3156F778" w14:textId="615927B2" w:rsidR="00503BE7" w:rsidRPr="00600C62" w:rsidRDefault="00503BE7" w:rsidP="00600C62">
            <w:pPr>
              <w:ind w:left="0" w:right="0"/>
              <w:rPr>
                <w:b/>
                <w:sz w:val="20"/>
                <w:szCs w:val="20"/>
              </w:rPr>
            </w:pPr>
            <w:r w:rsidRPr="00600C62">
              <w:rPr>
                <w:sz w:val="20"/>
              </w:rPr>
              <w:t>1</w:t>
            </w:r>
          </w:p>
        </w:tc>
        <w:tc>
          <w:tcPr>
            <w:tcW w:w="1080" w:type="dxa"/>
            <w:tcBorders>
              <w:top w:val="single" w:sz="4" w:space="0" w:color="auto"/>
              <w:left w:val="single" w:sz="4" w:space="0" w:color="auto"/>
              <w:bottom w:val="single" w:sz="4" w:space="0" w:color="auto"/>
              <w:right w:val="single" w:sz="4" w:space="0" w:color="auto"/>
            </w:tcBorders>
          </w:tcPr>
          <w:p w14:paraId="70608DBC" w14:textId="3454D073" w:rsidR="00503BE7" w:rsidRPr="00600C62" w:rsidRDefault="00503BE7" w:rsidP="00600C62">
            <w:pPr>
              <w:ind w:left="0" w:right="0"/>
              <w:rPr>
                <w:b/>
                <w:sz w:val="20"/>
                <w:szCs w:val="20"/>
              </w:rPr>
            </w:pPr>
            <w:r w:rsidRPr="00600C62">
              <w:rPr>
                <w:sz w:val="20"/>
              </w:rPr>
              <w:t>2</w:t>
            </w:r>
          </w:p>
        </w:tc>
        <w:tc>
          <w:tcPr>
            <w:tcW w:w="1080" w:type="dxa"/>
            <w:tcBorders>
              <w:top w:val="single" w:sz="4" w:space="0" w:color="auto"/>
              <w:left w:val="single" w:sz="4" w:space="0" w:color="auto"/>
              <w:bottom w:val="single" w:sz="4" w:space="0" w:color="auto"/>
              <w:right w:val="single" w:sz="4" w:space="0" w:color="auto"/>
            </w:tcBorders>
          </w:tcPr>
          <w:p w14:paraId="432A48A7" w14:textId="34CD9E20" w:rsidR="00503BE7" w:rsidRPr="00600C62" w:rsidRDefault="00503BE7" w:rsidP="00600C62">
            <w:pPr>
              <w:ind w:left="0" w:right="0"/>
              <w:rPr>
                <w:b/>
                <w:sz w:val="20"/>
                <w:szCs w:val="20"/>
              </w:rPr>
            </w:pPr>
            <w:r w:rsidRPr="00600C62">
              <w:rPr>
                <w:sz w:val="20"/>
              </w:rPr>
              <w:t>3</w:t>
            </w:r>
          </w:p>
        </w:tc>
        <w:tc>
          <w:tcPr>
            <w:tcW w:w="1080" w:type="dxa"/>
            <w:tcBorders>
              <w:top w:val="single" w:sz="4" w:space="0" w:color="auto"/>
              <w:left w:val="single" w:sz="4" w:space="0" w:color="auto"/>
              <w:bottom w:val="single" w:sz="4" w:space="0" w:color="auto"/>
              <w:right w:val="single" w:sz="4" w:space="0" w:color="auto"/>
            </w:tcBorders>
          </w:tcPr>
          <w:p w14:paraId="4832031D" w14:textId="4F37FD01" w:rsidR="00503BE7" w:rsidRPr="00600C62" w:rsidRDefault="00503BE7" w:rsidP="00600C62">
            <w:pPr>
              <w:ind w:left="0" w:right="0"/>
              <w:rPr>
                <w:b/>
                <w:sz w:val="20"/>
                <w:szCs w:val="20"/>
              </w:rPr>
            </w:pPr>
            <w:r w:rsidRPr="00600C62">
              <w:rPr>
                <w:sz w:val="20"/>
              </w:rPr>
              <w:t>4</w:t>
            </w:r>
          </w:p>
        </w:tc>
        <w:tc>
          <w:tcPr>
            <w:tcW w:w="1080" w:type="dxa"/>
            <w:tcBorders>
              <w:top w:val="single" w:sz="4" w:space="0" w:color="auto"/>
              <w:left w:val="single" w:sz="4" w:space="0" w:color="auto"/>
              <w:bottom w:val="single" w:sz="4" w:space="0" w:color="auto"/>
              <w:right w:val="single" w:sz="4" w:space="0" w:color="auto"/>
            </w:tcBorders>
          </w:tcPr>
          <w:p w14:paraId="41AE3E36" w14:textId="31F1DEDD" w:rsidR="00503BE7" w:rsidRPr="00600C62" w:rsidRDefault="00503BE7" w:rsidP="00600C62">
            <w:pPr>
              <w:ind w:left="0" w:right="0"/>
              <w:rPr>
                <w:b/>
                <w:sz w:val="20"/>
                <w:szCs w:val="20"/>
              </w:rPr>
            </w:pPr>
            <w:r w:rsidRPr="00600C62">
              <w:rPr>
                <w:sz w:val="20"/>
              </w:rPr>
              <w:t>5</w:t>
            </w:r>
          </w:p>
        </w:tc>
        <w:tc>
          <w:tcPr>
            <w:tcW w:w="1080" w:type="dxa"/>
            <w:tcBorders>
              <w:top w:val="single" w:sz="4" w:space="0" w:color="auto"/>
              <w:left w:val="single" w:sz="4" w:space="0" w:color="auto"/>
              <w:bottom w:val="single" w:sz="4" w:space="0" w:color="auto"/>
              <w:right w:val="single" w:sz="4" w:space="0" w:color="auto"/>
            </w:tcBorders>
          </w:tcPr>
          <w:p w14:paraId="17298662" w14:textId="26FF9369" w:rsidR="00503BE7" w:rsidRPr="00600C62" w:rsidRDefault="00503BE7" w:rsidP="00600C62">
            <w:pPr>
              <w:ind w:left="0" w:right="0"/>
              <w:rPr>
                <w:b/>
                <w:sz w:val="20"/>
                <w:szCs w:val="20"/>
              </w:rPr>
            </w:pPr>
            <w:r w:rsidRPr="00600C62">
              <w:rPr>
                <w:sz w:val="20"/>
              </w:rPr>
              <w:t>6</w:t>
            </w:r>
          </w:p>
        </w:tc>
      </w:tr>
      <w:tr w:rsidR="00E36B82" w:rsidRPr="00F81006" w14:paraId="734D5FA1" w14:textId="77777777" w:rsidTr="00B059E6">
        <w:trPr>
          <w:trHeight w:val="1016"/>
        </w:trPr>
        <w:tc>
          <w:tcPr>
            <w:tcW w:w="8748" w:type="dxa"/>
            <w:gridSpan w:val="9"/>
          </w:tcPr>
          <w:p w14:paraId="6C603114" w14:textId="77777777" w:rsidR="00E36B82" w:rsidRPr="005C4310" w:rsidRDefault="005C4310" w:rsidP="00E36B82">
            <w:pPr>
              <w:rPr>
                <w:b/>
                <w:sz w:val="20"/>
                <w:szCs w:val="20"/>
              </w:rPr>
            </w:pPr>
            <w:r w:rsidRPr="005C4310">
              <w:rPr>
                <w:b/>
                <w:sz w:val="20"/>
                <w:szCs w:val="20"/>
              </w:rPr>
              <w:t>Severity score</w:t>
            </w:r>
          </w:p>
          <w:p w14:paraId="2E665E65" w14:textId="77777777" w:rsidR="005C4310" w:rsidRDefault="005C4310" w:rsidP="0003092E">
            <w:pPr>
              <w:rPr>
                <w:sz w:val="20"/>
                <w:szCs w:val="20"/>
              </w:rPr>
            </w:pPr>
            <w:r>
              <w:rPr>
                <w:sz w:val="20"/>
                <w:szCs w:val="20"/>
              </w:rPr>
              <w:t xml:space="preserve">A severity score is calculated </w:t>
            </w:r>
            <w:r w:rsidR="0003092E">
              <w:rPr>
                <w:sz w:val="20"/>
                <w:szCs w:val="20"/>
              </w:rPr>
              <w:t>by</w:t>
            </w:r>
            <w:r>
              <w:rPr>
                <w:sz w:val="20"/>
                <w:szCs w:val="20"/>
              </w:rPr>
              <w:t xml:space="preserve"> </w:t>
            </w:r>
            <w:r w:rsidR="0003092E">
              <w:rPr>
                <w:sz w:val="20"/>
                <w:szCs w:val="20"/>
              </w:rPr>
              <w:t>scoring each body region according to the severity of 4 signs:</w:t>
            </w:r>
          </w:p>
          <w:p w14:paraId="473B12F8" w14:textId="3151DC6D" w:rsidR="0003092E" w:rsidRPr="00461873" w:rsidRDefault="00526025" w:rsidP="0003092E">
            <w:pPr>
              <w:pStyle w:val="ListBullet2"/>
              <w:numPr>
                <w:ilvl w:val="1"/>
                <w:numId w:val="1"/>
              </w:numPr>
              <w:rPr>
                <w:sz w:val="20"/>
              </w:rPr>
            </w:pPr>
            <w:r w:rsidRPr="00526025">
              <w:rPr>
                <w:b/>
                <w:sz w:val="20"/>
              </w:rPr>
              <w:t>Erythema</w:t>
            </w:r>
            <w:r>
              <w:rPr>
                <w:sz w:val="20"/>
              </w:rPr>
              <w:t xml:space="preserve"> (redness,</w:t>
            </w:r>
            <w:r w:rsidR="0003092E" w:rsidRPr="00461873">
              <w:rPr>
                <w:sz w:val="20"/>
              </w:rPr>
              <w:t xml:space="preserve"> inflammation)</w:t>
            </w:r>
          </w:p>
          <w:p w14:paraId="4053822C" w14:textId="66CE56E8" w:rsidR="0003092E" w:rsidRDefault="00526025" w:rsidP="0003092E">
            <w:pPr>
              <w:pStyle w:val="ListBullet2"/>
              <w:numPr>
                <w:ilvl w:val="1"/>
                <w:numId w:val="1"/>
              </w:numPr>
              <w:rPr>
                <w:sz w:val="20"/>
              </w:rPr>
            </w:pPr>
            <w:r>
              <w:rPr>
                <w:b/>
                <w:sz w:val="20"/>
              </w:rPr>
              <w:t>Oedema</w:t>
            </w:r>
            <w:r w:rsidR="0003092E" w:rsidRPr="00461873">
              <w:rPr>
                <w:sz w:val="20"/>
              </w:rPr>
              <w:t xml:space="preserve"> (in</w:t>
            </w:r>
            <w:r>
              <w:rPr>
                <w:sz w:val="20"/>
              </w:rPr>
              <w:t>duration, papulation, swelling)</w:t>
            </w:r>
          </w:p>
          <w:p w14:paraId="5EB59B43" w14:textId="62F177DA" w:rsidR="0003092E" w:rsidRPr="00461873" w:rsidRDefault="00526025" w:rsidP="0003092E">
            <w:pPr>
              <w:pStyle w:val="ListBullet2"/>
              <w:numPr>
                <w:ilvl w:val="1"/>
                <w:numId w:val="1"/>
              </w:numPr>
              <w:rPr>
                <w:sz w:val="20"/>
              </w:rPr>
            </w:pPr>
            <w:r w:rsidRPr="00526025">
              <w:rPr>
                <w:b/>
                <w:sz w:val="20"/>
              </w:rPr>
              <w:t>Excoriation</w:t>
            </w:r>
            <w:r>
              <w:rPr>
                <w:sz w:val="20"/>
              </w:rPr>
              <w:t xml:space="preserve"> (scratches)</w:t>
            </w:r>
          </w:p>
          <w:p w14:paraId="78124BE7" w14:textId="04557A31" w:rsidR="0003092E" w:rsidRDefault="0003092E" w:rsidP="0003092E">
            <w:pPr>
              <w:pStyle w:val="ListBullet2"/>
              <w:numPr>
                <w:ilvl w:val="1"/>
                <w:numId w:val="1"/>
              </w:numPr>
              <w:rPr>
                <w:sz w:val="20"/>
              </w:rPr>
            </w:pPr>
            <w:r w:rsidRPr="00461873">
              <w:rPr>
                <w:b/>
                <w:sz w:val="20"/>
              </w:rPr>
              <w:t>Lichenification</w:t>
            </w:r>
            <w:r w:rsidRPr="00461873">
              <w:rPr>
                <w:sz w:val="20"/>
              </w:rPr>
              <w:t xml:space="preserve"> (lined skin, furrowing, prurigo nodules (chronic eczema)).</w:t>
            </w:r>
          </w:p>
          <w:p w14:paraId="63820DF1" w14:textId="35E52804" w:rsidR="00526025" w:rsidRPr="00B059E6" w:rsidRDefault="00526025" w:rsidP="00526025">
            <w:pPr>
              <w:rPr>
                <w:sz w:val="20"/>
              </w:rPr>
            </w:pPr>
            <w:r w:rsidRPr="00B059E6">
              <w:rPr>
                <w:sz w:val="20"/>
              </w:rPr>
              <w:t>Average intensity for each of the four signs above is assessed for each body region on a scale of zero = none; 1 = mild; 2 = moderate and 3 = severe.</w:t>
            </w:r>
          </w:p>
          <w:p w14:paraId="333CE39E" w14:textId="1988AEAA" w:rsidR="00526025" w:rsidRPr="00B059E6" w:rsidRDefault="00526025" w:rsidP="00526025">
            <w:pPr>
              <w:rPr>
                <w:sz w:val="20"/>
              </w:rPr>
            </w:pPr>
            <w:r w:rsidRPr="00B059E6">
              <w:rPr>
                <w:sz w:val="20"/>
              </w:rPr>
              <w:t xml:space="preserve">This results in 16 raw severity scores; 4 </w:t>
            </w:r>
            <w:r w:rsidR="00626444" w:rsidRPr="00B059E6">
              <w:rPr>
                <w:sz w:val="20"/>
              </w:rPr>
              <w:t>for each sign, scored once in each body region.</w:t>
            </w:r>
          </w:p>
          <w:p w14:paraId="5C419EDD" w14:textId="77777777" w:rsidR="0003092E" w:rsidRPr="00B059E6" w:rsidRDefault="00626444" w:rsidP="00626444">
            <w:pPr>
              <w:rPr>
                <w:sz w:val="20"/>
              </w:rPr>
            </w:pPr>
            <w:r w:rsidRPr="00B059E6">
              <w:rPr>
                <w:sz w:val="20"/>
              </w:rPr>
              <w:t>The raw severity scores for all 4 signs for each individual region is added up, giving a minimum and maximum possible severity score for each region of 0 to 16 points.</w:t>
            </w:r>
          </w:p>
          <w:p w14:paraId="25777843" w14:textId="7D16B80D" w:rsidR="00626444" w:rsidRPr="00626444" w:rsidRDefault="00626444" w:rsidP="00626444">
            <w:pPr>
              <w:rPr>
                <w:b/>
                <w:sz w:val="20"/>
                <w:szCs w:val="20"/>
              </w:rPr>
            </w:pPr>
            <w:r w:rsidRPr="00461873">
              <w:rPr>
                <w:b/>
                <w:sz w:val="20"/>
                <w:szCs w:val="20"/>
              </w:rPr>
              <w:t xml:space="preserve">Severity score = </w:t>
            </w:r>
            <w:r>
              <w:rPr>
                <w:b/>
                <w:sz w:val="20"/>
                <w:szCs w:val="20"/>
              </w:rPr>
              <w:t xml:space="preserve">intensity of </w:t>
            </w:r>
            <w:r w:rsidRPr="00461873">
              <w:rPr>
                <w:b/>
                <w:sz w:val="20"/>
                <w:szCs w:val="20"/>
              </w:rPr>
              <w:t xml:space="preserve">redness + thickness + scratching </w:t>
            </w:r>
            <w:r>
              <w:rPr>
                <w:b/>
                <w:sz w:val="20"/>
                <w:szCs w:val="20"/>
              </w:rPr>
              <w:t>+ lichenification</w:t>
            </w:r>
          </w:p>
        </w:tc>
      </w:tr>
      <w:tr w:rsidR="00E36B82" w:rsidRPr="00F81006" w14:paraId="61F8831A" w14:textId="77777777" w:rsidTr="00B059E6">
        <w:tc>
          <w:tcPr>
            <w:tcW w:w="8748" w:type="dxa"/>
            <w:gridSpan w:val="9"/>
          </w:tcPr>
          <w:p w14:paraId="5055AD06" w14:textId="59793268" w:rsidR="00E36B82" w:rsidRPr="00626444" w:rsidRDefault="00626444" w:rsidP="00E36B82">
            <w:pPr>
              <w:rPr>
                <w:b/>
                <w:szCs w:val="20"/>
              </w:rPr>
            </w:pPr>
            <w:r>
              <w:rPr>
                <w:b/>
                <w:szCs w:val="20"/>
              </w:rPr>
              <w:t xml:space="preserve">EASI </w:t>
            </w:r>
            <w:r w:rsidR="00B059E6">
              <w:rPr>
                <w:b/>
                <w:szCs w:val="20"/>
              </w:rPr>
              <w:t>region</w:t>
            </w:r>
            <w:r w:rsidR="00E2600A">
              <w:rPr>
                <w:b/>
                <w:szCs w:val="20"/>
              </w:rPr>
              <w:t xml:space="preserve"> total</w:t>
            </w:r>
            <w:r>
              <w:rPr>
                <w:b/>
                <w:szCs w:val="20"/>
              </w:rPr>
              <w:t xml:space="preserve"> score c</w:t>
            </w:r>
            <w:r w:rsidR="00E36B82" w:rsidRPr="00626444">
              <w:rPr>
                <w:b/>
                <w:szCs w:val="20"/>
              </w:rPr>
              <w:t>alculation</w:t>
            </w:r>
          </w:p>
          <w:p w14:paraId="2DC46236" w14:textId="5A111E88" w:rsidR="00E36B82" w:rsidRPr="00626444" w:rsidRDefault="00626444" w:rsidP="00626444">
            <w:r w:rsidRPr="00B059E6">
              <w:rPr>
                <w:sz w:val="20"/>
              </w:rPr>
              <w:t>The regional severity score and area score for each body region is multiplied by a factor of 0.1 for head and neck; 0.2 for upper limbs; 0.3 for trunk and 0.4 for lower limbs.</w:t>
            </w:r>
          </w:p>
        </w:tc>
      </w:tr>
      <w:tr w:rsidR="00E36B82" w:rsidRPr="00F81006" w14:paraId="0FE5D3E2" w14:textId="77777777" w:rsidTr="00B059E6">
        <w:tc>
          <w:tcPr>
            <w:tcW w:w="1908" w:type="dxa"/>
            <w:gridSpan w:val="2"/>
          </w:tcPr>
          <w:p w14:paraId="26B9295B" w14:textId="3918EE0B" w:rsidR="00E36B82" w:rsidRDefault="00626444" w:rsidP="00E36B82">
            <w:pPr>
              <w:rPr>
                <w:sz w:val="20"/>
                <w:szCs w:val="20"/>
              </w:rPr>
            </w:pPr>
            <w:r>
              <w:rPr>
                <w:sz w:val="20"/>
                <w:szCs w:val="20"/>
              </w:rPr>
              <w:t>Body r</w:t>
            </w:r>
            <w:r w:rsidR="00E36B82">
              <w:rPr>
                <w:sz w:val="20"/>
                <w:szCs w:val="20"/>
              </w:rPr>
              <w:t>egion</w:t>
            </w:r>
          </w:p>
        </w:tc>
        <w:tc>
          <w:tcPr>
            <w:tcW w:w="6840" w:type="dxa"/>
            <w:gridSpan w:val="7"/>
          </w:tcPr>
          <w:p w14:paraId="28744773" w14:textId="768D1A03" w:rsidR="00E36B82" w:rsidRPr="000D32B8" w:rsidRDefault="00B059E6" w:rsidP="00B059E6">
            <w:pPr>
              <w:rPr>
                <w:sz w:val="20"/>
              </w:rPr>
            </w:pPr>
            <w:r>
              <w:rPr>
                <w:sz w:val="20"/>
              </w:rPr>
              <w:t>Total region</w:t>
            </w:r>
            <w:r w:rsidR="00E36B82">
              <w:rPr>
                <w:sz w:val="20"/>
              </w:rPr>
              <w:t xml:space="preserve"> scoring calculation</w:t>
            </w:r>
          </w:p>
        </w:tc>
      </w:tr>
      <w:tr w:rsidR="00E36B82" w:rsidRPr="00F81006" w14:paraId="78F5A903" w14:textId="77777777" w:rsidTr="00B059E6">
        <w:tc>
          <w:tcPr>
            <w:tcW w:w="1908" w:type="dxa"/>
            <w:gridSpan w:val="2"/>
          </w:tcPr>
          <w:p w14:paraId="5469E0F8" w14:textId="7BFDCFCD" w:rsidR="00E36B82" w:rsidRPr="00F81006" w:rsidRDefault="00E36B82" w:rsidP="00E36B82">
            <w:pPr>
              <w:rPr>
                <w:sz w:val="20"/>
                <w:szCs w:val="20"/>
              </w:rPr>
            </w:pPr>
            <w:r>
              <w:rPr>
                <w:sz w:val="20"/>
                <w:szCs w:val="20"/>
              </w:rPr>
              <w:t>Head and neck</w:t>
            </w:r>
          </w:p>
        </w:tc>
        <w:tc>
          <w:tcPr>
            <w:tcW w:w="6840" w:type="dxa"/>
            <w:gridSpan w:val="7"/>
          </w:tcPr>
          <w:p w14:paraId="5E37E6D0" w14:textId="11282E56" w:rsidR="00626444" w:rsidRDefault="00E36B82" w:rsidP="00E36B82">
            <w:pPr>
              <w:rPr>
                <w:sz w:val="20"/>
              </w:rPr>
            </w:pPr>
            <w:r w:rsidRPr="000D32B8">
              <w:rPr>
                <w:sz w:val="20"/>
              </w:rPr>
              <w:t>se</w:t>
            </w:r>
            <w:r w:rsidR="00626444">
              <w:rPr>
                <w:sz w:val="20"/>
              </w:rPr>
              <w:t xml:space="preserve">verity score x area score x 0.1 = head and neck </w:t>
            </w:r>
            <w:r w:rsidR="00B059E6">
              <w:rPr>
                <w:sz w:val="20"/>
              </w:rPr>
              <w:t>total</w:t>
            </w:r>
            <w:r w:rsidR="00626444">
              <w:rPr>
                <w:sz w:val="20"/>
              </w:rPr>
              <w:t xml:space="preserve"> score</w:t>
            </w:r>
          </w:p>
          <w:p w14:paraId="7CE85AF0" w14:textId="24E0C6D0" w:rsidR="00E36B82" w:rsidRPr="000D32B8" w:rsidRDefault="00E36B82" w:rsidP="00E36B82">
            <w:pPr>
              <w:rPr>
                <w:sz w:val="20"/>
              </w:rPr>
            </w:pPr>
            <w:r w:rsidRPr="000D32B8">
              <w:rPr>
                <w:sz w:val="20"/>
              </w:rPr>
              <w:t>(in children 0–7 years, x 0.2)</w:t>
            </w:r>
          </w:p>
        </w:tc>
      </w:tr>
      <w:tr w:rsidR="00E36B82" w:rsidRPr="00F81006" w14:paraId="05361989" w14:textId="77777777" w:rsidTr="00B059E6">
        <w:tc>
          <w:tcPr>
            <w:tcW w:w="1908" w:type="dxa"/>
            <w:gridSpan w:val="2"/>
          </w:tcPr>
          <w:p w14:paraId="5F8ED9D5" w14:textId="7460333C" w:rsidR="00E36B82" w:rsidRPr="00F81006" w:rsidRDefault="00E36B82" w:rsidP="00E36B82">
            <w:pPr>
              <w:rPr>
                <w:sz w:val="20"/>
                <w:szCs w:val="20"/>
              </w:rPr>
            </w:pPr>
            <w:r>
              <w:rPr>
                <w:sz w:val="20"/>
                <w:szCs w:val="20"/>
              </w:rPr>
              <w:t>Trunk</w:t>
            </w:r>
          </w:p>
        </w:tc>
        <w:tc>
          <w:tcPr>
            <w:tcW w:w="6840" w:type="dxa"/>
            <w:gridSpan w:val="7"/>
          </w:tcPr>
          <w:p w14:paraId="0647A29D" w14:textId="27F7E753" w:rsidR="00E36B82" w:rsidRPr="000D32B8" w:rsidRDefault="00E36B82" w:rsidP="00B059E6">
            <w:pPr>
              <w:rPr>
                <w:sz w:val="20"/>
              </w:rPr>
            </w:pPr>
            <w:r w:rsidRPr="000D32B8">
              <w:rPr>
                <w:sz w:val="20"/>
              </w:rPr>
              <w:t>severity score x area score x 0.3</w:t>
            </w:r>
            <w:r w:rsidR="00626444">
              <w:rPr>
                <w:sz w:val="20"/>
              </w:rPr>
              <w:t xml:space="preserve"> = trunk </w:t>
            </w:r>
            <w:r w:rsidR="00B059E6">
              <w:rPr>
                <w:sz w:val="20"/>
              </w:rPr>
              <w:t>total</w:t>
            </w:r>
            <w:r w:rsidR="00626444">
              <w:rPr>
                <w:sz w:val="20"/>
              </w:rPr>
              <w:t xml:space="preserve"> score</w:t>
            </w:r>
          </w:p>
        </w:tc>
      </w:tr>
      <w:tr w:rsidR="00E36B82" w:rsidRPr="00F81006" w14:paraId="135C6098" w14:textId="77777777" w:rsidTr="00B059E6">
        <w:tc>
          <w:tcPr>
            <w:tcW w:w="1908" w:type="dxa"/>
            <w:gridSpan w:val="2"/>
          </w:tcPr>
          <w:p w14:paraId="5775A347" w14:textId="512DD590" w:rsidR="00E36B82" w:rsidRPr="00F81006" w:rsidRDefault="00E36B82" w:rsidP="00E36B82">
            <w:pPr>
              <w:rPr>
                <w:sz w:val="20"/>
                <w:szCs w:val="20"/>
              </w:rPr>
            </w:pPr>
            <w:r>
              <w:rPr>
                <w:sz w:val="20"/>
                <w:szCs w:val="20"/>
              </w:rPr>
              <w:t>Upper limbs</w:t>
            </w:r>
          </w:p>
        </w:tc>
        <w:tc>
          <w:tcPr>
            <w:tcW w:w="6840" w:type="dxa"/>
            <w:gridSpan w:val="7"/>
          </w:tcPr>
          <w:p w14:paraId="5705C4D1" w14:textId="0AF68916" w:rsidR="00E36B82" w:rsidRPr="000D32B8" w:rsidRDefault="00E36B82" w:rsidP="00B059E6">
            <w:pPr>
              <w:rPr>
                <w:sz w:val="20"/>
              </w:rPr>
            </w:pPr>
            <w:r w:rsidRPr="000D32B8">
              <w:rPr>
                <w:sz w:val="20"/>
              </w:rPr>
              <w:t>severity score x area score x 0.2</w:t>
            </w:r>
            <w:r w:rsidR="00626444">
              <w:rPr>
                <w:sz w:val="20"/>
              </w:rPr>
              <w:t xml:space="preserve"> = upper limb </w:t>
            </w:r>
            <w:r w:rsidR="00B059E6">
              <w:rPr>
                <w:sz w:val="20"/>
              </w:rPr>
              <w:t>total</w:t>
            </w:r>
            <w:r w:rsidR="00626444">
              <w:rPr>
                <w:sz w:val="20"/>
              </w:rPr>
              <w:t xml:space="preserve"> score</w:t>
            </w:r>
          </w:p>
        </w:tc>
      </w:tr>
      <w:tr w:rsidR="00E36B82" w:rsidRPr="00F81006" w14:paraId="5472043D" w14:textId="77777777" w:rsidTr="00B059E6">
        <w:tc>
          <w:tcPr>
            <w:tcW w:w="1908" w:type="dxa"/>
            <w:gridSpan w:val="2"/>
          </w:tcPr>
          <w:p w14:paraId="184C6FFD" w14:textId="52F17807" w:rsidR="00E36B82" w:rsidRDefault="00E36B82" w:rsidP="00E36B82">
            <w:pPr>
              <w:rPr>
                <w:sz w:val="20"/>
                <w:szCs w:val="20"/>
              </w:rPr>
            </w:pPr>
            <w:r>
              <w:rPr>
                <w:sz w:val="20"/>
                <w:szCs w:val="20"/>
              </w:rPr>
              <w:t>Lower limbs</w:t>
            </w:r>
          </w:p>
        </w:tc>
        <w:tc>
          <w:tcPr>
            <w:tcW w:w="6840" w:type="dxa"/>
            <w:gridSpan w:val="7"/>
          </w:tcPr>
          <w:p w14:paraId="47883CDA" w14:textId="699AB798" w:rsidR="00626444" w:rsidRDefault="00E36B82" w:rsidP="00E36B82">
            <w:pPr>
              <w:rPr>
                <w:sz w:val="20"/>
              </w:rPr>
            </w:pPr>
            <w:r w:rsidRPr="000D32B8">
              <w:rPr>
                <w:sz w:val="20"/>
              </w:rPr>
              <w:t>se</w:t>
            </w:r>
            <w:r w:rsidR="00626444">
              <w:rPr>
                <w:sz w:val="20"/>
              </w:rPr>
              <w:t xml:space="preserve">verity score x area score x 0.4 = lower limb </w:t>
            </w:r>
            <w:r w:rsidR="00B059E6">
              <w:rPr>
                <w:sz w:val="20"/>
              </w:rPr>
              <w:t>total</w:t>
            </w:r>
            <w:r w:rsidR="00626444">
              <w:rPr>
                <w:sz w:val="20"/>
              </w:rPr>
              <w:t xml:space="preserve"> score</w:t>
            </w:r>
          </w:p>
          <w:p w14:paraId="4770FBA0" w14:textId="2067C1F3" w:rsidR="00E36B82" w:rsidRPr="000D32B8" w:rsidRDefault="00E36B82" w:rsidP="00E36B82">
            <w:pPr>
              <w:rPr>
                <w:sz w:val="20"/>
              </w:rPr>
            </w:pPr>
            <w:r w:rsidRPr="000D32B8">
              <w:rPr>
                <w:sz w:val="20"/>
              </w:rPr>
              <w:t>(in children 0–7 years, x 0.3)</w:t>
            </w:r>
          </w:p>
        </w:tc>
      </w:tr>
      <w:tr w:rsidR="00B059E6" w:rsidRPr="00F81006" w14:paraId="5C82089A" w14:textId="77777777" w:rsidTr="00B059E6">
        <w:tc>
          <w:tcPr>
            <w:tcW w:w="8748" w:type="dxa"/>
            <w:gridSpan w:val="9"/>
          </w:tcPr>
          <w:p w14:paraId="150C778C" w14:textId="278BC1DE" w:rsidR="00B059E6" w:rsidRPr="00B059E6" w:rsidRDefault="001A0F07" w:rsidP="00E36B82">
            <w:pPr>
              <w:rPr>
                <w:b/>
              </w:rPr>
            </w:pPr>
            <w:r>
              <w:rPr>
                <w:b/>
              </w:rPr>
              <w:t>Total</w:t>
            </w:r>
            <w:r w:rsidR="00B059E6" w:rsidRPr="00B059E6">
              <w:rPr>
                <w:b/>
              </w:rPr>
              <w:t xml:space="preserve"> EASI score</w:t>
            </w:r>
            <w:r w:rsidR="000A7587">
              <w:rPr>
                <w:b/>
              </w:rPr>
              <w:t xml:space="preserve"> (composite score)</w:t>
            </w:r>
          </w:p>
          <w:p w14:paraId="0BBF4797" w14:textId="463FB2CE" w:rsidR="00B059E6" w:rsidRDefault="00B059E6" w:rsidP="00E36B82">
            <w:pPr>
              <w:rPr>
                <w:sz w:val="20"/>
              </w:rPr>
            </w:pPr>
            <w:r>
              <w:rPr>
                <w:sz w:val="20"/>
              </w:rPr>
              <w:t>The final EASI score is the sum of all 4 regional total scores.</w:t>
            </w:r>
          </w:p>
          <w:p w14:paraId="302D7F86" w14:textId="39A73AA0" w:rsidR="00B059E6" w:rsidRPr="000D32B8" w:rsidRDefault="00B059E6" w:rsidP="00E36B82">
            <w:pPr>
              <w:rPr>
                <w:sz w:val="20"/>
              </w:rPr>
            </w:pPr>
            <w:r w:rsidRPr="00B059E6">
              <w:rPr>
                <w:sz w:val="20"/>
              </w:rPr>
              <w:t>The minimum EASI score is 0 and the maximum EASI score is 72.</w:t>
            </w:r>
          </w:p>
        </w:tc>
      </w:tr>
    </w:tbl>
    <w:p w14:paraId="00293878" w14:textId="546DC8E0" w:rsidR="00F7422B" w:rsidRPr="001A0F07" w:rsidRDefault="00F7422B" w:rsidP="001A0F07"/>
    <w:p w14:paraId="159A1D96" w14:textId="4F71DE7E" w:rsidR="00F7422B" w:rsidRPr="00F7422B" w:rsidRDefault="00F7422B" w:rsidP="00F7422B">
      <w:pPr>
        <w:spacing w:before="0" w:after="200" w:line="0" w:lineRule="auto"/>
        <w:rPr>
          <w:rFonts w:eastAsia="Times New Roman"/>
          <w:b/>
          <w:bCs/>
          <w:szCs w:val="24"/>
        </w:rPr>
      </w:pPr>
      <w:r>
        <w:rPr>
          <w:b/>
        </w:rPr>
        <w:br w:type="page"/>
      </w:r>
    </w:p>
    <w:p w14:paraId="17B0AFDE" w14:textId="5F713298" w:rsidR="00941162" w:rsidRDefault="00E2600A" w:rsidP="00E2600A">
      <w:pPr>
        <w:pStyle w:val="Heading7"/>
        <w:rPr>
          <w:b/>
          <w:sz w:val="22"/>
        </w:rPr>
      </w:pPr>
      <w:r w:rsidRPr="00E2600A">
        <w:rPr>
          <w:b/>
          <w:sz w:val="22"/>
        </w:rPr>
        <w:lastRenderedPageBreak/>
        <w:t xml:space="preserve">EASI </w:t>
      </w:r>
      <w:r w:rsidR="001A0F07">
        <w:rPr>
          <w:b/>
          <w:sz w:val="22"/>
        </w:rPr>
        <w:t xml:space="preserve">total </w:t>
      </w:r>
      <w:r w:rsidRPr="00E2600A">
        <w:rPr>
          <w:b/>
          <w:sz w:val="22"/>
        </w:rPr>
        <w:t>score interpretation</w:t>
      </w:r>
    </w:p>
    <w:p w14:paraId="0097038C" w14:textId="6871C4D7" w:rsidR="00D42746" w:rsidRDefault="000A7587" w:rsidP="00E2600A">
      <w:r>
        <w:t>The t</w:t>
      </w:r>
      <w:r w:rsidR="00F7422B">
        <w:t>otal EASI score is a</w:t>
      </w:r>
      <w:r>
        <w:t xml:space="preserve"> composite score and</w:t>
      </w:r>
      <w:r w:rsidR="00F7422B">
        <w:t xml:space="preserve"> measure of </w:t>
      </w:r>
      <w:r>
        <w:t xml:space="preserve">overall </w:t>
      </w:r>
      <w:r w:rsidR="00F7422B">
        <w:t>severity</w:t>
      </w:r>
      <w:r>
        <w:t xml:space="preserve"> and extent</w:t>
      </w:r>
      <w:r w:rsidR="00F7422B">
        <w:t xml:space="preserve"> of atopic dermatitis disease</w:t>
      </w:r>
      <w:r>
        <w:t xml:space="preserve"> in a patient</w:t>
      </w:r>
      <w:r w:rsidR="001A0F07">
        <w:t>. The total score ranges from a minimum of zero</w:t>
      </w:r>
      <w:r w:rsidR="00F7422B">
        <w:t xml:space="preserve"> (clear, no signs of active atopic dermatitis to a maximum of 72 (very/most severe atopic dermatitis). </w:t>
      </w:r>
      <w:r w:rsidR="00F7422B">
        <w:fldChar w:fldCharType="begin"/>
      </w:r>
      <w:r w:rsidR="00F7422B">
        <w:instrText xml:space="preserve"> REF _Ref125672474 \h </w:instrText>
      </w:r>
      <w:r w:rsidR="00F7422B">
        <w:fldChar w:fldCharType="separate"/>
      </w:r>
      <w:r w:rsidR="00B51532">
        <w:t xml:space="preserve">Table </w:t>
      </w:r>
      <w:r w:rsidR="00B51532">
        <w:rPr>
          <w:noProof/>
        </w:rPr>
        <w:t>13</w:t>
      </w:r>
      <w:r w:rsidR="00F7422B">
        <w:fldChar w:fldCharType="end"/>
      </w:r>
      <w:r w:rsidR="00F7422B">
        <w:t xml:space="preserve"> gives </w:t>
      </w:r>
      <w:r w:rsidR="001A0F07">
        <w:t>a</w:t>
      </w:r>
      <w:r w:rsidR="00F7422B">
        <w:t xml:space="preserve"> clinical interpretation of total EASI scores.</w:t>
      </w:r>
      <w:r w:rsidR="001A0F07">
        <w:rPr>
          <w:rStyle w:val="FootnoteReference"/>
        </w:rPr>
        <w:footnoteReference w:id="39"/>
      </w:r>
    </w:p>
    <w:p w14:paraId="4646C0AD" w14:textId="0D570143" w:rsidR="00F7422B" w:rsidRDefault="00F7422B" w:rsidP="00F7422B">
      <w:pPr>
        <w:pStyle w:val="Tabletitle0"/>
      </w:pPr>
      <w:bookmarkStart w:id="72" w:name="_Ref125672474"/>
      <w:r>
        <w:t xml:space="preserve">Table </w:t>
      </w:r>
      <w:fldSimple w:instr=" SEQ Table \* ARABIC ">
        <w:r w:rsidR="00B51532">
          <w:rPr>
            <w:noProof/>
          </w:rPr>
          <w:t>13</w:t>
        </w:r>
      </w:fldSimple>
      <w:bookmarkEnd w:id="72"/>
      <w:r>
        <w:t xml:space="preserve">: EASI </w:t>
      </w:r>
      <w:r w:rsidR="000A7587">
        <w:t xml:space="preserve">total (composite) </w:t>
      </w:r>
      <w:r>
        <w:t>score interpretation</w:t>
      </w:r>
    </w:p>
    <w:tbl>
      <w:tblPr>
        <w:tblStyle w:val="TableTGAblue"/>
        <w:tblW w:w="0" w:type="auto"/>
        <w:tblLook w:val="04A0" w:firstRow="1" w:lastRow="0" w:firstColumn="1" w:lastColumn="0" w:noHBand="0" w:noVBand="1"/>
      </w:tblPr>
      <w:tblGrid>
        <w:gridCol w:w="2448"/>
        <w:gridCol w:w="3510"/>
      </w:tblGrid>
      <w:tr w:rsidR="00E2600A" w14:paraId="16BABBE5" w14:textId="77777777" w:rsidTr="00122C60">
        <w:trPr>
          <w:cnfStyle w:val="100000000000" w:firstRow="1" w:lastRow="0" w:firstColumn="0" w:lastColumn="0" w:oddVBand="0" w:evenVBand="0" w:oddHBand="0" w:evenHBand="0" w:firstRowFirstColumn="0" w:firstRowLastColumn="0" w:lastRowFirstColumn="0" w:lastRowLastColumn="0"/>
        </w:trPr>
        <w:tc>
          <w:tcPr>
            <w:tcW w:w="2448" w:type="dxa"/>
          </w:tcPr>
          <w:p w14:paraId="07525F94" w14:textId="50B6B003" w:rsidR="00E2600A" w:rsidRDefault="00122C60" w:rsidP="00E2600A">
            <w:r>
              <w:t>Total EASI score</w:t>
            </w:r>
          </w:p>
        </w:tc>
        <w:tc>
          <w:tcPr>
            <w:tcW w:w="3510" w:type="dxa"/>
          </w:tcPr>
          <w:p w14:paraId="7E297000" w14:textId="6A0426BC" w:rsidR="00E2600A" w:rsidRDefault="00122C60" w:rsidP="00E2600A">
            <w:r>
              <w:t>Interpretation</w:t>
            </w:r>
          </w:p>
        </w:tc>
      </w:tr>
      <w:tr w:rsidR="00E2600A" w14:paraId="3D1E9623" w14:textId="77777777" w:rsidTr="00122C60">
        <w:tc>
          <w:tcPr>
            <w:tcW w:w="2448" w:type="dxa"/>
          </w:tcPr>
          <w:p w14:paraId="14C6F877" w14:textId="1F0F648F" w:rsidR="00E2600A" w:rsidRDefault="00122C60" w:rsidP="00E2600A">
            <w:r>
              <w:t>0</w:t>
            </w:r>
          </w:p>
        </w:tc>
        <w:tc>
          <w:tcPr>
            <w:tcW w:w="3510" w:type="dxa"/>
          </w:tcPr>
          <w:p w14:paraId="3036B084" w14:textId="399095F2" w:rsidR="00E2600A" w:rsidRDefault="00122C60" w:rsidP="00E2600A">
            <w:r>
              <w:t>Clear</w:t>
            </w:r>
          </w:p>
        </w:tc>
      </w:tr>
      <w:tr w:rsidR="00E2600A" w14:paraId="5747D853" w14:textId="77777777" w:rsidTr="00122C60">
        <w:tc>
          <w:tcPr>
            <w:tcW w:w="2448" w:type="dxa"/>
          </w:tcPr>
          <w:p w14:paraId="5972A2EA" w14:textId="6F22D7C7" w:rsidR="00E2600A" w:rsidRDefault="00122C60" w:rsidP="00E2600A">
            <w:r>
              <w:t>0.1 to 1</w:t>
            </w:r>
          </w:p>
        </w:tc>
        <w:tc>
          <w:tcPr>
            <w:tcW w:w="3510" w:type="dxa"/>
          </w:tcPr>
          <w:p w14:paraId="1DE0E1EC" w14:textId="67A86B5E" w:rsidR="00E2600A" w:rsidRDefault="00122C60" w:rsidP="00E2600A">
            <w:r>
              <w:t>Almost clear</w:t>
            </w:r>
          </w:p>
        </w:tc>
      </w:tr>
      <w:tr w:rsidR="00E2600A" w14:paraId="5F6EBE07" w14:textId="77777777" w:rsidTr="00122C60">
        <w:tc>
          <w:tcPr>
            <w:tcW w:w="2448" w:type="dxa"/>
          </w:tcPr>
          <w:p w14:paraId="7A42CDD4" w14:textId="2103A3B2" w:rsidR="00E2600A" w:rsidRDefault="00122C60" w:rsidP="00E2600A">
            <w:r>
              <w:t>1.1 to 7</w:t>
            </w:r>
          </w:p>
        </w:tc>
        <w:tc>
          <w:tcPr>
            <w:tcW w:w="3510" w:type="dxa"/>
          </w:tcPr>
          <w:p w14:paraId="6FDF2A82" w14:textId="0358968F" w:rsidR="00E2600A" w:rsidRDefault="00122C60" w:rsidP="00E2600A">
            <w:r>
              <w:t>Mild atopic dermatitis</w:t>
            </w:r>
          </w:p>
        </w:tc>
      </w:tr>
      <w:tr w:rsidR="00E2600A" w14:paraId="09A7CA44" w14:textId="77777777" w:rsidTr="00122C60">
        <w:tc>
          <w:tcPr>
            <w:tcW w:w="2448" w:type="dxa"/>
          </w:tcPr>
          <w:p w14:paraId="367CF5AD" w14:textId="21C1EB58" w:rsidR="00E2600A" w:rsidRDefault="00122C60" w:rsidP="00E2600A">
            <w:r>
              <w:t>7 to 21</w:t>
            </w:r>
          </w:p>
        </w:tc>
        <w:tc>
          <w:tcPr>
            <w:tcW w:w="3510" w:type="dxa"/>
          </w:tcPr>
          <w:p w14:paraId="72E9AD3C" w14:textId="131DD97E" w:rsidR="00E2600A" w:rsidRDefault="00122C60" w:rsidP="00E2600A">
            <w:r>
              <w:t>Moderate atopic dermatitis</w:t>
            </w:r>
          </w:p>
        </w:tc>
      </w:tr>
      <w:tr w:rsidR="00E2600A" w14:paraId="19059606" w14:textId="77777777" w:rsidTr="00122C60">
        <w:tc>
          <w:tcPr>
            <w:tcW w:w="2448" w:type="dxa"/>
          </w:tcPr>
          <w:p w14:paraId="050742BC" w14:textId="65B7F6BF" w:rsidR="00E2600A" w:rsidRDefault="00122C60" w:rsidP="00E2600A">
            <w:r>
              <w:t>21.1 to 50</w:t>
            </w:r>
          </w:p>
        </w:tc>
        <w:tc>
          <w:tcPr>
            <w:tcW w:w="3510" w:type="dxa"/>
          </w:tcPr>
          <w:p w14:paraId="0297EA56" w14:textId="179E6B12" w:rsidR="00E2600A" w:rsidRDefault="00122C60" w:rsidP="00E2600A">
            <w:r>
              <w:t>Severe atopic dermatitis</w:t>
            </w:r>
          </w:p>
        </w:tc>
      </w:tr>
      <w:tr w:rsidR="00E2600A" w14:paraId="3EF82831" w14:textId="77777777" w:rsidTr="00122C60">
        <w:tc>
          <w:tcPr>
            <w:tcW w:w="2448" w:type="dxa"/>
          </w:tcPr>
          <w:p w14:paraId="0659212D" w14:textId="64B176D8" w:rsidR="00E2600A" w:rsidRDefault="00122C60" w:rsidP="00E2600A">
            <w:r>
              <w:t>50.1 to 72</w:t>
            </w:r>
          </w:p>
        </w:tc>
        <w:tc>
          <w:tcPr>
            <w:tcW w:w="3510" w:type="dxa"/>
          </w:tcPr>
          <w:p w14:paraId="245A8049" w14:textId="0C32449E" w:rsidR="00E2600A" w:rsidRDefault="00122C60" w:rsidP="00E2600A">
            <w:r>
              <w:t>Very severe atopic dermatitis</w:t>
            </w:r>
          </w:p>
        </w:tc>
      </w:tr>
    </w:tbl>
    <w:p w14:paraId="1271FEF3" w14:textId="2AC10193" w:rsidR="00F7422B" w:rsidRPr="001A0F07" w:rsidRDefault="001A0F07" w:rsidP="001A0F07">
      <w:pPr>
        <w:pStyle w:val="Heading7"/>
        <w:rPr>
          <w:b/>
          <w:sz w:val="22"/>
        </w:rPr>
      </w:pPr>
      <w:r w:rsidRPr="001A0F07">
        <w:rPr>
          <w:b/>
          <w:sz w:val="22"/>
        </w:rPr>
        <w:t>EASI response score interpretation</w:t>
      </w:r>
    </w:p>
    <w:p w14:paraId="77703131" w14:textId="02549038" w:rsidR="00F7422B" w:rsidRDefault="00F7422B" w:rsidP="00F7422B">
      <w:r>
        <w:t xml:space="preserve">An EASI 75 response represents a 75% improvement in EASI total score </w:t>
      </w:r>
      <w:r w:rsidR="001A0F07">
        <w:t xml:space="preserve">(as a measure of atopic dermatitis extent and severity) </w:t>
      </w:r>
      <w:r>
        <w:t>compared with the EASI total score at Baseline.</w:t>
      </w:r>
    </w:p>
    <w:p w14:paraId="6A285C4C" w14:textId="037D6024" w:rsidR="00F7422B" w:rsidRPr="001A0F07" w:rsidRDefault="00F7422B" w:rsidP="001A0F07">
      <w:r>
        <w:t>Similarly an EASI 50, EASI 90 and EASI 100 response represents a 50%, 90%, and 100% improvement respectively.</w:t>
      </w:r>
    </w:p>
    <w:p w14:paraId="280CBBF6" w14:textId="6A5BB5B3" w:rsidR="00D42746" w:rsidRDefault="00D42746" w:rsidP="00AA5BD4">
      <w:r w:rsidRPr="00AA5BD4">
        <w:t>An improvement of at least 75% in lesion extent and severity (</w:t>
      </w:r>
      <w:r w:rsidR="00AA5BD4">
        <w:t xml:space="preserve">an </w:t>
      </w:r>
      <w:r w:rsidRPr="00AA5BD4">
        <w:t>EASI-75</w:t>
      </w:r>
      <w:r w:rsidR="00AA5BD4">
        <w:t xml:space="preserve"> response) from B</w:t>
      </w:r>
      <w:r w:rsidRPr="00AA5BD4">
        <w:t>aseline is a clinically meaningful change.</w:t>
      </w:r>
      <w:r w:rsidR="00AA5BD4" w:rsidRPr="00AA5BD4">
        <w:rPr>
          <w:vertAlign w:val="superscript"/>
        </w:rPr>
        <w:fldChar w:fldCharType="begin"/>
      </w:r>
      <w:r w:rsidR="00AA5BD4" w:rsidRPr="00AA5BD4">
        <w:rPr>
          <w:vertAlign w:val="superscript"/>
        </w:rPr>
        <w:instrText xml:space="preserve"> NOTEREF _Ref125673919 \h </w:instrText>
      </w:r>
      <w:r w:rsidR="00AA5BD4">
        <w:rPr>
          <w:vertAlign w:val="superscript"/>
        </w:rPr>
        <w:instrText xml:space="preserve"> \* MERGEFORMAT </w:instrText>
      </w:r>
      <w:r w:rsidR="00AA5BD4" w:rsidRPr="00AA5BD4">
        <w:rPr>
          <w:vertAlign w:val="superscript"/>
        </w:rPr>
      </w:r>
      <w:r w:rsidR="00AA5BD4" w:rsidRPr="00AA5BD4">
        <w:rPr>
          <w:vertAlign w:val="superscript"/>
        </w:rPr>
        <w:fldChar w:fldCharType="separate"/>
      </w:r>
      <w:r w:rsidR="00B51532">
        <w:rPr>
          <w:vertAlign w:val="superscript"/>
        </w:rPr>
        <w:t>37</w:t>
      </w:r>
      <w:r w:rsidR="00AA5BD4" w:rsidRPr="00AA5BD4">
        <w:rPr>
          <w:vertAlign w:val="superscript"/>
        </w:rPr>
        <w:fldChar w:fldCharType="end"/>
      </w:r>
    </w:p>
    <w:p w14:paraId="0AA8C72E" w14:textId="647C99B4" w:rsidR="00E36B82" w:rsidRDefault="00E36B82" w:rsidP="00323CBE">
      <w:pPr>
        <w:pStyle w:val="Heading6"/>
      </w:pPr>
      <w:bookmarkStart w:id="73" w:name="_Ref126046618"/>
      <w:r>
        <w:t>Validated Investigator Global Assessment scale for Atopic Dermatitis (vIGA-AD)</w:t>
      </w:r>
      <w:bookmarkEnd w:id="73"/>
    </w:p>
    <w:p w14:paraId="3B6D572A" w14:textId="65F00427" w:rsidR="009002C6" w:rsidRPr="009002C6" w:rsidRDefault="009002C6" w:rsidP="009002C6">
      <w:r>
        <w:t>The Val</w:t>
      </w:r>
      <w:r w:rsidRPr="009002C6">
        <w:t>idated Investigator Global Assessment scale for Atopic Dermatitis</w:t>
      </w:r>
      <w:r>
        <w:t xml:space="preserve"> (</w:t>
      </w:r>
      <w:r w:rsidRPr="009002C6">
        <w:t>vIGA-AD</w:t>
      </w:r>
      <w:r>
        <w:t>);</w:t>
      </w:r>
      <w:r>
        <w:rPr>
          <w:rStyle w:val="FootnoteReference"/>
        </w:rPr>
        <w:footnoteReference w:id="40"/>
      </w:r>
      <w:r w:rsidRPr="009002C6">
        <w:t xml:space="preserve"> is</w:t>
      </w:r>
      <w:r w:rsidR="00B51532">
        <w:t xml:space="preserve"> </w:t>
      </w:r>
      <w:r>
        <w:t>a five</w:t>
      </w:r>
      <w:r w:rsidRPr="009002C6">
        <w:t>-point scale that describes the appearance of</w:t>
      </w:r>
      <w:r w:rsidR="00D4656E">
        <w:t xml:space="preserve"> atopic dermatitis</w:t>
      </w:r>
      <w:r w:rsidRPr="009002C6">
        <w:t xml:space="preserve"> skin lesions</w:t>
      </w:r>
      <w:r w:rsidR="00D4656E">
        <w:t xml:space="preserve"> at a point in time. The skin is specifically examined for signs of </w:t>
      </w:r>
      <w:r w:rsidRPr="009002C6">
        <w:t>erythema</w:t>
      </w:r>
      <w:r>
        <w:t xml:space="preserve"> (redness)</w:t>
      </w:r>
      <w:r w:rsidRPr="009002C6">
        <w:t>, induration/papulation</w:t>
      </w:r>
      <w:r>
        <w:t xml:space="preserve"> (thickness or swelling)</w:t>
      </w:r>
      <w:r w:rsidRPr="009002C6">
        <w:t>, lichenif</w:t>
      </w:r>
      <w:r w:rsidR="00D4656E">
        <w:t>ication, oozing and crusting)</w:t>
      </w:r>
      <w:r w:rsidRPr="009002C6">
        <w:t xml:space="preserve">, and </w:t>
      </w:r>
      <w:r w:rsidR="00D4656E">
        <w:t>overall impression on examination is given a score of between zero and 4. Zero is clear, 1 </w:t>
      </w:r>
      <w:r w:rsidRPr="009002C6">
        <w:t xml:space="preserve">is almost clear, 2 is mild, 3 is moderate and 4 is severe </w:t>
      </w:r>
      <w:r>
        <w:t>atopic dermatitis</w:t>
      </w:r>
      <w:r w:rsidRPr="009002C6">
        <w:t>.</w:t>
      </w:r>
    </w:p>
    <w:p w14:paraId="1B217199" w14:textId="1E1E622E" w:rsidR="009002C6" w:rsidRDefault="009002C6" w:rsidP="009002C6">
      <w:r w:rsidRPr="009002C6">
        <w:t>A decrease in score relates to an improvement in signs and symptoms</w:t>
      </w:r>
      <w:r>
        <w:t>.</w:t>
      </w:r>
    </w:p>
    <w:p w14:paraId="0EA93975" w14:textId="19E05755" w:rsidR="009002C6" w:rsidRPr="009002C6" w:rsidRDefault="009002C6" w:rsidP="009002C6">
      <w:r>
        <w:fldChar w:fldCharType="begin"/>
      </w:r>
      <w:r>
        <w:instrText xml:space="preserve"> REF _Ref120795370 \h </w:instrText>
      </w:r>
      <w:r>
        <w:fldChar w:fldCharType="separate"/>
      </w:r>
      <w:r w:rsidR="00B51532">
        <w:t xml:space="preserve">Table </w:t>
      </w:r>
      <w:r w:rsidR="00B51532">
        <w:rPr>
          <w:noProof/>
        </w:rPr>
        <w:t>14</w:t>
      </w:r>
      <w:r>
        <w:fldChar w:fldCharType="end"/>
      </w:r>
      <w:r>
        <w:t xml:space="preserve"> (shown below) provides a copy of the assessment scale with scores and morphological descriptions.</w:t>
      </w:r>
    </w:p>
    <w:p w14:paraId="33E2ED3F" w14:textId="211A38AE" w:rsidR="009002C6" w:rsidRDefault="009002C6" w:rsidP="009002C6">
      <w:pPr>
        <w:pStyle w:val="Tabletitle0"/>
      </w:pPr>
      <w:bookmarkStart w:id="74" w:name="_Ref120795370"/>
      <w:r>
        <w:lastRenderedPageBreak/>
        <w:t xml:space="preserve">Table </w:t>
      </w:r>
      <w:fldSimple w:instr=" SEQ Table \* ARABIC ">
        <w:r w:rsidR="00B51532">
          <w:rPr>
            <w:noProof/>
          </w:rPr>
          <w:t>14</w:t>
        </w:r>
      </w:fldSimple>
      <w:bookmarkEnd w:id="74"/>
      <w:r>
        <w:t>: Validated Investigator Global Assessment scale for Atopic Dermatitis</w:t>
      </w:r>
      <w:r w:rsidR="00D4656E">
        <w:t xml:space="preserve"> (vIGA-AD)</w:t>
      </w:r>
    </w:p>
    <w:tbl>
      <w:tblPr>
        <w:tblStyle w:val="TableTGAblue"/>
        <w:tblW w:w="0" w:type="auto"/>
        <w:tblLook w:val="04A0" w:firstRow="1" w:lastRow="0" w:firstColumn="1" w:lastColumn="0" w:noHBand="0" w:noVBand="1"/>
      </w:tblPr>
      <w:tblGrid>
        <w:gridCol w:w="2055"/>
        <w:gridCol w:w="6429"/>
      </w:tblGrid>
      <w:tr w:rsidR="00E36B82" w14:paraId="65380C38" w14:textId="77777777" w:rsidTr="009002C6">
        <w:trPr>
          <w:cnfStyle w:val="100000000000" w:firstRow="1" w:lastRow="0" w:firstColumn="0" w:lastColumn="0" w:oddVBand="0" w:evenVBand="0" w:oddHBand="0" w:evenHBand="0" w:firstRowFirstColumn="0" w:firstRowLastColumn="0" w:lastRowFirstColumn="0" w:lastRowLastColumn="0"/>
        </w:trPr>
        <w:tc>
          <w:tcPr>
            <w:tcW w:w="2088" w:type="dxa"/>
          </w:tcPr>
          <w:p w14:paraId="33DB8A24" w14:textId="6E6671B6" w:rsidR="00E36B82" w:rsidRDefault="00E36B82" w:rsidP="00E36B82">
            <w:r>
              <w:t>Score</w:t>
            </w:r>
          </w:p>
        </w:tc>
        <w:tc>
          <w:tcPr>
            <w:tcW w:w="6632" w:type="dxa"/>
          </w:tcPr>
          <w:p w14:paraId="084F4C8A" w14:textId="751D1A67" w:rsidR="00E36B82" w:rsidRDefault="00E36B82" w:rsidP="00E36B82">
            <w:r>
              <w:t>Morphological description</w:t>
            </w:r>
          </w:p>
        </w:tc>
      </w:tr>
      <w:tr w:rsidR="00E36B82" w14:paraId="691C272F" w14:textId="77777777" w:rsidTr="009002C6">
        <w:tc>
          <w:tcPr>
            <w:tcW w:w="2088" w:type="dxa"/>
          </w:tcPr>
          <w:p w14:paraId="3239A220" w14:textId="5F205E49" w:rsidR="00E36B82" w:rsidRDefault="009002C6" w:rsidP="009002C6">
            <w:r>
              <w:t xml:space="preserve">0 – </w:t>
            </w:r>
            <w:r w:rsidR="00E36B82">
              <w:t>Clear</w:t>
            </w:r>
          </w:p>
        </w:tc>
        <w:tc>
          <w:tcPr>
            <w:tcW w:w="6632" w:type="dxa"/>
          </w:tcPr>
          <w:p w14:paraId="4AD830F2" w14:textId="77777777" w:rsidR="00D4656E" w:rsidRDefault="00E36B82" w:rsidP="00E36B82">
            <w:r>
              <w:t>No inflammatory signs of atopic dermatitis (no erythema, no induration/papulation, no lichen</w:t>
            </w:r>
            <w:r w:rsidR="00D4656E">
              <w:t>ification, no oozing/crusting).</w:t>
            </w:r>
          </w:p>
          <w:p w14:paraId="680D8109" w14:textId="214ABA42" w:rsidR="00E36B82" w:rsidRDefault="00E36B82" w:rsidP="00E36B82">
            <w:r>
              <w:t>Post-inflammatory hyperpigmentation and/or hypopigmentation may be present.</w:t>
            </w:r>
          </w:p>
        </w:tc>
      </w:tr>
      <w:tr w:rsidR="00E36B82" w14:paraId="5F33EAAC" w14:textId="77777777" w:rsidTr="009002C6">
        <w:tc>
          <w:tcPr>
            <w:tcW w:w="2088" w:type="dxa"/>
          </w:tcPr>
          <w:p w14:paraId="78182C02" w14:textId="212D203D" w:rsidR="00E36B82" w:rsidRDefault="00E36B82" w:rsidP="00E36B82">
            <w:r>
              <w:t>1 – Almost clear</w:t>
            </w:r>
          </w:p>
        </w:tc>
        <w:tc>
          <w:tcPr>
            <w:tcW w:w="6632" w:type="dxa"/>
          </w:tcPr>
          <w:p w14:paraId="34A5D3E0" w14:textId="77777777" w:rsidR="00D4656E" w:rsidRDefault="00E36B82" w:rsidP="00E36B82">
            <w:r>
              <w:t xml:space="preserve">Barely perceptible erythema, barely perceptible induration/papulation, </w:t>
            </w:r>
            <w:r w:rsidR="00D4656E">
              <w:t>and/or minimal lichenification.</w:t>
            </w:r>
          </w:p>
          <w:p w14:paraId="525D452F" w14:textId="161B695D" w:rsidR="00E36B82" w:rsidRDefault="00E36B82" w:rsidP="00E36B82">
            <w:r>
              <w:t>No oozing or crusting.</w:t>
            </w:r>
          </w:p>
        </w:tc>
      </w:tr>
      <w:tr w:rsidR="00E36B82" w14:paraId="0376DAC2" w14:textId="77777777" w:rsidTr="009002C6">
        <w:tc>
          <w:tcPr>
            <w:tcW w:w="2088" w:type="dxa"/>
          </w:tcPr>
          <w:p w14:paraId="65BEB714" w14:textId="517D4FB3" w:rsidR="00E36B82" w:rsidRDefault="00E36B82" w:rsidP="00E36B82">
            <w:r>
              <w:t>2 – Mild</w:t>
            </w:r>
          </w:p>
        </w:tc>
        <w:tc>
          <w:tcPr>
            <w:tcW w:w="6632" w:type="dxa"/>
          </w:tcPr>
          <w:p w14:paraId="1ED56B4A" w14:textId="77777777" w:rsidR="00D4656E" w:rsidRDefault="00E36B82" w:rsidP="00E36B82">
            <w:r>
              <w:t>Slight but definite erythema (pink), slight but definite induration/papulation, and/or slight b</w:t>
            </w:r>
            <w:r w:rsidR="00D4656E">
              <w:t>ut definite lichenification.</w:t>
            </w:r>
          </w:p>
          <w:p w14:paraId="60825800" w14:textId="2084B9B7" w:rsidR="00E36B82" w:rsidRDefault="00E36B82" w:rsidP="00E36B82">
            <w:r>
              <w:t>No oozing or crusting.</w:t>
            </w:r>
          </w:p>
        </w:tc>
      </w:tr>
      <w:tr w:rsidR="00E36B82" w14:paraId="4C1D94EE" w14:textId="77777777" w:rsidTr="009002C6">
        <w:tc>
          <w:tcPr>
            <w:tcW w:w="2088" w:type="dxa"/>
          </w:tcPr>
          <w:p w14:paraId="01B30764" w14:textId="723B202F" w:rsidR="00E36B82" w:rsidRDefault="00E36B82" w:rsidP="00E36B82">
            <w:r>
              <w:t>3 – Moderate</w:t>
            </w:r>
          </w:p>
        </w:tc>
        <w:tc>
          <w:tcPr>
            <w:tcW w:w="6632" w:type="dxa"/>
          </w:tcPr>
          <w:p w14:paraId="2E2E9EC0" w14:textId="77777777" w:rsidR="00D4656E" w:rsidRDefault="00E36B82" w:rsidP="00E36B82">
            <w:r>
              <w:t>Moderate Clearly perceptible erythema (dull red), clearly perceptible induration/papulation, and/or clear</w:t>
            </w:r>
            <w:r w:rsidR="00D4656E">
              <w:t>ly perceptible lichenification.</w:t>
            </w:r>
          </w:p>
          <w:p w14:paraId="4C2F42AC" w14:textId="06CAD3DE" w:rsidR="00E36B82" w:rsidRDefault="00E36B82" w:rsidP="00E36B82">
            <w:r>
              <w:t>Oozing and crusting may be present.</w:t>
            </w:r>
          </w:p>
        </w:tc>
      </w:tr>
      <w:tr w:rsidR="00E36B82" w14:paraId="5AB5850E" w14:textId="77777777" w:rsidTr="009002C6">
        <w:tc>
          <w:tcPr>
            <w:tcW w:w="2088" w:type="dxa"/>
          </w:tcPr>
          <w:p w14:paraId="25E75424" w14:textId="1DFA3659" w:rsidR="00E36B82" w:rsidRDefault="00E36B82" w:rsidP="00E36B82">
            <w:r>
              <w:t xml:space="preserve">4 </w:t>
            </w:r>
            <w:r w:rsidR="0076677D">
              <w:t>–</w:t>
            </w:r>
            <w:r>
              <w:t xml:space="preserve"> Severe</w:t>
            </w:r>
          </w:p>
        </w:tc>
        <w:tc>
          <w:tcPr>
            <w:tcW w:w="6632" w:type="dxa"/>
          </w:tcPr>
          <w:p w14:paraId="4DADF015" w14:textId="77777777" w:rsidR="00D4656E" w:rsidRDefault="00E36B82" w:rsidP="00E36B82">
            <w:r>
              <w:t>Sever</w:t>
            </w:r>
            <w:r w:rsidR="00D4656E">
              <w:t>e m</w:t>
            </w:r>
            <w:r>
              <w:t>arked erythema (deep or bright red), marked induration/papulation,</w:t>
            </w:r>
            <w:r w:rsidR="00D4656E">
              <w:t xml:space="preserve"> and/or marked lichenification.</w:t>
            </w:r>
          </w:p>
          <w:p w14:paraId="060548F7" w14:textId="77777777" w:rsidR="00D4656E" w:rsidRDefault="00E36B82" w:rsidP="00E36B82">
            <w:r>
              <w:t>D</w:t>
            </w:r>
            <w:r w:rsidR="00D4656E">
              <w:t>isease is widespread in extent.</w:t>
            </w:r>
          </w:p>
          <w:p w14:paraId="3693AF36" w14:textId="11CD24B1" w:rsidR="00E36B82" w:rsidRDefault="00E36B82" w:rsidP="00E36B82">
            <w:r>
              <w:t>Oozing or crusting may be present.</w:t>
            </w:r>
          </w:p>
        </w:tc>
      </w:tr>
      <w:tr w:rsidR="009002C6" w14:paraId="76C0E6BF" w14:textId="77777777" w:rsidTr="002F6D56">
        <w:tc>
          <w:tcPr>
            <w:tcW w:w="8720" w:type="dxa"/>
            <w:gridSpan w:val="2"/>
          </w:tcPr>
          <w:p w14:paraId="28AFAE5D" w14:textId="2303C09C" w:rsidR="009002C6" w:rsidRDefault="009002C6" w:rsidP="009002C6">
            <w:r w:rsidRPr="009002C6">
              <w:rPr>
                <w:b/>
              </w:rPr>
              <w:t>Instructions for use</w:t>
            </w:r>
            <w:r>
              <w:t xml:space="preserve">: The IGA score is selected using the descriptors below that best describe the overall appearance of the lesions at a given time point. It is not necessary that all characteristics under </w:t>
            </w:r>
            <w:r w:rsidR="0076677D">
              <w:t>‘</w:t>
            </w:r>
            <w:r>
              <w:t xml:space="preserve">Morphological </w:t>
            </w:r>
            <w:r w:rsidR="0076677D">
              <w:t>d</w:t>
            </w:r>
            <w:r>
              <w:t>escription</w:t>
            </w:r>
            <w:r w:rsidR="0076677D">
              <w:t>’</w:t>
            </w:r>
            <w:r>
              <w:t xml:space="preserve"> be present.</w:t>
            </w:r>
          </w:p>
        </w:tc>
      </w:tr>
    </w:tbl>
    <w:p w14:paraId="213C412C" w14:textId="27E64591" w:rsidR="00217F6E" w:rsidRDefault="009002C6" w:rsidP="00217F6E">
      <w:pPr>
        <w:pStyle w:val="TableDescription"/>
      </w:pPr>
      <w:r>
        <w:t xml:space="preserve">Notes: </w:t>
      </w:r>
      <w:r w:rsidR="00217F6E">
        <w:t>In indeterminate cases, please use extent to differentiate between scores.</w:t>
      </w:r>
    </w:p>
    <w:p w14:paraId="2FC4618B" w14:textId="4ACAC442" w:rsidR="00217F6E" w:rsidRDefault="00217F6E" w:rsidP="00217F6E">
      <w:pPr>
        <w:pStyle w:val="TableDescription"/>
      </w:pPr>
      <w:r>
        <w:t>For example: Patient with marked erythema (deep or bright red), marked papulation and/or marked lichenification that is limited in extent, will be considered ‘3 – Moderate’.</w:t>
      </w:r>
    </w:p>
    <w:p w14:paraId="49EB169C" w14:textId="1BDED4B6" w:rsidR="00E36B82" w:rsidRDefault="00217F6E" w:rsidP="00217F6E">
      <w:pPr>
        <w:pStyle w:val="TableDescription"/>
      </w:pPr>
      <w:r>
        <w:t>2. Excoriations should not be considered when assessing disease severity.</w:t>
      </w:r>
    </w:p>
    <w:p w14:paraId="37BF2CED" w14:textId="52E1B3A4" w:rsidR="00CB1DC8" w:rsidRPr="00217F6E" w:rsidRDefault="00217F6E" w:rsidP="00323CBE">
      <w:pPr>
        <w:pStyle w:val="Heading6"/>
      </w:pPr>
      <w:bookmarkStart w:id="75" w:name="_Ref126046740"/>
      <w:r>
        <w:t xml:space="preserve">Worst </w:t>
      </w:r>
      <w:r w:rsidR="007A305C">
        <w:t>Pruritus</w:t>
      </w:r>
      <w:r>
        <w:t xml:space="preserve"> numerical rating scale</w:t>
      </w:r>
      <w:r w:rsidR="00D4656E">
        <w:t xml:space="preserve"> (NRS)</w:t>
      </w:r>
      <w:bookmarkEnd w:id="75"/>
    </w:p>
    <w:p w14:paraId="3C2B5478" w14:textId="74230163" w:rsidR="00CB1DC8" w:rsidRDefault="00CB1DC8" w:rsidP="00CB1DC8">
      <w:r w:rsidRPr="00A360D4">
        <w:t xml:space="preserve">The Worst Pruritus </w:t>
      </w:r>
      <w:r w:rsidR="00217F6E">
        <w:t>numerical rating scale (</w:t>
      </w:r>
      <w:r w:rsidRPr="00A360D4">
        <w:t>NRS</w:t>
      </w:r>
      <w:r w:rsidR="00217F6E">
        <w:t>)</w:t>
      </w:r>
      <w:r w:rsidRPr="00A360D4">
        <w:t xml:space="preserve"> is a</w:t>
      </w:r>
      <w:r w:rsidR="00217F6E">
        <w:t xml:space="preserve"> validated,</w:t>
      </w:r>
      <w:r w:rsidRPr="00A360D4">
        <w:t xml:space="preserve"> single-item questionnaire that assesses the intensity of pruritus </w:t>
      </w:r>
      <w:r w:rsidR="007A305C">
        <w:t xml:space="preserve">(itching) </w:t>
      </w:r>
      <w:r w:rsidRPr="00A360D4">
        <w:t>over a 24</w:t>
      </w:r>
      <w:r w:rsidR="00D4656E">
        <w:t>-hour recall period using an 11</w:t>
      </w:r>
      <w:r w:rsidR="00D4656E">
        <w:noBreakHyphen/>
      </w:r>
      <w:r w:rsidRPr="00A360D4">
        <w:t xml:space="preserve">point NRS ranging from 0 for </w:t>
      </w:r>
      <w:r w:rsidR="00921F5C">
        <w:t>‘</w:t>
      </w:r>
      <w:r w:rsidRPr="00A360D4">
        <w:t>no itch</w:t>
      </w:r>
      <w:r w:rsidR="00921F5C">
        <w:t>’</w:t>
      </w:r>
      <w:r w:rsidRPr="00A360D4">
        <w:t xml:space="preserve"> to 10 for </w:t>
      </w:r>
      <w:r w:rsidR="00921F5C">
        <w:t>‘</w:t>
      </w:r>
      <w:r w:rsidRPr="00A360D4">
        <w:t>worst imaginable itch.</w:t>
      </w:r>
      <w:r w:rsidR="00921F5C">
        <w:t>’</w:t>
      </w:r>
      <w:r w:rsidR="00217F6E">
        <w:rPr>
          <w:rStyle w:val="FootnoteReference"/>
        </w:rPr>
        <w:footnoteReference w:id="41"/>
      </w:r>
      <w:r w:rsidR="00217F6E">
        <w:rPr>
          <w:vertAlign w:val="superscript"/>
        </w:rPr>
        <w:t>,</w:t>
      </w:r>
      <w:r w:rsidR="00217F6E">
        <w:rPr>
          <w:rStyle w:val="FootnoteReference"/>
        </w:rPr>
        <w:footnoteReference w:id="42"/>
      </w:r>
      <w:r w:rsidRPr="00A360D4">
        <w:t xml:space="preserve"> An improvement (reduction) in Worst Pruritus NRS ≥ 4 points</w:t>
      </w:r>
      <w:r w:rsidRPr="00A360D4">
        <w:rPr>
          <w:spacing w:val="1"/>
        </w:rPr>
        <w:t xml:space="preserve"> </w:t>
      </w:r>
      <w:r w:rsidRPr="00A360D4">
        <w:t>is considered a</w:t>
      </w:r>
      <w:r w:rsidRPr="00A360D4">
        <w:rPr>
          <w:spacing w:val="-3"/>
        </w:rPr>
        <w:t xml:space="preserve"> </w:t>
      </w:r>
      <w:r w:rsidRPr="00A360D4">
        <w:t>clinically</w:t>
      </w:r>
      <w:r w:rsidRPr="00A360D4">
        <w:rPr>
          <w:spacing w:val="-2"/>
        </w:rPr>
        <w:t xml:space="preserve"> </w:t>
      </w:r>
      <w:r w:rsidRPr="00A360D4">
        <w:t>meaningful</w:t>
      </w:r>
      <w:r w:rsidRPr="00A360D4">
        <w:rPr>
          <w:spacing w:val="-4"/>
        </w:rPr>
        <w:t xml:space="preserve"> </w:t>
      </w:r>
      <w:r w:rsidRPr="00A360D4">
        <w:t>improvement</w:t>
      </w:r>
      <w:r w:rsidR="00217F6E">
        <w:t>.</w:t>
      </w:r>
      <w:r w:rsidR="00217F6E">
        <w:rPr>
          <w:rStyle w:val="FootnoteReference"/>
        </w:rPr>
        <w:footnoteReference w:id="43"/>
      </w:r>
      <w:r w:rsidR="007A305C">
        <w:t xml:space="preserve"> Copies of the scale are shown in </w:t>
      </w:r>
      <w:r w:rsidR="007A305C">
        <w:fldChar w:fldCharType="begin"/>
      </w:r>
      <w:r w:rsidR="007A305C">
        <w:instrText xml:space="preserve"> REF _Ref120796427 \h </w:instrText>
      </w:r>
      <w:r w:rsidR="007A305C">
        <w:fldChar w:fldCharType="separate"/>
      </w:r>
      <w:r w:rsidR="00B51532">
        <w:t xml:space="preserve">Table </w:t>
      </w:r>
      <w:r w:rsidR="00B51532">
        <w:rPr>
          <w:noProof/>
        </w:rPr>
        <w:t>15</w:t>
      </w:r>
      <w:r w:rsidR="007A305C">
        <w:fldChar w:fldCharType="end"/>
      </w:r>
      <w:r w:rsidR="007A305C">
        <w:t xml:space="preserve"> and </w:t>
      </w:r>
      <w:r w:rsidR="00D4656E">
        <w:t xml:space="preserve">in </w:t>
      </w:r>
      <w:r w:rsidR="00A0674A">
        <w:t>mixed NRS/</w:t>
      </w:r>
      <w:r w:rsidR="00D4656E">
        <w:t xml:space="preserve">visual analog scale format in </w:t>
      </w:r>
      <w:r w:rsidR="007A305C">
        <w:fldChar w:fldCharType="begin"/>
      </w:r>
      <w:r w:rsidR="007A305C">
        <w:instrText xml:space="preserve"> REF _Ref120796564 \h </w:instrText>
      </w:r>
      <w:r w:rsidR="007A305C">
        <w:fldChar w:fldCharType="separate"/>
      </w:r>
      <w:r w:rsidR="00B51532">
        <w:t xml:space="preserve">Table </w:t>
      </w:r>
      <w:r w:rsidR="00B51532">
        <w:rPr>
          <w:noProof/>
        </w:rPr>
        <w:t>16</w:t>
      </w:r>
      <w:r w:rsidR="007A305C">
        <w:fldChar w:fldCharType="end"/>
      </w:r>
      <w:r w:rsidR="007A305C">
        <w:t>, below.</w:t>
      </w:r>
    </w:p>
    <w:p w14:paraId="29FBE048" w14:textId="62BDA3EA" w:rsidR="007A305C" w:rsidRDefault="007A305C" w:rsidP="007A305C">
      <w:pPr>
        <w:pStyle w:val="Tabletitle0"/>
      </w:pPr>
      <w:bookmarkStart w:id="76" w:name="_Ref120796427"/>
      <w:r>
        <w:lastRenderedPageBreak/>
        <w:t xml:space="preserve">Table </w:t>
      </w:r>
      <w:fldSimple w:instr=" SEQ Table \* ARABIC ">
        <w:r w:rsidR="00B51532">
          <w:rPr>
            <w:noProof/>
          </w:rPr>
          <w:t>15</w:t>
        </w:r>
      </w:fldSimple>
      <w:bookmarkEnd w:id="76"/>
      <w:r>
        <w:t>: Worst Pruritus numerical rating scale (NRS)</w:t>
      </w:r>
    </w:p>
    <w:p w14:paraId="0FC79AEC" w14:textId="24DF89EA" w:rsidR="00CB1DC8" w:rsidRDefault="007A305C" w:rsidP="007A305C">
      <w:pPr>
        <w:ind w:right="797"/>
        <w:jc w:val="both"/>
      </w:pPr>
      <w:r>
        <w:rPr>
          <w:noProof/>
          <w:lang w:val="en-GB" w:eastAsia="en-GB"/>
        </w:rPr>
        <w:drawing>
          <wp:inline distT="0" distB="0" distL="0" distR="0" wp14:anchorId="702B076A" wp14:editId="694C96EB">
            <wp:extent cx="5400040" cy="1927963"/>
            <wp:effectExtent l="0" t="0" r="0" b="0"/>
            <wp:docPr id="1" name="Picture 1" descr="Worst Pruritus numerical rating scale (N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orst Pruritus numerical rating scale (N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1927963"/>
                    </a:xfrm>
                    <a:prstGeom prst="rect">
                      <a:avLst/>
                    </a:prstGeom>
                    <a:noFill/>
                    <a:ln>
                      <a:noFill/>
                    </a:ln>
                  </pic:spPr>
                </pic:pic>
              </a:graphicData>
            </a:graphic>
          </wp:inline>
        </w:drawing>
      </w:r>
    </w:p>
    <w:p w14:paraId="712341C1" w14:textId="6DF5A6CA" w:rsidR="007A305C" w:rsidRDefault="007A305C" w:rsidP="007A305C">
      <w:pPr>
        <w:pStyle w:val="Tabletitle0"/>
      </w:pPr>
      <w:bookmarkStart w:id="77" w:name="_Ref120796564"/>
      <w:r>
        <w:t xml:space="preserve">Table </w:t>
      </w:r>
      <w:fldSimple w:instr=" SEQ Table \* ARABIC ">
        <w:r w:rsidR="00B51532">
          <w:rPr>
            <w:noProof/>
          </w:rPr>
          <w:t>16</w:t>
        </w:r>
      </w:fldSimple>
      <w:bookmarkEnd w:id="77"/>
      <w:r>
        <w:t xml:space="preserve">: Worst Pruritus numerical rating scale (NRS) </w:t>
      </w:r>
    </w:p>
    <w:p w14:paraId="778F1018" w14:textId="77777777" w:rsidR="00CB1DC8" w:rsidRPr="00D53F7E" w:rsidRDefault="00CB1DC8" w:rsidP="007A305C">
      <w:r w:rsidRPr="007A305C">
        <w:rPr>
          <w:noProof/>
          <w:lang w:val="en-GB" w:eastAsia="en-GB"/>
        </w:rPr>
        <w:drawing>
          <wp:inline distT="0" distB="0" distL="0" distR="0" wp14:anchorId="6B1DBDB3" wp14:editId="6F0360BA">
            <wp:extent cx="3657600" cy="2540211"/>
            <wp:effectExtent l="0" t="0" r="0" b="0"/>
            <wp:docPr id="6" name="Picture 6" descr="Validation and Banding of the ItchyQuant: A Self-Report Itch Severity Scale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lidation and Banding of the ItchyQuant: A Self-Report Itch Severity Scale  - ScienceDi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8900" cy="2541114"/>
                    </a:xfrm>
                    <a:prstGeom prst="rect">
                      <a:avLst/>
                    </a:prstGeom>
                    <a:noFill/>
                    <a:ln>
                      <a:noFill/>
                    </a:ln>
                  </pic:spPr>
                </pic:pic>
              </a:graphicData>
            </a:graphic>
          </wp:inline>
        </w:drawing>
      </w:r>
    </w:p>
    <w:p w14:paraId="253EEB31" w14:textId="3865D9D5" w:rsidR="007A305C" w:rsidRDefault="007A305C" w:rsidP="00323CBE">
      <w:pPr>
        <w:pStyle w:val="Heading6"/>
      </w:pPr>
      <w:bookmarkStart w:id="78" w:name="_Ref126046810"/>
      <w:r>
        <w:t>Patient Oriented Eczema Measure (POEM)</w:t>
      </w:r>
      <w:bookmarkEnd w:id="78"/>
    </w:p>
    <w:p w14:paraId="38D85C48" w14:textId="73C6FD10" w:rsidR="00CB1DC8" w:rsidRDefault="00CB1DC8" w:rsidP="007A305C">
      <w:r w:rsidRPr="00F02C8E">
        <w:t xml:space="preserve">Patient Oriented Eczema Measure (POEM) is a validated questionnaire that assesses the frequency of </w:t>
      </w:r>
      <w:r w:rsidR="007A305C">
        <w:t>atopic dermatitis</w:t>
      </w:r>
      <w:r w:rsidRPr="00F02C8E">
        <w:t xml:space="preserve"> symptoms in adolescents and</w:t>
      </w:r>
      <w:r w:rsidR="00B51532">
        <w:rPr>
          <w:spacing w:val="-33"/>
        </w:rPr>
        <w:t xml:space="preserve"> </w:t>
      </w:r>
      <w:r w:rsidRPr="00F02C8E">
        <w:t>adults.</w:t>
      </w:r>
      <w:r w:rsidR="003B382B">
        <w:rPr>
          <w:rStyle w:val="FootnoteReference"/>
        </w:rPr>
        <w:footnoteReference w:id="44"/>
      </w:r>
      <w:r w:rsidR="002F6D56">
        <w:rPr>
          <w:vertAlign w:val="superscript"/>
        </w:rPr>
        <w:t>,</w:t>
      </w:r>
      <w:r w:rsidR="002F6D56">
        <w:rPr>
          <w:rStyle w:val="FootnoteReference"/>
        </w:rPr>
        <w:footnoteReference w:id="45"/>
      </w:r>
      <w:r w:rsidRPr="00F02C8E">
        <w:t xml:space="preserve"> Dryness, itching, flaking, cracking, sleep loss, bleeding, and weeping are scored on a 5-point scale based on how frequent these</w:t>
      </w:r>
      <w:r w:rsidRPr="00F02C8E">
        <w:rPr>
          <w:spacing w:val="1"/>
        </w:rPr>
        <w:t xml:space="preserve"> </w:t>
      </w:r>
      <w:r w:rsidRPr="00F02C8E">
        <w:t xml:space="preserve">symptoms were experienced in the past week, ranging from 0 for </w:t>
      </w:r>
      <w:r w:rsidR="00921F5C">
        <w:t>‘</w:t>
      </w:r>
      <w:r w:rsidRPr="00F02C8E">
        <w:t>no days</w:t>
      </w:r>
      <w:r w:rsidR="00921F5C">
        <w:t>’</w:t>
      </w:r>
      <w:r w:rsidRPr="00F02C8E">
        <w:t xml:space="preserve"> to 4 for </w:t>
      </w:r>
      <w:r w:rsidR="00921F5C">
        <w:t>‘</w:t>
      </w:r>
      <w:r w:rsidRPr="00F02C8E">
        <w:t>all days.</w:t>
      </w:r>
      <w:r w:rsidR="00921F5C">
        <w:t>’</w:t>
      </w:r>
      <w:r w:rsidRPr="00F02C8E">
        <w:t xml:space="preserve"> Item scores are added to yield a score</w:t>
      </w:r>
      <w:r w:rsidRPr="00F02C8E">
        <w:rPr>
          <w:spacing w:val="1"/>
        </w:rPr>
        <w:t xml:space="preserve"> </w:t>
      </w:r>
      <w:r w:rsidRPr="00F02C8E">
        <w:t>ranging</w:t>
      </w:r>
      <w:r w:rsidRPr="00F02C8E">
        <w:rPr>
          <w:spacing w:val="-4"/>
        </w:rPr>
        <w:t xml:space="preserve"> </w:t>
      </w:r>
      <w:r w:rsidRPr="00F02C8E">
        <w:t>from</w:t>
      </w:r>
      <w:r w:rsidRPr="00F02C8E">
        <w:rPr>
          <w:spacing w:val="-2"/>
        </w:rPr>
        <w:t xml:space="preserve"> </w:t>
      </w:r>
      <w:r w:rsidRPr="00F02C8E">
        <w:t>0</w:t>
      </w:r>
      <w:r w:rsidRPr="00F02C8E">
        <w:rPr>
          <w:spacing w:val="-2"/>
        </w:rPr>
        <w:t xml:space="preserve"> </w:t>
      </w:r>
      <w:r w:rsidRPr="00F02C8E">
        <w:t>to</w:t>
      </w:r>
      <w:r w:rsidRPr="00F02C8E">
        <w:rPr>
          <w:spacing w:val="-1"/>
        </w:rPr>
        <w:t xml:space="preserve"> </w:t>
      </w:r>
      <w:r w:rsidRPr="00F02C8E">
        <w:t>28.</w:t>
      </w:r>
    </w:p>
    <w:p w14:paraId="61E50BCC" w14:textId="425B605D" w:rsidR="002F6D56" w:rsidRDefault="002F6D56" w:rsidP="007A305C">
      <w:r w:rsidRPr="007A305C">
        <w:t xml:space="preserve">An improvement (reduction) in POEM </w:t>
      </w:r>
      <w:r w:rsidR="00A0674A">
        <w:t xml:space="preserve">total score of </w:t>
      </w:r>
      <w:r w:rsidRPr="007A305C">
        <w:t xml:space="preserve">4 </w:t>
      </w:r>
      <w:r w:rsidR="00A0674A">
        <w:t xml:space="preserve">or more points </w:t>
      </w:r>
      <w:r w:rsidRPr="007A305C">
        <w:t>is considered a clinically meaningful improvement</w:t>
      </w:r>
      <w:r>
        <w:t>.</w:t>
      </w:r>
      <w:r>
        <w:rPr>
          <w:rStyle w:val="FootnoteReference"/>
        </w:rPr>
        <w:footnoteReference w:id="46"/>
      </w:r>
    </w:p>
    <w:p w14:paraId="3D2A2615" w14:textId="1A612179" w:rsidR="002F6D56" w:rsidRPr="002F6D56" w:rsidRDefault="002F6D56" w:rsidP="007A305C">
      <w:r>
        <w:t xml:space="preserve">A copy of the POEM questionnaire is shown in </w:t>
      </w:r>
      <w:r>
        <w:fldChar w:fldCharType="begin"/>
      </w:r>
      <w:r>
        <w:instrText xml:space="preserve"> REF _Ref120798501 \h </w:instrText>
      </w:r>
      <w:r>
        <w:fldChar w:fldCharType="separate"/>
      </w:r>
      <w:r w:rsidR="00B51532">
        <w:t xml:space="preserve">Table </w:t>
      </w:r>
      <w:r w:rsidR="00B51532">
        <w:rPr>
          <w:noProof/>
        </w:rPr>
        <w:t>17</w:t>
      </w:r>
      <w:r>
        <w:fldChar w:fldCharType="end"/>
      </w:r>
      <w:r>
        <w:t>, below.</w:t>
      </w:r>
    </w:p>
    <w:p w14:paraId="3DD4C85E" w14:textId="1175F9C9" w:rsidR="002F6D56" w:rsidRDefault="002F6D56" w:rsidP="002F6D56">
      <w:pPr>
        <w:pStyle w:val="Tabletitle0"/>
      </w:pPr>
      <w:bookmarkStart w:id="79" w:name="_Ref120798501"/>
      <w:r>
        <w:lastRenderedPageBreak/>
        <w:t xml:space="preserve">Table </w:t>
      </w:r>
      <w:fldSimple w:instr=" SEQ Table \* ARABIC ">
        <w:r w:rsidR="00B51532">
          <w:rPr>
            <w:noProof/>
          </w:rPr>
          <w:t>17</w:t>
        </w:r>
      </w:fldSimple>
      <w:bookmarkEnd w:id="79"/>
      <w:r>
        <w:t>: Patient Oriented Eczema Measure (POEM) questionnaire (for use in adults and children)</w:t>
      </w:r>
    </w:p>
    <w:tbl>
      <w:tblPr>
        <w:tblStyle w:val="TableGrid"/>
        <w:tblW w:w="0" w:type="auto"/>
        <w:tblLook w:val="04A0" w:firstRow="1" w:lastRow="0" w:firstColumn="1" w:lastColumn="0" w:noHBand="0" w:noVBand="1"/>
      </w:tblPr>
      <w:tblGrid>
        <w:gridCol w:w="5105"/>
        <w:gridCol w:w="3389"/>
      </w:tblGrid>
      <w:tr w:rsidR="003B382B" w14:paraId="3155FC70" w14:textId="77777777" w:rsidTr="003B382B">
        <w:trPr>
          <w:trHeight w:val="2612"/>
        </w:trPr>
        <w:tc>
          <w:tcPr>
            <w:tcW w:w="8720" w:type="dxa"/>
            <w:gridSpan w:val="2"/>
          </w:tcPr>
          <w:p w14:paraId="3A2B527E" w14:textId="77777777" w:rsidR="003B382B" w:rsidRPr="003B382B" w:rsidRDefault="003B382B" w:rsidP="003B382B">
            <w:pPr>
              <w:rPr>
                <w:lang w:val="en-GB"/>
              </w:rPr>
            </w:pPr>
            <w:r w:rsidRPr="003B382B">
              <w:rPr>
                <w:lang w:val="en-GB"/>
              </w:rPr>
              <w:t>Please circle one response for each of the seven questions below about your/your child’s eczema. If your child is old enough to understand the questions then please fill in the questionnaire together. Please leave blank any questions you feel unable to answer.</w:t>
            </w:r>
          </w:p>
          <w:p w14:paraId="2B0880BE" w14:textId="2923FB68" w:rsidR="003B382B" w:rsidRDefault="003B382B" w:rsidP="003B382B">
            <w:pPr>
              <w:rPr>
                <w:b/>
                <w:lang w:val="en-GB"/>
              </w:rPr>
            </w:pPr>
            <w:r w:rsidRPr="003B382B">
              <w:rPr>
                <w:b/>
                <w:lang w:val="en-GB"/>
              </w:rPr>
              <w:t>1. Over the last week, on how many days has your/your child’s skin been itchy because of the eczema?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9"/>
              <w:gridCol w:w="1648"/>
              <w:gridCol w:w="1648"/>
              <w:gridCol w:w="1648"/>
              <w:gridCol w:w="1685"/>
            </w:tblGrid>
            <w:tr w:rsidR="003B382B" w14:paraId="5DB0EDCF" w14:textId="77777777" w:rsidTr="003B382B">
              <w:tc>
                <w:tcPr>
                  <w:tcW w:w="1744" w:type="dxa"/>
                </w:tcPr>
                <w:p w14:paraId="152D67B5" w14:textId="77777777" w:rsidR="003B382B" w:rsidRDefault="003B382B" w:rsidP="003B382B">
                  <w:r>
                    <w:t>No days</w:t>
                  </w:r>
                </w:p>
              </w:tc>
              <w:tc>
                <w:tcPr>
                  <w:tcW w:w="1744" w:type="dxa"/>
                </w:tcPr>
                <w:p w14:paraId="09F0371D" w14:textId="77777777" w:rsidR="003B382B" w:rsidRDefault="003B382B" w:rsidP="003B382B">
                  <w:r>
                    <w:t>1 to 2 days</w:t>
                  </w:r>
                </w:p>
              </w:tc>
              <w:tc>
                <w:tcPr>
                  <w:tcW w:w="1744" w:type="dxa"/>
                </w:tcPr>
                <w:p w14:paraId="5F7F1B64" w14:textId="77777777" w:rsidR="003B382B" w:rsidRDefault="003B382B" w:rsidP="003B382B">
                  <w:r>
                    <w:t>3 to 4 days</w:t>
                  </w:r>
                </w:p>
              </w:tc>
              <w:tc>
                <w:tcPr>
                  <w:tcW w:w="1744" w:type="dxa"/>
                </w:tcPr>
                <w:p w14:paraId="2A4AAC96" w14:textId="77777777" w:rsidR="003B382B" w:rsidRDefault="003B382B" w:rsidP="003B382B">
                  <w:r>
                    <w:t>5 to 6 days</w:t>
                  </w:r>
                </w:p>
              </w:tc>
              <w:tc>
                <w:tcPr>
                  <w:tcW w:w="1744" w:type="dxa"/>
                </w:tcPr>
                <w:p w14:paraId="0DCBC77E" w14:textId="77777777" w:rsidR="003B382B" w:rsidRDefault="003B382B" w:rsidP="003B382B">
                  <w:r>
                    <w:t>Everyday</w:t>
                  </w:r>
                </w:p>
              </w:tc>
            </w:tr>
          </w:tbl>
          <w:p w14:paraId="2B6C7B40" w14:textId="5976970B" w:rsidR="003B382B" w:rsidRDefault="003B382B" w:rsidP="003B382B">
            <w:pPr>
              <w:rPr>
                <w:b/>
                <w:lang w:val="en-GB"/>
              </w:rPr>
            </w:pPr>
            <w:r w:rsidRPr="003B382B">
              <w:rPr>
                <w:b/>
                <w:lang w:val="en-GB"/>
              </w:rPr>
              <w:t>2. Over the last week, on how many nights has your/your child’s sleep been disturbed because of the eczema?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9"/>
              <w:gridCol w:w="1648"/>
              <w:gridCol w:w="1648"/>
              <w:gridCol w:w="1648"/>
              <w:gridCol w:w="1685"/>
            </w:tblGrid>
            <w:tr w:rsidR="003B382B" w14:paraId="7FBB255D" w14:textId="77777777" w:rsidTr="002F6D56">
              <w:tc>
                <w:tcPr>
                  <w:tcW w:w="1744" w:type="dxa"/>
                </w:tcPr>
                <w:p w14:paraId="1F332A81" w14:textId="77777777" w:rsidR="003B382B" w:rsidRDefault="003B382B" w:rsidP="003B382B">
                  <w:r>
                    <w:t>No days</w:t>
                  </w:r>
                </w:p>
              </w:tc>
              <w:tc>
                <w:tcPr>
                  <w:tcW w:w="1744" w:type="dxa"/>
                </w:tcPr>
                <w:p w14:paraId="08F24BB1" w14:textId="77777777" w:rsidR="003B382B" w:rsidRDefault="003B382B" w:rsidP="003B382B">
                  <w:r>
                    <w:t>1 to 2 days</w:t>
                  </w:r>
                </w:p>
              </w:tc>
              <w:tc>
                <w:tcPr>
                  <w:tcW w:w="1744" w:type="dxa"/>
                </w:tcPr>
                <w:p w14:paraId="524E7AF3" w14:textId="77777777" w:rsidR="003B382B" w:rsidRDefault="003B382B" w:rsidP="003B382B">
                  <w:r>
                    <w:t>3 to 4 days</w:t>
                  </w:r>
                </w:p>
              </w:tc>
              <w:tc>
                <w:tcPr>
                  <w:tcW w:w="1744" w:type="dxa"/>
                </w:tcPr>
                <w:p w14:paraId="27CF9837" w14:textId="77777777" w:rsidR="003B382B" w:rsidRDefault="003B382B" w:rsidP="003B382B">
                  <w:r>
                    <w:t>5 to 6 days</w:t>
                  </w:r>
                </w:p>
              </w:tc>
              <w:tc>
                <w:tcPr>
                  <w:tcW w:w="1744" w:type="dxa"/>
                </w:tcPr>
                <w:p w14:paraId="620F4AF3" w14:textId="77777777" w:rsidR="003B382B" w:rsidRDefault="003B382B" w:rsidP="003B382B">
                  <w:r>
                    <w:t>Everyday</w:t>
                  </w:r>
                </w:p>
              </w:tc>
            </w:tr>
          </w:tbl>
          <w:p w14:paraId="3B54EE47" w14:textId="77777777" w:rsidR="003B382B" w:rsidRPr="003B382B" w:rsidRDefault="003B382B" w:rsidP="003B382B">
            <w:pPr>
              <w:rPr>
                <w:b/>
                <w:lang w:val="en-GB"/>
              </w:rPr>
            </w:pPr>
            <w:r w:rsidRPr="003B382B">
              <w:rPr>
                <w:b/>
                <w:lang w:val="en-GB"/>
              </w:rPr>
              <w:t>3. Over the last week, on how many days has your/your child’s skin been bleeding because of the eczema?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9"/>
              <w:gridCol w:w="1648"/>
              <w:gridCol w:w="1648"/>
              <w:gridCol w:w="1648"/>
              <w:gridCol w:w="1685"/>
            </w:tblGrid>
            <w:tr w:rsidR="003B382B" w14:paraId="5D114C14" w14:textId="77777777" w:rsidTr="002F6D56">
              <w:tc>
                <w:tcPr>
                  <w:tcW w:w="1744" w:type="dxa"/>
                </w:tcPr>
                <w:p w14:paraId="1CC8E1F9" w14:textId="77777777" w:rsidR="003B382B" w:rsidRDefault="003B382B" w:rsidP="003B382B">
                  <w:r>
                    <w:t>No days</w:t>
                  </w:r>
                </w:p>
              </w:tc>
              <w:tc>
                <w:tcPr>
                  <w:tcW w:w="1744" w:type="dxa"/>
                </w:tcPr>
                <w:p w14:paraId="6191C0C8" w14:textId="77777777" w:rsidR="003B382B" w:rsidRDefault="003B382B" w:rsidP="003B382B">
                  <w:r>
                    <w:t>1 to 2 days</w:t>
                  </w:r>
                </w:p>
              </w:tc>
              <w:tc>
                <w:tcPr>
                  <w:tcW w:w="1744" w:type="dxa"/>
                </w:tcPr>
                <w:p w14:paraId="2F9DA2C2" w14:textId="77777777" w:rsidR="003B382B" w:rsidRDefault="003B382B" w:rsidP="003B382B">
                  <w:r>
                    <w:t>3 to 4 days</w:t>
                  </w:r>
                </w:p>
              </w:tc>
              <w:tc>
                <w:tcPr>
                  <w:tcW w:w="1744" w:type="dxa"/>
                </w:tcPr>
                <w:p w14:paraId="4D79A7BF" w14:textId="77777777" w:rsidR="003B382B" w:rsidRDefault="003B382B" w:rsidP="003B382B">
                  <w:r>
                    <w:t>5 to 6 days</w:t>
                  </w:r>
                </w:p>
              </w:tc>
              <w:tc>
                <w:tcPr>
                  <w:tcW w:w="1744" w:type="dxa"/>
                </w:tcPr>
                <w:p w14:paraId="4F2517DD" w14:textId="77777777" w:rsidR="003B382B" w:rsidRDefault="003B382B" w:rsidP="003B382B">
                  <w:r>
                    <w:t>Everyday</w:t>
                  </w:r>
                </w:p>
              </w:tc>
            </w:tr>
          </w:tbl>
          <w:p w14:paraId="47590549" w14:textId="33BE3BE5" w:rsidR="003B382B" w:rsidRPr="003B382B" w:rsidRDefault="003B382B" w:rsidP="003B382B">
            <w:pPr>
              <w:rPr>
                <w:b/>
                <w:lang w:val="en-GB"/>
              </w:rPr>
            </w:pPr>
            <w:r w:rsidRPr="003B382B">
              <w:rPr>
                <w:b/>
                <w:lang w:val="en-GB"/>
              </w:rPr>
              <w:t>4. Over the last week, on how many days has your/your child’s skin been weeping or oozing clear fluid because of the eczema?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9"/>
              <w:gridCol w:w="1648"/>
              <w:gridCol w:w="1648"/>
              <w:gridCol w:w="1648"/>
              <w:gridCol w:w="1685"/>
            </w:tblGrid>
            <w:tr w:rsidR="003B382B" w14:paraId="72EF2B6F" w14:textId="77777777" w:rsidTr="002F6D56">
              <w:tc>
                <w:tcPr>
                  <w:tcW w:w="1744" w:type="dxa"/>
                </w:tcPr>
                <w:p w14:paraId="2874103D" w14:textId="77777777" w:rsidR="003B382B" w:rsidRDefault="003B382B" w:rsidP="003B382B">
                  <w:r>
                    <w:t>No days</w:t>
                  </w:r>
                </w:p>
              </w:tc>
              <w:tc>
                <w:tcPr>
                  <w:tcW w:w="1744" w:type="dxa"/>
                </w:tcPr>
                <w:p w14:paraId="079FCE27" w14:textId="77777777" w:rsidR="003B382B" w:rsidRDefault="003B382B" w:rsidP="003B382B">
                  <w:r>
                    <w:t>1 to 2 days</w:t>
                  </w:r>
                </w:p>
              </w:tc>
              <w:tc>
                <w:tcPr>
                  <w:tcW w:w="1744" w:type="dxa"/>
                </w:tcPr>
                <w:p w14:paraId="18B4676A" w14:textId="77777777" w:rsidR="003B382B" w:rsidRDefault="003B382B" w:rsidP="003B382B">
                  <w:r>
                    <w:t>3 to 4 days</w:t>
                  </w:r>
                </w:p>
              </w:tc>
              <w:tc>
                <w:tcPr>
                  <w:tcW w:w="1744" w:type="dxa"/>
                </w:tcPr>
                <w:p w14:paraId="5BF01EA7" w14:textId="77777777" w:rsidR="003B382B" w:rsidRDefault="003B382B" w:rsidP="003B382B">
                  <w:r>
                    <w:t>5 to 6 days</w:t>
                  </w:r>
                </w:p>
              </w:tc>
              <w:tc>
                <w:tcPr>
                  <w:tcW w:w="1744" w:type="dxa"/>
                </w:tcPr>
                <w:p w14:paraId="25D4E202" w14:textId="77777777" w:rsidR="003B382B" w:rsidRDefault="003B382B" w:rsidP="003B382B">
                  <w:r>
                    <w:t>Everyday</w:t>
                  </w:r>
                </w:p>
              </w:tc>
            </w:tr>
          </w:tbl>
          <w:p w14:paraId="755C128E" w14:textId="77777777" w:rsidR="003B382B" w:rsidRPr="003B382B" w:rsidRDefault="003B382B" w:rsidP="003B382B">
            <w:pPr>
              <w:rPr>
                <w:b/>
                <w:lang w:val="en-GB"/>
              </w:rPr>
            </w:pPr>
            <w:r w:rsidRPr="003B382B">
              <w:rPr>
                <w:b/>
                <w:lang w:val="en-GB"/>
              </w:rPr>
              <w:t>5. Over the last week, on how many days has your/your child’s skin been cracked because of the eczema?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9"/>
              <w:gridCol w:w="1648"/>
              <w:gridCol w:w="1648"/>
              <w:gridCol w:w="1648"/>
              <w:gridCol w:w="1685"/>
            </w:tblGrid>
            <w:tr w:rsidR="003B382B" w14:paraId="3A709FF5" w14:textId="77777777" w:rsidTr="002F6D56">
              <w:tc>
                <w:tcPr>
                  <w:tcW w:w="1744" w:type="dxa"/>
                </w:tcPr>
                <w:p w14:paraId="07A321B4" w14:textId="77777777" w:rsidR="003B382B" w:rsidRDefault="003B382B" w:rsidP="003B382B">
                  <w:r>
                    <w:t>No days</w:t>
                  </w:r>
                </w:p>
              </w:tc>
              <w:tc>
                <w:tcPr>
                  <w:tcW w:w="1744" w:type="dxa"/>
                </w:tcPr>
                <w:p w14:paraId="1850A500" w14:textId="77777777" w:rsidR="003B382B" w:rsidRDefault="003B382B" w:rsidP="003B382B">
                  <w:r>
                    <w:t>1 to 2 days</w:t>
                  </w:r>
                </w:p>
              </w:tc>
              <w:tc>
                <w:tcPr>
                  <w:tcW w:w="1744" w:type="dxa"/>
                </w:tcPr>
                <w:p w14:paraId="68D6A3B9" w14:textId="77777777" w:rsidR="003B382B" w:rsidRDefault="003B382B" w:rsidP="003B382B">
                  <w:r>
                    <w:t>3 to 4 days</w:t>
                  </w:r>
                </w:p>
              </w:tc>
              <w:tc>
                <w:tcPr>
                  <w:tcW w:w="1744" w:type="dxa"/>
                </w:tcPr>
                <w:p w14:paraId="0D53EF4A" w14:textId="77777777" w:rsidR="003B382B" w:rsidRDefault="003B382B" w:rsidP="003B382B">
                  <w:r>
                    <w:t>5 to 6 days</w:t>
                  </w:r>
                </w:p>
              </w:tc>
              <w:tc>
                <w:tcPr>
                  <w:tcW w:w="1744" w:type="dxa"/>
                </w:tcPr>
                <w:p w14:paraId="680F9FC1" w14:textId="77777777" w:rsidR="003B382B" w:rsidRDefault="003B382B" w:rsidP="003B382B">
                  <w:r>
                    <w:t>Everyday</w:t>
                  </w:r>
                </w:p>
              </w:tc>
            </w:tr>
          </w:tbl>
          <w:p w14:paraId="16812961" w14:textId="77777777" w:rsidR="003B382B" w:rsidRPr="003B382B" w:rsidRDefault="003B382B" w:rsidP="003B382B">
            <w:pPr>
              <w:rPr>
                <w:b/>
                <w:lang w:val="en-GB"/>
              </w:rPr>
            </w:pPr>
            <w:r w:rsidRPr="003B382B">
              <w:rPr>
                <w:b/>
                <w:lang w:val="en-GB"/>
              </w:rPr>
              <w:t>6. Over the last week, on how many days has your /your child’s skin been flaking off because of the eczema?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9"/>
              <w:gridCol w:w="1648"/>
              <w:gridCol w:w="1648"/>
              <w:gridCol w:w="1648"/>
              <w:gridCol w:w="1685"/>
            </w:tblGrid>
            <w:tr w:rsidR="003B382B" w14:paraId="43B1C165" w14:textId="77777777" w:rsidTr="002F6D56">
              <w:tc>
                <w:tcPr>
                  <w:tcW w:w="1744" w:type="dxa"/>
                </w:tcPr>
                <w:p w14:paraId="361F55BE" w14:textId="77777777" w:rsidR="003B382B" w:rsidRDefault="003B382B" w:rsidP="003B382B">
                  <w:r>
                    <w:t>No days</w:t>
                  </w:r>
                </w:p>
              </w:tc>
              <w:tc>
                <w:tcPr>
                  <w:tcW w:w="1744" w:type="dxa"/>
                </w:tcPr>
                <w:p w14:paraId="6B292147" w14:textId="77777777" w:rsidR="003B382B" w:rsidRDefault="003B382B" w:rsidP="003B382B">
                  <w:r>
                    <w:t>1 to 2 days</w:t>
                  </w:r>
                </w:p>
              </w:tc>
              <w:tc>
                <w:tcPr>
                  <w:tcW w:w="1744" w:type="dxa"/>
                </w:tcPr>
                <w:p w14:paraId="23EE9708" w14:textId="77777777" w:rsidR="003B382B" w:rsidRDefault="003B382B" w:rsidP="003B382B">
                  <w:r>
                    <w:t>3 to 4 days</w:t>
                  </w:r>
                </w:p>
              </w:tc>
              <w:tc>
                <w:tcPr>
                  <w:tcW w:w="1744" w:type="dxa"/>
                </w:tcPr>
                <w:p w14:paraId="1324D9A9" w14:textId="77777777" w:rsidR="003B382B" w:rsidRDefault="003B382B" w:rsidP="003B382B">
                  <w:r>
                    <w:t>5 to 6 days</w:t>
                  </w:r>
                </w:p>
              </w:tc>
              <w:tc>
                <w:tcPr>
                  <w:tcW w:w="1744" w:type="dxa"/>
                </w:tcPr>
                <w:p w14:paraId="07BEF460" w14:textId="77777777" w:rsidR="003B382B" w:rsidRDefault="003B382B" w:rsidP="003B382B">
                  <w:r>
                    <w:t>Everyday</w:t>
                  </w:r>
                </w:p>
              </w:tc>
            </w:tr>
          </w:tbl>
          <w:p w14:paraId="1D41540B" w14:textId="77777777" w:rsidR="003B382B" w:rsidRPr="003B382B" w:rsidRDefault="003B382B" w:rsidP="003B382B">
            <w:pPr>
              <w:rPr>
                <w:lang w:val="en-GB"/>
              </w:rPr>
            </w:pPr>
            <w:r w:rsidRPr="003B382B">
              <w:rPr>
                <w:b/>
                <w:lang w:val="en-GB"/>
              </w:rPr>
              <w:t>7. Over the last week, on how many days has your/your child’s skin felt dry or rough because of the eczema?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9"/>
              <w:gridCol w:w="1648"/>
              <w:gridCol w:w="1648"/>
              <w:gridCol w:w="1648"/>
              <w:gridCol w:w="1685"/>
            </w:tblGrid>
            <w:tr w:rsidR="003B382B" w14:paraId="24AAFE10" w14:textId="77777777" w:rsidTr="002F6D56">
              <w:tc>
                <w:tcPr>
                  <w:tcW w:w="1744" w:type="dxa"/>
                </w:tcPr>
                <w:p w14:paraId="47E7B852" w14:textId="77777777" w:rsidR="003B382B" w:rsidRDefault="003B382B" w:rsidP="003B382B">
                  <w:r>
                    <w:t>No days</w:t>
                  </w:r>
                </w:p>
              </w:tc>
              <w:tc>
                <w:tcPr>
                  <w:tcW w:w="1744" w:type="dxa"/>
                </w:tcPr>
                <w:p w14:paraId="1F96F4BD" w14:textId="77777777" w:rsidR="003B382B" w:rsidRDefault="003B382B" w:rsidP="003B382B">
                  <w:r>
                    <w:t>1 to 2 days</w:t>
                  </w:r>
                </w:p>
              </w:tc>
              <w:tc>
                <w:tcPr>
                  <w:tcW w:w="1744" w:type="dxa"/>
                </w:tcPr>
                <w:p w14:paraId="7D37AD0E" w14:textId="77777777" w:rsidR="003B382B" w:rsidRDefault="003B382B" w:rsidP="003B382B">
                  <w:r>
                    <w:t>3 to 4 days</w:t>
                  </w:r>
                </w:p>
              </w:tc>
              <w:tc>
                <w:tcPr>
                  <w:tcW w:w="1744" w:type="dxa"/>
                </w:tcPr>
                <w:p w14:paraId="5BF6ED57" w14:textId="77777777" w:rsidR="003B382B" w:rsidRDefault="003B382B" w:rsidP="003B382B">
                  <w:r>
                    <w:t>5 to 6 days</w:t>
                  </w:r>
                </w:p>
              </w:tc>
              <w:tc>
                <w:tcPr>
                  <w:tcW w:w="1744" w:type="dxa"/>
                </w:tcPr>
                <w:p w14:paraId="2AFC1B2B" w14:textId="77777777" w:rsidR="003B382B" w:rsidRDefault="003B382B" w:rsidP="003B382B">
                  <w:r>
                    <w:t>Everyday</w:t>
                  </w:r>
                </w:p>
              </w:tc>
            </w:tr>
          </w:tbl>
          <w:p w14:paraId="09B2F462" w14:textId="377B1443" w:rsidR="003B382B" w:rsidRPr="003B382B" w:rsidRDefault="003B382B" w:rsidP="007A305C">
            <w:pPr>
              <w:rPr>
                <w:b/>
                <w:lang w:val="en-GB"/>
              </w:rPr>
            </w:pPr>
          </w:p>
        </w:tc>
      </w:tr>
      <w:tr w:rsidR="003B382B" w14:paraId="4D036E3C" w14:textId="77777777" w:rsidTr="002F6D56">
        <w:trPr>
          <w:trHeight w:val="443"/>
        </w:trPr>
        <w:tc>
          <w:tcPr>
            <w:tcW w:w="8720" w:type="dxa"/>
            <w:gridSpan w:val="2"/>
          </w:tcPr>
          <w:p w14:paraId="1881F793" w14:textId="4B520036" w:rsidR="003B382B" w:rsidRPr="003B382B" w:rsidRDefault="003B382B" w:rsidP="003B382B">
            <w:pPr>
              <w:jc w:val="right"/>
              <w:rPr>
                <w:lang w:val="en-GB"/>
              </w:rPr>
            </w:pPr>
            <w:r w:rsidRPr="003B382B">
              <w:rPr>
                <w:b/>
                <w:lang w:val="en-GB"/>
              </w:rPr>
              <w:t>Total POEM Score (Maximum 28): _________________</w:t>
            </w:r>
          </w:p>
        </w:tc>
      </w:tr>
      <w:tr w:rsidR="002F6D56" w14:paraId="73E2C14A" w14:textId="77777777" w:rsidTr="002F6D56">
        <w:trPr>
          <w:trHeight w:val="713"/>
        </w:trPr>
        <w:tc>
          <w:tcPr>
            <w:tcW w:w="5238" w:type="dxa"/>
          </w:tcPr>
          <w:p w14:paraId="228F2AC0" w14:textId="77777777" w:rsidR="002F6D56" w:rsidRDefault="002F6D56" w:rsidP="002F6D56">
            <w:pPr>
              <w:rPr>
                <w:b/>
              </w:rPr>
            </w:pPr>
            <w:r>
              <w:rPr>
                <w:b/>
              </w:rPr>
              <w:t>How is the scoring done?</w:t>
            </w:r>
          </w:p>
          <w:p w14:paraId="60DBB2B1" w14:textId="7DF2845D" w:rsidR="002F6D56" w:rsidRPr="002F6D56" w:rsidRDefault="002F6D56" w:rsidP="002F6D56">
            <w:pPr>
              <w:rPr>
                <w:sz w:val="20"/>
              </w:rPr>
            </w:pPr>
            <w:r w:rsidRPr="002F6D56">
              <w:rPr>
                <w:sz w:val="20"/>
              </w:rPr>
              <w:t>Each of the seven questions carries equal weight and is scored from 0 to 4 as follows: No days = 0</w:t>
            </w:r>
            <w:r>
              <w:rPr>
                <w:sz w:val="20"/>
              </w:rPr>
              <w:t>,</w:t>
            </w:r>
            <w:r w:rsidRPr="002F6D56">
              <w:rPr>
                <w:sz w:val="20"/>
              </w:rPr>
              <w:t xml:space="preserve"> 1-2 days = 1</w:t>
            </w:r>
            <w:r>
              <w:rPr>
                <w:sz w:val="20"/>
              </w:rPr>
              <w:t>,</w:t>
            </w:r>
            <w:r w:rsidRPr="002F6D56">
              <w:rPr>
                <w:sz w:val="20"/>
              </w:rPr>
              <w:t xml:space="preserve"> 3-4 days = 2</w:t>
            </w:r>
            <w:r>
              <w:rPr>
                <w:sz w:val="20"/>
              </w:rPr>
              <w:t>,</w:t>
            </w:r>
            <w:r w:rsidRPr="002F6D56">
              <w:rPr>
                <w:sz w:val="20"/>
              </w:rPr>
              <w:t xml:space="preserve"> 5-6 </w:t>
            </w:r>
            <w:r>
              <w:rPr>
                <w:sz w:val="20"/>
              </w:rPr>
              <w:t>days = 3, every day </w:t>
            </w:r>
            <w:r w:rsidRPr="002F6D56">
              <w:rPr>
                <w:sz w:val="20"/>
              </w:rPr>
              <w:t>= 4</w:t>
            </w:r>
            <w:r>
              <w:rPr>
                <w:sz w:val="20"/>
              </w:rPr>
              <w:t>.</w:t>
            </w:r>
          </w:p>
          <w:p w14:paraId="155F88B4" w14:textId="4DD2C9C0" w:rsidR="002F6D56" w:rsidRPr="002F6D56" w:rsidRDefault="002F6D56" w:rsidP="002F6D56">
            <w:r>
              <w:rPr>
                <w:sz w:val="20"/>
              </w:rPr>
              <w:t xml:space="preserve">Note: </w:t>
            </w:r>
            <w:r w:rsidRPr="002F6D56">
              <w:rPr>
                <w:sz w:val="20"/>
              </w:rPr>
              <w:t>If one question is left unanswered this is scored 0 and the scores are summed and expressed as</w:t>
            </w:r>
            <w:r>
              <w:rPr>
                <w:sz w:val="20"/>
              </w:rPr>
              <w:t xml:space="preserve"> usual out of a maximum of 28. If </w:t>
            </w:r>
            <w:r w:rsidRPr="002F6D56">
              <w:rPr>
                <w:sz w:val="20"/>
              </w:rPr>
              <w:t>two or more questions are left unanswered th</w:t>
            </w:r>
            <w:r>
              <w:rPr>
                <w:sz w:val="20"/>
              </w:rPr>
              <w:t xml:space="preserve">e questionnaire is not scored. </w:t>
            </w:r>
            <w:r w:rsidRPr="002F6D56">
              <w:rPr>
                <w:sz w:val="20"/>
              </w:rPr>
              <w:t>If two or more response options are selected, the response option with the highest score should be recorded</w:t>
            </w:r>
            <w:r>
              <w:rPr>
                <w:sz w:val="20"/>
              </w:rPr>
              <w:t>.</w:t>
            </w:r>
          </w:p>
        </w:tc>
        <w:tc>
          <w:tcPr>
            <w:tcW w:w="3482" w:type="dxa"/>
          </w:tcPr>
          <w:p w14:paraId="7FA49CF7" w14:textId="47F88BD0" w:rsidR="002F6D56" w:rsidRPr="002F6D56" w:rsidRDefault="002F6D56" w:rsidP="002F6D56">
            <w:pPr>
              <w:rPr>
                <w:b/>
              </w:rPr>
            </w:pPr>
            <w:r>
              <w:rPr>
                <w:b/>
              </w:rPr>
              <w:t>What does a POEM</w:t>
            </w:r>
            <w:r w:rsidRPr="002F6D56">
              <w:rPr>
                <w:b/>
              </w:rPr>
              <w:t xml:space="preserve"> score mean?</w:t>
            </w:r>
          </w:p>
          <w:p w14:paraId="69269B8D" w14:textId="58D281A5" w:rsidR="002F6D56" w:rsidRPr="002F6D56" w:rsidRDefault="002F6D56" w:rsidP="002F6D56">
            <w:r w:rsidRPr="002F6D56">
              <w:t>0 to 2 = Clear or almost clear</w:t>
            </w:r>
          </w:p>
          <w:p w14:paraId="092A58C0" w14:textId="761A86A2" w:rsidR="002F6D56" w:rsidRPr="002F6D56" w:rsidRDefault="002F6D56" w:rsidP="002F6D56">
            <w:r w:rsidRPr="002F6D56">
              <w:t>3 to 7 = Mild eczema</w:t>
            </w:r>
          </w:p>
          <w:p w14:paraId="389B8023" w14:textId="1A4E016E" w:rsidR="002F6D56" w:rsidRPr="002F6D56" w:rsidRDefault="002F6D56" w:rsidP="002F6D56">
            <w:r w:rsidRPr="002F6D56">
              <w:t>8 to 16 = Moderate eczema</w:t>
            </w:r>
          </w:p>
          <w:p w14:paraId="408F9602" w14:textId="4C8346A8" w:rsidR="002F6D56" w:rsidRPr="002F6D56" w:rsidRDefault="002F6D56" w:rsidP="002F6D56">
            <w:r w:rsidRPr="002F6D56">
              <w:t>17 to 24 = Severe eczema</w:t>
            </w:r>
          </w:p>
          <w:p w14:paraId="5F7A95A7" w14:textId="66D92F65" w:rsidR="002F6D56" w:rsidRPr="002F6D56" w:rsidRDefault="002F6D56" w:rsidP="002F6D56">
            <w:r w:rsidRPr="002F6D56">
              <w:t>25 to 28 = Very severe eczema</w:t>
            </w:r>
          </w:p>
          <w:p w14:paraId="0802F0F6" w14:textId="6147AA5C" w:rsidR="002F6D56" w:rsidRPr="002F6D56" w:rsidRDefault="002F6D56" w:rsidP="002F6D56"/>
        </w:tc>
      </w:tr>
    </w:tbl>
    <w:p w14:paraId="228DB26B" w14:textId="0A6A7879" w:rsidR="00E23B36" w:rsidRDefault="00E23B36" w:rsidP="00323CBE">
      <w:pPr>
        <w:pStyle w:val="Heading6"/>
      </w:pPr>
      <w:bookmarkStart w:id="80" w:name="_Ref126046677"/>
      <w:r>
        <w:lastRenderedPageBreak/>
        <w:t>Scoring Atopic Dermatitis (SCORAD)</w:t>
      </w:r>
      <w:bookmarkEnd w:id="80"/>
    </w:p>
    <w:p w14:paraId="307F6A5A" w14:textId="0CEF0AF0" w:rsidR="00377814" w:rsidRDefault="00CB1DC8" w:rsidP="00377814">
      <w:r w:rsidRPr="00C97916">
        <w:t>Scoring Atopic Dermatiti</w:t>
      </w:r>
      <w:r w:rsidR="00E23B36">
        <w:t>s (SCORAD);</w:t>
      </w:r>
      <w:bookmarkStart w:id="81" w:name="_Ref125675103"/>
      <w:r w:rsidR="00E23B36">
        <w:rPr>
          <w:rStyle w:val="FootnoteReference"/>
        </w:rPr>
        <w:footnoteReference w:id="47"/>
      </w:r>
      <w:bookmarkEnd w:id="81"/>
      <w:r w:rsidR="00E23B36">
        <w:t xml:space="preserve"> is a validated tool,</w:t>
      </w:r>
      <w:bookmarkStart w:id="82" w:name="_Ref125691332"/>
      <w:r w:rsidR="00E23B36">
        <w:rPr>
          <w:rStyle w:val="FootnoteReference"/>
        </w:rPr>
        <w:footnoteReference w:id="48"/>
      </w:r>
      <w:bookmarkEnd w:id="82"/>
      <w:r w:rsidR="00E23B36">
        <w:t xml:space="preserve"> </w:t>
      </w:r>
      <w:r w:rsidRPr="00C97916">
        <w:t>that measures the extent, severity and subjective symptoms</w:t>
      </w:r>
      <w:r w:rsidRPr="00C97916">
        <w:rPr>
          <w:spacing w:val="-33"/>
        </w:rPr>
        <w:t xml:space="preserve"> </w:t>
      </w:r>
      <w:r w:rsidRPr="00C97916">
        <w:t xml:space="preserve">of </w:t>
      </w:r>
      <w:r w:rsidR="00E23B36">
        <w:t>atopic dermatitis</w:t>
      </w:r>
      <w:r w:rsidR="00377814">
        <w:t xml:space="preserve"> using three different components (</w:t>
      </w:r>
      <w:r w:rsidR="00F1231F">
        <w:t>parts A = extent, B = extensity, and C</w:t>
      </w:r>
      <w:r w:rsidR="00377814">
        <w:t xml:space="preserve"> =</w:t>
      </w:r>
      <w:r w:rsidR="00B51532">
        <w:t xml:space="preserve"> </w:t>
      </w:r>
      <w:r w:rsidR="00377814">
        <w:t xml:space="preserve">subjective symptoms) which are then integrated in a formula to calculated a score for a patient. </w:t>
      </w:r>
      <w:r w:rsidR="00377814">
        <w:fldChar w:fldCharType="begin"/>
      </w:r>
      <w:r w:rsidR="00377814">
        <w:instrText xml:space="preserve"> REF _Ref120803408 \h </w:instrText>
      </w:r>
      <w:r w:rsidR="00377814">
        <w:fldChar w:fldCharType="separate"/>
      </w:r>
      <w:r w:rsidR="00B51532">
        <w:t xml:space="preserve">Figure </w:t>
      </w:r>
      <w:r w:rsidR="00B51532">
        <w:rPr>
          <w:noProof/>
        </w:rPr>
        <w:t>7</w:t>
      </w:r>
      <w:r w:rsidR="00377814">
        <w:fldChar w:fldCharType="end"/>
      </w:r>
      <w:r w:rsidR="00377814">
        <w:t xml:space="preserve"> shows a SCORAD evaluation sheet that may be used to calculate a SCORAD score.</w:t>
      </w:r>
    </w:p>
    <w:p w14:paraId="7BB2E018" w14:textId="6EE51980" w:rsidR="00377814" w:rsidRDefault="00377814" w:rsidP="00377814">
      <w:pPr>
        <w:pStyle w:val="FigureTitle"/>
      </w:pPr>
      <w:bookmarkStart w:id="83" w:name="_Ref120803408"/>
      <w:r>
        <w:t xml:space="preserve">Figure </w:t>
      </w:r>
      <w:fldSimple w:instr=" SEQ Figure \* ARABIC ">
        <w:r w:rsidR="00B51532">
          <w:rPr>
            <w:noProof/>
          </w:rPr>
          <w:t>7</w:t>
        </w:r>
      </w:fldSimple>
      <w:bookmarkEnd w:id="83"/>
      <w:r>
        <w:t>: Scoring Atopic Dermatitis (SCORAD) Evaluation sheet</w:t>
      </w:r>
    </w:p>
    <w:p w14:paraId="231FCA13" w14:textId="63B312F3" w:rsidR="00377814" w:rsidRDefault="00377814" w:rsidP="00377814">
      <w:r>
        <w:rPr>
          <w:noProof/>
          <w:lang w:val="en-GB" w:eastAsia="en-GB"/>
        </w:rPr>
        <w:drawing>
          <wp:inline distT="0" distB="0" distL="0" distR="0" wp14:anchorId="67EAF082" wp14:editId="2B6736E7">
            <wp:extent cx="4777677" cy="6575728"/>
            <wp:effectExtent l="0" t="0" r="4445" b="0"/>
            <wp:docPr id="3" name="Picture 3" descr="Scoring Atopic Dermatitis (SCORAD) Evaluation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oring Atopic Dermatitis (SCORAD) Evaluation sheet"/>
                    <pic:cNvPicPr/>
                  </pic:nvPicPr>
                  <pic:blipFill>
                    <a:blip r:embed="rId25"/>
                    <a:stretch>
                      <a:fillRect/>
                    </a:stretch>
                  </pic:blipFill>
                  <pic:spPr>
                    <a:xfrm>
                      <a:off x="0" y="0"/>
                      <a:ext cx="4782336" cy="6582140"/>
                    </a:xfrm>
                    <a:prstGeom prst="rect">
                      <a:avLst/>
                    </a:prstGeom>
                  </pic:spPr>
                </pic:pic>
              </a:graphicData>
            </a:graphic>
          </wp:inline>
        </w:drawing>
      </w:r>
    </w:p>
    <w:p w14:paraId="15980A67" w14:textId="4CC9D5F8" w:rsidR="00377814" w:rsidRDefault="00377814" w:rsidP="00377814">
      <w:r>
        <w:lastRenderedPageBreak/>
        <w:t>T</w:t>
      </w:r>
      <w:r w:rsidR="00F1231F">
        <w:t xml:space="preserve">he eczema affected area section (part A) </w:t>
      </w:r>
      <w:r>
        <w:t>refers to the extent of body surface area affected</w:t>
      </w:r>
      <w:r w:rsidR="00A0674A">
        <w:t>:</w:t>
      </w:r>
    </w:p>
    <w:p w14:paraId="4F5A0724" w14:textId="04A37590" w:rsidR="00377814" w:rsidRDefault="00377814" w:rsidP="00F1231F">
      <w:pPr>
        <w:pStyle w:val="ListBullet"/>
      </w:pPr>
      <w:r>
        <w:t>Head and neck (up to 9%);</w:t>
      </w:r>
    </w:p>
    <w:p w14:paraId="4BD0D754" w14:textId="77777777" w:rsidR="00377814" w:rsidRDefault="00377814" w:rsidP="00F1231F">
      <w:pPr>
        <w:pStyle w:val="ListBullet"/>
      </w:pPr>
      <w:r>
        <w:t>Upper extremities (up to 18% each);</w:t>
      </w:r>
    </w:p>
    <w:p w14:paraId="25E196E5" w14:textId="77777777" w:rsidR="00377814" w:rsidRDefault="00377814" w:rsidP="00F1231F">
      <w:pPr>
        <w:pStyle w:val="ListBullet"/>
      </w:pPr>
      <w:r>
        <w:t>Anterior trunk (up to 18%);</w:t>
      </w:r>
    </w:p>
    <w:p w14:paraId="5A669FD0" w14:textId="77777777" w:rsidR="00377814" w:rsidRDefault="00377814" w:rsidP="00F1231F">
      <w:pPr>
        <w:pStyle w:val="ListBullet"/>
      </w:pPr>
      <w:r>
        <w:t>Back (up to 18%);</w:t>
      </w:r>
    </w:p>
    <w:p w14:paraId="2E0DD97D" w14:textId="77777777" w:rsidR="00377814" w:rsidRDefault="00377814" w:rsidP="00F1231F">
      <w:pPr>
        <w:pStyle w:val="ListBullet"/>
      </w:pPr>
      <w:r>
        <w:t>Lower extremities (up to 18% each);</w:t>
      </w:r>
    </w:p>
    <w:p w14:paraId="645D4B9A" w14:textId="77777777" w:rsidR="00377814" w:rsidRDefault="00377814" w:rsidP="00F1231F">
      <w:pPr>
        <w:pStyle w:val="ListBullet"/>
      </w:pPr>
      <w:r>
        <w:t>Genitals (up to 1%).</w:t>
      </w:r>
    </w:p>
    <w:p w14:paraId="6A2A3FD0" w14:textId="77777777" w:rsidR="00377814" w:rsidRDefault="00377814" w:rsidP="00377814">
      <w:r>
        <w:t>The possible maximum score for this section is 100%.</w:t>
      </w:r>
    </w:p>
    <w:p w14:paraId="775FB71A" w14:textId="25FC0804" w:rsidR="00377814" w:rsidRDefault="00377814" w:rsidP="00377814">
      <w:r>
        <w:t>The intensity section</w:t>
      </w:r>
      <w:r w:rsidR="00F1231F">
        <w:t xml:space="preserve"> (part B)</w:t>
      </w:r>
      <w:r>
        <w:t xml:space="preserve"> consists in six clinical signs that assess </w:t>
      </w:r>
      <w:r w:rsidR="00F1231F">
        <w:t>the intensity of the condition:</w:t>
      </w:r>
    </w:p>
    <w:p w14:paraId="2E004D64" w14:textId="77777777" w:rsidR="00377814" w:rsidRDefault="00377814" w:rsidP="00F1231F">
      <w:pPr>
        <w:pStyle w:val="ListBullet"/>
      </w:pPr>
      <w:r>
        <w:t>Redness;</w:t>
      </w:r>
    </w:p>
    <w:p w14:paraId="5CA5D35D" w14:textId="77777777" w:rsidR="00377814" w:rsidRDefault="00377814" w:rsidP="00F1231F">
      <w:pPr>
        <w:pStyle w:val="ListBullet"/>
      </w:pPr>
      <w:r>
        <w:t>Swelling;</w:t>
      </w:r>
    </w:p>
    <w:p w14:paraId="60AA6F0D" w14:textId="77777777" w:rsidR="00377814" w:rsidRDefault="00377814" w:rsidP="00F1231F">
      <w:pPr>
        <w:pStyle w:val="ListBullet"/>
      </w:pPr>
      <w:r>
        <w:t>Oozing / Crusting;</w:t>
      </w:r>
    </w:p>
    <w:p w14:paraId="05731E84" w14:textId="77777777" w:rsidR="00377814" w:rsidRDefault="00377814" w:rsidP="00F1231F">
      <w:pPr>
        <w:pStyle w:val="ListBullet"/>
      </w:pPr>
      <w:r>
        <w:t>Scratch marks;</w:t>
      </w:r>
    </w:p>
    <w:p w14:paraId="2C666ACC" w14:textId="77777777" w:rsidR="00377814" w:rsidRDefault="00377814" w:rsidP="00F1231F">
      <w:pPr>
        <w:pStyle w:val="ListBullet"/>
      </w:pPr>
      <w:r>
        <w:t>Skin thickening (excoriations, lichenification);</w:t>
      </w:r>
    </w:p>
    <w:p w14:paraId="701BDA77" w14:textId="77777777" w:rsidR="00377814" w:rsidRDefault="00377814" w:rsidP="00F1231F">
      <w:pPr>
        <w:pStyle w:val="ListBullet"/>
      </w:pPr>
      <w:r>
        <w:t>Dryness (independent of any inflammation present).</w:t>
      </w:r>
    </w:p>
    <w:p w14:paraId="7798F692" w14:textId="77325B7B" w:rsidR="00377814" w:rsidRDefault="00377814" w:rsidP="00377814">
      <w:r>
        <w:t xml:space="preserve">Each of the </w:t>
      </w:r>
      <w:r w:rsidR="00F1231F">
        <w:t>6 clinical signs</w:t>
      </w:r>
      <w:r>
        <w:t xml:space="preserve"> are awarded a number of points</w:t>
      </w:r>
      <w:r w:rsidR="00F1231F">
        <w:t xml:space="preserve"> (from 0 to 3)</w:t>
      </w:r>
      <w:r>
        <w:t>, dependent on their perceived severity, on the following scale:</w:t>
      </w:r>
    </w:p>
    <w:p w14:paraId="026C0473" w14:textId="535E588C" w:rsidR="00377814" w:rsidRDefault="00377814" w:rsidP="00F1231F">
      <w:pPr>
        <w:pStyle w:val="ListBullet"/>
      </w:pPr>
      <w:r>
        <w:t>None (0);</w:t>
      </w:r>
    </w:p>
    <w:p w14:paraId="04F34ECD" w14:textId="77777777" w:rsidR="00377814" w:rsidRDefault="00377814" w:rsidP="00F1231F">
      <w:pPr>
        <w:pStyle w:val="ListBullet"/>
      </w:pPr>
      <w:r>
        <w:t>Mild (1);</w:t>
      </w:r>
    </w:p>
    <w:p w14:paraId="0522C999" w14:textId="77777777" w:rsidR="00377814" w:rsidRDefault="00377814" w:rsidP="00F1231F">
      <w:pPr>
        <w:pStyle w:val="ListBullet"/>
      </w:pPr>
      <w:r>
        <w:t>Moderate (2);</w:t>
      </w:r>
    </w:p>
    <w:p w14:paraId="229CA2C1" w14:textId="77777777" w:rsidR="00377814" w:rsidRDefault="00377814" w:rsidP="00F1231F">
      <w:pPr>
        <w:pStyle w:val="ListBullet"/>
      </w:pPr>
      <w:r>
        <w:t>Severe (3).</w:t>
      </w:r>
    </w:p>
    <w:p w14:paraId="6E1C88D3" w14:textId="77777777" w:rsidR="00377814" w:rsidRDefault="00377814" w:rsidP="00377814">
      <w:r>
        <w:t>The minimum score for the intensity section is 0 and the maximum score is 18.</w:t>
      </w:r>
    </w:p>
    <w:p w14:paraId="15CE3AEF" w14:textId="06597B80" w:rsidR="00377814" w:rsidRDefault="00377814" w:rsidP="00377814">
      <w:r>
        <w:t xml:space="preserve">The subjective symptoms section </w:t>
      </w:r>
      <w:r w:rsidR="00F1231F">
        <w:t xml:space="preserve">(part C) </w:t>
      </w:r>
      <w:r>
        <w:t>consists in 2 items:</w:t>
      </w:r>
    </w:p>
    <w:p w14:paraId="554FF6AB" w14:textId="0E1FFD3A" w:rsidR="00377814" w:rsidRDefault="00377814" w:rsidP="00F1231F">
      <w:pPr>
        <w:pStyle w:val="ListBullet"/>
      </w:pPr>
      <w:r>
        <w:t>Prurit</w:t>
      </w:r>
      <w:r w:rsidR="00F1231F">
        <w:t>is</w:t>
      </w:r>
      <w:r>
        <w:t xml:space="preserve"> (</w:t>
      </w:r>
      <w:r w:rsidR="00F1231F">
        <w:t xml:space="preserve">or </w:t>
      </w:r>
      <w:r>
        <w:t>itch</w:t>
      </w:r>
      <w:r w:rsidR="00F1231F">
        <w:t>iness</w:t>
      </w:r>
      <w:r>
        <w:t>);</w:t>
      </w:r>
    </w:p>
    <w:p w14:paraId="77B6EBD0" w14:textId="77777777" w:rsidR="00377814" w:rsidRDefault="00377814" w:rsidP="00F1231F">
      <w:pPr>
        <w:pStyle w:val="ListBullet"/>
      </w:pPr>
      <w:r>
        <w:t>Insomnia (sleeplessness).</w:t>
      </w:r>
    </w:p>
    <w:p w14:paraId="3F8187C5" w14:textId="5A105197" w:rsidR="00377814" w:rsidRDefault="00F1231F" w:rsidP="00377814">
      <w:r>
        <w:t>The subjective</w:t>
      </w:r>
      <w:r w:rsidR="00377814">
        <w:t xml:space="preserve"> </w:t>
      </w:r>
      <w:r>
        <w:t xml:space="preserve">symptoms may be evaluated by </w:t>
      </w:r>
      <w:r w:rsidR="00377814">
        <w:t xml:space="preserve">based on quality of life in </w:t>
      </w:r>
      <w:r>
        <w:t xml:space="preserve">three days preceding the </w:t>
      </w:r>
      <w:r w:rsidR="00377814">
        <w:t>evaluation. A</w:t>
      </w:r>
      <w:r>
        <w:t xml:space="preserve"> visual analogue scale is used, </w:t>
      </w:r>
      <w:r w:rsidR="00377814">
        <w:t>with 0 for no symptoms and 10, most severe symptoms. The minimum score for the subjective symptoms section is 0 and the maximum score is 20.</w:t>
      </w:r>
    </w:p>
    <w:p w14:paraId="6742581F" w14:textId="5D0C13BB" w:rsidR="00377814" w:rsidRDefault="00F1231F" w:rsidP="00377814">
      <w:r>
        <w:t>To calculate the SCORAD score, the following formula is used:</w:t>
      </w:r>
    </w:p>
    <w:p w14:paraId="2C961E3C" w14:textId="797ACD66" w:rsidR="00377814" w:rsidRPr="00E139AE" w:rsidRDefault="00E139AE" w:rsidP="00E139AE">
      <w:r w:rsidRPr="00E139AE">
        <w:t>SCORAD = Affected area score / 5 + 7 x Intensity score / 2 + Subjective symptoms score</w:t>
      </w:r>
      <w:r>
        <w:t>.</w:t>
      </w:r>
    </w:p>
    <w:p w14:paraId="5DC3F177" w14:textId="1E8D3E63" w:rsidR="00377814" w:rsidRDefault="00377814" w:rsidP="00377814">
      <w:r>
        <w:t xml:space="preserve">SCORAD results range from 0 </w:t>
      </w:r>
      <w:r w:rsidR="00E139AE">
        <w:t>to a maximum of</w:t>
      </w:r>
      <w:r>
        <w:t xml:space="preserve"> 103. The extent of the lesions and subjective symptoms account for around 20% of the total score each, while the intensity items account for the rest of 60%.</w:t>
      </w:r>
    </w:p>
    <w:p w14:paraId="2B9F216D" w14:textId="5BD858CE" w:rsidR="00E139AE" w:rsidRDefault="00E139AE" w:rsidP="00377814">
      <w:r>
        <w:t xml:space="preserve">The interpretation of SCORAD scores are shown below in </w:t>
      </w:r>
      <w:r>
        <w:fldChar w:fldCharType="begin"/>
      </w:r>
      <w:r>
        <w:instrText xml:space="preserve"> REF _Ref120804850 \h </w:instrText>
      </w:r>
      <w:r>
        <w:fldChar w:fldCharType="separate"/>
      </w:r>
      <w:r w:rsidR="00B51532">
        <w:t xml:space="preserve">Table </w:t>
      </w:r>
      <w:r w:rsidR="00B51532">
        <w:rPr>
          <w:noProof/>
        </w:rPr>
        <w:t>18</w:t>
      </w:r>
      <w:r>
        <w:fldChar w:fldCharType="end"/>
      </w:r>
      <w:r>
        <w:t>.</w:t>
      </w:r>
      <w:r w:rsidR="00A0674A" w:rsidRPr="00A0674A">
        <w:rPr>
          <w:vertAlign w:val="superscript"/>
        </w:rPr>
        <w:fldChar w:fldCharType="begin"/>
      </w:r>
      <w:r w:rsidR="00A0674A" w:rsidRPr="00A0674A">
        <w:rPr>
          <w:vertAlign w:val="superscript"/>
        </w:rPr>
        <w:instrText xml:space="preserve"> NOTEREF _Ref125675103 \h </w:instrText>
      </w:r>
      <w:r w:rsidR="00A0674A">
        <w:rPr>
          <w:vertAlign w:val="superscript"/>
        </w:rPr>
        <w:instrText xml:space="preserve"> \* MERGEFORMAT </w:instrText>
      </w:r>
      <w:r w:rsidR="00A0674A" w:rsidRPr="00A0674A">
        <w:rPr>
          <w:vertAlign w:val="superscript"/>
        </w:rPr>
      </w:r>
      <w:r w:rsidR="00A0674A" w:rsidRPr="00A0674A">
        <w:rPr>
          <w:vertAlign w:val="superscript"/>
        </w:rPr>
        <w:fldChar w:fldCharType="separate"/>
      </w:r>
      <w:r w:rsidR="00B51532">
        <w:rPr>
          <w:vertAlign w:val="superscript"/>
        </w:rPr>
        <w:t>47</w:t>
      </w:r>
      <w:r w:rsidR="00A0674A" w:rsidRPr="00A0674A">
        <w:rPr>
          <w:vertAlign w:val="superscript"/>
        </w:rPr>
        <w:fldChar w:fldCharType="end"/>
      </w:r>
    </w:p>
    <w:p w14:paraId="264047F5" w14:textId="58C12002" w:rsidR="00E139AE" w:rsidRDefault="00E139AE" w:rsidP="00E139AE">
      <w:pPr>
        <w:pStyle w:val="Tabletitle0"/>
      </w:pPr>
      <w:bookmarkStart w:id="84" w:name="_Ref120804850"/>
      <w:r>
        <w:lastRenderedPageBreak/>
        <w:t xml:space="preserve">Table </w:t>
      </w:r>
      <w:fldSimple w:instr=" SEQ Table \* ARABIC ">
        <w:r w:rsidR="00B51532">
          <w:rPr>
            <w:noProof/>
          </w:rPr>
          <w:t>18</w:t>
        </w:r>
      </w:fldSimple>
      <w:bookmarkEnd w:id="84"/>
      <w:r>
        <w:t>: SCORAD Index for classification of severity of eczema</w:t>
      </w:r>
    </w:p>
    <w:tbl>
      <w:tblPr>
        <w:tblStyle w:val="TableTGAblue"/>
        <w:tblW w:w="0" w:type="auto"/>
        <w:tblLook w:val="04A0" w:firstRow="1" w:lastRow="0" w:firstColumn="1" w:lastColumn="0" w:noHBand="0" w:noVBand="1"/>
      </w:tblPr>
      <w:tblGrid>
        <w:gridCol w:w="4245"/>
        <w:gridCol w:w="4239"/>
      </w:tblGrid>
      <w:tr w:rsidR="00E139AE" w:rsidRPr="00B9083B" w14:paraId="60AA377D" w14:textId="77777777" w:rsidTr="00E139AE">
        <w:trPr>
          <w:cnfStyle w:val="100000000000" w:firstRow="1" w:lastRow="0" w:firstColumn="0" w:lastColumn="0" w:oddVBand="0" w:evenVBand="0" w:oddHBand="0" w:evenHBand="0" w:firstRowFirstColumn="0" w:firstRowLastColumn="0" w:lastRowFirstColumn="0" w:lastRowLastColumn="0"/>
        </w:trPr>
        <w:tc>
          <w:tcPr>
            <w:tcW w:w="4362" w:type="dxa"/>
          </w:tcPr>
          <w:p w14:paraId="0BB78C12" w14:textId="77777777" w:rsidR="00E139AE" w:rsidRPr="00B9083B" w:rsidRDefault="00E139AE" w:rsidP="0099417E">
            <w:pPr>
              <w:rPr>
                <w:rFonts w:asciiTheme="minorHAnsi" w:hAnsiTheme="minorHAnsi"/>
                <w:szCs w:val="22"/>
              </w:rPr>
            </w:pPr>
            <w:r w:rsidRPr="00B9083B">
              <w:rPr>
                <w:rFonts w:asciiTheme="minorHAnsi" w:hAnsiTheme="minorHAnsi"/>
                <w:szCs w:val="22"/>
              </w:rPr>
              <w:t>Severity</w:t>
            </w:r>
          </w:p>
        </w:tc>
        <w:tc>
          <w:tcPr>
            <w:tcW w:w="4358" w:type="dxa"/>
          </w:tcPr>
          <w:p w14:paraId="1B853761" w14:textId="77777777" w:rsidR="00E139AE" w:rsidRPr="00B9083B" w:rsidRDefault="00E139AE" w:rsidP="0099417E">
            <w:pPr>
              <w:rPr>
                <w:rFonts w:asciiTheme="minorHAnsi" w:hAnsiTheme="minorHAnsi"/>
                <w:szCs w:val="22"/>
              </w:rPr>
            </w:pPr>
            <w:r w:rsidRPr="00B9083B">
              <w:rPr>
                <w:rFonts w:asciiTheme="minorHAnsi" w:hAnsiTheme="minorHAnsi"/>
                <w:szCs w:val="22"/>
              </w:rPr>
              <w:t>SCORAD Index</w:t>
            </w:r>
          </w:p>
        </w:tc>
      </w:tr>
      <w:tr w:rsidR="00E139AE" w:rsidRPr="00B9083B" w14:paraId="2AF759B8" w14:textId="77777777" w:rsidTr="00E139AE">
        <w:tc>
          <w:tcPr>
            <w:tcW w:w="4362" w:type="dxa"/>
          </w:tcPr>
          <w:p w14:paraId="7D1F9989" w14:textId="77777777" w:rsidR="00E139AE" w:rsidRPr="00B9083B" w:rsidRDefault="00E139AE" w:rsidP="0099417E">
            <w:pPr>
              <w:rPr>
                <w:rFonts w:asciiTheme="minorHAnsi" w:hAnsiTheme="minorHAnsi"/>
                <w:szCs w:val="22"/>
              </w:rPr>
            </w:pPr>
            <w:r w:rsidRPr="00B9083B">
              <w:rPr>
                <w:rFonts w:asciiTheme="minorHAnsi" w:hAnsiTheme="minorHAnsi"/>
                <w:szCs w:val="22"/>
              </w:rPr>
              <w:t>Mild</w:t>
            </w:r>
          </w:p>
        </w:tc>
        <w:tc>
          <w:tcPr>
            <w:tcW w:w="4358" w:type="dxa"/>
          </w:tcPr>
          <w:p w14:paraId="405228E3" w14:textId="56245BAE" w:rsidR="00E139AE" w:rsidRPr="00B9083B" w:rsidRDefault="00E139AE" w:rsidP="0099417E">
            <w:pPr>
              <w:rPr>
                <w:rFonts w:asciiTheme="minorHAnsi" w:hAnsiTheme="minorHAnsi"/>
                <w:szCs w:val="22"/>
              </w:rPr>
            </w:pPr>
            <w:r>
              <w:rPr>
                <w:rFonts w:asciiTheme="minorHAnsi" w:hAnsiTheme="minorHAnsi"/>
                <w:szCs w:val="22"/>
              </w:rPr>
              <w:t xml:space="preserve">Less than </w:t>
            </w:r>
            <w:r w:rsidRPr="00B9083B">
              <w:rPr>
                <w:rFonts w:asciiTheme="minorHAnsi" w:hAnsiTheme="minorHAnsi"/>
                <w:szCs w:val="22"/>
              </w:rPr>
              <w:t>25</w:t>
            </w:r>
          </w:p>
        </w:tc>
      </w:tr>
      <w:tr w:rsidR="00E139AE" w:rsidRPr="00B9083B" w14:paraId="45248922" w14:textId="77777777" w:rsidTr="00E139AE">
        <w:tc>
          <w:tcPr>
            <w:tcW w:w="4362" w:type="dxa"/>
          </w:tcPr>
          <w:p w14:paraId="6E39A5BB" w14:textId="77777777" w:rsidR="00E139AE" w:rsidRPr="00B9083B" w:rsidRDefault="00E139AE" w:rsidP="0099417E">
            <w:pPr>
              <w:rPr>
                <w:rFonts w:asciiTheme="minorHAnsi" w:hAnsiTheme="minorHAnsi"/>
                <w:szCs w:val="22"/>
              </w:rPr>
            </w:pPr>
            <w:r w:rsidRPr="00B9083B">
              <w:rPr>
                <w:rFonts w:asciiTheme="minorHAnsi" w:hAnsiTheme="minorHAnsi"/>
                <w:szCs w:val="22"/>
              </w:rPr>
              <w:t>Moderate</w:t>
            </w:r>
          </w:p>
        </w:tc>
        <w:tc>
          <w:tcPr>
            <w:tcW w:w="4358" w:type="dxa"/>
          </w:tcPr>
          <w:p w14:paraId="3497F87C" w14:textId="574921E4" w:rsidR="00E139AE" w:rsidRPr="00B9083B" w:rsidRDefault="00E139AE" w:rsidP="0099417E">
            <w:pPr>
              <w:rPr>
                <w:rFonts w:asciiTheme="minorHAnsi" w:hAnsiTheme="minorHAnsi"/>
                <w:szCs w:val="22"/>
              </w:rPr>
            </w:pPr>
            <w:r>
              <w:rPr>
                <w:rFonts w:asciiTheme="minorHAnsi" w:hAnsiTheme="minorHAnsi"/>
                <w:szCs w:val="22"/>
              </w:rPr>
              <w:t xml:space="preserve">25 to </w:t>
            </w:r>
            <w:r w:rsidRPr="00B9083B">
              <w:rPr>
                <w:rFonts w:asciiTheme="minorHAnsi" w:hAnsiTheme="minorHAnsi"/>
                <w:szCs w:val="22"/>
              </w:rPr>
              <w:t>50</w:t>
            </w:r>
          </w:p>
        </w:tc>
      </w:tr>
      <w:tr w:rsidR="00E139AE" w:rsidRPr="00B9083B" w14:paraId="6D4F9C1D" w14:textId="77777777" w:rsidTr="00E139AE">
        <w:tc>
          <w:tcPr>
            <w:tcW w:w="4362" w:type="dxa"/>
          </w:tcPr>
          <w:p w14:paraId="25ADC042" w14:textId="77777777" w:rsidR="00E139AE" w:rsidRPr="00B9083B" w:rsidRDefault="00E139AE" w:rsidP="0099417E">
            <w:pPr>
              <w:rPr>
                <w:rFonts w:asciiTheme="minorHAnsi" w:hAnsiTheme="minorHAnsi"/>
                <w:szCs w:val="22"/>
              </w:rPr>
            </w:pPr>
            <w:r w:rsidRPr="00B9083B">
              <w:rPr>
                <w:rFonts w:asciiTheme="minorHAnsi" w:hAnsiTheme="minorHAnsi"/>
                <w:szCs w:val="22"/>
              </w:rPr>
              <w:t>Severe</w:t>
            </w:r>
          </w:p>
        </w:tc>
        <w:tc>
          <w:tcPr>
            <w:tcW w:w="4358" w:type="dxa"/>
          </w:tcPr>
          <w:p w14:paraId="15B574D4" w14:textId="1416EC91" w:rsidR="00E139AE" w:rsidRPr="00B9083B" w:rsidRDefault="00E139AE" w:rsidP="0099417E">
            <w:pPr>
              <w:rPr>
                <w:rFonts w:asciiTheme="minorHAnsi" w:hAnsiTheme="minorHAnsi"/>
                <w:szCs w:val="22"/>
              </w:rPr>
            </w:pPr>
            <w:r>
              <w:rPr>
                <w:rFonts w:asciiTheme="minorHAnsi" w:hAnsiTheme="minorHAnsi"/>
                <w:szCs w:val="22"/>
              </w:rPr>
              <w:t xml:space="preserve">More than </w:t>
            </w:r>
            <w:r w:rsidRPr="00B9083B">
              <w:rPr>
                <w:rFonts w:asciiTheme="minorHAnsi" w:hAnsiTheme="minorHAnsi"/>
                <w:szCs w:val="22"/>
              </w:rPr>
              <w:t>50</w:t>
            </w:r>
          </w:p>
        </w:tc>
      </w:tr>
    </w:tbl>
    <w:p w14:paraId="22250018" w14:textId="4B5FDE79" w:rsidR="00E139AE" w:rsidRPr="00B9083B" w:rsidRDefault="00E139AE" w:rsidP="00F96C79">
      <w:pPr>
        <w:pStyle w:val="TableDescription"/>
      </w:pPr>
      <w:r>
        <w:t>Abbreviation: SCORAD = Scoring</w:t>
      </w:r>
      <w:r w:rsidRPr="00B9083B">
        <w:t xml:space="preserve"> Atopic Dermatitis</w:t>
      </w:r>
    </w:p>
    <w:p w14:paraId="4B6E8457" w14:textId="5375DFEC" w:rsidR="00CB1DC8" w:rsidRDefault="00F96C79" w:rsidP="00E23B36">
      <w:r>
        <w:t>In addition, SCORAD</w:t>
      </w:r>
      <w:r w:rsidR="00CB1DC8" w:rsidRPr="00C97916">
        <w:t xml:space="preserve"> can also be described according to its separate components of Objective SCORAD, SCORAD Itch and</w:t>
      </w:r>
      <w:r w:rsidR="00CB1DC8" w:rsidRPr="00C97916">
        <w:rPr>
          <w:spacing w:val="1"/>
        </w:rPr>
        <w:t xml:space="preserve"> </w:t>
      </w:r>
      <w:r w:rsidR="00CB1DC8" w:rsidRPr="00C97916">
        <w:t>SCORAD</w:t>
      </w:r>
      <w:r w:rsidR="00CB1DC8" w:rsidRPr="00C97916">
        <w:rPr>
          <w:spacing w:val="-1"/>
        </w:rPr>
        <w:t xml:space="preserve"> </w:t>
      </w:r>
      <w:r w:rsidR="00CB1DC8" w:rsidRPr="00C97916">
        <w:t>Sleep</w:t>
      </w:r>
      <w:r>
        <w:t>.</w:t>
      </w:r>
    </w:p>
    <w:p w14:paraId="6C1C2FEE" w14:textId="64519FC1" w:rsidR="00323CBE" w:rsidRDefault="00323CBE" w:rsidP="00323CBE">
      <w:pPr>
        <w:pStyle w:val="Heading6"/>
      </w:pPr>
      <w:bookmarkStart w:id="85" w:name="_Ref126046814"/>
      <w:r w:rsidRPr="00D30FEF">
        <w:t>Atopic Dermatitis Symptom Scale (ADerm-SS)</w:t>
      </w:r>
      <w:bookmarkEnd w:id="85"/>
    </w:p>
    <w:p w14:paraId="409D7735" w14:textId="6A6AF0AF" w:rsidR="00323CBE" w:rsidRDefault="00323CBE" w:rsidP="00323CBE">
      <w:r>
        <w:t xml:space="preserve">The </w:t>
      </w:r>
      <w:r w:rsidRPr="00D30FEF">
        <w:t>Atopic Dermatitis Symptom Scale (ADerm-SS) is an 11-item questionnaire used to assess the signs and symptoms that subjects</w:t>
      </w:r>
      <w:r w:rsidRPr="00D30FEF">
        <w:rPr>
          <w:spacing w:val="1"/>
        </w:rPr>
        <w:t xml:space="preserve"> </w:t>
      </w:r>
      <w:r w:rsidRPr="00D30FEF">
        <w:t xml:space="preserve">experience due to </w:t>
      </w:r>
      <w:r>
        <w:t>atopic dermatitis using a 24-hour recall period.</w:t>
      </w:r>
      <w:bookmarkStart w:id="86" w:name="_Ref120808085"/>
      <w:r w:rsidR="0099417E">
        <w:rPr>
          <w:rStyle w:val="FootnoteReference"/>
        </w:rPr>
        <w:footnoteReference w:id="49"/>
      </w:r>
      <w:bookmarkEnd w:id="86"/>
      <w:r>
        <w:t xml:space="preserve"> </w:t>
      </w:r>
      <w:r w:rsidRPr="00D30FEF">
        <w:t>The ADerm-SS includes 3 items that subjects complete daily and 8</w:t>
      </w:r>
      <w:r w:rsidR="0099417E">
        <w:rPr>
          <w:spacing w:val="1"/>
        </w:rPr>
        <w:t> </w:t>
      </w:r>
      <w:r w:rsidRPr="00D30FEF">
        <w:t>items th</w:t>
      </w:r>
      <w:r w:rsidR="0099417E">
        <w:t xml:space="preserve">at subjects complete each week. An overview of the ADerm-SS is shown below in </w:t>
      </w:r>
      <w:r w:rsidR="0099417E">
        <w:fldChar w:fldCharType="begin"/>
      </w:r>
      <w:r w:rsidR="0099417E">
        <w:instrText xml:space="preserve"> REF _Ref120807984 \h </w:instrText>
      </w:r>
      <w:r w:rsidR="0099417E">
        <w:fldChar w:fldCharType="separate"/>
      </w:r>
      <w:r w:rsidR="00B51532">
        <w:t xml:space="preserve">Table </w:t>
      </w:r>
      <w:r w:rsidR="00B51532">
        <w:rPr>
          <w:noProof/>
        </w:rPr>
        <w:t>19</w:t>
      </w:r>
      <w:r w:rsidR="0099417E">
        <w:fldChar w:fldCharType="end"/>
      </w:r>
      <w:r w:rsidR="0099417E">
        <w:t>.</w:t>
      </w:r>
    </w:p>
    <w:p w14:paraId="2AF1F1DE" w14:textId="5F970F47" w:rsidR="005826DC" w:rsidRDefault="005826DC" w:rsidP="005826DC">
      <w:r>
        <w:t>The ADerm-SS Total Symptom Score (TSS-7) assesses itch while asleep, itch while awake, skin pain, skin cracking, pain caused by skin cracking, dry skin, and flaking due to atopic dermatitis.</w:t>
      </w:r>
    </w:p>
    <w:p w14:paraId="55F57B63" w14:textId="151DD0A8" w:rsidR="000D0402" w:rsidRDefault="002C4F37" w:rsidP="00386295">
      <w:pPr>
        <w:rPr>
          <w:color w:val="000000" w:themeColor="text1"/>
        </w:rPr>
      </w:pPr>
      <w:r>
        <w:t xml:space="preserve">Note that both the ADerm-SS and ADerm-IS (see </w:t>
      </w:r>
      <w:r>
        <w:fldChar w:fldCharType="begin"/>
      </w:r>
      <w:r>
        <w:instrText xml:space="preserve"> REF _Ref125686128 \h </w:instrText>
      </w:r>
      <w:r>
        <w:fldChar w:fldCharType="separate"/>
      </w:r>
      <w:r w:rsidR="00B51532">
        <w:t>Atopic Dermatitis Impact Scale (ADerm-IS)</w:t>
      </w:r>
      <w:r>
        <w:fldChar w:fldCharType="end"/>
      </w:r>
      <w:r>
        <w:t xml:space="preserve"> </w:t>
      </w:r>
      <w:r w:rsidR="00386295">
        <w:t>are novel patient reported out</w:t>
      </w:r>
      <w:r w:rsidR="007E5C95">
        <w:t xml:space="preserve">comes </w:t>
      </w:r>
      <w:r w:rsidR="00386295">
        <w:rPr>
          <w:color w:val="000000" w:themeColor="text1"/>
        </w:rPr>
        <w:t xml:space="preserve">developed </w:t>
      </w:r>
      <w:r w:rsidR="005826DC">
        <w:rPr>
          <w:color w:val="000000" w:themeColor="text1"/>
        </w:rPr>
        <w:t xml:space="preserve">and validated </w:t>
      </w:r>
      <w:r w:rsidR="00386295">
        <w:rPr>
          <w:color w:val="000000" w:themeColor="text1"/>
        </w:rPr>
        <w:t>by the sponsor</w:t>
      </w:r>
      <w:r w:rsidR="007E5C95">
        <w:rPr>
          <w:color w:val="000000" w:themeColor="text1"/>
        </w:rPr>
        <w:t>.</w:t>
      </w:r>
      <w:r w:rsidR="005826DC">
        <w:rPr>
          <w:color w:val="000000" w:themeColor="text1"/>
        </w:rPr>
        <w:t xml:space="preserve"> </w:t>
      </w:r>
      <w:r w:rsidR="007E5C95">
        <w:rPr>
          <w:color w:val="000000" w:themeColor="text1"/>
        </w:rPr>
        <w:t xml:space="preserve">The sponsor </w:t>
      </w:r>
      <w:r w:rsidR="00386295" w:rsidRPr="00E166EF">
        <w:rPr>
          <w:color w:val="000000" w:themeColor="text1"/>
        </w:rPr>
        <w:t xml:space="preserve">validity, measurement properties, and evidence supporting the </w:t>
      </w:r>
      <w:r w:rsidR="000D0402">
        <w:rPr>
          <w:color w:val="000000" w:themeColor="text1"/>
        </w:rPr>
        <w:t>minimal clinical important difference</w:t>
      </w:r>
      <w:r w:rsidR="00386295" w:rsidRPr="00E166EF">
        <w:rPr>
          <w:color w:val="000000" w:themeColor="text1"/>
        </w:rPr>
        <w:t xml:space="preserve"> thresholds were </w:t>
      </w:r>
      <w:r w:rsidR="007E5C95">
        <w:rPr>
          <w:color w:val="000000" w:themeColor="text1"/>
        </w:rPr>
        <w:t>provided with this submission.</w:t>
      </w:r>
      <w:r w:rsidR="005826DC" w:rsidRPr="005308BE">
        <w:rPr>
          <w:color w:val="000000" w:themeColor="text1"/>
          <w:vertAlign w:val="superscript"/>
        </w:rPr>
        <w:fldChar w:fldCharType="begin"/>
      </w:r>
      <w:r w:rsidR="005826DC" w:rsidRPr="005308BE">
        <w:rPr>
          <w:color w:val="000000" w:themeColor="text1"/>
          <w:vertAlign w:val="superscript"/>
        </w:rPr>
        <w:instrText xml:space="preserve"> NOTEREF _Ref125691332 \h </w:instrText>
      </w:r>
      <w:r w:rsidR="005308BE">
        <w:rPr>
          <w:color w:val="000000" w:themeColor="text1"/>
          <w:vertAlign w:val="superscript"/>
        </w:rPr>
        <w:instrText xml:space="preserve"> \* MERGEFORMAT </w:instrText>
      </w:r>
      <w:r w:rsidR="005826DC" w:rsidRPr="005308BE">
        <w:rPr>
          <w:color w:val="000000" w:themeColor="text1"/>
          <w:vertAlign w:val="superscript"/>
        </w:rPr>
      </w:r>
      <w:r w:rsidR="005826DC" w:rsidRPr="005308BE">
        <w:rPr>
          <w:color w:val="000000" w:themeColor="text1"/>
          <w:vertAlign w:val="superscript"/>
        </w:rPr>
        <w:fldChar w:fldCharType="separate"/>
      </w:r>
      <w:r w:rsidR="00B51532">
        <w:rPr>
          <w:color w:val="000000" w:themeColor="text1"/>
          <w:vertAlign w:val="superscript"/>
        </w:rPr>
        <w:t>48</w:t>
      </w:r>
      <w:r w:rsidR="005826DC" w:rsidRPr="005308BE">
        <w:rPr>
          <w:color w:val="000000" w:themeColor="text1"/>
          <w:vertAlign w:val="superscript"/>
        </w:rPr>
        <w:fldChar w:fldCharType="end"/>
      </w:r>
      <w:r w:rsidR="005308BE" w:rsidRPr="005308BE">
        <w:rPr>
          <w:color w:val="000000" w:themeColor="text1"/>
          <w:vertAlign w:val="superscript"/>
        </w:rPr>
        <w:t>,</w:t>
      </w:r>
      <w:r w:rsidR="005826DC" w:rsidRPr="005308BE">
        <w:rPr>
          <w:color w:val="000000" w:themeColor="text1"/>
          <w:vertAlign w:val="superscript"/>
        </w:rPr>
        <w:fldChar w:fldCharType="begin"/>
      </w:r>
      <w:r w:rsidR="005826DC" w:rsidRPr="005308BE">
        <w:rPr>
          <w:color w:val="000000" w:themeColor="text1"/>
          <w:vertAlign w:val="superscript"/>
        </w:rPr>
        <w:instrText xml:space="preserve"> NOTEREF _Ref120808085 \h </w:instrText>
      </w:r>
      <w:r w:rsidR="005308BE">
        <w:rPr>
          <w:color w:val="000000" w:themeColor="text1"/>
          <w:vertAlign w:val="superscript"/>
        </w:rPr>
        <w:instrText xml:space="preserve"> \* MERGEFORMAT </w:instrText>
      </w:r>
      <w:r w:rsidR="005826DC" w:rsidRPr="005308BE">
        <w:rPr>
          <w:color w:val="000000" w:themeColor="text1"/>
          <w:vertAlign w:val="superscript"/>
        </w:rPr>
      </w:r>
      <w:r w:rsidR="005826DC" w:rsidRPr="005308BE">
        <w:rPr>
          <w:color w:val="000000" w:themeColor="text1"/>
          <w:vertAlign w:val="superscript"/>
        </w:rPr>
        <w:fldChar w:fldCharType="separate"/>
      </w:r>
      <w:r w:rsidR="00B51532">
        <w:rPr>
          <w:color w:val="000000" w:themeColor="text1"/>
          <w:vertAlign w:val="superscript"/>
        </w:rPr>
        <w:t>49</w:t>
      </w:r>
      <w:r w:rsidR="005826DC" w:rsidRPr="005308BE">
        <w:rPr>
          <w:color w:val="000000" w:themeColor="text1"/>
          <w:vertAlign w:val="superscript"/>
        </w:rPr>
        <w:fldChar w:fldCharType="end"/>
      </w:r>
    </w:p>
    <w:p w14:paraId="7F0F2A05" w14:textId="00D3A977" w:rsidR="002C4F37" w:rsidRDefault="00386295" w:rsidP="00323CBE">
      <w:r>
        <w:t xml:space="preserve">The sponsor has stated that these </w:t>
      </w:r>
      <w:r w:rsidR="002C4F37" w:rsidRPr="002C4F37">
        <w:t xml:space="preserve">been developed in alignment with patient-reported outcome </w:t>
      </w:r>
      <w:r>
        <w:t xml:space="preserve">guidance from both the US </w:t>
      </w:r>
      <w:r w:rsidR="002C4F37" w:rsidRPr="002C4F37">
        <w:t>FDA</w:t>
      </w:r>
      <w:r>
        <w:t>;</w:t>
      </w:r>
      <w:r>
        <w:rPr>
          <w:rStyle w:val="FootnoteReference"/>
        </w:rPr>
        <w:footnoteReference w:id="50"/>
      </w:r>
      <w:r w:rsidR="002C4F37" w:rsidRPr="002C4F37">
        <w:t xml:space="preserve"> and </w:t>
      </w:r>
      <w:r w:rsidR="000D0402">
        <w:t>the EMA.</w:t>
      </w:r>
      <w:r w:rsidR="000D0402">
        <w:rPr>
          <w:rStyle w:val="FootnoteReference"/>
        </w:rPr>
        <w:footnoteReference w:id="51"/>
      </w:r>
    </w:p>
    <w:p w14:paraId="78E54E08" w14:textId="3B4FF393" w:rsidR="0099417E" w:rsidRDefault="0099417E" w:rsidP="0099417E">
      <w:pPr>
        <w:pStyle w:val="Tabletitle0"/>
      </w:pPr>
      <w:bookmarkStart w:id="87" w:name="_Ref120807984"/>
      <w:r>
        <w:t xml:space="preserve">Table </w:t>
      </w:r>
      <w:fldSimple w:instr=" SEQ Table \* ARABIC ">
        <w:r w:rsidR="00B51532">
          <w:rPr>
            <w:noProof/>
          </w:rPr>
          <w:t>19</w:t>
        </w:r>
      </w:fldSimple>
      <w:bookmarkEnd w:id="87"/>
      <w:r>
        <w:t>: Atopic Dermatitis Symptom Scale (ADerm-SS)</w:t>
      </w:r>
    </w:p>
    <w:tbl>
      <w:tblPr>
        <w:tblStyle w:val="TableTGAblue"/>
        <w:tblW w:w="5000" w:type="pct"/>
        <w:tblLook w:val="04A0" w:firstRow="1" w:lastRow="0" w:firstColumn="1" w:lastColumn="0" w:noHBand="0" w:noVBand="1"/>
      </w:tblPr>
      <w:tblGrid>
        <w:gridCol w:w="1344"/>
        <w:gridCol w:w="2068"/>
        <w:gridCol w:w="1620"/>
        <w:gridCol w:w="929"/>
        <w:gridCol w:w="2523"/>
      </w:tblGrid>
      <w:tr w:rsidR="0099417E" w:rsidRPr="0099417E" w14:paraId="5486F6FE" w14:textId="77777777" w:rsidTr="0099417E">
        <w:trPr>
          <w:cnfStyle w:val="100000000000" w:firstRow="1" w:lastRow="0" w:firstColumn="0" w:lastColumn="0" w:oddVBand="0" w:evenVBand="0" w:oddHBand="0" w:evenHBand="0" w:firstRowFirstColumn="0" w:firstRowLastColumn="0" w:lastRowFirstColumn="0" w:lastRowLastColumn="0"/>
        </w:trPr>
        <w:tc>
          <w:tcPr>
            <w:tcW w:w="835" w:type="pct"/>
            <w:hideMark/>
          </w:tcPr>
          <w:p w14:paraId="1FC7DE07" w14:textId="77777777" w:rsidR="0099417E" w:rsidRPr="0099417E" w:rsidRDefault="0099417E" w:rsidP="0099417E">
            <w:pPr>
              <w:ind w:left="0" w:right="0"/>
              <w:rPr>
                <w:sz w:val="19"/>
                <w:szCs w:val="19"/>
              </w:rPr>
            </w:pPr>
            <w:r w:rsidRPr="0099417E">
              <w:rPr>
                <w:sz w:val="19"/>
                <w:szCs w:val="19"/>
              </w:rPr>
              <w:t>Section</w:t>
            </w:r>
          </w:p>
        </w:tc>
        <w:tc>
          <w:tcPr>
            <w:tcW w:w="1262" w:type="pct"/>
            <w:hideMark/>
          </w:tcPr>
          <w:p w14:paraId="519D88C9" w14:textId="77777777" w:rsidR="0099417E" w:rsidRPr="0099417E" w:rsidRDefault="0099417E" w:rsidP="0099417E">
            <w:pPr>
              <w:ind w:left="0" w:right="0"/>
              <w:rPr>
                <w:sz w:val="19"/>
                <w:szCs w:val="19"/>
              </w:rPr>
            </w:pPr>
            <w:r w:rsidRPr="0099417E">
              <w:rPr>
                <w:sz w:val="19"/>
                <w:szCs w:val="19"/>
              </w:rPr>
              <w:t>Concepts</w:t>
            </w:r>
          </w:p>
        </w:tc>
        <w:tc>
          <w:tcPr>
            <w:tcW w:w="997" w:type="pct"/>
            <w:hideMark/>
          </w:tcPr>
          <w:p w14:paraId="2395637C" w14:textId="77777777" w:rsidR="0099417E" w:rsidRPr="0099417E" w:rsidRDefault="0099417E" w:rsidP="0099417E">
            <w:pPr>
              <w:ind w:left="0" w:right="0"/>
              <w:rPr>
                <w:sz w:val="19"/>
                <w:szCs w:val="19"/>
              </w:rPr>
            </w:pPr>
            <w:r w:rsidRPr="0099417E">
              <w:rPr>
                <w:sz w:val="19"/>
                <w:szCs w:val="19"/>
              </w:rPr>
              <w:t>Overall concepts</w:t>
            </w:r>
          </w:p>
        </w:tc>
        <w:tc>
          <w:tcPr>
            <w:tcW w:w="459" w:type="pct"/>
            <w:hideMark/>
          </w:tcPr>
          <w:p w14:paraId="35164511" w14:textId="77777777" w:rsidR="0099417E" w:rsidRPr="0099417E" w:rsidRDefault="0099417E" w:rsidP="0099417E">
            <w:pPr>
              <w:ind w:left="0" w:right="0"/>
              <w:rPr>
                <w:sz w:val="19"/>
                <w:szCs w:val="19"/>
              </w:rPr>
            </w:pPr>
            <w:r w:rsidRPr="0099417E">
              <w:rPr>
                <w:sz w:val="19"/>
                <w:szCs w:val="19"/>
              </w:rPr>
              <w:t>Recall period</w:t>
            </w:r>
          </w:p>
        </w:tc>
        <w:tc>
          <w:tcPr>
            <w:tcW w:w="1447" w:type="pct"/>
            <w:hideMark/>
          </w:tcPr>
          <w:p w14:paraId="32647FC8" w14:textId="77777777" w:rsidR="0099417E" w:rsidRPr="0099417E" w:rsidRDefault="0099417E" w:rsidP="0099417E">
            <w:pPr>
              <w:ind w:left="0" w:right="0"/>
              <w:rPr>
                <w:sz w:val="19"/>
                <w:szCs w:val="19"/>
              </w:rPr>
            </w:pPr>
            <w:r w:rsidRPr="0099417E">
              <w:rPr>
                <w:sz w:val="19"/>
                <w:szCs w:val="19"/>
              </w:rPr>
              <w:t>Response options</w:t>
            </w:r>
          </w:p>
        </w:tc>
      </w:tr>
      <w:tr w:rsidR="0099417E" w:rsidRPr="0099417E" w14:paraId="7115149B" w14:textId="77777777" w:rsidTr="0099417E">
        <w:tc>
          <w:tcPr>
            <w:tcW w:w="835" w:type="pct"/>
            <w:vMerge w:val="restart"/>
            <w:hideMark/>
          </w:tcPr>
          <w:p w14:paraId="58BE5839" w14:textId="77777777" w:rsidR="0099417E" w:rsidRPr="0099417E" w:rsidRDefault="0099417E" w:rsidP="0099417E">
            <w:pPr>
              <w:ind w:left="0" w:right="0"/>
              <w:rPr>
                <w:sz w:val="19"/>
                <w:szCs w:val="19"/>
              </w:rPr>
            </w:pPr>
            <w:r w:rsidRPr="0099417E">
              <w:rPr>
                <w:sz w:val="19"/>
                <w:szCs w:val="19"/>
              </w:rPr>
              <w:t>Daily diary (Completed every night)</w:t>
            </w:r>
          </w:p>
        </w:tc>
        <w:tc>
          <w:tcPr>
            <w:tcW w:w="1262" w:type="pct"/>
            <w:hideMark/>
          </w:tcPr>
          <w:p w14:paraId="194B5668" w14:textId="77777777" w:rsidR="0099417E" w:rsidRPr="0099417E" w:rsidRDefault="0099417E" w:rsidP="0099417E">
            <w:pPr>
              <w:ind w:left="0" w:right="0"/>
              <w:rPr>
                <w:sz w:val="19"/>
                <w:szCs w:val="19"/>
              </w:rPr>
            </w:pPr>
            <w:r w:rsidRPr="0099417E">
              <w:rPr>
                <w:sz w:val="19"/>
                <w:szCs w:val="19"/>
              </w:rPr>
              <w:t>Itch during sleep hours</w:t>
            </w:r>
          </w:p>
        </w:tc>
        <w:tc>
          <w:tcPr>
            <w:tcW w:w="997" w:type="pct"/>
            <w:vMerge w:val="restart"/>
            <w:hideMark/>
          </w:tcPr>
          <w:p w14:paraId="7A3E8322" w14:textId="5AD8DE85" w:rsidR="0099417E" w:rsidRPr="0099417E" w:rsidRDefault="0099417E" w:rsidP="0099417E">
            <w:pPr>
              <w:ind w:left="0" w:right="0"/>
              <w:rPr>
                <w:sz w:val="19"/>
                <w:szCs w:val="19"/>
              </w:rPr>
            </w:pPr>
            <w:r w:rsidRPr="0099417E">
              <w:rPr>
                <w:sz w:val="19"/>
                <w:szCs w:val="19"/>
              </w:rPr>
              <w:t xml:space="preserve">Signs/symptoms of </w:t>
            </w:r>
            <w:r>
              <w:rPr>
                <w:sz w:val="19"/>
                <w:szCs w:val="19"/>
              </w:rPr>
              <w:t>atopic dermatitis</w:t>
            </w:r>
            <w:r w:rsidRPr="0099417E">
              <w:rPr>
                <w:sz w:val="19"/>
                <w:szCs w:val="19"/>
              </w:rPr>
              <w:t xml:space="preserve"> at their worst</w:t>
            </w:r>
          </w:p>
        </w:tc>
        <w:tc>
          <w:tcPr>
            <w:tcW w:w="459" w:type="pct"/>
            <w:vMerge w:val="restart"/>
            <w:hideMark/>
          </w:tcPr>
          <w:p w14:paraId="4B39A7C3" w14:textId="4351AD7F" w:rsidR="0099417E" w:rsidRPr="0099417E" w:rsidRDefault="0099417E" w:rsidP="0099417E">
            <w:pPr>
              <w:ind w:left="0" w:right="0"/>
              <w:rPr>
                <w:sz w:val="19"/>
                <w:szCs w:val="19"/>
              </w:rPr>
            </w:pPr>
            <w:r w:rsidRPr="0099417E">
              <w:rPr>
                <w:sz w:val="19"/>
                <w:szCs w:val="19"/>
              </w:rPr>
              <w:t>Past 24 h</w:t>
            </w:r>
            <w:r>
              <w:rPr>
                <w:sz w:val="19"/>
                <w:szCs w:val="19"/>
              </w:rPr>
              <w:t>ours</w:t>
            </w:r>
          </w:p>
        </w:tc>
        <w:tc>
          <w:tcPr>
            <w:tcW w:w="1447" w:type="pct"/>
            <w:vMerge w:val="restart"/>
            <w:hideMark/>
          </w:tcPr>
          <w:p w14:paraId="7DE5B9C7" w14:textId="5A431B28" w:rsidR="0099417E" w:rsidRPr="0099417E" w:rsidRDefault="0099417E" w:rsidP="0099417E">
            <w:pPr>
              <w:ind w:left="0" w:right="0"/>
              <w:rPr>
                <w:sz w:val="19"/>
                <w:szCs w:val="19"/>
              </w:rPr>
            </w:pPr>
            <w:r w:rsidRPr="0099417E">
              <w:rPr>
                <w:sz w:val="19"/>
                <w:szCs w:val="19"/>
              </w:rPr>
              <w:t>0 = ‘No [sign/symptom]’</w:t>
            </w:r>
            <w:r w:rsidRPr="0099417E">
              <w:rPr>
                <w:sz w:val="19"/>
                <w:szCs w:val="19"/>
              </w:rPr>
              <w:br/>
              <w:t>10 = ‘Worst imaginable [sign/symptom]’</w:t>
            </w:r>
          </w:p>
        </w:tc>
      </w:tr>
      <w:tr w:rsidR="0099417E" w:rsidRPr="0099417E" w14:paraId="208FABDD" w14:textId="77777777" w:rsidTr="0099417E">
        <w:tc>
          <w:tcPr>
            <w:tcW w:w="835" w:type="pct"/>
            <w:vMerge/>
            <w:hideMark/>
          </w:tcPr>
          <w:p w14:paraId="50C46E53" w14:textId="77777777" w:rsidR="0099417E" w:rsidRPr="0099417E" w:rsidRDefault="0099417E" w:rsidP="0099417E">
            <w:pPr>
              <w:ind w:left="0" w:right="0"/>
              <w:rPr>
                <w:sz w:val="19"/>
                <w:szCs w:val="19"/>
              </w:rPr>
            </w:pPr>
          </w:p>
        </w:tc>
        <w:tc>
          <w:tcPr>
            <w:tcW w:w="1262" w:type="pct"/>
            <w:hideMark/>
          </w:tcPr>
          <w:p w14:paraId="1AC95546" w14:textId="77777777" w:rsidR="0099417E" w:rsidRPr="0099417E" w:rsidRDefault="0099417E" w:rsidP="0099417E">
            <w:pPr>
              <w:ind w:left="0" w:right="0"/>
              <w:rPr>
                <w:sz w:val="19"/>
                <w:szCs w:val="19"/>
              </w:rPr>
            </w:pPr>
            <w:r w:rsidRPr="0099417E">
              <w:rPr>
                <w:sz w:val="19"/>
                <w:szCs w:val="19"/>
              </w:rPr>
              <w:t>Itch during awake hours</w:t>
            </w:r>
          </w:p>
        </w:tc>
        <w:tc>
          <w:tcPr>
            <w:tcW w:w="997" w:type="pct"/>
            <w:vMerge/>
            <w:hideMark/>
          </w:tcPr>
          <w:p w14:paraId="38D92038" w14:textId="77777777" w:rsidR="0099417E" w:rsidRPr="0099417E" w:rsidRDefault="0099417E" w:rsidP="0099417E">
            <w:pPr>
              <w:ind w:left="0" w:right="0"/>
              <w:rPr>
                <w:sz w:val="19"/>
                <w:szCs w:val="19"/>
              </w:rPr>
            </w:pPr>
          </w:p>
        </w:tc>
        <w:tc>
          <w:tcPr>
            <w:tcW w:w="459" w:type="pct"/>
            <w:vMerge/>
            <w:hideMark/>
          </w:tcPr>
          <w:p w14:paraId="7CB5CA40" w14:textId="77777777" w:rsidR="0099417E" w:rsidRPr="0099417E" w:rsidRDefault="0099417E" w:rsidP="0099417E">
            <w:pPr>
              <w:ind w:left="0" w:right="0"/>
              <w:rPr>
                <w:sz w:val="19"/>
                <w:szCs w:val="19"/>
              </w:rPr>
            </w:pPr>
          </w:p>
        </w:tc>
        <w:tc>
          <w:tcPr>
            <w:tcW w:w="1447" w:type="pct"/>
            <w:vMerge/>
            <w:hideMark/>
          </w:tcPr>
          <w:p w14:paraId="651CE525" w14:textId="77777777" w:rsidR="0099417E" w:rsidRPr="0099417E" w:rsidRDefault="0099417E" w:rsidP="0099417E">
            <w:pPr>
              <w:ind w:left="0" w:right="0"/>
              <w:rPr>
                <w:sz w:val="19"/>
                <w:szCs w:val="19"/>
              </w:rPr>
            </w:pPr>
          </w:p>
        </w:tc>
      </w:tr>
      <w:tr w:rsidR="0099417E" w:rsidRPr="0099417E" w14:paraId="6EB361C2" w14:textId="77777777" w:rsidTr="0099417E">
        <w:tc>
          <w:tcPr>
            <w:tcW w:w="835" w:type="pct"/>
            <w:vMerge/>
            <w:hideMark/>
          </w:tcPr>
          <w:p w14:paraId="42C0F495" w14:textId="77777777" w:rsidR="0099417E" w:rsidRPr="0099417E" w:rsidRDefault="0099417E" w:rsidP="0099417E">
            <w:pPr>
              <w:ind w:left="0" w:right="0"/>
              <w:rPr>
                <w:sz w:val="19"/>
                <w:szCs w:val="19"/>
              </w:rPr>
            </w:pPr>
          </w:p>
        </w:tc>
        <w:tc>
          <w:tcPr>
            <w:tcW w:w="1262" w:type="pct"/>
            <w:hideMark/>
          </w:tcPr>
          <w:p w14:paraId="7F73D3EA" w14:textId="77777777" w:rsidR="0099417E" w:rsidRPr="0099417E" w:rsidRDefault="0099417E" w:rsidP="0099417E">
            <w:pPr>
              <w:ind w:left="0" w:right="0"/>
              <w:rPr>
                <w:sz w:val="19"/>
                <w:szCs w:val="19"/>
              </w:rPr>
            </w:pPr>
            <w:r w:rsidRPr="0099417E">
              <w:rPr>
                <w:sz w:val="19"/>
                <w:szCs w:val="19"/>
              </w:rPr>
              <w:t>Skin pain</w:t>
            </w:r>
          </w:p>
        </w:tc>
        <w:tc>
          <w:tcPr>
            <w:tcW w:w="997" w:type="pct"/>
            <w:vMerge/>
            <w:hideMark/>
          </w:tcPr>
          <w:p w14:paraId="1995A568" w14:textId="77777777" w:rsidR="0099417E" w:rsidRPr="0099417E" w:rsidRDefault="0099417E" w:rsidP="0099417E">
            <w:pPr>
              <w:ind w:left="0" w:right="0"/>
              <w:rPr>
                <w:sz w:val="19"/>
                <w:szCs w:val="19"/>
              </w:rPr>
            </w:pPr>
          </w:p>
        </w:tc>
        <w:tc>
          <w:tcPr>
            <w:tcW w:w="459" w:type="pct"/>
            <w:vMerge/>
            <w:hideMark/>
          </w:tcPr>
          <w:p w14:paraId="1CF741C1" w14:textId="77777777" w:rsidR="0099417E" w:rsidRPr="0099417E" w:rsidRDefault="0099417E" w:rsidP="0099417E">
            <w:pPr>
              <w:ind w:left="0" w:right="0"/>
              <w:rPr>
                <w:sz w:val="19"/>
                <w:szCs w:val="19"/>
              </w:rPr>
            </w:pPr>
          </w:p>
        </w:tc>
        <w:tc>
          <w:tcPr>
            <w:tcW w:w="1447" w:type="pct"/>
            <w:vMerge/>
            <w:hideMark/>
          </w:tcPr>
          <w:p w14:paraId="54A23AB7" w14:textId="77777777" w:rsidR="0099417E" w:rsidRPr="0099417E" w:rsidRDefault="0099417E" w:rsidP="0099417E">
            <w:pPr>
              <w:ind w:left="0" w:right="0"/>
              <w:rPr>
                <w:sz w:val="19"/>
                <w:szCs w:val="19"/>
              </w:rPr>
            </w:pPr>
          </w:p>
        </w:tc>
      </w:tr>
      <w:tr w:rsidR="0099417E" w:rsidRPr="0099417E" w14:paraId="737C95CE" w14:textId="77777777" w:rsidTr="0099417E">
        <w:tc>
          <w:tcPr>
            <w:tcW w:w="835" w:type="pct"/>
            <w:vMerge w:val="restart"/>
            <w:hideMark/>
          </w:tcPr>
          <w:p w14:paraId="72BA432A" w14:textId="77777777" w:rsidR="0099417E" w:rsidRPr="0099417E" w:rsidRDefault="0099417E" w:rsidP="0099417E">
            <w:pPr>
              <w:ind w:left="0" w:right="0"/>
              <w:rPr>
                <w:sz w:val="19"/>
                <w:szCs w:val="19"/>
              </w:rPr>
            </w:pPr>
            <w:r w:rsidRPr="0099417E">
              <w:rPr>
                <w:sz w:val="19"/>
                <w:szCs w:val="19"/>
              </w:rPr>
              <w:t>Weekly diary (Completed once per week)</w:t>
            </w:r>
          </w:p>
        </w:tc>
        <w:tc>
          <w:tcPr>
            <w:tcW w:w="1262" w:type="pct"/>
            <w:hideMark/>
          </w:tcPr>
          <w:p w14:paraId="6EAF8D7A" w14:textId="77777777" w:rsidR="0099417E" w:rsidRPr="0099417E" w:rsidRDefault="0099417E" w:rsidP="0099417E">
            <w:pPr>
              <w:ind w:left="0" w:right="0"/>
              <w:rPr>
                <w:sz w:val="19"/>
                <w:szCs w:val="19"/>
              </w:rPr>
            </w:pPr>
            <w:r w:rsidRPr="0099417E">
              <w:rPr>
                <w:sz w:val="19"/>
                <w:szCs w:val="19"/>
              </w:rPr>
              <w:t>Skin cracking</w:t>
            </w:r>
          </w:p>
        </w:tc>
        <w:tc>
          <w:tcPr>
            <w:tcW w:w="997" w:type="pct"/>
            <w:vMerge/>
            <w:hideMark/>
          </w:tcPr>
          <w:p w14:paraId="5FD37ED3" w14:textId="77777777" w:rsidR="0099417E" w:rsidRPr="0099417E" w:rsidRDefault="0099417E" w:rsidP="0099417E">
            <w:pPr>
              <w:ind w:left="0" w:right="0"/>
              <w:rPr>
                <w:sz w:val="19"/>
                <w:szCs w:val="19"/>
              </w:rPr>
            </w:pPr>
          </w:p>
        </w:tc>
        <w:tc>
          <w:tcPr>
            <w:tcW w:w="459" w:type="pct"/>
            <w:vMerge/>
            <w:hideMark/>
          </w:tcPr>
          <w:p w14:paraId="4FB54815" w14:textId="77777777" w:rsidR="0099417E" w:rsidRPr="0099417E" w:rsidRDefault="0099417E" w:rsidP="0099417E">
            <w:pPr>
              <w:ind w:left="0" w:right="0"/>
              <w:rPr>
                <w:sz w:val="19"/>
                <w:szCs w:val="19"/>
              </w:rPr>
            </w:pPr>
          </w:p>
        </w:tc>
        <w:tc>
          <w:tcPr>
            <w:tcW w:w="1447" w:type="pct"/>
            <w:vMerge/>
            <w:hideMark/>
          </w:tcPr>
          <w:p w14:paraId="789B28E3" w14:textId="77777777" w:rsidR="0099417E" w:rsidRPr="0099417E" w:rsidRDefault="0099417E" w:rsidP="0099417E">
            <w:pPr>
              <w:ind w:left="0" w:right="0"/>
              <w:rPr>
                <w:sz w:val="19"/>
                <w:szCs w:val="19"/>
              </w:rPr>
            </w:pPr>
          </w:p>
        </w:tc>
      </w:tr>
      <w:tr w:rsidR="0099417E" w:rsidRPr="0099417E" w14:paraId="75096210" w14:textId="77777777" w:rsidTr="0099417E">
        <w:tc>
          <w:tcPr>
            <w:tcW w:w="835" w:type="pct"/>
            <w:vMerge/>
            <w:hideMark/>
          </w:tcPr>
          <w:p w14:paraId="0D8BFE18" w14:textId="77777777" w:rsidR="0099417E" w:rsidRPr="0099417E" w:rsidRDefault="0099417E" w:rsidP="0099417E">
            <w:pPr>
              <w:ind w:left="0" w:right="0"/>
              <w:rPr>
                <w:sz w:val="19"/>
                <w:szCs w:val="19"/>
              </w:rPr>
            </w:pPr>
          </w:p>
        </w:tc>
        <w:tc>
          <w:tcPr>
            <w:tcW w:w="1262" w:type="pct"/>
            <w:hideMark/>
          </w:tcPr>
          <w:p w14:paraId="4E9F94BE" w14:textId="77777777" w:rsidR="0099417E" w:rsidRPr="0099417E" w:rsidRDefault="0099417E" w:rsidP="0099417E">
            <w:pPr>
              <w:ind w:left="0" w:right="0"/>
              <w:rPr>
                <w:sz w:val="19"/>
                <w:szCs w:val="19"/>
              </w:rPr>
            </w:pPr>
            <w:r w:rsidRPr="0099417E">
              <w:rPr>
                <w:sz w:val="19"/>
                <w:szCs w:val="19"/>
              </w:rPr>
              <w:t>Pain caused by skin cracking</w:t>
            </w:r>
          </w:p>
        </w:tc>
        <w:tc>
          <w:tcPr>
            <w:tcW w:w="997" w:type="pct"/>
            <w:vMerge/>
            <w:hideMark/>
          </w:tcPr>
          <w:p w14:paraId="5B1A1570" w14:textId="77777777" w:rsidR="0099417E" w:rsidRPr="0099417E" w:rsidRDefault="0099417E" w:rsidP="0099417E">
            <w:pPr>
              <w:ind w:left="0" w:right="0"/>
              <w:rPr>
                <w:sz w:val="19"/>
                <w:szCs w:val="19"/>
              </w:rPr>
            </w:pPr>
          </w:p>
        </w:tc>
        <w:tc>
          <w:tcPr>
            <w:tcW w:w="459" w:type="pct"/>
            <w:vMerge/>
            <w:hideMark/>
          </w:tcPr>
          <w:p w14:paraId="12B5506B" w14:textId="77777777" w:rsidR="0099417E" w:rsidRPr="0099417E" w:rsidRDefault="0099417E" w:rsidP="0099417E">
            <w:pPr>
              <w:ind w:left="0" w:right="0"/>
              <w:rPr>
                <w:sz w:val="19"/>
                <w:szCs w:val="19"/>
              </w:rPr>
            </w:pPr>
          </w:p>
        </w:tc>
        <w:tc>
          <w:tcPr>
            <w:tcW w:w="1447" w:type="pct"/>
            <w:vMerge/>
            <w:hideMark/>
          </w:tcPr>
          <w:p w14:paraId="50DACD78" w14:textId="77777777" w:rsidR="0099417E" w:rsidRPr="0099417E" w:rsidRDefault="0099417E" w:rsidP="0099417E">
            <w:pPr>
              <w:ind w:left="0" w:right="0"/>
              <w:rPr>
                <w:sz w:val="19"/>
                <w:szCs w:val="19"/>
              </w:rPr>
            </w:pPr>
          </w:p>
        </w:tc>
      </w:tr>
      <w:tr w:rsidR="0099417E" w:rsidRPr="0099417E" w14:paraId="545D898D" w14:textId="77777777" w:rsidTr="0099417E">
        <w:tc>
          <w:tcPr>
            <w:tcW w:w="835" w:type="pct"/>
            <w:vMerge/>
            <w:hideMark/>
          </w:tcPr>
          <w:p w14:paraId="0403E81E" w14:textId="77777777" w:rsidR="0099417E" w:rsidRPr="0099417E" w:rsidRDefault="0099417E" w:rsidP="0099417E">
            <w:pPr>
              <w:ind w:left="0" w:right="0"/>
              <w:rPr>
                <w:sz w:val="19"/>
                <w:szCs w:val="19"/>
              </w:rPr>
            </w:pPr>
          </w:p>
        </w:tc>
        <w:tc>
          <w:tcPr>
            <w:tcW w:w="1262" w:type="pct"/>
            <w:hideMark/>
          </w:tcPr>
          <w:p w14:paraId="24EC7462" w14:textId="77777777" w:rsidR="0099417E" w:rsidRPr="0099417E" w:rsidRDefault="0099417E" w:rsidP="0099417E">
            <w:pPr>
              <w:ind w:left="0" w:right="0"/>
              <w:rPr>
                <w:sz w:val="19"/>
                <w:szCs w:val="19"/>
              </w:rPr>
            </w:pPr>
            <w:r w:rsidRPr="0099417E">
              <w:rPr>
                <w:sz w:val="19"/>
                <w:szCs w:val="19"/>
              </w:rPr>
              <w:t>Dry skin</w:t>
            </w:r>
          </w:p>
        </w:tc>
        <w:tc>
          <w:tcPr>
            <w:tcW w:w="997" w:type="pct"/>
            <w:vMerge/>
            <w:hideMark/>
          </w:tcPr>
          <w:p w14:paraId="1E3990E5" w14:textId="77777777" w:rsidR="0099417E" w:rsidRPr="0099417E" w:rsidRDefault="0099417E" w:rsidP="0099417E">
            <w:pPr>
              <w:ind w:left="0" w:right="0"/>
              <w:rPr>
                <w:sz w:val="19"/>
                <w:szCs w:val="19"/>
              </w:rPr>
            </w:pPr>
          </w:p>
        </w:tc>
        <w:tc>
          <w:tcPr>
            <w:tcW w:w="459" w:type="pct"/>
            <w:vMerge/>
            <w:hideMark/>
          </w:tcPr>
          <w:p w14:paraId="21786AFF" w14:textId="77777777" w:rsidR="0099417E" w:rsidRPr="0099417E" w:rsidRDefault="0099417E" w:rsidP="0099417E">
            <w:pPr>
              <w:ind w:left="0" w:right="0"/>
              <w:rPr>
                <w:sz w:val="19"/>
                <w:szCs w:val="19"/>
              </w:rPr>
            </w:pPr>
          </w:p>
        </w:tc>
        <w:tc>
          <w:tcPr>
            <w:tcW w:w="1447" w:type="pct"/>
            <w:vMerge/>
            <w:hideMark/>
          </w:tcPr>
          <w:p w14:paraId="23AD8F42" w14:textId="77777777" w:rsidR="0099417E" w:rsidRPr="0099417E" w:rsidRDefault="0099417E" w:rsidP="0099417E">
            <w:pPr>
              <w:ind w:left="0" w:right="0"/>
              <w:rPr>
                <w:sz w:val="19"/>
                <w:szCs w:val="19"/>
              </w:rPr>
            </w:pPr>
          </w:p>
        </w:tc>
      </w:tr>
      <w:tr w:rsidR="0099417E" w:rsidRPr="0099417E" w14:paraId="02C1AB98" w14:textId="77777777" w:rsidTr="0099417E">
        <w:tc>
          <w:tcPr>
            <w:tcW w:w="835" w:type="pct"/>
            <w:vMerge/>
            <w:hideMark/>
          </w:tcPr>
          <w:p w14:paraId="2372D75E" w14:textId="77777777" w:rsidR="0099417E" w:rsidRPr="0099417E" w:rsidRDefault="0099417E" w:rsidP="0099417E">
            <w:pPr>
              <w:ind w:left="0" w:right="0"/>
              <w:rPr>
                <w:sz w:val="19"/>
                <w:szCs w:val="19"/>
              </w:rPr>
            </w:pPr>
          </w:p>
        </w:tc>
        <w:tc>
          <w:tcPr>
            <w:tcW w:w="1262" w:type="pct"/>
            <w:hideMark/>
          </w:tcPr>
          <w:p w14:paraId="07BCEF45" w14:textId="77777777" w:rsidR="0099417E" w:rsidRPr="0099417E" w:rsidRDefault="0099417E" w:rsidP="0099417E">
            <w:pPr>
              <w:ind w:left="0" w:right="0"/>
              <w:rPr>
                <w:sz w:val="19"/>
                <w:szCs w:val="19"/>
              </w:rPr>
            </w:pPr>
            <w:r w:rsidRPr="0099417E">
              <w:rPr>
                <w:sz w:val="19"/>
                <w:szCs w:val="19"/>
              </w:rPr>
              <w:t>Skin flaking</w:t>
            </w:r>
          </w:p>
        </w:tc>
        <w:tc>
          <w:tcPr>
            <w:tcW w:w="997" w:type="pct"/>
            <w:vMerge/>
            <w:hideMark/>
          </w:tcPr>
          <w:p w14:paraId="7633CD6E" w14:textId="77777777" w:rsidR="0099417E" w:rsidRPr="0099417E" w:rsidRDefault="0099417E" w:rsidP="0099417E">
            <w:pPr>
              <w:ind w:left="0" w:right="0"/>
              <w:rPr>
                <w:sz w:val="19"/>
                <w:szCs w:val="19"/>
              </w:rPr>
            </w:pPr>
          </w:p>
        </w:tc>
        <w:tc>
          <w:tcPr>
            <w:tcW w:w="459" w:type="pct"/>
            <w:vMerge/>
            <w:hideMark/>
          </w:tcPr>
          <w:p w14:paraId="3C5CEAF9" w14:textId="77777777" w:rsidR="0099417E" w:rsidRPr="0099417E" w:rsidRDefault="0099417E" w:rsidP="0099417E">
            <w:pPr>
              <w:ind w:left="0" w:right="0"/>
              <w:rPr>
                <w:sz w:val="19"/>
                <w:szCs w:val="19"/>
              </w:rPr>
            </w:pPr>
          </w:p>
        </w:tc>
        <w:tc>
          <w:tcPr>
            <w:tcW w:w="1447" w:type="pct"/>
            <w:vMerge/>
            <w:hideMark/>
          </w:tcPr>
          <w:p w14:paraId="53AF2F98" w14:textId="77777777" w:rsidR="0099417E" w:rsidRPr="0099417E" w:rsidRDefault="0099417E" w:rsidP="0099417E">
            <w:pPr>
              <w:ind w:left="0" w:right="0"/>
              <w:rPr>
                <w:sz w:val="19"/>
                <w:szCs w:val="19"/>
              </w:rPr>
            </w:pPr>
          </w:p>
        </w:tc>
      </w:tr>
      <w:tr w:rsidR="0099417E" w:rsidRPr="0099417E" w14:paraId="4FBCFE49" w14:textId="77777777" w:rsidTr="0099417E">
        <w:tc>
          <w:tcPr>
            <w:tcW w:w="835" w:type="pct"/>
            <w:vMerge/>
            <w:hideMark/>
          </w:tcPr>
          <w:p w14:paraId="5AE0A3BC" w14:textId="77777777" w:rsidR="0099417E" w:rsidRPr="0099417E" w:rsidRDefault="0099417E" w:rsidP="0099417E">
            <w:pPr>
              <w:ind w:left="0" w:right="0"/>
              <w:rPr>
                <w:sz w:val="19"/>
                <w:szCs w:val="19"/>
              </w:rPr>
            </w:pPr>
          </w:p>
        </w:tc>
        <w:tc>
          <w:tcPr>
            <w:tcW w:w="1262" w:type="pct"/>
            <w:hideMark/>
          </w:tcPr>
          <w:p w14:paraId="76F64201" w14:textId="77777777" w:rsidR="0099417E" w:rsidRPr="0099417E" w:rsidRDefault="0099417E" w:rsidP="0099417E">
            <w:pPr>
              <w:ind w:left="0" w:right="0"/>
              <w:rPr>
                <w:sz w:val="19"/>
                <w:szCs w:val="19"/>
              </w:rPr>
            </w:pPr>
            <w:r w:rsidRPr="0099417E">
              <w:rPr>
                <w:sz w:val="19"/>
                <w:szCs w:val="19"/>
              </w:rPr>
              <w:t>Rash (redness, blisters, bumpy skin)</w:t>
            </w:r>
          </w:p>
        </w:tc>
        <w:tc>
          <w:tcPr>
            <w:tcW w:w="997" w:type="pct"/>
            <w:vMerge/>
            <w:hideMark/>
          </w:tcPr>
          <w:p w14:paraId="604F27FB" w14:textId="77777777" w:rsidR="0099417E" w:rsidRPr="0099417E" w:rsidRDefault="0099417E" w:rsidP="0099417E">
            <w:pPr>
              <w:ind w:left="0" w:right="0"/>
              <w:rPr>
                <w:sz w:val="19"/>
                <w:szCs w:val="19"/>
              </w:rPr>
            </w:pPr>
          </w:p>
        </w:tc>
        <w:tc>
          <w:tcPr>
            <w:tcW w:w="459" w:type="pct"/>
            <w:vMerge/>
            <w:hideMark/>
          </w:tcPr>
          <w:p w14:paraId="57BDBFB1" w14:textId="77777777" w:rsidR="0099417E" w:rsidRPr="0099417E" w:rsidRDefault="0099417E" w:rsidP="0099417E">
            <w:pPr>
              <w:ind w:left="0" w:right="0"/>
              <w:rPr>
                <w:sz w:val="19"/>
                <w:szCs w:val="19"/>
              </w:rPr>
            </w:pPr>
          </w:p>
        </w:tc>
        <w:tc>
          <w:tcPr>
            <w:tcW w:w="1447" w:type="pct"/>
            <w:vMerge/>
            <w:hideMark/>
          </w:tcPr>
          <w:p w14:paraId="256FDEA4" w14:textId="77777777" w:rsidR="0099417E" w:rsidRPr="0099417E" w:rsidRDefault="0099417E" w:rsidP="0099417E">
            <w:pPr>
              <w:ind w:left="0" w:right="0"/>
              <w:rPr>
                <w:sz w:val="19"/>
                <w:szCs w:val="19"/>
              </w:rPr>
            </w:pPr>
          </w:p>
        </w:tc>
      </w:tr>
      <w:tr w:rsidR="0099417E" w:rsidRPr="0099417E" w14:paraId="5ACF1202" w14:textId="77777777" w:rsidTr="0099417E">
        <w:tc>
          <w:tcPr>
            <w:tcW w:w="835" w:type="pct"/>
            <w:vMerge/>
            <w:hideMark/>
          </w:tcPr>
          <w:p w14:paraId="20742604" w14:textId="77777777" w:rsidR="0099417E" w:rsidRPr="0099417E" w:rsidRDefault="0099417E" w:rsidP="0099417E">
            <w:pPr>
              <w:ind w:left="0" w:right="0"/>
              <w:rPr>
                <w:sz w:val="19"/>
                <w:szCs w:val="19"/>
              </w:rPr>
            </w:pPr>
          </w:p>
        </w:tc>
        <w:tc>
          <w:tcPr>
            <w:tcW w:w="1262" w:type="pct"/>
            <w:hideMark/>
          </w:tcPr>
          <w:p w14:paraId="22E325B8" w14:textId="77777777" w:rsidR="0099417E" w:rsidRPr="0099417E" w:rsidRDefault="0099417E" w:rsidP="0099417E">
            <w:pPr>
              <w:ind w:left="0" w:right="0"/>
              <w:rPr>
                <w:sz w:val="19"/>
                <w:szCs w:val="19"/>
              </w:rPr>
            </w:pPr>
            <w:r w:rsidRPr="0099417E">
              <w:rPr>
                <w:sz w:val="19"/>
                <w:szCs w:val="19"/>
              </w:rPr>
              <w:t>Skin thickening</w:t>
            </w:r>
          </w:p>
        </w:tc>
        <w:tc>
          <w:tcPr>
            <w:tcW w:w="997" w:type="pct"/>
            <w:vMerge/>
            <w:hideMark/>
          </w:tcPr>
          <w:p w14:paraId="7F2ADB82" w14:textId="77777777" w:rsidR="0099417E" w:rsidRPr="0099417E" w:rsidRDefault="0099417E" w:rsidP="0099417E">
            <w:pPr>
              <w:ind w:left="0" w:right="0"/>
              <w:rPr>
                <w:sz w:val="19"/>
                <w:szCs w:val="19"/>
              </w:rPr>
            </w:pPr>
          </w:p>
        </w:tc>
        <w:tc>
          <w:tcPr>
            <w:tcW w:w="459" w:type="pct"/>
            <w:vMerge/>
            <w:hideMark/>
          </w:tcPr>
          <w:p w14:paraId="2A33F800" w14:textId="77777777" w:rsidR="0099417E" w:rsidRPr="0099417E" w:rsidRDefault="0099417E" w:rsidP="0099417E">
            <w:pPr>
              <w:ind w:left="0" w:right="0"/>
              <w:rPr>
                <w:sz w:val="19"/>
                <w:szCs w:val="19"/>
              </w:rPr>
            </w:pPr>
          </w:p>
        </w:tc>
        <w:tc>
          <w:tcPr>
            <w:tcW w:w="1447" w:type="pct"/>
            <w:vMerge/>
            <w:hideMark/>
          </w:tcPr>
          <w:p w14:paraId="26BDCF86" w14:textId="77777777" w:rsidR="0099417E" w:rsidRPr="0099417E" w:rsidRDefault="0099417E" w:rsidP="0099417E">
            <w:pPr>
              <w:ind w:left="0" w:right="0"/>
              <w:rPr>
                <w:sz w:val="19"/>
                <w:szCs w:val="19"/>
              </w:rPr>
            </w:pPr>
          </w:p>
        </w:tc>
      </w:tr>
      <w:tr w:rsidR="0099417E" w:rsidRPr="0099417E" w14:paraId="23E16827" w14:textId="77777777" w:rsidTr="0099417E">
        <w:tc>
          <w:tcPr>
            <w:tcW w:w="835" w:type="pct"/>
            <w:vMerge/>
            <w:hideMark/>
          </w:tcPr>
          <w:p w14:paraId="54F2B7C2" w14:textId="77777777" w:rsidR="0099417E" w:rsidRPr="0099417E" w:rsidRDefault="0099417E" w:rsidP="0099417E">
            <w:pPr>
              <w:ind w:left="0" w:right="0"/>
              <w:rPr>
                <w:sz w:val="19"/>
                <w:szCs w:val="19"/>
              </w:rPr>
            </w:pPr>
          </w:p>
        </w:tc>
        <w:tc>
          <w:tcPr>
            <w:tcW w:w="1262" w:type="pct"/>
            <w:hideMark/>
          </w:tcPr>
          <w:p w14:paraId="7E806FEE" w14:textId="77777777" w:rsidR="0099417E" w:rsidRPr="0099417E" w:rsidRDefault="0099417E" w:rsidP="0099417E">
            <w:pPr>
              <w:ind w:left="0" w:right="0"/>
              <w:rPr>
                <w:sz w:val="19"/>
                <w:szCs w:val="19"/>
              </w:rPr>
            </w:pPr>
            <w:r w:rsidRPr="0099417E">
              <w:rPr>
                <w:sz w:val="19"/>
                <w:szCs w:val="19"/>
              </w:rPr>
              <w:t>Bleeding</w:t>
            </w:r>
          </w:p>
        </w:tc>
        <w:tc>
          <w:tcPr>
            <w:tcW w:w="997" w:type="pct"/>
            <w:vMerge/>
            <w:hideMark/>
          </w:tcPr>
          <w:p w14:paraId="2052F13A" w14:textId="77777777" w:rsidR="0099417E" w:rsidRPr="0099417E" w:rsidRDefault="0099417E" w:rsidP="0099417E">
            <w:pPr>
              <w:ind w:left="0" w:right="0"/>
              <w:rPr>
                <w:sz w:val="19"/>
                <w:szCs w:val="19"/>
              </w:rPr>
            </w:pPr>
          </w:p>
        </w:tc>
        <w:tc>
          <w:tcPr>
            <w:tcW w:w="459" w:type="pct"/>
            <w:vMerge/>
            <w:hideMark/>
          </w:tcPr>
          <w:p w14:paraId="28FD09F9" w14:textId="77777777" w:rsidR="0099417E" w:rsidRPr="0099417E" w:rsidRDefault="0099417E" w:rsidP="0099417E">
            <w:pPr>
              <w:ind w:left="0" w:right="0"/>
              <w:rPr>
                <w:sz w:val="19"/>
                <w:szCs w:val="19"/>
              </w:rPr>
            </w:pPr>
          </w:p>
        </w:tc>
        <w:tc>
          <w:tcPr>
            <w:tcW w:w="1447" w:type="pct"/>
            <w:vMerge/>
            <w:hideMark/>
          </w:tcPr>
          <w:p w14:paraId="0E746F60" w14:textId="77777777" w:rsidR="0099417E" w:rsidRPr="0099417E" w:rsidRDefault="0099417E" w:rsidP="0099417E">
            <w:pPr>
              <w:ind w:left="0" w:right="0"/>
              <w:rPr>
                <w:sz w:val="19"/>
                <w:szCs w:val="19"/>
              </w:rPr>
            </w:pPr>
          </w:p>
        </w:tc>
      </w:tr>
      <w:tr w:rsidR="0099417E" w:rsidRPr="0099417E" w14:paraId="14E84F83" w14:textId="77777777" w:rsidTr="0099417E">
        <w:tc>
          <w:tcPr>
            <w:tcW w:w="835" w:type="pct"/>
            <w:vMerge/>
            <w:hideMark/>
          </w:tcPr>
          <w:p w14:paraId="19657570" w14:textId="77777777" w:rsidR="0099417E" w:rsidRPr="0099417E" w:rsidRDefault="0099417E" w:rsidP="0099417E">
            <w:pPr>
              <w:ind w:left="0" w:right="0"/>
              <w:rPr>
                <w:sz w:val="19"/>
                <w:szCs w:val="19"/>
              </w:rPr>
            </w:pPr>
          </w:p>
        </w:tc>
        <w:tc>
          <w:tcPr>
            <w:tcW w:w="1262" w:type="pct"/>
            <w:hideMark/>
          </w:tcPr>
          <w:p w14:paraId="64571849" w14:textId="77777777" w:rsidR="0099417E" w:rsidRPr="0099417E" w:rsidRDefault="0099417E" w:rsidP="0099417E">
            <w:pPr>
              <w:ind w:left="0" w:right="0"/>
              <w:rPr>
                <w:sz w:val="19"/>
                <w:szCs w:val="19"/>
              </w:rPr>
            </w:pPr>
            <w:r w:rsidRPr="0099417E">
              <w:rPr>
                <w:sz w:val="19"/>
                <w:szCs w:val="19"/>
              </w:rPr>
              <w:t>Skin oozing</w:t>
            </w:r>
          </w:p>
        </w:tc>
        <w:tc>
          <w:tcPr>
            <w:tcW w:w="997" w:type="pct"/>
            <w:vMerge/>
            <w:hideMark/>
          </w:tcPr>
          <w:p w14:paraId="7C4B971C" w14:textId="77777777" w:rsidR="0099417E" w:rsidRPr="0099417E" w:rsidRDefault="0099417E" w:rsidP="0099417E">
            <w:pPr>
              <w:ind w:left="0" w:right="0"/>
              <w:rPr>
                <w:sz w:val="19"/>
                <w:szCs w:val="19"/>
              </w:rPr>
            </w:pPr>
          </w:p>
        </w:tc>
        <w:tc>
          <w:tcPr>
            <w:tcW w:w="459" w:type="pct"/>
            <w:vMerge/>
            <w:hideMark/>
          </w:tcPr>
          <w:p w14:paraId="7AF11144" w14:textId="77777777" w:rsidR="0099417E" w:rsidRPr="0099417E" w:rsidRDefault="0099417E" w:rsidP="0099417E">
            <w:pPr>
              <w:ind w:left="0" w:right="0"/>
              <w:rPr>
                <w:sz w:val="19"/>
                <w:szCs w:val="19"/>
              </w:rPr>
            </w:pPr>
          </w:p>
        </w:tc>
        <w:tc>
          <w:tcPr>
            <w:tcW w:w="1447" w:type="pct"/>
            <w:vMerge/>
            <w:hideMark/>
          </w:tcPr>
          <w:p w14:paraId="0D3066E6" w14:textId="77777777" w:rsidR="0099417E" w:rsidRPr="0099417E" w:rsidRDefault="0099417E" w:rsidP="0099417E">
            <w:pPr>
              <w:ind w:left="0" w:right="0"/>
              <w:rPr>
                <w:sz w:val="19"/>
                <w:szCs w:val="19"/>
              </w:rPr>
            </w:pPr>
          </w:p>
        </w:tc>
      </w:tr>
    </w:tbl>
    <w:p w14:paraId="5E76EE31" w14:textId="06228C6E" w:rsidR="00323CBE" w:rsidRDefault="00323CBE" w:rsidP="00E23B36">
      <w:r w:rsidRPr="0099417E">
        <w:t>All items of the ADerm-SS are scored on an 1</w:t>
      </w:r>
      <w:r w:rsidR="0099417E">
        <w:t xml:space="preserve">1-point </w:t>
      </w:r>
      <w:r w:rsidR="00A0674A">
        <w:t>numerical rating scale (</w:t>
      </w:r>
      <w:r w:rsidR="0099417E">
        <w:t>NRS</w:t>
      </w:r>
      <w:r w:rsidR="00A0674A">
        <w:t>)</w:t>
      </w:r>
      <w:r w:rsidR="0099417E">
        <w:t xml:space="preserve"> ranging from 0 (no sign/symptom</w:t>
      </w:r>
      <w:r w:rsidRPr="0099417E">
        <w:t xml:space="preserve">) to 10 (worst possible </w:t>
      </w:r>
      <w:r w:rsidR="0099417E">
        <w:t xml:space="preserve">sign/symptom). </w:t>
      </w:r>
      <w:r w:rsidRPr="0099417E">
        <w:t>The ADerm-SS is scored as a 7-item total symptom score (TSS-7), defined as the algebraic s</w:t>
      </w:r>
      <w:r w:rsidR="005308BE">
        <w:t>um of the responses to items 1 to</w:t>
      </w:r>
      <w:r w:rsidRPr="0099417E">
        <w:t xml:space="preserve"> 7 above, and an 11-item total symptom score (TSS-11), defined</w:t>
      </w:r>
      <w:r w:rsidR="0099417E">
        <w:t xml:space="preserve"> as the algebraic sum of all 11 </w:t>
      </w:r>
      <w:r w:rsidRPr="0099417E">
        <w:t>items. An improvement (reduction) in TSS-7 and TSS-11 that is ≥ 28 points and ≥ 44 points, respectively, is considered a clinically meaningful improvement. In addition to the total symptom scores, the ADerm-SS Skin Pain score (ADerm-SS item 3) is individually evaluated to specifically characterize skin pain. An improvement (reduction) in ADerm-SS Skin Pain ≥ 4 is considered a clinically meaningful improvement.</w:t>
      </w:r>
    </w:p>
    <w:p w14:paraId="6968ED75" w14:textId="77777777" w:rsidR="00D05272" w:rsidRPr="00BB6812" w:rsidRDefault="00D05272" w:rsidP="00323CBE">
      <w:pPr>
        <w:pStyle w:val="Heading6"/>
      </w:pPr>
      <w:bookmarkStart w:id="88" w:name="_Ref125686128"/>
      <w:r>
        <w:t>Atopic Dermatitis Impact Scale (ADerm-IS)</w:t>
      </w:r>
      <w:bookmarkEnd w:id="88"/>
    </w:p>
    <w:p w14:paraId="796A8634" w14:textId="5D464678" w:rsidR="00D05272" w:rsidRDefault="00D05272" w:rsidP="00D05272">
      <w:pPr>
        <w:rPr>
          <w:vertAlign w:val="superscript"/>
        </w:rPr>
      </w:pPr>
      <w:r w:rsidRPr="00D05272">
        <w:t>Atopic Dermatitis Impact Scale (ADerm-IS) is a 10-item questionnaire designed to assess a variety of impacts that subjects experience</w:t>
      </w:r>
      <w:r>
        <w:t xml:space="preserve"> </w:t>
      </w:r>
      <w:r w:rsidRPr="00D05272">
        <w:t xml:space="preserve">due to their </w:t>
      </w:r>
      <w:r>
        <w:t>atopic dermatitis across both a 24</w:t>
      </w:r>
      <w:r>
        <w:noBreakHyphen/>
      </w:r>
      <w:r w:rsidR="005E0492">
        <w:t>hour recall period (the daily i</w:t>
      </w:r>
      <w:r w:rsidRPr="00D05272">
        <w:t>tems 1 to 3) and 7-day recall per</w:t>
      </w:r>
      <w:r w:rsidR="005E0492">
        <w:t>iod (the weekly i</w:t>
      </w:r>
      <w:r>
        <w:t>tems 4 to 10).</w:t>
      </w:r>
      <w:r w:rsidR="0099417E" w:rsidRPr="0099417E">
        <w:rPr>
          <w:vertAlign w:val="superscript"/>
        </w:rPr>
        <w:fldChar w:fldCharType="begin"/>
      </w:r>
      <w:r w:rsidR="0099417E" w:rsidRPr="0099417E">
        <w:rPr>
          <w:vertAlign w:val="superscript"/>
        </w:rPr>
        <w:instrText xml:space="preserve"> NOTEREF _Ref120808085 \h </w:instrText>
      </w:r>
      <w:r w:rsidR="0099417E">
        <w:rPr>
          <w:vertAlign w:val="superscript"/>
        </w:rPr>
        <w:instrText xml:space="preserve"> \* MERGEFORMAT </w:instrText>
      </w:r>
      <w:r w:rsidR="0099417E" w:rsidRPr="0099417E">
        <w:rPr>
          <w:vertAlign w:val="superscript"/>
        </w:rPr>
      </w:r>
      <w:r w:rsidR="0099417E" w:rsidRPr="0099417E">
        <w:rPr>
          <w:vertAlign w:val="superscript"/>
        </w:rPr>
        <w:fldChar w:fldCharType="separate"/>
      </w:r>
      <w:r w:rsidR="00B51532">
        <w:rPr>
          <w:vertAlign w:val="superscript"/>
        </w:rPr>
        <w:t>49</w:t>
      </w:r>
      <w:r w:rsidR="0099417E" w:rsidRPr="0099417E">
        <w:rPr>
          <w:vertAlign w:val="superscript"/>
        </w:rPr>
        <w:fldChar w:fldCharType="end"/>
      </w:r>
    </w:p>
    <w:p w14:paraId="0CE43B05" w14:textId="7FB55D90" w:rsidR="005826DC" w:rsidRDefault="005308BE" w:rsidP="005826DC">
      <w:r>
        <w:t xml:space="preserve">The </w:t>
      </w:r>
      <w:r w:rsidR="005826DC">
        <w:t xml:space="preserve">ADerm-IS Sleep assesses difficulty falling asleep, sleep impact, and waking up at night due to </w:t>
      </w:r>
      <w:r>
        <w:t xml:space="preserve">atopic dermatitis. The </w:t>
      </w:r>
      <w:r w:rsidR="005826DC">
        <w:t xml:space="preserve">ADerm-IS Daily Activities assesses </w:t>
      </w:r>
      <w:r>
        <w:t>atopic dermatitis</w:t>
      </w:r>
      <w:r w:rsidR="005826DC">
        <w:t xml:space="preserve"> effect on household activities, physical activities, social activities, and concentration.</w:t>
      </w:r>
    </w:p>
    <w:p w14:paraId="2AB8F6E6" w14:textId="5CA35CAB" w:rsidR="005826DC" w:rsidRDefault="005826DC" w:rsidP="005826DC">
      <w:r>
        <w:t xml:space="preserve">ADerm-IS Emotional State assesses self-consciousness, embarrassment, and sadness due to </w:t>
      </w:r>
      <w:r w:rsidR="005308BE">
        <w:t>atopic dermatitis</w:t>
      </w:r>
      <w:r>
        <w:t>.</w:t>
      </w:r>
    </w:p>
    <w:p w14:paraId="257934EF" w14:textId="5607FE05" w:rsidR="005826DC" w:rsidRPr="005826DC" w:rsidRDefault="005308BE" w:rsidP="005308BE">
      <w:pPr>
        <w:pStyle w:val="Tabletitle0"/>
      </w:pPr>
      <w:r>
        <w:t xml:space="preserve">Table </w:t>
      </w:r>
      <w:fldSimple w:instr=" SEQ Table \* ARABIC ">
        <w:r w:rsidR="00B51532">
          <w:rPr>
            <w:noProof/>
          </w:rPr>
          <w:t>20</w:t>
        </w:r>
      </w:fldSimple>
      <w:r>
        <w:t>: Atopic Dermatitis Impact Scale (ADerm-IS)</w:t>
      </w:r>
    </w:p>
    <w:tbl>
      <w:tblPr>
        <w:tblStyle w:val="TableTGAblue"/>
        <w:tblW w:w="4913" w:type="pct"/>
        <w:tblLook w:val="04A0" w:firstRow="1" w:lastRow="0" w:firstColumn="1" w:lastColumn="0" w:noHBand="0" w:noVBand="1"/>
      </w:tblPr>
      <w:tblGrid>
        <w:gridCol w:w="1330"/>
        <w:gridCol w:w="2102"/>
        <w:gridCol w:w="1402"/>
        <w:gridCol w:w="1050"/>
        <w:gridCol w:w="2452"/>
      </w:tblGrid>
      <w:tr w:rsidR="005E0492" w:rsidRPr="005E0492" w14:paraId="30E1470A" w14:textId="77777777" w:rsidTr="00323CBE">
        <w:trPr>
          <w:cnfStyle w:val="100000000000" w:firstRow="1" w:lastRow="0" w:firstColumn="0" w:lastColumn="0" w:oddVBand="0" w:evenVBand="0" w:oddHBand="0" w:evenHBand="0" w:firstRowFirstColumn="0" w:firstRowLastColumn="0" w:lastRowFirstColumn="0" w:lastRowLastColumn="0"/>
        </w:trPr>
        <w:tc>
          <w:tcPr>
            <w:tcW w:w="797" w:type="pct"/>
            <w:hideMark/>
          </w:tcPr>
          <w:p w14:paraId="03C6CAE5" w14:textId="77777777" w:rsidR="005E0492" w:rsidRPr="005E0492" w:rsidRDefault="005E0492" w:rsidP="005E0492">
            <w:pPr>
              <w:ind w:left="0" w:right="0"/>
              <w:rPr>
                <w:sz w:val="19"/>
                <w:szCs w:val="19"/>
              </w:rPr>
            </w:pPr>
            <w:r w:rsidRPr="005E0492">
              <w:rPr>
                <w:sz w:val="19"/>
                <w:szCs w:val="19"/>
              </w:rPr>
              <w:t>Section</w:t>
            </w:r>
          </w:p>
        </w:tc>
        <w:tc>
          <w:tcPr>
            <w:tcW w:w="1261" w:type="pct"/>
            <w:hideMark/>
          </w:tcPr>
          <w:p w14:paraId="7C626D1C" w14:textId="77777777" w:rsidR="005E0492" w:rsidRPr="005E0492" w:rsidRDefault="005E0492" w:rsidP="005E0492">
            <w:pPr>
              <w:ind w:left="0" w:right="0"/>
              <w:rPr>
                <w:sz w:val="19"/>
                <w:szCs w:val="19"/>
              </w:rPr>
            </w:pPr>
            <w:r w:rsidRPr="005E0492">
              <w:rPr>
                <w:sz w:val="19"/>
                <w:szCs w:val="19"/>
              </w:rPr>
              <w:t>Concepts</w:t>
            </w:r>
          </w:p>
        </w:tc>
        <w:tc>
          <w:tcPr>
            <w:tcW w:w="841" w:type="pct"/>
            <w:hideMark/>
          </w:tcPr>
          <w:p w14:paraId="6700B4AB" w14:textId="77777777" w:rsidR="005E0492" w:rsidRPr="005E0492" w:rsidRDefault="005E0492" w:rsidP="005E0492">
            <w:pPr>
              <w:ind w:left="0" w:right="0"/>
              <w:rPr>
                <w:sz w:val="19"/>
                <w:szCs w:val="19"/>
              </w:rPr>
            </w:pPr>
            <w:r w:rsidRPr="005E0492">
              <w:rPr>
                <w:sz w:val="19"/>
                <w:szCs w:val="19"/>
              </w:rPr>
              <w:t>Overall concepts</w:t>
            </w:r>
          </w:p>
        </w:tc>
        <w:tc>
          <w:tcPr>
            <w:tcW w:w="630" w:type="pct"/>
            <w:hideMark/>
          </w:tcPr>
          <w:p w14:paraId="211FFABC" w14:textId="77777777" w:rsidR="005E0492" w:rsidRPr="005E0492" w:rsidRDefault="005E0492" w:rsidP="005E0492">
            <w:pPr>
              <w:ind w:left="0" w:right="0"/>
              <w:rPr>
                <w:sz w:val="19"/>
                <w:szCs w:val="19"/>
              </w:rPr>
            </w:pPr>
            <w:r w:rsidRPr="005E0492">
              <w:rPr>
                <w:sz w:val="19"/>
                <w:szCs w:val="19"/>
              </w:rPr>
              <w:t>Recall period</w:t>
            </w:r>
          </w:p>
        </w:tc>
        <w:tc>
          <w:tcPr>
            <w:tcW w:w="1471" w:type="pct"/>
            <w:hideMark/>
          </w:tcPr>
          <w:p w14:paraId="62E2C660" w14:textId="77777777" w:rsidR="005E0492" w:rsidRPr="005E0492" w:rsidRDefault="005E0492" w:rsidP="005E0492">
            <w:pPr>
              <w:ind w:left="0" w:right="0"/>
              <w:rPr>
                <w:sz w:val="19"/>
                <w:szCs w:val="19"/>
              </w:rPr>
            </w:pPr>
            <w:r w:rsidRPr="005E0492">
              <w:rPr>
                <w:sz w:val="19"/>
                <w:szCs w:val="19"/>
              </w:rPr>
              <w:t>Response options</w:t>
            </w:r>
          </w:p>
        </w:tc>
      </w:tr>
      <w:tr w:rsidR="00323CBE" w:rsidRPr="005E0492" w14:paraId="263B9E81" w14:textId="77777777" w:rsidTr="00323CBE">
        <w:tc>
          <w:tcPr>
            <w:tcW w:w="797" w:type="pct"/>
            <w:vMerge w:val="restart"/>
            <w:hideMark/>
          </w:tcPr>
          <w:p w14:paraId="4D6F0F44" w14:textId="77777777" w:rsidR="005E0492" w:rsidRPr="005E0492" w:rsidRDefault="005E0492" w:rsidP="005E0492">
            <w:pPr>
              <w:ind w:left="0" w:right="0"/>
              <w:rPr>
                <w:sz w:val="19"/>
                <w:szCs w:val="19"/>
              </w:rPr>
            </w:pPr>
            <w:r w:rsidRPr="005E0492">
              <w:rPr>
                <w:sz w:val="19"/>
                <w:szCs w:val="19"/>
              </w:rPr>
              <w:t>Daily diary (Completed every night)</w:t>
            </w:r>
          </w:p>
        </w:tc>
        <w:tc>
          <w:tcPr>
            <w:tcW w:w="1261" w:type="pct"/>
            <w:hideMark/>
          </w:tcPr>
          <w:p w14:paraId="38A98C3B" w14:textId="77777777" w:rsidR="005E0492" w:rsidRPr="005E0492" w:rsidRDefault="005E0492" w:rsidP="005E0492">
            <w:pPr>
              <w:ind w:left="0" w:right="0"/>
              <w:rPr>
                <w:sz w:val="19"/>
                <w:szCs w:val="19"/>
              </w:rPr>
            </w:pPr>
            <w:r w:rsidRPr="005E0492">
              <w:rPr>
                <w:sz w:val="19"/>
                <w:szCs w:val="19"/>
              </w:rPr>
              <w:t>Difficulty falling asleep</w:t>
            </w:r>
          </w:p>
        </w:tc>
        <w:tc>
          <w:tcPr>
            <w:tcW w:w="841" w:type="pct"/>
            <w:vMerge w:val="restart"/>
            <w:hideMark/>
          </w:tcPr>
          <w:p w14:paraId="5B7575D2" w14:textId="66C05E3F" w:rsidR="005E0492" w:rsidRPr="005E0492" w:rsidRDefault="00323CBE" w:rsidP="005E0492">
            <w:pPr>
              <w:ind w:left="0" w:right="0"/>
              <w:rPr>
                <w:sz w:val="19"/>
                <w:szCs w:val="19"/>
              </w:rPr>
            </w:pPr>
            <w:r>
              <w:rPr>
                <w:sz w:val="19"/>
                <w:szCs w:val="19"/>
              </w:rPr>
              <w:t>Sleep impacts of atopic dermatitis</w:t>
            </w:r>
          </w:p>
        </w:tc>
        <w:tc>
          <w:tcPr>
            <w:tcW w:w="630" w:type="pct"/>
            <w:vMerge w:val="restart"/>
            <w:hideMark/>
          </w:tcPr>
          <w:p w14:paraId="4435D095" w14:textId="165F306E" w:rsidR="005E0492" w:rsidRPr="005E0492" w:rsidRDefault="005E0492" w:rsidP="005E0492">
            <w:pPr>
              <w:ind w:left="0" w:right="0"/>
              <w:rPr>
                <w:sz w:val="19"/>
                <w:szCs w:val="19"/>
              </w:rPr>
            </w:pPr>
            <w:r w:rsidRPr="005E0492">
              <w:rPr>
                <w:sz w:val="19"/>
                <w:szCs w:val="19"/>
              </w:rPr>
              <w:t>Past 24</w:t>
            </w:r>
            <w:r w:rsidR="00323CBE">
              <w:rPr>
                <w:sz w:val="19"/>
                <w:szCs w:val="19"/>
              </w:rPr>
              <w:t> hours</w:t>
            </w:r>
          </w:p>
        </w:tc>
        <w:tc>
          <w:tcPr>
            <w:tcW w:w="1471" w:type="pct"/>
            <w:hideMark/>
          </w:tcPr>
          <w:p w14:paraId="5F8FAF0E" w14:textId="6155A287" w:rsidR="005E0492" w:rsidRPr="005E0492" w:rsidRDefault="005E0492" w:rsidP="005E0492">
            <w:pPr>
              <w:ind w:left="0" w:right="0"/>
              <w:rPr>
                <w:sz w:val="19"/>
                <w:szCs w:val="19"/>
              </w:rPr>
            </w:pPr>
            <w:r w:rsidRPr="005E0492">
              <w:rPr>
                <w:sz w:val="19"/>
                <w:szCs w:val="19"/>
              </w:rPr>
              <w:t>0 = ‘Not difficult’</w:t>
            </w:r>
            <w:r w:rsidRPr="005E0492">
              <w:rPr>
                <w:sz w:val="19"/>
                <w:szCs w:val="19"/>
              </w:rPr>
              <w:br/>
              <w:t>10 = ‘Extremely difficult’</w:t>
            </w:r>
          </w:p>
        </w:tc>
      </w:tr>
      <w:tr w:rsidR="00323CBE" w:rsidRPr="005E0492" w14:paraId="672ADF0D" w14:textId="77777777" w:rsidTr="00323CBE">
        <w:tc>
          <w:tcPr>
            <w:tcW w:w="797" w:type="pct"/>
            <w:vMerge/>
            <w:hideMark/>
          </w:tcPr>
          <w:p w14:paraId="583C7C59" w14:textId="77777777" w:rsidR="005E0492" w:rsidRPr="005E0492" w:rsidRDefault="005E0492" w:rsidP="005E0492">
            <w:pPr>
              <w:ind w:left="0" w:right="0"/>
              <w:rPr>
                <w:sz w:val="19"/>
                <w:szCs w:val="19"/>
              </w:rPr>
            </w:pPr>
          </w:p>
        </w:tc>
        <w:tc>
          <w:tcPr>
            <w:tcW w:w="1261" w:type="pct"/>
            <w:hideMark/>
          </w:tcPr>
          <w:p w14:paraId="237B5918" w14:textId="77777777" w:rsidR="005E0492" w:rsidRPr="005E0492" w:rsidRDefault="005E0492" w:rsidP="005E0492">
            <w:pPr>
              <w:ind w:left="0" w:right="0"/>
              <w:rPr>
                <w:sz w:val="19"/>
                <w:szCs w:val="19"/>
              </w:rPr>
            </w:pPr>
            <w:r w:rsidRPr="005E0492">
              <w:rPr>
                <w:sz w:val="19"/>
                <w:szCs w:val="19"/>
              </w:rPr>
              <w:t>Level of impact on sleep</w:t>
            </w:r>
          </w:p>
        </w:tc>
        <w:tc>
          <w:tcPr>
            <w:tcW w:w="841" w:type="pct"/>
            <w:vMerge/>
            <w:hideMark/>
          </w:tcPr>
          <w:p w14:paraId="4E15C3BC" w14:textId="77777777" w:rsidR="005E0492" w:rsidRPr="005E0492" w:rsidRDefault="005E0492" w:rsidP="005E0492">
            <w:pPr>
              <w:ind w:left="0" w:right="0"/>
              <w:rPr>
                <w:sz w:val="19"/>
                <w:szCs w:val="19"/>
              </w:rPr>
            </w:pPr>
          </w:p>
        </w:tc>
        <w:tc>
          <w:tcPr>
            <w:tcW w:w="630" w:type="pct"/>
            <w:vMerge/>
            <w:hideMark/>
          </w:tcPr>
          <w:p w14:paraId="3402F138" w14:textId="77777777" w:rsidR="005E0492" w:rsidRPr="005E0492" w:rsidRDefault="005E0492" w:rsidP="005E0492">
            <w:pPr>
              <w:ind w:left="0" w:right="0"/>
              <w:rPr>
                <w:sz w:val="19"/>
                <w:szCs w:val="19"/>
              </w:rPr>
            </w:pPr>
          </w:p>
        </w:tc>
        <w:tc>
          <w:tcPr>
            <w:tcW w:w="1471" w:type="pct"/>
            <w:hideMark/>
          </w:tcPr>
          <w:p w14:paraId="6FECB6BA" w14:textId="6129E8EB" w:rsidR="005E0492" w:rsidRPr="005E0492" w:rsidRDefault="005E0492" w:rsidP="005E0492">
            <w:pPr>
              <w:ind w:left="0" w:right="0"/>
              <w:rPr>
                <w:sz w:val="19"/>
                <w:szCs w:val="19"/>
              </w:rPr>
            </w:pPr>
            <w:r w:rsidRPr="005E0492">
              <w:rPr>
                <w:sz w:val="19"/>
                <w:szCs w:val="19"/>
              </w:rPr>
              <w:t>0 = ‘Not at all’</w:t>
            </w:r>
            <w:r w:rsidRPr="005E0492">
              <w:rPr>
                <w:sz w:val="19"/>
                <w:szCs w:val="19"/>
              </w:rPr>
              <w:br/>
              <w:t>10 = ‘Extremely’</w:t>
            </w:r>
          </w:p>
        </w:tc>
      </w:tr>
      <w:tr w:rsidR="00323CBE" w:rsidRPr="005E0492" w14:paraId="763F3428" w14:textId="77777777" w:rsidTr="00323CBE">
        <w:tc>
          <w:tcPr>
            <w:tcW w:w="797" w:type="pct"/>
            <w:vMerge/>
            <w:hideMark/>
          </w:tcPr>
          <w:p w14:paraId="72BBDBB3" w14:textId="77777777" w:rsidR="005E0492" w:rsidRPr="005E0492" w:rsidRDefault="005E0492" w:rsidP="005E0492">
            <w:pPr>
              <w:ind w:left="0" w:right="0"/>
              <w:rPr>
                <w:sz w:val="19"/>
                <w:szCs w:val="19"/>
              </w:rPr>
            </w:pPr>
          </w:p>
        </w:tc>
        <w:tc>
          <w:tcPr>
            <w:tcW w:w="1261" w:type="pct"/>
            <w:hideMark/>
          </w:tcPr>
          <w:p w14:paraId="2BE84409" w14:textId="77777777" w:rsidR="005E0492" w:rsidRPr="005E0492" w:rsidRDefault="005E0492" w:rsidP="005E0492">
            <w:pPr>
              <w:ind w:left="0" w:right="0"/>
              <w:rPr>
                <w:sz w:val="19"/>
                <w:szCs w:val="19"/>
              </w:rPr>
            </w:pPr>
            <w:r w:rsidRPr="005E0492">
              <w:rPr>
                <w:sz w:val="19"/>
                <w:szCs w:val="19"/>
              </w:rPr>
              <w:t>Bothersomeness of waking up at night</w:t>
            </w:r>
          </w:p>
        </w:tc>
        <w:tc>
          <w:tcPr>
            <w:tcW w:w="841" w:type="pct"/>
            <w:vMerge/>
            <w:hideMark/>
          </w:tcPr>
          <w:p w14:paraId="0886D73A" w14:textId="77777777" w:rsidR="005E0492" w:rsidRPr="005E0492" w:rsidRDefault="005E0492" w:rsidP="005E0492">
            <w:pPr>
              <w:ind w:left="0" w:right="0"/>
              <w:rPr>
                <w:sz w:val="19"/>
                <w:szCs w:val="19"/>
              </w:rPr>
            </w:pPr>
          </w:p>
        </w:tc>
        <w:tc>
          <w:tcPr>
            <w:tcW w:w="630" w:type="pct"/>
            <w:vMerge/>
            <w:hideMark/>
          </w:tcPr>
          <w:p w14:paraId="37FB8A43" w14:textId="77777777" w:rsidR="005E0492" w:rsidRPr="005E0492" w:rsidRDefault="005E0492" w:rsidP="005E0492">
            <w:pPr>
              <w:ind w:left="0" w:right="0"/>
              <w:rPr>
                <w:sz w:val="19"/>
                <w:szCs w:val="19"/>
              </w:rPr>
            </w:pPr>
          </w:p>
        </w:tc>
        <w:tc>
          <w:tcPr>
            <w:tcW w:w="1471" w:type="pct"/>
            <w:hideMark/>
          </w:tcPr>
          <w:p w14:paraId="47F3FD0A" w14:textId="2D685C1F" w:rsidR="005E0492" w:rsidRPr="005E0492" w:rsidRDefault="005E0492" w:rsidP="005E0492">
            <w:pPr>
              <w:ind w:left="0" w:right="0"/>
              <w:rPr>
                <w:sz w:val="19"/>
                <w:szCs w:val="19"/>
              </w:rPr>
            </w:pPr>
            <w:r w:rsidRPr="005E0492">
              <w:rPr>
                <w:sz w:val="19"/>
                <w:szCs w:val="19"/>
              </w:rPr>
              <w:t>0 = ‘Not bothersome’</w:t>
            </w:r>
            <w:r w:rsidRPr="005E0492">
              <w:rPr>
                <w:sz w:val="19"/>
                <w:szCs w:val="19"/>
              </w:rPr>
              <w:br/>
              <w:t>10 = ‘Extremely bothersome</w:t>
            </w:r>
          </w:p>
        </w:tc>
      </w:tr>
      <w:tr w:rsidR="00323CBE" w:rsidRPr="005E0492" w14:paraId="4851A035" w14:textId="77777777" w:rsidTr="00323CBE">
        <w:tc>
          <w:tcPr>
            <w:tcW w:w="797" w:type="pct"/>
            <w:vMerge w:val="restart"/>
            <w:hideMark/>
          </w:tcPr>
          <w:p w14:paraId="71C0E654" w14:textId="66544F0B" w:rsidR="005E0492" w:rsidRPr="005E0492" w:rsidRDefault="005E0492" w:rsidP="005E0492">
            <w:pPr>
              <w:ind w:left="0" w:right="0"/>
              <w:rPr>
                <w:sz w:val="19"/>
                <w:szCs w:val="19"/>
              </w:rPr>
            </w:pPr>
            <w:r w:rsidRPr="005E0492">
              <w:rPr>
                <w:sz w:val="19"/>
                <w:szCs w:val="19"/>
              </w:rPr>
              <w:lastRenderedPageBreak/>
              <w:t>Weekly diary (Completed once</w:t>
            </w:r>
            <w:r>
              <w:rPr>
                <w:sz w:val="19"/>
                <w:szCs w:val="19"/>
              </w:rPr>
              <w:t xml:space="preserve"> </w:t>
            </w:r>
            <w:r w:rsidRPr="005E0492">
              <w:rPr>
                <w:sz w:val="19"/>
                <w:szCs w:val="19"/>
              </w:rPr>
              <w:t>per week)</w:t>
            </w:r>
          </w:p>
        </w:tc>
        <w:tc>
          <w:tcPr>
            <w:tcW w:w="1261" w:type="pct"/>
            <w:hideMark/>
          </w:tcPr>
          <w:p w14:paraId="105111D7" w14:textId="77777777" w:rsidR="005E0492" w:rsidRPr="005E0492" w:rsidRDefault="005E0492" w:rsidP="005E0492">
            <w:pPr>
              <w:ind w:left="0" w:right="0"/>
              <w:rPr>
                <w:sz w:val="19"/>
                <w:szCs w:val="19"/>
              </w:rPr>
            </w:pPr>
            <w:r w:rsidRPr="005E0492">
              <w:rPr>
                <w:sz w:val="19"/>
                <w:szCs w:val="19"/>
              </w:rPr>
              <w:t>Limitation in household activities</w:t>
            </w:r>
          </w:p>
        </w:tc>
        <w:tc>
          <w:tcPr>
            <w:tcW w:w="841" w:type="pct"/>
            <w:vMerge w:val="restart"/>
            <w:hideMark/>
          </w:tcPr>
          <w:p w14:paraId="1126192F" w14:textId="44720355" w:rsidR="005E0492" w:rsidRPr="005E0492" w:rsidRDefault="00323CBE" w:rsidP="005E0492">
            <w:pPr>
              <w:ind w:left="0" w:right="0"/>
              <w:rPr>
                <w:sz w:val="19"/>
                <w:szCs w:val="19"/>
              </w:rPr>
            </w:pPr>
            <w:r>
              <w:rPr>
                <w:sz w:val="19"/>
                <w:szCs w:val="19"/>
              </w:rPr>
              <w:t>Impacts of atopic dermatitis</w:t>
            </w:r>
          </w:p>
        </w:tc>
        <w:tc>
          <w:tcPr>
            <w:tcW w:w="630" w:type="pct"/>
            <w:vMerge w:val="restart"/>
            <w:hideMark/>
          </w:tcPr>
          <w:p w14:paraId="7DA0DCC3" w14:textId="2BE8B259" w:rsidR="005E0492" w:rsidRPr="005E0492" w:rsidRDefault="00323CBE" w:rsidP="005E0492">
            <w:pPr>
              <w:ind w:left="0" w:right="0"/>
              <w:rPr>
                <w:sz w:val="19"/>
                <w:szCs w:val="19"/>
              </w:rPr>
            </w:pPr>
            <w:r>
              <w:rPr>
                <w:sz w:val="19"/>
                <w:szCs w:val="19"/>
              </w:rPr>
              <w:t>Past 7 </w:t>
            </w:r>
            <w:r w:rsidR="005E0492" w:rsidRPr="005E0492">
              <w:rPr>
                <w:sz w:val="19"/>
                <w:szCs w:val="19"/>
              </w:rPr>
              <w:t>days</w:t>
            </w:r>
          </w:p>
        </w:tc>
        <w:tc>
          <w:tcPr>
            <w:tcW w:w="1471" w:type="pct"/>
            <w:vMerge w:val="restart"/>
            <w:hideMark/>
          </w:tcPr>
          <w:p w14:paraId="1F4229FD" w14:textId="3EEE902B" w:rsidR="005E0492" w:rsidRPr="005E0492" w:rsidRDefault="005E0492" w:rsidP="005E0492">
            <w:pPr>
              <w:ind w:left="0" w:right="0"/>
              <w:rPr>
                <w:sz w:val="19"/>
                <w:szCs w:val="19"/>
              </w:rPr>
            </w:pPr>
            <w:r w:rsidRPr="005E0492">
              <w:rPr>
                <w:sz w:val="19"/>
                <w:szCs w:val="19"/>
              </w:rPr>
              <w:t>0 = ‘Not limited’</w:t>
            </w:r>
            <w:r w:rsidRPr="005E0492">
              <w:rPr>
                <w:sz w:val="19"/>
                <w:szCs w:val="19"/>
              </w:rPr>
              <w:br/>
              <w:t>10 = ‘Extremely limited’</w:t>
            </w:r>
          </w:p>
        </w:tc>
      </w:tr>
      <w:tr w:rsidR="00323CBE" w:rsidRPr="005E0492" w14:paraId="62FDAB7B" w14:textId="77777777" w:rsidTr="00323CBE">
        <w:tc>
          <w:tcPr>
            <w:tcW w:w="797" w:type="pct"/>
            <w:vMerge/>
            <w:hideMark/>
          </w:tcPr>
          <w:p w14:paraId="7E7BEE29" w14:textId="77777777" w:rsidR="005E0492" w:rsidRPr="005E0492" w:rsidRDefault="005E0492" w:rsidP="005E0492">
            <w:pPr>
              <w:ind w:left="0" w:right="0"/>
              <w:rPr>
                <w:sz w:val="19"/>
                <w:szCs w:val="19"/>
              </w:rPr>
            </w:pPr>
          </w:p>
        </w:tc>
        <w:tc>
          <w:tcPr>
            <w:tcW w:w="1261" w:type="pct"/>
            <w:hideMark/>
          </w:tcPr>
          <w:p w14:paraId="736CA416" w14:textId="77777777" w:rsidR="005E0492" w:rsidRPr="005E0492" w:rsidRDefault="005E0492" w:rsidP="005E0492">
            <w:pPr>
              <w:ind w:left="0" w:right="0"/>
              <w:rPr>
                <w:sz w:val="19"/>
                <w:szCs w:val="19"/>
              </w:rPr>
            </w:pPr>
            <w:r w:rsidRPr="005E0492">
              <w:rPr>
                <w:sz w:val="19"/>
                <w:szCs w:val="19"/>
              </w:rPr>
              <w:t>Limitation in physical activities</w:t>
            </w:r>
          </w:p>
        </w:tc>
        <w:tc>
          <w:tcPr>
            <w:tcW w:w="841" w:type="pct"/>
            <w:vMerge/>
            <w:hideMark/>
          </w:tcPr>
          <w:p w14:paraId="29DFD050" w14:textId="77777777" w:rsidR="005E0492" w:rsidRPr="005E0492" w:rsidRDefault="005E0492" w:rsidP="005E0492">
            <w:pPr>
              <w:ind w:left="0" w:right="0"/>
              <w:rPr>
                <w:sz w:val="19"/>
                <w:szCs w:val="19"/>
              </w:rPr>
            </w:pPr>
          </w:p>
        </w:tc>
        <w:tc>
          <w:tcPr>
            <w:tcW w:w="630" w:type="pct"/>
            <w:vMerge/>
            <w:hideMark/>
          </w:tcPr>
          <w:p w14:paraId="0A474B55" w14:textId="77777777" w:rsidR="005E0492" w:rsidRPr="005E0492" w:rsidRDefault="005E0492" w:rsidP="005E0492">
            <w:pPr>
              <w:ind w:left="0" w:right="0"/>
              <w:rPr>
                <w:sz w:val="19"/>
                <w:szCs w:val="19"/>
              </w:rPr>
            </w:pPr>
          </w:p>
        </w:tc>
        <w:tc>
          <w:tcPr>
            <w:tcW w:w="1471" w:type="pct"/>
            <w:vMerge/>
            <w:hideMark/>
          </w:tcPr>
          <w:p w14:paraId="6C21AD2E" w14:textId="77777777" w:rsidR="005E0492" w:rsidRPr="005E0492" w:rsidRDefault="005E0492" w:rsidP="005E0492">
            <w:pPr>
              <w:ind w:left="0" w:right="0"/>
              <w:rPr>
                <w:sz w:val="19"/>
                <w:szCs w:val="19"/>
              </w:rPr>
            </w:pPr>
          </w:p>
        </w:tc>
      </w:tr>
      <w:tr w:rsidR="00323CBE" w:rsidRPr="005E0492" w14:paraId="25F05102" w14:textId="77777777" w:rsidTr="00323CBE">
        <w:tc>
          <w:tcPr>
            <w:tcW w:w="797" w:type="pct"/>
            <w:vMerge/>
            <w:hideMark/>
          </w:tcPr>
          <w:p w14:paraId="38A86B92" w14:textId="77777777" w:rsidR="005E0492" w:rsidRPr="005E0492" w:rsidRDefault="005E0492" w:rsidP="005E0492">
            <w:pPr>
              <w:ind w:left="0" w:right="0"/>
              <w:rPr>
                <w:sz w:val="19"/>
                <w:szCs w:val="19"/>
              </w:rPr>
            </w:pPr>
          </w:p>
        </w:tc>
        <w:tc>
          <w:tcPr>
            <w:tcW w:w="1261" w:type="pct"/>
            <w:hideMark/>
          </w:tcPr>
          <w:p w14:paraId="30338A5F" w14:textId="77777777" w:rsidR="005E0492" w:rsidRPr="005E0492" w:rsidRDefault="005E0492" w:rsidP="005E0492">
            <w:pPr>
              <w:ind w:left="0" w:right="0"/>
              <w:rPr>
                <w:sz w:val="19"/>
                <w:szCs w:val="19"/>
              </w:rPr>
            </w:pPr>
            <w:r w:rsidRPr="005E0492">
              <w:rPr>
                <w:sz w:val="19"/>
                <w:szCs w:val="19"/>
              </w:rPr>
              <w:t>Limitation in social activities</w:t>
            </w:r>
          </w:p>
        </w:tc>
        <w:tc>
          <w:tcPr>
            <w:tcW w:w="841" w:type="pct"/>
            <w:vMerge/>
            <w:hideMark/>
          </w:tcPr>
          <w:p w14:paraId="4450192E" w14:textId="77777777" w:rsidR="005E0492" w:rsidRPr="005E0492" w:rsidRDefault="005E0492" w:rsidP="005E0492">
            <w:pPr>
              <w:ind w:left="0" w:right="0"/>
              <w:rPr>
                <w:sz w:val="19"/>
                <w:szCs w:val="19"/>
              </w:rPr>
            </w:pPr>
          </w:p>
        </w:tc>
        <w:tc>
          <w:tcPr>
            <w:tcW w:w="630" w:type="pct"/>
            <w:vMerge/>
            <w:hideMark/>
          </w:tcPr>
          <w:p w14:paraId="4FE2DC2B" w14:textId="77777777" w:rsidR="005E0492" w:rsidRPr="005E0492" w:rsidRDefault="005E0492" w:rsidP="005E0492">
            <w:pPr>
              <w:ind w:left="0" w:right="0"/>
              <w:rPr>
                <w:sz w:val="19"/>
                <w:szCs w:val="19"/>
              </w:rPr>
            </w:pPr>
          </w:p>
        </w:tc>
        <w:tc>
          <w:tcPr>
            <w:tcW w:w="1471" w:type="pct"/>
            <w:vMerge/>
            <w:hideMark/>
          </w:tcPr>
          <w:p w14:paraId="4D252B06" w14:textId="77777777" w:rsidR="005E0492" w:rsidRPr="005E0492" w:rsidRDefault="005E0492" w:rsidP="005E0492">
            <w:pPr>
              <w:ind w:left="0" w:right="0"/>
              <w:rPr>
                <w:sz w:val="19"/>
                <w:szCs w:val="19"/>
              </w:rPr>
            </w:pPr>
          </w:p>
        </w:tc>
      </w:tr>
      <w:tr w:rsidR="00323CBE" w:rsidRPr="005E0492" w14:paraId="1EF119DB" w14:textId="77777777" w:rsidTr="00323CBE">
        <w:tc>
          <w:tcPr>
            <w:tcW w:w="797" w:type="pct"/>
            <w:vMerge/>
            <w:hideMark/>
          </w:tcPr>
          <w:p w14:paraId="0F608CAD" w14:textId="77777777" w:rsidR="005E0492" w:rsidRPr="005E0492" w:rsidRDefault="005E0492" w:rsidP="005E0492">
            <w:pPr>
              <w:ind w:left="0" w:right="0"/>
              <w:rPr>
                <w:sz w:val="19"/>
                <w:szCs w:val="19"/>
              </w:rPr>
            </w:pPr>
          </w:p>
        </w:tc>
        <w:tc>
          <w:tcPr>
            <w:tcW w:w="1261" w:type="pct"/>
            <w:hideMark/>
          </w:tcPr>
          <w:p w14:paraId="06017F40" w14:textId="77777777" w:rsidR="005E0492" w:rsidRPr="005E0492" w:rsidRDefault="005E0492" w:rsidP="005E0492">
            <w:pPr>
              <w:ind w:left="0" w:right="0"/>
              <w:rPr>
                <w:sz w:val="19"/>
                <w:szCs w:val="19"/>
              </w:rPr>
            </w:pPr>
            <w:r w:rsidRPr="005E0492">
              <w:rPr>
                <w:sz w:val="19"/>
                <w:szCs w:val="19"/>
              </w:rPr>
              <w:t>Difficulty concentrating</w:t>
            </w:r>
          </w:p>
        </w:tc>
        <w:tc>
          <w:tcPr>
            <w:tcW w:w="841" w:type="pct"/>
            <w:vMerge/>
            <w:hideMark/>
          </w:tcPr>
          <w:p w14:paraId="027B68C9" w14:textId="77777777" w:rsidR="005E0492" w:rsidRPr="005E0492" w:rsidRDefault="005E0492" w:rsidP="005E0492">
            <w:pPr>
              <w:ind w:left="0" w:right="0"/>
              <w:rPr>
                <w:sz w:val="19"/>
                <w:szCs w:val="19"/>
              </w:rPr>
            </w:pPr>
          </w:p>
        </w:tc>
        <w:tc>
          <w:tcPr>
            <w:tcW w:w="630" w:type="pct"/>
            <w:vMerge/>
            <w:hideMark/>
          </w:tcPr>
          <w:p w14:paraId="536F92C7" w14:textId="77777777" w:rsidR="005E0492" w:rsidRPr="005E0492" w:rsidRDefault="005E0492" w:rsidP="005E0492">
            <w:pPr>
              <w:ind w:left="0" w:right="0"/>
              <w:rPr>
                <w:sz w:val="19"/>
                <w:szCs w:val="19"/>
              </w:rPr>
            </w:pPr>
          </w:p>
        </w:tc>
        <w:tc>
          <w:tcPr>
            <w:tcW w:w="1471" w:type="pct"/>
            <w:hideMark/>
          </w:tcPr>
          <w:p w14:paraId="7A5EB921" w14:textId="14D5361C" w:rsidR="005E0492" w:rsidRPr="005E0492" w:rsidRDefault="005E0492" w:rsidP="005E0492">
            <w:pPr>
              <w:ind w:left="0" w:right="0"/>
              <w:rPr>
                <w:sz w:val="19"/>
                <w:szCs w:val="19"/>
              </w:rPr>
            </w:pPr>
            <w:r w:rsidRPr="005E0492">
              <w:rPr>
                <w:sz w:val="19"/>
                <w:szCs w:val="19"/>
              </w:rPr>
              <w:t>0 = ‘Not difficult’</w:t>
            </w:r>
            <w:r w:rsidRPr="005E0492">
              <w:rPr>
                <w:sz w:val="19"/>
                <w:szCs w:val="19"/>
              </w:rPr>
              <w:br/>
              <w:t>10 = ‘Extremely difficult’</w:t>
            </w:r>
          </w:p>
        </w:tc>
      </w:tr>
      <w:tr w:rsidR="00323CBE" w:rsidRPr="005E0492" w14:paraId="3DA55372" w14:textId="77777777" w:rsidTr="00323CBE">
        <w:tc>
          <w:tcPr>
            <w:tcW w:w="797" w:type="pct"/>
            <w:vMerge/>
            <w:hideMark/>
          </w:tcPr>
          <w:p w14:paraId="2279AB92" w14:textId="77777777" w:rsidR="005E0492" w:rsidRPr="005E0492" w:rsidRDefault="005E0492" w:rsidP="005E0492">
            <w:pPr>
              <w:ind w:left="0" w:right="0"/>
              <w:rPr>
                <w:sz w:val="19"/>
                <w:szCs w:val="19"/>
              </w:rPr>
            </w:pPr>
          </w:p>
        </w:tc>
        <w:tc>
          <w:tcPr>
            <w:tcW w:w="1261" w:type="pct"/>
            <w:hideMark/>
          </w:tcPr>
          <w:p w14:paraId="30B7BEAE" w14:textId="77777777" w:rsidR="005E0492" w:rsidRPr="005E0492" w:rsidRDefault="005E0492" w:rsidP="005E0492">
            <w:pPr>
              <w:ind w:left="0" w:right="0"/>
              <w:rPr>
                <w:sz w:val="19"/>
                <w:szCs w:val="19"/>
              </w:rPr>
            </w:pPr>
            <w:r w:rsidRPr="005E0492">
              <w:rPr>
                <w:sz w:val="19"/>
                <w:szCs w:val="19"/>
              </w:rPr>
              <w:t>Feeling self-conscious</w:t>
            </w:r>
          </w:p>
        </w:tc>
        <w:tc>
          <w:tcPr>
            <w:tcW w:w="841" w:type="pct"/>
            <w:vMerge/>
            <w:hideMark/>
          </w:tcPr>
          <w:p w14:paraId="141AED5C" w14:textId="77777777" w:rsidR="005E0492" w:rsidRPr="005E0492" w:rsidRDefault="005E0492" w:rsidP="005E0492">
            <w:pPr>
              <w:ind w:left="0" w:right="0"/>
              <w:rPr>
                <w:sz w:val="19"/>
                <w:szCs w:val="19"/>
              </w:rPr>
            </w:pPr>
          </w:p>
        </w:tc>
        <w:tc>
          <w:tcPr>
            <w:tcW w:w="630" w:type="pct"/>
            <w:vMerge/>
            <w:hideMark/>
          </w:tcPr>
          <w:p w14:paraId="68109539" w14:textId="77777777" w:rsidR="005E0492" w:rsidRPr="005E0492" w:rsidRDefault="005E0492" w:rsidP="005E0492">
            <w:pPr>
              <w:ind w:left="0" w:right="0"/>
              <w:rPr>
                <w:sz w:val="19"/>
                <w:szCs w:val="19"/>
              </w:rPr>
            </w:pPr>
          </w:p>
        </w:tc>
        <w:tc>
          <w:tcPr>
            <w:tcW w:w="1471" w:type="pct"/>
            <w:hideMark/>
          </w:tcPr>
          <w:p w14:paraId="5F398B64" w14:textId="208471CE" w:rsidR="005E0492" w:rsidRPr="005E0492" w:rsidRDefault="005E0492" w:rsidP="005E0492">
            <w:pPr>
              <w:ind w:left="0" w:right="0"/>
              <w:rPr>
                <w:sz w:val="19"/>
                <w:szCs w:val="19"/>
              </w:rPr>
            </w:pPr>
            <w:r w:rsidRPr="005E0492">
              <w:rPr>
                <w:sz w:val="19"/>
                <w:szCs w:val="19"/>
              </w:rPr>
              <w:t>0 = ‘Not self-conscious’</w:t>
            </w:r>
            <w:r w:rsidRPr="005E0492">
              <w:rPr>
                <w:sz w:val="19"/>
                <w:szCs w:val="19"/>
              </w:rPr>
              <w:br/>
              <w:t>10 = ‘Extremely self-conscious’</w:t>
            </w:r>
          </w:p>
        </w:tc>
      </w:tr>
      <w:tr w:rsidR="00323CBE" w:rsidRPr="005E0492" w14:paraId="7AA505E4" w14:textId="77777777" w:rsidTr="00323CBE">
        <w:tc>
          <w:tcPr>
            <w:tcW w:w="797" w:type="pct"/>
            <w:vMerge/>
            <w:hideMark/>
          </w:tcPr>
          <w:p w14:paraId="0A7F0745" w14:textId="77777777" w:rsidR="005E0492" w:rsidRPr="005E0492" w:rsidRDefault="005E0492" w:rsidP="005E0492">
            <w:pPr>
              <w:ind w:left="0" w:right="0"/>
              <w:rPr>
                <w:sz w:val="19"/>
                <w:szCs w:val="19"/>
              </w:rPr>
            </w:pPr>
          </w:p>
        </w:tc>
        <w:tc>
          <w:tcPr>
            <w:tcW w:w="1261" w:type="pct"/>
            <w:hideMark/>
          </w:tcPr>
          <w:p w14:paraId="4646A726" w14:textId="77777777" w:rsidR="005E0492" w:rsidRPr="005E0492" w:rsidRDefault="005E0492" w:rsidP="005E0492">
            <w:pPr>
              <w:ind w:left="0" w:right="0"/>
              <w:rPr>
                <w:sz w:val="19"/>
                <w:szCs w:val="19"/>
              </w:rPr>
            </w:pPr>
            <w:r w:rsidRPr="005E0492">
              <w:rPr>
                <w:sz w:val="19"/>
                <w:szCs w:val="19"/>
              </w:rPr>
              <w:t>Feeling embarrassed</w:t>
            </w:r>
          </w:p>
        </w:tc>
        <w:tc>
          <w:tcPr>
            <w:tcW w:w="841" w:type="pct"/>
            <w:vMerge/>
            <w:hideMark/>
          </w:tcPr>
          <w:p w14:paraId="1F8748C7" w14:textId="77777777" w:rsidR="005E0492" w:rsidRPr="005E0492" w:rsidRDefault="005E0492" w:rsidP="005E0492">
            <w:pPr>
              <w:ind w:left="0" w:right="0"/>
              <w:rPr>
                <w:sz w:val="19"/>
                <w:szCs w:val="19"/>
              </w:rPr>
            </w:pPr>
          </w:p>
        </w:tc>
        <w:tc>
          <w:tcPr>
            <w:tcW w:w="630" w:type="pct"/>
            <w:vMerge/>
            <w:hideMark/>
          </w:tcPr>
          <w:p w14:paraId="23FFCA52" w14:textId="77777777" w:rsidR="005E0492" w:rsidRPr="005E0492" w:rsidRDefault="005E0492" w:rsidP="005E0492">
            <w:pPr>
              <w:ind w:left="0" w:right="0"/>
              <w:rPr>
                <w:sz w:val="19"/>
                <w:szCs w:val="19"/>
              </w:rPr>
            </w:pPr>
          </w:p>
        </w:tc>
        <w:tc>
          <w:tcPr>
            <w:tcW w:w="1471" w:type="pct"/>
            <w:hideMark/>
          </w:tcPr>
          <w:p w14:paraId="27015EF8" w14:textId="6C7BFB28" w:rsidR="005E0492" w:rsidRPr="005E0492" w:rsidRDefault="005E0492" w:rsidP="005E0492">
            <w:pPr>
              <w:ind w:left="0" w:right="0"/>
              <w:rPr>
                <w:sz w:val="19"/>
                <w:szCs w:val="19"/>
              </w:rPr>
            </w:pPr>
            <w:r w:rsidRPr="005E0492">
              <w:rPr>
                <w:sz w:val="19"/>
                <w:szCs w:val="19"/>
              </w:rPr>
              <w:t>0 = ‘Not embarrassed’</w:t>
            </w:r>
            <w:r w:rsidRPr="005E0492">
              <w:rPr>
                <w:sz w:val="19"/>
                <w:szCs w:val="19"/>
              </w:rPr>
              <w:br/>
              <w:t>10 = ‘Extremely embarrassed’</w:t>
            </w:r>
          </w:p>
        </w:tc>
      </w:tr>
      <w:tr w:rsidR="00323CBE" w:rsidRPr="005E0492" w14:paraId="59D51DA9" w14:textId="77777777" w:rsidTr="00323CBE">
        <w:tc>
          <w:tcPr>
            <w:tcW w:w="797" w:type="pct"/>
            <w:vMerge/>
            <w:hideMark/>
          </w:tcPr>
          <w:p w14:paraId="27DFE5B4" w14:textId="77777777" w:rsidR="005E0492" w:rsidRPr="005E0492" w:rsidRDefault="005E0492" w:rsidP="005E0492">
            <w:pPr>
              <w:ind w:left="0" w:right="0"/>
              <w:rPr>
                <w:sz w:val="19"/>
                <w:szCs w:val="19"/>
              </w:rPr>
            </w:pPr>
          </w:p>
        </w:tc>
        <w:tc>
          <w:tcPr>
            <w:tcW w:w="1261" w:type="pct"/>
            <w:hideMark/>
          </w:tcPr>
          <w:p w14:paraId="537BF731" w14:textId="77777777" w:rsidR="005E0492" w:rsidRPr="005E0492" w:rsidRDefault="005E0492" w:rsidP="005E0492">
            <w:pPr>
              <w:ind w:left="0" w:right="0"/>
              <w:rPr>
                <w:sz w:val="19"/>
                <w:szCs w:val="19"/>
              </w:rPr>
            </w:pPr>
            <w:r w:rsidRPr="005E0492">
              <w:rPr>
                <w:sz w:val="19"/>
                <w:szCs w:val="19"/>
              </w:rPr>
              <w:t>Feeling sad</w:t>
            </w:r>
          </w:p>
        </w:tc>
        <w:tc>
          <w:tcPr>
            <w:tcW w:w="841" w:type="pct"/>
            <w:vMerge/>
            <w:hideMark/>
          </w:tcPr>
          <w:p w14:paraId="55C6F39B" w14:textId="77777777" w:rsidR="005E0492" w:rsidRPr="005E0492" w:rsidRDefault="005E0492" w:rsidP="005E0492">
            <w:pPr>
              <w:ind w:left="0" w:right="0"/>
              <w:rPr>
                <w:sz w:val="19"/>
                <w:szCs w:val="19"/>
              </w:rPr>
            </w:pPr>
          </w:p>
        </w:tc>
        <w:tc>
          <w:tcPr>
            <w:tcW w:w="630" w:type="pct"/>
            <w:vMerge/>
            <w:hideMark/>
          </w:tcPr>
          <w:p w14:paraId="4C7C7539" w14:textId="77777777" w:rsidR="005E0492" w:rsidRPr="005E0492" w:rsidRDefault="005E0492" w:rsidP="005E0492">
            <w:pPr>
              <w:ind w:left="0" w:right="0"/>
              <w:rPr>
                <w:sz w:val="19"/>
                <w:szCs w:val="19"/>
              </w:rPr>
            </w:pPr>
          </w:p>
        </w:tc>
        <w:tc>
          <w:tcPr>
            <w:tcW w:w="1471" w:type="pct"/>
            <w:hideMark/>
          </w:tcPr>
          <w:p w14:paraId="5DA9E578" w14:textId="5AADB7A1" w:rsidR="005E0492" w:rsidRPr="005E0492" w:rsidRDefault="005E0492" w:rsidP="005E0492">
            <w:pPr>
              <w:ind w:left="0" w:right="0"/>
              <w:rPr>
                <w:sz w:val="19"/>
                <w:szCs w:val="19"/>
              </w:rPr>
            </w:pPr>
            <w:r w:rsidRPr="005E0492">
              <w:rPr>
                <w:sz w:val="19"/>
                <w:szCs w:val="19"/>
              </w:rPr>
              <w:t>0 = ‘Not sad’</w:t>
            </w:r>
            <w:r w:rsidRPr="005E0492">
              <w:rPr>
                <w:sz w:val="19"/>
                <w:szCs w:val="19"/>
              </w:rPr>
              <w:br/>
              <w:t>10 = ‘Extremely sad’</w:t>
            </w:r>
          </w:p>
        </w:tc>
      </w:tr>
    </w:tbl>
    <w:p w14:paraId="45D33F6D" w14:textId="1154C506" w:rsidR="002C4F37" w:rsidRPr="00323CBE" w:rsidRDefault="00D05272" w:rsidP="00323CBE">
      <w:r w:rsidRPr="00323CBE">
        <w:t>All items of the ADerm-IS are scored on an 11-point NRS from 0 (no impact) to 10</w:t>
      </w:r>
      <w:r w:rsidR="00323CBE">
        <w:t> </w:t>
      </w:r>
      <w:r w:rsidRPr="00323CBE">
        <w:t>(extreme impact)</w:t>
      </w:r>
      <w:r w:rsidR="00323CBE">
        <w:t>.</w:t>
      </w:r>
    </w:p>
    <w:p w14:paraId="429C48C9" w14:textId="3D561E99" w:rsidR="00D05272" w:rsidRPr="00323CBE" w:rsidRDefault="00D05272" w:rsidP="00323CBE">
      <w:r w:rsidRPr="00323CBE">
        <w:t>The ADerm-IS yields 3</w:t>
      </w:r>
      <w:r w:rsidR="00323CBE">
        <w:t xml:space="preserve"> domain scores: sleep (Items 1 to</w:t>
      </w:r>
      <w:r w:rsidRPr="00323CBE">
        <w:t xml:space="preserve"> 3; </w:t>
      </w:r>
      <w:r w:rsidR="00323CBE" w:rsidRPr="00323CBE">
        <w:t>minimal clinically important difference</w:t>
      </w:r>
      <w:r w:rsidR="00323CBE">
        <w:t xml:space="preserve"> (</w:t>
      </w:r>
      <w:r w:rsidRPr="00323CBE">
        <w:t>MCID</w:t>
      </w:r>
      <w:r w:rsidR="00323CBE">
        <w:t>)</w:t>
      </w:r>
      <w:r w:rsidRPr="00323CBE">
        <w:t xml:space="preserve"> = 12)</w:t>
      </w:r>
      <w:r w:rsidR="00323CBE">
        <w:t>), daily activities (Items 4 to</w:t>
      </w:r>
      <w:r w:rsidRPr="00323CBE">
        <w:t xml:space="preserve"> 7; MCID = 14), and emotional state (Items 8 </w:t>
      </w:r>
      <w:r w:rsidR="00323CBE">
        <w:t>to</w:t>
      </w:r>
      <w:r w:rsidRPr="00323CBE">
        <w:t xml:space="preserve"> 10; MCID = 11).</w:t>
      </w:r>
    </w:p>
    <w:p w14:paraId="00A12E5A" w14:textId="77777777" w:rsidR="00D05272" w:rsidRPr="003B7E7F" w:rsidRDefault="00D05272" w:rsidP="00323CBE">
      <w:pPr>
        <w:pStyle w:val="Heading6"/>
      </w:pPr>
      <w:bookmarkStart w:id="89" w:name="_Ref126046821"/>
      <w:r>
        <w:rPr>
          <w:b/>
        </w:rPr>
        <w:t>Dermatology Life Quality Index</w:t>
      </w:r>
      <w:bookmarkEnd w:id="89"/>
    </w:p>
    <w:p w14:paraId="234039EE" w14:textId="65E22CA2" w:rsidR="00D05272" w:rsidRPr="00083F66" w:rsidRDefault="00D05272" w:rsidP="00323CBE">
      <w:pPr>
        <w:rPr>
          <w:vertAlign w:val="superscript"/>
        </w:rPr>
      </w:pPr>
      <w:r w:rsidRPr="003B7E7F">
        <w:t xml:space="preserve">Dermatology Life Quality Index (DLQI) and Children's DLQI </w:t>
      </w:r>
      <w:r w:rsidRPr="00323CBE">
        <w:t>(CDLQI) are 10-item, validated questionnaires used to assess the impact of dermatologic disease symptoms and treatment on</w:t>
      </w:r>
      <w:r w:rsidR="00323CBE">
        <w:t xml:space="preserve"> health-related quality of life.</w:t>
      </w:r>
      <w:r w:rsidR="00323CBE">
        <w:rPr>
          <w:rStyle w:val="FootnoteReference"/>
        </w:rPr>
        <w:footnoteReference w:id="52"/>
      </w:r>
      <w:r w:rsidR="00083F66">
        <w:rPr>
          <w:vertAlign w:val="superscript"/>
        </w:rPr>
        <w:t>,</w:t>
      </w:r>
      <w:r w:rsidR="00083F66">
        <w:rPr>
          <w:rStyle w:val="FootnoteReference"/>
        </w:rPr>
        <w:footnoteReference w:id="53"/>
      </w:r>
    </w:p>
    <w:p w14:paraId="4C67E0F0" w14:textId="2529C1EB" w:rsidR="00D05272" w:rsidRPr="00323CBE" w:rsidRDefault="00D05272" w:rsidP="00323CBE">
      <w:r w:rsidRPr="00323CBE">
        <w:t>Each consists of 10 questions assessing the impact of skin diseases on different aspects of subject's quality of life over the prior week;</w:t>
      </w:r>
    </w:p>
    <w:p w14:paraId="0BC1088F" w14:textId="07E47790" w:rsidR="00D05272" w:rsidRPr="00323CBE" w:rsidRDefault="00D05272" w:rsidP="00323CBE">
      <w:r w:rsidRPr="00323CBE">
        <w:t>The DLQI items include symptoms and feelings, daily activities, leisure, work or school, personal relationships, and the side effects of treatment;</w:t>
      </w:r>
    </w:p>
    <w:p w14:paraId="07721112" w14:textId="25AC23A9" w:rsidR="00D05272" w:rsidRPr="00323CBE" w:rsidRDefault="00D05272" w:rsidP="00323CBE">
      <w:r w:rsidRPr="00323CBE">
        <w:t xml:space="preserve">Each item is scored from 0 (not at all/not </w:t>
      </w:r>
      <w:r w:rsidR="0099417E">
        <w:t xml:space="preserve">relevant) to 3 (very </w:t>
      </w:r>
      <w:r w:rsidRPr="00323CBE">
        <w:t xml:space="preserve">much). Item scores are added to provide a total score range of 0 to 30; higher scores indicate greater quality of life </w:t>
      </w:r>
      <w:r w:rsidR="0099417E">
        <w:t>impairment.</w:t>
      </w:r>
    </w:p>
    <w:p w14:paraId="3E059F14" w14:textId="2B91EE37" w:rsidR="00D05272" w:rsidRPr="00323CBE" w:rsidRDefault="00D05272" w:rsidP="00323CBE">
      <w:r w:rsidRPr="00323CBE">
        <w:t xml:space="preserve">For general inflammatory skin conditions, an improvement (reduction) in DLQI ≥ 4 is considered a clinically meaningful </w:t>
      </w:r>
      <w:r w:rsidR="0099417E">
        <w:t>improvement;</w:t>
      </w:r>
      <w:r w:rsidR="0099417E">
        <w:rPr>
          <w:rStyle w:val="FootnoteReference"/>
        </w:rPr>
        <w:footnoteReference w:id="54"/>
      </w:r>
      <w:r w:rsidR="0099417E">
        <w:t xml:space="preserve"> </w:t>
      </w:r>
      <w:r w:rsidRPr="00323CBE">
        <w:t>a DLQI score of 0/1 indicates that the skin condition has no effect on a patient's quality of life;</w:t>
      </w:r>
    </w:p>
    <w:p w14:paraId="78B49D4D" w14:textId="78EFFFAD" w:rsidR="00D05272" w:rsidRDefault="00C4203D" w:rsidP="00D05272">
      <w:r>
        <w:lastRenderedPageBreak/>
        <w:t xml:space="preserve">Subjects less than 16 </w:t>
      </w:r>
      <w:r w:rsidR="00D05272" w:rsidRPr="003B7E7F">
        <w:t>years old at the time of the screening visit were administered the CDLQI for the duration of</w:t>
      </w:r>
      <w:r w:rsidR="00D05272" w:rsidRPr="003B7E7F">
        <w:rPr>
          <w:spacing w:val="1"/>
        </w:rPr>
        <w:t xml:space="preserve"> </w:t>
      </w:r>
      <w:r w:rsidR="00D05272" w:rsidRPr="003B7E7F">
        <w:t>the</w:t>
      </w:r>
      <w:r w:rsidR="00D05272" w:rsidRPr="003B7E7F">
        <w:rPr>
          <w:spacing w:val="-2"/>
        </w:rPr>
        <w:t xml:space="preserve"> </w:t>
      </w:r>
      <w:r w:rsidR="00D05272" w:rsidRPr="003B7E7F">
        <w:t>study.</w:t>
      </w:r>
      <w:r w:rsidR="00D05272" w:rsidRPr="003B7E7F">
        <w:rPr>
          <w:spacing w:val="-2"/>
        </w:rPr>
        <w:t xml:space="preserve"> </w:t>
      </w:r>
      <w:r w:rsidR="00D05272" w:rsidRPr="003B7E7F">
        <w:t>A</w:t>
      </w:r>
      <w:r w:rsidR="00D05272" w:rsidRPr="003B7E7F">
        <w:rPr>
          <w:spacing w:val="-1"/>
        </w:rPr>
        <w:t xml:space="preserve"> </w:t>
      </w:r>
      <w:r w:rsidR="00D05272" w:rsidRPr="003B7E7F">
        <w:t>CDLQI</w:t>
      </w:r>
      <w:r w:rsidR="00D05272" w:rsidRPr="003B7E7F">
        <w:rPr>
          <w:spacing w:val="-4"/>
        </w:rPr>
        <w:t xml:space="preserve"> </w:t>
      </w:r>
      <w:r w:rsidR="00D05272" w:rsidRPr="003B7E7F">
        <w:t>score of</w:t>
      </w:r>
      <w:r w:rsidR="00D05272" w:rsidRPr="003B7E7F">
        <w:rPr>
          <w:spacing w:val="1"/>
        </w:rPr>
        <w:t xml:space="preserve"> </w:t>
      </w:r>
      <w:r w:rsidR="00D05272" w:rsidRPr="003B7E7F">
        <w:t>0/1</w:t>
      </w:r>
      <w:r w:rsidR="00D05272" w:rsidRPr="003B7E7F">
        <w:rPr>
          <w:spacing w:val="-2"/>
        </w:rPr>
        <w:t xml:space="preserve"> </w:t>
      </w:r>
      <w:r w:rsidR="00D05272" w:rsidRPr="003B7E7F">
        <w:t>indicates that the</w:t>
      </w:r>
      <w:r w:rsidR="00D05272" w:rsidRPr="003B7E7F">
        <w:rPr>
          <w:spacing w:val="-2"/>
        </w:rPr>
        <w:t xml:space="preserve"> </w:t>
      </w:r>
      <w:r w:rsidR="00D05272" w:rsidRPr="003B7E7F">
        <w:t>skin</w:t>
      </w:r>
      <w:r w:rsidR="00D05272" w:rsidRPr="003B7E7F">
        <w:rPr>
          <w:spacing w:val="-3"/>
        </w:rPr>
        <w:t xml:space="preserve"> </w:t>
      </w:r>
      <w:r w:rsidR="00D05272" w:rsidRPr="003B7E7F">
        <w:t>condition</w:t>
      </w:r>
      <w:r w:rsidR="00D05272" w:rsidRPr="003B7E7F">
        <w:rPr>
          <w:spacing w:val="-2"/>
        </w:rPr>
        <w:t xml:space="preserve"> </w:t>
      </w:r>
      <w:r w:rsidR="00D05272" w:rsidRPr="003B7E7F">
        <w:t>has</w:t>
      </w:r>
      <w:r w:rsidR="00D05272" w:rsidRPr="003B7E7F">
        <w:rPr>
          <w:spacing w:val="-2"/>
        </w:rPr>
        <w:t xml:space="preserve"> </w:t>
      </w:r>
      <w:r w:rsidR="00D05272" w:rsidRPr="003B7E7F">
        <w:t>no</w:t>
      </w:r>
      <w:r w:rsidR="00D05272" w:rsidRPr="003B7E7F">
        <w:rPr>
          <w:spacing w:val="-2"/>
        </w:rPr>
        <w:t xml:space="preserve"> </w:t>
      </w:r>
      <w:r w:rsidR="00D05272" w:rsidRPr="003B7E7F">
        <w:t>effect</w:t>
      </w:r>
      <w:r w:rsidR="00D05272" w:rsidRPr="003B7E7F">
        <w:rPr>
          <w:spacing w:val="-3"/>
        </w:rPr>
        <w:t xml:space="preserve"> </w:t>
      </w:r>
      <w:r w:rsidR="00D05272" w:rsidRPr="003B7E7F">
        <w:t>on the</w:t>
      </w:r>
      <w:r w:rsidR="00D05272" w:rsidRPr="003B7E7F">
        <w:rPr>
          <w:spacing w:val="-1"/>
        </w:rPr>
        <w:t xml:space="preserve"> </w:t>
      </w:r>
      <w:r w:rsidR="00D05272" w:rsidRPr="003B7E7F">
        <w:t>child's quality of</w:t>
      </w:r>
      <w:r w:rsidR="00D05272" w:rsidRPr="003B7E7F">
        <w:rPr>
          <w:spacing w:val="-1"/>
        </w:rPr>
        <w:t xml:space="preserve"> </w:t>
      </w:r>
      <w:r w:rsidR="00083F66">
        <w:t>life.</w:t>
      </w:r>
      <w:r w:rsidR="00083F66">
        <w:rPr>
          <w:rStyle w:val="FootnoteReference"/>
        </w:rPr>
        <w:footnoteReference w:id="55"/>
      </w:r>
    </w:p>
    <w:p w14:paraId="5C727D70" w14:textId="30CBDDEC" w:rsidR="00CB1DC8" w:rsidRPr="00BB6812" w:rsidRDefault="00BB6812" w:rsidP="00323CBE">
      <w:pPr>
        <w:pStyle w:val="Heading6"/>
      </w:pPr>
      <w:bookmarkStart w:id="90" w:name="_Ref126046828"/>
      <w:r w:rsidRPr="004F5126">
        <w:t>Hospital Anxiety and Depression Scale (HADS</w:t>
      </w:r>
      <w:r>
        <w:t>)</w:t>
      </w:r>
      <w:bookmarkEnd w:id="90"/>
    </w:p>
    <w:p w14:paraId="38FE8026" w14:textId="2C92412F" w:rsidR="00CB1DC8" w:rsidRDefault="00F96C79" w:rsidP="00BB6812">
      <w:r>
        <w:t xml:space="preserve">The </w:t>
      </w:r>
      <w:r w:rsidR="00CB1DC8" w:rsidRPr="004F5126">
        <w:t xml:space="preserve">Hospital Anxiety and Depression Scale (HADS) is a </w:t>
      </w:r>
      <w:r w:rsidR="00061158">
        <w:t>validated and frequently used measure of anxiety and depression.</w:t>
      </w:r>
      <w:r w:rsidR="00061158">
        <w:rPr>
          <w:rStyle w:val="FootnoteReference"/>
        </w:rPr>
        <w:footnoteReference w:id="56"/>
      </w:r>
      <w:r w:rsidR="00061158">
        <w:t xml:space="preserve"> The 14-item questionnaire is</w:t>
      </w:r>
      <w:r w:rsidR="00D05272">
        <w:t xml:space="preserve"> shown below in </w:t>
      </w:r>
      <w:r w:rsidR="00D05272">
        <w:fldChar w:fldCharType="begin"/>
      </w:r>
      <w:r w:rsidR="00D05272">
        <w:instrText xml:space="preserve"> REF _Ref120805614 \h </w:instrText>
      </w:r>
      <w:r w:rsidR="00D05272">
        <w:fldChar w:fldCharType="separate"/>
      </w:r>
      <w:r w:rsidR="00B51532">
        <w:t xml:space="preserve">Table </w:t>
      </w:r>
      <w:r w:rsidR="00B51532">
        <w:rPr>
          <w:noProof/>
        </w:rPr>
        <w:t>21</w:t>
      </w:r>
      <w:r w:rsidR="00D05272">
        <w:fldChar w:fldCharType="end"/>
      </w:r>
      <w:r w:rsidR="00D05272">
        <w:t>,</w:t>
      </w:r>
      <w:r w:rsidR="00CB1DC8" w:rsidRPr="004F5126">
        <w:t xml:space="preserve"> with seven items related to anxiety (HADS-A) and seven</w:t>
      </w:r>
      <w:r w:rsidR="00CB1DC8" w:rsidRPr="004F5126">
        <w:rPr>
          <w:spacing w:val="1"/>
        </w:rPr>
        <w:t xml:space="preserve"> </w:t>
      </w:r>
      <w:r w:rsidR="00CB1DC8" w:rsidRPr="004F5126">
        <w:t>items</w:t>
      </w:r>
      <w:r>
        <w:t xml:space="preserve"> related to depression (HADS-D).</w:t>
      </w:r>
      <w:r>
        <w:rPr>
          <w:rStyle w:val="FootnoteReference"/>
        </w:rPr>
        <w:footnoteReference w:id="57"/>
      </w:r>
      <w:r>
        <w:t xml:space="preserve"> </w:t>
      </w:r>
      <w:r w:rsidR="00CB1DC8" w:rsidRPr="004F5126">
        <w:t>Each item is scored from 0 to 3; scores for each subscale range from 0 to 21 and</w:t>
      </w:r>
      <w:r w:rsidR="00CB1DC8" w:rsidRPr="004F5126">
        <w:rPr>
          <w:spacing w:val="1"/>
        </w:rPr>
        <w:t xml:space="preserve"> </w:t>
      </w:r>
      <w:r w:rsidR="00CB1DC8" w:rsidRPr="004F5126">
        <w:t>scores</w:t>
      </w:r>
      <w:r w:rsidR="00CB1DC8" w:rsidRPr="004F5126">
        <w:rPr>
          <w:spacing w:val="-3"/>
        </w:rPr>
        <w:t xml:space="preserve"> </w:t>
      </w:r>
      <w:r w:rsidR="00CB1DC8" w:rsidRPr="004F5126">
        <w:t>for</w:t>
      </w:r>
      <w:r w:rsidR="00CB1DC8" w:rsidRPr="004F5126">
        <w:rPr>
          <w:spacing w:val="-1"/>
        </w:rPr>
        <w:t xml:space="preserve"> </w:t>
      </w:r>
      <w:r w:rsidR="00CB1DC8" w:rsidRPr="004F5126">
        <w:t>the</w:t>
      </w:r>
      <w:r w:rsidR="00CB1DC8" w:rsidRPr="004F5126">
        <w:rPr>
          <w:spacing w:val="-3"/>
        </w:rPr>
        <w:t xml:space="preserve"> </w:t>
      </w:r>
      <w:r w:rsidR="00CB1DC8" w:rsidRPr="004F5126">
        <w:t>entire</w:t>
      </w:r>
      <w:r w:rsidR="00CB1DC8" w:rsidRPr="004F5126">
        <w:rPr>
          <w:spacing w:val="-1"/>
        </w:rPr>
        <w:t xml:space="preserve"> </w:t>
      </w:r>
      <w:r w:rsidR="00CB1DC8" w:rsidRPr="004F5126">
        <w:t>scale</w:t>
      </w:r>
      <w:r w:rsidR="00CB1DC8" w:rsidRPr="004F5126">
        <w:rPr>
          <w:spacing w:val="-2"/>
        </w:rPr>
        <w:t xml:space="preserve"> </w:t>
      </w:r>
      <w:r w:rsidR="00CB1DC8" w:rsidRPr="004F5126">
        <w:t>(emotional</w:t>
      </w:r>
      <w:r w:rsidR="00CB1DC8" w:rsidRPr="004F5126">
        <w:rPr>
          <w:spacing w:val="-3"/>
        </w:rPr>
        <w:t xml:space="preserve"> </w:t>
      </w:r>
      <w:r w:rsidR="00CB1DC8" w:rsidRPr="004F5126">
        <w:t>distress)</w:t>
      </w:r>
      <w:r w:rsidR="00CB1DC8" w:rsidRPr="004F5126">
        <w:rPr>
          <w:spacing w:val="-1"/>
        </w:rPr>
        <w:t xml:space="preserve"> </w:t>
      </w:r>
      <w:r w:rsidR="00CB1DC8" w:rsidRPr="004F5126">
        <w:t>range</w:t>
      </w:r>
      <w:r w:rsidR="00CB1DC8" w:rsidRPr="004F5126">
        <w:rPr>
          <w:spacing w:val="-1"/>
        </w:rPr>
        <w:t xml:space="preserve"> </w:t>
      </w:r>
      <w:r w:rsidR="00CB1DC8" w:rsidRPr="004F5126">
        <w:t>from</w:t>
      </w:r>
      <w:r w:rsidR="00CB1DC8" w:rsidRPr="004F5126">
        <w:rPr>
          <w:spacing w:val="-2"/>
        </w:rPr>
        <w:t xml:space="preserve"> </w:t>
      </w:r>
      <w:r w:rsidR="00CB1DC8" w:rsidRPr="004F5126">
        <w:t>0</w:t>
      </w:r>
      <w:r w:rsidR="00CB1DC8" w:rsidRPr="004F5126">
        <w:rPr>
          <w:spacing w:val="-3"/>
        </w:rPr>
        <w:t xml:space="preserve"> </w:t>
      </w:r>
      <w:r w:rsidR="00CB1DC8" w:rsidRPr="004F5126">
        <w:t>to</w:t>
      </w:r>
      <w:r w:rsidR="00CB1DC8" w:rsidRPr="004F5126">
        <w:rPr>
          <w:spacing w:val="-1"/>
        </w:rPr>
        <w:t xml:space="preserve"> </w:t>
      </w:r>
      <w:r w:rsidR="00CB1DC8" w:rsidRPr="004F5126">
        <w:t>42,</w:t>
      </w:r>
      <w:r w:rsidR="00CB1DC8" w:rsidRPr="004F5126">
        <w:rPr>
          <w:spacing w:val="-3"/>
        </w:rPr>
        <w:t xml:space="preserve"> </w:t>
      </w:r>
      <w:r w:rsidR="00CB1DC8" w:rsidRPr="004F5126">
        <w:t>with</w:t>
      </w:r>
      <w:r w:rsidR="00CB1DC8" w:rsidRPr="004F5126">
        <w:rPr>
          <w:spacing w:val="-2"/>
        </w:rPr>
        <w:t xml:space="preserve"> </w:t>
      </w:r>
      <w:r w:rsidR="00CB1DC8" w:rsidRPr="004F5126">
        <w:t>higher</w:t>
      </w:r>
      <w:r w:rsidR="00CB1DC8" w:rsidRPr="004F5126">
        <w:rPr>
          <w:spacing w:val="-4"/>
        </w:rPr>
        <w:t xml:space="preserve"> </w:t>
      </w:r>
      <w:r w:rsidR="00CB1DC8" w:rsidRPr="004F5126">
        <w:t>scores</w:t>
      </w:r>
      <w:r w:rsidR="00CB1DC8" w:rsidRPr="004F5126">
        <w:rPr>
          <w:spacing w:val="-3"/>
        </w:rPr>
        <w:t xml:space="preserve"> </w:t>
      </w:r>
      <w:r w:rsidR="00CB1DC8" w:rsidRPr="004F5126">
        <w:t>indicating</w:t>
      </w:r>
      <w:r w:rsidR="00CB1DC8" w:rsidRPr="004F5126">
        <w:rPr>
          <w:spacing w:val="-3"/>
        </w:rPr>
        <w:t xml:space="preserve"> </w:t>
      </w:r>
      <w:r w:rsidR="00CB1DC8" w:rsidRPr="004F5126">
        <w:t>more</w:t>
      </w:r>
      <w:r w:rsidR="00CB1DC8" w:rsidRPr="004F5126">
        <w:rPr>
          <w:spacing w:val="-1"/>
        </w:rPr>
        <w:t xml:space="preserve"> </w:t>
      </w:r>
      <w:r w:rsidR="00CB1DC8" w:rsidRPr="004F5126">
        <w:t>distress.</w:t>
      </w:r>
      <w:r w:rsidR="00CB1DC8" w:rsidRPr="004F5126">
        <w:rPr>
          <w:spacing w:val="-4"/>
        </w:rPr>
        <w:t xml:space="preserve"> </w:t>
      </w:r>
      <w:r w:rsidR="00CB1DC8" w:rsidRPr="004F5126">
        <w:t>For</w:t>
      </w:r>
      <w:r w:rsidR="00CB1DC8" w:rsidRPr="004F5126">
        <w:rPr>
          <w:spacing w:val="-2"/>
        </w:rPr>
        <w:t xml:space="preserve"> </w:t>
      </w:r>
      <w:r w:rsidR="00CB1DC8" w:rsidRPr="004F5126">
        <w:t>each</w:t>
      </w:r>
      <w:r w:rsidR="00CB1DC8" w:rsidRPr="004F5126">
        <w:rPr>
          <w:spacing w:val="-2"/>
        </w:rPr>
        <w:t xml:space="preserve"> </w:t>
      </w:r>
      <w:r w:rsidR="00CB1DC8" w:rsidRPr="004F5126">
        <w:t>subscale,</w:t>
      </w:r>
      <w:r w:rsidR="00CB1DC8" w:rsidRPr="004F5126">
        <w:rPr>
          <w:spacing w:val="-5"/>
        </w:rPr>
        <w:t xml:space="preserve"> </w:t>
      </w:r>
      <w:r w:rsidR="00323CBE">
        <w:t>scores</w:t>
      </w:r>
      <w:r w:rsidR="00CB1DC8" w:rsidRPr="004F5126">
        <w:t xml:space="preserve"> ≤</w:t>
      </w:r>
      <w:r w:rsidR="00CB1DC8" w:rsidRPr="004F5126">
        <w:rPr>
          <w:spacing w:val="-3"/>
        </w:rPr>
        <w:t xml:space="preserve"> </w:t>
      </w:r>
      <w:r w:rsidR="00CB1DC8" w:rsidRPr="004F5126">
        <w:t>8</w:t>
      </w:r>
      <w:r w:rsidR="00CB1DC8" w:rsidRPr="004F5126">
        <w:rPr>
          <w:spacing w:val="-2"/>
        </w:rPr>
        <w:t xml:space="preserve"> </w:t>
      </w:r>
      <w:r w:rsidR="00CB1DC8" w:rsidRPr="004F5126">
        <w:t>are</w:t>
      </w:r>
      <w:r w:rsidR="00CB1DC8" w:rsidRPr="004F5126">
        <w:rPr>
          <w:spacing w:val="-1"/>
        </w:rPr>
        <w:t xml:space="preserve"> </w:t>
      </w:r>
      <w:r w:rsidR="00CB1DC8" w:rsidRPr="004F5126">
        <w:t>considered</w:t>
      </w:r>
      <w:r w:rsidR="00CB1DC8" w:rsidRPr="004F5126">
        <w:rPr>
          <w:spacing w:val="-3"/>
        </w:rPr>
        <w:t xml:space="preserve"> </w:t>
      </w:r>
      <w:r w:rsidR="00CB1DC8" w:rsidRPr="004F5126">
        <w:t>normal,</w:t>
      </w:r>
      <w:r w:rsidR="00CB1DC8" w:rsidRPr="004F5126">
        <w:rPr>
          <w:spacing w:val="-2"/>
        </w:rPr>
        <w:t xml:space="preserve"> </w:t>
      </w:r>
      <w:r w:rsidR="00CB1DC8" w:rsidRPr="004F5126">
        <w:t>8</w:t>
      </w:r>
      <w:r w:rsidR="00CB1DC8" w:rsidRPr="004F5126">
        <w:rPr>
          <w:spacing w:val="-2"/>
        </w:rPr>
        <w:t xml:space="preserve"> </w:t>
      </w:r>
      <w:r w:rsidR="00CB1DC8" w:rsidRPr="004F5126">
        <w:t>to</w:t>
      </w:r>
      <w:r w:rsidR="00CB1DC8" w:rsidRPr="004F5126">
        <w:rPr>
          <w:spacing w:val="-2"/>
        </w:rPr>
        <w:t xml:space="preserve"> </w:t>
      </w:r>
      <w:r w:rsidR="00CB1DC8" w:rsidRPr="004F5126">
        <w:t>10</w:t>
      </w:r>
      <w:r w:rsidR="00CB1DC8" w:rsidRPr="004F5126">
        <w:rPr>
          <w:spacing w:val="-2"/>
        </w:rPr>
        <w:t xml:space="preserve"> </w:t>
      </w:r>
      <w:r w:rsidR="00CB1DC8" w:rsidRPr="004F5126">
        <w:t>are</w:t>
      </w:r>
      <w:r w:rsidR="00CB1DC8" w:rsidRPr="004F5126">
        <w:rPr>
          <w:spacing w:val="-1"/>
        </w:rPr>
        <w:t xml:space="preserve"> </w:t>
      </w:r>
      <w:r w:rsidR="00CB1DC8" w:rsidRPr="004F5126">
        <w:t>borderline,</w:t>
      </w:r>
      <w:r w:rsidR="00CB1DC8" w:rsidRPr="004F5126">
        <w:rPr>
          <w:spacing w:val="-2"/>
        </w:rPr>
        <w:t xml:space="preserve"> </w:t>
      </w:r>
      <w:r w:rsidR="00CB1DC8" w:rsidRPr="004F5126">
        <w:t>and</w:t>
      </w:r>
      <w:r w:rsidR="00CB1DC8" w:rsidRPr="004F5126">
        <w:rPr>
          <w:spacing w:val="-1"/>
        </w:rPr>
        <w:t xml:space="preserve"> </w:t>
      </w:r>
      <w:r w:rsidR="00CB1DC8" w:rsidRPr="004F5126">
        <w:t>11</w:t>
      </w:r>
      <w:r w:rsidR="00CB1DC8" w:rsidRPr="004F5126">
        <w:rPr>
          <w:spacing w:val="-3"/>
        </w:rPr>
        <w:t xml:space="preserve"> </w:t>
      </w:r>
      <w:r w:rsidR="00CB1DC8" w:rsidRPr="004F5126">
        <w:t>or</w:t>
      </w:r>
      <w:r w:rsidR="00CB1DC8" w:rsidRPr="004F5126">
        <w:rPr>
          <w:spacing w:val="-4"/>
        </w:rPr>
        <w:t xml:space="preserve"> </w:t>
      </w:r>
      <w:r w:rsidR="00CB1DC8" w:rsidRPr="004F5126">
        <w:t>higher</w:t>
      </w:r>
      <w:r w:rsidR="00CB1DC8" w:rsidRPr="004F5126">
        <w:rPr>
          <w:spacing w:val="-4"/>
        </w:rPr>
        <w:t xml:space="preserve"> </w:t>
      </w:r>
      <w:r w:rsidR="00CB1DC8" w:rsidRPr="004F5126">
        <w:t>indicate</w:t>
      </w:r>
      <w:r w:rsidR="00CB1DC8" w:rsidRPr="004F5126">
        <w:rPr>
          <w:spacing w:val="-1"/>
        </w:rPr>
        <w:t xml:space="preserve"> </w:t>
      </w:r>
      <w:r w:rsidR="00CB1DC8" w:rsidRPr="004F5126">
        <w:t>clinical anxiety</w:t>
      </w:r>
      <w:r w:rsidR="00CB1DC8" w:rsidRPr="004F5126">
        <w:rPr>
          <w:spacing w:val="-3"/>
        </w:rPr>
        <w:t xml:space="preserve"> </w:t>
      </w:r>
      <w:r w:rsidR="00CB1DC8" w:rsidRPr="004F5126">
        <w:t>or</w:t>
      </w:r>
      <w:r w:rsidR="00CB1DC8" w:rsidRPr="004F5126">
        <w:rPr>
          <w:spacing w:val="-2"/>
        </w:rPr>
        <w:t xml:space="preserve"> </w:t>
      </w:r>
      <w:r w:rsidR="00CB1DC8" w:rsidRPr="004F5126">
        <w:t>depression</w:t>
      </w:r>
      <w:r>
        <w:t>.</w:t>
      </w:r>
    </w:p>
    <w:p w14:paraId="43B2DE91" w14:textId="15867F31" w:rsidR="00D05272" w:rsidRDefault="00D05272" w:rsidP="00D05272">
      <w:pPr>
        <w:pStyle w:val="Tabletitle0"/>
      </w:pPr>
      <w:bookmarkStart w:id="91" w:name="_Ref120805614"/>
      <w:r>
        <w:t xml:space="preserve">Table </w:t>
      </w:r>
      <w:fldSimple w:instr=" SEQ Table \* ARABIC ">
        <w:r w:rsidR="00B51532">
          <w:rPr>
            <w:noProof/>
          </w:rPr>
          <w:t>21</w:t>
        </w:r>
      </w:fldSimple>
      <w:bookmarkEnd w:id="91"/>
      <w:r>
        <w:t xml:space="preserve">: </w:t>
      </w:r>
      <w:r w:rsidRPr="004F5126">
        <w:t>Hospital Anxiety and Depression Scale (HADS)</w:t>
      </w:r>
    </w:p>
    <w:p w14:paraId="1686F638" w14:textId="23F9A9FB" w:rsidR="00CB1DC8" w:rsidRDefault="00D05272" w:rsidP="00D05272">
      <w:r>
        <w:rPr>
          <w:noProof/>
          <w:lang w:val="en-GB" w:eastAsia="en-GB"/>
        </w:rPr>
        <w:drawing>
          <wp:inline distT="0" distB="0" distL="0" distR="0" wp14:anchorId="05351B8C" wp14:editId="7D7C4A1E">
            <wp:extent cx="4742120" cy="4401820"/>
            <wp:effectExtent l="0" t="0" r="1905" b="0"/>
            <wp:docPr id="5" name="Picture 5" descr="Hospital Anxiety and Depression Scale (H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Hospital Anxiety and Depression Scale (HAD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48912" cy="4408124"/>
                    </a:xfrm>
                    <a:prstGeom prst="rect">
                      <a:avLst/>
                    </a:prstGeom>
                    <a:noFill/>
                  </pic:spPr>
                </pic:pic>
              </a:graphicData>
            </a:graphic>
          </wp:inline>
        </w:drawing>
      </w:r>
    </w:p>
    <w:p w14:paraId="3BFAD7C1" w14:textId="5C1A09AD" w:rsidR="00D05272" w:rsidRDefault="00D05272" w:rsidP="00D05272">
      <w:pPr>
        <w:pStyle w:val="TableDescription"/>
      </w:pPr>
      <w:r>
        <w:t>The HADS contains 14 items and consists of two subscales: anxiety and depression. Each item is rated on a 4-point scale, giving maximum scores of 21 for anxiety and</w:t>
      </w:r>
      <w:r w:rsidR="00B51532">
        <w:t xml:space="preserve"> </w:t>
      </w:r>
      <w:r>
        <w:t>depression. Scores of 11 or more on either subscale are considered to be a significant</w:t>
      </w:r>
      <w:r w:rsidR="00B51532">
        <w:t xml:space="preserve"> </w:t>
      </w:r>
      <w:r>
        <w:t>'case' of psychological morbidity, while scores of 8 to 10 represent 'borderline case', and</w:t>
      </w:r>
      <w:r w:rsidR="00B51532">
        <w:t xml:space="preserve"> </w:t>
      </w:r>
      <w:r>
        <w:t>scores of 0–7 represent 'normal case'.</w:t>
      </w:r>
    </w:p>
    <w:p w14:paraId="52A06F9A" w14:textId="36BDD6B0" w:rsidR="00CB1DC8" w:rsidRPr="00D05272" w:rsidRDefault="00D05272" w:rsidP="00D05272">
      <w:pPr>
        <w:pStyle w:val="TableDescription"/>
      </w:pPr>
      <w:r>
        <w:t>Questions relating to anxiety are indicated by an 'A' while those relating to depression are</w:t>
      </w:r>
      <w:r w:rsidR="00B51532">
        <w:t xml:space="preserve"> </w:t>
      </w:r>
      <w:r>
        <w:t>shown by a 'D'. Scores of 0</w:t>
      </w:r>
      <w:r>
        <w:softHyphen/>
        <w:t>7 in respective subscales are considered normal, with 8</w:t>
      </w:r>
      <w:r>
        <w:softHyphen/>
        <w:t>10</w:t>
      </w:r>
      <w:r w:rsidR="00B51532">
        <w:t xml:space="preserve"> </w:t>
      </w:r>
      <w:r>
        <w:t>borderline and 11 or over indicating clinical 'caseness'.</w:t>
      </w:r>
    </w:p>
    <w:p w14:paraId="6B9AB051" w14:textId="340ACEE8" w:rsidR="00AE6E33" w:rsidRPr="00AE6E33" w:rsidRDefault="00AE6E33" w:rsidP="00E22EEB">
      <w:pPr>
        <w:pStyle w:val="Heading4"/>
      </w:pPr>
      <w:bookmarkStart w:id="92" w:name="_Ref126053616"/>
      <w:r>
        <w:lastRenderedPageBreak/>
        <w:t>Study M16-045</w:t>
      </w:r>
      <w:r w:rsidR="00AD7682">
        <w:t xml:space="preserve"> (monotherapy)</w:t>
      </w:r>
      <w:bookmarkEnd w:id="92"/>
    </w:p>
    <w:p w14:paraId="7EFA26EC" w14:textId="5421DD7A" w:rsidR="00AE6E33" w:rsidRPr="00AE6E33" w:rsidRDefault="00AE6E33" w:rsidP="00D42746">
      <w:r>
        <w:t xml:space="preserve">Study </w:t>
      </w:r>
      <w:r w:rsidRPr="00AE6E33">
        <w:t>M16-045</w:t>
      </w:r>
      <w:r>
        <w:t xml:space="preserve"> was a</w:t>
      </w:r>
      <w:r w:rsidRPr="00AE6E33">
        <w:t xml:space="preserve"> Phase</w:t>
      </w:r>
      <w:r>
        <w:t xml:space="preserve"> III</w:t>
      </w:r>
      <w:r w:rsidRPr="00AE6E33">
        <w:t xml:space="preserve">, randomised, double-blind, placebo-controlled multicentre study that evaluated the efficacy and safety of </w:t>
      </w:r>
      <w:r>
        <w:t>upadacitinib in adolescents (12 </w:t>
      </w:r>
      <w:r w:rsidRPr="00AE6E33">
        <w:t xml:space="preserve">to 17 years) and adults (18 to 75 years), with moderate to severe </w:t>
      </w:r>
      <w:r>
        <w:t>atopic dermatitis</w:t>
      </w:r>
      <w:r w:rsidRPr="00AE6E33">
        <w:t xml:space="preserve"> who were</w:t>
      </w:r>
      <w:r>
        <w:t xml:space="preserve"> </w:t>
      </w:r>
      <w:r w:rsidRPr="00AE6E33">
        <w:t xml:space="preserve">candidates for systemic therapy. </w:t>
      </w:r>
    </w:p>
    <w:p w14:paraId="5E5560E6" w14:textId="4BF71F41" w:rsidR="00AE6E33" w:rsidRPr="00AE6E33" w:rsidRDefault="00AE6E33" w:rsidP="00D42746">
      <w:r w:rsidRPr="00C6405C">
        <w:t>The study design included</w:t>
      </w:r>
      <w:r>
        <w:t xml:space="preserve"> a </w:t>
      </w:r>
      <w:r w:rsidRPr="00AE6E33">
        <w:t>35-day screening period</w:t>
      </w:r>
      <w:r w:rsidR="005045AB">
        <w:t>, a 16-week double-</w:t>
      </w:r>
      <w:r>
        <w:t>blind</w:t>
      </w:r>
      <w:r w:rsidRPr="00AE6E33">
        <w:t xml:space="preserve"> </w:t>
      </w:r>
      <w:r>
        <w:t xml:space="preserve">period, </w:t>
      </w:r>
      <w:r w:rsidR="005045AB">
        <w:t xml:space="preserve">a </w:t>
      </w:r>
      <w:r w:rsidRPr="00AE6E33">
        <w:t xml:space="preserve">blinded extension </w:t>
      </w:r>
      <w:r>
        <w:t>p</w:t>
      </w:r>
      <w:r w:rsidRPr="00AE6E33">
        <w:t>eriod of up to Week 136</w:t>
      </w:r>
      <w:r>
        <w:t xml:space="preserve">, and </w:t>
      </w:r>
      <w:r w:rsidR="005045AB">
        <w:t xml:space="preserve">a </w:t>
      </w:r>
      <w:r w:rsidRPr="00AE6E33">
        <w:t xml:space="preserve">30-day </w:t>
      </w:r>
      <w:r>
        <w:t>follow-u</w:t>
      </w:r>
      <w:r w:rsidRPr="00AE6E33">
        <w:t xml:space="preserve">p </w:t>
      </w:r>
      <w:r>
        <w:t>v</w:t>
      </w:r>
      <w:r w:rsidRPr="00AE6E33">
        <w:t>isit.</w:t>
      </w:r>
    </w:p>
    <w:p w14:paraId="3BCD2F42" w14:textId="4120948A" w:rsidR="00AE6E33" w:rsidRPr="00DC0301" w:rsidRDefault="00AE6E33" w:rsidP="00D42746">
      <w:r w:rsidRPr="00DC0301">
        <w:t xml:space="preserve">After the target </w:t>
      </w:r>
      <w:r w:rsidR="00DC0301" w:rsidRPr="00DC0301">
        <w:t>enrolment</w:t>
      </w:r>
      <w:r w:rsidRPr="00DC0301">
        <w:t xml:space="preserve"> (810 subjects) was achieved in the </w:t>
      </w:r>
      <w:r w:rsidR="00DC0301" w:rsidRPr="00DC0301">
        <w:t>m</w:t>
      </w:r>
      <w:r w:rsidRPr="00DC0301">
        <w:t xml:space="preserve">ain </w:t>
      </w:r>
      <w:r w:rsidR="00DC0301" w:rsidRPr="00DC0301">
        <w:t>s</w:t>
      </w:r>
      <w:r w:rsidRPr="00DC0301">
        <w:t>tudy, a supplemental study was opened (</w:t>
      </w:r>
      <w:r w:rsidR="00DC0301">
        <w:t>adolescent s</w:t>
      </w:r>
      <w:r w:rsidRPr="00DC0301">
        <w:t xml:space="preserve">ub-study) [in an attempt] to ensure </w:t>
      </w:r>
      <w:r w:rsidR="00DC0301" w:rsidRPr="00DC0301">
        <w:t>enrolment</w:t>
      </w:r>
      <w:r w:rsidRPr="00DC0301">
        <w:t xml:space="preserve"> in total of</w:t>
      </w:r>
      <w:r w:rsidR="00B51532">
        <w:t xml:space="preserve"> </w:t>
      </w:r>
      <w:r w:rsidRPr="00DC0301">
        <w:t>180 adolescent subjects in the overall study (comprising of</w:t>
      </w:r>
      <w:r w:rsidR="00DC0301">
        <w:t xml:space="preserve"> the main part of Study M16</w:t>
      </w:r>
      <w:r w:rsidR="00DC0301">
        <w:noBreakHyphen/>
        <w:t>045 plus</w:t>
      </w:r>
      <w:r w:rsidRPr="00DC0301">
        <w:t xml:space="preserve"> </w:t>
      </w:r>
      <w:r w:rsidR="00DC0301">
        <w:t>the adolescent s</w:t>
      </w:r>
      <w:r w:rsidRPr="00DC0301">
        <w:t>ub-study).</w:t>
      </w:r>
    </w:p>
    <w:p w14:paraId="57B3F6ED" w14:textId="68B5C2DE" w:rsidR="00AE6E33" w:rsidRPr="00201440" w:rsidRDefault="00AE6E33" w:rsidP="00D42746">
      <w:r w:rsidRPr="00201440">
        <w:t>The</w:t>
      </w:r>
      <w:r w:rsidRPr="00201440">
        <w:rPr>
          <w:spacing w:val="1"/>
        </w:rPr>
        <w:t xml:space="preserve"> </w:t>
      </w:r>
      <w:r w:rsidRPr="00201440">
        <w:t xml:space="preserve">submitted </w:t>
      </w:r>
      <w:r w:rsidR="00DC0301">
        <w:t>clinical study report</w:t>
      </w:r>
      <w:r w:rsidRPr="00201440">
        <w:t xml:space="preserve"> only provided interim results through Week 16 of the </w:t>
      </w:r>
      <w:r w:rsidR="00DC0301">
        <w:t>main s</w:t>
      </w:r>
      <w:r w:rsidRPr="00201440">
        <w:t>tudy while the</w:t>
      </w:r>
      <w:r w:rsidRPr="00201440">
        <w:rPr>
          <w:spacing w:val="1"/>
        </w:rPr>
        <w:t xml:space="preserve"> </w:t>
      </w:r>
      <w:r w:rsidR="00DC0301" w:rsidRPr="00201440">
        <w:t>adolescent</w:t>
      </w:r>
      <w:r w:rsidR="00DC0301" w:rsidRPr="00201440">
        <w:rPr>
          <w:spacing w:val="-2"/>
        </w:rPr>
        <w:t xml:space="preserve"> </w:t>
      </w:r>
      <w:r w:rsidR="00DC0301" w:rsidRPr="00201440">
        <w:t>sub-study</w:t>
      </w:r>
      <w:r w:rsidR="00DC0301" w:rsidRPr="00201440">
        <w:rPr>
          <w:spacing w:val="-2"/>
        </w:rPr>
        <w:t xml:space="preserve"> </w:t>
      </w:r>
      <w:r w:rsidRPr="00201440">
        <w:t>continues to</w:t>
      </w:r>
      <w:r w:rsidRPr="00201440">
        <w:rPr>
          <w:spacing w:val="-1"/>
        </w:rPr>
        <w:t xml:space="preserve"> </w:t>
      </w:r>
      <w:r w:rsidR="00DC0301">
        <w:t>enrol</w:t>
      </w:r>
      <w:r w:rsidRPr="00201440">
        <w:t xml:space="preserve"> participants.</w:t>
      </w:r>
    </w:p>
    <w:p w14:paraId="2E14B8A4" w14:textId="0C4FB457" w:rsidR="00AE6E33" w:rsidRPr="00201440" w:rsidRDefault="00DC0301" w:rsidP="00E22EEB">
      <w:pPr>
        <w:pStyle w:val="Heading5"/>
      </w:pPr>
      <w:r>
        <w:t>Primary objective</w:t>
      </w:r>
    </w:p>
    <w:p w14:paraId="46D2191F" w14:textId="7D4BE386" w:rsidR="00AE6E33" w:rsidRPr="00DC0301" w:rsidRDefault="00AE6E33" w:rsidP="00D42746">
      <w:r w:rsidRPr="00DC0301">
        <w:t xml:space="preserve">To assess the efficacy and safety of upadacitinib for the treatment of adolescent and adult subjects with moderate to severe </w:t>
      </w:r>
      <w:r w:rsidR="00DC0301">
        <w:t>atopic dermatitis</w:t>
      </w:r>
      <w:r w:rsidRPr="00DC0301">
        <w:t xml:space="preserve"> who are candidates for systemic therapy.</w:t>
      </w:r>
    </w:p>
    <w:p w14:paraId="051A9E72" w14:textId="18EE5FBD" w:rsidR="00AE6E33" w:rsidRPr="00DC0301" w:rsidRDefault="00AE6E33" w:rsidP="00D42746">
      <w:r w:rsidRPr="00DC0301">
        <w:t xml:space="preserve">The objective of the </w:t>
      </w:r>
      <w:r w:rsidR="00DC0301">
        <w:t>double blind</w:t>
      </w:r>
      <w:r w:rsidRPr="00DC0301">
        <w:t xml:space="preserve"> period (through Week 16) was to compare the safety and efficacy of </w:t>
      </w:r>
      <w:r w:rsidR="00E67277">
        <w:t>u</w:t>
      </w:r>
      <w:r w:rsidRPr="00DC0301">
        <w:t>padacitini</w:t>
      </w:r>
      <w:r w:rsidR="00DC0301">
        <w:t>b (15 mg and</w:t>
      </w:r>
      <w:r w:rsidR="005308BE">
        <w:t xml:space="preserve"> 30 mg</w:t>
      </w:r>
      <w:r w:rsidR="00DC0301">
        <w:t xml:space="preserve"> once daily) with placebo.</w:t>
      </w:r>
    </w:p>
    <w:p w14:paraId="43F7AC17" w14:textId="0579F0DB" w:rsidR="00AE6E33" w:rsidRPr="00DC0301" w:rsidRDefault="00DC0301" w:rsidP="00D42746">
      <w:r>
        <w:t>The objective of the 136-</w:t>
      </w:r>
      <w:r w:rsidR="00AE6E33" w:rsidRPr="00DC0301">
        <w:t xml:space="preserve">week </w:t>
      </w:r>
      <w:r>
        <w:t>blinded extension</w:t>
      </w:r>
      <w:r w:rsidR="00AE6E33" w:rsidRPr="00DC0301">
        <w:t xml:space="preserve"> period was to evaluate the long-term safety, tolerability, </w:t>
      </w:r>
      <w:r>
        <w:t>and efficacy of u</w:t>
      </w:r>
      <w:r w:rsidR="00AE6E33" w:rsidRPr="00DC0301">
        <w:t>padacitinib (</w:t>
      </w:r>
      <w:r w:rsidR="005D7175">
        <w:t>15 mg</w:t>
      </w:r>
      <w:r w:rsidR="00AE6E33" w:rsidRPr="00DC0301">
        <w:t xml:space="preserve"> and 30 mg) </w:t>
      </w:r>
      <w:r>
        <w:t>once daily</w:t>
      </w:r>
      <w:r w:rsidR="00AE6E33" w:rsidRPr="00DC0301">
        <w:t xml:space="preserve"> in adolescents and adults, with moderate to severe </w:t>
      </w:r>
      <w:r>
        <w:t>atopic dermatitis</w:t>
      </w:r>
      <w:r w:rsidR="00AE6E33" w:rsidRPr="00DC0301">
        <w:t xml:space="preserve"> who had completed the </w:t>
      </w:r>
      <w:r>
        <w:t>double-blind</w:t>
      </w:r>
      <w:r w:rsidR="00AE6E33" w:rsidRPr="00DC0301">
        <w:t xml:space="preserve"> period. </w:t>
      </w:r>
    </w:p>
    <w:p w14:paraId="2EE4C4E7" w14:textId="6A62166C" w:rsidR="00DC0301" w:rsidRDefault="00E22EEB" w:rsidP="00E22EEB">
      <w:pPr>
        <w:pStyle w:val="Heading5"/>
      </w:pPr>
      <w:r>
        <w:t xml:space="preserve">Inclusion and exclusion </w:t>
      </w:r>
      <w:r w:rsidR="00DC0301">
        <w:t>criteria</w:t>
      </w:r>
    </w:p>
    <w:p w14:paraId="264590EE" w14:textId="2127C398" w:rsidR="00AE6E33" w:rsidRPr="008D6732" w:rsidRDefault="00DC0301" w:rsidP="00D42746">
      <w:r>
        <w:t>I</w:t>
      </w:r>
      <w:r w:rsidR="00AE6E33" w:rsidRPr="00DC0301">
        <w:t>nability to meet any of these criteria led to exclusion from study participation:</w:t>
      </w:r>
    </w:p>
    <w:p w14:paraId="03224EFB" w14:textId="3C3C363C" w:rsidR="00AE6E33" w:rsidRPr="00DC0301" w:rsidRDefault="00AE6E33" w:rsidP="00D42746">
      <w:pPr>
        <w:pStyle w:val="ListBullet"/>
      </w:pPr>
      <w:r w:rsidRPr="00DC0301">
        <w:t xml:space="preserve">Subject must be at least ≥ 12 years old and ≤ 75 years old at </w:t>
      </w:r>
      <w:r w:rsidR="00DC0301" w:rsidRPr="00DC0301">
        <w:t>screening visit;</w:t>
      </w:r>
    </w:p>
    <w:p w14:paraId="2A7DCA83" w14:textId="4C2BC65E" w:rsidR="00AE6E33" w:rsidRPr="00DC0301" w:rsidRDefault="00AE6E33" w:rsidP="00D42746">
      <w:pPr>
        <w:pStyle w:val="ListBullet"/>
      </w:pPr>
      <w:r w:rsidRPr="00DC0301">
        <w:t xml:space="preserve">Adult subjects ≥ 18 years of age at </w:t>
      </w:r>
      <w:r w:rsidR="00DC0301" w:rsidRPr="00DC0301">
        <w:t xml:space="preserve">screening visit, </w:t>
      </w:r>
      <w:r w:rsidRPr="00DC0301">
        <w:t>mus</w:t>
      </w:r>
      <w:r w:rsidR="00DC0301">
        <w:t xml:space="preserve">t voluntarily sign and date an </w:t>
      </w:r>
      <w:r w:rsidRPr="00DC0301">
        <w:t>informed consent, approved by an Independent Ethics Committee (IEC)/Institutional Review Board</w:t>
      </w:r>
      <w:r w:rsidR="00B51532">
        <w:t xml:space="preserve"> </w:t>
      </w:r>
      <w:r w:rsidRPr="00DC0301">
        <w:t>(IRB), prior to the initiation of any screening or study-specific procedures and comply, with the</w:t>
      </w:r>
      <w:r w:rsidR="00B51532">
        <w:t xml:space="preserve"> </w:t>
      </w:r>
      <w:r w:rsidRPr="00DC0301">
        <w:t xml:space="preserve">requirements of this study protocol. For subjects aged &lt; 18 years, consent form is to be signed by parent or legal </w:t>
      </w:r>
      <w:r w:rsidR="00DC0301">
        <w:t>guardian;</w:t>
      </w:r>
    </w:p>
    <w:p w14:paraId="36CEDCD5" w14:textId="1DDA9D8F" w:rsidR="00AE6E33" w:rsidRPr="00DC0301" w:rsidRDefault="00AE6E33" w:rsidP="00D42746">
      <w:pPr>
        <w:pStyle w:val="ListBullet"/>
      </w:pPr>
      <w:r w:rsidRPr="00DC0301">
        <w:t xml:space="preserve">Body weight ≥ 40 kg at the </w:t>
      </w:r>
      <w:r w:rsidR="00DC0301" w:rsidRPr="00DC0301">
        <w:t xml:space="preserve">baseline visit </w:t>
      </w:r>
      <w:r w:rsidRPr="00DC0301">
        <w:t>for subjects between ≥ 12 and &lt; 18 years of age.</w:t>
      </w:r>
    </w:p>
    <w:p w14:paraId="00994F1F" w14:textId="12F53862" w:rsidR="00AE6E33" w:rsidRPr="00DC0301" w:rsidRDefault="00AE6E33" w:rsidP="00D42746">
      <w:pPr>
        <w:pStyle w:val="ListBullet"/>
      </w:pPr>
      <w:r w:rsidRPr="00DC0301">
        <w:t xml:space="preserve">Subject is judged to be in general good health (other than </w:t>
      </w:r>
      <w:r w:rsidR="00B97B31">
        <w:t>atopic dermatitis</w:t>
      </w:r>
      <w:r w:rsidRPr="00DC0301">
        <w:t xml:space="preserve">) as determined by the Principal Investigator, based upon the results of medical history, laboratory profile, physical examination, chest x-ray (CXR), and a 12-lead electrocardiogram (ECG) performed during </w:t>
      </w:r>
      <w:r w:rsidR="00DC0301">
        <w:t>Screening.</w:t>
      </w:r>
    </w:p>
    <w:p w14:paraId="147CFD21" w14:textId="1567BB0C" w:rsidR="00AE6E33" w:rsidRPr="00DC0301" w:rsidRDefault="00AE6E33" w:rsidP="00D42746">
      <w:pPr>
        <w:pStyle w:val="ListBullet"/>
      </w:pPr>
      <w:r w:rsidRPr="00DC0301">
        <w:t xml:space="preserve">Chronic </w:t>
      </w:r>
      <w:r w:rsidR="00E22EEB">
        <w:t xml:space="preserve">atopic dermatitis </w:t>
      </w:r>
      <w:r w:rsidRPr="00DC0301">
        <w:t xml:space="preserve">with onset of symptoms at least 3 years prior to Baseline and, </w:t>
      </w:r>
    </w:p>
    <w:p w14:paraId="752942E6" w14:textId="55B6CE30" w:rsidR="00AE6E33" w:rsidRPr="00DC0301" w:rsidRDefault="00DC0301" w:rsidP="00D42746">
      <w:pPr>
        <w:pStyle w:val="ListBullet"/>
      </w:pPr>
      <w:r>
        <w:t>S</w:t>
      </w:r>
      <w:r w:rsidR="00AE6E33" w:rsidRPr="00DC0301">
        <w:t>ubject meets Hanifin and Rajka criteria</w:t>
      </w:r>
      <w:r w:rsidR="00E67277">
        <w:t xml:space="preserve"> for atopic dermatitis</w:t>
      </w:r>
      <w:r>
        <w:t>;</w:t>
      </w:r>
      <w:r w:rsidRPr="00DC0301">
        <w:rPr>
          <w:vertAlign w:val="superscript"/>
        </w:rPr>
        <w:fldChar w:fldCharType="begin"/>
      </w:r>
      <w:r w:rsidRPr="00DC0301">
        <w:rPr>
          <w:vertAlign w:val="superscript"/>
        </w:rPr>
        <w:instrText xml:space="preserve"> NOTEREF _Ref120700524 \h </w:instrText>
      </w:r>
      <w:r>
        <w:rPr>
          <w:vertAlign w:val="superscript"/>
        </w:rPr>
        <w:instrText xml:space="preserve"> \* MERGEFORMAT </w:instrText>
      </w:r>
      <w:r w:rsidRPr="00DC0301">
        <w:rPr>
          <w:vertAlign w:val="superscript"/>
        </w:rPr>
      </w:r>
      <w:r w:rsidRPr="00DC0301">
        <w:rPr>
          <w:vertAlign w:val="superscript"/>
        </w:rPr>
        <w:fldChar w:fldCharType="separate"/>
      </w:r>
      <w:r w:rsidR="00B51532">
        <w:rPr>
          <w:vertAlign w:val="superscript"/>
        </w:rPr>
        <w:t>1</w:t>
      </w:r>
      <w:r w:rsidRPr="00DC0301">
        <w:rPr>
          <w:vertAlign w:val="superscript"/>
        </w:rPr>
        <w:fldChar w:fldCharType="end"/>
      </w:r>
      <w:r>
        <w:t xml:space="preserve"> (shown in </w:t>
      </w:r>
      <w:fldSimple w:instr=" REF _Ref120615213 ">
        <w:r w:rsidR="00B51532">
          <w:t xml:space="preserve">Table </w:t>
        </w:r>
        <w:r w:rsidR="00B51532">
          <w:rPr>
            <w:noProof/>
          </w:rPr>
          <w:t>1</w:t>
        </w:r>
      </w:fldSimple>
      <w:r>
        <w:t>, above).</w:t>
      </w:r>
    </w:p>
    <w:p w14:paraId="4AF86043" w14:textId="74FE60C2" w:rsidR="00AE6E33" w:rsidRPr="008B6A93" w:rsidRDefault="00B51532" w:rsidP="00B134BA">
      <w:pPr>
        <w:pStyle w:val="ListParagraph"/>
        <w:widowControl w:val="0"/>
        <w:numPr>
          <w:ilvl w:val="0"/>
          <w:numId w:val="11"/>
        </w:numPr>
        <w:tabs>
          <w:tab w:val="left" w:pos="142"/>
          <w:tab w:val="left" w:pos="344"/>
        </w:tabs>
        <w:autoSpaceDE w:val="0"/>
        <w:autoSpaceDN w:val="0"/>
        <w:spacing w:before="120" w:after="0" w:line="240" w:lineRule="auto"/>
        <w:ind w:hanging="1062"/>
        <w:rPr>
          <w:rFonts w:ascii="Cambria" w:hAnsi="Cambria"/>
          <w:sz w:val="22"/>
          <w:szCs w:val="22"/>
        </w:rPr>
      </w:pPr>
      <w:r>
        <w:rPr>
          <w:rFonts w:ascii="Cambria" w:hAnsi="Cambria"/>
          <w:sz w:val="22"/>
        </w:rPr>
        <w:t xml:space="preserve"> </w:t>
      </w:r>
      <w:r w:rsidR="00AE6E33" w:rsidRPr="008B6A93">
        <w:rPr>
          <w:rFonts w:ascii="Cambria" w:hAnsi="Cambria"/>
          <w:sz w:val="22"/>
          <w:szCs w:val="22"/>
        </w:rPr>
        <w:t>Subject</w:t>
      </w:r>
      <w:r w:rsidR="00AE6E33" w:rsidRPr="008B6A93">
        <w:rPr>
          <w:rFonts w:ascii="Cambria" w:hAnsi="Cambria"/>
          <w:spacing w:val="-2"/>
          <w:sz w:val="22"/>
          <w:szCs w:val="22"/>
        </w:rPr>
        <w:t xml:space="preserve"> </w:t>
      </w:r>
      <w:r w:rsidR="00AE6E33" w:rsidRPr="008B6A93">
        <w:rPr>
          <w:rFonts w:ascii="Cambria" w:hAnsi="Cambria"/>
          <w:sz w:val="22"/>
          <w:szCs w:val="22"/>
        </w:rPr>
        <w:t>meets</w:t>
      </w:r>
      <w:r w:rsidR="00AE6E33" w:rsidRPr="008B6A93">
        <w:rPr>
          <w:rFonts w:ascii="Cambria" w:hAnsi="Cambria"/>
          <w:spacing w:val="-1"/>
          <w:sz w:val="22"/>
          <w:szCs w:val="22"/>
        </w:rPr>
        <w:t xml:space="preserve"> </w:t>
      </w:r>
      <w:r w:rsidR="00AE6E33" w:rsidRPr="008B6A93">
        <w:rPr>
          <w:rFonts w:ascii="Cambria" w:hAnsi="Cambria"/>
          <w:sz w:val="22"/>
          <w:szCs w:val="22"/>
        </w:rPr>
        <w:t>all</w:t>
      </w:r>
      <w:r w:rsidR="00AE6E33" w:rsidRPr="008B6A93">
        <w:rPr>
          <w:rFonts w:ascii="Cambria" w:hAnsi="Cambria"/>
          <w:spacing w:val="-3"/>
          <w:sz w:val="22"/>
          <w:szCs w:val="22"/>
        </w:rPr>
        <w:t xml:space="preserve"> </w:t>
      </w:r>
      <w:r w:rsidR="00AE6E33" w:rsidRPr="008B6A93">
        <w:rPr>
          <w:rFonts w:ascii="Cambria" w:hAnsi="Cambria"/>
          <w:sz w:val="22"/>
          <w:szCs w:val="22"/>
        </w:rPr>
        <w:t>of</w:t>
      </w:r>
      <w:r w:rsidR="00AE6E33" w:rsidRPr="008B6A93">
        <w:rPr>
          <w:rFonts w:ascii="Cambria" w:hAnsi="Cambria"/>
          <w:spacing w:val="-2"/>
          <w:sz w:val="22"/>
          <w:szCs w:val="22"/>
        </w:rPr>
        <w:t xml:space="preserve"> </w:t>
      </w:r>
      <w:r w:rsidR="00AE6E33" w:rsidRPr="008B6A93">
        <w:rPr>
          <w:rFonts w:ascii="Cambria" w:hAnsi="Cambria"/>
          <w:sz w:val="22"/>
          <w:szCs w:val="22"/>
        </w:rPr>
        <w:t>the</w:t>
      </w:r>
      <w:r w:rsidR="00AE6E33" w:rsidRPr="008B6A93">
        <w:rPr>
          <w:rFonts w:ascii="Cambria" w:hAnsi="Cambria"/>
          <w:spacing w:val="-1"/>
          <w:sz w:val="22"/>
          <w:szCs w:val="22"/>
        </w:rPr>
        <w:t xml:space="preserve"> </w:t>
      </w:r>
      <w:r w:rsidR="00AE6E33" w:rsidRPr="008B6A93">
        <w:rPr>
          <w:rFonts w:ascii="Cambria" w:hAnsi="Cambria"/>
          <w:sz w:val="22"/>
          <w:szCs w:val="22"/>
        </w:rPr>
        <w:t>following</w:t>
      </w:r>
      <w:r w:rsidR="00AE6E33" w:rsidRPr="008B6A93">
        <w:rPr>
          <w:rFonts w:ascii="Cambria" w:hAnsi="Cambria"/>
          <w:spacing w:val="-3"/>
          <w:sz w:val="22"/>
          <w:szCs w:val="22"/>
        </w:rPr>
        <w:t xml:space="preserve"> </w:t>
      </w:r>
      <w:r w:rsidR="00AE6E33" w:rsidRPr="008B6A93">
        <w:rPr>
          <w:rFonts w:ascii="Cambria" w:hAnsi="Cambria"/>
          <w:sz w:val="22"/>
          <w:szCs w:val="22"/>
        </w:rPr>
        <w:t>disease</w:t>
      </w:r>
      <w:r w:rsidR="00AE6E33" w:rsidRPr="008B6A93">
        <w:rPr>
          <w:rFonts w:ascii="Cambria" w:hAnsi="Cambria"/>
          <w:spacing w:val="-3"/>
          <w:sz w:val="22"/>
          <w:szCs w:val="22"/>
        </w:rPr>
        <w:t xml:space="preserve"> </w:t>
      </w:r>
      <w:r w:rsidR="00AE6E33" w:rsidRPr="008B6A93">
        <w:rPr>
          <w:rFonts w:ascii="Cambria" w:hAnsi="Cambria"/>
          <w:sz w:val="22"/>
          <w:szCs w:val="22"/>
        </w:rPr>
        <w:t>activity</w:t>
      </w:r>
      <w:r w:rsidR="00AE6E33" w:rsidRPr="008B6A93">
        <w:rPr>
          <w:rFonts w:ascii="Cambria" w:hAnsi="Cambria"/>
          <w:spacing w:val="-3"/>
          <w:sz w:val="22"/>
          <w:szCs w:val="22"/>
        </w:rPr>
        <w:t xml:space="preserve"> </w:t>
      </w:r>
      <w:r w:rsidR="00AE6E33" w:rsidRPr="008B6A93">
        <w:rPr>
          <w:rFonts w:ascii="Cambria" w:hAnsi="Cambria"/>
          <w:sz w:val="22"/>
          <w:szCs w:val="22"/>
        </w:rPr>
        <w:t>criteria:</w:t>
      </w:r>
    </w:p>
    <w:p w14:paraId="3591BF62" w14:textId="02DBDB98" w:rsidR="00AE6E33" w:rsidRDefault="00AE6E33" w:rsidP="00D42746">
      <w:pPr>
        <w:pStyle w:val="ListBullet2"/>
      </w:pPr>
      <w:r w:rsidRPr="00E67277">
        <w:t>Eczema Area and Severity Index (EASI)</w:t>
      </w:r>
      <w:r w:rsidRPr="00E67277">
        <w:rPr>
          <w:spacing w:val="-2"/>
        </w:rPr>
        <w:t xml:space="preserve"> </w:t>
      </w:r>
      <w:r w:rsidR="00E67277">
        <w:t>c</w:t>
      </w:r>
      <w:r w:rsidRPr="00E67277">
        <w:t>omposite score</w:t>
      </w:r>
      <w:r w:rsidRPr="00E67277">
        <w:rPr>
          <w:spacing w:val="-1"/>
        </w:rPr>
        <w:t xml:space="preserve"> </w:t>
      </w:r>
      <w:r w:rsidRPr="00E67277">
        <w:t>≥</w:t>
      </w:r>
      <w:r w:rsidRPr="00E67277">
        <w:rPr>
          <w:spacing w:val="-2"/>
        </w:rPr>
        <w:t xml:space="preserve"> </w:t>
      </w:r>
      <w:r w:rsidRPr="00E67277">
        <w:t>16</w:t>
      </w:r>
      <w:r w:rsidRPr="00E67277">
        <w:rPr>
          <w:spacing w:val="-1"/>
        </w:rPr>
        <w:t xml:space="preserve"> </w:t>
      </w:r>
      <w:r w:rsidRPr="00E67277">
        <w:t>at</w:t>
      </w:r>
      <w:r w:rsidRPr="00E67277">
        <w:rPr>
          <w:spacing w:val="-2"/>
        </w:rPr>
        <w:t xml:space="preserve"> </w:t>
      </w:r>
      <w:r w:rsidRPr="00E67277">
        <w:t>the</w:t>
      </w:r>
      <w:r w:rsidRPr="00E67277">
        <w:rPr>
          <w:spacing w:val="-1"/>
        </w:rPr>
        <w:t xml:space="preserve"> </w:t>
      </w:r>
      <w:r w:rsidR="00E67277">
        <w:t>s</w:t>
      </w:r>
      <w:r w:rsidRPr="00E67277">
        <w:t>creening</w:t>
      </w:r>
      <w:r w:rsidRPr="00E67277">
        <w:rPr>
          <w:spacing w:val="-3"/>
        </w:rPr>
        <w:t xml:space="preserve"> </w:t>
      </w:r>
      <w:r w:rsidRPr="00E67277">
        <w:t>and</w:t>
      </w:r>
      <w:r w:rsidRPr="00E67277">
        <w:rPr>
          <w:spacing w:val="-1"/>
        </w:rPr>
        <w:t xml:space="preserve"> </w:t>
      </w:r>
      <w:r w:rsidR="00E67277">
        <w:t>b</w:t>
      </w:r>
      <w:r w:rsidRPr="00E67277">
        <w:t>aseline</w:t>
      </w:r>
      <w:r w:rsidRPr="00E67277">
        <w:rPr>
          <w:spacing w:val="-4"/>
        </w:rPr>
        <w:t xml:space="preserve"> </w:t>
      </w:r>
      <w:r w:rsidR="000A7587">
        <w:t xml:space="preserve">visits (see Section: </w:t>
      </w:r>
      <w:r w:rsidR="000A7587" w:rsidRPr="000A7587">
        <w:rPr>
          <w:i/>
        </w:rPr>
        <w:fldChar w:fldCharType="begin"/>
      </w:r>
      <w:r w:rsidR="000A7587" w:rsidRPr="000A7587">
        <w:rPr>
          <w:i/>
        </w:rPr>
        <w:instrText xml:space="preserve"> REF _Ref126044782 \h </w:instrText>
      </w:r>
      <w:r w:rsidR="000A7587">
        <w:rPr>
          <w:i/>
        </w:rPr>
        <w:instrText xml:space="preserve"> \* MERGEFORMAT </w:instrText>
      </w:r>
      <w:r w:rsidR="000A7587" w:rsidRPr="000A7587">
        <w:rPr>
          <w:i/>
        </w:rPr>
      </w:r>
      <w:r w:rsidR="000A7587" w:rsidRPr="000A7587">
        <w:rPr>
          <w:i/>
        </w:rPr>
        <w:fldChar w:fldCharType="separate"/>
      </w:r>
      <w:r w:rsidR="00B51532" w:rsidRPr="00B51532">
        <w:rPr>
          <w:i/>
        </w:rPr>
        <w:t>Eczema Area and Severity Index (EASI)</w:t>
      </w:r>
      <w:r w:rsidR="000A7587" w:rsidRPr="000A7587">
        <w:rPr>
          <w:i/>
        </w:rPr>
        <w:fldChar w:fldCharType="end"/>
      </w:r>
      <w:r w:rsidR="000A7587">
        <w:t>);</w:t>
      </w:r>
    </w:p>
    <w:p w14:paraId="7236EC1C" w14:textId="285201BD" w:rsidR="00E67277" w:rsidRDefault="00E67277" w:rsidP="00D42746">
      <w:pPr>
        <w:pStyle w:val="ListBullet2"/>
      </w:pPr>
      <w:r>
        <w:lastRenderedPageBreak/>
        <w:t>V</w:t>
      </w:r>
      <w:r w:rsidRPr="00317F01">
        <w:t>alidated Investigator Global Assessment for Atopic Dermatitis (vIGA-AD)</w:t>
      </w:r>
      <w:r w:rsidRPr="00317F01">
        <w:rPr>
          <w:spacing w:val="-1"/>
        </w:rPr>
        <w:t xml:space="preserve"> </w:t>
      </w:r>
      <w:r w:rsidRPr="00317F01">
        <w:t>score</w:t>
      </w:r>
      <w:r w:rsidRPr="00317F01">
        <w:rPr>
          <w:spacing w:val="-3"/>
        </w:rPr>
        <w:t xml:space="preserve"> </w:t>
      </w:r>
      <w:r w:rsidRPr="00317F01">
        <w:t>≥</w:t>
      </w:r>
      <w:r>
        <w:rPr>
          <w:spacing w:val="-1"/>
        </w:rPr>
        <w:t> </w:t>
      </w:r>
      <w:r w:rsidRPr="00317F01">
        <w:t>3</w:t>
      </w:r>
      <w:r w:rsidRPr="00317F01">
        <w:rPr>
          <w:spacing w:val="-1"/>
        </w:rPr>
        <w:t xml:space="preserve"> </w:t>
      </w:r>
      <w:r w:rsidRPr="00317F01">
        <w:t>at</w:t>
      </w:r>
      <w:r w:rsidRPr="00317F01">
        <w:rPr>
          <w:spacing w:val="-1"/>
        </w:rPr>
        <w:t xml:space="preserve"> </w:t>
      </w:r>
      <w:r w:rsidRPr="00317F01">
        <w:t>the</w:t>
      </w:r>
      <w:r>
        <w:rPr>
          <w:spacing w:val="-1"/>
        </w:rPr>
        <w:t xml:space="preserve"> s</w:t>
      </w:r>
      <w:r w:rsidRPr="00317F01">
        <w:t>creening</w:t>
      </w:r>
      <w:r>
        <w:rPr>
          <w:spacing w:val="-2"/>
        </w:rPr>
        <w:t xml:space="preserve"> </w:t>
      </w:r>
      <w:r w:rsidRPr="00317F01">
        <w:t>and</w:t>
      </w:r>
      <w:r w:rsidRPr="00317F01">
        <w:rPr>
          <w:spacing w:val="-1"/>
        </w:rPr>
        <w:t xml:space="preserve"> </w:t>
      </w:r>
      <w:r>
        <w:t>b</w:t>
      </w:r>
      <w:r w:rsidRPr="00317F01">
        <w:t>aseline</w:t>
      </w:r>
      <w:r w:rsidRPr="00317F01">
        <w:rPr>
          <w:spacing w:val="-1"/>
        </w:rPr>
        <w:t xml:space="preserve"> </w:t>
      </w:r>
      <w:r>
        <w:t>v</w:t>
      </w:r>
      <w:r w:rsidRPr="00317F01">
        <w:t>isits;</w:t>
      </w:r>
    </w:p>
    <w:p w14:paraId="05F9026E" w14:textId="29512D5B" w:rsidR="00E67277" w:rsidRPr="00895166" w:rsidRDefault="00E67277" w:rsidP="00D42746">
      <w:pPr>
        <w:pStyle w:val="ListBullet2"/>
      </w:pPr>
      <w:r w:rsidRPr="00895166">
        <w:t>≥</w:t>
      </w:r>
      <w:r w:rsidRPr="00895166">
        <w:rPr>
          <w:spacing w:val="-1"/>
        </w:rPr>
        <w:t xml:space="preserve"> </w:t>
      </w:r>
      <w:r w:rsidRPr="00895166">
        <w:t>10%</w:t>
      </w:r>
      <w:r w:rsidRPr="00895166">
        <w:rPr>
          <w:spacing w:val="-1"/>
        </w:rPr>
        <w:t xml:space="preserve"> </w:t>
      </w:r>
      <w:r>
        <w:t>body surface a</w:t>
      </w:r>
      <w:r w:rsidRPr="00895166">
        <w:t>rea (BSA)</w:t>
      </w:r>
      <w:r w:rsidRPr="00895166">
        <w:rPr>
          <w:spacing w:val="-2"/>
        </w:rPr>
        <w:t xml:space="preserve"> </w:t>
      </w:r>
      <w:r w:rsidRPr="00895166">
        <w:t>of</w:t>
      </w:r>
      <w:r w:rsidRPr="00895166">
        <w:rPr>
          <w:spacing w:val="-1"/>
        </w:rPr>
        <w:t xml:space="preserve"> </w:t>
      </w:r>
      <w:r w:rsidR="00E22EEB">
        <w:t xml:space="preserve">atopic dermatitis </w:t>
      </w:r>
      <w:r w:rsidRPr="00895166">
        <w:t>involvement</w:t>
      </w:r>
      <w:r w:rsidRPr="00895166">
        <w:rPr>
          <w:spacing w:val="-1"/>
        </w:rPr>
        <w:t xml:space="preserve"> </w:t>
      </w:r>
      <w:r w:rsidRPr="00895166">
        <w:t>at</w:t>
      </w:r>
      <w:r w:rsidRPr="00895166">
        <w:rPr>
          <w:spacing w:val="-1"/>
        </w:rPr>
        <w:t xml:space="preserve"> </w:t>
      </w:r>
      <w:r w:rsidRPr="00895166">
        <w:t>the</w:t>
      </w:r>
      <w:r w:rsidRPr="00895166">
        <w:rPr>
          <w:spacing w:val="-3"/>
        </w:rPr>
        <w:t xml:space="preserve"> </w:t>
      </w:r>
      <w:r w:rsidRPr="00895166">
        <w:t>screening</w:t>
      </w:r>
      <w:r w:rsidRPr="00895166">
        <w:rPr>
          <w:spacing w:val="-1"/>
        </w:rPr>
        <w:t xml:space="preserve"> </w:t>
      </w:r>
      <w:r w:rsidRPr="00895166">
        <w:t>and</w:t>
      </w:r>
      <w:r w:rsidRPr="00895166">
        <w:rPr>
          <w:spacing w:val="-3"/>
        </w:rPr>
        <w:t xml:space="preserve"> </w:t>
      </w:r>
      <w:r w:rsidRPr="00895166">
        <w:t>baseline</w:t>
      </w:r>
      <w:r w:rsidRPr="00895166">
        <w:rPr>
          <w:spacing w:val="-1"/>
        </w:rPr>
        <w:t xml:space="preserve"> </w:t>
      </w:r>
      <w:r w:rsidRPr="00895166">
        <w:t>visits;</w:t>
      </w:r>
    </w:p>
    <w:p w14:paraId="4E74C1F2" w14:textId="074952FC" w:rsidR="00E67277" w:rsidRPr="00895166" w:rsidRDefault="00E67277" w:rsidP="00D42746">
      <w:pPr>
        <w:pStyle w:val="ListBullet2"/>
      </w:pPr>
      <w:r w:rsidRPr="00895166">
        <w:t>Baseline</w:t>
      </w:r>
      <w:r w:rsidRPr="00895166">
        <w:rPr>
          <w:spacing w:val="-2"/>
        </w:rPr>
        <w:t xml:space="preserve"> </w:t>
      </w:r>
      <w:r w:rsidRPr="00895166">
        <w:t>weekly</w:t>
      </w:r>
      <w:r w:rsidRPr="00895166">
        <w:rPr>
          <w:spacing w:val="-2"/>
        </w:rPr>
        <w:t xml:space="preserve"> </w:t>
      </w:r>
      <w:r w:rsidRPr="00895166">
        <w:t>average</w:t>
      </w:r>
      <w:r w:rsidRPr="00895166">
        <w:rPr>
          <w:spacing w:val="-1"/>
        </w:rPr>
        <w:t xml:space="preserve"> </w:t>
      </w:r>
      <w:r w:rsidRPr="00895166">
        <w:t>of</w:t>
      </w:r>
      <w:r w:rsidRPr="00895166">
        <w:rPr>
          <w:spacing w:val="-2"/>
        </w:rPr>
        <w:t xml:space="preserve"> </w:t>
      </w:r>
      <w:r w:rsidRPr="00895166">
        <w:t>daily</w:t>
      </w:r>
      <w:r w:rsidRPr="00895166">
        <w:rPr>
          <w:spacing w:val="-4"/>
        </w:rPr>
        <w:t xml:space="preserve"> </w:t>
      </w:r>
      <w:r w:rsidRPr="00895166">
        <w:t>Worst</w:t>
      </w:r>
      <w:r w:rsidRPr="00895166">
        <w:rPr>
          <w:spacing w:val="-1"/>
        </w:rPr>
        <w:t xml:space="preserve"> </w:t>
      </w:r>
      <w:r w:rsidRPr="00895166">
        <w:t>Pruritus</w:t>
      </w:r>
      <w:r w:rsidRPr="00895166">
        <w:rPr>
          <w:spacing w:val="-3"/>
        </w:rPr>
        <w:t xml:space="preserve"> </w:t>
      </w:r>
      <w:r w:rsidRPr="00895166">
        <w:t>Numerical Rating Scale (NRS) ≥</w:t>
      </w:r>
      <w:r w:rsidRPr="00895166">
        <w:rPr>
          <w:spacing w:val="-1"/>
        </w:rPr>
        <w:t xml:space="preserve"> </w:t>
      </w:r>
      <w:r w:rsidRPr="00895166">
        <w:t>4.</w:t>
      </w:r>
    </w:p>
    <w:p w14:paraId="5D4B1790" w14:textId="4A9F8416" w:rsidR="00E67277" w:rsidRPr="00F21423" w:rsidRDefault="00E67277" w:rsidP="00D42746">
      <w:pPr>
        <w:pStyle w:val="ListBullet"/>
      </w:pPr>
      <w:r w:rsidRPr="008B6A93">
        <w:t>Subject has applied a topical emollient (moisturiser) twice daily for at least 7 days before the</w:t>
      </w:r>
      <w:r w:rsidR="00B51532">
        <w:rPr>
          <w:spacing w:val="-46"/>
        </w:rPr>
        <w:t xml:space="preserve"> </w:t>
      </w:r>
      <w:r w:rsidR="00F21423" w:rsidRPr="008B6A93">
        <w:t>baseline</w:t>
      </w:r>
      <w:r w:rsidR="00F21423" w:rsidRPr="00F21423">
        <w:rPr>
          <w:spacing w:val="-1"/>
        </w:rPr>
        <w:t xml:space="preserve"> </w:t>
      </w:r>
      <w:r w:rsidR="00F21423">
        <w:t>visit.</w:t>
      </w:r>
    </w:p>
    <w:p w14:paraId="0545F017" w14:textId="35A47DB0" w:rsidR="00E67277" w:rsidRPr="008B6A93" w:rsidRDefault="00E67277" w:rsidP="00D42746">
      <w:pPr>
        <w:pStyle w:val="ListBullet"/>
      </w:pPr>
      <w:r w:rsidRPr="00F21423">
        <w:t xml:space="preserve">Documented history (within 6 months of the </w:t>
      </w:r>
      <w:r w:rsidR="00F21423" w:rsidRPr="00F21423">
        <w:t xml:space="preserve">baseline visit) of inadequate response to </w:t>
      </w:r>
      <w:r w:rsidR="00F21423">
        <w:t>topical corticosteroids</w:t>
      </w:r>
      <w:r w:rsidR="00F21423" w:rsidRPr="00F21423">
        <w:t xml:space="preserve"> or </w:t>
      </w:r>
      <w:r w:rsidR="00F21423">
        <w:t xml:space="preserve">topical calcineurin inhibitors </w:t>
      </w:r>
      <w:r w:rsidR="00F21423" w:rsidRPr="00F21423">
        <w:rPr>
          <w:i/>
        </w:rPr>
        <w:t>or</w:t>
      </w:r>
      <w:r w:rsidR="00F21423" w:rsidRPr="00F21423">
        <w:t xml:space="preserve"> documented systemic treatment for atopic dermatitis within 6 months prior to the baseline visit, </w:t>
      </w:r>
      <w:r w:rsidR="00F21423" w:rsidRPr="00F21423">
        <w:rPr>
          <w:i/>
        </w:rPr>
        <w:t>or</w:t>
      </w:r>
      <w:r w:rsidR="00F21423" w:rsidRPr="00F21423">
        <w:t xml:space="preserve"> for whom topical treatments are otherwi</w:t>
      </w:r>
      <w:r w:rsidR="00F21423">
        <w:t xml:space="preserve">se medically inadvisable (for example, </w:t>
      </w:r>
      <w:r w:rsidR="00F21423" w:rsidRPr="00F21423">
        <w:t>because of importan</w:t>
      </w:r>
      <w:r w:rsidR="00F21423">
        <w:t>t side effects or safety risks).</w:t>
      </w:r>
    </w:p>
    <w:p w14:paraId="6F83CE8E" w14:textId="2C6BDB5D" w:rsidR="00E67277" w:rsidRPr="00F21423" w:rsidRDefault="00E67277" w:rsidP="00D42746">
      <w:pPr>
        <w:pStyle w:val="ListBullet"/>
      </w:pPr>
      <w:r w:rsidRPr="008B6A93">
        <w:t xml:space="preserve">Negative urine pregnancy test at baseline visit, postmenopausal or practicing </w:t>
      </w:r>
      <w:r w:rsidRPr="00F21423">
        <w:t>specified method</w:t>
      </w:r>
      <w:r w:rsidR="00B51532">
        <w:t xml:space="preserve"> </w:t>
      </w:r>
      <w:r w:rsidRPr="00F21423">
        <w:t>of</w:t>
      </w:r>
      <w:r w:rsidRPr="00F21423">
        <w:rPr>
          <w:spacing w:val="-2"/>
        </w:rPr>
        <w:t xml:space="preserve"> </w:t>
      </w:r>
      <w:r w:rsidRPr="00F21423">
        <w:t>birth</w:t>
      </w:r>
      <w:r w:rsidRPr="00F21423">
        <w:rPr>
          <w:spacing w:val="-3"/>
        </w:rPr>
        <w:t xml:space="preserve"> </w:t>
      </w:r>
      <w:r w:rsidR="00F21423">
        <w:t>control.</w:t>
      </w:r>
    </w:p>
    <w:p w14:paraId="06C574B8" w14:textId="527B9629" w:rsidR="00E67277" w:rsidRPr="00F21423" w:rsidRDefault="00E67277" w:rsidP="00D42746">
      <w:pPr>
        <w:pStyle w:val="ListBullet"/>
      </w:pPr>
      <w:r w:rsidRPr="008B6A93">
        <w:t xml:space="preserve">No prior exposure to </w:t>
      </w:r>
      <w:r w:rsidRPr="00F21423">
        <w:t>any</w:t>
      </w:r>
      <w:r w:rsidRPr="008B6A93">
        <w:t xml:space="preserve"> JAK inhibitor (including but not limited to </w:t>
      </w:r>
      <w:r w:rsidR="00F21423" w:rsidRPr="008B6A93">
        <w:t>ruxolitinib</w:t>
      </w:r>
      <w:r w:rsidRPr="008B6A93">
        <w:t xml:space="preserve">, </w:t>
      </w:r>
      <w:r w:rsidR="00F21423" w:rsidRPr="008B6A93">
        <w:t>tofacitinib,</w:t>
      </w:r>
      <w:r w:rsidR="00B51532">
        <w:rPr>
          <w:spacing w:val="-46"/>
        </w:rPr>
        <w:t xml:space="preserve"> </w:t>
      </w:r>
      <w:r w:rsidR="00F21423" w:rsidRPr="008B6A93">
        <w:t>baricitinib,</w:t>
      </w:r>
      <w:r w:rsidR="00F21423" w:rsidRPr="00F21423">
        <w:rPr>
          <w:spacing w:val="-2"/>
        </w:rPr>
        <w:t xml:space="preserve"> u</w:t>
      </w:r>
      <w:r w:rsidR="00F21423" w:rsidRPr="008B6A93">
        <w:t>padacitinib,</w:t>
      </w:r>
      <w:r w:rsidR="00F21423" w:rsidRPr="00F21423">
        <w:rPr>
          <w:spacing w:val="-1"/>
        </w:rPr>
        <w:t xml:space="preserve"> a</w:t>
      </w:r>
      <w:r w:rsidR="00F21423" w:rsidRPr="008B6A93">
        <w:t>brocitinib</w:t>
      </w:r>
      <w:r w:rsidR="00F21423" w:rsidRPr="00F21423">
        <w:rPr>
          <w:spacing w:val="-2"/>
        </w:rPr>
        <w:t xml:space="preserve"> </w:t>
      </w:r>
      <w:r w:rsidRPr="008B6A93">
        <w:t>and</w:t>
      </w:r>
      <w:r w:rsidRPr="00F21423">
        <w:rPr>
          <w:spacing w:val="-1"/>
        </w:rPr>
        <w:t xml:space="preserve"> </w:t>
      </w:r>
      <w:r w:rsidR="00F21423" w:rsidRPr="00F21423">
        <w:rPr>
          <w:spacing w:val="-1"/>
        </w:rPr>
        <w:t>f</w:t>
      </w:r>
      <w:r w:rsidR="00F21423" w:rsidRPr="008B6A93">
        <w:t>ilgotinib</w:t>
      </w:r>
      <w:r w:rsidR="00E22EEB">
        <w:t>).</w:t>
      </w:r>
    </w:p>
    <w:p w14:paraId="601B685F" w14:textId="49792098" w:rsidR="00E67277" w:rsidRPr="00F21423" w:rsidRDefault="00E67277" w:rsidP="00D42746">
      <w:pPr>
        <w:pStyle w:val="ListBullet"/>
      </w:pPr>
      <w:r w:rsidRPr="00F21423">
        <w:t xml:space="preserve">No prior exposure to </w:t>
      </w:r>
      <w:r w:rsidR="00F21423">
        <w:t>d</w:t>
      </w:r>
      <w:r w:rsidRPr="00F21423">
        <w:t>upilumab;</w:t>
      </w:r>
    </w:p>
    <w:p w14:paraId="167FE0D4" w14:textId="0E42A7B5" w:rsidR="00E67277" w:rsidRPr="00F21423" w:rsidRDefault="00E67277" w:rsidP="00D42746">
      <w:pPr>
        <w:pStyle w:val="ListBullet"/>
      </w:pPr>
      <w:r w:rsidRPr="00F21423">
        <w:t xml:space="preserve">Subjects must not have used the following </w:t>
      </w:r>
      <w:r w:rsidR="00E22EEB">
        <w:t>atopic dermatitis</w:t>
      </w:r>
      <w:r w:rsidRPr="00F21423">
        <w:t xml:space="preserve"> treatments within the specified timeframe prior to </w:t>
      </w:r>
      <w:r w:rsidR="00F21423" w:rsidRPr="00F21423">
        <w:t xml:space="preserve">baseline visit: </w:t>
      </w:r>
    </w:p>
    <w:p w14:paraId="42E0D019" w14:textId="57626F1A" w:rsidR="00E67277" w:rsidRPr="00F21423" w:rsidRDefault="00E67277" w:rsidP="00D42746">
      <w:pPr>
        <w:pStyle w:val="ListBullet2"/>
      </w:pPr>
      <w:r w:rsidRPr="00F21423">
        <w:t xml:space="preserve">Systemic therapy for </w:t>
      </w:r>
      <w:r w:rsidR="00E22EEB">
        <w:t>atopic dermatitis</w:t>
      </w:r>
      <w:r w:rsidRPr="00F21423">
        <w:t>, including but not limited, to corticosteroids, methotrexate, cyclosporine, azathioprine, phosphodiesterase</w:t>
      </w:r>
      <w:r w:rsidR="00E22EEB">
        <w:t xml:space="preserve"> type </w:t>
      </w:r>
      <w:r w:rsidR="00F21423">
        <w:t>4 (PDE4)-inhibitors, IFN-gamma</w:t>
      </w:r>
      <w:r w:rsidRPr="00F21423">
        <w:t xml:space="preserve"> and mycophenolate mofetil within 4 weeks; </w:t>
      </w:r>
    </w:p>
    <w:p w14:paraId="342ACF5A" w14:textId="6200F710" w:rsidR="00E67277" w:rsidRPr="001D4A4A" w:rsidRDefault="00E67277" w:rsidP="00D42746">
      <w:pPr>
        <w:pStyle w:val="ListBullet2"/>
      </w:pPr>
      <w:r w:rsidRPr="001D4A4A">
        <w:t>Targeted biologic treatments (refer to within 5 half-</w:t>
      </w:r>
      <w:r w:rsidRPr="001D4A4A">
        <w:rPr>
          <w:spacing w:val="-46"/>
        </w:rPr>
        <w:t xml:space="preserve"> </w:t>
      </w:r>
      <w:r w:rsidRPr="001D4A4A">
        <w:t>lives [if known]) or within 12</w:t>
      </w:r>
      <w:r w:rsidR="00795BF7">
        <w:t> </w:t>
      </w:r>
      <w:r w:rsidRPr="001D4A4A">
        <w:t>weeks, whichever is longer;</w:t>
      </w:r>
    </w:p>
    <w:p w14:paraId="6961863C" w14:textId="2EEE79EF" w:rsidR="00E67277" w:rsidRPr="00F21423" w:rsidRDefault="00E67277" w:rsidP="00D42746">
      <w:pPr>
        <w:pStyle w:val="ListBullet2"/>
      </w:pPr>
      <w:r w:rsidRPr="00F21423">
        <w:t>Phototherapy treatment, laser therapy, tanning booth, or extended sun</w:t>
      </w:r>
      <w:r w:rsidR="00B51532">
        <w:t xml:space="preserve"> </w:t>
      </w:r>
      <w:r w:rsidRPr="00F21423">
        <w:t>exposure that could affect disease severity or interfere wi</w:t>
      </w:r>
      <w:r w:rsidR="00F21423">
        <w:t>th disease assessments within 4 </w:t>
      </w:r>
      <w:r w:rsidRPr="00F21423">
        <w:t>weeks;</w:t>
      </w:r>
    </w:p>
    <w:p w14:paraId="5D67A421" w14:textId="77777777" w:rsidR="00E67277" w:rsidRPr="00F21423" w:rsidRDefault="00E67277" w:rsidP="00D42746">
      <w:pPr>
        <w:pStyle w:val="ListBullet2"/>
      </w:pPr>
      <w:r w:rsidRPr="00F21423">
        <w:t xml:space="preserve">Oral or parenteral traditional Chinese medicine within 4 weeks; </w:t>
      </w:r>
    </w:p>
    <w:p w14:paraId="4F552A5B" w14:textId="49C7C779" w:rsidR="00E67277" w:rsidRPr="00F21423" w:rsidRDefault="00E67277" w:rsidP="00D42746">
      <w:pPr>
        <w:pStyle w:val="ListBullet2"/>
      </w:pPr>
      <w:r w:rsidRPr="00F21423">
        <w:t>Marijuana use within 2 weeks;</w:t>
      </w:r>
    </w:p>
    <w:p w14:paraId="67300407" w14:textId="2C1ADC36" w:rsidR="00E67277" w:rsidRPr="00F21423" w:rsidRDefault="00E67277" w:rsidP="00D42746">
      <w:pPr>
        <w:pStyle w:val="ListBullet2"/>
      </w:pPr>
      <w:r w:rsidRPr="00F21423">
        <w:t>Topical treatments</w:t>
      </w:r>
      <w:r w:rsidR="00F21423">
        <w:t xml:space="preserve"> (with the exception of topical</w:t>
      </w:r>
      <w:r w:rsidRPr="00F21423">
        <w:t xml:space="preserve"> emollient treatments), including but not limited to </w:t>
      </w:r>
      <w:r w:rsidR="00F21423">
        <w:t>topical corticosteroids, topical calcineurin inhibitors</w:t>
      </w:r>
      <w:r w:rsidRPr="00F21423">
        <w:t>, or topical PDE-4 inhibitors within 7</w:t>
      </w:r>
      <w:r w:rsidR="00F21423">
        <w:t xml:space="preserve"> </w:t>
      </w:r>
      <w:r w:rsidRPr="00F21423">
        <w:t>days.</w:t>
      </w:r>
    </w:p>
    <w:p w14:paraId="7343AFA6" w14:textId="2264524E" w:rsidR="00E67277" w:rsidRPr="00F21423" w:rsidRDefault="00E67277" w:rsidP="00D42746">
      <w:pPr>
        <w:pStyle w:val="ListBullet"/>
      </w:pPr>
      <w:r w:rsidRPr="00F21423">
        <w:t xml:space="preserve">Subjects must not have received any live vaccine within 4 weeks (or longer if required locally) prior to the first dose of study drug, or expected need of live vaccination during study participation, including at least 4 weeks (or longer if required locally) after the last dose of study </w:t>
      </w:r>
      <w:r w:rsidR="00F21423">
        <w:t>drug.</w:t>
      </w:r>
    </w:p>
    <w:p w14:paraId="205D5545" w14:textId="283343EA" w:rsidR="00E67277" w:rsidRPr="00F21423" w:rsidRDefault="00E67277" w:rsidP="00D42746">
      <w:pPr>
        <w:pStyle w:val="ListBullet"/>
      </w:pPr>
      <w:r w:rsidRPr="00F21423">
        <w:t>No systemic use of known strong CYP3A inhi</w:t>
      </w:r>
      <w:r w:rsidR="00F21423" w:rsidRPr="00F21423">
        <w:t>bitors or strong CYP3A induced from</w:t>
      </w:r>
      <w:r w:rsidR="00E22EEB">
        <w:t xml:space="preserve"> Screening </w:t>
      </w:r>
      <w:r w:rsidRPr="00F21423">
        <w:t xml:space="preserve">through </w:t>
      </w:r>
      <w:r w:rsidR="00795BF7">
        <w:t xml:space="preserve">to </w:t>
      </w:r>
      <w:r w:rsidRPr="00F21423">
        <w:t>the end of the study</w:t>
      </w:r>
      <w:r w:rsidR="00F21423">
        <w:t>.</w:t>
      </w:r>
    </w:p>
    <w:p w14:paraId="22A5BAE0" w14:textId="77777777" w:rsidR="00F21423" w:rsidRDefault="00E67277" w:rsidP="00D42746">
      <w:pPr>
        <w:pStyle w:val="ListBullet"/>
      </w:pPr>
      <w:r w:rsidRPr="00F21423">
        <w:t>No treatment with any investigational drug of chemi</w:t>
      </w:r>
      <w:r w:rsidR="00F21423" w:rsidRPr="00F21423">
        <w:t>cal or biologic nature within 4 </w:t>
      </w:r>
      <w:r w:rsidRPr="00F21423">
        <w:t xml:space="preserve">weeks or five half-lives of the drug </w:t>
      </w:r>
      <w:r w:rsidR="00F21423">
        <w:t>(whichever is longer) prior to b</w:t>
      </w:r>
      <w:r w:rsidRPr="00F21423">
        <w:t>as</w:t>
      </w:r>
      <w:r w:rsidR="00F21423">
        <w:t>eline v</w:t>
      </w:r>
      <w:r w:rsidRPr="00F21423">
        <w:t>isit or is currently enrolled in another clinical study</w:t>
      </w:r>
      <w:r w:rsidR="00F21423">
        <w:t>.</w:t>
      </w:r>
    </w:p>
    <w:p w14:paraId="55DFCC20" w14:textId="0F2F1430" w:rsidR="00E67277" w:rsidRPr="00D3688D" w:rsidRDefault="00E67277" w:rsidP="00D42746">
      <w:pPr>
        <w:pStyle w:val="ListBullet"/>
      </w:pPr>
      <w:r w:rsidRPr="00D3688D">
        <w:t>No current or past history of active skin diseases or infections, history of recurrent herpes</w:t>
      </w:r>
      <w:r w:rsidRPr="00F21423">
        <w:rPr>
          <w:spacing w:val="-46"/>
        </w:rPr>
        <w:t xml:space="preserve"> </w:t>
      </w:r>
      <w:r w:rsidRPr="00D3688D">
        <w:t>zoster,</w:t>
      </w:r>
      <w:r w:rsidRPr="00F21423">
        <w:rPr>
          <w:spacing w:val="-2"/>
        </w:rPr>
        <w:t xml:space="preserve"> </w:t>
      </w:r>
      <w:r w:rsidRPr="00D3688D">
        <w:t>active</w:t>
      </w:r>
      <w:r w:rsidRPr="00F21423">
        <w:rPr>
          <w:spacing w:val="-1"/>
        </w:rPr>
        <w:t xml:space="preserve"> </w:t>
      </w:r>
      <w:r w:rsidRPr="00D3688D">
        <w:t>HIV,</w:t>
      </w:r>
      <w:r w:rsidRPr="00F21423">
        <w:rPr>
          <w:spacing w:val="-3"/>
        </w:rPr>
        <w:t xml:space="preserve"> </w:t>
      </w:r>
      <w:r w:rsidRPr="00D3688D">
        <w:t>TB</w:t>
      </w:r>
      <w:r w:rsidRPr="00F21423">
        <w:rPr>
          <w:spacing w:val="-1"/>
        </w:rPr>
        <w:t xml:space="preserve"> </w:t>
      </w:r>
      <w:r w:rsidRPr="00D3688D">
        <w:t>infections,</w:t>
      </w:r>
      <w:r w:rsidRPr="00F21423">
        <w:rPr>
          <w:spacing w:val="-1"/>
        </w:rPr>
        <w:t xml:space="preserve"> </w:t>
      </w:r>
      <w:r w:rsidR="00E22EEB">
        <w:rPr>
          <w:spacing w:val="-1"/>
        </w:rPr>
        <w:t>hepatitis B or C (</w:t>
      </w:r>
      <w:r w:rsidRPr="00D3688D">
        <w:t>HBV or</w:t>
      </w:r>
      <w:r w:rsidRPr="00F21423">
        <w:rPr>
          <w:spacing w:val="-1"/>
        </w:rPr>
        <w:t xml:space="preserve"> </w:t>
      </w:r>
      <w:r w:rsidRPr="00D3688D">
        <w:t>HCV</w:t>
      </w:r>
      <w:r w:rsidR="00E22EEB">
        <w:t>)</w:t>
      </w:r>
      <w:r w:rsidR="00F21423">
        <w:t>.</w:t>
      </w:r>
    </w:p>
    <w:p w14:paraId="3E23B6F9" w14:textId="62B9646A" w:rsidR="00E67277" w:rsidRPr="00F21423" w:rsidRDefault="00E67277" w:rsidP="00D42746">
      <w:pPr>
        <w:pStyle w:val="ListBullet"/>
      </w:pPr>
      <w:r w:rsidRPr="00F21423">
        <w:t>No clinically relevant medical conditions (including cardiovascular, malignancies or conditions</w:t>
      </w:r>
      <w:r w:rsidR="00B51532">
        <w:t xml:space="preserve"> </w:t>
      </w:r>
      <w:r w:rsidRPr="00F21423">
        <w:t xml:space="preserve">that interfere with drug </w:t>
      </w:r>
      <w:r w:rsidR="00F21423">
        <w:t>absorption).</w:t>
      </w:r>
    </w:p>
    <w:p w14:paraId="7B2F4DB0" w14:textId="08A69BD2" w:rsidR="00E67277" w:rsidRPr="00F21423" w:rsidRDefault="00E67277" w:rsidP="00D42746">
      <w:pPr>
        <w:pStyle w:val="ListBullet"/>
      </w:pPr>
      <w:r w:rsidRPr="00F21423">
        <w:lastRenderedPageBreak/>
        <w:t>No clinically relevant laboratory abnormalities</w:t>
      </w:r>
      <w:r w:rsidR="00F21423">
        <w:t>.</w:t>
      </w:r>
    </w:p>
    <w:p w14:paraId="40D30BE5" w14:textId="3845E773" w:rsidR="00AE6E33" w:rsidRPr="00D42746" w:rsidRDefault="00E67277" w:rsidP="00D42746">
      <w:pPr>
        <w:pStyle w:val="ListBullet"/>
      </w:pPr>
      <w:r w:rsidRPr="00F21423">
        <w:t>No history of allergic reactions, sensit</w:t>
      </w:r>
      <w:r w:rsidR="00F21423">
        <w:t>ivity to constituents of study</w:t>
      </w:r>
      <w:r w:rsidRPr="00F21423">
        <w:t xml:space="preserve"> treatments, clinically</w:t>
      </w:r>
      <w:r w:rsidR="00B51532">
        <w:t xml:space="preserve"> </w:t>
      </w:r>
      <w:r w:rsidRPr="00F21423">
        <w:t>significant drug or alcohol abuse.</w:t>
      </w:r>
    </w:p>
    <w:p w14:paraId="7B7C2070" w14:textId="1DBD466D" w:rsidR="00AE6E33" w:rsidRPr="00D42746" w:rsidRDefault="00AE6E33" w:rsidP="00E22EEB">
      <w:pPr>
        <w:pStyle w:val="Heading5"/>
      </w:pPr>
      <w:r w:rsidRPr="00D42746">
        <w:t>Study treatments</w:t>
      </w:r>
    </w:p>
    <w:p w14:paraId="63F55721" w14:textId="23869339" w:rsidR="00AE6E33" w:rsidRPr="00EA50CC" w:rsidRDefault="00AE6E33" w:rsidP="00D42746">
      <w:pPr>
        <w:rPr>
          <w:spacing w:val="1"/>
        </w:rPr>
      </w:pPr>
      <w:r w:rsidRPr="00D42746">
        <w:t>Subjects who met eligibility criteria were</w:t>
      </w:r>
      <w:r w:rsidRPr="00EA50CC">
        <w:t xml:space="preserve"> randomised in a 1:1:1 ratio to recei</w:t>
      </w:r>
      <w:r w:rsidR="00D42746">
        <w:t>ve a daily oral dose of either u</w:t>
      </w:r>
      <w:r w:rsidRPr="00EA50CC">
        <w:t>padacitinib 15</w:t>
      </w:r>
      <w:r w:rsidR="00D42746">
        <w:t xml:space="preserve"> </w:t>
      </w:r>
      <w:r w:rsidRPr="00EA50CC">
        <w:t>mg or 30</w:t>
      </w:r>
      <w:r w:rsidR="00D42746">
        <w:t xml:space="preserve"> </w:t>
      </w:r>
      <w:r w:rsidRPr="00EA50CC">
        <w:t xml:space="preserve">mg or matching placebo </w:t>
      </w:r>
      <w:r w:rsidR="00782F8C">
        <w:t>once daily</w:t>
      </w:r>
      <w:r w:rsidRPr="00EA50CC">
        <w:t xml:space="preserve"> in the </w:t>
      </w:r>
      <w:r w:rsidR="00D42746">
        <w:t>double blind</w:t>
      </w:r>
      <w:r w:rsidRPr="00EA50CC">
        <w:t xml:space="preserve"> period</w:t>
      </w:r>
      <w:r w:rsidRPr="00EA50CC">
        <w:rPr>
          <w:spacing w:val="1"/>
        </w:rPr>
        <w:t xml:space="preserve"> </w:t>
      </w:r>
      <w:r w:rsidRPr="00EA50CC">
        <w:t xml:space="preserve">(beginning on Day 1 </w:t>
      </w:r>
      <w:r w:rsidR="00D42746">
        <w:t>(Baseline)</w:t>
      </w:r>
      <w:r w:rsidRPr="00EA50CC">
        <w:t>, at approximately the same time each day with or without food).</w:t>
      </w:r>
      <w:r w:rsidRPr="00EA50CC">
        <w:rPr>
          <w:spacing w:val="1"/>
        </w:rPr>
        <w:t xml:space="preserve"> </w:t>
      </w:r>
    </w:p>
    <w:p w14:paraId="561C834D" w14:textId="7DA0B098" w:rsidR="00AE6E33" w:rsidRDefault="00AE6E33" w:rsidP="00D42746">
      <w:r w:rsidRPr="00EA50CC">
        <w:t>At</w:t>
      </w:r>
      <w:r w:rsidRPr="00EA50CC">
        <w:rPr>
          <w:spacing w:val="1"/>
        </w:rPr>
        <w:t xml:space="preserve"> </w:t>
      </w:r>
      <w:r w:rsidRPr="00EA50CC">
        <w:t>Week</w:t>
      </w:r>
      <w:r w:rsidRPr="00EA50CC">
        <w:rPr>
          <w:spacing w:val="1"/>
        </w:rPr>
        <w:t xml:space="preserve"> </w:t>
      </w:r>
      <w:r w:rsidRPr="00EA50CC">
        <w:t>16,</w:t>
      </w:r>
      <w:r w:rsidRPr="00EA50CC">
        <w:rPr>
          <w:spacing w:val="-1"/>
        </w:rPr>
        <w:t xml:space="preserve"> </w:t>
      </w:r>
      <w:r w:rsidRPr="00EA50CC">
        <w:t>subjects</w:t>
      </w:r>
      <w:r w:rsidRPr="00EA50CC">
        <w:rPr>
          <w:spacing w:val="2"/>
        </w:rPr>
        <w:t xml:space="preserve"> </w:t>
      </w:r>
      <w:r w:rsidRPr="00EA50CC">
        <w:t>in the</w:t>
      </w:r>
      <w:r w:rsidRPr="00EA50CC">
        <w:rPr>
          <w:spacing w:val="1"/>
        </w:rPr>
        <w:t xml:space="preserve"> </w:t>
      </w:r>
      <w:r w:rsidRPr="00EA50CC">
        <w:t>placebo</w:t>
      </w:r>
      <w:r w:rsidRPr="00EA50CC">
        <w:rPr>
          <w:spacing w:val="1"/>
        </w:rPr>
        <w:t xml:space="preserve"> </w:t>
      </w:r>
      <w:r w:rsidRPr="00EA50CC">
        <w:t>group</w:t>
      </w:r>
      <w:r w:rsidRPr="00EA50CC">
        <w:rPr>
          <w:spacing w:val="1"/>
        </w:rPr>
        <w:t xml:space="preserve"> </w:t>
      </w:r>
      <w:r w:rsidRPr="00EA50CC">
        <w:t>were</w:t>
      </w:r>
      <w:r w:rsidRPr="00EA50CC">
        <w:rPr>
          <w:spacing w:val="2"/>
        </w:rPr>
        <w:t xml:space="preserve"> </w:t>
      </w:r>
      <w:r w:rsidRPr="00EA50CC">
        <w:t>re-randomised</w:t>
      </w:r>
      <w:r w:rsidRPr="00EA50CC">
        <w:rPr>
          <w:spacing w:val="1"/>
        </w:rPr>
        <w:t xml:space="preserve"> </w:t>
      </w:r>
      <w:r w:rsidRPr="00EA50CC">
        <w:t>in a</w:t>
      </w:r>
      <w:r w:rsidRPr="00EA50CC">
        <w:rPr>
          <w:spacing w:val="1"/>
        </w:rPr>
        <w:t xml:space="preserve"> </w:t>
      </w:r>
      <w:r w:rsidRPr="00EA50CC">
        <w:t>1:1</w:t>
      </w:r>
      <w:r w:rsidRPr="00EA50CC">
        <w:rPr>
          <w:spacing w:val="1"/>
        </w:rPr>
        <w:t xml:space="preserve"> </w:t>
      </w:r>
      <w:r w:rsidRPr="00EA50CC">
        <w:t>ratio</w:t>
      </w:r>
      <w:r w:rsidRPr="00EA50CC">
        <w:rPr>
          <w:spacing w:val="1"/>
        </w:rPr>
        <w:t xml:space="preserve"> </w:t>
      </w:r>
      <w:r w:rsidRPr="00EA50CC">
        <w:t>to</w:t>
      </w:r>
      <w:r w:rsidRPr="00EA50CC">
        <w:rPr>
          <w:spacing w:val="1"/>
        </w:rPr>
        <w:t xml:space="preserve"> </w:t>
      </w:r>
      <w:r w:rsidRPr="00EA50CC">
        <w:t>receive</w:t>
      </w:r>
      <w:r w:rsidRPr="00EA50CC">
        <w:rPr>
          <w:spacing w:val="1"/>
        </w:rPr>
        <w:t xml:space="preserve"> </w:t>
      </w:r>
      <w:r w:rsidRPr="00EA50CC">
        <w:t>daily</w:t>
      </w:r>
      <w:r w:rsidRPr="00EA50CC">
        <w:rPr>
          <w:spacing w:val="1"/>
        </w:rPr>
        <w:t xml:space="preserve"> </w:t>
      </w:r>
      <w:r w:rsidR="00D42746">
        <w:t>oral doses of u</w:t>
      </w:r>
      <w:r w:rsidRPr="00EA50CC">
        <w:t>padacitinib 15 mg or 30</w:t>
      </w:r>
      <w:r w:rsidR="00D42746">
        <w:t xml:space="preserve"> </w:t>
      </w:r>
      <w:r w:rsidRPr="00EA50CC">
        <w:t xml:space="preserve">mg in the </w:t>
      </w:r>
      <w:r w:rsidR="00D42746">
        <w:t>blinded extension</w:t>
      </w:r>
      <w:r w:rsidRPr="00EA50CC">
        <w:t xml:space="preserve"> period. During the </w:t>
      </w:r>
      <w:r w:rsidR="00D42746">
        <w:t>blinded extension</w:t>
      </w:r>
      <w:r w:rsidRPr="00EA50CC">
        <w:t xml:space="preserve"> period,</w:t>
      </w:r>
      <w:r w:rsidRPr="00EA50CC">
        <w:rPr>
          <w:spacing w:val="1"/>
        </w:rPr>
        <w:t xml:space="preserve"> </w:t>
      </w:r>
      <w:r w:rsidRPr="00EA50CC">
        <w:t>subjects originally randomised to</w:t>
      </w:r>
      <w:r w:rsidR="00D42746">
        <w:t xml:space="preserve"> upadacitinib were to continue u</w:t>
      </w:r>
      <w:r w:rsidRPr="00EA50CC">
        <w:t>padacitinib in the extension</w:t>
      </w:r>
      <w:r w:rsidRPr="00EA50CC">
        <w:rPr>
          <w:spacing w:val="1"/>
        </w:rPr>
        <w:t xml:space="preserve"> </w:t>
      </w:r>
      <w:r w:rsidRPr="00EA50CC">
        <w:t>period</w:t>
      </w:r>
      <w:r w:rsidRPr="00EA50CC">
        <w:rPr>
          <w:spacing w:val="-2"/>
        </w:rPr>
        <w:t xml:space="preserve"> </w:t>
      </w:r>
      <w:r w:rsidRPr="00EA50CC">
        <w:t>at</w:t>
      </w:r>
      <w:r w:rsidRPr="00EA50CC">
        <w:rPr>
          <w:spacing w:val="-1"/>
        </w:rPr>
        <w:t xml:space="preserve"> </w:t>
      </w:r>
      <w:r w:rsidRPr="00EA50CC">
        <w:t>the</w:t>
      </w:r>
      <w:r w:rsidRPr="00EA50CC">
        <w:rPr>
          <w:spacing w:val="-1"/>
        </w:rPr>
        <w:t xml:space="preserve"> </w:t>
      </w:r>
      <w:r w:rsidRPr="00EA50CC">
        <w:t>same</w:t>
      </w:r>
      <w:r w:rsidRPr="00EA50CC">
        <w:rPr>
          <w:spacing w:val="-1"/>
        </w:rPr>
        <w:t xml:space="preserve"> </w:t>
      </w:r>
      <w:r w:rsidRPr="00EA50CC">
        <w:t>dose.</w:t>
      </w:r>
    </w:p>
    <w:p w14:paraId="1EE5F38C" w14:textId="1DA7F068" w:rsidR="00AE6E33" w:rsidRPr="00D42746" w:rsidRDefault="00D42746" w:rsidP="00D42746">
      <w:pPr>
        <w:pStyle w:val="Heading6"/>
      </w:pPr>
      <w:r w:rsidRPr="00D42746">
        <w:t>Required concomitant m</w:t>
      </w:r>
      <w:r>
        <w:t>edications</w:t>
      </w:r>
    </w:p>
    <w:p w14:paraId="76BCFBC7" w14:textId="746D8178" w:rsidR="00AE6E33" w:rsidRPr="00D42746" w:rsidRDefault="00AE6E33" w:rsidP="00D42746">
      <w:pPr>
        <w:pStyle w:val="ListBullet"/>
      </w:pPr>
      <w:r w:rsidRPr="00D42746">
        <w:t xml:space="preserve">Beginning at the screening visit, twice daily use of an additive-free, bland emollient was required for at least 7 days prior to baseline and during the </w:t>
      </w:r>
      <w:r w:rsidR="00D42746">
        <w:t>study until Week 16.</w:t>
      </w:r>
    </w:p>
    <w:p w14:paraId="1E0D279C" w14:textId="07E665EA" w:rsidR="00D42746" w:rsidRDefault="00AE6E33" w:rsidP="00D42746">
      <w:pPr>
        <w:pStyle w:val="ListBullet"/>
      </w:pPr>
      <w:r w:rsidRPr="001B6921">
        <w:t>Until Week 16, the</w:t>
      </w:r>
      <w:r w:rsidRPr="001B6921">
        <w:rPr>
          <w:spacing w:val="1"/>
        </w:rPr>
        <w:t xml:space="preserve"> </w:t>
      </w:r>
      <w:r w:rsidRPr="001B6921">
        <w:t xml:space="preserve">subjects may use </w:t>
      </w:r>
      <w:r w:rsidRPr="00D42746">
        <w:rPr>
          <w:i/>
        </w:rPr>
        <w:t>prescription moisturisers or moisturisers containing ceramide, urea, filaggrin</w:t>
      </w:r>
      <w:r w:rsidRPr="00D42746">
        <w:rPr>
          <w:i/>
          <w:spacing w:val="1"/>
        </w:rPr>
        <w:t xml:space="preserve"> </w:t>
      </w:r>
      <w:r w:rsidRPr="00D42746">
        <w:rPr>
          <w:i/>
        </w:rPr>
        <w:t>degradation products or hyaluronic acid</w:t>
      </w:r>
      <w:r w:rsidRPr="001B6921">
        <w:t xml:space="preserve"> if such moisturisers were initiated before the </w:t>
      </w:r>
      <w:r w:rsidR="00B51532" w:rsidRPr="001B6921">
        <w:t>screening</w:t>
      </w:r>
      <w:r w:rsidR="006766E0">
        <w:t xml:space="preserve"> visit.</w:t>
      </w:r>
    </w:p>
    <w:p w14:paraId="210E27B8" w14:textId="4572A986" w:rsidR="00AE6E33" w:rsidRPr="00D42746" w:rsidRDefault="00AE6E33" w:rsidP="00D42746">
      <w:pPr>
        <w:pStyle w:val="ListBullet"/>
      </w:pPr>
      <w:r w:rsidRPr="00D42746">
        <w:t xml:space="preserve">Starting at Week 16 Visit or after premature discontinuation of study drug, the use of emollients can be administered at the investigator’s discretion. </w:t>
      </w:r>
    </w:p>
    <w:p w14:paraId="7744B793" w14:textId="7BCB6865" w:rsidR="00AE6E33" w:rsidRPr="00D42746" w:rsidRDefault="00AE6E33" w:rsidP="00D42746">
      <w:pPr>
        <w:pStyle w:val="Heading6"/>
      </w:pPr>
      <w:r w:rsidRPr="005D4077">
        <w:t>R</w:t>
      </w:r>
      <w:r w:rsidR="00D42746">
        <w:t>escue therapy</w:t>
      </w:r>
    </w:p>
    <w:p w14:paraId="22436AEE" w14:textId="451E9815" w:rsidR="00AE6E33" w:rsidRDefault="00AE6E33" w:rsidP="00D42746">
      <w:r w:rsidRPr="0004291E">
        <w:t>This</w:t>
      </w:r>
      <w:r w:rsidR="00B51532">
        <w:t xml:space="preserve"> </w:t>
      </w:r>
      <w:r w:rsidRPr="00AA6830">
        <w:t>was permitted:</w:t>
      </w:r>
    </w:p>
    <w:p w14:paraId="0F69EEED" w14:textId="77777777" w:rsidR="00AE6E33" w:rsidRDefault="00AE6E33" w:rsidP="00D42746">
      <w:pPr>
        <w:pStyle w:val="ListBullet"/>
      </w:pPr>
      <w:r w:rsidRPr="005D4077">
        <w:t xml:space="preserve">starting at Week </w:t>
      </w:r>
      <w:r>
        <w:t>4 through Week 24, if:</w:t>
      </w:r>
    </w:p>
    <w:p w14:paraId="6DFFB1FE" w14:textId="60311D21" w:rsidR="00AE6E33" w:rsidRPr="00D42746" w:rsidRDefault="00AE6E33" w:rsidP="00D42746">
      <w:pPr>
        <w:pStyle w:val="ListBullet2"/>
      </w:pPr>
      <w:r w:rsidRPr="00D42746">
        <w:t>medically necessary</w:t>
      </w:r>
      <w:r w:rsidR="000A7587">
        <w:t>; and</w:t>
      </w:r>
    </w:p>
    <w:p w14:paraId="7288D34D" w14:textId="625B8678" w:rsidR="00AE6E33" w:rsidRPr="00D42746" w:rsidRDefault="000A7587" w:rsidP="00D42746">
      <w:pPr>
        <w:pStyle w:val="ListBullet2"/>
      </w:pPr>
      <w:r>
        <w:t>a response less than an EASI</w:t>
      </w:r>
      <w:r w:rsidR="00AE6E33" w:rsidRPr="00D42746">
        <w:t xml:space="preserve"> </w:t>
      </w:r>
      <w:r>
        <w:t xml:space="preserve">50 </w:t>
      </w:r>
      <w:r w:rsidR="00AE6E33" w:rsidRPr="00D42746">
        <w:t xml:space="preserve">response </w:t>
      </w:r>
      <w:r>
        <w:t xml:space="preserve">(that is, a less than 50% improvement in EASI total score compared to baseline EASI score) </w:t>
      </w:r>
      <w:r w:rsidR="00AE6E33" w:rsidRPr="00D42746">
        <w:t xml:space="preserve">was reported at 2 consecutive </w:t>
      </w:r>
      <w:r w:rsidR="00D42746">
        <w:t xml:space="preserve">visits </w:t>
      </w:r>
      <w:r w:rsidR="00AE6E33" w:rsidRPr="00D42746">
        <w:t xml:space="preserve">compared to the baseline EASI </w:t>
      </w:r>
      <w:r w:rsidR="00D42746">
        <w:t>score;</w:t>
      </w:r>
    </w:p>
    <w:p w14:paraId="061F3560" w14:textId="77777777" w:rsidR="00AE6E33" w:rsidRPr="00330B75" w:rsidRDefault="00AE6E33" w:rsidP="00D42746">
      <w:pPr>
        <w:pStyle w:val="ListBullet"/>
      </w:pPr>
      <w:r w:rsidRPr="00330B75">
        <w:t>after Week 24, if:</w:t>
      </w:r>
    </w:p>
    <w:p w14:paraId="22505931" w14:textId="4503C07B" w:rsidR="000A7587" w:rsidRDefault="00AE6E33" w:rsidP="00D42746">
      <w:pPr>
        <w:pStyle w:val="ListBullet2"/>
      </w:pPr>
      <w:r w:rsidRPr="00D717BA">
        <w:t xml:space="preserve"> &lt;</w:t>
      </w:r>
      <w:r w:rsidR="00E22EEB">
        <w:t xml:space="preserve"> EASI 50 response was reported </w:t>
      </w:r>
      <w:r w:rsidRPr="00D717BA">
        <w:t>at any visit</w:t>
      </w:r>
      <w:r>
        <w:t xml:space="preserve"> </w:t>
      </w:r>
      <w:r w:rsidRPr="005D4077">
        <w:t>(scheduled or</w:t>
      </w:r>
      <w:r w:rsidR="00B51532">
        <w:t xml:space="preserve"> </w:t>
      </w:r>
      <w:r w:rsidRPr="005D4077">
        <w:t>unscheduled) compared to</w:t>
      </w:r>
      <w:r w:rsidR="00B51532">
        <w:t xml:space="preserve"> </w:t>
      </w:r>
      <w:r w:rsidR="00B51532">
        <w:rPr>
          <w:spacing w:val="-46"/>
        </w:rPr>
        <w:t xml:space="preserve"> </w:t>
      </w:r>
      <w:r w:rsidRPr="005D4077">
        <w:t>the</w:t>
      </w:r>
      <w:r w:rsidRPr="00D42746">
        <w:rPr>
          <w:spacing w:val="-2"/>
        </w:rPr>
        <w:t xml:space="preserve"> </w:t>
      </w:r>
      <w:r w:rsidRPr="005D4077">
        <w:t>baseline</w:t>
      </w:r>
      <w:r w:rsidRPr="00D42746">
        <w:rPr>
          <w:spacing w:val="-1"/>
        </w:rPr>
        <w:t xml:space="preserve"> </w:t>
      </w:r>
      <w:r w:rsidRPr="005D4077">
        <w:t>EASI</w:t>
      </w:r>
      <w:r w:rsidRPr="005D4077">
        <w:rPr>
          <w:spacing w:val="-1"/>
        </w:rPr>
        <w:t xml:space="preserve"> </w:t>
      </w:r>
      <w:r w:rsidRPr="005D4077">
        <w:t>score</w:t>
      </w:r>
      <w:r>
        <w:t>.</w:t>
      </w:r>
    </w:p>
    <w:p w14:paraId="1735BC0C" w14:textId="3A7113FD" w:rsidR="00AE6E33" w:rsidRPr="00D42746" w:rsidRDefault="000A7587" w:rsidP="000A7587">
      <w:r>
        <w:t xml:space="preserve">See Section: </w:t>
      </w:r>
      <w:r w:rsidRPr="000A7587">
        <w:rPr>
          <w:i/>
        </w:rPr>
        <w:fldChar w:fldCharType="begin"/>
      </w:r>
      <w:r w:rsidRPr="000A7587">
        <w:rPr>
          <w:i/>
        </w:rPr>
        <w:instrText xml:space="preserve"> REF _Ref126044782 \h </w:instrText>
      </w:r>
      <w:r>
        <w:rPr>
          <w:i/>
        </w:rPr>
        <w:instrText xml:space="preserve"> \* MERGEFORMAT </w:instrText>
      </w:r>
      <w:r w:rsidRPr="000A7587">
        <w:rPr>
          <w:i/>
        </w:rPr>
      </w:r>
      <w:r w:rsidRPr="000A7587">
        <w:rPr>
          <w:i/>
        </w:rPr>
        <w:fldChar w:fldCharType="separate"/>
      </w:r>
      <w:r w:rsidR="00B51532" w:rsidRPr="00B51532">
        <w:rPr>
          <w:i/>
        </w:rPr>
        <w:t>Eczema Area and Severity Index (EASI)</w:t>
      </w:r>
      <w:r w:rsidRPr="000A7587">
        <w:rPr>
          <w:i/>
        </w:rPr>
        <w:fldChar w:fldCharType="end"/>
      </w:r>
      <w:r w:rsidR="00AE6E33" w:rsidRPr="00D42746">
        <w:t xml:space="preserve"> </w:t>
      </w:r>
      <w:r>
        <w:t>for details.</w:t>
      </w:r>
    </w:p>
    <w:p w14:paraId="037BD594" w14:textId="293378E0" w:rsidR="00AE6E33" w:rsidRPr="00D42746" w:rsidRDefault="00AE6E33" w:rsidP="00D42746">
      <w:r w:rsidRPr="00D42746">
        <w:t>The first step of rescue therapy should be limited to topical medications, and escalated to systemic medications only for those subjects who do not respond adequately after at least 7 days of topical treatment</w:t>
      </w:r>
      <w:r w:rsidR="00D42746">
        <w:t>.</w:t>
      </w:r>
    </w:p>
    <w:p w14:paraId="40BD519A" w14:textId="4CE04ED9" w:rsidR="00AE6E33" w:rsidRPr="00D42746" w:rsidRDefault="00AE6E33" w:rsidP="00D42746">
      <w:r w:rsidRPr="00D42746">
        <w:t xml:space="preserve">Starting at the Week 16 Visit, the use of any concomitant topical medication for atopic dermatitis was allowed per investigator discretion and was no longer considered as rescue therapy; only systemic treatments for </w:t>
      </w:r>
      <w:r w:rsidR="000A7587">
        <w:t>atopic dermatitis</w:t>
      </w:r>
      <w:r w:rsidRPr="00D42746">
        <w:t xml:space="preserve"> were considered as rescue therapy for the purposes of st</w:t>
      </w:r>
      <w:r w:rsidR="00D42746">
        <w:t>atistical analyses of efficacy.</w:t>
      </w:r>
    </w:p>
    <w:p w14:paraId="39F05BAF" w14:textId="3FB20BAB" w:rsidR="00AE6E33" w:rsidRPr="00B679FB" w:rsidRDefault="00AE6E33" w:rsidP="00D42746">
      <w:r w:rsidRPr="00FA6C7E">
        <w:t>Subjects who received topical rescue</w:t>
      </w:r>
      <w:r w:rsidRPr="00FA6C7E">
        <w:rPr>
          <w:spacing w:val="1"/>
        </w:rPr>
        <w:t xml:space="preserve"> </w:t>
      </w:r>
      <w:r w:rsidRPr="00FA6C7E">
        <w:t>treatment</w:t>
      </w:r>
      <w:r w:rsidRPr="00FA6C7E">
        <w:rPr>
          <w:spacing w:val="-2"/>
        </w:rPr>
        <w:t xml:space="preserve"> </w:t>
      </w:r>
      <w:r w:rsidRPr="00FA6C7E">
        <w:t>or</w:t>
      </w:r>
      <w:r w:rsidRPr="00FA6C7E">
        <w:rPr>
          <w:spacing w:val="-2"/>
        </w:rPr>
        <w:t xml:space="preserve"> </w:t>
      </w:r>
      <w:r w:rsidRPr="00FA6C7E">
        <w:t>oral</w:t>
      </w:r>
      <w:r w:rsidRPr="00FA6C7E">
        <w:rPr>
          <w:spacing w:val="-3"/>
        </w:rPr>
        <w:t xml:space="preserve"> </w:t>
      </w:r>
      <w:r w:rsidRPr="00FA6C7E">
        <w:t>corticosteroids</w:t>
      </w:r>
      <w:r w:rsidRPr="00FA6C7E">
        <w:rPr>
          <w:spacing w:val="15"/>
          <w:position w:val="5"/>
        </w:rPr>
        <w:t xml:space="preserve"> </w:t>
      </w:r>
      <w:r w:rsidRPr="00FA6C7E">
        <w:t>during</w:t>
      </w:r>
      <w:r w:rsidRPr="00FA6C7E">
        <w:rPr>
          <w:spacing w:val="-2"/>
        </w:rPr>
        <w:t xml:space="preserve"> </w:t>
      </w:r>
      <w:r w:rsidRPr="00FA6C7E">
        <w:t>the</w:t>
      </w:r>
      <w:r w:rsidRPr="00FA6C7E">
        <w:rPr>
          <w:spacing w:val="-2"/>
        </w:rPr>
        <w:t xml:space="preserve"> </w:t>
      </w:r>
      <w:r w:rsidRPr="00FA6C7E">
        <w:t>study</w:t>
      </w:r>
      <w:r w:rsidRPr="00FA6C7E">
        <w:rPr>
          <w:spacing w:val="-3"/>
        </w:rPr>
        <w:t xml:space="preserve"> </w:t>
      </w:r>
      <w:r w:rsidRPr="00FA6C7E">
        <w:t>treatment</w:t>
      </w:r>
      <w:r w:rsidRPr="00FA6C7E">
        <w:rPr>
          <w:spacing w:val="-1"/>
        </w:rPr>
        <w:t xml:space="preserve"> </w:t>
      </w:r>
      <w:r w:rsidRPr="00FA6C7E">
        <w:t>period</w:t>
      </w:r>
      <w:r w:rsidRPr="00FA6C7E">
        <w:rPr>
          <w:spacing w:val="-1"/>
        </w:rPr>
        <w:t xml:space="preserve"> </w:t>
      </w:r>
      <w:r w:rsidRPr="00FA6C7E">
        <w:t>could</w:t>
      </w:r>
      <w:r w:rsidRPr="00FA6C7E">
        <w:rPr>
          <w:spacing w:val="-1"/>
        </w:rPr>
        <w:t xml:space="preserve"> </w:t>
      </w:r>
      <w:r w:rsidRPr="00FA6C7E">
        <w:t>continue</w:t>
      </w:r>
      <w:r w:rsidRPr="00FA6C7E">
        <w:rPr>
          <w:spacing w:val="-2"/>
        </w:rPr>
        <w:t xml:space="preserve"> </w:t>
      </w:r>
      <w:r w:rsidRPr="00FA6C7E">
        <w:t>study</w:t>
      </w:r>
      <w:r w:rsidRPr="00FA6C7E">
        <w:rPr>
          <w:spacing w:val="-2"/>
        </w:rPr>
        <w:t xml:space="preserve"> </w:t>
      </w:r>
      <w:r w:rsidRPr="00FA6C7E">
        <w:t>drug.</w:t>
      </w:r>
      <w:r w:rsidRPr="00FA6C7E">
        <w:rPr>
          <w:b/>
        </w:rPr>
        <w:t xml:space="preserve"> </w:t>
      </w:r>
      <w:r w:rsidRPr="00B679FB">
        <w:t xml:space="preserve">However, oral corticosteroids are not allowed for routine treatment of </w:t>
      </w:r>
      <w:r w:rsidR="00E22EEB">
        <w:t>atopic dermatitis</w:t>
      </w:r>
      <w:r w:rsidRPr="00B679FB">
        <w:t>. If oral corticosteroids must be used, rescue treatment will be limited</w:t>
      </w:r>
      <w:r w:rsidRPr="00B679FB">
        <w:rPr>
          <w:spacing w:val="1"/>
        </w:rPr>
        <w:t xml:space="preserve"> </w:t>
      </w:r>
      <w:r w:rsidRPr="00B679FB">
        <w:t>to prednisone or prednisolone for up to 1 mg/kg for no more than 2 consecutive weeks. Any subject who receives oral corticosteroid for</w:t>
      </w:r>
      <w:r w:rsidRPr="00B679FB">
        <w:rPr>
          <w:spacing w:val="-33"/>
        </w:rPr>
        <w:t xml:space="preserve"> </w:t>
      </w:r>
      <w:r w:rsidRPr="00B679FB">
        <w:t>more</w:t>
      </w:r>
      <w:r w:rsidRPr="00B679FB">
        <w:rPr>
          <w:spacing w:val="-2"/>
        </w:rPr>
        <w:t xml:space="preserve"> </w:t>
      </w:r>
      <w:r w:rsidRPr="00B679FB">
        <w:t>than 2</w:t>
      </w:r>
      <w:r w:rsidR="00E22EEB">
        <w:rPr>
          <w:spacing w:val="-2"/>
        </w:rPr>
        <w:t> </w:t>
      </w:r>
      <w:r w:rsidRPr="00B679FB">
        <w:t>consecutive</w:t>
      </w:r>
      <w:r w:rsidRPr="00B679FB">
        <w:rPr>
          <w:spacing w:val="-1"/>
        </w:rPr>
        <w:t xml:space="preserve"> </w:t>
      </w:r>
      <w:r w:rsidRPr="00B679FB">
        <w:t>weeks regardless of the</w:t>
      </w:r>
      <w:r w:rsidRPr="00B679FB">
        <w:rPr>
          <w:spacing w:val="-1"/>
        </w:rPr>
        <w:t xml:space="preserve"> </w:t>
      </w:r>
      <w:r w:rsidRPr="00B679FB">
        <w:t>dosage</w:t>
      </w:r>
      <w:r w:rsidRPr="00B679FB">
        <w:rPr>
          <w:spacing w:val="-2"/>
        </w:rPr>
        <w:t xml:space="preserve"> </w:t>
      </w:r>
      <w:r w:rsidRPr="00B679FB">
        <w:t>of corticosteroid</w:t>
      </w:r>
      <w:r w:rsidRPr="00B679FB">
        <w:rPr>
          <w:spacing w:val="-3"/>
        </w:rPr>
        <w:t xml:space="preserve"> </w:t>
      </w:r>
      <w:r w:rsidRPr="00B679FB">
        <w:t>should</w:t>
      </w:r>
      <w:r w:rsidRPr="00B679FB">
        <w:rPr>
          <w:spacing w:val="-2"/>
        </w:rPr>
        <w:t xml:space="preserve"> </w:t>
      </w:r>
      <w:r w:rsidRPr="00B679FB">
        <w:t>permanently</w:t>
      </w:r>
      <w:r w:rsidRPr="00B679FB">
        <w:rPr>
          <w:spacing w:val="-3"/>
        </w:rPr>
        <w:t xml:space="preserve"> </w:t>
      </w:r>
      <w:r w:rsidRPr="00B679FB">
        <w:t>discontinue</w:t>
      </w:r>
      <w:r w:rsidRPr="00B679FB">
        <w:rPr>
          <w:spacing w:val="-2"/>
        </w:rPr>
        <w:t xml:space="preserve"> </w:t>
      </w:r>
      <w:r w:rsidRPr="00B679FB">
        <w:t>study drug.</w:t>
      </w:r>
    </w:p>
    <w:p w14:paraId="54FA2123" w14:textId="40A40795" w:rsidR="00AE6E33" w:rsidRPr="00DD3B15" w:rsidRDefault="00AE6E33" w:rsidP="00D42746">
      <w:r w:rsidRPr="00DD3B15">
        <w:lastRenderedPageBreak/>
        <w:t>If a subject needed rescue treatment with a non-corticosteroid systemic agent (including</w:t>
      </w:r>
      <w:r w:rsidR="00CB1DC8">
        <w:t xml:space="preserve"> but not limited to cyclosporin</w:t>
      </w:r>
      <w:r w:rsidRPr="00DD3B15">
        <w:t>, methotrexate, mycophenolate mofetil, azathioprine, dupilumab) or with</w:t>
      </w:r>
      <w:r w:rsidR="00B51532">
        <w:t xml:space="preserve"> </w:t>
      </w:r>
      <w:r w:rsidR="00B51532">
        <w:rPr>
          <w:spacing w:val="-46"/>
        </w:rPr>
        <w:t xml:space="preserve"> </w:t>
      </w:r>
      <w:r w:rsidRPr="00DD3B15">
        <w:t>an</w:t>
      </w:r>
      <w:r w:rsidRPr="00DD3B15">
        <w:rPr>
          <w:spacing w:val="3"/>
        </w:rPr>
        <w:t xml:space="preserve"> </w:t>
      </w:r>
      <w:r w:rsidRPr="00DD3B15">
        <w:t>injectable</w:t>
      </w:r>
      <w:r w:rsidRPr="00DD3B15">
        <w:rPr>
          <w:spacing w:val="5"/>
        </w:rPr>
        <w:t xml:space="preserve"> </w:t>
      </w:r>
      <w:r w:rsidRPr="00DD3B15">
        <w:t>or</w:t>
      </w:r>
      <w:r w:rsidRPr="00DD3B15">
        <w:rPr>
          <w:spacing w:val="4"/>
        </w:rPr>
        <w:t xml:space="preserve"> </w:t>
      </w:r>
      <w:r w:rsidRPr="00DD3B15">
        <w:t>parenteral</w:t>
      </w:r>
      <w:r w:rsidRPr="00DD3B15">
        <w:rPr>
          <w:spacing w:val="4"/>
        </w:rPr>
        <w:t xml:space="preserve"> </w:t>
      </w:r>
      <w:r w:rsidRPr="00DD3B15">
        <w:t>corticosteroid,</w:t>
      </w:r>
      <w:r w:rsidRPr="00DD3B15">
        <w:rPr>
          <w:spacing w:val="4"/>
        </w:rPr>
        <w:t xml:space="preserve"> </w:t>
      </w:r>
      <w:r w:rsidRPr="00DD3B15">
        <w:t>study</w:t>
      </w:r>
      <w:r w:rsidRPr="00DD3B15">
        <w:rPr>
          <w:spacing w:val="4"/>
        </w:rPr>
        <w:t xml:space="preserve"> </w:t>
      </w:r>
      <w:r w:rsidRPr="00DD3B15">
        <w:t>drug</w:t>
      </w:r>
      <w:r w:rsidRPr="00DD3B15">
        <w:rPr>
          <w:spacing w:val="3"/>
        </w:rPr>
        <w:t xml:space="preserve"> </w:t>
      </w:r>
      <w:r w:rsidRPr="00DD3B15">
        <w:t>was</w:t>
      </w:r>
      <w:r w:rsidRPr="00DD3B15">
        <w:rPr>
          <w:spacing w:val="6"/>
        </w:rPr>
        <w:t xml:space="preserve"> </w:t>
      </w:r>
      <w:r w:rsidRPr="00DD3B15">
        <w:t>permanently</w:t>
      </w:r>
      <w:r w:rsidRPr="00DD3B15">
        <w:rPr>
          <w:spacing w:val="3"/>
        </w:rPr>
        <w:t xml:space="preserve"> </w:t>
      </w:r>
      <w:r w:rsidRPr="00DD3B15">
        <w:t>discontinued</w:t>
      </w:r>
      <w:r w:rsidRPr="00DD3B15">
        <w:rPr>
          <w:spacing w:val="4"/>
        </w:rPr>
        <w:t xml:space="preserve"> </w:t>
      </w:r>
      <w:r w:rsidRPr="00DD3B15">
        <w:t>prior</w:t>
      </w:r>
      <w:r w:rsidRPr="00DD3B15">
        <w:rPr>
          <w:spacing w:val="4"/>
        </w:rPr>
        <w:t xml:space="preserve"> </w:t>
      </w:r>
      <w:r w:rsidRPr="00DD3B15">
        <w:t>to</w:t>
      </w:r>
      <w:r w:rsidRPr="00DD3B15">
        <w:rPr>
          <w:spacing w:val="1"/>
        </w:rPr>
        <w:t xml:space="preserve"> </w:t>
      </w:r>
      <w:r w:rsidRPr="00DD3B15">
        <w:t>the initiation of rescue systemic agent. If such rescue treatment is medically necessary outside of the</w:t>
      </w:r>
      <w:r w:rsidRPr="00DD3B15">
        <w:rPr>
          <w:spacing w:val="1"/>
        </w:rPr>
        <w:t xml:space="preserve"> </w:t>
      </w:r>
      <w:r w:rsidRPr="00DD3B15">
        <w:t>parameters described above (</w:t>
      </w:r>
      <w:r w:rsidR="00D42746">
        <w:t xml:space="preserve">that is, </w:t>
      </w:r>
      <w:r w:rsidRPr="00DD3B15">
        <w:t xml:space="preserve">to control intolerable </w:t>
      </w:r>
      <w:r w:rsidR="00E22EEB">
        <w:t xml:space="preserve">atopic dermatitis </w:t>
      </w:r>
      <w:r w:rsidRPr="00DD3B15">
        <w:t>symptoms), study drug should be</w:t>
      </w:r>
      <w:r w:rsidRPr="00DD3B15">
        <w:rPr>
          <w:spacing w:val="1"/>
        </w:rPr>
        <w:t xml:space="preserve"> </w:t>
      </w:r>
      <w:r w:rsidR="00D42746">
        <w:t>permanently discontinued.</w:t>
      </w:r>
    </w:p>
    <w:p w14:paraId="260ACBF6" w14:textId="12D190F7" w:rsidR="00AE6E33" w:rsidRPr="00D42746" w:rsidRDefault="00AE6E33" w:rsidP="00D42746">
      <w:pPr>
        <w:rPr>
          <w:b/>
        </w:rPr>
      </w:pPr>
      <w:r w:rsidRPr="00D66C71">
        <w:t>Subjects could request to be discontinued from participating in the</w:t>
      </w:r>
      <w:r w:rsidRPr="00D66C71">
        <w:rPr>
          <w:spacing w:val="1"/>
        </w:rPr>
        <w:t xml:space="preserve"> </w:t>
      </w:r>
      <w:r w:rsidRPr="00D66C71">
        <w:t>study at any time for any reason including, but not limited to, disease progression or lack of</w:t>
      </w:r>
      <w:r w:rsidRPr="00D66C71">
        <w:rPr>
          <w:spacing w:val="1"/>
        </w:rPr>
        <w:t xml:space="preserve"> </w:t>
      </w:r>
      <w:r w:rsidRPr="00D66C71">
        <w:t>response to treatment. The investigator may discontinue any subject's participation at any time</w:t>
      </w:r>
      <w:r w:rsidRPr="00D66C71">
        <w:rPr>
          <w:spacing w:val="1"/>
        </w:rPr>
        <w:t xml:space="preserve"> </w:t>
      </w:r>
      <w:r w:rsidRPr="00D66C71">
        <w:t>for any reason, including but not limited, to disease progression, lack of response to treatment,</w:t>
      </w:r>
      <w:r w:rsidRPr="00D66C71">
        <w:rPr>
          <w:spacing w:val="1"/>
        </w:rPr>
        <w:t xml:space="preserve"> </w:t>
      </w:r>
      <w:r w:rsidRPr="00D66C71">
        <w:t xml:space="preserve">an </w:t>
      </w:r>
      <w:r w:rsidR="00D42746">
        <w:t>adverse event</w:t>
      </w:r>
      <w:r w:rsidRPr="00D66C71">
        <w:t>, safety concerns, or failure to c</w:t>
      </w:r>
      <w:r w:rsidR="00D42746">
        <w:t>omply with the protocol.</w:t>
      </w:r>
    </w:p>
    <w:p w14:paraId="25F4BFF7" w14:textId="6AF94E76" w:rsidR="00AE6E33" w:rsidRPr="00D42746" w:rsidRDefault="00AE6E33" w:rsidP="00D42746">
      <w:pPr>
        <w:pStyle w:val="Heading5"/>
      </w:pPr>
      <w:r w:rsidRPr="00AB3D46">
        <w:t>Rand</w:t>
      </w:r>
      <w:r w:rsidR="00D42746">
        <w:t>omisation and blinding methods</w:t>
      </w:r>
    </w:p>
    <w:p w14:paraId="60E7C1F8" w14:textId="35868F53" w:rsidR="00AE6E33" w:rsidRDefault="00AE6E33" w:rsidP="004A727F">
      <w:r w:rsidRPr="00AB3D46">
        <w:t xml:space="preserve">Randomisation for the </w:t>
      </w:r>
      <w:r w:rsidR="004A727F" w:rsidRPr="00AB3D46">
        <w:t xml:space="preserve">main study </w:t>
      </w:r>
      <w:r w:rsidRPr="00AB3D46">
        <w:t>was stratified by:</w:t>
      </w:r>
    </w:p>
    <w:p w14:paraId="33257E5A" w14:textId="331492A5" w:rsidR="00AE6E33" w:rsidRDefault="00AE6E33" w:rsidP="004A727F">
      <w:pPr>
        <w:pStyle w:val="ListBullet"/>
      </w:pPr>
      <w:r w:rsidRPr="00AB3D46">
        <w:t xml:space="preserve">baseline disease severity (moderate </w:t>
      </w:r>
      <w:r w:rsidR="004A727F">
        <w:t>(</w:t>
      </w:r>
      <w:r w:rsidR="00C4203D">
        <w:t>vIGA-</w:t>
      </w:r>
      <w:r w:rsidR="004A727F">
        <w:t>AD score of 3) versus</w:t>
      </w:r>
      <w:r w:rsidRPr="00AB3D46">
        <w:t xml:space="preserve"> severe </w:t>
      </w:r>
      <w:r w:rsidR="004A727F">
        <w:t>(vIGA-AD score of 4));</w:t>
      </w:r>
    </w:p>
    <w:p w14:paraId="77EF443D" w14:textId="77777777" w:rsidR="004A727F" w:rsidRDefault="00AE6E33" w:rsidP="004A727F">
      <w:pPr>
        <w:pStyle w:val="ListBullet"/>
      </w:pPr>
      <w:r w:rsidRPr="00AB3D46">
        <w:t>geographic region (US</w:t>
      </w:r>
      <w:r w:rsidR="004A727F">
        <w:t>A</w:t>
      </w:r>
      <w:r w:rsidRPr="00AB3D46">
        <w:t>/Puerto Rico/Canada,</w:t>
      </w:r>
      <w:r w:rsidRPr="00AB3D46">
        <w:rPr>
          <w:spacing w:val="1"/>
        </w:rPr>
        <w:t xml:space="preserve"> </w:t>
      </w:r>
      <w:r w:rsidR="004A727F">
        <w:t>Japan, China (mainland)</w:t>
      </w:r>
      <w:r w:rsidRPr="00AB3D46">
        <w:t>, and other)</w:t>
      </w:r>
      <w:r>
        <w:t>;</w:t>
      </w:r>
    </w:p>
    <w:p w14:paraId="5141D275" w14:textId="17358916" w:rsidR="00AE6E33" w:rsidRDefault="004A727F" w:rsidP="004A727F">
      <w:pPr>
        <w:pStyle w:val="ListBullet"/>
      </w:pPr>
      <w:r>
        <w:t>age (adolescent (</w:t>
      </w:r>
      <w:r w:rsidR="00AE6E33" w:rsidRPr="004A727F">
        <w:rPr>
          <w:i/>
        </w:rPr>
        <w:t>ages 12 to 17</w:t>
      </w:r>
      <w:r>
        <w:t>) versus adult (</w:t>
      </w:r>
      <w:r w:rsidR="00AE6E33" w:rsidRPr="004A727F">
        <w:rPr>
          <w:i/>
        </w:rPr>
        <w:t>ages</w:t>
      </w:r>
      <w:r w:rsidR="00AE6E33" w:rsidRPr="004A727F">
        <w:rPr>
          <w:i/>
          <w:spacing w:val="1"/>
        </w:rPr>
        <w:t xml:space="preserve"> </w:t>
      </w:r>
      <w:r w:rsidR="00AE6E33" w:rsidRPr="004A727F">
        <w:rPr>
          <w:i/>
        </w:rPr>
        <w:t>18 to 75</w:t>
      </w:r>
      <w:r>
        <w:t>)</w:t>
      </w:r>
      <w:r w:rsidR="00AE6E33" w:rsidRPr="00AB3D46">
        <w:t xml:space="preserve">). </w:t>
      </w:r>
    </w:p>
    <w:p w14:paraId="5D0A55FE" w14:textId="1C18961D" w:rsidR="00AE6E33" w:rsidRPr="0006719D" w:rsidRDefault="00AE6E33" w:rsidP="004A727F">
      <w:pPr>
        <w:rPr>
          <w:color w:val="1308E8"/>
          <w:lang w:val="en-US"/>
        </w:rPr>
      </w:pPr>
      <w:r w:rsidRPr="0006719D">
        <w:t>Re-randomisation was stratified by Week 16</w:t>
      </w:r>
      <w:r w:rsidR="00CB1DC8">
        <w:t xml:space="preserve"> EASI 50 responder (</w:t>
      </w:r>
      <w:r w:rsidRPr="0006719D">
        <w:t>yes/no plus the above stated stratification parameters</w:t>
      </w:r>
      <w:r w:rsidR="00CB1DC8">
        <w:t>)</w:t>
      </w:r>
      <w:r w:rsidRPr="0006719D">
        <w:t>.</w:t>
      </w:r>
      <w:r w:rsidRPr="0006719D">
        <w:rPr>
          <w:color w:val="1308E8"/>
          <w:lang w:val="en-US"/>
        </w:rPr>
        <w:t xml:space="preserve"> </w:t>
      </w:r>
    </w:p>
    <w:p w14:paraId="7091E303" w14:textId="6FBE7FC4" w:rsidR="00AE6E33" w:rsidRDefault="00AE6E33" w:rsidP="004A727F">
      <w:r>
        <w:t xml:space="preserve">Regarding </w:t>
      </w:r>
      <w:r w:rsidR="004A727F">
        <w:t>the blinding of the extension</w:t>
      </w:r>
      <w:r>
        <w:t>:</w:t>
      </w:r>
    </w:p>
    <w:p w14:paraId="27BEDFF4" w14:textId="41262494" w:rsidR="00AE6E33" w:rsidRPr="004A727F" w:rsidRDefault="00AE6E33" w:rsidP="004A727F">
      <w:pPr>
        <w:pStyle w:val="ListBullet"/>
      </w:pPr>
      <w:r w:rsidRPr="004A727F">
        <w:t>Study sites and subjects were to remain blinded for the duration of the</w:t>
      </w:r>
      <w:r w:rsidR="00B51532">
        <w:t xml:space="preserve"> </w:t>
      </w:r>
      <w:r w:rsidRPr="004A727F">
        <w:t>study;</w:t>
      </w:r>
    </w:p>
    <w:p w14:paraId="60A262D7" w14:textId="002BD205" w:rsidR="00AE6E33" w:rsidRPr="004A727F" w:rsidRDefault="00AE6E33" w:rsidP="004A727F">
      <w:pPr>
        <w:pStyle w:val="ListBullet"/>
      </w:pPr>
      <w:r w:rsidRPr="004A727F">
        <w:t>The stu</w:t>
      </w:r>
      <w:r w:rsidR="004A727F">
        <w:t xml:space="preserve">dy team only had access to the </w:t>
      </w:r>
      <w:r w:rsidRPr="004A727F">
        <w:t xml:space="preserve">unblinded subject level data for </w:t>
      </w:r>
      <w:r w:rsidR="004A727F">
        <w:t>adverse events</w:t>
      </w:r>
      <w:r w:rsidRPr="004A727F">
        <w:t xml:space="preserve"> of special interests and </w:t>
      </w:r>
      <w:r w:rsidR="004A727F">
        <w:t>serious adverse events</w:t>
      </w:r>
      <w:r w:rsidRPr="004A727F">
        <w:t xml:space="preserve"> for regulatory submissions;</w:t>
      </w:r>
    </w:p>
    <w:p w14:paraId="1802872A" w14:textId="7795CB97" w:rsidR="00AE6E33" w:rsidRPr="004A727F" w:rsidRDefault="00AE6E33" w:rsidP="004A727F">
      <w:r w:rsidRPr="004526AB">
        <w:t>In order to maintain the blind, the</w:t>
      </w:r>
      <w:r w:rsidR="004A727F">
        <w:t xml:space="preserve"> u</w:t>
      </w:r>
      <w:r w:rsidRPr="004526AB">
        <w:t>padacitinib tablets and placebo</w:t>
      </w:r>
      <w:r w:rsidRPr="004526AB">
        <w:rPr>
          <w:spacing w:val="1"/>
        </w:rPr>
        <w:t xml:space="preserve"> </w:t>
      </w:r>
      <w:r w:rsidRPr="004526AB">
        <w:t>tablets</w:t>
      </w:r>
      <w:r w:rsidRPr="004526AB">
        <w:rPr>
          <w:spacing w:val="-1"/>
        </w:rPr>
        <w:t xml:space="preserve"> </w:t>
      </w:r>
      <w:r w:rsidRPr="004526AB">
        <w:t>provided</w:t>
      </w:r>
      <w:r w:rsidRPr="004526AB">
        <w:rPr>
          <w:spacing w:val="-1"/>
        </w:rPr>
        <w:t xml:space="preserve"> </w:t>
      </w:r>
      <w:r w:rsidRPr="004526AB">
        <w:t>for</w:t>
      </w:r>
      <w:r w:rsidRPr="004526AB">
        <w:rPr>
          <w:spacing w:val="-1"/>
        </w:rPr>
        <w:t xml:space="preserve"> </w:t>
      </w:r>
      <w:r w:rsidRPr="004526AB">
        <w:t>the</w:t>
      </w:r>
      <w:r w:rsidRPr="004526AB">
        <w:rPr>
          <w:spacing w:val="-3"/>
        </w:rPr>
        <w:t xml:space="preserve"> </w:t>
      </w:r>
      <w:r w:rsidRPr="004526AB">
        <w:t>study</w:t>
      </w:r>
      <w:r w:rsidRPr="004526AB">
        <w:rPr>
          <w:spacing w:val="-2"/>
        </w:rPr>
        <w:t xml:space="preserve"> </w:t>
      </w:r>
      <w:r w:rsidRPr="004526AB">
        <w:t>were</w:t>
      </w:r>
      <w:r w:rsidRPr="004526AB">
        <w:rPr>
          <w:spacing w:val="-1"/>
        </w:rPr>
        <w:t xml:space="preserve"> </w:t>
      </w:r>
      <w:r w:rsidRPr="004526AB">
        <w:t>identical</w:t>
      </w:r>
      <w:r w:rsidRPr="004526AB">
        <w:rPr>
          <w:spacing w:val="-1"/>
        </w:rPr>
        <w:t xml:space="preserve"> </w:t>
      </w:r>
      <w:r w:rsidRPr="004526AB">
        <w:t>in</w:t>
      </w:r>
      <w:r w:rsidRPr="004526AB">
        <w:rPr>
          <w:spacing w:val="-3"/>
        </w:rPr>
        <w:t xml:space="preserve"> </w:t>
      </w:r>
      <w:r w:rsidRPr="004526AB">
        <w:t>appearance.</w:t>
      </w:r>
    </w:p>
    <w:p w14:paraId="34DA326A" w14:textId="39499608" w:rsidR="00AE6E33" w:rsidRDefault="00AE6E33" w:rsidP="004A727F">
      <w:pPr>
        <w:pStyle w:val="Heading5"/>
      </w:pPr>
      <w:r w:rsidRPr="00675FE5">
        <w:t>E</w:t>
      </w:r>
      <w:r w:rsidR="004A727F">
        <w:t>fficacy parameters/endpoints</w:t>
      </w:r>
    </w:p>
    <w:p w14:paraId="570D7B75" w14:textId="381C265D" w:rsidR="00E166EF" w:rsidRPr="00E166EF" w:rsidRDefault="00E166EF" w:rsidP="00E166EF">
      <w:r>
        <w:t xml:space="preserve">See section: </w:t>
      </w:r>
      <w:r w:rsidRPr="00E166EF">
        <w:rPr>
          <w:i/>
        </w:rPr>
        <w:fldChar w:fldCharType="begin"/>
      </w:r>
      <w:r w:rsidRPr="00E166EF">
        <w:rPr>
          <w:i/>
        </w:rPr>
        <w:instrText xml:space="preserve"> REF _Ref125651610 \h </w:instrText>
      </w:r>
      <w:r>
        <w:rPr>
          <w:i/>
        </w:rPr>
        <w:instrText xml:space="preserve"> \* MERGEFORMAT </w:instrText>
      </w:r>
      <w:r w:rsidRPr="00E166EF">
        <w:rPr>
          <w:i/>
        </w:rPr>
      </w:r>
      <w:r w:rsidRPr="00E166EF">
        <w:rPr>
          <w:i/>
        </w:rPr>
        <w:fldChar w:fldCharType="separate"/>
      </w:r>
      <w:r w:rsidR="00B51532" w:rsidRPr="00B51532">
        <w:rPr>
          <w:i/>
        </w:rPr>
        <w:t>Scoring systems used in the clinical studies</w:t>
      </w:r>
      <w:r w:rsidRPr="00E166EF">
        <w:rPr>
          <w:i/>
        </w:rPr>
        <w:fldChar w:fldCharType="end"/>
      </w:r>
      <w:r w:rsidRPr="00E166EF">
        <w:rPr>
          <w:i/>
        </w:rPr>
        <w:t xml:space="preserve"> </w:t>
      </w:r>
      <w:r>
        <w:t>for further information on these outcome measures.</w:t>
      </w:r>
    </w:p>
    <w:p w14:paraId="31CCEF7D" w14:textId="287D9582" w:rsidR="00AE6E33" w:rsidRPr="00E22EEB" w:rsidRDefault="00AE6E33" w:rsidP="00E22EEB">
      <w:pPr>
        <w:rPr>
          <w:i/>
        </w:rPr>
      </w:pPr>
      <w:r w:rsidRPr="00E22EEB">
        <w:rPr>
          <w:i/>
        </w:rPr>
        <w:t>Primary</w:t>
      </w:r>
      <w:r w:rsidR="00E22EEB" w:rsidRPr="00E22EEB">
        <w:rPr>
          <w:i/>
        </w:rPr>
        <w:t xml:space="preserve"> endpoint</w:t>
      </w:r>
      <w:r w:rsidR="00E22EEB">
        <w:rPr>
          <w:i/>
        </w:rPr>
        <w:t xml:space="preserve">: </w:t>
      </w:r>
      <w:r w:rsidR="00E22EEB">
        <w:t xml:space="preserve">The primary endpoint was </w:t>
      </w:r>
      <w:r w:rsidRPr="005D44A3">
        <w:t xml:space="preserve">to demonstrate </w:t>
      </w:r>
      <w:r w:rsidRPr="005D44A3">
        <w:rPr>
          <w:spacing w:val="-2"/>
        </w:rPr>
        <w:t>superiority</w:t>
      </w:r>
      <w:r w:rsidRPr="005D44A3">
        <w:rPr>
          <w:spacing w:val="-4"/>
        </w:rPr>
        <w:t xml:space="preserve"> </w:t>
      </w:r>
      <w:r w:rsidRPr="005D44A3">
        <w:t>of</w:t>
      </w:r>
      <w:r w:rsidRPr="005D44A3">
        <w:rPr>
          <w:spacing w:val="-1"/>
        </w:rPr>
        <w:t xml:space="preserve"> </w:t>
      </w:r>
      <w:r w:rsidR="004A727F">
        <w:t>each u</w:t>
      </w:r>
      <w:r w:rsidRPr="005D44A3">
        <w:t>padacitinib</w:t>
      </w:r>
      <w:r w:rsidRPr="005D44A3">
        <w:rPr>
          <w:spacing w:val="-3"/>
        </w:rPr>
        <w:t xml:space="preserve"> </w:t>
      </w:r>
      <w:r w:rsidRPr="005D44A3">
        <w:t>dose</w:t>
      </w:r>
      <w:r w:rsidRPr="005D44A3">
        <w:rPr>
          <w:spacing w:val="-3"/>
        </w:rPr>
        <w:t xml:space="preserve"> </w:t>
      </w:r>
      <w:r w:rsidR="004A727F">
        <w:t xml:space="preserve">versus </w:t>
      </w:r>
      <w:r w:rsidR="004A727F">
        <w:rPr>
          <w:spacing w:val="-1"/>
        </w:rPr>
        <w:t>p</w:t>
      </w:r>
      <w:r w:rsidRPr="005D44A3">
        <w:t>lacebo.</w:t>
      </w:r>
    </w:p>
    <w:p w14:paraId="1E0C663A" w14:textId="48FF6D61" w:rsidR="00AE6E33" w:rsidRPr="004A727F" w:rsidRDefault="004A727F" w:rsidP="004A727F">
      <w:pPr>
        <w:rPr>
          <w:i/>
        </w:rPr>
      </w:pPr>
      <w:r>
        <w:rPr>
          <w:i/>
        </w:rPr>
        <w:t>Co-p</w:t>
      </w:r>
      <w:r w:rsidR="00AE6E33" w:rsidRPr="004A727F">
        <w:rPr>
          <w:i/>
        </w:rPr>
        <w:t>rimary</w:t>
      </w:r>
      <w:r w:rsidR="00E22EEB">
        <w:rPr>
          <w:i/>
        </w:rPr>
        <w:t xml:space="preserve"> endpoints:</w:t>
      </w:r>
    </w:p>
    <w:p w14:paraId="3190CF60" w14:textId="7AAC3B74" w:rsidR="00AE6E33" w:rsidRPr="004A727F" w:rsidRDefault="00AE6E33" w:rsidP="004A727F">
      <w:pPr>
        <w:pStyle w:val="ListBullet"/>
      </w:pPr>
      <w:r w:rsidRPr="004A727F">
        <w:t xml:space="preserve">Proportion of subjects achieving at least a 75% reduction in EASI </w:t>
      </w:r>
      <w:r w:rsidR="000A7587">
        <w:t>score (achieving an EASI</w:t>
      </w:r>
      <w:r w:rsidR="000A7587">
        <w:noBreakHyphen/>
      </w:r>
      <w:r w:rsidRPr="004A727F">
        <w:t>75</w:t>
      </w:r>
      <w:r w:rsidR="000A7587">
        <w:t xml:space="preserve"> response)</w:t>
      </w:r>
      <w:r w:rsidRPr="004A727F">
        <w:t xml:space="preserve">, from </w:t>
      </w:r>
      <w:r w:rsidR="00795BF7">
        <w:t>b</w:t>
      </w:r>
      <w:r w:rsidRPr="004A727F">
        <w:t xml:space="preserve">aseline </w:t>
      </w:r>
      <w:r w:rsidR="000A7587">
        <w:t xml:space="preserve">EASI scores </w:t>
      </w:r>
      <w:r w:rsidRPr="004A727F">
        <w:t>at Week 16;</w:t>
      </w:r>
      <w:r w:rsidR="000A7587">
        <w:t xml:space="preserve"> (see Section: </w:t>
      </w:r>
      <w:r w:rsidR="000A7587" w:rsidRPr="000A7587">
        <w:rPr>
          <w:i/>
        </w:rPr>
        <w:fldChar w:fldCharType="begin"/>
      </w:r>
      <w:r w:rsidR="000A7587" w:rsidRPr="000A7587">
        <w:rPr>
          <w:i/>
        </w:rPr>
        <w:instrText xml:space="preserve"> REF _Ref126044782 \h </w:instrText>
      </w:r>
      <w:r w:rsidR="000A7587">
        <w:rPr>
          <w:i/>
        </w:rPr>
        <w:instrText xml:space="preserve"> \* MERGEFORMAT </w:instrText>
      </w:r>
      <w:r w:rsidR="000A7587" w:rsidRPr="000A7587">
        <w:rPr>
          <w:i/>
        </w:rPr>
      </w:r>
      <w:r w:rsidR="000A7587" w:rsidRPr="000A7587">
        <w:rPr>
          <w:i/>
        </w:rPr>
        <w:fldChar w:fldCharType="separate"/>
      </w:r>
      <w:r w:rsidR="00B51532" w:rsidRPr="00B51532">
        <w:rPr>
          <w:i/>
        </w:rPr>
        <w:t>Eczema Area and Severity Index (EASI)</w:t>
      </w:r>
      <w:r w:rsidR="000A7587" w:rsidRPr="000A7587">
        <w:rPr>
          <w:i/>
        </w:rPr>
        <w:fldChar w:fldCharType="end"/>
      </w:r>
      <w:r w:rsidR="000A7587">
        <w:t>)</w:t>
      </w:r>
    </w:p>
    <w:p w14:paraId="4C135C37" w14:textId="7E0C1880" w:rsidR="00AE6E33" w:rsidRPr="004A727F" w:rsidRDefault="00AE6E33" w:rsidP="004A727F">
      <w:pPr>
        <w:pStyle w:val="ListBullet"/>
      </w:pPr>
      <w:r w:rsidRPr="005D44A3">
        <w:t>Proportion of subjects achieving validated Investigator Global</w:t>
      </w:r>
      <w:r w:rsidR="004A727F">
        <w:t xml:space="preserve"> </w:t>
      </w:r>
      <w:r w:rsidRPr="004A727F">
        <w:t>Assessment for Atopic</w:t>
      </w:r>
      <w:r w:rsidRPr="004A727F">
        <w:rPr>
          <w:spacing w:val="1"/>
        </w:rPr>
        <w:t xml:space="preserve"> </w:t>
      </w:r>
      <w:r w:rsidRPr="004A727F">
        <w:t>Dermatitis (vIGA-AD)</w:t>
      </w:r>
      <w:r w:rsidRPr="004A727F">
        <w:rPr>
          <w:position w:val="5"/>
        </w:rPr>
        <w:t xml:space="preserve"> </w:t>
      </w:r>
      <w:r w:rsidRPr="004A727F">
        <w:t>of 0 or 1 with at least two grades of reduction from Baseline at Week</w:t>
      </w:r>
      <w:r w:rsidR="00B51532">
        <w:rPr>
          <w:spacing w:val="-46"/>
        </w:rPr>
        <w:t xml:space="preserve">  </w:t>
      </w:r>
      <w:r w:rsidR="00795BF7">
        <w:t>16.</w:t>
      </w:r>
    </w:p>
    <w:p w14:paraId="3EE2EF81" w14:textId="238A4304" w:rsidR="00AE6E33" w:rsidRPr="004A727F" w:rsidRDefault="004A727F" w:rsidP="004A727F">
      <w:r w:rsidRPr="004A727F">
        <w:rPr>
          <w:i/>
        </w:rPr>
        <w:t>Key s</w:t>
      </w:r>
      <w:r w:rsidR="00AE6E33" w:rsidRPr="004A727F">
        <w:rPr>
          <w:i/>
        </w:rPr>
        <w:t>econdary</w:t>
      </w:r>
      <w:r w:rsidR="00E166EF">
        <w:rPr>
          <w:i/>
        </w:rPr>
        <w:t xml:space="preserve"> endpoints</w:t>
      </w:r>
      <w:r>
        <w:t>:</w:t>
      </w:r>
      <w:r w:rsidR="00AE6E33" w:rsidRPr="00BD2A48">
        <w:t xml:space="preserve"> </w:t>
      </w:r>
      <w:r w:rsidR="00AE6E33" w:rsidRPr="004A727F">
        <w:t xml:space="preserve">Separate sets of key secondary endpoints were analysed for </w:t>
      </w:r>
      <w:r>
        <w:t>EU/</w:t>
      </w:r>
      <w:r w:rsidR="00AE6E33" w:rsidRPr="004A727F">
        <w:t xml:space="preserve">EMA and for US/FDA regulatory </w:t>
      </w:r>
      <w:r>
        <w:t>purposes:</w:t>
      </w:r>
    </w:p>
    <w:p w14:paraId="230AEE00" w14:textId="77777777" w:rsidR="00AE6E33" w:rsidRPr="004A727F" w:rsidRDefault="00AE6E33" w:rsidP="004A727F">
      <w:pPr>
        <w:pStyle w:val="ListBullet"/>
      </w:pPr>
      <w:r w:rsidRPr="004A727F">
        <w:t>For EU/EMA regulatory purposes:</w:t>
      </w:r>
    </w:p>
    <w:p w14:paraId="75592A12" w14:textId="249FFFAC" w:rsidR="00AE6E33" w:rsidRDefault="00AE6E33" w:rsidP="004A727F">
      <w:pPr>
        <w:pStyle w:val="ListBullet2"/>
      </w:pPr>
      <w:r w:rsidRPr="005D44A3">
        <w:t>Proportion of subjects achieving an improvement (reduction) in Worst Pruritus Numerical</w:t>
      </w:r>
      <w:r w:rsidR="00B51532">
        <w:t xml:space="preserve"> </w:t>
      </w:r>
      <w:r w:rsidR="00B51532">
        <w:rPr>
          <w:spacing w:val="-46"/>
        </w:rPr>
        <w:t xml:space="preserve"> </w:t>
      </w:r>
      <w:r w:rsidRPr="005D44A3">
        <w:t>Rating Scale (NRS)</w:t>
      </w:r>
      <w:r w:rsidRPr="005D44A3">
        <w:rPr>
          <w:position w:val="5"/>
        </w:rPr>
        <w:t xml:space="preserve"> </w:t>
      </w:r>
      <w:r w:rsidRPr="005D44A3">
        <w:t xml:space="preserve">≥ 4 from Baseline at Week </w:t>
      </w:r>
      <w:r w:rsidRPr="00077A32">
        <w:t>16 (and at Week 1) for subjects with Worst</w:t>
      </w:r>
      <w:r w:rsidRPr="00077A32">
        <w:rPr>
          <w:spacing w:val="1"/>
        </w:rPr>
        <w:t xml:space="preserve"> </w:t>
      </w:r>
      <w:r w:rsidRPr="00077A32">
        <w:t>Pruritus</w:t>
      </w:r>
      <w:r w:rsidRPr="00077A32">
        <w:rPr>
          <w:spacing w:val="-1"/>
        </w:rPr>
        <w:t xml:space="preserve"> </w:t>
      </w:r>
      <w:r w:rsidRPr="00077A32">
        <w:t>NRS ≥</w:t>
      </w:r>
      <w:r w:rsidRPr="00077A32">
        <w:rPr>
          <w:spacing w:val="-1"/>
        </w:rPr>
        <w:t xml:space="preserve"> </w:t>
      </w:r>
      <w:r w:rsidRPr="00077A32">
        <w:t>4</w:t>
      </w:r>
      <w:r w:rsidRPr="00077A32">
        <w:rPr>
          <w:spacing w:val="-1"/>
        </w:rPr>
        <w:t xml:space="preserve"> </w:t>
      </w:r>
      <w:r w:rsidRPr="00077A32">
        <w:t>at</w:t>
      </w:r>
      <w:r w:rsidRPr="00077A32">
        <w:rPr>
          <w:spacing w:val="-1"/>
        </w:rPr>
        <w:t xml:space="preserve"> </w:t>
      </w:r>
      <w:r w:rsidRPr="00077A32">
        <w:t>Baseline;</w:t>
      </w:r>
    </w:p>
    <w:p w14:paraId="72F806FA" w14:textId="77777777" w:rsidR="00E23B36" w:rsidRDefault="00E23B36" w:rsidP="00E23B36">
      <w:pPr>
        <w:pStyle w:val="ListBullet2"/>
      </w:pPr>
      <w:r>
        <w:lastRenderedPageBreak/>
        <w:t>Proportion of subjects achieving EASI 90 at Week 16;</w:t>
      </w:r>
    </w:p>
    <w:p w14:paraId="303088B3" w14:textId="77777777" w:rsidR="00E23B36" w:rsidRDefault="00E23B36" w:rsidP="00E23B36">
      <w:pPr>
        <w:pStyle w:val="ListBullet2"/>
      </w:pPr>
      <w:r>
        <w:t>Percent change from Baseline of Worst Pruritus NRS at Week 16;</w:t>
      </w:r>
    </w:p>
    <w:p w14:paraId="50F919D0" w14:textId="77777777" w:rsidR="00E23B36" w:rsidRDefault="00E23B36" w:rsidP="00E23B36">
      <w:pPr>
        <w:pStyle w:val="ListBullet2"/>
      </w:pPr>
      <w:r>
        <w:t>Percent change in EASI from Baseline at Week 16;</w:t>
      </w:r>
    </w:p>
    <w:p w14:paraId="7F6011C8" w14:textId="77777777" w:rsidR="00E23B36" w:rsidRDefault="00E23B36" w:rsidP="00E23B36">
      <w:pPr>
        <w:pStyle w:val="ListBullet2"/>
      </w:pPr>
      <w:r>
        <w:t>Proportion of subjects achieving EASI 75 at Week 2;</w:t>
      </w:r>
    </w:p>
    <w:p w14:paraId="2264F2C6" w14:textId="5D89F563" w:rsidR="00E23B36" w:rsidRDefault="00E23B36" w:rsidP="00E23B36">
      <w:pPr>
        <w:pStyle w:val="ListBullet2"/>
      </w:pPr>
      <w:r>
        <w:t>Proportion of subjects achieving an improvement (reduction) in Pat</w:t>
      </w:r>
      <w:r w:rsidR="00E166EF">
        <w:t xml:space="preserve">ient Oriented Eczema </w:t>
      </w:r>
      <w:r>
        <w:t>Measure (POEM) ≥ 4 from Baseline at W</w:t>
      </w:r>
      <w:r w:rsidR="00E166EF">
        <w:t>eek 16 for subjects with POEM ≥ 4 </w:t>
      </w:r>
      <w:r>
        <w:t>at Baseline;</w:t>
      </w:r>
    </w:p>
    <w:p w14:paraId="30939A01" w14:textId="77777777" w:rsidR="00E23B36" w:rsidRDefault="00E23B36" w:rsidP="00E23B36">
      <w:pPr>
        <w:pStyle w:val="ListBullet2"/>
      </w:pPr>
      <w:r>
        <w:t>Proportion of subjects age ≥ 16 years old at screening achieving an improvement (reduction) in Dermatology Life Quality Index (DLQI) ≥ 4 from Baseline at Week 16 for subjects with DLQI ≥ 4 at Baseline;</w:t>
      </w:r>
    </w:p>
    <w:p w14:paraId="361FFF64" w14:textId="4D9BB269" w:rsidR="00E23B36" w:rsidRDefault="00E23B36" w:rsidP="00E23B36">
      <w:pPr>
        <w:pStyle w:val="ListBullet2"/>
      </w:pPr>
      <w:r>
        <w:t>Proportion of subjects achieving an improvement (reduction) in Worst Pruritus NRS ≥ 4 from Baseline at Day 2 and Day 3 for subjects with Worst Pruritus NRS ≥ 4 at Baseline (</w:t>
      </w:r>
      <w:r w:rsidR="00782F8C">
        <w:t>upadacitinib</w:t>
      </w:r>
      <w:r>
        <w:t xml:space="preserve"> 30 mg vs. placebo);</w:t>
      </w:r>
    </w:p>
    <w:p w14:paraId="6D45D032" w14:textId="522DCD9D" w:rsidR="00E23B36" w:rsidRDefault="00E23B36" w:rsidP="00E23B36">
      <w:pPr>
        <w:pStyle w:val="ListBullet2"/>
      </w:pPr>
      <w:r>
        <w:t>Proportion of subjects experiencing a flare, characterised as a clinically meaningful worsening in EASI, defined as an increase of EASI by ≥ 6.6 from Baseline for subjects with EASI ≤ 65.4 at Baseline, during double-blind treatment period (</w:t>
      </w:r>
      <w:r w:rsidR="00E166EF">
        <w:t>double</w:t>
      </w:r>
      <w:r w:rsidR="00E166EF">
        <w:noBreakHyphen/>
        <w:t>blind</w:t>
      </w:r>
      <w:r>
        <w:t xml:space="preserve"> Period);</w:t>
      </w:r>
    </w:p>
    <w:p w14:paraId="1E0F3C91" w14:textId="4EE43263" w:rsidR="00E23B36" w:rsidRDefault="00E23B36" w:rsidP="00E23B36">
      <w:pPr>
        <w:pStyle w:val="ListBullet2"/>
      </w:pPr>
      <w:r>
        <w:t>Percent change in Scoring Atopic Dermatitis (SCORAD) from Baseline at Week 16;</w:t>
      </w:r>
    </w:p>
    <w:p w14:paraId="6F870038" w14:textId="529BDD2A" w:rsidR="00E23B36" w:rsidRDefault="00E23B36" w:rsidP="00E23B36">
      <w:pPr>
        <w:pStyle w:val="ListBullet2"/>
      </w:pPr>
      <w:r w:rsidRPr="00E23B36">
        <w:t>Proportion of subjects achieving an improvement (reduction) in Atopic Dermatitis Impact Scale</w:t>
      </w:r>
      <w:r w:rsidR="00B51532">
        <w:t xml:space="preserve"> </w:t>
      </w:r>
      <w:r w:rsidRPr="00E23B36">
        <w:t>(ADerm-IS) sleep domain score ≥ 12 (minimal c</w:t>
      </w:r>
      <w:r w:rsidR="00E166EF">
        <w:t>linically important difference (MCID)</w:t>
      </w:r>
      <w:r w:rsidRPr="00E23B36">
        <w:t>) from Baseline at Week 16 for subjects with ADerm-IS sleep domain score ≥ 12 at Baseline;</w:t>
      </w:r>
    </w:p>
    <w:p w14:paraId="51A5A8BE" w14:textId="5E70106C" w:rsidR="00E23B36" w:rsidRPr="00E23B36" w:rsidRDefault="00E23B36" w:rsidP="00E23B36">
      <w:pPr>
        <w:pStyle w:val="ListBullet2"/>
      </w:pPr>
      <w:r>
        <w:t>Proportion of subjects achieving an improvement (reduction) in Atopic Dermatitis Symptom Scale (ADerm-SS) skin pain score ≥ 4 (MCID) from Baseline at Week 16 for subjects with ADerm-SS skin pain score ≥ 4 at Baseline;</w:t>
      </w:r>
    </w:p>
    <w:p w14:paraId="7845225B" w14:textId="37CD5BDC" w:rsidR="00E23B36" w:rsidRPr="00E23B36" w:rsidRDefault="00E23B36" w:rsidP="00E23B36">
      <w:pPr>
        <w:pStyle w:val="ListBullet2"/>
      </w:pPr>
      <w:r>
        <w:t xml:space="preserve">Proportion of subjects achieving an improvement (reduction) in ADerm-SS 7-item total symptom score (TSS-7) ≥ 28 (MCID) from Baseline at Week 16 for subjects with ADerm-SS TSS- 7 ≥ 28 at Baseline; </w:t>
      </w:r>
    </w:p>
    <w:p w14:paraId="3DBF6C04" w14:textId="522D8026" w:rsidR="00E23B36" w:rsidRPr="00E23B36" w:rsidRDefault="00E23B36" w:rsidP="00E23B36">
      <w:pPr>
        <w:pStyle w:val="ListBullet2"/>
      </w:pPr>
      <w:r>
        <w:t>ADerm-SS TSS-7 is defined as the algebraic sum of the responses to items 1 – 7 of the ADerm-SS;</w:t>
      </w:r>
    </w:p>
    <w:p w14:paraId="2AE81153" w14:textId="348FB669" w:rsidR="00E23B36" w:rsidRPr="00E23B36" w:rsidRDefault="00E23B36" w:rsidP="00E23B36">
      <w:pPr>
        <w:pStyle w:val="ListBullet2"/>
      </w:pPr>
      <w:r>
        <w:t>Proportion of subjects achieving an improvement (reduction) in ADerm-IS emotional state domain score ≥ 11 (MCID) from Baseline at Week 16 for subjects with ADerm-IS emotional state domain score ≥ 11 at Baseline;</w:t>
      </w:r>
    </w:p>
    <w:p w14:paraId="62D35B4E" w14:textId="7ED5CC22" w:rsidR="00E23B36" w:rsidRDefault="00E23B36" w:rsidP="00E23B36">
      <w:pPr>
        <w:pStyle w:val="ListBullet2"/>
      </w:pPr>
      <w:r>
        <w:t>Proportion of subjects achieving an improvement (reduction) in ADerm-IS daily activities</w:t>
      </w:r>
      <w:r w:rsidR="00B51532">
        <w:t xml:space="preserve"> </w:t>
      </w:r>
      <w:r>
        <w:t>domain score ≥ 14 (MCID) from Baseline at Week 16 for subjects with ADerm-IS daily activities</w:t>
      </w:r>
      <w:r w:rsidR="00B51532">
        <w:t xml:space="preserve"> </w:t>
      </w:r>
      <w:r>
        <w:t>domain score ≥ 14 at Baseline;</w:t>
      </w:r>
    </w:p>
    <w:p w14:paraId="204D317E" w14:textId="0A6D6112" w:rsidR="00E23B36" w:rsidRDefault="00E23B36" w:rsidP="00E23B36">
      <w:pPr>
        <w:pStyle w:val="ListBullet2"/>
      </w:pPr>
      <w:r>
        <w:t>Proportion of subjects achieving EASI 100 at Week 16;</w:t>
      </w:r>
    </w:p>
    <w:p w14:paraId="7430EF0D" w14:textId="3EA780D3" w:rsidR="00E23B36" w:rsidRPr="00E23B36" w:rsidRDefault="00E23B36" w:rsidP="00E23B36">
      <w:pPr>
        <w:pStyle w:val="ListBullet2"/>
      </w:pPr>
      <w:r>
        <w:t>Proportion of subjects age ≥ 16 years old at screening achieving</w:t>
      </w:r>
      <w:r w:rsidR="00B51532">
        <w:t xml:space="preserve"> </w:t>
      </w:r>
      <w:r>
        <w:t>DLQI score of 0 or 1 at Week 16 for subjects with DLQI &gt; 1 at Baseline.</w:t>
      </w:r>
    </w:p>
    <w:p w14:paraId="6D3CB2CD" w14:textId="1E86D1B0" w:rsidR="00AE6E33" w:rsidRPr="00CB1DC8" w:rsidRDefault="00AE6E33" w:rsidP="00AE6E33">
      <w:pPr>
        <w:pStyle w:val="ListBullet"/>
      </w:pPr>
      <w:r w:rsidRPr="00A25796">
        <w:t xml:space="preserve">For </w:t>
      </w:r>
      <w:r w:rsidRPr="00A25796">
        <w:rPr>
          <w:spacing w:val="-2"/>
        </w:rPr>
        <w:t>US</w:t>
      </w:r>
      <w:r w:rsidRPr="00A25796">
        <w:t>/FDA</w:t>
      </w:r>
      <w:r w:rsidRPr="00A25796">
        <w:rPr>
          <w:spacing w:val="-2"/>
        </w:rPr>
        <w:t xml:space="preserve"> </w:t>
      </w:r>
      <w:r w:rsidRPr="00A25796">
        <w:t>regulatory</w:t>
      </w:r>
      <w:r w:rsidRPr="00A25796">
        <w:rPr>
          <w:spacing w:val="-3"/>
        </w:rPr>
        <w:t xml:space="preserve"> </w:t>
      </w:r>
      <w:r w:rsidRPr="00A25796">
        <w:t>purposes:</w:t>
      </w:r>
    </w:p>
    <w:p w14:paraId="5D55ABE1" w14:textId="64926C5A" w:rsidR="007A305C" w:rsidRDefault="00AE6E33" w:rsidP="00E23B36">
      <w:pPr>
        <w:pStyle w:val="ListBullet2"/>
      </w:pPr>
      <w:r>
        <w:t>Proportion of subjects achieving an improvement (reduction) in Worst</w:t>
      </w:r>
      <w:r w:rsidR="00B51532">
        <w:t xml:space="preserve"> </w:t>
      </w:r>
      <w:r>
        <w:t>Pruritus NRS ≥ 4 from</w:t>
      </w:r>
      <w:r w:rsidR="00B51532">
        <w:rPr>
          <w:spacing w:val="-46"/>
        </w:rPr>
        <w:t xml:space="preserve"> </w:t>
      </w:r>
      <w:r>
        <w:t>Baseline at Week 16 (and at Week 4 and Week 1) for subjects with Worst Pruritus NRS ≥ 4 at</w:t>
      </w:r>
      <w:r w:rsidRPr="00CB1DC8">
        <w:rPr>
          <w:spacing w:val="1"/>
        </w:rPr>
        <w:t xml:space="preserve"> </w:t>
      </w:r>
      <w:r>
        <w:t>Baseline;</w:t>
      </w:r>
    </w:p>
    <w:p w14:paraId="057498B8" w14:textId="4D0220AC" w:rsidR="007A305C" w:rsidRPr="007A305C" w:rsidRDefault="00AE6E33" w:rsidP="007A305C">
      <w:pPr>
        <w:pStyle w:val="ListBullet2"/>
      </w:pPr>
      <w:r>
        <w:t>Proportion</w:t>
      </w:r>
      <w:r w:rsidRPr="00CB1DC8">
        <w:rPr>
          <w:spacing w:val="-3"/>
        </w:rPr>
        <w:t xml:space="preserve"> </w:t>
      </w:r>
      <w:r>
        <w:t>of</w:t>
      </w:r>
      <w:r w:rsidRPr="00CB1DC8">
        <w:rPr>
          <w:spacing w:val="-3"/>
        </w:rPr>
        <w:t xml:space="preserve"> </w:t>
      </w:r>
      <w:r>
        <w:t>subjects achieving</w:t>
      </w:r>
      <w:r w:rsidRPr="00CB1DC8">
        <w:rPr>
          <w:spacing w:val="-3"/>
        </w:rPr>
        <w:t xml:space="preserve"> </w:t>
      </w:r>
      <w:r>
        <w:t>EASI</w:t>
      </w:r>
      <w:r w:rsidRPr="00CB1DC8">
        <w:rPr>
          <w:spacing w:val="-1"/>
        </w:rPr>
        <w:t xml:space="preserve"> </w:t>
      </w:r>
      <w:r>
        <w:t>90</w:t>
      </w:r>
      <w:r w:rsidRPr="00CB1DC8">
        <w:rPr>
          <w:spacing w:val="-2"/>
        </w:rPr>
        <w:t xml:space="preserve"> </w:t>
      </w:r>
      <w:r>
        <w:t>at</w:t>
      </w:r>
      <w:r w:rsidRPr="00CB1DC8">
        <w:rPr>
          <w:spacing w:val="-1"/>
        </w:rPr>
        <w:t xml:space="preserve"> </w:t>
      </w:r>
      <w:r>
        <w:t>Week</w:t>
      </w:r>
      <w:r w:rsidRPr="00CB1DC8">
        <w:rPr>
          <w:spacing w:val="-1"/>
        </w:rPr>
        <w:t xml:space="preserve"> </w:t>
      </w:r>
      <w:r>
        <w:t>16</w:t>
      </w:r>
      <w:r w:rsidR="00CB1DC8">
        <w:t>;</w:t>
      </w:r>
    </w:p>
    <w:p w14:paraId="42F89546" w14:textId="560479A9" w:rsidR="007A305C" w:rsidRDefault="007A305C" w:rsidP="007A305C">
      <w:pPr>
        <w:pStyle w:val="ListBullet2"/>
      </w:pPr>
      <w:r w:rsidRPr="005D44A3">
        <w:t>Percent</w:t>
      </w:r>
      <w:r w:rsidRPr="005D44A3">
        <w:rPr>
          <w:spacing w:val="-2"/>
        </w:rPr>
        <w:t xml:space="preserve"> </w:t>
      </w:r>
      <w:r w:rsidRPr="005D44A3">
        <w:t>change</w:t>
      </w:r>
      <w:r w:rsidRPr="005D44A3">
        <w:rPr>
          <w:spacing w:val="-2"/>
        </w:rPr>
        <w:t xml:space="preserve"> </w:t>
      </w:r>
      <w:r w:rsidRPr="005D44A3">
        <w:t>from</w:t>
      </w:r>
      <w:r w:rsidRPr="005D44A3">
        <w:rPr>
          <w:spacing w:val="-1"/>
        </w:rPr>
        <w:t xml:space="preserve"> </w:t>
      </w:r>
      <w:r w:rsidRPr="005D44A3">
        <w:t>Baseline</w:t>
      </w:r>
      <w:r w:rsidRPr="005D44A3">
        <w:rPr>
          <w:spacing w:val="-2"/>
        </w:rPr>
        <w:t xml:space="preserve"> </w:t>
      </w:r>
      <w:r w:rsidRPr="005D44A3">
        <w:t>of</w:t>
      </w:r>
      <w:r w:rsidRPr="005D44A3">
        <w:rPr>
          <w:spacing w:val="-2"/>
        </w:rPr>
        <w:t xml:space="preserve"> </w:t>
      </w:r>
      <w:r w:rsidRPr="005D44A3">
        <w:t>Worst</w:t>
      </w:r>
      <w:r w:rsidRPr="005D44A3">
        <w:rPr>
          <w:spacing w:val="-2"/>
        </w:rPr>
        <w:t xml:space="preserve"> </w:t>
      </w:r>
      <w:r w:rsidRPr="005D44A3">
        <w:t>Pruritus</w:t>
      </w:r>
      <w:r w:rsidRPr="005D44A3">
        <w:rPr>
          <w:spacing w:val="-3"/>
        </w:rPr>
        <w:t xml:space="preserve"> </w:t>
      </w:r>
      <w:r w:rsidRPr="005D44A3">
        <w:t>NRS at</w:t>
      </w:r>
      <w:r w:rsidRPr="005D44A3">
        <w:rPr>
          <w:spacing w:val="-2"/>
        </w:rPr>
        <w:t xml:space="preserve"> </w:t>
      </w:r>
      <w:r w:rsidRPr="005D44A3">
        <w:t>Week</w:t>
      </w:r>
      <w:r w:rsidRPr="005D44A3">
        <w:rPr>
          <w:spacing w:val="-2"/>
        </w:rPr>
        <w:t xml:space="preserve"> </w:t>
      </w:r>
      <w:r w:rsidRPr="005D44A3">
        <w:t>16;</w:t>
      </w:r>
    </w:p>
    <w:p w14:paraId="6789A316" w14:textId="77777777" w:rsidR="00CB1DC8" w:rsidRDefault="00AE6E33" w:rsidP="00CB1DC8">
      <w:pPr>
        <w:pStyle w:val="ListBullet2"/>
      </w:pPr>
      <w:r w:rsidRPr="00CB1DC8">
        <w:lastRenderedPageBreak/>
        <w:t>Proportion</w:t>
      </w:r>
      <w:r w:rsidRPr="00CB1DC8">
        <w:rPr>
          <w:spacing w:val="-3"/>
        </w:rPr>
        <w:t xml:space="preserve"> </w:t>
      </w:r>
      <w:r w:rsidRPr="00CB1DC8">
        <w:t>of</w:t>
      </w:r>
      <w:r w:rsidRPr="00CB1DC8">
        <w:rPr>
          <w:spacing w:val="-3"/>
        </w:rPr>
        <w:t xml:space="preserve"> </w:t>
      </w:r>
      <w:r w:rsidRPr="00CB1DC8">
        <w:t>subjects</w:t>
      </w:r>
      <w:r w:rsidRPr="00CB1DC8">
        <w:rPr>
          <w:spacing w:val="-1"/>
        </w:rPr>
        <w:t xml:space="preserve"> </w:t>
      </w:r>
      <w:r w:rsidRPr="00CB1DC8">
        <w:t>achieving</w:t>
      </w:r>
      <w:r w:rsidRPr="00CB1DC8">
        <w:rPr>
          <w:spacing w:val="-2"/>
        </w:rPr>
        <w:t xml:space="preserve"> </w:t>
      </w:r>
      <w:r w:rsidRPr="00CB1DC8">
        <w:t>EASI</w:t>
      </w:r>
      <w:r w:rsidRPr="00CB1DC8">
        <w:rPr>
          <w:spacing w:val="-1"/>
        </w:rPr>
        <w:t xml:space="preserve"> </w:t>
      </w:r>
      <w:r w:rsidRPr="00CB1DC8">
        <w:t>75</w:t>
      </w:r>
      <w:r w:rsidRPr="00CB1DC8">
        <w:rPr>
          <w:spacing w:val="-2"/>
        </w:rPr>
        <w:t xml:space="preserve"> </w:t>
      </w:r>
      <w:r w:rsidRPr="00CB1DC8">
        <w:t>at</w:t>
      </w:r>
      <w:r w:rsidRPr="00CB1DC8">
        <w:rPr>
          <w:spacing w:val="-1"/>
        </w:rPr>
        <w:t xml:space="preserve"> </w:t>
      </w:r>
      <w:r w:rsidRPr="00CB1DC8">
        <w:t>Week</w:t>
      </w:r>
      <w:r w:rsidRPr="00CB1DC8">
        <w:rPr>
          <w:spacing w:val="-1"/>
        </w:rPr>
        <w:t xml:space="preserve"> </w:t>
      </w:r>
      <w:r w:rsidRPr="00CB1DC8">
        <w:t>2;</w:t>
      </w:r>
    </w:p>
    <w:p w14:paraId="2DD64DB5" w14:textId="3FB1EA44" w:rsidR="00AE6E33" w:rsidRPr="00CB1DC8" w:rsidRDefault="00AE6E33" w:rsidP="00CB1DC8">
      <w:pPr>
        <w:pStyle w:val="ListBullet2"/>
      </w:pPr>
      <w:r w:rsidRPr="00CB1DC8">
        <w:t>Proportion of subjects achieving an improvement (reduction) in Worst Pruritus NRS ≥ 4 from</w:t>
      </w:r>
      <w:r w:rsidR="00CB1DC8">
        <w:t xml:space="preserve"> </w:t>
      </w:r>
      <w:r w:rsidRPr="00CB1DC8">
        <w:t>Baseline at Day 2 for subjects with Worst</w:t>
      </w:r>
      <w:r w:rsidR="00CB1DC8" w:rsidRPr="00CB1DC8">
        <w:t xml:space="preserve"> Pruritus NRS ≥ 4 at Baseline (upadacitinib 30 mg versus </w:t>
      </w:r>
      <w:r w:rsidR="00CB1DC8">
        <w:t>placebo).</w:t>
      </w:r>
    </w:p>
    <w:p w14:paraId="0C701D47" w14:textId="3EEB9D51" w:rsidR="00AE6E33" w:rsidRPr="00CB1DC8" w:rsidRDefault="00AE6E33" w:rsidP="00CB1DC8">
      <w:pPr>
        <w:pStyle w:val="ListBullet2"/>
      </w:pPr>
      <w:r w:rsidRPr="00CB1DC8">
        <w:t>Proportion of subjects achieving an improvement (reduction) in Worst Pruritus NRS ≥ 4 from</w:t>
      </w:r>
      <w:r w:rsidR="00CB1DC8">
        <w:t xml:space="preserve"> </w:t>
      </w:r>
      <w:r w:rsidRPr="00CB1DC8">
        <w:t>Baseline at Day 3 for subjects with Worst</w:t>
      </w:r>
      <w:r w:rsidR="00CB1DC8">
        <w:t xml:space="preserve"> Pruritus NRS ≥ 4 at Baseline (u</w:t>
      </w:r>
      <w:r w:rsidRPr="00CB1DC8">
        <w:t xml:space="preserve">padacitinib 15 mg </w:t>
      </w:r>
      <w:r w:rsidR="00CB1DC8">
        <w:t>versus</w:t>
      </w:r>
      <w:r w:rsidRPr="00CB1DC8">
        <w:t xml:space="preserve"> </w:t>
      </w:r>
      <w:r w:rsidR="00CB1DC8">
        <w:t>placebo).</w:t>
      </w:r>
    </w:p>
    <w:p w14:paraId="155BCF35" w14:textId="04446649" w:rsidR="00AE6E33" w:rsidRPr="00CB1DC8" w:rsidRDefault="00AE6E33" w:rsidP="00CB1DC8">
      <w:pPr>
        <w:pStyle w:val="ListBullet2"/>
      </w:pPr>
      <w:r w:rsidRPr="00CB1DC8">
        <w:t>Proportion of subjects experiencing a flare, characterised as a clinically meaningful worsening in EASI, defined as an increase of EASI by ≥ 6.6 from Baseline for subjects with EASI ≤ 65.4 at Baseline, during</w:t>
      </w:r>
      <w:r w:rsidR="00921F5C">
        <w:t xml:space="preserve"> double blind </w:t>
      </w:r>
      <w:r w:rsidR="00CB1DC8">
        <w:t>Period.</w:t>
      </w:r>
    </w:p>
    <w:p w14:paraId="01F9DAD0" w14:textId="0A2955BD" w:rsidR="00AE6E33" w:rsidRPr="00CB1DC8" w:rsidRDefault="00AE6E33" w:rsidP="00CB1DC8">
      <w:pPr>
        <w:pStyle w:val="ListBullet2"/>
      </w:pPr>
      <w:r w:rsidRPr="00CB1DC8">
        <w:t>Proportion of subjects achieving an improvement (reduction) in ADerm-IS sleep domain score≥ 12 (MCID) from Baseline at Week 16 for subjects with ADerm-IS sleep domain score ≥ 12 at</w:t>
      </w:r>
      <w:r w:rsidR="00CB1DC8">
        <w:t xml:space="preserve"> Baseline.</w:t>
      </w:r>
    </w:p>
    <w:p w14:paraId="4C942A6C" w14:textId="3F9BC0E3" w:rsidR="00AE6E33" w:rsidRPr="00CB1DC8" w:rsidRDefault="00AE6E33" w:rsidP="00CB1DC8">
      <w:pPr>
        <w:pStyle w:val="ListBullet2"/>
      </w:pPr>
      <w:r w:rsidRPr="00CB1DC8">
        <w:t xml:space="preserve">Proportion of subjects achieving an improvement (reduction) in ADerm-SS skin pain score ≥4 (MCID) from Baseline at Week 16 for subjects with ADerm-SS skin pain score ≥ 4 at </w:t>
      </w:r>
      <w:r w:rsidR="00CB1DC8">
        <w:t>Baseline.</w:t>
      </w:r>
    </w:p>
    <w:p w14:paraId="329FB54A" w14:textId="01D5DBB0" w:rsidR="00CB1DC8" w:rsidRDefault="00AE6E33" w:rsidP="00CB1DC8">
      <w:pPr>
        <w:pStyle w:val="ListBullet2"/>
      </w:pPr>
      <w:r w:rsidRPr="002A315F">
        <w:t>Proportion</w:t>
      </w:r>
      <w:r w:rsidRPr="002A315F">
        <w:rPr>
          <w:spacing w:val="-3"/>
        </w:rPr>
        <w:t xml:space="preserve"> </w:t>
      </w:r>
      <w:r w:rsidRPr="002A315F">
        <w:t>of</w:t>
      </w:r>
      <w:r w:rsidRPr="002A315F">
        <w:rPr>
          <w:spacing w:val="-4"/>
        </w:rPr>
        <w:t xml:space="preserve"> </w:t>
      </w:r>
      <w:r w:rsidRPr="00CB1DC8">
        <w:t>subjects</w:t>
      </w:r>
      <w:r w:rsidRPr="002A315F">
        <w:t xml:space="preserve"> achieving</w:t>
      </w:r>
      <w:r w:rsidRPr="002A315F">
        <w:rPr>
          <w:spacing w:val="-3"/>
        </w:rPr>
        <w:t xml:space="preserve"> </w:t>
      </w:r>
      <w:r w:rsidRPr="002A315F">
        <w:t>an</w:t>
      </w:r>
      <w:r w:rsidRPr="002A315F">
        <w:rPr>
          <w:spacing w:val="-3"/>
        </w:rPr>
        <w:t xml:space="preserve"> </w:t>
      </w:r>
      <w:r w:rsidRPr="002A315F">
        <w:t>improvement</w:t>
      </w:r>
      <w:r w:rsidRPr="002A315F">
        <w:rPr>
          <w:spacing w:val="-4"/>
        </w:rPr>
        <w:t xml:space="preserve"> </w:t>
      </w:r>
      <w:r w:rsidRPr="002A315F">
        <w:t>(reduction)</w:t>
      </w:r>
      <w:r w:rsidRPr="002A315F">
        <w:rPr>
          <w:spacing w:val="-2"/>
        </w:rPr>
        <w:t xml:space="preserve"> </w:t>
      </w:r>
      <w:r w:rsidRPr="002A315F">
        <w:t>in</w:t>
      </w:r>
      <w:r w:rsidRPr="002A315F">
        <w:rPr>
          <w:spacing w:val="-3"/>
        </w:rPr>
        <w:t xml:space="preserve"> </w:t>
      </w:r>
      <w:r w:rsidRPr="002A315F">
        <w:t>ADerm-SS</w:t>
      </w:r>
      <w:r w:rsidRPr="002A315F">
        <w:rPr>
          <w:spacing w:val="-2"/>
        </w:rPr>
        <w:t xml:space="preserve"> </w:t>
      </w:r>
      <w:r w:rsidRPr="002A315F">
        <w:t>TSS-7</w:t>
      </w:r>
      <w:r w:rsidR="00B51532">
        <w:rPr>
          <w:spacing w:val="-2"/>
        </w:rPr>
        <w:t xml:space="preserve"> </w:t>
      </w:r>
      <w:r w:rsidRPr="002A315F">
        <w:t>≥</w:t>
      </w:r>
      <w:r w:rsidRPr="00CB1DC8">
        <w:rPr>
          <w:spacing w:val="-2"/>
        </w:rPr>
        <w:t xml:space="preserve"> </w:t>
      </w:r>
      <w:r w:rsidRPr="002A315F">
        <w:t>28</w:t>
      </w:r>
      <w:r w:rsidRPr="00CB1DC8">
        <w:rPr>
          <w:spacing w:val="-1"/>
        </w:rPr>
        <w:t xml:space="preserve"> </w:t>
      </w:r>
      <w:r w:rsidRPr="002A315F">
        <w:t>(MCID)</w:t>
      </w:r>
      <w:r>
        <w:t xml:space="preserve"> from</w:t>
      </w:r>
      <w:r w:rsidRPr="00CB1DC8">
        <w:rPr>
          <w:spacing w:val="-1"/>
        </w:rPr>
        <w:t xml:space="preserve"> </w:t>
      </w:r>
      <w:r>
        <w:t>Baseline</w:t>
      </w:r>
      <w:r w:rsidRPr="00CB1DC8">
        <w:rPr>
          <w:spacing w:val="-1"/>
        </w:rPr>
        <w:t xml:space="preserve"> </w:t>
      </w:r>
      <w:r>
        <w:t>at</w:t>
      </w:r>
      <w:r w:rsidRPr="00CB1DC8">
        <w:rPr>
          <w:spacing w:val="-2"/>
        </w:rPr>
        <w:t xml:space="preserve"> </w:t>
      </w:r>
      <w:r>
        <w:t>Week</w:t>
      </w:r>
      <w:r w:rsidRPr="00CB1DC8">
        <w:rPr>
          <w:spacing w:val="-1"/>
        </w:rPr>
        <w:t xml:space="preserve"> </w:t>
      </w:r>
      <w:r>
        <w:t>16</w:t>
      </w:r>
      <w:r w:rsidRPr="00CB1DC8">
        <w:rPr>
          <w:spacing w:val="-4"/>
        </w:rPr>
        <w:t xml:space="preserve"> </w:t>
      </w:r>
      <w:r>
        <w:t>for</w:t>
      </w:r>
      <w:r w:rsidRPr="00CB1DC8">
        <w:rPr>
          <w:spacing w:val="-1"/>
        </w:rPr>
        <w:t xml:space="preserve"> </w:t>
      </w:r>
      <w:r>
        <w:t>subjects</w:t>
      </w:r>
      <w:r w:rsidRPr="00CB1DC8">
        <w:rPr>
          <w:spacing w:val="-1"/>
        </w:rPr>
        <w:t xml:space="preserve"> </w:t>
      </w:r>
      <w:r>
        <w:t>with ADerm-SS</w:t>
      </w:r>
      <w:r w:rsidRPr="00CB1DC8">
        <w:rPr>
          <w:spacing w:val="-3"/>
        </w:rPr>
        <w:t xml:space="preserve"> </w:t>
      </w:r>
      <w:r>
        <w:t>TSS-7</w:t>
      </w:r>
      <w:r w:rsidRPr="00CB1DC8">
        <w:rPr>
          <w:spacing w:val="-1"/>
        </w:rPr>
        <w:t xml:space="preserve"> </w:t>
      </w:r>
      <w:r>
        <w:t>≥</w:t>
      </w:r>
      <w:r w:rsidRPr="00CB1DC8">
        <w:rPr>
          <w:spacing w:val="-2"/>
        </w:rPr>
        <w:t xml:space="preserve"> </w:t>
      </w:r>
      <w:r>
        <w:t>28</w:t>
      </w:r>
      <w:r w:rsidRPr="00CB1DC8">
        <w:rPr>
          <w:spacing w:val="-1"/>
        </w:rPr>
        <w:t xml:space="preserve"> </w:t>
      </w:r>
      <w:r>
        <w:t>at</w:t>
      </w:r>
      <w:r w:rsidRPr="00CB1DC8">
        <w:rPr>
          <w:spacing w:val="-1"/>
        </w:rPr>
        <w:t xml:space="preserve"> </w:t>
      </w:r>
      <w:r w:rsidR="00CB1DC8">
        <w:t>Baseline.</w:t>
      </w:r>
    </w:p>
    <w:p w14:paraId="03A3C404" w14:textId="77777777" w:rsidR="00CB1DC8" w:rsidRDefault="00AE6E33" w:rsidP="00CB1DC8">
      <w:pPr>
        <w:pStyle w:val="ListBullet2"/>
      </w:pPr>
      <w:r w:rsidRPr="00CB1DC8">
        <w:t xml:space="preserve">Proportion of subjects achieving an improvement (reduction) in ADerm-IS emotional state domain score ≥ 11 (MCID) from Baseline at Week 16 for subjects with ADerm-IS emotional state domain score ≥ 11 at </w:t>
      </w:r>
      <w:r w:rsidR="00CB1DC8">
        <w:t>Baseline.</w:t>
      </w:r>
      <w:bookmarkStart w:id="93" w:name="_bookmark61"/>
      <w:bookmarkEnd w:id="93"/>
    </w:p>
    <w:p w14:paraId="4C2DBAB4" w14:textId="77777777" w:rsidR="00CB1DC8" w:rsidRDefault="00AE6E33" w:rsidP="00CB1DC8">
      <w:pPr>
        <w:pStyle w:val="ListBullet2"/>
      </w:pPr>
      <w:r w:rsidRPr="00CB1DC8">
        <w:t>Proportion of subjects achieving an improvement (reduction) in ADerm-IS daily activities domain score ≥ 14 (MCID) from Baseline at Week 16 for subjects with ADerm-IS daily activities domain score ≥ 14 at Baseline</w:t>
      </w:r>
      <w:r w:rsidR="00CB1DC8">
        <w:t>.</w:t>
      </w:r>
    </w:p>
    <w:p w14:paraId="11D6F892" w14:textId="2B81634C" w:rsidR="00AE6E33" w:rsidRPr="00CB1DC8" w:rsidRDefault="00AE6E33" w:rsidP="00CB1DC8">
      <w:pPr>
        <w:pStyle w:val="ListBullet2"/>
      </w:pPr>
      <w:r w:rsidRPr="00CB1DC8">
        <w:t>Proportion of subjects achieving EASI 100 at Week 16.</w:t>
      </w:r>
    </w:p>
    <w:p w14:paraId="7F0AC337" w14:textId="1C00F2FD" w:rsidR="00AE6E33" w:rsidRDefault="00B74405" w:rsidP="00B74405">
      <w:r>
        <w:t xml:space="preserve">Additional endpoints </w:t>
      </w:r>
      <w:r w:rsidR="00AE6E33" w:rsidRPr="00C34C39">
        <w:t>analysed</w:t>
      </w:r>
      <w:r w:rsidR="00AE6E33" w:rsidRPr="00C34C39">
        <w:rPr>
          <w:spacing w:val="-1"/>
        </w:rPr>
        <w:t xml:space="preserve"> </w:t>
      </w:r>
      <w:r w:rsidR="00AE6E33" w:rsidRPr="00C34C39">
        <w:t>at</w:t>
      </w:r>
      <w:r w:rsidR="00AE6E33" w:rsidRPr="00C34C39">
        <w:rPr>
          <w:spacing w:val="-2"/>
        </w:rPr>
        <w:t xml:space="preserve"> </w:t>
      </w:r>
      <w:r w:rsidR="00AE6E33" w:rsidRPr="00C34C39">
        <w:t>all</w:t>
      </w:r>
      <w:r w:rsidR="00AE6E33" w:rsidRPr="00C34C39">
        <w:rPr>
          <w:spacing w:val="-2"/>
        </w:rPr>
        <w:t xml:space="preserve"> </w:t>
      </w:r>
      <w:r w:rsidR="00AE6E33" w:rsidRPr="00C34C39">
        <w:t>visits are</w:t>
      </w:r>
      <w:r w:rsidR="00AE6E33" w:rsidRPr="00C34C39">
        <w:rPr>
          <w:spacing w:val="-4"/>
        </w:rPr>
        <w:t xml:space="preserve"> as listed below:</w:t>
      </w:r>
    </w:p>
    <w:p w14:paraId="5AF00E70" w14:textId="0E9B39B0" w:rsidR="00AE6E33" w:rsidRPr="00B74405" w:rsidRDefault="00AE6E33" w:rsidP="00B74405">
      <w:r w:rsidRPr="00B74405">
        <w:t>In addition to the previously stated primary and secondary endpoints, the following endpoints were also evaluated at all visits to d</w:t>
      </w:r>
      <w:r w:rsidR="00B74405">
        <w:t>emonstrate superiority of each u</w:t>
      </w:r>
      <w:r w:rsidRPr="00B74405">
        <w:t xml:space="preserve">padacitinib dose </w:t>
      </w:r>
      <w:r w:rsidR="00B74405">
        <w:t>versus</w:t>
      </w:r>
      <w:r w:rsidRPr="00B74405">
        <w:t xml:space="preserve"> placebo:</w:t>
      </w:r>
    </w:p>
    <w:p w14:paraId="4666C976" w14:textId="77777777" w:rsidR="00AE6E33" w:rsidRPr="00B74405" w:rsidRDefault="00AE6E33" w:rsidP="00B74405">
      <w:pPr>
        <w:pStyle w:val="ListBullet"/>
      </w:pPr>
      <w:r w:rsidRPr="00B74405">
        <w:t>Change from Baseline in EASI;</w:t>
      </w:r>
    </w:p>
    <w:p w14:paraId="704B877C" w14:textId="77777777" w:rsidR="00AE6E33" w:rsidRPr="00B74405" w:rsidRDefault="00AE6E33" w:rsidP="00B74405">
      <w:pPr>
        <w:pStyle w:val="ListBullet"/>
      </w:pPr>
      <w:r w:rsidRPr="00B74405">
        <w:t>Change from Baseline in Worst Pruritus NRS;</w:t>
      </w:r>
    </w:p>
    <w:p w14:paraId="1C99952A" w14:textId="77777777" w:rsidR="00AE6E33" w:rsidRPr="00B74405" w:rsidRDefault="00AE6E33" w:rsidP="00B74405">
      <w:pPr>
        <w:pStyle w:val="ListBullet"/>
      </w:pPr>
      <w:r w:rsidRPr="00B74405">
        <w:t>Proportion of subjects achieving EASI 50 at Week 1;</w:t>
      </w:r>
    </w:p>
    <w:p w14:paraId="44D0472D" w14:textId="1E0B2B92" w:rsidR="00AE6E33" w:rsidRPr="00B74405" w:rsidRDefault="00AE6E33" w:rsidP="00B74405">
      <w:pPr>
        <w:pStyle w:val="ListBullet"/>
      </w:pPr>
      <w:r w:rsidRPr="00B74405">
        <w:t>Proportion of subjects achieving Worst Pruritus NRS of 0 or 1 for subjects with Worst</w:t>
      </w:r>
      <w:r w:rsidR="00B51532">
        <w:t xml:space="preserve"> </w:t>
      </w:r>
      <w:r w:rsidRPr="00B74405">
        <w:t>Pruritus NRS &gt; 1 at Baseline;</w:t>
      </w:r>
    </w:p>
    <w:p w14:paraId="1F89B08B" w14:textId="41FDED56" w:rsidR="00AE6E33" w:rsidRPr="00B74405" w:rsidRDefault="00AE6E33" w:rsidP="00B74405">
      <w:pPr>
        <w:pStyle w:val="ListBullet"/>
      </w:pPr>
      <w:r w:rsidRPr="00B74405">
        <w:t>Proportion of subjects achieving at least a 50%/75%/90% reduction in SCORAD (SCORAD 50/75/90) from Baseline;</w:t>
      </w:r>
    </w:p>
    <w:p w14:paraId="1102DA32" w14:textId="02828842" w:rsidR="00AE6E33" w:rsidRPr="00B74405" w:rsidRDefault="00AE6E33" w:rsidP="00B74405">
      <w:pPr>
        <w:pStyle w:val="ListBullet"/>
      </w:pPr>
      <w:r w:rsidRPr="00B74405">
        <w:t xml:space="preserve">Proportion of subjects experiencing flare, </w:t>
      </w:r>
      <w:r w:rsidR="00B74405" w:rsidRPr="00B74405">
        <w:t>characteris</w:t>
      </w:r>
      <w:r w:rsidRPr="00B74405">
        <w:t>ed as a clinically meaningful worsening in EASI, defined as an increase of EASI by ≥ 6.6 from Baseline for subjects with EASI ≤ 65.4 at Baseline, by visit</w:t>
      </w:r>
      <w:r w:rsidR="00B51532">
        <w:t xml:space="preserve"> </w:t>
      </w:r>
      <w:r w:rsidRPr="00B74405">
        <w:t>after Week 16;</w:t>
      </w:r>
    </w:p>
    <w:p w14:paraId="35796DE8" w14:textId="573FBA14" w:rsidR="00AE6E33" w:rsidRPr="00B74405" w:rsidRDefault="00AE6E33" w:rsidP="00B74405">
      <w:pPr>
        <w:pStyle w:val="ListBullet"/>
      </w:pPr>
      <w:r w:rsidRPr="00B74405">
        <w:t>Among responders at Week 16, proportion of subjects experiencing loss of response after Week 16 until Week 52, by visit and overall; loss of response is defined as a loss of at least 50% of the EASI response at Week 16 and a vIGA-AD score of 2 or higher; for this analysis only, responders will be defined as subjects achieving vIGA-AD of 0 or 1 with at least two grades of reduction from Baseline and EASI 75 at Week 16;</w:t>
      </w:r>
    </w:p>
    <w:p w14:paraId="0E7A2A89" w14:textId="77777777" w:rsidR="00AE6E33" w:rsidRPr="00B74405" w:rsidRDefault="00AE6E33" w:rsidP="00B74405">
      <w:pPr>
        <w:pStyle w:val="ListBullet"/>
      </w:pPr>
      <w:r w:rsidRPr="00B74405">
        <w:lastRenderedPageBreak/>
        <w:t>Change from Baseline in body surface area (BSA);</w:t>
      </w:r>
    </w:p>
    <w:p w14:paraId="7FBE87A8" w14:textId="77777777" w:rsidR="00AE6E33" w:rsidRPr="00B74405" w:rsidRDefault="00AE6E33" w:rsidP="00B74405">
      <w:pPr>
        <w:pStyle w:val="ListBullet"/>
      </w:pPr>
      <w:r w:rsidRPr="00B74405">
        <w:t>Change and percent change from Baseline in HADS-A;</w:t>
      </w:r>
    </w:p>
    <w:p w14:paraId="4B673995" w14:textId="77777777" w:rsidR="00AE6E33" w:rsidRPr="00B74405" w:rsidRDefault="00AE6E33" w:rsidP="00B74405">
      <w:pPr>
        <w:pStyle w:val="ListBullet"/>
      </w:pPr>
      <w:r w:rsidRPr="00B74405">
        <w:t>Change and percent change from Baseline in HADS-D;</w:t>
      </w:r>
    </w:p>
    <w:p w14:paraId="5218E537" w14:textId="77777777" w:rsidR="00AE6E33" w:rsidRPr="00B74405" w:rsidRDefault="00AE6E33" w:rsidP="00B74405">
      <w:pPr>
        <w:pStyle w:val="ListBullet"/>
      </w:pPr>
      <w:r w:rsidRPr="00B74405">
        <w:t>Change and percent change from Baseline in HADS total score;</w:t>
      </w:r>
    </w:p>
    <w:p w14:paraId="201E51E3" w14:textId="77777777" w:rsidR="00AE6E33" w:rsidRPr="00B74405" w:rsidRDefault="00AE6E33" w:rsidP="00B74405">
      <w:pPr>
        <w:pStyle w:val="ListBullet"/>
      </w:pPr>
      <w:r w:rsidRPr="00B74405">
        <w:t>Percent Change from Baseline in Hand eczema severity index (HECSI);</w:t>
      </w:r>
    </w:p>
    <w:p w14:paraId="46384250" w14:textId="77777777" w:rsidR="00AE6E33" w:rsidRPr="00B74405" w:rsidRDefault="00AE6E33" w:rsidP="00B74405">
      <w:pPr>
        <w:pStyle w:val="ListBullet"/>
      </w:pPr>
      <w:r w:rsidRPr="00B74405">
        <w:t>Proportion of subjects achieving an improvement (reduction) in ADerm-SS 11-item total symptom score (TSS- 11) ≥ 44 (MCID) from Baseline for subjects with ADerm-SS TSS-11 ≥ 44 at Baseline; ADerm-SS TSS-11 is defined as the algebraic sum of the responses of items 1 – 11 of the ADerm-SS;</w:t>
      </w:r>
    </w:p>
    <w:p w14:paraId="7754D086" w14:textId="77777777" w:rsidR="00AE6E33" w:rsidRPr="00B74405" w:rsidRDefault="00AE6E33" w:rsidP="00B74405">
      <w:pPr>
        <w:pStyle w:val="ListBullet"/>
      </w:pPr>
      <w:r w:rsidRPr="00B74405">
        <w:t>Change and percent change from Baseline in ADerm-SS TSS-7, ADerm-SS TSS-11, and skin pain score;</w:t>
      </w:r>
    </w:p>
    <w:p w14:paraId="0BD0A03D" w14:textId="77777777" w:rsidR="00AE6E33" w:rsidRPr="00B74405" w:rsidRDefault="00AE6E33" w:rsidP="00B74405">
      <w:pPr>
        <w:pStyle w:val="ListBullet"/>
      </w:pPr>
      <w:r w:rsidRPr="00B74405">
        <w:t>Proportion of subjects achieving ADerm-SS skin pain score of 0 for subjects with ADerm-SS skin pain score &gt; 0 at Baseline;</w:t>
      </w:r>
    </w:p>
    <w:p w14:paraId="5DA00BDD" w14:textId="77777777" w:rsidR="00AE6E33" w:rsidRPr="00B74405" w:rsidRDefault="00AE6E33" w:rsidP="00B74405">
      <w:pPr>
        <w:pStyle w:val="ListBullet"/>
      </w:pPr>
      <w:r w:rsidRPr="00B74405">
        <w:t>Change and percent change from Baseline in ADerm-IS sleep domain score, emotional state domain score, and daily activities domain score;</w:t>
      </w:r>
    </w:p>
    <w:p w14:paraId="5FF416F8" w14:textId="77777777" w:rsidR="00AE6E33" w:rsidRPr="00B74405" w:rsidRDefault="00AE6E33" w:rsidP="00B74405">
      <w:pPr>
        <w:pStyle w:val="ListBullet"/>
      </w:pPr>
      <w:r w:rsidRPr="00B74405">
        <w:t>Change and percent change from Baseline in POEM;</w:t>
      </w:r>
    </w:p>
    <w:p w14:paraId="32220156" w14:textId="77777777" w:rsidR="00AE6E33" w:rsidRPr="00B74405" w:rsidRDefault="00AE6E33" w:rsidP="00B74405">
      <w:pPr>
        <w:pStyle w:val="ListBullet"/>
      </w:pPr>
      <w:r w:rsidRPr="00B74405">
        <w:t>Proportion of subjects achieving POEM sleep item score of 0 for subjects with POEM sleep item score &gt; 0 at Baseline;</w:t>
      </w:r>
    </w:p>
    <w:p w14:paraId="5D9A0087" w14:textId="77777777" w:rsidR="00AE6E33" w:rsidRPr="00B74405" w:rsidRDefault="00AE6E33" w:rsidP="00B74405">
      <w:pPr>
        <w:pStyle w:val="ListBullet"/>
      </w:pPr>
      <w:r w:rsidRPr="00B74405">
        <w:t>Change and percent change from Baseline in DLQI among subjects age ≥ 16 years old at screening;</w:t>
      </w:r>
    </w:p>
    <w:p w14:paraId="78133566" w14:textId="78710C4A" w:rsidR="00AE6E33" w:rsidRPr="00B74405" w:rsidRDefault="00AE6E33" w:rsidP="00B74405">
      <w:pPr>
        <w:pStyle w:val="ListBullet"/>
      </w:pPr>
      <w:r w:rsidRPr="00B74405">
        <w:t xml:space="preserve">Proportion of subjects age &lt; 16 years old at screening achieving Children's Dermatology Life Quality Index (CDLQI) score of 0 or </w:t>
      </w:r>
      <w:r w:rsidR="00E166EF">
        <w:t>1 for subjects with CDLQI score &gt; </w:t>
      </w:r>
      <w:r w:rsidRPr="00B74405">
        <w:t>1 at Baseline;</w:t>
      </w:r>
    </w:p>
    <w:p w14:paraId="13F47BA6" w14:textId="77777777" w:rsidR="00AE6E33" w:rsidRPr="00B74405" w:rsidRDefault="00AE6E33" w:rsidP="00B74405">
      <w:pPr>
        <w:pStyle w:val="ListBullet"/>
      </w:pPr>
      <w:r w:rsidRPr="00B74405">
        <w:t>Change and percent change from Baseline in CDLQI among subjects age &lt; 16 years old at screening;</w:t>
      </w:r>
    </w:p>
    <w:p w14:paraId="253850DE" w14:textId="77777777" w:rsidR="00AE6E33" w:rsidRPr="00B74405" w:rsidRDefault="00AE6E33" w:rsidP="00B74405">
      <w:pPr>
        <w:pStyle w:val="ListBullet"/>
      </w:pPr>
      <w:r w:rsidRPr="00B74405">
        <w:t>Change and percent change from Baseline in Work Productivity and Activity Impairment Index: Atopic Dermatitis (WPAI:AD) domain scores (absenteeism, presenteeism, activity impairment, overall work productivity);</w:t>
      </w:r>
    </w:p>
    <w:p w14:paraId="7C832C03" w14:textId="77777777" w:rsidR="00AE6E33" w:rsidRPr="00B74405" w:rsidRDefault="00AE6E33" w:rsidP="00B74405">
      <w:pPr>
        <w:pStyle w:val="ListBullet"/>
      </w:pPr>
      <w:r w:rsidRPr="00B74405">
        <w:t>Change and percent change from Baseline in EuroQoL Dimensions 5 Levels (EQ-5D-5L);</w:t>
      </w:r>
    </w:p>
    <w:p w14:paraId="4F3C6759" w14:textId="7C1D15A5" w:rsidR="00AE6E33" w:rsidRPr="00B74405" w:rsidRDefault="00AE6E33" w:rsidP="00B74405">
      <w:pPr>
        <w:pStyle w:val="ListBullet"/>
      </w:pPr>
      <w:r w:rsidRPr="00B74405">
        <w:t>Change and percent change from Baseline in Short Form-36 Health Survey (SF-36) summary scores (physical component summary, mental component summary) and scale scores (vitality, physical functioning, bodily pain, general health perceptions, physical role functioning, social role functioning, mental health);</w:t>
      </w:r>
    </w:p>
    <w:p w14:paraId="5B55AFB3" w14:textId="77777777" w:rsidR="00AE6E33" w:rsidRPr="00B74405" w:rsidRDefault="00AE6E33" w:rsidP="00B74405">
      <w:pPr>
        <w:pStyle w:val="ListBullet"/>
      </w:pPr>
      <w:r w:rsidRPr="00B74405">
        <w:t>Change and percent change from Baseline in Patient Global Impression of Severity (PGIS);</w:t>
      </w:r>
    </w:p>
    <w:p w14:paraId="0142553A" w14:textId="141428BD" w:rsidR="00AE6E33" w:rsidRPr="00B74405" w:rsidRDefault="00AE6E33" w:rsidP="00B74405">
      <w:pPr>
        <w:pStyle w:val="ListBullet"/>
      </w:pPr>
      <w:r w:rsidRPr="00B74405">
        <w:t>Proportion of subj</w:t>
      </w:r>
      <w:r w:rsidR="00B74405">
        <w:t>ects who report symptoms to be ‘Minimal’ or ‘Absent’</w:t>
      </w:r>
      <w:r w:rsidRPr="00B74405">
        <w:t xml:space="preserve"> on the PGIS for subjects who did not report symptoms to be </w:t>
      </w:r>
      <w:r w:rsidR="00B74405">
        <w:t>‘</w:t>
      </w:r>
      <w:r w:rsidRPr="00B74405">
        <w:t>Mini</w:t>
      </w:r>
      <w:r w:rsidR="00B74405">
        <w:t>mal’</w:t>
      </w:r>
      <w:r w:rsidRPr="00B74405">
        <w:t xml:space="preserve"> or </w:t>
      </w:r>
      <w:r w:rsidR="00B74405">
        <w:t>‘Absent’</w:t>
      </w:r>
      <w:r w:rsidRPr="00B74405">
        <w:t xml:space="preserve"> at Baseline;</w:t>
      </w:r>
    </w:p>
    <w:p w14:paraId="68CC3476" w14:textId="3C0E07B7" w:rsidR="00AE6E33" w:rsidRPr="00B74405" w:rsidRDefault="00B74405" w:rsidP="00B74405">
      <w:pPr>
        <w:pStyle w:val="ListBullet"/>
      </w:pPr>
      <w:r>
        <w:t>Proportion of subjects who are ‘Very much improved’ or ‘Much improved’</w:t>
      </w:r>
      <w:r w:rsidR="00AE6E33" w:rsidRPr="00B74405">
        <w:t xml:space="preserve"> on the Patient Global Impression of Change (PGIC);</w:t>
      </w:r>
    </w:p>
    <w:p w14:paraId="7D057B04" w14:textId="1481DE70" w:rsidR="00AE6E33" w:rsidRPr="00B74405" w:rsidRDefault="00B74405" w:rsidP="00B74405">
      <w:pPr>
        <w:pStyle w:val="ListBullet"/>
      </w:pPr>
      <w:r>
        <w:t>Proportion of subjects who are ‘Extremely satisfied’ or ‘Very satisfied’</w:t>
      </w:r>
      <w:r w:rsidR="00AE6E33" w:rsidRPr="00B74405">
        <w:t xml:space="preserve"> on the Patient Global Impression of Treatment (PGIT) for subjects who are not </w:t>
      </w:r>
      <w:r>
        <w:t>‘</w:t>
      </w:r>
      <w:r w:rsidR="00AE6E33" w:rsidRPr="00B74405">
        <w:t xml:space="preserve">Extremely </w:t>
      </w:r>
      <w:r>
        <w:t>satisfied’</w:t>
      </w:r>
      <w:r w:rsidR="00AE6E33" w:rsidRPr="00B74405">
        <w:t xml:space="preserve"> or </w:t>
      </w:r>
      <w:r>
        <w:t>‘</w:t>
      </w:r>
      <w:r w:rsidR="00AE6E33" w:rsidRPr="00B74405">
        <w:t xml:space="preserve">Very </w:t>
      </w:r>
      <w:r>
        <w:t>satisfied’</w:t>
      </w:r>
      <w:r w:rsidR="00AE6E33" w:rsidRPr="00B74405">
        <w:t xml:space="preserve"> on the PGIT at Baseline.</w:t>
      </w:r>
    </w:p>
    <w:p w14:paraId="564D4030" w14:textId="77777777" w:rsidR="00AE6E33" w:rsidRPr="00B74405" w:rsidRDefault="00AE6E33" w:rsidP="00B74405">
      <w:pPr>
        <w:pStyle w:val="ListBullet"/>
      </w:pPr>
      <w:r w:rsidRPr="00B74405">
        <w:lastRenderedPageBreak/>
        <w:t>Proportion of subjects achieving EASI 50;</w:t>
      </w:r>
    </w:p>
    <w:p w14:paraId="776FA2E0" w14:textId="2AE2E719" w:rsidR="00AE6E33" w:rsidRPr="00E166EF" w:rsidRDefault="00AE6E33" w:rsidP="00B74405">
      <w:pPr>
        <w:pStyle w:val="ListBullet"/>
        <w:rPr>
          <w:color w:val="000000" w:themeColor="text1"/>
        </w:rPr>
      </w:pPr>
      <w:r w:rsidRPr="00B74405">
        <w:t>Proportion of subjects achieving a vIGA-AD of 0 with</w:t>
      </w:r>
      <w:r w:rsidR="00E166EF">
        <w:t xml:space="preserve"> a reduction from Baseline of ≥ 2 </w:t>
      </w:r>
      <w:r w:rsidRPr="00E166EF">
        <w:rPr>
          <w:color w:val="000000" w:themeColor="text1"/>
        </w:rPr>
        <w:t>points.</w:t>
      </w:r>
    </w:p>
    <w:p w14:paraId="03217281" w14:textId="0A2B0ED6" w:rsidR="00AE6E33" w:rsidRPr="00E166EF" w:rsidRDefault="00E166EF" w:rsidP="00E166EF">
      <w:pPr>
        <w:rPr>
          <w:color w:val="000000" w:themeColor="text1"/>
        </w:rPr>
      </w:pPr>
      <w:r>
        <w:rPr>
          <w:color w:val="000000" w:themeColor="text1"/>
        </w:rPr>
        <w:t>In the clinical evaluation it was noted that m</w:t>
      </w:r>
      <w:r w:rsidR="00AE6E33" w:rsidRPr="00E166EF">
        <w:rPr>
          <w:color w:val="000000" w:themeColor="text1"/>
        </w:rPr>
        <w:t>ost of the secondar</w:t>
      </w:r>
      <w:r>
        <w:rPr>
          <w:color w:val="000000" w:themeColor="text1"/>
        </w:rPr>
        <w:t>y endpoints were similar for EU (</w:t>
      </w:r>
      <w:r w:rsidR="00AE6E33" w:rsidRPr="00E166EF">
        <w:rPr>
          <w:color w:val="000000" w:themeColor="text1"/>
        </w:rPr>
        <w:t>EMA</w:t>
      </w:r>
      <w:r>
        <w:rPr>
          <w:color w:val="000000" w:themeColor="text1"/>
        </w:rPr>
        <w:t>)</w:t>
      </w:r>
      <w:r w:rsidR="00AE6E33" w:rsidRPr="00E166EF">
        <w:rPr>
          <w:color w:val="000000" w:themeColor="text1"/>
        </w:rPr>
        <w:t xml:space="preserve"> and </w:t>
      </w:r>
      <w:r>
        <w:rPr>
          <w:color w:val="000000" w:themeColor="text1"/>
        </w:rPr>
        <w:t>USA (</w:t>
      </w:r>
      <w:r w:rsidR="00AE6E33" w:rsidRPr="00E166EF">
        <w:rPr>
          <w:color w:val="000000" w:themeColor="text1"/>
        </w:rPr>
        <w:t>FDA</w:t>
      </w:r>
      <w:r>
        <w:rPr>
          <w:color w:val="000000" w:themeColor="text1"/>
        </w:rPr>
        <w:t>)</w:t>
      </w:r>
      <w:r w:rsidR="00AE6E33" w:rsidRPr="00E166EF">
        <w:rPr>
          <w:color w:val="000000" w:themeColor="text1"/>
        </w:rPr>
        <w:t xml:space="preserve"> regulatory purposes. However, it is noted that the </w:t>
      </w:r>
      <w:r>
        <w:rPr>
          <w:color w:val="000000" w:themeColor="text1"/>
        </w:rPr>
        <w:t xml:space="preserve">US </w:t>
      </w:r>
      <w:r w:rsidR="00AE6E33" w:rsidRPr="00E166EF">
        <w:rPr>
          <w:color w:val="000000" w:themeColor="text1"/>
        </w:rPr>
        <w:t xml:space="preserve">FDA secondary endpoints did not include </w:t>
      </w:r>
      <w:r w:rsidRPr="00E166EF">
        <w:rPr>
          <w:color w:val="000000" w:themeColor="text1"/>
        </w:rPr>
        <w:t>quality of life (</w:t>
      </w:r>
      <w:r>
        <w:rPr>
          <w:color w:val="000000" w:themeColor="text1"/>
        </w:rPr>
        <w:t>quality of life</w:t>
      </w:r>
      <w:r w:rsidR="00AE6E33" w:rsidRPr="00E166EF">
        <w:rPr>
          <w:color w:val="000000" w:themeColor="text1"/>
        </w:rPr>
        <w:t xml:space="preserve">) measures (such as DLQI and HADS) and frequency of </w:t>
      </w:r>
      <w:r w:rsidR="00795BF7">
        <w:rPr>
          <w:color w:val="000000" w:themeColor="text1"/>
        </w:rPr>
        <w:t>atopic dermatitis</w:t>
      </w:r>
      <w:r w:rsidR="00795BF7" w:rsidRPr="00E166EF">
        <w:rPr>
          <w:color w:val="000000" w:themeColor="text1"/>
        </w:rPr>
        <w:t xml:space="preserve"> </w:t>
      </w:r>
      <w:r w:rsidR="00AE6E33" w:rsidRPr="00E166EF">
        <w:rPr>
          <w:color w:val="000000" w:themeColor="text1"/>
        </w:rPr>
        <w:t>symptoms (POEM);</w:t>
      </w:r>
    </w:p>
    <w:p w14:paraId="6203E37D" w14:textId="7DE7F010" w:rsidR="00B134BA" w:rsidRPr="00E166EF" w:rsidRDefault="00AE6E33" w:rsidP="00B134BA">
      <w:pPr>
        <w:pStyle w:val="Heading5"/>
        <w:rPr>
          <w:color w:val="000000" w:themeColor="text1"/>
        </w:rPr>
      </w:pPr>
      <w:r w:rsidRPr="00E166EF">
        <w:rPr>
          <w:color w:val="000000" w:themeColor="text1"/>
        </w:rPr>
        <w:t>P</w:t>
      </w:r>
      <w:r w:rsidR="005308BE">
        <w:rPr>
          <w:color w:val="000000" w:themeColor="text1"/>
        </w:rPr>
        <w:t>articipant</w:t>
      </w:r>
      <w:r w:rsidR="00B74405" w:rsidRPr="00E166EF">
        <w:rPr>
          <w:color w:val="000000" w:themeColor="text1"/>
        </w:rPr>
        <w:t xml:space="preserve"> flow</w:t>
      </w:r>
    </w:p>
    <w:p w14:paraId="5F85F47F" w14:textId="3DB84A37" w:rsidR="00AE6E33" w:rsidRPr="00B134BA" w:rsidRDefault="00AE6E33" w:rsidP="00B134BA">
      <w:r w:rsidRPr="00B134BA">
        <w:t xml:space="preserve">Overall, 1093 subjects were screened and a total of 847 subjects were randomised to study treatments: 281, 285 and 281 were </w:t>
      </w:r>
      <w:r w:rsidR="00B74405" w:rsidRPr="00B134BA">
        <w:t>randomised to u</w:t>
      </w:r>
      <w:r w:rsidRPr="00B134BA">
        <w:t>padacitinib 15</w:t>
      </w:r>
      <w:r w:rsidR="00B74405" w:rsidRPr="00B134BA">
        <w:t xml:space="preserve"> mg, u</w:t>
      </w:r>
      <w:r w:rsidRPr="00B134BA">
        <w:t>padacitinib 30</w:t>
      </w:r>
      <w:r w:rsidR="00B74405" w:rsidRPr="00B134BA">
        <w:t xml:space="preserve"> </w:t>
      </w:r>
      <w:r w:rsidRPr="00B134BA">
        <w:t xml:space="preserve">mg and placebo, respectively. </w:t>
      </w:r>
    </w:p>
    <w:p w14:paraId="3101A42C" w14:textId="6D046AE5" w:rsidR="00AE6E33" w:rsidRPr="00B134BA" w:rsidRDefault="00AE6E33" w:rsidP="00B134BA">
      <w:r w:rsidRPr="00B134BA">
        <w:t xml:space="preserve">All the 847 subjects (100%) received study drug. 778 subjects (91.9%) completed study drug treatment through the </w:t>
      </w:r>
      <w:r w:rsidR="00B134BA" w:rsidRPr="00B134BA">
        <w:t>double blinded p</w:t>
      </w:r>
      <w:r w:rsidRPr="00B134BA">
        <w:t xml:space="preserve">eriod (Week 16), and 782 subjects (92.3%) completed study participation through Week 16. </w:t>
      </w:r>
    </w:p>
    <w:p w14:paraId="27040560" w14:textId="7EE39029" w:rsidR="00AE6E33" w:rsidRPr="00B134BA" w:rsidRDefault="00AE6E33" w:rsidP="00B134BA">
      <w:r w:rsidRPr="00B134BA">
        <w:t xml:space="preserve">Fifty-two (52) subjects discontinued the study drug treatment during the </w:t>
      </w:r>
      <w:r w:rsidR="00B134BA" w:rsidRPr="00B134BA">
        <w:t>double blinded p</w:t>
      </w:r>
      <w:r w:rsidRPr="00B134BA">
        <w:t xml:space="preserve">eriod. The most frequent primary reason for study discontinuation was withdrawal of consent by the subject; 184 of the 847 subjects (21.7%) received rescue medication in the </w:t>
      </w:r>
      <w:r w:rsidR="00B134BA" w:rsidRPr="00B134BA">
        <w:t>double blinded</w:t>
      </w:r>
      <w:r w:rsidRPr="00B134BA">
        <w:t xml:space="preserve"> period. No subject discontinued study drug due to COVID-19.</w:t>
      </w:r>
    </w:p>
    <w:p w14:paraId="604F0219" w14:textId="77777777" w:rsidR="00AE6E33" w:rsidRPr="00D90702" w:rsidRDefault="00AE6E33" w:rsidP="00AE6E33">
      <w:pPr>
        <w:pStyle w:val="BodyText"/>
        <w:spacing w:before="119"/>
        <w:ind w:right="749"/>
        <w:rPr>
          <w:sz w:val="22"/>
          <w:szCs w:val="22"/>
        </w:rPr>
      </w:pPr>
      <w:r w:rsidRPr="00D90702">
        <w:rPr>
          <w:sz w:val="22"/>
          <w:szCs w:val="22"/>
        </w:rPr>
        <w:t>Of the 847 subjects randomised</w:t>
      </w:r>
      <w:r w:rsidRPr="00B134BA">
        <w:t>, 124 subjects</w:t>
      </w:r>
      <w:r w:rsidRPr="00D90702">
        <w:rPr>
          <w:sz w:val="22"/>
          <w:szCs w:val="22"/>
        </w:rPr>
        <w:t xml:space="preserve"> (14.6%) were adolescents.</w:t>
      </w:r>
    </w:p>
    <w:p w14:paraId="52106B32" w14:textId="77777777" w:rsidR="00AE6E33" w:rsidRPr="00B134BA" w:rsidRDefault="00AE6E33" w:rsidP="00B134BA">
      <w:r w:rsidRPr="00B134BA">
        <w:t xml:space="preserve">Regarding the adolescent subjects: </w:t>
      </w:r>
    </w:p>
    <w:p w14:paraId="5AED4F81" w14:textId="77777777" w:rsidR="00AE6E33" w:rsidRPr="00B134BA" w:rsidRDefault="00AE6E33" w:rsidP="00B134BA">
      <w:pPr>
        <w:pStyle w:val="ListBullet"/>
      </w:pPr>
      <w:r w:rsidRPr="00B134BA">
        <w:t>all received study drug treatment (100%);</w:t>
      </w:r>
    </w:p>
    <w:p w14:paraId="5D0FE8BE" w14:textId="30E4D5AD" w:rsidR="00AE6E33" w:rsidRPr="00B134BA" w:rsidRDefault="00AE6E33" w:rsidP="00B134BA">
      <w:pPr>
        <w:pStyle w:val="ListBullet"/>
      </w:pPr>
      <w:r w:rsidRPr="00B134BA">
        <w:t>119 adolescent subjects (96.0%) completed study drug through the</w:t>
      </w:r>
      <w:r w:rsidR="00921F5C">
        <w:t xml:space="preserve"> double blind </w:t>
      </w:r>
      <w:r w:rsidR="00795BF7">
        <w:t>p</w:t>
      </w:r>
      <w:r w:rsidRPr="00B134BA">
        <w:t>eriod (Week 16) and completed study participation through Week 16;</w:t>
      </w:r>
    </w:p>
    <w:p w14:paraId="4660BBE8" w14:textId="7D175E97" w:rsidR="00AE6E33" w:rsidRPr="00B134BA" w:rsidRDefault="001F30DF" w:rsidP="00B134BA">
      <w:pPr>
        <w:pStyle w:val="ListBullet"/>
      </w:pPr>
      <w:r>
        <w:t>f</w:t>
      </w:r>
      <w:r w:rsidR="00AE6E33" w:rsidRPr="00B134BA">
        <w:t>our (4) adolescent subjects discontinued study drug and the study participation during the</w:t>
      </w:r>
      <w:r w:rsidR="00921F5C">
        <w:t xml:space="preserve"> double blind </w:t>
      </w:r>
      <w:r w:rsidR="00AE6E33" w:rsidRPr="00B134BA">
        <w:t xml:space="preserve">Period. The most frequent reason for study discontinuation was withdrawal of consent. </w:t>
      </w:r>
    </w:p>
    <w:p w14:paraId="081588EE" w14:textId="55E60E96" w:rsidR="00AE6E33" w:rsidRPr="00B134BA" w:rsidRDefault="00AE6E33" w:rsidP="00B134BA">
      <w:r w:rsidRPr="00B134BA">
        <w:t>Of the adolescent subjects dosed in the</w:t>
      </w:r>
      <w:r w:rsidR="00921F5C">
        <w:t xml:space="preserve"> double blind </w:t>
      </w:r>
      <w:r w:rsidR="00795BF7">
        <w:t>p</w:t>
      </w:r>
      <w:r w:rsidRPr="00B134BA">
        <w:t>eriod, 25 subjects (20.2%) received rescue medication.</w:t>
      </w:r>
    </w:p>
    <w:p w14:paraId="3D32B72D" w14:textId="75CA67EE" w:rsidR="00AE6E33" w:rsidRPr="00B134BA" w:rsidRDefault="00AE6E33" w:rsidP="00B134BA">
      <w:r w:rsidRPr="00B134BA">
        <w:t>Of the 782 subjects that entered the</w:t>
      </w:r>
      <w:r w:rsidR="00921F5C">
        <w:t xml:space="preserve"> blinded extension </w:t>
      </w:r>
      <w:r w:rsidR="00795BF7">
        <w:t>p</w:t>
      </w:r>
      <w:r w:rsidRPr="00B134BA">
        <w:t xml:space="preserve">eriod, 777 subjects (96.5%) were dosed. </w:t>
      </w:r>
    </w:p>
    <w:p w14:paraId="5DAA1356" w14:textId="77777777" w:rsidR="00AE6E33" w:rsidRPr="00B134BA" w:rsidRDefault="00AE6E33" w:rsidP="00B134BA">
      <w:r w:rsidRPr="00B134BA">
        <w:t>As of the cut-off date:</w:t>
      </w:r>
    </w:p>
    <w:p w14:paraId="60B4A9D9" w14:textId="77777777" w:rsidR="00AE6E33" w:rsidRPr="00B134BA" w:rsidRDefault="00AE6E33" w:rsidP="00B134BA">
      <w:pPr>
        <w:pStyle w:val="ListBullet"/>
      </w:pPr>
      <w:r w:rsidRPr="00B134BA">
        <w:t>17 subjects (2.1%) received rescue medication;</w:t>
      </w:r>
    </w:p>
    <w:p w14:paraId="20A5BBF2" w14:textId="7BCFE788" w:rsidR="00AE6E33" w:rsidRPr="00B134BA" w:rsidRDefault="00AE6E33" w:rsidP="00B134BA">
      <w:pPr>
        <w:pStyle w:val="ListBullet"/>
      </w:pPr>
      <w:r w:rsidRPr="00B134BA">
        <w:t>no subjects completed study drug treatment in the</w:t>
      </w:r>
      <w:r w:rsidR="00921F5C">
        <w:t xml:space="preserve"> blinded extension </w:t>
      </w:r>
      <w:r w:rsidR="001F30DF">
        <w:t>Period (Week </w:t>
      </w:r>
      <w:r w:rsidRPr="00B134BA">
        <w:t>136);</w:t>
      </w:r>
    </w:p>
    <w:p w14:paraId="1127F7A0" w14:textId="1D81E138" w:rsidR="00AE6E33" w:rsidRPr="00B134BA" w:rsidRDefault="00AE6E33" w:rsidP="00B134BA">
      <w:pPr>
        <w:pStyle w:val="ListBullet"/>
      </w:pPr>
      <w:r w:rsidRPr="00B134BA">
        <w:t>53 subjects (6.6%) discontinued study drug treatment in the</w:t>
      </w:r>
      <w:r w:rsidR="00921F5C">
        <w:t xml:space="preserve"> blinded extension </w:t>
      </w:r>
      <w:r w:rsidRPr="00B134BA">
        <w:t>Period.</w:t>
      </w:r>
      <w:r w:rsidR="00B51532">
        <w:t xml:space="preserve"> </w:t>
      </w:r>
      <w:r w:rsidR="001F30DF">
        <w:t>Adverse event</w:t>
      </w:r>
      <w:r w:rsidRPr="00B134BA">
        <w:t xml:space="preserve"> (2.1%) was the most frequent primary reason for study drug discontinuation in the</w:t>
      </w:r>
      <w:r w:rsidR="00921F5C">
        <w:t xml:space="preserve"> blinded extension </w:t>
      </w:r>
      <w:r w:rsidRPr="00B134BA">
        <w:t>Period.</w:t>
      </w:r>
    </w:p>
    <w:p w14:paraId="45537E41" w14:textId="1A0E1FA9" w:rsidR="00AE6E33" w:rsidRPr="00B134BA" w:rsidRDefault="00AE6E33" w:rsidP="00B134BA">
      <w:r w:rsidRPr="00B134BA">
        <w:t>Of the 782 subjects that entered the</w:t>
      </w:r>
      <w:r w:rsidR="00921F5C">
        <w:t xml:space="preserve"> blinded extension </w:t>
      </w:r>
      <w:r w:rsidRPr="00B134BA">
        <w:t>Period, 119 were adolescent subjects.</w:t>
      </w:r>
    </w:p>
    <w:p w14:paraId="2F1F683E" w14:textId="77777777" w:rsidR="00AE6E33" w:rsidRPr="00B134BA" w:rsidRDefault="00AE6E33" w:rsidP="00B134BA">
      <w:r w:rsidRPr="00B134BA">
        <w:t>Regarding the adolescent subjects:</w:t>
      </w:r>
    </w:p>
    <w:p w14:paraId="62EEEA30" w14:textId="77777777" w:rsidR="00AE6E33" w:rsidRPr="00B134BA" w:rsidRDefault="00AE6E33" w:rsidP="00B134BA">
      <w:pPr>
        <w:pStyle w:val="ListBullet"/>
      </w:pPr>
      <w:r w:rsidRPr="00B134BA">
        <w:t>all were dosed (100%);</w:t>
      </w:r>
    </w:p>
    <w:p w14:paraId="029B2136" w14:textId="77777777" w:rsidR="00AE6E33" w:rsidRPr="00B134BA" w:rsidRDefault="00AE6E33" w:rsidP="00B134BA">
      <w:pPr>
        <w:pStyle w:val="ListBullet"/>
      </w:pPr>
      <w:r w:rsidRPr="00B134BA">
        <w:t>2 adolescents (1.7%) received rescue medication;</w:t>
      </w:r>
    </w:p>
    <w:p w14:paraId="1455CC11" w14:textId="710214B0" w:rsidR="00AE6E33" w:rsidRPr="00B134BA" w:rsidRDefault="00AE6E33" w:rsidP="00B134BA">
      <w:pPr>
        <w:pStyle w:val="ListBullet"/>
      </w:pPr>
      <w:r w:rsidRPr="00B134BA">
        <w:t>no subjects completed study drug in the</w:t>
      </w:r>
      <w:r w:rsidR="00921F5C">
        <w:t xml:space="preserve"> blinded extension </w:t>
      </w:r>
      <w:r w:rsidR="00795BF7">
        <w:t>p</w:t>
      </w:r>
      <w:r w:rsidRPr="00B134BA">
        <w:t>eriod (Week 136);</w:t>
      </w:r>
    </w:p>
    <w:p w14:paraId="453B57E4" w14:textId="77E08E42" w:rsidR="00795BF7" w:rsidRDefault="00AE6E33" w:rsidP="00B134BA">
      <w:pPr>
        <w:pStyle w:val="ListBullet"/>
      </w:pPr>
      <w:r w:rsidRPr="00B134BA">
        <w:lastRenderedPageBreak/>
        <w:t>8 adolescent subjects (6.7%) discontinued study drug in the</w:t>
      </w:r>
      <w:r w:rsidR="00921F5C">
        <w:t xml:space="preserve"> blinded extension </w:t>
      </w:r>
      <w:r w:rsidR="00795BF7">
        <w:t>p</w:t>
      </w:r>
      <w:r w:rsidRPr="00B134BA">
        <w:t>eriod.</w:t>
      </w:r>
    </w:p>
    <w:p w14:paraId="386462ED" w14:textId="52B65EEE" w:rsidR="00AE6E33" w:rsidRPr="00B134BA" w:rsidRDefault="00AE6E33" w:rsidP="00B134BA">
      <w:pPr>
        <w:pStyle w:val="ListBullet"/>
      </w:pPr>
      <w:r w:rsidRPr="00B134BA">
        <w:t>The most frequent primary reason for study drug discontinuation for adolescent subjects in the</w:t>
      </w:r>
      <w:r w:rsidR="00921F5C">
        <w:t xml:space="preserve"> blinded extension </w:t>
      </w:r>
      <w:r w:rsidR="00795BF7">
        <w:t>p</w:t>
      </w:r>
      <w:r w:rsidRPr="00B134BA">
        <w:t xml:space="preserve">eriod was </w:t>
      </w:r>
      <w:r w:rsidR="00795BF7">
        <w:t>due to an adverse event</w:t>
      </w:r>
      <w:r w:rsidR="00795BF7" w:rsidRPr="00B134BA">
        <w:t xml:space="preserve"> </w:t>
      </w:r>
      <w:r w:rsidRPr="00B134BA">
        <w:t>(2.5%).</w:t>
      </w:r>
    </w:p>
    <w:p w14:paraId="2A9BE549" w14:textId="0D9943F5" w:rsidR="00AE6E33" w:rsidRPr="00892D6B" w:rsidRDefault="00B134BA" w:rsidP="00B134BA">
      <w:pPr>
        <w:pStyle w:val="Heading5"/>
      </w:pPr>
      <w:r>
        <w:t>Analysis of populations</w:t>
      </w:r>
    </w:p>
    <w:p w14:paraId="3A399195" w14:textId="55DFB31A" w:rsidR="00B134BA" w:rsidRDefault="001F30DF" w:rsidP="00B134BA">
      <w:pPr>
        <w:pStyle w:val="ListBullet"/>
      </w:pPr>
      <w:r>
        <w:t>The intent-to-treat (ITT) p</w:t>
      </w:r>
      <w:r w:rsidR="00AE6E33" w:rsidRPr="00B134BA">
        <w:t>opulation consisted of all subjects, which included some adolescent su</w:t>
      </w:r>
      <w:r>
        <w:t xml:space="preserve">bjects, who were randomised in </w:t>
      </w:r>
      <w:r w:rsidR="00AE6E33" w:rsidRPr="00B134BA">
        <w:t>the main study (ITT_M</w:t>
      </w:r>
      <w:r>
        <w:t xml:space="preserve"> population</w:t>
      </w:r>
      <w:r w:rsidR="00AE6E33" w:rsidRPr="00B134BA">
        <w:t>)</w:t>
      </w:r>
      <w:r w:rsidR="00B134BA">
        <w:t xml:space="preserve"> plus</w:t>
      </w:r>
      <w:r w:rsidR="00B51532">
        <w:t xml:space="preserve"> </w:t>
      </w:r>
      <w:r w:rsidR="00B134BA">
        <w:t xml:space="preserve">those </w:t>
      </w:r>
      <w:r w:rsidR="00AE6E33" w:rsidRPr="00B134BA">
        <w:t>adolescent subjects who were</w:t>
      </w:r>
      <w:r w:rsidR="00B51532">
        <w:t xml:space="preserve"> </w:t>
      </w:r>
      <w:r w:rsidR="00AE6E33" w:rsidRPr="00B134BA">
        <w:t>randomised</w:t>
      </w:r>
      <w:r w:rsidR="00B51532">
        <w:t xml:space="preserve"> </w:t>
      </w:r>
      <w:r w:rsidR="00AE6E33" w:rsidRPr="00B134BA">
        <w:t>in</w:t>
      </w:r>
      <w:r w:rsidR="00B51532">
        <w:t xml:space="preserve"> </w:t>
      </w:r>
      <w:r w:rsidR="00AE6E33" w:rsidRPr="00B134BA">
        <w:t>the adolescent sub-study (ITT_A</w:t>
      </w:r>
      <w:r>
        <w:t xml:space="preserve"> population</w:t>
      </w:r>
      <w:r w:rsidR="00AE6E33" w:rsidRPr="00B134BA">
        <w:t>)</w:t>
      </w:r>
      <w:r w:rsidR="00B134BA">
        <w:t>.</w:t>
      </w:r>
    </w:p>
    <w:p w14:paraId="4F05364B" w14:textId="330B8966" w:rsidR="00B134BA" w:rsidRDefault="00AE6E33" w:rsidP="00B134BA">
      <w:pPr>
        <w:pStyle w:val="ListBullet"/>
      </w:pPr>
      <w:r w:rsidRPr="00B134BA">
        <w:t>Subjects randomised to placebo in the</w:t>
      </w:r>
      <w:r w:rsidR="00921F5C">
        <w:t xml:space="preserve"> double blind </w:t>
      </w:r>
      <w:r w:rsidRPr="00B134BA">
        <w:t>Period and did not conti</w:t>
      </w:r>
      <w:r w:rsidR="00B134BA">
        <w:t>nue into the</w:t>
      </w:r>
      <w:r w:rsidR="00921F5C">
        <w:t xml:space="preserve"> blinded extension </w:t>
      </w:r>
      <w:r w:rsidR="00B134BA">
        <w:t>Period were not</w:t>
      </w:r>
      <w:r w:rsidRPr="00B134BA">
        <w:t xml:space="preserve"> included in the analysis of the</w:t>
      </w:r>
      <w:r w:rsidR="00921F5C">
        <w:t xml:space="preserve"> blinded extension </w:t>
      </w:r>
      <w:r w:rsidR="001F30DF">
        <w:t>p</w:t>
      </w:r>
      <w:r w:rsidR="00B134BA">
        <w:t>eriod.</w:t>
      </w:r>
    </w:p>
    <w:p w14:paraId="347068D9" w14:textId="093ABD0E" w:rsidR="00AE6E33" w:rsidRPr="00B134BA" w:rsidRDefault="00AE6E33" w:rsidP="00B134BA">
      <w:pPr>
        <w:pStyle w:val="ListBullet"/>
      </w:pPr>
      <w:r w:rsidRPr="00B134BA">
        <w:t>Additional sensitivit</w:t>
      </w:r>
      <w:r w:rsidR="001F30DF">
        <w:t>y analyses were performed on a per-protocol p</w:t>
      </w:r>
      <w:r w:rsidRPr="00B134BA">
        <w:t>opulation for the main study (PP_M), which did not include subjects with major protocol deviations that potentially affect the primar</w:t>
      </w:r>
      <w:r w:rsidR="001F30DF">
        <w:t>y efficacy endpoints. The PP_M p</w:t>
      </w:r>
      <w:r w:rsidRPr="00B134BA">
        <w:t>opulation included subjects who satisfy all the following criteria:</w:t>
      </w:r>
    </w:p>
    <w:p w14:paraId="34F55D2B" w14:textId="77777777" w:rsidR="00B134BA" w:rsidRDefault="00AE6E33" w:rsidP="00B134BA">
      <w:pPr>
        <w:pStyle w:val="ListBullet2"/>
      </w:pPr>
      <w:r w:rsidRPr="00B134BA">
        <w:t>Receive at least 80% of planned study drug, per randomisation, before Week 16;</w:t>
      </w:r>
    </w:p>
    <w:p w14:paraId="5ACDC0C7" w14:textId="77777777" w:rsidR="00B134BA" w:rsidRDefault="00AE6E33" w:rsidP="00B134BA">
      <w:pPr>
        <w:pStyle w:val="ListBullet2"/>
      </w:pPr>
      <w:r w:rsidRPr="00B134BA">
        <w:t>Have EASI and vIGA-AD assessment post-baseline on or before Week 16;</w:t>
      </w:r>
    </w:p>
    <w:p w14:paraId="67661753" w14:textId="68E59B1D" w:rsidR="00B134BA" w:rsidRDefault="00AE6E33" w:rsidP="00B134BA">
      <w:pPr>
        <w:pStyle w:val="ListBullet2"/>
      </w:pPr>
      <w:r w:rsidRPr="00B134BA">
        <w:t xml:space="preserve">Meet all the following disease activity criteria at </w:t>
      </w:r>
      <w:r w:rsidR="001F30DF">
        <w:t>Baseline: EASI score ≥ 16; vIGA</w:t>
      </w:r>
      <w:r w:rsidR="001F30DF">
        <w:noBreakHyphen/>
      </w:r>
      <w:r w:rsidRPr="00B134BA">
        <w:t xml:space="preserve">AD score ≥ 10% </w:t>
      </w:r>
      <w:r w:rsidR="00795BF7">
        <w:t>body surface area</w:t>
      </w:r>
      <w:r w:rsidR="00795BF7" w:rsidRPr="00B134BA">
        <w:t xml:space="preserve"> </w:t>
      </w:r>
      <w:r w:rsidRPr="00B134BA">
        <w:t xml:space="preserve">of </w:t>
      </w:r>
      <w:r w:rsidR="00795BF7">
        <w:t>atopic dermatitis</w:t>
      </w:r>
      <w:r w:rsidR="00795BF7" w:rsidRPr="00B134BA">
        <w:t xml:space="preserve"> </w:t>
      </w:r>
      <w:r w:rsidRPr="00B134BA">
        <w:t>involvement;</w:t>
      </w:r>
    </w:p>
    <w:p w14:paraId="0C96362A" w14:textId="4376FE97" w:rsidR="00AE6E33" w:rsidRPr="00B134BA" w:rsidRDefault="00AE6E33" w:rsidP="00B134BA">
      <w:pPr>
        <w:pStyle w:val="ListBullet2"/>
      </w:pPr>
      <w:r w:rsidRPr="00B134BA">
        <w:t xml:space="preserve">Must not have used </w:t>
      </w:r>
      <w:r w:rsidR="001F30DF">
        <w:t>atopic dermatitis</w:t>
      </w:r>
      <w:r w:rsidRPr="00B134BA">
        <w:t xml:space="preserve"> treatments previously stated under the inclusion criteria within the stated periods, prior to the Baseline.</w:t>
      </w:r>
    </w:p>
    <w:p w14:paraId="026E5C6B" w14:textId="79B3372D" w:rsidR="00AE6E33" w:rsidRPr="00B134BA" w:rsidRDefault="00AE6E33" w:rsidP="00B134BA">
      <w:pPr>
        <w:pStyle w:val="ListBullet"/>
      </w:pPr>
      <w:r w:rsidRPr="00B134BA">
        <w:t xml:space="preserve">For the safety populations, </w:t>
      </w:r>
      <w:r w:rsidR="00B134BA">
        <w:t>subjects are stratified as per ‘as treated’</w:t>
      </w:r>
      <w:r w:rsidRPr="00B134BA">
        <w:t xml:space="preserve"> treatment group, regardless of</w:t>
      </w:r>
      <w:r w:rsidR="00B134BA">
        <w:t xml:space="preserve"> the treatment randomised. The ‘as treated’</w:t>
      </w:r>
      <w:r w:rsidRPr="00B134BA">
        <w:t xml:space="preserve"> is determined by the treatment the subject received during the majority of the subject's drug exposure time, in the analysis period.</w:t>
      </w:r>
    </w:p>
    <w:p w14:paraId="5E6B80B2" w14:textId="0EFB1D0E" w:rsidR="00AE6E33" w:rsidRDefault="00AE6E33" w:rsidP="00B134BA">
      <w:pPr>
        <w:pStyle w:val="Heading5"/>
      </w:pPr>
      <w:r w:rsidRPr="00E34D3A">
        <w:t>Sample size</w:t>
      </w:r>
      <w:r w:rsidR="00B51532">
        <w:rPr>
          <w:rFonts w:ascii="Arial" w:eastAsia="Arial" w:hAnsi="Arial" w:cs="Arial"/>
        </w:rPr>
        <w:t xml:space="preserve"> </w:t>
      </w:r>
    </w:p>
    <w:p w14:paraId="568691B0" w14:textId="61D60B6C" w:rsidR="00AE6E33" w:rsidRPr="00B134BA" w:rsidRDefault="00AE6E33" w:rsidP="00B134BA">
      <w:r w:rsidRPr="00B134BA">
        <w:t>For the main study, N= approximately 810, comprising of adults and some adolescents were to be randomised in a ratio of 1:1:1 into:</w:t>
      </w:r>
    </w:p>
    <w:p w14:paraId="038FFEC2" w14:textId="050F060E" w:rsidR="00AE6E33" w:rsidRPr="00B134BA" w:rsidRDefault="00AE6E33" w:rsidP="00B134BA">
      <w:pPr>
        <w:pStyle w:val="ListBullet"/>
      </w:pPr>
      <w:r w:rsidRPr="00B134BA">
        <w:t>n</w:t>
      </w:r>
      <w:r w:rsidR="00B134BA">
        <w:t xml:space="preserve"> </w:t>
      </w:r>
      <w:r w:rsidRPr="00B134BA">
        <w:t>=</w:t>
      </w:r>
      <w:r w:rsidR="00B134BA">
        <w:t xml:space="preserve"> 270 to</w:t>
      </w:r>
      <w:r w:rsidRPr="00B134BA">
        <w:t xml:space="preserve"> </w:t>
      </w:r>
      <w:r w:rsidR="00B134BA">
        <w:t>u</w:t>
      </w:r>
      <w:r w:rsidRPr="00B134BA">
        <w:t>padacitinib 15</w:t>
      </w:r>
      <w:r w:rsidR="00B134BA">
        <w:t xml:space="preserve"> mg</w:t>
      </w:r>
      <w:r w:rsidRPr="00B134BA">
        <w:t>;</w:t>
      </w:r>
    </w:p>
    <w:p w14:paraId="462D0895" w14:textId="780361C8" w:rsidR="00AE6E33" w:rsidRPr="00B134BA" w:rsidRDefault="00AE6E33" w:rsidP="00B134BA">
      <w:pPr>
        <w:pStyle w:val="ListBullet"/>
      </w:pPr>
      <w:r w:rsidRPr="00B134BA">
        <w:t>n</w:t>
      </w:r>
      <w:r w:rsidR="00B134BA">
        <w:t xml:space="preserve"> </w:t>
      </w:r>
      <w:r w:rsidRPr="00B134BA">
        <w:t>=</w:t>
      </w:r>
      <w:r w:rsidR="00B134BA">
        <w:t xml:space="preserve"> 270 to</w:t>
      </w:r>
      <w:r w:rsidRPr="00B134BA">
        <w:t xml:space="preserve"> </w:t>
      </w:r>
      <w:r w:rsidR="00B134BA">
        <w:t>u</w:t>
      </w:r>
      <w:r w:rsidRPr="00B134BA">
        <w:t>padacitinib 30</w:t>
      </w:r>
      <w:r w:rsidR="00B134BA">
        <w:t xml:space="preserve"> mg</w:t>
      </w:r>
      <w:r w:rsidRPr="00B134BA">
        <w:t>;</w:t>
      </w:r>
    </w:p>
    <w:p w14:paraId="48AF0722" w14:textId="734FBD23" w:rsidR="00AE6E33" w:rsidRPr="00B134BA" w:rsidRDefault="00AE6E33" w:rsidP="00B134BA">
      <w:pPr>
        <w:pStyle w:val="ListBullet"/>
      </w:pPr>
      <w:r w:rsidRPr="00B134BA">
        <w:t>n</w:t>
      </w:r>
      <w:r w:rsidR="00B134BA">
        <w:t xml:space="preserve"> </w:t>
      </w:r>
      <w:r w:rsidRPr="00B134BA">
        <w:t>=</w:t>
      </w:r>
      <w:r w:rsidR="00B134BA">
        <w:t xml:space="preserve"> 270 to p</w:t>
      </w:r>
      <w:r w:rsidRPr="00B134BA">
        <w:t>lacebo.</w:t>
      </w:r>
    </w:p>
    <w:p w14:paraId="7DB1765E" w14:textId="77777777" w:rsidR="00AE6E33" w:rsidRPr="00B134BA" w:rsidRDefault="00AE6E33" w:rsidP="00B134BA">
      <w:r w:rsidRPr="00B134BA">
        <w:t xml:space="preserve">It is stated that the sample size was determined by the regulatory requirement to adequately characterise the safety profile. </w:t>
      </w:r>
    </w:p>
    <w:p w14:paraId="11541604" w14:textId="7D4A73CB" w:rsidR="00AE6E33" w:rsidRPr="001E0F71" w:rsidRDefault="00AE6E33" w:rsidP="001E0F71">
      <w:r w:rsidRPr="00123DE4">
        <w:t xml:space="preserve">From the participants’ flow chart, a total of 847 subjects were actually randomised </w:t>
      </w:r>
      <w:r w:rsidR="00770D0B">
        <w:t>as follows</w:t>
      </w:r>
      <w:r w:rsidRPr="00123DE4">
        <w:t>:</w:t>
      </w:r>
    </w:p>
    <w:p w14:paraId="61DD5F15" w14:textId="01592613" w:rsidR="00AE6E33" w:rsidRPr="001E0F71" w:rsidRDefault="00AE6E33" w:rsidP="001E0F71">
      <w:pPr>
        <w:pStyle w:val="ListBullet"/>
      </w:pPr>
      <w:r w:rsidRPr="001E0F71">
        <w:t>281</w:t>
      </w:r>
      <w:r w:rsidR="00770D0B">
        <w:t xml:space="preserve"> subjects randomised</w:t>
      </w:r>
      <w:r w:rsidRPr="001E0F71">
        <w:t xml:space="preserve"> </w:t>
      </w:r>
      <w:r w:rsidR="001E0F71">
        <w:t>to</w:t>
      </w:r>
      <w:r w:rsidR="00770D0B">
        <w:t xml:space="preserve"> receive</w:t>
      </w:r>
      <w:r w:rsidR="001E0F71">
        <w:t xml:space="preserve"> u</w:t>
      </w:r>
      <w:r w:rsidRPr="001E0F71">
        <w:t xml:space="preserve">padacitinib </w:t>
      </w:r>
      <w:r w:rsidR="005D7175">
        <w:t>15 mg</w:t>
      </w:r>
      <w:r w:rsidRPr="001E0F71">
        <w:t xml:space="preserve"> ;</w:t>
      </w:r>
    </w:p>
    <w:p w14:paraId="04959B59" w14:textId="762D7E05" w:rsidR="00AE6E33" w:rsidRPr="001E0F71" w:rsidRDefault="00AE6E33" w:rsidP="001E0F71">
      <w:pPr>
        <w:pStyle w:val="ListBullet"/>
      </w:pPr>
      <w:r w:rsidRPr="001E0F71">
        <w:t xml:space="preserve">285 </w:t>
      </w:r>
      <w:r w:rsidR="00770D0B">
        <w:t>subjects randomised to receive</w:t>
      </w:r>
      <w:r w:rsidRPr="001E0F71">
        <w:t xml:space="preserve"> </w:t>
      </w:r>
      <w:r w:rsidR="001E0F71">
        <w:t>u</w:t>
      </w:r>
      <w:r w:rsidRPr="001E0F71">
        <w:t xml:space="preserve">padacitinib </w:t>
      </w:r>
      <w:r w:rsidR="005D7175">
        <w:t>30 mg</w:t>
      </w:r>
      <w:r w:rsidRPr="001E0F71">
        <w:t xml:space="preserve"> ;</w:t>
      </w:r>
    </w:p>
    <w:p w14:paraId="0363E8CC" w14:textId="65ECC5A7" w:rsidR="00AE6E33" w:rsidRPr="001E0F71" w:rsidRDefault="00AE6E33" w:rsidP="001E0F71">
      <w:pPr>
        <w:pStyle w:val="ListBullet"/>
      </w:pPr>
      <w:r w:rsidRPr="001E0F71">
        <w:t>281</w:t>
      </w:r>
      <w:r w:rsidR="001E0F71">
        <w:t xml:space="preserve"> </w:t>
      </w:r>
      <w:r w:rsidR="00770D0B">
        <w:t>subjects randomised to receive</w:t>
      </w:r>
      <w:r w:rsidR="001E0F71">
        <w:t xml:space="preserve"> p</w:t>
      </w:r>
      <w:r w:rsidRPr="001E0F71">
        <w:t>lacebo.</w:t>
      </w:r>
    </w:p>
    <w:p w14:paraId="697C490B" w14:textId="0EBCDFBD" w:rsidR="00AE6E33" w:rsidRPr="008266BB" w:rsidRDefault="00AE6E33" w:rsidP="00AE6E33">
      <w:pPr>
        <w:pStyle w:val="BodyText"/>
        <w:spacing w:before="2"/>
        <w:ind w:right="855"/>
        <w:rPr>
          <w:sz w:val="22"/>
          <w:szCs w:val="22"/>
        </w:rPr>
      </w:pPr>
      <w:r w:rsidRPr="008266BB">
        <w:rPr>
          <w:sz w:val="22"/>
          <w:szCs w:val="22"/>
        </w:rPr>
        <w:t>Assumptions for the sample size:</w:t>
      </w:r>
    </w:p>
    <w:p w14:paraId="600B0CED" w14:textId="62CD8243" w:rsidR="00AE6E33" w:rsidRPr="001E0F71" w:rsidRDefault="00AE6E33" w:rsidP="001E0F71">
      <w:pPr>
        <w:pStyle w:val="ListBullet"/>
      </w:pPr>
      <w:r w:rsidRPr="001E0F71">
        <w:t xml:space="preserve">an EASI 75 response rate of 15%, </w:t>
      </w:r>
    </w:p>
    <w:p w14:paraId="306C0317" w14:textId="6CE19809" w:rsidR="00AE6E33" w:rsidRPr="001E0F71" w:rsidRDefault="00AE6E33" w:rsidP="001E0F71">
      <w:pPr>
        <w:pStyle w:val="ListBullet"/>
      </w:pPr>
      <w:r w:rsidRPr="001E0F71">
        <w:t>vIGA-AD clear or almost clear, with at least a 2-point reduction response rate</w:t>
      </w:r>
      <w:r w:rsidR="001E0F71">
        <w:t xml:space="preserve"> </w:t>
      </w:r>
      <w:r w:rsidRPr="001E0F71">
        <w:t>of 10% in the placebo</w:t>
      </w:r>
      <w:r w:rsidR="00B51532">
        <w:t xml:space="preserve"> </w:t>
      </w:r>
      <w:r w:rsidRPr="001E0F71">
        <w:t>group.</w:t>
      </w:r>
    </w:p>
    <w:p w14:paraId="3ABF59AE" w14:textId="77777777" w:rsidR="00AE6E33" w:rsidRPr="001E0F71" w:rsidRDefault="00AE6E33" w:rsidP="001E0F71">
      <w:r w:rsidRPr="001E0F71">
        <w:lastRenderedPageBreak/>
        <w:t>The above sample size provided more than 90% power to detect the treatment differences of 32% and 21%, respectively, for the above 2 endpoints simultaneously using two-sided test at a 0.05 significant level.</w:t>
      </w:r>
    </w:p>
    <w:p w14:paraId="09B4D105" w14:textId="0855D3E2" w:rsidR="00AE6E33" w:rsidRPr="00440390" w:rsidRDefault="00AE6E33" w:rsidP="001E0F71">
      <w:pPr>
        <w:rPr>
          <w:vertAlign w:val="superscript"/>
        </w:rPr>
      </w:pPr>
      <w:r w:rsidRPr="001E0F71">
        <w:t xml:space="preserve">The assumptions of placebo response rates for EASI 75 and IGA-AD 0/1 were based </w:t>
      </w:r>
      <w:r w:rsidR="001E0F71">
        <w:t xml:space="preserve">on the maximum placebo rate in the upadacitinib </w:t>
      </w:r>
      <w:r w:rsidR="00440390">
        <w:t>atopic dermatitis</w:t>
      </w:r>
      <w:r w:rsidR="001E0F71">
        <w:t xml:space="preserve"> Phase II</w:t>
      </w:r>
      <w:r w:rsidRPr="001E0F71">
        <w:t>b study</w:t>
      </w:r>
      <w:r w:rsidR="00770D0B">
        <w:t xml:space="preserve"> (Study M16</w:t>
      </w:r>
      <w:r w:rsidR="00770D0B">
        <w:noBreakHyphen/>
      </w:r>
      <w:r w:rsidR="00440390">
        <w:t xml:space="preserve">048; see </w:t>
      </w:r>
      <w:r w:rsidR="00440390" w:rsidRPr="00440390">
        <w:t>section: </w:t>
      </w:r>
      <w:r w:rsidR="00440390" w:rsidRPr="00440390">
        <w:fldChar w:fldCharType="begin"/>
      </w:r>
      <w:r w:rsidR="00440390" w:rsidRPr="00440390">
        <w:instrText xml:space="preserve"> REF _Ref125693608 \h </w:instrText>
      </w:r>
      <w:r w:rsidR="00440390">
        <w:instrText xml:space="preserve"> \* MERGEFORMAT </w:instrText>
      </w:r>
      <w:r w:rsidR="00440390" w:rsidRPr="00440390">
        <w:fldChar w:fldCharType="separate"/>
      </w:r>
      <w:r w:rsidR="00B51532">
        <w:t xml:space="preserve">Study </w:t>
      </w:r>
      <w:r w:rsidR="00B51532" w:rsidRPr="00535B09">
        <w:t>M16-</w:t>
      </w:r>
      <w:r w:rsidR="00B51532">
        <w:t>048 (supportive study)</w:t>
      </w:r>
      <w:r w:rsidR="00440390" w:rsidRPr="00440390">
        <w:fldChar w:fldCharType="end"/>
      </w:r>
      <w:r w:rsidR="001E0F71" w:rsidRPr="00440390">
        <w:t>;</w:t>
      </w:r>
      <w:r w:rsidRPr="00440390">
        <w:t xml:space="preserve"> and </w:t>
      </w:r>
      <w:r w:rsidR="001E0F71" w:rsidRPr="00440390">
        <w:t>the dupilumab Phase III</w:t>
      </w:r>
      <w:r w:rsidRPr="00440390">
        <w:t xml:space="preserve"> monotherapy studies (SOLO 1 and SOLO 2</w:t>
      </w:r>
      <w:r w:rsidR="00795BF7">
        <w:t xml:space="preserve"> clinical trials</w:t>
      </w:r>
      <w:r w:rsidRPr="00440390">
        <w:t>).</w:t>
      </w:r>
      <w:bookmarkStart w:id="94" w:name="_Ref126049022"/>
      <w:r w:rsidR="002B6B89" w:rsidRPr="00440390">
        <w:rPr>
          <w:rStyle w:val="FootnoteReference"/>
        </w:rPr>
        <w:footnoteReference w:id="58"/>
      </w:r>
      <w:bookmarkEnd w:id="94"/>
      <w:r w:rsidR="00440390" w:rsidRPr="00440390">
        <w:rPr>
          <w:vertAlign w:val="superscript"/>
        </w:rPr>
        <w:t>,</w:t>
      </w:r>
      <w:bookmarkStart w:id="95" w:name="_Ref126049025"/>
      <w:r w:rsidR="00440390" w:rsidRPr="00440390">
        <w:rPr>
          <w:rStyle w:val="FootnoteReference"/>
        </w:rPr>
        <w:footnoteReference w:id="59"/>
      </w:r>
      <w:bookmarkEnd w:id="95"/>
    </w:p>
    <w:p w14:paraId="7CF290A7" w14:textId="7AB5017E" w:rsidR="00AE6E33" w:rsidRPr="001E0F71" w:rsidRDefault="00AE6E33" w:rsidP="001E0F71">
      <w:r w:rsidRPr="00440390">
        <w:t>This sample size provided more than 90% power to detect the treatment differences of 38% and 20%, respectively, for the above 2 endpoints simultaneously using two-sided test at a 0.05 significant level.</w:t>
      </w:r>
      <w:r w:rsidRPr="001E0F71">
        <w:t xml:space="preserve"> </w:t>
      </w:r>
    </w:p>
    <w:p w14:paraId="3ACB0497" w14:textId="430E0B14" w:rsidR="00AE6E33" w:rsidRDefault="00AE6E33" w:rsidP="001E0F71">
      <w:r w:rsidRPr="001E0F71">
        <w:t>For the adolesc</w:t>
      </w:r>
      <w:r w:rsidR="001E0F71">
        <w:t>ent sub-</w:t>
      </w:r>
      <w:r w:rsidRPr="001E0F71">
        <w:t>study, the determination to recruit</w:t>
      </w:r>
      <w:r w:rsidR="00B51532">
        <w:t xml:space="preserve"> </w:t>
      </w:r>
      <w:r w:rsidRPr="001E0F71">
        <w:t>further adolesc</w:t>
      </w:r>
      <w:r w:rsidR="001E0F71">
        <w:t>ents so as to make up</w:t>
      </w:r>
      <w:r w:rsidR="00B51532">
        <w:t xml:space="preserve"> </w:t>
      </w:r>
      <w:r w:rsidR="001E0F71">
        <w:t xml:space="preserve">the sum </w:t>
      </w:r>
      <w:r w:rsidRPr="001E0F71">
        <w:t>total sample size</w:t>
      </w:r>
      <w:r w:rsidR="001E0F71">
        <w:t xml:space="preserve"> </w:t>
      </w:r>
      <w:r w:rsidRPr="001E0F71">
        <w:t xml:space="preserve">of 180 </w:t>
      </w:r>
      <w:r w:rsidR="001E0F71">
        <w:t xml:space="preserve">adolescent subjects </w:t>
      </w:r>
      <w:r w:rsidRPr="001E0F71">
        <w:t xml:space="preserve">in the overall study (main study + adolescent sub-study), was to ensure a total of 225 adolescent subjects with at </w:t>
      </w:r>
      <w:r w:rsidR="001E0F71">
        <w:t>least one year of exposure</w:t>
      </w:r>
      <w:r w:rsidRPr="001E0F71">
        <w:t xml:space="preserve"> per dose across 3 pivotal </w:t>
      </w:r>
      <w:r w:rsidR="001E0F71">
        <w:t>studies.</w:t>
      </w:r>
    </w:p>
    <w:p w14:paraId="3EACCBE7" w14:textId="3C745CCA" w:rsidR="00AE6E33" w:rsidRPr="00C7127A" w:rsidRDefault="00AE6E33" w:rsidP="00C7127A">
      <w:pPr>
        <w:pStyle w:val="Heading5"/>
      </w:pPr>
      <w:r>
        <w:t>Statistical methods</w:t>
      </w:r>
    </w:p>
    <w:p w14:paraId="4F28DA37" w14:textId="6C0051AF" w:rsidR="00AE6E33" w:rsidRPr="00C7127A" w:rsidRDefault="00AE6E33" w:rsidP="00C7127A">
      <w:r w:rsidRPr="00C7127A">
        <w:t xml:space="preserve">For </w:t>
      </w:r>
      <w:r w:rsidR="00C7127A">
        <w:t xml:space="preserve">the </w:t>
      </w:r>
      <w:r w:rsidR="00453641">
        <w:t>main ITT population (</w:t>
      </w:r>
      <w:r w:rsidRPr="00C7127A">
        <w:t>ITT_M</w:t>
      </w:r>
      <w:r w:rsidR="00453641">
        <w:t>)</w:t>
      </w:r>
      <w:r w:rsidRPr="00C7127A">
        <w:t>, which includes some adolesc</w:t>
      </w:r>
      <w:r w:rsidR="00C7127A">
        <w:t>ents, comparisons between each u</w:t>
      </w:r>
      <w:r w:rsidRPr="00C7127A">
        <w:t xml:space="preserve">padacitinib group and the placebo group was conducted using the </w:t>
      </w:r>
      <w:r w:rsidR="00C7127A">
        <w:t xml:space="preserve">Cochran-Mantel-Haenszel </w:t>
      </w:r>
      <w:r w:rsidRPr="00C7127A">
        <w:t xml:space="preserve">test, adjusting for vIGA-AD categories and age </w:t>
      </w:r>
      <w:r w:rsidR="00C7127A">
        <w:t>(adolescent versus</w:t>
      </w:r>
      <w:r w:rsidRPr="00C7127A">
        <w:t xml:space="preserve"> adult in the main study).</w:t>
      </w:r>
    </w:p>
    <w:p w14:paraId="6D484027" w14:textId="0700DC6F" w:rsidR="00AE6E33" w:rsidRPr="00C7127A" w:rsidRDefault="00AE6E33" w:rsidP="00C7127A">
      <w:r w:rsidRPr="00C7127A">
        <w:t xml:space="preserve">The primary approach for handling missing data in the analysis of categorical endpoints (including the co-primary endpoints) used </w:t>
      </w:r>
      <w:r w:rsidR="00C7127A" w:rsidRPr="00C7127A">
        <w:t xml:space="preserve">non-responder imputation while incorporating multiple imputation </w:t>
      </w:r>
      <w:r w:rsidRPr="00C7127A">
        <w:t>to handle missing data due to COVID-19 (</w:t>
      </w:r>
      <w:r w:rsidRPr="00453641">
        <w:t>NRI-C</w:t>
      </w:r>
      <w:r w:rsidRPr="00C7127A">
        <w:t xml:space="preserve">). </w:t>
      </w:r>
    </w:p>
    <w:p w14:paraId="0E2E6C00" w14:textId="77777777" w:rsidR="00C7127A" w:rsidRDefault="00C7127A" w:rsidP="00C7127A">
      <w:r>
        <w:t>The clinical evaluation noted that the NRI-C categoris</w:t>
      </w:r>
      <w:r w:rsidR="00AE6E33" w:rsidRPr="00061515">
        <w:t>ed any subject who did not have an evaluation during a pre-specified visit window (either due to missing</w:t>
      </w:r>
      <w:r w:rsidR="00AE6E33" w:rsidRPr="00061515">
        <w:rPr>
          <w:spacing w:val="1"/>
        </w:rPr>
        <w:t xml:space="preserve"> </w:t>
      </w:r>
      <w:r w:rsidR="00AE6E33" w:rsidRPr="00061515">
        <w:t>assessment or due to early withdrawal from the study) as a non-responder for the v</w:t>
      </w:r>
      <w:r>
        <w:t>isit. The only exceptions were:</w:t>
      </w:r>
    </w:p>
    <w:p w14:paraId="39E38F85" w14:textId="0C2DFE06" w:rsidR="00C7127A" w:rsidRDefault="00C7127A" w:rsidP="00C7127A">
      <w:pPr>
        <w:pStyle w:val="Numberbullet0"/>
      </w:pPr>
      <w:r>
        <w:t>W</w:t>
      </w:r>
      <w:r w:rsidR="00AE6E33" w:rsidRPr="00061515">
        <w:t>hen the subject is</w:t>
      </w:r>
      <w:r w:rsidR="00AE6E33" w:rsidRPr="00061515">
        <w:rPr>
          <w:spacing w:val="1"/>
        </w:rPr>
        <w:t xml:space="preserve"> </w:t>
      </w:r>
      <w:r w:rsidR="00AE6E33" w:rsidRPr="00061515">
        <w:t>a responder both before and after the visit windo</w:t>
      </w:r>
      <w:r>
        <w:t>w, the subject will be categoris</w:t>
      </w:r>
      <w:r w:rsidR="00AE6E33" w:rsidRPr="00061515">
        <w:t>ed a</w:t>
      </w:r>
      <w:r>
        <w:t>s a responder for the visit.</w:t>
      </w:r>
    </w:p>
    <w:p w14:paraId="78E7326A" w14:textId="2CE77CBF" w:rsidR="00AE6E33" w:rsidRPr="00061515" w:rsidRDefault="00C7127A" w:rsidP="00C7127A">
      <w:pPr>
        <w:pStyle w:val="Numberbullet0"/>
      </w:pPr>
      <w:r>
        <w:t>M</w:t>
      </w:r>
      <w:r w:rsidR="00AE6E33" w:rsidRPr="00061515">
        <w:t>issing data due to</w:t>
      </w:r>
      <w:r w:rsidR="00AE6E33" w:rsidRPr="00061515">
        <w:rPr>
          <w:spacing w:val="1"/>
        </w:rPr>
        <w:t xml:space="preserve"> </w:t>
      </w:r>
      <w:r w:rsidR="00AE6E33" w:rsidRPr="00061515">
        <w:t>COVID-19 infection or logistical restriction will be handled by Multiple Imputation. In addition, all assessments after the start of rescue</w:t>
      </w:r>
      <w:r w:rsidR="00AE6E33" w:rsidRPr="00061515">
        <w:rPr>
          <w:spacing w:val="1"/>
        </w:rPr>
        <w:t xml:space="preserve"> </w:t>
      </w:r>
      <w:r w:rsidR="00AE6E33" w:rsidRPr="00061515">
        <w:t>medications were not included in the analyses; as a result, subjects were to be counted as non-responders thereafter and not be imputed</w:t>
      </w:r>
      <w:r w:rsidR="00AE6E33" w:rsidRPr="00061515">
        <w:rPr>
          <w:spacing w:val="-33"/>
        </w:rPr>
        <w:t xml:space="preserve"> </w:t>
      </w:r>
      <w:r w:rsidR="00AE6E33" w:rsidRPr="00061515">
        <w:t xml:space="preserve">by </w:t>
      </w:r>
      <w:r w:rsidRPr="00C7127A">
        <w:t>multiple imputation</w:t>
      </w:r>
      <w:r w:rsidR="00AE6E33" w:rsidRPr="00061515">
        <w:t>.</w:t>
      </w:r>
    </w:p>
    <w:p w14:paraId="5885F46F" w14:textId="11779C58" w:rsidR="00AE6E33" w:rsidRPr="00C7127A" w:rsidRDefault="00453641" w:rsidP="00C7127A">
      <w:r>
        <w:t>The NRI-</w:t>
      </w:r>
      <w:r w:rsidR="00AE6E33" w:rsidRPr="00C7127A">
        <w:t xml:space="preserve">C, </w:t>
      </w:r>
      <w:r w:rsidR="00C7127A" w:rsidRPr="00C7127A">
        <w:t xml:space="preserve">multiple imputation </w:t>
      </w:r>
      <w:r w:rsidR="00AE6E33" w:rsidRPr="00C7127A">
        <w:t xml:space="preserve">and tipping point approaches were used as sensitivity analyses. </w:t>
      </w:r>
    </w:p>
    <w:p w14:paraId="25FF1DC4" w14:textId="77777777" w:rsidR="00AE6E33" w:rsidRPr="00C7127A" w:rsidRDefault="00AE6E33" w:rsidP="00C7127A">
      <w:r w:rsidRPr="00C7127A">
        <w:t>Per-protocol analysis was also</w:t>
      </w:r>
      <w:bookmarkStart w:id="96" w:name="_bookmark66"/>
      <w:bookmarkEnd w:id="96"/>
      <w:r w:rsidRPr="00C7127A">
        <w:t xml:space="preserve"> based on the NRI-C approach. </w:t>
      </w:r>
    </w:p>
    <w:p w14:paraId="4725C111" w14:textId="4B7C8D23" w:rsidR="00AE6E33" w:rsidRDefault="00AE6E33" w:rsidP="00C7127A">
      <w:r w:rsidRPr="00C7127A">
        <w:t xml:space="preserve">For continuous endpoints, missing data was handled using </w:t>
      </w:r>
      <w:r w:rsidR="00795BF7">
        <w:t xml:space="preserve">a </w:t>
      </w:r>
      <w:r w:rsidR="00795BF7" w:rsidRPr="00795BF7">
        <w:t>mixed models for repeated measures</w:t>
      </w:r>
      <w:r w:rsidR="00795BF7" w:rsidRPr="00C7127A">
        <w:t xml:space="preserve"> </w:t>
      </w:r>
      <w:r w:rsidRPr="00C7127A">
        <w:t>(MMRM)</w:t>
      </w:r>
      <w:r w:rsidR="00795BF7">
        <w:t xml:space="preserve"> approach</w:t>
      </w:r>
      <w:r w:rsidRPr="00C7127A">
        <w:t>.</w:t>
      </w:r>
    </w:p>
    <w:p w14:paraId="765DA5EE" w14:textId="043F5D3F" w:rsidR="00AE6E33" w:rsidRPr="009D277A" w:rsidRDefault="002A0434" w:rsidP="002A0434">
      <w:r>
        <w:t>The clinical evaluation also noted that t</w:t>
      </w:r>
      <w:r w:rsidR="00AE6E33" w:rsidRPr="009D277A">
        <w:t xml:space="preserve">he MMRM </w:t>
      </w:r>
      <w:r w:rsidR="00795BF7">
        <w:t xml:space="preserve">approach </w:t>
      </w:r>
      <w:r w:rsidR="00AE6E33" w:rsidRPr="009D277A">
        <w:t>was conducted using mixed model including observed measurements at all visits, except that measurements after any</w:t>
      </w:r>
      <w:r w:rsidR="00AE6E33" w:rsidRPr="009D277A">
        <w:rPr>
          <w:spacing w:val="-33"/>
        </w:rPr>
        <w:t xml:space="preserve"> </w:t>
      </w:r>
      <w:r w:rsidR="00AE6E33" w:rsidRPr="009D277A">
        <w:t>rescue medication were excluded. The mixed model includes the categorical fixed effects of treatment, visit and treatment-by-visit</w:t>
      </w:r>
      <w:r w:rsidR="00AE6E33" w:rsidRPr="009D277A">
        <w:rPr>
          <w:spacing w:val="1"/>
        </w:rPr>
        <w:t xml:space="preserve"> </w:t>
      </w:r>
      <w:r w:rsidR="00AE6E33" w:rsidRPr="009D277A">
        <w:t>interaction, main stratification factors at randomi</w:t>
      </w:r>
      <w:r w:rsidR="00795BF7">
        <w:t>s</w:t>
      </w:r>
      <w:r w:rsidR="00AE6E33" w:rsidRPr="009D277A">
        <w:t>ation (vIGA-AD</w:t>
      </w:r>
      <w:r>
        <w:t xml:space="preserve"> categories and age (adolescent versus adult)</w:t>
      </w:r>
      <w:r w:rsidR="00AE6E33" w:rsidRPr="009D277A">
        <w:t xml:space="preserve"> if applicable), and </w:t>
      </w:r>
      <w:r w:rsidR="00AE6E33" w:rsidRPr="009D277A">
        <w:lastRenderedPageBreak/>
        <w:t>the</w:t>
      </w:r>
      <w:r w:rsidR="00AE6E33" w:rsidRPr="009D277A">
        <w:rPr>
          <w:spacing w:val="1"/>
        </w:rPr>
        <w:t xml:space="preserve"> </w:t>
      </w:r>
      <w:r w:rsidR="00AE6E33" w:rsidRPr="009D277A">
        <w:t>continuous fixed covariates of Baseline measurement. The parameter estimations are based on the method of restrictive maximum</w:t>
      </w:r>
      <w:r w:rsidR="00AE6E33" w:rsidRPr="009D277A">
        <w:rPr>
          <w:spacing w:val="1"/>
        </w:rPr>
        <w:t xml:space="preserve"> </w:t>
      </w:r>
      <w:r w:rsidR="00AE6E33" w:rsidRPr="009D277A">
        <w:t>likelihood.</w:t>
      </w:r>
      <w:r w:rsidR="00AE6E33" w:rsidRPr="009D277A">
        <w:rPr>
          <w:spacing w:val="-1"/>
        </w:rPr>
        <w:t xml:space="preserve"> </w:t>
      </w:r>
      <w:r w:rsidR="00AE6E33" w:rsidRPr="009D277A">
        <w:t>The fixed</w:t>
      </w:r>
      <w:r w:rsidR="00AE6E33" w:rsidRPr="009D277A">
        <w:rPr>
          <w:spacing w:val="-2"/>
        </w:rPr>
        <w:t xml:space="preserve"> </w:t>
      </w:r>
      <w:r w:rsidR="00AE6E33" w:rsidRPr="009D277A">
        <w:t>effects</w:t>
      </w:r>
      <w:r w:rsidR="00AE6E33" w:rsidRPr="009D277A">
        <w:rPr>
          <w:spacing w:val="-1"/>
        </w:rPr>
        <w:t xml:space="preserve"> </w:t>
      </w:r>
      <w:r w:rsidR="00AE6E33" w:rsidRPr="009D277A">
        <w:t>will be</w:t>
      </w:r>
      <w:r w:rsidR="00AE6E33" w:rsidRPr="009D277A">
        <w:rPr>
          <w:spacing w:val="-1"/>
        </w:rPr>
        <w:t xml:space="preserve"> </w:t>
      </w:r>
      <w:r w:rsidR="00AE6E33" w:rsidRPr="009D277A">
        <w:t>used to</w:t>
      </w:r>
      <w:r w:rsidR="00AE6E33" w:rsidRPr="009D277A">
        <w:rPr>
          <w:spacing w:val="-3"/>
        </w:rPr>
        <w:t xml:space="preserve"> </w:t>
      </w:r>
      <w:r w:rsidR="00AE6E33" w:rsidRPr="009D277A">
        <w:t>report</w:t>
      </w:r>
      <w:r w:rsidR="00AE6E33" w:rsidRPr="009D277A">
        <w:rPr>
          <w:spacing w:val="-2"/>
        </w:rPr>
        <w:t xml:space="preserve"> </w:t>
      </w:r>
      <w:r w:rsidR="00AE6E33" w:rsidRPr="009D277A">
        <w:t>model-based</w:t>
      </w:r>
      <w:r w:rsidR="00AE6E33" w:rsidRPr="009D277A">
        <w:rPr>
          <w:spacing w:val="-3"/>
        </w:rPr>
        <w:t xml:space="preserve"> </w:t>
      </w:r>
      <w:r w:rsidR="00AE6E33" w:rsidRPr="009D277A">
        <w:t>means</w:t>
      </w:r>
      <w:r w:rsidR="00AE6E33" w:rsidRPr="009D277A">
        <w:rPr>
          <w:spacing w:val="-1"/>
        </w:rPr>
        <w:t xml:space="preserve"> </w:t>
      </w:r>
      <w:r w:rsidR="00AE6E33" w:rsidRPr="009D277A">
        <w:t>at corresponding</w:t>
      </w:r>
      <w:r w:rsidR="00AE6E33" w:rsidRPr="009D277A">
        <w:rPr>
          <w:spacing w:val="-3"/>
        </w:rPr>
        <w:t xml:space="preserve"> </w:t>
      </w:r>
      <w:r w:rsidR="00AE6E33" w:rsidRPr="009D277A">
        <w:t>visits.</w:t>
      </w:r>
    </w:p>
    <w:p w14:paraId="01B38B2F" w14:textId="5EB46B9B" w:rsidR="00AE6E33" w:rsidRPr="002A0434" w:rsidRDefault="00795BF7" w:rsidP="002A0434">
      <w:r>
        <w:t>N</w:t>
      </w:r>
      <w:r w:rsidRPr="00C7127A">
        <w:t>on-responder imputation while incorporating multiple imputation to handle missing data due to COVID-19</w:t>
      </w:r>
      <w:r>
        <w:t xml:space="preserve"> (</w:t>
      </w:r>
      <w:r w:rsidR="00AE6E33" w:rsidRPr="002A0434">
        <w:t>NRI-C</w:t>
      </w:r>
      <w:r>
        <w:t>)</w:t>
      </w:r>
      <w:r w:rsidR="00AE6E33" w:rsidRPr="002A0434">
        <w:t xml:space="preserve"> was the primary approach to handle missing values.</w:t>
      </w:r>
    </w:p>
    <w:p w14:paraId="771C2746" w14:textId="72648541" w:rsidR="00AE6E33" w:rsidRPr="00D279F4" w:rsidRDefault="00AE6E33" w:rsidP="002A0434">
      <w:r w:rsidRPr="002A0434">
        <w:t xml:space="preserve">For each ITT population, secondary efficacy endpoints in </w:t>
      </w:r>
      <w:r w:rsidR="002A0434">
        <w:t>double blind p</w:t>
      </w:r>
      <w:r w:rsidRPr="002A0434">
        <w:t>eriod were analysed by comparing each</w:t>
      </w:r>
      <w:r w:rsidR="005D7175">
        <w:t xml:space="preserve"> upadacitinib</w:t>
      </w:r>
      <w:r w:rsidRPr="002A0434">
        <w:t xml:space="preserve"> treatment group and placebo. The categorical endpoints and continuous endpoints will be analysed by </w:t>
      </w:r>
      <w:r w:rsidR="002A0434" w:rsidRPr="002A0434">
        <w:t xml:space="preserve">Cochran-Mantel-Haenszel test </w:t>
      </w:r>
      <w:r w:rsidRPr="002A0434">
        <w:t xml:space="preserve">and MMRM, respectively. Pruritus NRS were analysed based on weekly rolling averages of daily scores with the following exceptions, which were analysed, based on daily </w:t>
      </w:r>
      <w:r w:rsidR="002A0434">
        <w:t>scores:</w:t>
      </w:r>
    </w:p>
    <w:p w14:paraId="565D7DCE" w14:textId="36D472C9" w:rsidR="00AE6E33" w:rsidRPr="002A0434" w:rsidRDefault="00AE6E33" w:rsidP="002A0434">
      <w:pPr>
        <w:pStyle w:val="ListBullet"/>
      </w:pPr>
      <w:r w:rsidRPr="002A0434">
        <w:t xml:space="preserve">Proportion of subjects achieving an improvement (reduction) in Worst Pruritus NRS </w:t>
      </w:r>
      <w:r w:rsidR="009622DC">
        <w:t>≥ </w:t>
      </w:r>
      <w:r w:rsidRPr="002A0434">
        <w:t>4 from Baseline at Day 2 for subjects randomised to</w:t>
      </w:r>
      <w:r w:rsidR="005D7175">
        <w:t xml:space="preserve"> upadacitinib</w:t>
      </w:r>
      <w:r w:rsidRPr="002A0434">
        <w:t xml:space="preserve"> 30 mg with Worst Pruritus NRS ≥ 4 at Baseline;</w:t>
      </w:r>
    </w:p>
    <w:p w14:paraId="5BB03DC6" w14:textId="36559087" w:rsidR="00AE6E33" w:rsidRPr="002A0434" w:rsidRDefault="00AE6E33" w:rsidP="002A0434">
      <w:pPr>
        <w:pStyle w:val="ListBullet"/>
      </w:pPr>
      <w:r w:rsidRPr="002A0434">
        <w:t>Proportion of subjects achieving an improvement (red</w:t>
      </w:r>
      <w:r w:rsidR="009622DC">
        <w:t>uction) in Worst Pruritus NRS ≥ </w:t>
      </w:r>
      <w:r w:rsidRPr="002A0434">
        <w:t>4 from Baseline at Day 3 for subjects randomised to</w:t>
      </w:r>
      <w:r w:rsidR="005D7175">
        <w:t xml:space="preserve"> upadacitinib</w:t>
      </w:r>
      <w:r w:rsidRPr="002A0434">
        <w:t xml:space="preserve"> 15 mg with Worst Pruritus NRS ≥ 4 at Baseline.</w:t>
      </w:r>
    </w:p>
    <w:p w14:paraId="6D4D8804" w14:textId="0CFB0067" w:rsidR="00AE6E33" w:rsidRPr="002A0434" w:rsidRDefault="002A0434" w:rsidP="002A0434">
      <w:r>
        <w:t>The clinical evaluation noted t</w:t>
      </w:r>
      <w:r w:rsidR="00AE6E33" w:rsidRPr="00D279F4">
        <w:t>hese two variables will be analysed by</w:t>
      </w:r>
      <w:r w:rsidR="00453641">
        <w:t xml:space="preserve"> day from Day 2 to Day 28. The b</w:t>
      </w:r>
      <w:r w:rsidR="00AE6E33" w:rsidRPr="00D279F4">
        <w:t>aseline of the above two endpoints is defined as last non-</w:t>
      </w:r>
      <w:r w:rsidR="00AE6E33" w:rsidRPr="00D279F4">
        <w:rPr>
          <w:spacing w:val="-33"/>
        </w:rPr>
        <w:t xml:space="preserve"> </w:t>
      </w:r>
      <w:r w:rsidR="00AE6E33" w:rsidRPr="00D279F4">
        <w:t>missing</w:t>
      </w:r>
      <w:r w:rsidR="00AE6E33" w:rsidRPr="00D279F4">
        <w:rPr>
          <w:spacing w:val="-3"/>
        </w:rPr>
        <w:t xml:space="preserve"> </w:t>
      </w:r>
      <w:r w:rsidR="00AE6E33" w:rsidRPr="00D279F4">
        <w:t>daily</w:t>
      </w:r>
      <w:r w:rsidR="00AE6E33" w:rsidRPr="00D279F4">
        <w:rPr>
          <w:spacing w:val="-2"/>
        </w:rPr>
        <w:t xml:space="preserve"> </w:t>
      </w:r>
      <w:r w:rsidR="00AE6E33" w:rsidRPr="00D279F4">
        <w:t>Worst Pruritus</w:t>
      </w:r>
      <w:r w:rsidR="00AE6E33" w:rsidRPr="00D279F4">
        <w:rPr>
          <w:spacing w:val="-1"/>
        </w:rPr>
        <w:t xml:space="preserve"> </w:t>
      </w:r>
      <w:r w:rsidR="00AE6E33" w:rsidRPr="00D279F4">
        <w:t>NRS</w:t>
      </w:r>
      <w:r w:rsidR="00AE6E33" w:rsidRPr="00D279F4">
        <w:rPr>
          <w:spacing w:val="-3"/>
        </w:rPr>
        <w:t xml:space="preserve"> </w:t>
      </w:r>
      <w:r w:rsidR="00AE6E33" w:rsidRPr="00D279F4">
        <w:t>score</w:t>
      </w:r>
      <w:r w:rsidR="00AE6E33" w:rsidRPr="00D279F4">
        <w:rPr>
          <w:spacing w:val="1"/>
        </w:rPr>
        <w:t xml:space="preserve"> </w:t>
      </w:r>
      <w:r w:rsidR="00AE6E33" w:rsidRPr="00D279F4">
        <w:t>before the</w:t>
      </w:r>
      <w:r w:rsidR="00AE6E33" w:rsidRPr="00D279F4">
        <w:rPr>
          <w:spacing w:val="1"/>
        </w:rPr>
        <w:t xml:space="preserve"> </w:t>
      </w:r>
      <w:r w:rsidR="00453641">
        <w:t>first</w:t>
      </w:r>
      <w:r w:rsidR="00AE6E33" w:rsidRPr="00D279F4">
        <w:t xml:space="preserve"> dose</w:t>
      </w:r>
      <w:r w:rsidR="00AE6E33" w:rsidRPr="00D279F4">
        <w:rPr>
          <w:spacing w:val="-1"/>
        </w:rPr>
        <w:t xml:space="preserve"> </w:t>
      </w:r>
      <w:r w:rsidR="00AE6E33" w:rsidRPr="00D279F4">
        <w:t>of</w:t>
      </w:r>
      <w:r w:rsidR="00AE6E33" w:rsidRPr="00D279F4">
        <w:rPr>
          <w:spacing w:val="-1"/>
        </w:rPr>
        <w:t xml:space="preserve"> </w:t>
      </w:r>
      <w:r w:rsidR="00AE6E33" w:rsidRPr="00D279F4">
        <w:t>the</w:t>
      </w:r>
      <w:r w:rsidR="00AE6E33" w:rsidRPr="00D279F4">
        <w:rPr>
          <w:spacing w:val="-1"/>
        </w:rPr>
        <w:t xml:space="preserve"> </w:t>
      </w:r>
      <w:r w:rsidR="00AE6E33" w:rsidRPr="00D279F4">
        <w:t>study</w:t>
      </w:r>
      <w:r w:rsidR="00AE6E33" w:rsidRPr="00D279F4">
        <w:rPr>
          <w:spacing w:val="-3"/>
        </w:rPr>
        <w:t xml:space="preserve"> </w:t>
      </w:r>
      <w:r w:rsidR="00AE6E33" w:rsidRPr="00D279F4">
        <w:t>drug.</w:t>
      </w:r>
      <w:r w:rsidR="00AE6E33" w:rsidRPr="002A0434">
        <w:t xml:space="preserve"> </w:t>
      </w:r>
    </w:p>
    <w:p w14:paraId="5267E34F" w14:textId="1EEAB8B8" w:rsidR="00AE6E33" w:rsidRPr="00C15C0D" w:rsidRDefault="00AE6E33" w:rsidP="00AE6E33">
      <w:pPr>
        <w:pStyle w:val="BodyText"/>
        <w:spacing w:before="120"/>
        <w:rPr>
          <w:sz w:val="22"/>
          <w:szCs w:val="22"/>
        </w:rPr>
      </w:pPr>
      <w:r w:rsidRPr="00C15C0D">
        <w:rPr>
          <w:sz w:val="22"/>
          <w:szCs w:val="22"/>
        </w:rPr>
        <w:t>Long-term</w:t>
      </w:r>
      <w:r w:rsidRPr="00C15C0D">
        <w:rPr>
          <w:spacing w:val="-1"/>
          <w:sz w:val="22"/>
          <w:szCs w:val="22"/>
        </w:rPr>
        <w:t xml:space="preserve"> </w:t>
      </w:r>
      <w:r w:rsidRPr="00C15C0D">
        <w:rPr>
          <w:sz w:val="22"/>
          <w:szCs w:val="22"/>
        </w:rPr>
        <w:t>efficacy</w:t>
      </w:r>
      <w:r w:rsidRPr="00C15C0D">
        <w:rPr>
          <w:spacing w:val="-3"/>
          <w:sz w:val="22"/>
          <w:szCs w:val="22"/>
        </w:rPr>
        <w:t xml:space="preserve"> </w:t>
      </w:r>
      <w:r w:rsidRPr="00C15C0D">
        <w:rPr>
          <w:sz w:val="22"/>
          <w:szCs w:val="22"/>
        </w:rPr>
        <w:t>in</w:t>
      </w:r>
      <w:r w:rsidRPr="00C15C0D">
        <w:rPr>
          <w:spacing w:val="-2"/>
          <w:sz w:val="22"/>
          <w:szCs w:val="22"/>
        </w:rPr>
        <w:t xml:space="preserve"> </w:t>
      </w:r>
      <w:r w:rsidRPr="00C15C0D">
        <w:rPr>
          <w:sz w:val="22"/>
          <w:szCs w:val="22"/>
        </w:rPr>
        <w:t>the</w:t>
      </w:r>
      <w:r w:rsidRPr="00C15C0D">
        <w:rPr>
          <w:spacing w:val="-4"/>
          <w:sz w:val="22"/>
          <w:szCs w:val="22"/>
        </w:rPr>
        <w:t xml:space="preserve"> </w:t>
      </w:r>
      <w:r w:rsidR="002A0434">
        <w:rPr>
          <w:sz w:val="22"/>
          <w:szCs w:val="22"/>
        </w:rPr>
        <w:t>blinded extension</w:t>
      </w:r>
      <w:r w:rsidRPr="00C15C0D">
        <w:rPr>
          <w:spacing w:val="-1"/>
          <w:sz w:val="22"/>
          <w:szCs w:val="22"/>
        </w:rPr>
        <w:t xml:space="preserve"> </w:t>
      </w:r>
      <w:r w:rsidR="00453641">
        <w:rPr>
          <w:sz w:val="22"/>
          <w:szCs w:val="22"/>
        </w:rPr>
        <w:t>p</w:t>
      </w:r>
      <w:r w:rsidRPr="00C15C0D">
        <w:rPr>
          <w:sz w:val="22"/>
          <w:szCs w:val="22"/>
        </w:rPr>
        <w:t>eriod</w:t>
      </w:r>
      <w:r w:rsidRPr="00C15C0D">
        <w:rPr>
          <w:spacing w:val="-2"/>
          <w:sz w:val="22"/>
          <w:szCs w:val="22"/>
        </w:rPr>
        <w:t xml:space="preserve"> </w:t>
      </w:r>
      <w:r w:rsidRPr="00C15C0D">
        <w:rPr>
          <w:sz w:val="22"/>
          <w:szCs w:val="22"/>
        </w:rPr>
        <w:t>was summarised</w:t>
      </w:r>
      <w:r w:rsidRPr="00C15C0D">
        <w:rPr>
          <w:spacing w:val="-2"/>
          <w:sz w:val="22"/>
          <w:szCs w:val="22"/>
        </w:rPr>
        <w:t xml:space="preserve"> </w:t>
      </w:r>
      <w:r w:rsidRPr="00C15C0D">
        <w:rPr>
          <w:sz w:val="22"/>
          <w:szCs w:val="22"/>
        </w:rPr>
        <w:t>using</w:t>
      </w:r>
      <w:r w:rsidRPr="00C15C0D">
        <w:rPr>
          <w:spacing w:val="-2"/>
          <w:sz w:val="22"/>
          <w:szCs w:val="22"/>
        </w:rPr>
        <w:t xml:space="preserve"> </w:t>
      </w:r>
      <w:r w:rsidRPr="00C15C0D">
        <w:rPr>
          <w:sz w:val="22"/>
          <w:szCs w:val="22"/>
        </w:rPr>
        <w:t>the</w:t>
      </w:r>
      <w:r w:rsidRPr="00C15C0D">
        <w:rPr>
          <w:spacing w:val="-2"/>
          <w:sz w:val="22"/>
          <w:szCs w:val="22"/>
        </w:rPr>
        <w:t xml:space="preserve"> </w:t>
      </w:r>
      <w:r w:rsidRPr="00C15C0D">
        <w:rPr>
          <w:sz w:val="22"/>
          <w:szCs w:val="22"/>
        </w:rPr>
        <w:t>observed</w:t>
      </w:r>
      <w:r w:rsidRPr="00C15C0D">
        <w:rPr>
          <w:spacing w:val="-2"/>
          <w:sz w:val="22"/>
          <w:szCs w:val="22"/>
        </w:rPr>
        <w:t xml:space="preserve"> </w:t>
      </w:r>
      <w:r w:rsidRPr="00C15C0D">
        <w:rPr>
          <w:sz w:val="22"/>
          <w:szCs w:val="22"/>
        </w:rPr>
        <w:t>case</w:t>
      </w:r>
      <w:r w:rsidRPr="00C15C0D">
        <w:rPr>
          <w:spacing w:val="-3"/>
          <w:sz w:val="22"/>
          <w:szCs w:val="22"/>
        </w:rPr>
        <w:t xml:space="preserve"> </w:t>
      </w:r>
      <w:r w:rsidRPr="00C15C0D">
        <w:rPr>
          <w:sz w:val="22"/>
          <w:szCs w:val="22"/>
        </w:rPr>
        <w:t>approach.</w:t>
      </w:r>
    </w:p>
    <w:p w14:paraId="61AF1BCD" w14:textId="73A51110" w:rsidR="00AE6E33" w:rsidRPr="00D73436" w:rsidRDefault="002A0434" w:rsidP="002A0434">
      <w:r>
        <w:t>The clinical evaluation noted that for observed case</w:t>
      </w:r>
      <w:r w:rsidR="00AE6E33" w:rsidRPr="00D73436">
        <w:t xml:space="preserve"> while on study drug: The </w:t>
      </w:r>
      <w:r>
        <w:t>observed case</w:t>
      </w:r>
      <w:r w:rsidRPr="00D73436">
        <w:t xml:space="preserve"> </w:t>
      </w:r>
      <w:r w:rsidR="00AE6E33" w:rsidRPr="00D73436">
        <w:t>analysis will be used for the summaries of long-term efficacy, which will not impute</w:t>
      </w:r>
      <w:r w:rsidR="00AE6E33" w:rsidRPr="00D73436">
        <w:rPr>
          <w:spacing w:val="-33"/>
        </w:rPr>
        <w:t xml:space="preserve"> </w:t>
      </w:r>
      <w:r w:rsidR="00AE6E33" w:rsidRPr="00D73436">
        <w:t xml:space="preserve">values for missing evaluations, and thus a subject who does not have an evaluation on a scheduled visit will not be included in the </w:t>
      </w:r>
      <w:r>
        <w:t>observed case</w:t>
      </w:r>
      <w:r w:rsidRPr="00D73436">
        <w:t xml:space="preserve"> </w:t>
      </w:r>
      <w:r w:rsidR="00AE6E33" w:rsidRPr="00D73436">
        <w:t xml:space="preserve">analysis for that visit. The </w:t>
      </w:r>
      <w:r>
        <w:t>observed case</w:t>
      </w:r>
      <w:r w:rsidRPr="00D73436">
        <w:t xml:space="preserve"> </w:t>
      </w:r>
      <w:r w:rsidR="00AE6E33" w:rsidRPr="00D73436">
        <w:t>analysis will be performed for all variables, and will not include values after more than 1 day after</w:t>
      </w:r>
      <w:r w:rsidR="00AE6E33" w:rsidRPr="00D73436">
        <w:rPr>
          <w:spacing w:val="1"/>
        </w:rPr>
        <w:t xml:space="preserve"> </w:t>
      </w:r>
      <w:r w:rsidR="00AE6E33" w:rsidRPr="00D73436">
        <w:t>discontinuation</w:t>
      </w:r>
      <w:r w:rsidR="00AE6E33" w:rsidRPr="00D73436">
        <w:rPr>
          <w:spacing w:val="-3"/>
        </w:rPr>
        <w:t xml:space="preserve"> </w:t>
      </w:r>
      <w:r w:rsidR="00AE6E33" w:rsidRPr="00D73436">
        <w:t>of</w:t>
      </w:r>
      <w:r w:rsidR="00AE6E33" w:rsidRPr="00D73436">
        <w:rPr>
          <w:spacing w:val="-1"/>
        </w:rPr>
        <w:t xml:space="preserve"> </w:t>
      </w:r>
      <w:r w:rsidR="00AE6E33" w:rsidRPr="00D73436">
        <w:t>study</w:t>
      </w:r>
      <w:r w:rsidR="00AE6E33" w:rsidRPr="00D73436">
        <w:rPr>
          <w:spacing w:val="1"/>
        </w:rPr>
        <w:t xml:space="preserve"> </w:t>
      </w:r>
      <w:r w:rsidR="00AE6E33" w:rsidRPr="00D73436">
        <w:t>drug.</w:t>
      </w:r>
    </w:p>
    <w:p w14:paraId="1311E890" w14:textId="5E9A04DB" w:rsidR="00AE6E33" w:rsidRPr="002A0434" w:rsidRDefault="00AE6E33" w:rsidP="002A0434">
      <w:r w:rsidRPr="00D73436">
        <w:t>Subgroup analyses were performed for the co-primary endpoints by</w:t>
      </w:r>
      <w:r w:rsidR="002A0434">
        <w:t xml:space="preserve"> demographics:</w:t>
      </w:r>
    </w:p>
    <w:p w14:paraId="10FCCF44" w14:textId="5C83645E" w:rsidR="002A0434" w:rsidRPr="002A0434" w:rsidRDefault="00AE6E33" w:rsidP="002A0434">
      <w:pPr>
        <w:pStyle w:val="ListBullet"/>
      </w:pPr>
      <w:r w:rsidRPr="002A0434">
        <w:t xml:space="preserve">Age Group 1 (&lt; 18 years, </w:t>
      </w:r>
      <w:r w:rsidR="002A0434">
        <w:t xml:space="preserve">and </w:t>
      </w:r>
      <w:r w:rsidRPr="002A0434">
        <w:t>≥ 18 years),</w:t>
      </w:r>
    </w:p>
    <w:p w14:paraId="552CD950" w14:textId="04144B23" w:rsidR="00AE6E33" w:rsidRPr="002A0434" w:rsidRDefault="00AE6E33" w:rsidP="002A0434">
      <w:pPr>
        <w:pStyle w:val="ListBullet"/>
      </w:pPr>
      <w:r w:rsidRPr="002A0434">
        <w:t>Age Group 2 (&lt; 18 years, ≥ 18</w:t>
      </w:r>
      <w:r w:rsidR="00B51532">
        <w:t xml:space="preserve"> </w:t>
      </w:r>
      <w:r w:rsidR="002A0434">
        <w:t>to ≤</w:t>
      </w:r>
      <w:r w:rsidRPr="002A0434">
        <w:t xml:space="preserve"> 40 years, ≥ 40 </w:t>
      </w:r>
      <w:r w:rsidR="002A0434">
        <w:t xml:space="preserve">to ≤ </w:t>
      </w:r>
      <w:r w:rsidRPr="002A0434">
        <w:t xml:space="preserve">65 years, </w:t>
      </w:r>
      <w:r w:rsidR="002A0434">
        <w:t>and ≥ 65 years).</w:t>
      </w:r>
    </w:p>
    <w:p w14:paraId="0A35E29F" w14:textId="654FFEDC" w:rsidR="00AE6E33" w:rsidRPr="002A0434" w:rsidRDefault="002A0434" w:rsidP="002A0434">
      <w:r>
        <w:t>Regarding subgroup analyses:</w:t>
      </w:r>
    </w:p>
    <w:p w14:paraId="4BF1A0BF" w14:textId="050B1D7A" w:rsidR="00AE6E33" w:rsidRPr="002A0434" w:rsidRDefault="00AE6E33" w:rsidP="002A0434">
      <w:pPr>
        <w:pStyle w:val="ListBullet"/>
      </w:pPr>
      <w:r w:rsidRPr="002A0434">
        <w:t>Age ≥ 65 years or BMI ≥ 30 subgroups will be combined with their adjacent subgroup</w:t>
      </w:r>
      <w:r w:rsidR="002A0434">
        <w:t xml:space="preserve"> </w:t>
      </w:r>
      <w:r w:rsidRPr="002A0434">
        <w:t>when having fewer than 10% subjects.</w:t>
      </w:r>
    </w:p>
    <w:p w14:paraId="0FB09A0E" w14:textId="77777777" w:rsidR="00AE6E33" w:rsidRPr="002A0434" w:rsidRDefault="00AE6E33" w:rsidP="002A0434">
      <w:pPr>
        <w:pStyle w:val="ListBullet"/>
      </w:pPr>
      <w:r w:rsidRPr="002A0434">
        <w:t xml:space="preserve">Sex (male, female); </w:t>
      </w:r>
    </w:p>
    <w:p w14:paraId="0512B653" w14:textId="77777777" w:rsidR="00AE6E33" w:rsidRPr="002A0434" w:rsidRDefault="00AE6E33" w:rsidP="002A0434">
      <w:pPr>
        <w:pStyle w:val="ListBullet"/>
      </w:pPr>
      <w:r w:rsidRPr="002A0434">
        <w:t xml:space="preserve">BMI (normal: &lt; 25, overweight: ≥ 25 – &lt; 30, obese: ≥ 30); </w:t>
      </w:r>
    </w:p>
    <w:p w14:paraId="5737A97D" w14:textId="77777777" w:rsidR="002A0434" w:rsidRDefault="00AE6E33" w:rsidP="002A0434">
      <w:pPr>
        <w:pStyle w:val="ListBullet"/>
      </w:pPr>
      <w:r w:rsidRPr="002A0434">
        <w:t>Race (W</w:t>
      </w:r>
      <w:r w:rsidR="002A0434">
        <w:t>hite, Asian, Black, and Other).</w:t>
      </w:r>
    </w:p>
    <w:p w14:paraId="11F92A79" w14:textId="77777777" w:rsidR="002A0434" w:rsidRDefault="00AE6E33" w:rsidP="002A0434">
      <w:pPr>
        <w:pStyle w:val="ListBullet"/>
      </w:pPr>
      <w:r w:rsidRPr="002D1BFE">
        <w:t>Any</w:t>
      </w:r>
      <w:r w:rsidRPr="002A0434">
        <w:rPr>
          <w:spacing w:val="-3"/>
        </w:rPr>
        <w:t xml:space="preserve"> </w:t>
      </w:r>
      <w:r w:rsidR="002A0434">
        <w:t>race</w:t>
      </w:r>
      <w:r w:rsidRPr="002A0434">
        <w:rPr>
          <w:spacing w:val="-2"/>
        </w:rPr>
        <w:t xml:space="preserve"> </w:t>
      </w:r>
      <w:r w:rsidRPr="002D1BFE">
        <w:t>subgroups</w:t>
      </w:r>
      <w:r w:rsidRPr="002A0434">
        <w:rPr>
          <w:spacing w:val="-2"/>
        </w:rPr>
        <w:t xml:space="preserve"> </w:t>
      </w:r>
      <w:r w:rsidRPr="002D1BFE">
        <w:t>with</w:t>
      </w:r>
      <w:r w:rsidRPr="002A0434">
        <w:rPr>
          <w:spacing w:val="-2"/>
        </w:rPr>
        <w:t xml:space="preserve"> </w:t>
      </w:r>
      <w:r w:rsidRPr="002D1BFE">
        <w:t>fewer</w:t>
      </w:r>
      <w:r w:rsidRPr="002A0434">
        <w:rPr>
          <w:spacing w:val="-2"/>
        </w:rPr>
        <w:t xml:space="preserve"> </w:t>
      </w:r>
      <w:r w:rsidRPr="002D1BFE">
        <w:t>than 10%</w:t>
      </w:r>
      <w:r w:rsidRPr="002A0434">
        <w:rPr>
          <w:spacing w:val="-3"/>
        </w:rPr>
        <w:t xml:space="preserve"> </w:t>
      </w:r>
      <w:r w:rsidRPr="002D1BFE">
        <w:t>subjects</w:t>
      </w:r>
      <w:r w:rsidRPr="002A0434">
        <w:rPr>
          <w:spacing w:val="-2"/>
        </w:rPr>
        <w:t xml:space="preserve"> </w:t>
      </w:r>
      <w:r w:rsidRPr="002D1BFE">
        <w:t>will</w:t>
      </w:r>
      <w:r w:rsidRPr="002A0434">
        <w:rPr>
          <w:spacing w:val="-3"/>
        </w:rPr>
        <w:t xml:space="preserve"> </w:t>
      </w:r>
      <w:r w:rsidRPr="002D1BFE">
        <w:t>be</w:t>
      </w:r>
      <w:r w:rsidRPr="002A0434">
        <w:rPr>
          <w:spacing w:val="-3"/>
        </w:rPr>
        <w:t xml:space="preserve"> </w:t>
      </w:r>
      <w:r w:rsidRPr="002D1BFE">
        <w:t>combined</w:t>
      </w:r>
      <w:r w:rsidRPr="002A0434">
        <w:rPr>
          <w:spacing w:val="-1"/>
        </w:rPr>
        <w:t xml:space="preserve"> </w:t>
      </w:r>
      <w:r w:rsidRPr="002D1BFE">
        <w:t>with</w:t>
      </w:r>
      <w:r w:rsidR="002A0434">
        <w:t xml:space="preserve"> </w:t>
      </w:r>
      <w:r>
        <w:t>o</w:t>
      </w:r>
      <w:r w:rsidRPr="006227C0">
        <w:t>ther</w:t>
      </w:r>
      <w:r w:rsidRPr="002A0434">
        <w:rPr>
          <w:spacing w:val="-1"/>
        </w:rPr>
        <w:t xml:space="preserve"> </w:t>
      </w:r>
      <w:r w:rsidRPr="006227C0">
        <w:t>for</w:t>
      </w:r>
      <w:r w:rsidRPr="002A0434">
        <w:rPr>
          <w:spacing w:val="-2"/>
        </w:rPr>
        <w:t xml:space="preserve"> </w:t>
      </w:r>
      <w:r w:rsidRPr="006227C0">
        <w:t>analyses</w:t>
      </w:r>
      <w:r>
        <w:t>.</w:t>
      </w:r>
    </w:p>
    <w:p w14:paraId="79BB6AE5" w14:textId="77777777" w:rsidR="002A0434" w:rsidRDefault="00AE6E33" w:rsidP="002A0434">
      <w:pPr>
        <w:pStyle w:val="ListBullet"/>
      </w:pPr>
      <w:r w:rsidRPr="00D73436">
        <w:t>Weight (&lt; median, ≥ median);</w:t>
      </w:r>
    </w:p>
    <w:p w14:paraId="03842302" w14:textId="77777777" w:rsidR="002A0434" w:rsidRDefault="00AE6E33" w:rsidP="002A0434">
      <w:pPr>
        <w:pStyle w:val="ListBullet"/>
      </w:pPr>
      <w:r w:rsidRPr="00D73436">
        <w:t>Geographic regions</w:t>
      </w:r>
      <w:r w:rsidRPr="002A0434">
        <w:rPr>
          <w:spacing w:val="1"/>
        </w:rPr>
        <w:t xml:space="preserve"> </w:t>
      </w:r>
      <w:r w:rsidRPr="00D73436">
        <w:t>(US</w:t>
      </w:r>
      <w:r w:rsidR="002A0434">
        <w:t>A/</w:t>
      </w:r>
      <w:r w:rsidRPr="00D73436">
        <w:t>Pu</w:t>
      </w:r>
      <w:r w:rsidR="002A0434">
        <w:t>erto Rico/Canada, Japan, China (m</w:t>
      </w:r>
      <w:r w:rsidRPr="00D73436">
        <w:t>ainland</w:t>
      </w:r>
      <w:r w:rsidR="002A0434">
        <w:t>), and Other))</w:t>
      </w:r>
      <w:r>
        <w:t xml:space="preserve"> </w:t>
      </w:r>
    </w:p>
    <w:p w14:paraId="758B3385" w14:textId="0DE8F216" w:rsidR="002A0434" w:rsidRDefault="002A0434" w:rsidP="002A0434">
      <w:pPr>
        <w:pStyle w:val="ListBullet"/>
      </w:pPr>
      <w:r>
        <w:t>B</w:t>
      </w:r>
      <w:r w:rsidR="00AE6E33" w:rsidRPr="00D73436">
        <w:t>aseline characteristics</w:t>
      </w:r>
      <w:r w:rsidR="00AE6E33" w:rsidRPr="002A0434">
        <w:rPr>
          <w:spacing w:val="1"/>
        </w:rPr>
        <w:t xml:space="preserve"> </w:t>
      </w:r>
      <w:r>
        <w:t>(</w:t>
      </w:r>
      <w:r w:rsidR="00AE6E33" w:rsidRPr="00D73436">
        <w:t>Baseline</w:t>
      </w:r>
      <w:r w:rsidR="00AE6E33" w:rsidRPr="002A0434">
        <w:rPr>
          <w:spacing w:val="-2"/>
        </w:rPr>
        <w:t xml:space="preserve"> </w:t>
      </w:r>
      <w:r w:rsidR="00AE6E33" w:rsidRPr="00D73436">
        <w:t>vIGA-AD</w:t>
      </w:r>
      <w:r w:rsidR="00AE6E33" w:rsidRPr="002A0434">
        <w:rPr>
          <w:spacing w:val="-1"/>
        </w:rPr>
        <w:t xml:space="preserve"> </w:t>
      </w:r>
      <w:r w:rsidR="00AE6E33" w:rsidRPr="00D73436">
        <w:t>(&lt;</w:t>
      </w:r>
      <w:r w:rsidR="00AE6E33" w:rsidRPr="002A0434">
        <w:rPr>
          <w:spacing w:val="-2"/>
        </w:rPr>
        <w:t xml:space="preserve"> </w:t>
      </w:r>
      <w:r w:rsidR="00AE6E33" w:rsidRPr="00D73436">
        <w:t>4,</w:t>
      </w:r>
      <w:r w:rsidR="00AE6E33" w:rsidRPr="002A0434">
        <w:rPr>
          <w:spacing w:val="-1"/>
        </w:rPr>
        <w:t xml:space="preserve"> </w:t>
      </w:r>
      <w:r w:rsidR="00AE6E33" w:rsidRPr="00D73436">
        <w:t>4);</w:t>
      </w:r>
      <w:r w:rsidR="00AE6E33" w:rsidRPr="002A0434">
        <w:rPr>
          <w:spacing w:val="-3"/>
        </w:rPr>
        <w:t xml:space="preserve"> </w:t>
      </w:r>
      <w:r w:rsidR="00AE6E33" w:rsidRPr="00D73436">
        <w:t>Baseline</w:t>
      </w:r>
      <w:r w:rsidR="00AE6E33" w:rsidRPr="002A0434">
        <w:rPr>
          <w:spacing w:val="-2"/>
        </w:rPr>
        <w:t xml:space="preserve"> </w:t>
      </w:r>
      <w:r w:rsidR="00AE6E33" w:rsidRPr="00D73436">
        <w:t>EASI</w:t>
      </w:r>
      <w:r w:rsidR="00AE6E33" w:rsidRPr="002A0434">
        <w:rPr>
          <w:spacing w:val="-1"/>
        </w:rPr>
        <w:t xml:space="preserve"> </w:t>
      </w:r>
      <w:r w:rsidR="00AE6E33" w:rsidRPr="00D73436">
        <w:t>(&lt;</w:t>
      </w:r>
      <w:r w:rsidR="00AE6E33" w:rsidRPr="002A0434">
        <w:rPr>
          <w:spacing w:val="-1"/>
        </w:rPr>
        <w:t xml:space="preserve"> </w:t>
      </w:r>
      <w:r w:rsidR="00AE6E33" w:rsidRPr="00D73436">
        <w:t>median,</w:t>
      </w:r>
      <w:r w:rsidR="00AE6E33" w:rsidRPr="002A0434">
        <w:rPr>
          <w:spacing w:val="-2"/>
        </w:rPr>
        <w:t xml:space="preserve"> </w:t>
      </w:r>
      <w:r w:rsidR="00AE6E33" w:rsidRPr="00D73436">
        <w:t>≥</w:t>
      </w:r>
      <w:r>
        <w:rPr>
          <w:spacing w:val="-1"/>
        </w:rPr>
        <w:t> </w:t>
      </w:r>
      <w:r w:rsidR="00AE6E33" w:rsidRPr="00D73436">
        <w:t>median);</w:t>
      </w:r>
      <w:r w:rsidR="00AE6E33" w:rsidRPr="002A0434">
        <w:rPr>
          <w:spacing w:val="-3"/>
        </w:rPr>
        <w:t xml:space="preserve"> </w:t>
      </w:r>
      <w:r w:rsidR="00795BF7">
        <w:t>high</w:t>
      </w:r>
      <w:r w:rsidR="00795BF7">
        <w:noBreakHyphen/>
        <w:t>sensitivity C-reactive protein (</w:t>
      </w:r>
      <w:r w:rsidR="00AE6E33" w:rsidRPr="00D73436">
        <w:t>hsCRP</w:t>
      </w:r>
      <w:r w:rsidR="00795BF7">
        <w:t>)</w:t>
      </w:r>
      <w:r w:rsidR="00AE6E33" w:rsidRPr="002A0434">
        <w:rPr>
          <w:spacing w:val="-3"/>
        </w:rPr>
        <w:t xml:space="preserve"> </w:t>
      </w:r>
      <w:r w:rsidR="00AE6E33" w:rsidRPr="00D73436">
        <w:t>(&lt;</w:t>
      </w:r>
      <w:r w:rsidR="00AE6E33" w:rsidRPr="002A0434">
        <w:rPr>
          <w:spacing w:val="-3"/>
        </w:rPr>
        <w:t xml:space="preserve"> </w:t>
      </w:r>
      <w:r w:rsidR="00AE6E33" w:rsidRPr="00D73436">
        <w:t>median,</w:t>
      </w:r>
      <w:r w:rsidR="00AE6E33" w:rsidRPr="002A0434">
        <w:rPr>
          <w:spacing w:val="-1"/>
        </w:rPr>
        <w:t xml:space="preserve"> </w:t>
      </w:r>
      <w:r w:rsidR="00AE6E33" w:rsidRPr="00D73436">
        <w:t>≥</w:t>
      </w:r>
      <w:r w:rsidR="00AE6E33" w:rsidRPr="002A0434">
        <w:rPr>
          <w:spacing w:val="-4"/>
        </w:rPr>
        <w:t xml:space="preserve"> </w:t>
      </w:r>
      <w:r w:rsidR="00AE6E33" w:rsidRPr="00D73436">
        <w:t>median);</w:t>
      </w:r>
    </w:p>
    <w:p w14:paraId="4348AD22" w14:textId="7854E7C2" w:rsidR="00AE6E33" w:rsidRPr="002A0434" w:rsidRDefault="00AE6E33" w:rsidP="002A0434">
      <w:pPr>
        <w:pStyle w:val="ListBullet"/>
      </w:pPr>
      <w:r w:rsidRPr="00D73436">
        <w:t>Previous systemic therapy (with and without);</w:t>
      </w:r>
    </w:p>
    <w:p w14:paraId="5626D455" w14:textId="15219E6A" w:rsidR="00AE6E33" w:rsidRPr="002A0434" w:rsidRDefault="00AE6E33" w:rsidP="002A0434">
      <w:pPr>
        <w:pStyle w:val="ListBullet"/>
      </w:pPr>
      <w:r w:rsidRPr="002A0434">
        <w:lastRenderedPageBreak/>
        <w:t xml:space="preserve">Subjects who reported an intolerance to at least one prior </w:t>
      </w:r>
      <w:r w:rsidR="002A0434">
        <w:t xml:space="preserve">topical corticosteroid or calcineurin </w:t>
      </w:r>
      <w:r w:rsidRPr="002A0434">
        <w:t>therapy;</w:t>
      </w:r>
    </w:p>
    <w:p w14:paraId="51078BB8" w14:textId="7AC262D2" w:rsidR="00AE6E33" w:rsidRPr="002A0434" w:rsidRDefault="00AE6E33" w:rsidP="002A0434">
      <w:pPr>
        <w:pStyle w:val="ListBullet"/>
      </w:pPr>
      <w:r w:rsidRPr="002A0434">
        <w:t>Subjects that reported an inadequate response to at least one prior topical treatment.</w:t>
      </w:r>
    </w:p>
    <w:p w14:paraId="1ACB600C" w14:textId="58F6D614" w:rsidR="00AE6E33" w:rsidRPr="00166A04" w:rsidRDefault="00AE6E33" w:rsidP="00166A04">
      <w:pPr>
        <w:rPr>
          <w:spacing w:val="-3"/>
        </w:rPr>
      </w:pPr>
      <w:r w:rsidRPr="00336CC3">
        <w:t>For any subgroup, if there were zero subjects within a stratum in</w:t>
      </w:r>
      <w:r>
        <w:t xml:space="preserve"> any</w:t>
      </w:r>
      <w:r w:rsidRPr="00336CC3">
        <w:rPr>
          <w:spacing w:val="-3"/>
        </w:rPr>
        <w:t xml:space="preserve"> </w:t>
      </w:r>
      <w:r w:rsidRPr="00336CC3">
        <w:t>treatment</w:t>
      </w:r>
      <w:r w:rsidRPr="00336CC3">
        <w:rPr>
          <w:spacing w:val="-1"/>
        </w:rPr>
        <w:t xml:space="preserve"> </w:t>
      </w:r>
      <w:r w:rsidRPr="00336CC3">
        <w:t>group,</w:t>
      </w:r>
      <w:r w:rsidRPr="00336CC3">
        <w:rPr>
          <w:spacing w:val="-2"/>
        </w:rPr>
        <w:t xml:space="preserve"> </w:t>
      </w:r>
      <w:r w:rsidRPr="00336CC3">
        <w:t>the</w:t>
      </w:r>
      <w:r w:rsidRPr="00336CC3">
        <w:rPr>
          <w:spacing w:val="-3"/>
        </w:rPr>
        <w:t xml:space="preserve"> </w:t>
      </w:r>
      <w:r w:rsidR="00166A04">
        <w:t xml:space="preserve">Cochran-Mantel-Haenszel </w:t>
      </w:r>
      <w:r w:rsidRPr="00336CC3">
        <w:t>model</w:t>
      </w:r>
      <w:r w:rsidRPr="00336CC3">
        <w:rPr>
          <w:spacing w:val="-1"/>
        </w:rPr>
        <w:t xml:space="preserve"> </w:t>
      </w:r>
      <w:r w:rsidRPr="00336CC3">
        <w:t>was not</w:t>
      </w:r>
      <w:r w:rsidRPr="00336CC3">
        <w:rPr>
          <w:spacing w:val="-2"/>
        </w:rPr>
        <w:t xml:space="preserve"> </w:t>
      </w:r>
      <w:r w:rsidRPr="00336CC3">
        <w:t>adjusted</w:t>
      </w:r>
      <w:r w:rsidRPr="00336CC3">
        <w:rPr>
          <w:spacing w:val="-1"/>
        </w:rPr>
        <w:t xml:space="preserve"> </w:t>
      </w:r>
      <w:r w:rsidRPr="00336CC3">
        <w:t>by</w:t>
      </w:r>
      <w:r w:rsidRPr="00336CC3">
        <w:rPr>
          <w:spacing w:val="-3"/>
        </w:rPr>
        <w:t xml:space="preserve"> </w:t>
      </w:r>
      <w:r w:rsidRPr="00336CC3">
        <w:t>the</w:t>
      </w:r>
      <w:r w:rsidRPr="00336CC3">
        <w:rPr>
          <w:spacing w:val="-1"/>
        </w:rPr>
        <w:t xml:space="preserve"> </w:t>
      </w:r>
      <w:r w:rsidRPr="00336CC3">
        <w:t>stratification</w:t>
      </w:r>
      <w:r w:rsidRPr="00336CC3">
        <w:rPr>
          <w:spacing w:val="-2"/>
        </w:rPr>
        <w:t xml:space="preserve"> </w:t>
      </w:r>
      <w:r w:rsidRPr="00336CC3">
        <w:t>factors.</w:t>
      </w:r>
    </w:p>
    <w:p w14:paraId="07306994" w14:textId="46FCF186" w:rsidR="00AE6E33" w:rsidRPr="00216763" w:rsidRDefault="00166A04" w:rsidP="00166A04">
      <w:pPr>
        <w:pStyle w:val="Heading5"/>
      </w:pPr>
      <w:r>
        <w:t>Baseline data</w:t>
      </w:r>
    </w:p>
    <w:p w14:paraId="674F1599" w14:textId="4B42FFF1" w:rsidR="00AE6E33" w:rsidRPr="00216763" w:rsidRDefault="00AE6E33" w:rsidP="00166A04">
      <w:r w:rsidRPr="00216763">
        <w:t xml:space="preserve">The overall demographic characteristics were generally balanced across the </w:t>
      </w:r>
      <w:r w:rsidR="00166A04">
        <w:t>u</w:t>
      </w:r>
      <w:r w:rsidRPr="00166A04">
        <w:t>padacitinib</w:t>
      </w:r>
      <w:r w:rsidRPr="00216763">
        <w:t xml:space="preserve"> (30</w:t>
      </w:r>
      <w:r w:rsidRPr="00216763">
        <w:rPr>
          <w:spacing w:val="1"/>
        </w:rPr>
        <w:t xml:space="preserve"> </w:t>
      </w:r>
      <w:r w:rsidRPr="00216763">
        <w:t>mg and 15 mg) and placebo gro</w:t>
      </w:r>
      <w:r w:rsidR="00453641">
        <w:t xml:space="preserve">ups overall and, in adolescents (see </w:t>
      </w:r>
      <w:r w:rsidR="00453641">
        <w:fldChar w:fldCharType="begin"/>
      </w:r>
      <w:r w:rsidR="00453641">
        <w:instrText xml:space="preserve"> REF _Ref125694005 \h </w:instrText>
      </w:r>
      <w:r w:rsidR="00453641">
        <w:fldChar w:fldCharType="separate"/>
      </w:r>
      <w:r w:rsidR="00B51532">
        <w:t xml:space="preserve">Table </w:t>
      </w:r>
      <w:r w:rsidR="00B51532">
        <w:rPr>
          <w:noProof/>
        </w:rPr>
        <w:t>22</w:t>
      </w:r>
      <w:r w:rsidR="00453641">
        <w:fldChar w:fldCharType="end"/>
      </w:r>
      <w:r w:rsidR="00453641">
        <w:t>, below).</w:t>
      </w:r>
    </w:p>
    <w:p w14:paraId="741AF4EF" w14:textId="3E514B99" w:rsidR="00166A04" w:rsidRDefault="00166A04" w:rsidP="00166A04">
      <w:pPr>
        <w:pStyle w:val="Tabletitle0"/>
      </w:pPr>
      <w:bookmarkStart w:id="97" w:name="_Ref125694005"/>
      <w:r>
        <w:t xml:space="preserve">Table </w:t>
      </w:r>
      <w:fldSimple w:instr=" SEQ Table \* ARABIC ">
        <w:r w:rsidR="00B51532">
          <w:rPr>
            <w:noProof/>
          </w:rPr>
          <w:t>22</w:t>
        </w:r>
      </w:fldSimple>
      <w:bookmarkEnd w:id="97"/>
      <w:r>
        <w:t>: Study M16-045 Demographic characteristics and baseline data</w:t>
      </w:r>
    </w:p>
    <w:p w14:paraId="5FFC8FAF" w14:textId="4BA8B574" w:rsidR="00AE6E33" w:rsidRDefault="00166A04" w:rsidP="00AE6E33">
      <w:pPr>
        <w:pStyle w:val="BodyText"/>
        <w:spacing w:before="121"/>
        <w:ind w:right="802"/>
        <w:rPr>
          <w:b/>
        </w:rPr>
      </w:pPr>
      <w:r>
        <w:rPr>
          <w:b/>
          <w:noProof/>
          <w:lang w:val="en-GB" w:eastAsia="en-GB" w:bidi="ar-SA"/>
        </w:rPr>
        <w:drawing>
          <wp:inline distT="0" distB="0" distL="0" distR="0" wp14:anchorId="17936E2F" wp14:editId="3C2E70E6">
            <wp:extent cx="5581816" cy="5589061"/>
            <wp:effectExtent l="0" t="0" r="0" b="0"/>
            <wp:docPr id="15" name="Picture 15" descr="Study M16-045 Demographic characteristics and baseline data" title="Study M16-045 Demographic characteristics and baselin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6918" cy="5654248"/>
                    </a:xfrm>
                    <a:prstGeom prst="rect">
                      <a:avLst/>
                    </a:prstGeom>
                    <a:noFill/>
                  </pic:spPr>
                </pic:pic>
              </a:graphicData>
            </a:graphic>
          </wp:inline>
        </w:drawing>
      </w:r>
    </w:p>
    <w:p w14:paraId="77210523" w14:textId="77777777" w:rsidR="00AE6E33" w:rsidRPr="007A67EE" w:rsidRDefault="00AE6E33" w:rsidP="00166A04">
      <w:r w:rsidRPr="007A67EE">
        <w:t>Overall, the majority of</w:t>
      </w:r>
      <w:r w:rsidRPr="007A67EE">
        <w:rPr>
          <w:spacing w:val="1"/>
        </w:rPr>
        <w:t xml:space="preserve"> </w:t>
      </w:r>
      <w:r w:rsidRPr="007A67EE">
        <w:t xml:space="preserve">subjects were male (56.3%), aged 18 to 39 years (52.2%) </w:t>
      </w:r>
      <w:r w:rsidRPr="00166A04">
        <w:t>compared</w:t>
      </w:r>
      <w:r w:rsidRPr="007A67EE">
        <w:t xml:space="preserve"> to the adolescent group with majority of females (53.8%).</w:t>
      </w:r>
    </w:p>
    <w:p w14:paraId="48CF0461" w14:textId="0D47FABA" w:rsidR="00AE6E33" w:rsidRPr="007A67EE" w:rsidRDefault="00AE6E33" w:rsidP="00166A04">
      <w:r w:rsidRPr="007A67EE">
        <w:t>Baseline disease characteristics were</w:t>
      </w:r>
      <w:r w:rsidR="00166A04">
        <w:t xml:space="preserve"> generally balanced across the u</w:t>
      </w:r>
      <w:r w:rsidRPr="007A67EE">
        <w:t>padacitinib and placebo</w:t>
      </w:r>
      <w:r w:rsidRPr="007A67EE">
        <w:rPr>
          <w:spacing w:val="1"/>
        </w:rPr>
        <w:t xml:space="preserve"> </w:t>
      </w:r>
      <w:r w:rsidRPr="007A67EE">
        <w:t>groups</w:t>
      </w:r>
      <w:r w:rsidRPr="007A67EE">
        <w:rPr>
          <w:spacing w:val="3"/>
        </w:rPr>
        <w:t xml:space="preserve"> </w:t>
      </w:r>
      <w:r w:rsidRPr="007A67EE">
        <w:t>overall</w:t>
      </w:r>
      <w:r w:rsidRPr="007A67EE">
        <w:rPr>
          <w:spacing w:val="3"/>
        </w:rPr>
        <w:t xml:space="preserve"> </w:t>
      </w:r>
      <w:r w:rsidRPr="007A67EE">
        <w:t>and,</w:t>
      </w:r>
      <w:r w:rsidRPr="007A67EE">
        <w:rPr>
          <w:spacing w:val="2"/>
        </w:rPr>
        <w:t xml:space="preserve"> </w:t>
      </w:r>
      <w:r w:rsidRPr="007A67EE">
        <w:t>in</w:t>
      </w:r>
      <w:r w:rsidRPr="007A67EE">
        <w:rPr>
          <w:spacing w:val="2"/>
        </w:rPr>
        <w:t xml:space="preserve"> </w:t>
      </w:r>
      <w:r w:rsidRPr="007A67EE">
        <w:t>adolescents. Overall, the most common medical/surgical history by body system was respiratory, thoracic</w:t>
      </w:r>
      <w:r w:rsidRPr="007A67EE">
        <w:rPr>
          <w:spacing w:val="1"/>
        </w:rPr>
        <w:t xml:space="preserve"> </w:t>
      </w:r>
      <w:r w:rsidR="00166A04">
        <w:t xml:space="preserve">and mediastinal disorders (60.6% of which </w:t>
      </w:r>
      <w:r w:rsidRPr="007A67EE">
        <w:t>asthma (39.9%) and allerg</w:t>
      </w:r>
      <w:r w:rsidR="00166A04">
        <w:t>ic rhinitis (34.0%) most common)</w:t>
      </w:r>
      <w:r w:rsidRPr="007A67EE">
        <w:t>,</w:t>
      </w:r>
      <w:r w:rsidRPr="007A67EE">
        <w:rPr>
          <w:spacing w:val="-46"/>
        </w:rPr>
        <w:t xml:space="preserve"> </w:t>
      </w:r>
      <w:r w:rsidRPr="007A67EE">
        <w:t>followed</w:t>
      </w:r>
      <w:r w:rsidRPr="007A67EE">
        <w:rPr>
          <w:spacing w:val="-2"/>
        </w:rPr>
        <w:t xml:space="preserve"> </w:t>
      </w:r>
      <w:r w:rsidRPr="007A67EE">
        <w:t>by</w:t>
      </w:r>
      <w:r w:rsidRPr="007A67EE">
        <w:rPr>
          <w:spacing w:val="-3"/>
        </w:rPr>
        <w:t xml:space="preserve"> </w:t>
      </w:r>
      <w:r w:rsidRPr="007A67EE">
        <w:t>immune</w:t>
      </w:r>
      <w:r w:rsidRPr="007A67EE">
        <w:rPr>
          <w:spacing w:val="-4"/>
        </w:rPr>
        <w:t xml:space="preserve"> </w:t>
      </w:r>
      <w:r w:rsidRPr="007A67EE">
        <w:t>system</w:t>
      </w:r>
      <w:r w:rsidRPr="007A67EE">
        <w:rPr>
          <w:spacing w:val="-1"/>
        </w:rPr>
        <w:t xml:space="preserve"> </w:t>
      </w:r>
      <w:r w:rsidRPr="007A67EE">
        <w:t>disorders</w:t>
      </w:r>
      <w:r w:rsidRPr="007A67EE">
        <w:rPr>
          <w:spacing w:val="-1"/>
        </w:rPr>
        <w:t xml:space="preserve"> </w:t>
      </w:r>
      <w:r w:rsidRPr="007A67EE">
        <w:t>(52.7%)</w:t>
      </w:r>
      <w:r w:rsidRPr="007A67EE">
        <w:rPr>
          <w:spacing w:val="-2"/>
        </w:rPr>
        <w:t xml:space="preserve"> </w:t>
      </w:r>
      <w:r w:rsidRPr="007A67EE">
        <w:t>with</w:t>
      </w:r>
      <w:r w:rsidRPr="007A67EE">
        <w:rPr>
          <w:spacing w:val="-1"/>
        </w:rPr>
        <w:t xml:space="preserve"> </w:t>
      </w:r>
      <w:r w:rsidRPr="007A67EE">
        <w:t>similar</w:t>
      </w:r>
      <w:r w:rsidRPr="007A67EE">
        <w:rPr>
          <w:spacing w:val="-2"/>
        </w:rPr>
        <w:t xml:space="preserve"> </w:t>
      </w:r>
      <w:r w:rsidRPr="007A67EE">
        <w:t>incidence</w:t>
      </w:r>
      <w:r w:rsidRPr="007A67EE">
        <w:rPr>
          <w:spacing w:val="-4"/>
        </w:rPr>
        <w:t xml:space="preserve"> </w:t>
      </w:r>
      <w:r w:rsidRPr="007A67EE">
        <w:t>across</w:t>
      </w:r>
      <w:r w:rsidRPr="007A67EE">
        <w:rPr>
          <w:spacing w:val="-3"/>
        </w:rPr>
        <w:t xml:space="preserve"> </w:t>
      </w:r>
      <w:r w:rsidRPr="007A67EE">
        <w:t>treatment</w:t>
      </w:r>
      <w:r w:rsidRPr="007A67EE">
        <w:rPr>
          <w:spacing w:val="-2"/>
        </w:rPr>
        <w:t xml:space="preserve"> </w:t>
      </w:r>
      <w:r w:rsidRPr="007A67EE">
        <w:t>groups.</w:t>
      </w:r>
    </w:p>
    <w:p w14:paraId="48E7D009" w14:textId="062709EA" w:rsidR="00AE6E33" w:rsidRPr="007A67EE" w:rsidRDefault="00AE6E33" w:rsidP="00166A04">
      <w:r w:rsidRPr="007A67EE">
        <w:lastRenderedPageBreak/>
        <w:t>Subjects</w:t>
      </w:r>
      <w:r w:rsidRPr="007A67EE">
        <w:rPr>
          <w:spacing w:val="3"/>
        </w:rPr>
        <w:t xml:space="preserve"> </w:t>
      </w:r>
      <w:r w:rsidRPr="007A67EE">
        <w:t>had</w:t>
      </w:r>
      <w:r w:rsidRPr="007A67EE">
        <w:rPr>
          <w:spacing w:val="3"/>
        </w:rPr>
        <w:t xml:space="preserve"> </w:t>
      </w:r>
      <w:r w:rsidRPr="007A67EE">
        <w:t>been</w:t>
      </w:r>
      <w:r w:rsidRPr="007A67EE">
        <w:rPr>
          <w:spacing w:val="1"/>
        </w:rPr>
        <w:t xml:space="preserve"> </w:t>
      </w:r>
      <w:r w:rsidRPr="007A67EE">
        <w:t>diagnosed</w:t>
      </w:r>
      <w:r w:rsidRPr="007A67EE">
        <w:rPr>
          <w:spacing w:val="3"/>
        </w:rPr>
        <w:t xml:space="preserve"> </w:t>
      </w:r>
      <w:r w:rsidRPr="007A67EE">
        <w:t>with</w:t>
      </w:r>
      <w:r w:rsidRPr="007A67EE">
        <w:rPr>
          <w:spacing w:val="4"/>
        </w:rPr>
        <w:t xml:space="preserve"> </w:t>
      </w:r>
      <w:r w:rsidR="00453641">
        <w:t>atopic dermatitis</w:t>
      </w:r>
      <w:r w:rsidRPr="007A67EE">
        <w:rPr>
          <w:spacing w:val="1"/>
        </w:rPr>
        <w:t xml:space="preserve"> </w:t>
      </w:r>
      <w:r w:rsidRPr="007A67EE">
        <w:t>for a mean of approximately 20.2 years overall and, 12.5 years for adolescents. Disease</w:t>
      </w:r>
      <w:r w:rsidRPr="007A67EE">
        <w:rPr>
          <w:spacing w:val="1"/>
        </w:rPr>
        <w:t xml:space="preserve"> </w:t>
      </w:r>
      <w:r w:rsidRPr="007A67EE">
        <w:t xml:space="preserve">activity consistently reflected moderate (45%) to severe (55%) </w:t>
      </w:r>
      <w:r w:rsidR="00453641">
        <w:t>atopic dermatitis</w:t>
      </w:r>
      <w:r w:rsidRPr="007A67EE">
        <w:t xml:space="preserve"> across the treatment groups. EASI, SCORAD (overall, objective, itch and sleep scores), DLQI, CDLQI, HAD scores were similar</w:t>
      </w:r>
      <w:r w:rsidRPr="007A67EE">
        <w:rPr>
          <w:spacing w:val="1"/>
        </w:rPr>
        <w:t xml:space="preserve"> </w:t>
      </w:r>
      <w:r w:rsidRPr="007A67EE">
        <w:t>across</w:t>
      </w:r>
      <w:r w:rsidRPr="007A67EE">
        <w:rPr>
          <w:spacing w:val="-3"/>
        </w:rPr>
        <w:t xml:space="preserve"> </w:t>
      </w:r>
      <w:r w:rsidRPr="007A67EE">
        <w:t>all</w:t>
      </w:r>
      <w:r w:rsidRPr="007A67EE">
        <w:rPr>
          <w:spacing w:val="-1"/>
        </w:rPr>
        <w:t xml:space="preserve"> </w:t>
      </w:r>
      <w:r w:rsidRPr="007A67EE">
        <w:t>3</w:t>
      </w:r>
      <w:r w:rsidRPr="007A67EE">
        <w:rPr>
          <w:spacing w:val="-1"/>
        </w:rPr>
        <w:t xml:space="preserve"> </w:t>
      </w:r>
      <w:r w:rsidRPr="007A67EE">
        <w:t>treatment</w:t>
      </w:r>
      <w:r w:rsidRPr="007A67EE">
        <w:rPr>
          <w:spacing w:val="-1"/>
        </w:rPr>
        <w:t xml:space="preserve"> </w:t>
      </w:r>
      <w:r w:rsidRPr="007A67EE">
        <w:t>groups.</w:t>
      </w:r>
    </w:p>
    <w:p w14:paraId="0024B819" w14:textId="7270C7B7" w:rsidR="00AE6E33" w:rsidRPr="00166A04" w:rsidRDefault="00AE6E33" w:rsidP="00166A04">
      <w:r w:rsidRPr="00166A04">
        <w:t xml:space="preserve">Overall, 845 (99.8%) of subjects had received prior </w:t>
      </w:r>
      <w:r w:rsidR="00453641">
        <w:t>atopic dermatitis</w:t>
      </w:r>
      <w:r w:rsidRPr="00166A04">
        <w:t xml:space="preserve"> therapy with majority using topical corticosteroids [66.7%, 50.1% and 27.4% used high potency, medium potency and low potency </w:t>
      </w:r>
      <w:r w:rsidR="00166A04">
        <w:t>topical corticosteroids</w:t>
      </w:r>
      <w:r w:rsidRPr="00166A04">
        <w:t>, topical calcinuerin inhibitor (35%), other topical therapy (23%) and phototherapy.</w:t>
      </w:r>
    </w:p>
    <w:p w14:paraId="62329BEE" w14:textId="4EA40D7C" w:rsidR="00AE6E33" w:rsidRPr="00166A04" w:rsidRDefault="00AE6E33" w:rsidP="00166A04">
      <w:r w:rsidRPr="00166A04">
        <w:t xml:space="preserve">Topical betamethasone was the most frequently reported prior </w:t>
      </w:r>
      <w:r w:rsidR="00166A04">
        <w:t>medication (38.6% of subjects).</w:t>
      </w:r>
    </w:p>
    <w:p w14:paraId="4A94EBBA" w14:textId="77777777" w:rsidR="00AE6E33" w:rsidRPr="007A67EE" w:rsidRDefault="00AE6E33" w:rsidP="00166A04">
      <w:r w:rsidRPr="00166A04">
        <w:t>385</w:t>
      </w:r>
      <w:r w:rsidRPr="007A67EE">
        <w:t xml:space="preserve"> subjects (45.5%)</w:t>
      </w:r>
      <w:r w:rsidRPr="007A67EE">
        <w:rPr>
          <w:spacing w:val="-3"/>
        </w:rPr>
        <w:t xml:space="preserve"> </w:t>
      </w:r>
      <w:r w:rsidRPr="007A67EE">
        <w:t>received</w:t>
      </w:r>
      <w:r w:rsidRPr="007A67EE">
        <w:rPr>
          <w:spacing w:val="-3"/>
        </w:rPr>
        <w:t xml:space="preserve"> </w:t>
      </w:r>
      <w:r w:rsidRPr="007A67EE">
        <w:t>prior</w:t>
      </w:r>
      <w:r w:rsidRPr="007A67EE">
        <w:rPr>
          <w:spacing w:val="-2"/>
        </w:rPr>
        <w:t xml:space="preserve"> </w:t>
      </w:r>
      <w:r w:rsidRPr="007A67EE">
        <w:t>non-biologic</w:t>
      </w:r>
      <w:r w:rsidRPr="007A67EE">
        <w:rPr>
          <w:spacing w:val="-4"/>
        </w:rPr>
        <w:t xml:space="preserve"> </w:t>
      </w:r>
      <w:r w:rsidRPr="007A67EE">
        <w:t>immunomodulating</w:t>
      </w:r>
      <w:r w:rsidRPr="007A67EE">
        <w:rPr>
          <w:spacing w:val="-4"/>
        </w:rPr>
        <w:t xml:space="preserve"> </w:t>
      </w:r>
      <w:r w:rsidRPr="007A67EE">
        <w:t>systemic</w:t>
      </w:r>
      <w:r>
        <w:t xml:space="preserve"> </w:t>
      </w:r>
      <w:r w:rsidRPr="007A67EE">
        <w:t xml:space="preserve">therapies (29.4 to 100% of subjects per agent had lack of initial response). </w:t>
      </w:r>
    </w:p>
    <w:p w14:paraId="4E24187C" w14:textId="7B17EC71" w:rsidR="00AE6E33" w:rsidRPr="007A67EE" w:rsidRDefault="00AE6E33" w:rsidP="00166A04">
      <w:r w:rsidRPr="00166A04">
        <w:t>Twenty</w:t>
      </w:r>
      <w:r w:rsidRPr="007A67EE">
        <w:t>-four subjects</w:t>
      </w:r>
      <w:r w:rsidR="00B51532">
        <w:rPr>
          <w:spacing w:val="-46"/>
        </w:rPr>
        <w:t xml:space="preserve"> </w:t>
      </w:r>
      <w:r w:rsidR="00795BF7">
        <w:t>(</w:t>
      </w:r>
      <w:r w:rsidRPr="007A67EE">
        <w:t>2.8%) received prior biologic systemic therapies (50.0% to 100% of subjects per agent had a</w:t>
      </w:r>
      <w:r w:rsidRPr="007A67EE">
        <w:rPr>
          <w:spacing w:val="1"/>
        </w:rPr>
        <w:t xml:space="preserve"> </w:t>
      </w:r>
      <w:r w:rsidRPr="007A67EE">
        <w:t>lack</w:t>
      </w:r>
      <w:r w:rsidRPr="007A67EE">
        <w:rPr>
          <w:spacing w:val="-2"/>
        </w:rPr>
        <w:t xml:space="preserve"> </w:t>
      </w:r>
      <w:r w:rsidRPr="007A67EE">
        <w:t>of</w:t>
      </w:r>
      <w:r w:rsidRPr="007A67EE">
        <w:rPr>
          <w:spacing w:val="-4"/>
        </w:rPr>
        <w:t xml:space="preserve"> </w:t>
      </w:r>
      <w:r w:rsidRPr="007A67EE">
        <w:t>initial</w:t>
      </w:r>
      <w:r w:rsidRPr="007A67EE">
        <w:rPr>
          <w:spacing w:val="-1"/>
        </w:rPr>
        <w:t xml:space="preserve"> </w:t>
      </w:r>
      <w:r w:rsidRPr="007A67EE">
        <w:t>response).</w:t>
      </w:r>
    </w:p>
    <w:p w14:paraId="59CC25B0" w14:textId="23BF4679" w:rsidR="00AE6E33" w:rsidRDefault="00AE6E33" w:rsidP="00166A04">
      <w:r w:rsidRPr="00166A04">
        <w:t>Concomitant</w:t>
      </w:r>
      <w:r w:rsidRPr="007A67EE">
        <w:t xml:space="preserve"> medication usage was similar across all treatment groups; emollients and</w:t>
      </w:r>
      <w:r w:rsidRPr="007A67EE">
        <w:rPr>
          <w:spacing w:val="1"/>
        </w:rPr>
        <w:t xml:space="preserve"> </w:t>
      </w:r>
      <w:r w:rsidRPr="007A67EE">
        <w:t>protectives were the most frequently reported concomitant medications (27.5% and 27.4% of</w:t>
      </w:r>
      <w:r w:rsidR="00B51532">
        <w:t xml:space="preserve"> </w:t>
      </w:r>
      <w:r w:rsidRPr="007A67EE">
        <w:rPr>
          <w:spacing w:val="-46"/>
        </w:rPr>
        <w:t xml:space="preserve"> </w:t>
      </w:r>
      <w:r w:rsidRPr="007A67EE">
        <w:t>subjects</w:t>
      </w:r>
      <w:r w:rsidRPr="007A67EE">
        <w:rPr>
          <w:spacing w:val="-1"/>
        </w:rPr>
        <w:t xml:space="preserve"> </w:t>
      </w:r>
      <w:r w:rsidRPr="007A67EE">
        <w:t>in</w:t>
      </w:r>
      <w:r w:rsidRPr="007A67EE">
        <w:rPr>
          <w:spacing w:val="-2"/>
        </w:rPr>
        <w:t xml:space="preserve"> </w:t>
      </w:r>
      <w:r w:rsidRPr="007A67EE">
        <w:t>the</w:t>
      </w:r>
      <w:r w:rsidRPr="007A67EE">
        <w:rPr>
          <w:spacing w:val="-1"/>
        </w:rPr>
        <w:t xml:space="preserve"> </w:t>
      </w:r>
      <w:r w:rsidR="00166A04">
        <w:t>double blind</w:t>
      </w:r>
      <w:r w:rsidRPr="007A67EE">
        <w:rPr>
          <w:spacing w:val="-1"/>
        </w:rPr>
        <w:t xml:space="preserve"> </w:t>
      </w:r>
      <w:r w:rsidR="00166A04">
        <w:t>p</w:t>
      </w:r>
      <w:r w:rsidRPr="007A67EE">
        <w:t>eriod</w:t>
      </w:r>
      <w:r w:rsidRPr="007A67EE">
        <w:rPr>
          <w:spacing w:val="-3"/>
        </w:rPr>
        <w:t xml:space="preserve"> </w:t>
      </w:r>
      <w:r w:rsidRPr="007A67EE">
        <w:t>and</w:t>
      </w:r>
      <w:r w:rsidRPr="007A67EE">
        <w:rPr>
          <w:spacing w:val="-1"/>
        </w:rPr>
        <w:t xml:space="preserve"> </w:t>
      </w:r>
      <w:r w:rsidR="00166A04">
        <w:t>blinded extension p</w:t>
      </w:r>
      <w:r w:rsidRPr="007A67EE">
        <w:t>eriod).</w:t>
      </w:r>
    </w:p>
    <w:p w14:paraId="07CEA636" w14:textId="0E16F388" w:rsidR="00AE6E33" w:rsidRPr="00166A04" w:rsidRDefault="00AE6E33" w:rsidP="00166A04">
      <w:r w:rsidRPr="00166A04">
        <w:t xml:space="preserve">Treatment compliance rates were high in the </w:t>
      </w:r>
      <w:r w:rsidR="00166A04" w:rsidRPr="00166A04">
        <w:t>double blind p</w:t>
      </w:r>
      <w:r w:rsidRPr="00166A04">
        <w:t>eriod with mean compliance greater than</w:t>
      </w:r>
      <w:r w:rsidR="00166A04">
        <w:t xml:space="preserve"> </w:t>
      </w:r>
      <w:r w:rsidRPr="00166A04">
        <w:t>96% and median compliance greater than 99% in all three groups.</w:t>
      </w:r>
    </w:p>
    <w:p w14:paraId="1DCB0DDB" w14:textId="4A093EA7" w:rsidR="00AE6E33" w:rsidRPr="00166A04" w:rsidRDefault="00166A04" w:rsidP="00166A04">
      <w:r>
        <w:t>Regarding baseline data, the clinical evaluation noted that:</w:t>
      </w:r>
    </w:p>
    <w:p w14:paraId="11DF52CB" w14:textId="689A64A7" w:rsidR="00AE6E33" w:rsidRPr="00166A04" w:rsidRDefault="00AE6E33" w:rsidP="00166A04">
      <w:pPr>
        <w:pStyle w:val="ListBullet"/>
      </w:pPr>
      <w:r w:rsidRPr="00166A04">
        <w:t xml:space="preserve">Compliance was calculated as the number of tablets actually taken by the subject divided by the number of tablets planned to be taken by the subject during the </w:t>
      </w:r>
      <w:r w:rsidR="00166A04">
        <w:t>double blinded</w:t>
      </w:r>
      <w:r w:rsidRPr="00166A04">
        <w:t xml:space="preserve"> </w:t>
      </w:r>
      <w:r w:rsidR="00166A04">
        <w:t>and blinded extension p</w:t>
      </w:r>
      <w:r w:rsidRPr="00166A04">
        <w:t>eriod of the study, respectively.</w:t>
      </w:r>
    </w:p>
    <w:p w14:paraId="76D07AA7" w14:textId="0B0FC7E5" w:rsidR="00AE6E33" w:rsidRPr="00166A04" w:rsidRDefault="00AE6E33" w:rsidP="00166A04">
      <w:pPr>
        <w:pStyle w:val="ListBullet"/>
      </w:pPr>
      <w:r w:rsidRPr="00166A04">
        <w:t>Overall, the study population was representative of the target patient population for</w:t>
      </w:r>
      <w:r w:rsidR="005D7175">
        <w:t xml:space="preserve"> upadacitinib</w:t>
      </w:r>
      <w:r w:rsidRPr="00166A04">
        <w:t xml:space="preserve"> with moderate to severe severity of </w:t>
      </w:r>
      <w:r w:rsidR="00453641">
        <w:t>atopic dermatitis</w:t>
      </w:r>
      <w:r w:rsidRPr="00166A04">
        <w:t xml:space="preserve"> who were candidates for systemic</w:t>
      </w:r>
      <w:r w:rsidR="00B51532">
        <w:t xml:space="preserve"> </w:t>
      </w:r>
      <w:r w:rsidRPr="00166A04">
        <w:t>therapy (not responsive to local treatment and many had also not responded to prior systemic therapies);</w:t>
      </w:r>
    </w:p>
    <w:p w14:paraId="36FE41F1" w14:textId="63BCDAD5" w:rsidR="00AE6E33" w:rsidRPr="00166A04" w:rsidRDefault="00AE6E33" w:rsidP="00166A04">
      <w:pPr>
        <w:pStyle w:val="ListBullet"/>
      </w:pPr>
      <w:r w:rsidRPr="00166A04">
        <w:t xml:space="preserve">The use of previous systemic therapy was slightly higher in the </w:t>
      </w:r>
      <w:r w:rsidR="00166A04">
        <w:t>placebo compared to the u</w:t>
      </w:r>
      <w:r w:rsidRPr="00166A04">
        <w:t xml:space="preserve">padacitinib groups (42.7%, 45.3% and 51.2% in the </w:t>
      </w:r>
      <w:r w:rsidR="005D7175">
        <w:t>15 mg</w:t>
      </w:r>
      <w:r w:rsidRPr="00166A04">
        <w:t xml:space="preserve">, </w:t>
      </w:r>
      <w:r w:rsidR="005D7175">
        <w:t>30 mg</w:t>
      </w:r>
      <w:r w:rsidRPr="00166A04">
        <w:t xml:space="preserve"> and </w:t>
      </w:r>
      <w:r w:rsidR="00166A04">
        <w:t>placebo</w:t>
      </w:r>
      <w:r w:rsidRPr="00166A04">
        <w:t xml:space="preserve"> groups, respectively).</w:t>
      </w:r>
    </w:p>
    <w:p w14:paraId="245E444B" w14:textId="0F1892B7" w:rsidR="00AE6E33" w:rsidRPr="00166A04" w:rsidRDefault="00AE6E33" w:rsidP="00166A04">
      <w:pPr>
        <w:pStyle w:val="ListBullet"/>
      </w:pPr>
      <w:r w:rsidRPr="00166A04">
        <w:t xml:space="preserve">The use of concomitant medications by </w:t>
      </w:r>
      <w:r w:rsidR="00166A04">
        <w:t>‘category’</w:t>
      </w:r>
      <w:r w:rsidRPr="00166A04">
        <w:t xml:space="preserve"> was not provided in the </w:t>
      </w:r>
      <w:r w:rsidR="00166A04">
        <w:t>clinical study report</w:t>
      </w:r>
      <w:r w:rsidRPr="00166A04">
        <w:t xml:space="preserve"> and </w:t>
      </w:r>
      <w:r w:rsidR="00166A04">
        <w:t xml:space="preserve">was requested – the clinical study report had </w:t>
      </w:r>
      <w:r w:rsidRPr="00166A04">
        <w:t>only provided listing of concomitant medications by generic names).</w:t>
      </w:r>
    </w:p>
    <w:p w14:paraId="4F6EBBCD" w14:textId="2997D227" w:rsidR="00AE6E33" w:rsidRPr="00166A04" w:rsidRDefault="00166A04" w:rsidP="00166A04">
      <w:pPr>
        <w:pStyle w:val="Heading5"/>
      </w:pPr>
      <w:r>
        <w:t xml:space="preserve">Major protocol violations and </w:t>
      </w:r>
      <w:r w:rsidR="00AE6E33" w:rsidRPr="00FE3C3F">
        <w:t>deviations</w:t>
      </w:r>
    </w:p>
    <w:p w14:paraId="6627770B" w14:textId="22B400DE" w:rsidR="00AE6E33" w:rsidRPr="00B300E5" w:rsidRDefault="00AE6E33" w:rsidP="00B300E5">
      <w:r w:rsidRPr="00B300E5">
        <w:t xml:space="preserve">The incidence of at least one protocol deviation was 12.5% (35/281), 15.4% (44/285) and 14.9% (42/281) in the </w:t>
      </w:r>
      <w:r w:rsidR="00166A04" w:rsidRPr="00B300E5">
        <w:t>upadacitinib</w:t>
      </w:r>
      <w:r w:rsidRPr="00B300E5">
        <w:t xml:space="preserve"> 15</w:t>
      </w:r>
      <w:r w:rsidR="00166A04" w:rsidRPr="00B300E5">
        <w:t xml:space="preserve"> </w:t>
      </w:r>
      <w:r w:rsidRPr="00B300E5">
        <w:t xml:space="preserve">mg, </w:t>
      </w:r>
      <w:r w:rsidR="005D7175">
        <w:t>30 mg</w:t>
      </w:r>
      <w:r w:rsidRPr="00B300E5">
        <w:t xml:space="preserve"> and </w:t>
      </w:r>
      <w:r w:rsidR="00166A04" w:rsidRPr="00B300E5">
        <w:t>placebo</w:t>
      </w:r>
      <w:r w:rsidRPr="00B300E5">
        <w:t xml:space="preserve"> groups, respectively. Total number of subjects excluded from the </w:t>
      </w:r>
      <w:r w:rsidR="00166A04" w:rsidRPr="00B300E5">
        <w:t>per protocol</w:t>
      </w:r>
      <w:r w:rsidRPr="00B300E5">
        <w:t xml:space="preserve"> population was 5.3% (15/281), 4.9% (14/285) and 3.6% (10/281), respectively.</w:t>
      </w:r>
    </w:p>
    <w:p w14:paraId="130EDD74" w14:textId="45ABA301" w:rsidR="00AE6E33" w:rsidRPr="00B300E5" w:rsidRDefault="00AE6E33" w:rsidP="00B300E5">
      <w:r w:rsidRPr="00B300E5">
        <w:t xml:space="preserve">The most common protocol deviation was subject being entered into the study even though he/she did not fully satisfy the entry criteria. The most common </w:t>
      </w:r>
      <w:r w:rsidR="00166A04" w:rsidRPr="00B300E5">
        <w:t xml:space="preserve">eligibility criterion (criterion </w:t>
      </w:r>
      <w:r w:rsidRPr="00B300E5">
        <w:t>7) not being met related to the atopic disease activity parame</w:t>
      </w:r>
      <w:r w:rsidR="00453641">
        <w:t xml:space="preserve">ters. Subjects should meet all </w:t>
      </w:r>
      <w:r w:rsidRPr="00B300E5">
        <w:t xml:space="preserve">disease </w:t>
      </w:r>
      <w:r w:rsidR="00B300E5" w:rsidRPr="00B300E5">
        <w:t xml:space="preserve">activity parameters, that is, an </w:t>
      </w:r>
      <w:r w:rsidRPr="00B300E5">
        <w:t xml:space="preserve">EASI score ≥ 16, vIGA score ≥ 3, ≥10% body surface area (BSA) of </w:t>
      </w:r>
      <w:r w:rsidR="00DD6D4D">
        <w:t>atopic dermatitis</w:t>
      </w:r>
      <w:r w:rsidR="00DD6D4D" w:rsidRPr="00B300E5">
        <w:t xml:space="preserve"> </w:t>
      </w:r>
      <w:r w:rsidRPr="00B300E5">
        <w:t xml:space="preserve">involvement and an average of daily worst pruritus NRS ≥ 4. This eligibility criterion was a requirement specified in the Paediatric Investigation Plan (PIP) for </w:t>
      </w:r>
      <w:r w:rsidR="00B300E5" w:rsidRPr="00B300E5">
        <w:t xml:space="preserve">the </w:t>
      </w:r>
      <w:r w:rsidRPr="00B300E5">
        <w:t>EMA.</w:t>
      </w:r>
    </w:p>
    <w:p w14:paraId="3C5279AB" w14:textId="72985DD5" w:rsidR="00AE6E33" w:rsidRPr="00FE3C3F" w:rsidRDefault="00AE6E33" w:rsidP="00B300E5">
      <w:r w:rsidRPr="00B300E5">
        <w:lastRenderedPageBreak/>
        <w:t>Almost all the deviations relate</w:t>
      </w:r>
      <w:r w:rsidR="00B300E5" w:rsidRPr="00B300E5">
        <w:t xml:space="preserve">d to eligibility criterion </w:t>
      </w:r>
      <w:r w:rsidRPr="00B300E5">
        <w:t xml:space="preserve">7 were due to missing a minimum of 4 daily Worst Pruritus NRS assessments out of the 7 consecutive days immediately preceding the </w:t>
      </w:r>
      <w:r w:rsidR="00B300E5" w:rsidRPr="00B300E5">
        <w:t>baseline v</w:t>
      </w:r>
      <w:r w:rsidRPr="00B300E5">
        <w:t xml:space="preserve">isit to calculate the baseline weekly average of daily Worst Pruritus NRS ≥ 4, while all other disease activity criteria were met. Subjects with missing data </w:t>
      </w:r>
      <w:r w:rsidRPr="00FE3C3F">
        <w:rPr>
          <w:spacing w:val="-2"/>
        </w:rPr>
        <w:t>included</w:t>
      </w:r>
      <w:r w:rsidRPr="00FE3C3F">
        <w:rPr>
          <w:spacing w:val="-3"/>
        </w:rPr>
        <w:t xml:space="preserve"> </w:t>
      </w:r>
      <w:r w:rsidRPr="00FE3C3F">
        <w:t>8</w:t>
      </w:r>
      <w:r w:rsidRPr="00FE3C3F">
        <w:rPr>
          <w:spacing w:val="-2"/>
        </w:rPr>
        <w:t xml:space="preserve"> </w:t>
      </w:r>
      <w:r w:rsidRPr="00FE3C3F">
        <w:t>adolescent</w:t>
      </w:r>
      <w:r w:rsidRPr="00FE3C3F">
        <w:rPr>
          <w:spacing w:val="-2"/>
        </w:rPr>
        <w:t xml:space="preserve"> </w:t>
      </w:r>
      <w:r w:rsidRPr="00FE3C3F">
        <w:t>subjects</w:t>
      </w:r>
      <w:r w:rsidRPr="00FE3C3F">
        <w:rPr>
          <w:spacing w:val="-3"/>
        </w:rPr>
        <w:t xml:space="preserve"> </w:t>
      </w:r>
      <w:r w:rsidRPr="00FE3C3F">
        <w:t>with</w:t>
      </w:r>
      <w:r w:rsidRPr="00FE3C3F">
        <w:rPr>
          <w:spacing w:val="-2"/>
        </w:rPr>
        <w:t xml:space="preserve"> </w:t>
      </w:r>
      <w:r w:rsidRPr="00FE3C3F">
        <w:t>a</w:t>
      </w:r>
      <w:r w:rsidRPr="00FE3C3F">
        <w:rPr>
          <w:spacing w:val="-2"/>
        </w:rPr>
        <w:t xml:space="preserve"> </w:t>
      </w:r>
      <w:r w:rsidR="00B300E5">
        <w:t>b</w:t>
      </w:r>
      <w:r w:rsidRPr="00FE3C3F">
        <w:t>aseline</w:t>
      </w:r>
      <w:r w:rsidRPr="00FE3C3F">
        <w:rPr>
          <w:spacing w:val="-2"/>
        </w:rPr>
        <w:t xml:space="preserve"> </w:t>
      </w:r>
      <w:r w:rsidRPr="00FE3C3F">
        <w:t>NRS</w:t>
      </w:r>
      <w:r w:rsidR="00B300E5">
        <w:t xml:space="preserve"> </w:t>
      </w:r>
      <w:r w:rsidRPr="00FE3C3F">
        <w:t>&lt;</w:t>
      </w:r>
      <w:r w:rsidRPr="00FE3C3F">
        <w:rPr>
          <w:spacing w:val="-1"/>
        </w:rPr>
        <w:t xml:space="preserve"> </w:t>
      </w:r>
      <w:r w:rsidRPr="00FE3C3F">
        <w:t>4 or</w:t>
      </w:r>
      <w:r w:rsidRPr="00FE3C3F">
        <w:rPr>
          <w:spacing w:val="-1"/>
        </w:rPr>
        <w:t xml:space="preserve"> </w:t>
      </w:r>
      <w:r w:rsidRPr="00FE3C3F">
        <w:t>a missing</w:t>
      </w:r>
      <w:r w:rsidRPr="00FE3C3F">
        <w:rPr>
          <w:spacing w:val="-2"/>
        </w:rPr>
        <w:t xml:space="preserve"> </w:t>
      </w:r>
      <w:r w:rsidR="00B300E5">
        <w:t>b</w:t>
      </w:r>
      <w:r w:rsidRPr="00FE3C3F">
        <w:t>aseline NRS.</w:t>
      </w:r>
    </w:p>
    <w:p w14:paraId="3188CF76" w14:textId="2D4220C7" w:rsidR="00AE6E33" w:rsidRDefault="00B300E5" w:rsidP="00B300E5">
      <w:r>
        <w:t>The clinical evaluation noted that s</w:t>
      </w:r>
      <w:r w:rsidR="00AE6E33" w:rsidRPr="00FE3C3F">
        <w:t>ubjects on an ePRO device</w:t>
      </w:r>
      <w:r w:rsidR="00453641">
        <w:t>;</w:t>
      </w:r>
      <w:r>
        <w:rPr>
          <w:rStyle w:val="FootnoteReference"/>
        </w:rPr>
        <w:footnoteReference w:id="60"/>
      </w:r>
      <w:r w:rsidR="00AE6E33" w:rsidRPr="00FE3C3F">
        <w:t xml:space="preserve"> completed the Worst Pruritus NRS score daily. Data documented outside the ePRO device were not</w:t>
      </w:r>
      <w:r w:rsidR="00AE6E33" w:rsidRPr="00FE3C3F">
        <w:rPr>
          <w:spacing w:val="1"/>
        </w:rPr>
        <w:t xml:space="preserve"> </w:t>
      </w:r>
      <w:r w:rsidR="00AE6E33" w:rsidRPr="00FE3C3F">
        <w:t>accepted in the study. Due to technical issues with the ePRO devices and lack of appropriate understanding by subjects and site</w:t>
      </w:r>
      <w:r w:rsidR="00AE6E33" w:rsidRPr="00FE3C3F">
        <w:rPr>
          <w:spacing w:val="1"/>
        </w:rPr>
        <w:t xml:space="preserve"> </w:t>
      </w:r>
      <w:r w:rsidR="00AE6E33" w:rsidRPr="00FE3C3F">
        <w:t>personnel regarding the collection and calculation of the Worst Pruritus NRS score, the data were missed from some subjects, and</w:t>
      </w:r>
      <w:r w:rsidR="00AE6E33" w:rsidRPr="00FE3C3F">
        <w:rPr>
          <w:spacing w:val="1"/>
        </w:rPr>
        <w:t xml:space="preserve"> </w:t>
      </w:r>
      <w:r w:rsidR="00AE6E33" w:rsidRPr="00FE3C3F">
        <w:t>eligibility as per the Worst Pruritus NRS score could not be confirmed at the time of the Baseline visit. The issue was resolved by training</w:t>
      </w:r>
      <w:r w:rsidR="00AE6E33" w:rsidRPr="00FE3C3F">
        <w:rPr>
          <w:spacing w:val="-33"/>
        </w:rPr>
        <w:t xml:space="preserve"> </w:t>
      </w:r>
      <w:r w:rsidR="00AE6E33" w:rsidRPr="00FE3C3F">
        <w:t>the</w:t>
      </w:r>
      <w:r w:rsidR="00AE6E33" w:rsidRPr="00FE3C3F">
        <w:rPr>
          <w:spacing w:val="-2"/>
        </w:rPr>
        <w:t xml:space="preserve"> </w:t>
      </w:r>
      <w:r w:rsidR="00AE6E33" w:rsidRPr="00FE3C3F">
        <w:t>site</w:t>
      </w:r>
      <w:r w:rsidR="00AE6E33" w:rsidRPr="00FE3C3F">
        <w:rPr>
          <w:spacing w:val="-1"/>
        </w:rPr>
        <w:t xml:space="preserve"> </w:t>
      </w:r>
      <w:r w:rsidR="00AE6E33" w:rsidRPr="00FE3C3F">
        <w:t>personnel,</w:t>
      </w:r>
      <w:r w:rsidR="00AE6E33" w:rsidRPr="00FE3C3F">
        <w:rPr>
          <w:spacing w:val="-2"/>
        </w:rPr>
        <w:t xml:space="preserve"> </w:t>
      </w:r>
      <w:r w:rsidR="00AE6E33" w:rsidRPr="00FE3C3F">
        <w:t>close</w:t>
      </w:r>
      <w:r w:rsidR="00AE6E33" w:rsidRPr="00FE3C3F">
        <w:rPr>
          <w:spacing w:val="-1"/>
        </w:rPr>
        <w:t xml:space="preserve"> </w:t>
      </w:r>
      <w:r w:rsidR="00AE6E33" w:rsidRPr="00FE3C3F">
        <w:t>monitoring</w:t>
      </w:r>
      <w:r w:rsidR="00AE6E33" w:rsidRPr="00FE3C3F">
        <w:rPr>
          <w:spacing w:val="-2"/>
        </w:rPr>
        <w:t xml:space="preserve"> </w:t>
      </w:r>
      <w:r w:rsidR="00AE6E33" w:rsidRPr="00FE3C3F">
        <w:t>of</w:t>
      </w:r>
      <w:r w:rsidR="00AE6E33" w:rsidRPr="00FE3C3F">
        <w:rPr>
          <w:spacing w:val="-2"/>
        </w:rPr>
        <w:t xml:space="preserve"> </w:t>
      </w:r>
      <w:r w:rsidR="00AE6E33" w:rsidRPr="00FE3C3F">
        <w:t>subjects</w:t>
      </w:r>
      <w:r w:rsidR="00AE6E33" w:rsidRPr="00FE3C3F">
        <w:rPr>
          <w:spacing w:val="1"/>
        </w:rPr>
        <w:t xml:space="preserve"> </w:t>
      </w:r>
      <w:r w:rsidR="00AE6E33" w:rsidRPr="00FE3C3F">
        <w:t>in</w:t>
      </w:r>
      <w:r w:rsidR="00AE6E33" w:rsidRPr="00FE3C3F">
        <w:rPr>
          <w:spacing w:val="-3"/>
        </w:rPr>
        <w:t xml:space="preserve"> </w:t>
      </w:r>
      <w:r w:rsidR="00AE6E33" w:rsidRPr="00FE3C3F">
        <w:t>screening and</w:t>
      </w:r>
      <w:r w:rsidR="00AE6E33" w:rsidRPr="00FE3C3F">
        <w:rPr>
          <w:spacing w:val="-2"/>
        </w:rPr>
        <w:t xml:space="preserve"> </w:t>
      </w:r>
      <w:r w:rsidR="00AE6E33" w:rsidRPr="00FE3C3F">
        <w:t>re-education of</w:t>
      </w:r>
      <w:r w:rsidR="00AE6E33" w:rsidRPr="00FE3C3F">
        <w:rPr>
          <w:spacing w:val="-1"/>
        </w:rPr>
        <w:t xml:space="preserve"> </w:t>
      </w:r>
      <w:r w:rsidR="00AE6E33" w:rsidRPr="00FE3C3F">
        <w:t>subjects</w:t>
      </w:r>
      <w:r w:rsidR="00AE6E33" w:rsidRPr="00FE3C3F">
        <w:rPr>
          <w:spacing w:val="-2"/>
        </w:rPr>
        <w:t xml:space="preserve"> </w:t>
      </w:r>
      <w:r w:rsidR="00AE6E33" w:rsidRPr="00FE3C3F">
        <w:t>in</w:t>
      </w:r>
      <w:r w:rsidR="00AE6E33" w:rsidRPr="00FE3C3F">
        <w:rPr>
          <w:spacing w:val="1"/>
        </w:rPr>
        <w:t xml:space="preserve"> </w:t>
      </w:r>
      <w:r w:rsidR="00AE6E33" w:rsidRPr="00FE3C3F">
        <w:t>completing</w:t>
      </w:r>
      <w:r w:rsidR="00AE6E33" w:rsidRPr="00FE3C3F">
        <w:rPr>
          <w:spacing w:val="-2"/>
        </w:rPr>
        <w:t xml:space="preserve"> </w:t>
      </w:r>
      <w:r w:rsidR="00AE6E33" w:rsidRPr="00FE3C3F">
        <w:t>ePROs.</w:t>
      </w:r>
    </w:p>
    <w:p w14:paraId="2740A50F" w14:textId="305551D7" w:rsidR="00B300E5" w:rsidRPr="00FE3C3F" w:rsidRDefault="00B00830" w:rsidP="00B300E5">
      <w:pPr>
        <w:pStyle w:val="Heading5"/>
      </w:pPr>
      <w:r>
        <w:t>Results for the e</w:t>
      </w:r>
      <w:r w:rsidR="00B300E5">
        <w:t>fficacy outcomes</w:t>
      </w:r>
    </w:p>
    <w:p w14:paraId="4F34D3E6" w14:textId="2FBCDD71" w:rsidR="00AE6E33" w:rsidRDefault="00B300E5" w:rsidP="00B300E5">
      <w:pPr>
        <w:pStyle w:val="Heading6"/>
      </w:pPr>
      <w:r>
        <w:t>Co-primary endpoints</w:t>
      </w:r>
    </w:p>
    <w:p w14:paraId="38B1EE81" w14:textId="6D7F6D71" w:rsidR="00AE6E33" w:rsidRPr="00B300E5" w:rsidRDefault="00B300E5" w:rsidP="00B300E5">
      <w:r>
        <w:t>The clinical evaluation of this study noted that the stated co-primary endpoints were met. The endpoints achieved were as follows:</w:t>
      </w:r>
    </w:p>
    <w:p w14:paraId="1DCF53D1" w14:textId="3530B300" w:rsidR="00B300E5" w:rsidRDefault="00AE6E33" w:rsidP="00B300E5">
      <w:pPr>
        <w:pStyle w:val="ListBullet"/>
      </w:pPr>
      <w:r w:rsidRPr="00B300E5">
        <w:t xml:space="preserve">a statistically significantly larger proportion of </w:t>
      </w:r>
      <w:r w:rsidR="00B300E5">
        <w:t xml:space="preserve">subjects in the upadacitinib groups achieved </w:t>
      </w:r>
      <w:r w:rsidR="00770D0B">
        <w:t xml:space="preserve">an </w:t>
      </w:r>
      <w:r w:rsidR="00B300E5">
        <w:t xml:space="preserve">EASI 75 </w:t>
      </w:r>
      <w:r w:rsidR="00770D0B">
        <w:t xml:space="preserve">response compared with baseline scores </w:t>
      </w:r>
      <w:r w:rsidR="00B300E5">
        <w:t>(</w:t>
      </w:r>
      <w:r w:rsidRPr="00B300E5">
        <w:t xml:space="preserve">69.6%, 79.7% and 16.3% in the </w:t>
      </w:r>
      <w:r w:rsidR="00B300E5">
        <w:t xml:space="preserve">upadacitinib </w:t>
      </w:r>
      <w:r w:rsidRPr="00B300E5">
        <w:t>15</w:t>
      </w:r>
      <w:r w:rsidR="00B300E5">
        <w:t xml:space="preserve"> mg, </w:t>
      </w:r>
      <w:r w:rsidRPr="00B300E5">
        <w:t>30</w:t>
      </w:r>
      <w:r w:rsidR="00B300E5">
        <w:t xml:space="preserve"> mg and placebo</w:t>
      </w:r>
      <w:r w:rsidRPr="00B300E5">
        <w:t xml:space="preserve"> groups, respectively; p</w:t>
      </w:r>
      <w:r w:rsidR="00B300E5">
        <w:t xml:space="preserve"> </w:t>
      </w:r>
      <w:r w:rsidRPr="00B300E5">
        <w:t>&lt;</w:t>
      </w:r>
      <w:r w:rsidR="00B300E5">
        <w:t xml:space="preserve"> 0.001 for both u</w:t>
      </w:r>
      <w:r w:rsidRPr="00B300E5">
        <w:t>padacitinib groups v</w:t>
      </w:r>
      <w:r w:rsidR="00B300E5">
        <w:t>ersu</w:t>
      </w:r>
      <w:r w:rsidR="00770D0B">
        <w:t xml:space="preserve">s placebo) (see Section: </w:t>
      </w:r>
      <w:r w:rsidR="00770D0B" w:rsidRPr="000A7587">
        <w:rPr>
          <w:i/>
        </w:rPr>
        <w:fldChar w:fldCharType="begin"/>
      </w:r>
      <w:r w:rsidR="00770D0B" w:rsidRPr="000A7587">
        <w:rPr>
          <w:i/>
        </w:rPr>
        <w:instrText xml:space="preserve"> REF _Ref126044782 \h </w:instrText>
      </w:r>
      <w:r w:rsidR="00770D0B">
        <w:rPr>
          <w:i/>
        </w:rPr>
        <w:instrText xml:space="preserve"> \* MERGEFORMAT </w:instrText>
      </w:r>
      <w:r w:rsidR="00770D0B" w:rsidRPr="000A7587">
        <w:rPr>
          <w:i/>
        </w:rPr>
      </w:r>
      <w:r w:rsidR="00770D0B" w:rsidRPr="000A7587">
        <w:rPr>
          <w:i/>
        </w:rPr>
        <w:fldChar w:fldCharType="separate"/>
      </w:r>
      <w:r w:rsidR="00B51532" w:rsidRPr="00B51532">
        <w:rPr>
          <w:i/>
        </w:rPr>
        <w:t>Eczema Area and Severity Index (EASI)</w:t>
      </w:r>
      <w:r w:rsidR="00770D0B" w:rsidRPr="000A7587">
        <w:rPr>
          <w:i/>
        </w:rPr>
        <w:fldChar w:fldCharType="end"/>
      </w:r>
      <w:r w:rsidR="00770D0B">
        <w:rPr>
          <w:i/>
        </w:rPr>
        <w:t>)</w:t>
      </w:r>
    </w:p>
    <w:p w14:paraId="2DFF8B9C" w14:textId="22E3331F" w:rsidR="00AE6E33" w:rsidRDefault="00AE6E33" w:rsidP="00B300E5">
      <w:pPr>
        <w:pStyle w:val="ListBullet"/>
      </w:pPr>
      <w:r w:rsidRPr="009201C8">
        <w:t xml:space="preserve">patients with moderate and severe eczema treated with </w:t>
      </w:r>
      <w:r w:rsidR="00B300E5">
        <w:t>upadacitinib</w:t>
      </w:r>
      <w:r w:rsidRPr="009201C8">
        <w:t>, demonstrated significant</w:t>
      </w:r>
      <w:r w:rsidRPr="00B300E5">
        <w:rPr>
          <w:spacing w:val="1"/>
        </w:rPr>
        <w:t xml:space="preserve"> </w:t>
      </w:r>
      <w:r w:rsidRPr="009201C8">
        <w:t>improvements</w:t>
      </w:r>
      <w:r w:rsidRPr="00B300E5">
        <w:rPr>
          <w:spacing w:val="-1"/>
        </w:rPr>
        <w:t xml:space="preserve"> </w:t>
      </w:r>
      <w:r w:rsidRPr="009201C8">
        <w:t>over</w:t>
      </w:r>
      <w:r w:rsidRPr="00B300E5">
        <w:rPr>
          <w:spacing w:val="-1"/>
        </w:rPr>
        <w:t xml:space="preserve"> </w:t>
      </w:r>
      <w:r w:rsidR="00B300E5">
        <w:rPr>
          <w:spacing w:val="-1"/>
        </w:rPr>
        <w:t>placebo</w:t>
      </w:r>
      <w:r w:rsidRPr="00B300E5">
        <w:rPr>
          <w:spacing w:val="-1"/>
        </w:rPr>
        <w:t xml:space="preserve">, </w:t>
      </w:r>
      <w:r w:rsidR="00B300E5">
        <w:t xml:space="preserve">as per </w:t>
      </w:r>
      <w:fldSimple w:instr=" REF _Ref120708271 ">
        <w:r w:rsidR="00B51532">
          <w:t xml:space="preserve">Table </w:t>
        </w:r>
        <w:r w:rsidR="00B51532">
          <w:rPr>
            <w:noProof/>
          </w:rPr>
          <w:t>23</w:t>
        </w:r>
      </w:fldSimple>
      <w:r w:rsidR="008A7ED4">
        <w:t xml:space="preserve"> </w:t>
      </w:r>
      <w:r w:rsidR="00B300E5">
        <w:t>below.</w:t>
      </w:r>
    </w:p>
    <w:p w14:paraId="404D9A86" w14:textId="66A12F4D" w:rsidR="008A7ED4" w:rsidRDefault="008A7ED4" w:rsidP="008A7ED4">
      <w:pPr>
        <w:pStyle w:val="Tabletitle0"/>
      </w:pPr>
      <w:bookmarkStart w:id="98" w:name="_Ref120708271"/>
      <w:r>
        <w:t xml:space="preserve">Table </w:t>
      </w:r>
      <w:fldSimple w:instr=" SEQ Table \* ARABIC ">
        <w:r w:rsidR="00B51532">
          <w:rPr>
            <w:noProof/>
          </w:rPr>
          <w:t>23</w:t>
        </w:r>
      </w:fldSimple>
      <w:bookmarkEnd w:id="98"/>
      <w:r>
        <w:t xml:space="preserve">: Study M16-045 </w:t>
      </w:r>
      <w:r w:rsidRPr="008A7ED4">
        <w:t xml:space="preserve">Proportion of subjects achieving </w:t>
      </w:r>
      <w:r w:rsidR="00453641">
        <w:t xml:space="preserve">a </w:t>
      </w:r>
      <w:r w:rsidRPr="008A7ED4">
        <w:t xml:space="preserve">EASI 75 </w:t>
      </w:r>
      <w:r w:rsidR="00453641">
        <w:t xml:space="preserve">response </w:t>
      </w:r>
      <w:r w:rsidRPr="008A7ED4">
        <w:t xml:space="preserve">by visit in </w:t>
      </w:r>
      <w:r>
        <w:t>double blind</w:t>
      </w:r>
      <w:r w:rsidRPr="008A7ED4">
        <w:t xml:space="preserve"> period (NRI-C) (</w:t>
      </w:r>
      <w:r w:rsidR="00453641">
        <w:t>main ITT</w:t>
      </w:r>
      <w:r w:rsidRPr="008A7ED4">
        <w:t xml:space="preserve"> population)</w:t>
      </w:r>
    </w:p>
    <w:p w14:paraId="50C1AF72" w14:textId="3A22540B" w:rsidR="00AE6E33" w:rsidRDefault="00B300E5" w:rsidP="008A7ED4">
      <w:r>
        <w:rPr>
          <w:noProof/>
          <w:lang w:val="en-GB" w:eastAsia="en-GB"/>
        </w:rPr>
        <w:drawing>
          <wp:inline distT="0" distB="0" distL="0" distR="0" wp14:anchorId="19703027" wp14:editId="187179D1">
            <wp:extent cx="5657850" cy="2707005"/>
            <wp:effectExtent l="0" t="0" r="0" b="0"/>
            <wp:docPr id="19" name="Picture 19" descr="Study M16-045 Proportion of subjects achieving a EASI 75 response by visit in double blind period (NRI-C) (main ITT population)" title="Study M16-045 Proportion of subjects achieving a EASI 75 response by visit in double blind period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57850" cy="2707005"/>
                    </a:xfrm>
                    <a:prstGeom prst="rect">
                      <a:avLst/>
                    </a:prstGeom>
                    <a:noFill/>
                  </pic:spPr>
                </pic:pic>
              </a:graphicData>
            </a:graphic>
          </wp:inline>
        </w:drawing>
      </w:r>
      <w:bookmarkStart w:id="99" w:name="Table_7.1.11a:__Proportion_of_subjects_a"/>
      <w:bookmarkStart w:id="100" w:name="_bookmark74"/>
      <w:bookmarkEnd w:id="99"/>
      <w:bookmarkEnd w:id="100"/>
    </w:p>
    <w:p w14:paraId="51FEF2AD" w14:textId="39FD12B6" w:rsidR="00453641" w:rsidRDefault="00453641" w:rsidP="005728DC">
      <w:pPr>
        <w:pStyle w:val="TableDescription"/>
      </w:pPr>
      <w:r>
        <w:t xml:space="preserve">Abbreviations: CI = confidence intervals; EASI 75 = Eczema </w:t>
      </w:r>
      <w:r w:rsidR="005728DC">
        <w:t xml:space="preserve">Area and Severity Index 75 response; </w:t>
      </w:r>
      <w:r w:rsidR="00F67D58">
        <w:t>ITT = intention to treat; NRI</w:t>
      </w:r>
      <w:r w:rsidR="00F67D58">
        <w:noBreakHyphen/>
        <w:t xml:space="preserve">C = </w:t>
      </w:r>
      <w:r w:rsidR="00F67D58" w:rsidRPr="00F67D58">
        <w:t>Nonresponder Imputation inc</w:t>
      </w:r>
      <w:r w:rsidR="00F67D58">
        <w:t>orporating Multiple Imputation (MI)</w:t>
      </w:r>
      <w:r w:rsidR="00F67D58" w:rsidRPr="00F67D58">
        <w:t xml:space="preserve"> to handle missing data due to COVID-19</w:t>
      </w:r>
      <w:r w:rsidR="00F67D58">
        <w:t xml:space="preserve">; </w:t>
      </w:r>
      <w:r>
        <w:t>QD = once daily; UPA = upadacitinib.</w:t>
      </w:r>
    </w:p>
    <w:p w14:paraId="2BA3C3B4" w14:textId="09C1FA6D" w:rsidR="008A7ED4" w:rsidRDefault="008A7ED4" w:rsidP="008A7ED4">
      <w:pPr>
        <w:pStyle w:val="ListBullet"/>
      </w:pPr>
      <w:r>
        <w:lastRenderedPageBreak/>
        <w:t>A</w:t>
      </w:r>
      <w:r w:rsidR="00AE6E33" w:rsidRPr="009201C8">
        <w:t xml:space="preserve"> statistically significantly larger proportion of subjects in the</w:t>
      </w:r>
      <w:r w:rsidR="005D7175">
        <w:t xml:space="preserve"> upadacitinib</w:t>
      </w:r>
      <w:r w:rsidR="00AE6E33" w:rsidRPr="009201C8">
        <w:t xml:space="preserve"> groups,</w:t>
      </w:r>
      <w:r w:rsidR="00B51532">
        <w:t xml:space="preserve"> </w:t>
      </w:r>
      <w:r w:rsidR="00AE6E33" w:rsidRPr="009201C8">
        <w:t>achieved</w:t>
      </w:r>
      <w:r w:rsidR="00B51532">
        <w:t xml:space="preserve"> </w:t>
      </w:r>
      <w:r w:rsidR="00AE6E33" w:rsidRPr="009201C8">
        <w:rPr>
          <w:spacing w:val="-46"/>
        </w:rPr>
        <w:t xml:space="preserve"> </w:t>
      </w:r>
      <w:r w:rsidR="00AE6E33" w:rsidRPr="009201C8">
        <w:t>a</w:t>
      </w:r>
      <w:r w:rsidR="00AE6E33" w:rsidRPr="009201C8">
        <w:rPr>
          <w:spacing w:val="-2"/>
        </w:rPr>
        <w:t xml:space="preserve"> </w:t>
      </w:r>
      <w:r w:rsidR="00AE6E33" w:rsidRPr="009201C8">
        <w:t>vIGA-AD</w:t>
      </w:r>
      <w:r w:rsidR="00AE6E33" w:rsidRPr="009201C8">
        <w:rPr>
          <w:spacing w:val="-1"/>
        </w:rPr>
        <w:t xml:space="preserve"> </w:t>
      </w:r>
      <w:r w:rsidR="00AE6E33" w:rsidRPr="009201C8">
        <w:t>score</w:t>
      </w:r>
      <w:r w:rsidR="00AE6E33" w:rsidRPr="009201C8">
        <w:rPr>
          <w:spacing w:val="-1"/>
        </w:rPr>
        <w:t xml:space="preserve"> </w:t>
      </w:r>
      <w:r w:rsidR="00AE6E33" w:rsidRPr="009201C8">
        <w:t>of</w:t>
      </w:r>
      <w:r w:rsidR="00AE6E33" w:rsidRPr="009201C8">
        <w:rPr>
          <w:spacing w:val="-1"/>
        </w:rPr>
        <w:t xml:space="preserve"> </w:t>
      </w:r>
      <w:r w:rsidR="00AE6E33" w:rsidRPr="009201C8">
        <w:t>0</w:t>
      </w:r>
      <w:r w:rsidR="00AE6E33" w:rsidRPr="009201C8">
        <w:rPr>
          <w:spacing w:val="-1"/>
        </w:rPr>
        <w:t xml:space="preserve"> </w:t>
      </w:r>
      <w:r w:rsidR="00AE6E33" w:rsidRPr="009201C8">
        <w:t>or</w:t>
      </w:r>
      <w:r w:rsidR="00AE6E33" w:rsidRPr="009201C8">
        <w:rPr>
          <w:spacing w:val="-1"/>
        </w:rPr>
        <w:t xml:space="preserve"> </w:t>
      </w:r>
      <w:r w:rsidR="00AE6E33" w:rsidRPr="009201C8">
        <w:t>1</w:t>
      </w:r>
      <w:r w:rsidR="00AE6E33" w:rsidRPr="009201C8">
        <w:rPr>
          <w:spacing w:val="-3"/>
        </w:rPr>
        <w:t xml:space="preserve"> </w:t>
      </w:r>
      <w:r w:rsidR="00AE6E33" w:rsidRPr="009201C8">
        <w:t>(clear</w:t>
      </w:r>
      <w:r w:rsidR="00AE6E33" w:rsidRPr="009201C8">
        <w:rPr>
          <w:spacing w:val="-1"/>
        </w:rPr>
        <w:t xml:space="preserve"> </w:t>
      </w:r>
      <w:r w:rsidR="00AE6E33" w:rsidRPr="009201C8">
        <w:t>or</w:t>
      </w:r>
      <w:r w:rsidR="00AE6E33" w:rsidRPr="009201C8">
        <w:rPr>
          <w:spacing w:val="-1"/>
        </w:rPr>
        <w:t xml:space="preserve"> </w:t>
      </w:r>
      <w:r w:rsidR="00AE6E33" w:rsidRPr="009201C8">
        <w:t>almost</w:t>
      </w:r>
      <w:r w:rsidR="00AE6E33" w:rsidRPr="009201C8">
        <w:rPr>
          <w:spacing w:val="-4"/>
        </w:rPr>
        <w:t xml:space="preserve"> </w:t>
      </w:r>
      <w:r w:rsidR="00AE6E33" w:rsidRPr="009201C8">
        <w:t>clear),</w:t>
      </w:r>
      <w:r w:rsidR="00AE6E33" w:rsidRPr="009201C8">
        <w:rPr>
          <w:spacing w:val="-1"/>
        </w:rPr>
        <w:t xml:space="preserve"> </w:t>
      </w:r>
      <w:r w:rsidR="00AE6E33" w:rsidRPr="009201C8">
        <w:t>with a</w:t>
      </w:r>
      <w:r w:rsidR="00AE6E33" w:rsidRPr="009201C8">
        <w:rPr>
          <w:spacing w:val="-2"/>
        </w:rPr>
        <w:t xml:space="preserve"> </w:t>
      </w:r>
      <w:r w:rsidR="00AE6E33" w:rsidRPr="009201C8">
        <w:t>clinically</w:t>
      </w:r>
      <w:r w:rsidR="00AE6E33" w:rsidRPr="009201C8">
        <w:rPr>
          <w:spacing w:val="-2"/>
        </w:rPr>
        <w:t xml:space="preserve"> </w:t>
      </w:r>
      <w:r w:rsidR="00AE6E33" w:rsidRPr="009201C8">
        <w:t>meaningful</w:t>
      </w:r>
      <w:r w:rsidR="00AE6E33" w:rsidRPr="009201C8">
        <w:rPr>
          <w:spacing w:val="-1"/>
        </w:rPr>
        <w:t xml:space="preserve"> </w:t>
      </w:r>
      <w:r w:rsidR="00AE6E33" w:rsidRPr="009201C8">
        <w:t>reduction</w:t>
      </w:r>
      <w:r w:rsidR="00AE6E33" w:rsidRPr="009201C8">
        <w:rPr>
          <w:spacing w:val="-2"/>
        </w:rPr>
        <w:t xml:space="preserve"> </w:t>
      </w:r>
      <w:r w:rsidR="00AE6E33" w:rsidRPr="009201C8">
        <w:t>(at</w:t>
      </w:r>
      <w:r w:rsidR="00AE6E33" w:rsidRPr="009201C8">
        <w:rPr>
          <w:spacing w:val="-1"/>
        </w:rPr>
        <w:t xml:space="preserve"> </w:t>
      </w:r>
      <w:r w:rsidR="00AE6E33" w:rsidRPr="009201C8">
        <w:t xml:space="preserve">least </w:t>
      </w:r>
      <w:bookmarkStart w:id="101" w:name="_bookmark75"/>
      <w:bookmarkEnd w:id="101"/>
      <w:r w:rsidR="00AE6E33" w:rsidRPr="009201C8">
        <w:t>2 grade reductions from baseline) at Week 16, compared with the placebo group based on the</w:t>
      </w:r>
      <w:r w:rsidR="00B51532">
        <w:t xml:space="preserve"> </w:t>
      </w:r>
      <w:r>
        <w:t>primary approach of NRI-C (</w:t>
      </w:r>
      <w:r w:rsidR="00AE6E33" w:rsidRPr="009201C8">
        <w:t xml:space="preserve">48.1%, 62% and 8.4% in the </w:t>
      </w:r>
      <w:r>
        <w:t>upadacitinib</w:t>
      </w:r>
      <w:r w:rsidR="00AE6E33" w:rsidRPr="009201C8">
        <w:t xml:space="preserve"> </w:t>
      </w:r>
      <w:r w:rsidR="005D7175">
        <w:t>15 mg</w:t>
      </w:r>
      <w:r w:rsidR="00AE6E33" w:rsidRPr="009201C8">
        <w:t xml:space="preserve">, </w:t>
      </w:r>
      <w:r w:rsidR="005D7175">
        <w:t>30 mg</w:t>
      </w:r>
      <w:r w:rsidR="00AE6E33" w:rsidRPr="009201C8">
        <w:t xml:space="preserve"> and </w:t>
      </w:r>
      <w:r>
        <w:t>placebo</w:t>
      </w:r>
      <w:r w:rsidR="00AE6E33" w:rsidRPr="009201C8">
        <w:rPr>
          <w:spacing w:val="1"/>
        </w:rPr>
        <w:t xml:space="preserve"> </w:t>
      </w:r>
      <w:r w:rsidR="00AE6E33" w:rsidRPr="009201C8">
        <w:t>groups, respectively; p</w:t>
      </w:r>
      <w:r>
        <w:t xml:space="preserve"> </w:t>
      </w:r>
      <w:r w:rsidR="00AE6E33" w:rsidRPr="009201C8">
        <w:t>&lt;</w:t>
      </w:r>
      <w:r>
        <w:t xml:space="preserve"> 0.001 for both u</w:t>
      </w:r>
      <w:r w:rsidR="00AE6E33" w:rsidRPr="009201C8">
        <w:t xml:space="preserve">padacitinib groups </w:t>
      </w:r>
      <w:r>
        <w:t>versus</w:t>
      </w:r>
      <w:r w:rsidR="00AE6E33" w:rsidRPr="009201C8">
        <w:t xml:space="preserve"> </w:t>
      </w:r>
      <w:r w:rsidR="00C351C1">
        <w:t xml:space="preserve">placebo) (see section: </w:t>
      </w:r>
      <w:r w:rsidR="00C351C1">
        <w:fldChar w:fldCharType="begin"/>
      </w:r>
      <w:r w:rsidR="00C351C1">
        <w:instrText xml:space="preserve"> REF _Ref126046618 \h </w:instrText>
      </w:r>
      <w:r w:rsidR="009622DC">
        <w:instrText xml:space="preserve"> \* MERGEFORMAT </w:instrText>
      </w:r>
      <w:r w:rsidR="00C351C1">
        <w:fldChar w:fldCharType="separate"/>
      </w:r>
      <w:r w:rsidR="00B51532" w:rsidRPr="00B51532">
        <w:rPr>
          <w:i/>
        </w:rPr>
        <w:t>Validated Investigator Global Assessment scale for Atopic Dermatitis</w:t>
      </w:r>
      <w:r w:rsidR="00B51532">
        <w:t xml:space="preserve"> (vIGA-AD)</w:t>
      </w:r>
      <w:r w:rsidR="00C351C1">
        <w:fldChar w:fldCharType="end"/>
      </w:r>
      <w:r w:rsidR="00C351C1">
        <w:t xml:space="preserve"> for details on this measure);</w:t>
      </w:r>
    </w:p>
    <w:p w14:paraId="179B8ED8" w14:textId="3B5EB93F" w:rsidR="00AE6E33" w:rsidRPr="005728DC" w:rsidRDefault="008A7ED4" w:rsidP="005728DC">
      <w:pPr>
        <w:pStyle w:val="ListBullet"/>
      </w:pPr>
      <w:r>
        <w:t>P</w:t>
      </w:r>
      <w:r w:rsidR="00AE6E33" w:rsidRPr="008A7ED4">
        <w:t xml:space="preserve">atients with moderate and severe </w:t>
      </w:r>
      <w:r>
        <w:t>atopic dermatitis</w:t>
      </w:r>
      <w:r w:rsidR="00AE6E33" w:rsidRPr="008A7ED4">
        <w:t xml:space="preserve"> treated with </w:t>
      </w:r>
      <w:r>
        <w:t>udapacitinib</w:t>
      </w:r>
      <w:r w:rsidR="00AE6E33" w:rsidRPr="008A7ED4">
        <w:t xml:space="preserve">, demonstrated significant improvements over </w:t>
      </w:r>
      <w:r>
        <w:t xml:space="preserve">placebo, as per </w:t>
      </w:r>
      <w:fldSimple w:instr=" REF _Ref120708526 ">
        <w:r w:rsidR="00B51532">
          <w:t xml:space="preserve">Table </w:t>
        </w:r>
        <w:r w:rsidR="00B51532">
          <w:rPr>
            <w:noProof/>
          </w:rPr>
          <w:t>24</w:t>
        </w:r>
      </w:fldSimple>
      <w:r>
        <w:t xml:space="preserve"> below.</w:t>
      </w:r>
      <w:bookmarkStart w:id="102" w:name="Table_7.1.11b:__Proportion_of_subjects_a"/>
      <w:bookmarkStart w:id="103" w:name="_bookmark76"/>
      <w:bookmarkEnd w:id="102"/>
      <w:bookmarkEnd w:id="103"/>
    </w:p>
    <w:p w14:paraId="1E574403" w14:textId="5592FE08" w:rsidR="008A7ED4" w:rsidRDefault="008A7ED4" w:rsidP="008A7ED4">
      <w:pPr>
        <w:pStyle w:val="Tabletitle0"/>
      </w:pPr>
      <w:bookmarkStart w:id="104" w:name="_Ref120708526"/>
      <w:r>
        <w:t xml:space="preserve">Table </w:t>
      </w:r>
      <w:fldSimple w:instr=" SEQ Table \* ARABIC ">
        <w:r w:rsidR="00B51532">
          <w:rPr>
            <w:noProof/>
          </w:rPr>
          <w:t>24</w:t>
        </w:r>
      </w:fldSimple>
      <w:bookmarkEnd w:id="104"/>
      <w:r>
        <w:t>: Study M16-045 Proportion of subjects achieving vIGA-AD of 0 or 1 with at least 2 grades of reduction</w:t>
      </w:r>
      <w:r w:rsidR="00F67D58">
        <w:t xml:space="preserve"> (main ITT population, NRI-C)</w:t>
      </w:r>
    </w:p>
    <w:p w14:paraId="5917FB12" w14:textId="40A32566" w:rsidR="00AE6E33" w:rsidRDefault="008A7ED4" w:rsidP="008A7ED4">
      <w:r>
        <w:rPr>
          <w:rFonts w:ascii="Calibri"/>
          <w:noProof/>
          <w:sz w:val="20"/>
          <w:lang w:val="en-GB" w:eastAsia="en-GB"/>
        </w:rPr>
        <w:drawing>
          <wp:inline distT="0" distB="0" distL="0" distR="0" wp14:anchorId="01BA4C0C" wp14:editId="512601DF">
            <wp:extent cx="5029200" cy="1780540"/>
            <wp:effectExtent l="0" t="0" r="0" b="0"/>
            <wp:docPr id="31" name="image5.jpeg" descr="Study M16-045 Proportion of subjects achieving vIGA-AD of 0 or 1 with at least 2 grades of reduction (main ITT population, NRI-C)" title="Study M16-045 Proportion of subjects achieving vIGA-AD of 0 or 1 with at least 2 grades of reduction (main ITT population, N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rotWithShape="1">
                    <a:blip r:embed="rId29" cstate="print"/>
                    <a:srcRect t="2498" r="10351" b="30779"/>
                    <a:stretch/>
                  </pic:blipFill>
                  <pic:spPr bwMode="auto">
                    <a:xfrm>
                      <a:off x="0" y="0"/>
                      <a:ext cx="5029200" cy="1780540"/>
                    </a:xfrm>
                    <a:prstGeom prst="rect">
                      <a:avLst/>
                    </a:prstGeom>
                    <a:ln>
                      <a:noFill/>
                    </a:ln>
                    <a:extLst>
                      <a:ext uri="{53640926-AAD7-44D8-BBD7-CCE9431645EC}">
                        <a14:shadowObscured xmlns:a14="http://schemas.microsoft.com/office/drawing/2010/main"/>
                      </a:ext>
                    </a:extLst>
                  </pic:spPr>
                </pic:pic>
              </a:graphicData>
            </a:graphic>
          </wp:inline>
        </w:drawing>
      </w:r>
    </w:p>
    <w:p w14:paraId="3C6A3BA0" w14:textId="1CDBEF1F" w:rsidR="00F67D58" w:rsidRPr="008A7ED4" w:rsidRDefault="00F67D58" w:rsidP="005728DC">
      <w:pPr>
        <w:pStyle w:val="TableDescription"/>
      </w:pPr>
      <w:r>
        <w:t>Abbreviations: CI = confidence intervals; vIGA-AD = validated investigator’s global assessment; ITT = intention to treat; NRI</w:t>
      </w:r>
      <w:r>
        <w:noBreakHyphen/>
        <w:t xml:space="preserve">C = </w:t>
      </w:r>
      <w:r w:rsidRPr="00F67D58">
        <w:t>Nonresponder Imputation inc</w:t>
      </w:r>
      <w:r>
        <w:t>orporating Multiple Imputation (MI)</w:t>
      </w:r>
      <w:r w:rsidRPr="00F67D58">
        <w:t xml:space="preserve"> to handle missing data due to COVID-19</w:t>
      </w:r>
      <w:r>
        <w:t>; QD = once daily; UPA = upadacitinib.</w:t>
      </w:r>
    </w:p>
    <w:p w14:paraId="0807BBF8" w14:textId="36D83992" w:rsidR="00AE6E33" w:rsidRPr="001B0462" w:rsidRDefault="008A7ED4" w:rsidP="008A7ED4">
      <w:pPr>
        <w:pStyle w:val="ListBullet"/>
      </w:pPr>
      <w:r>
        <w:t>T</w:t>
      </w:r>
      <w:r w:rsidR="00AE6E33" w:rsidRPr="001B0462">
        <w:t xml:space="preserve">he robustness of the co-primary endpoint results was </w:t>
      </w:r>
      <w:r w:rsidR="00AE6E33" w:rsidRPr="008A7ED4">
        <w:t>supported</w:t>
      </w:r>
      <w:r w:rsidR="00AE6E33" w:rsidRPr="001B0462">
        <w:t xml:space="preserve"> by consistent results</w:t>
      </w:r>
      <w:r w:rsidR="00AE6E33" w:rsidRPr="001B0462">
        <w:rPr>
          <w:spacing w:val="1"/>
        </w:rPr>
        <w:t xml:space="preserve"> </w:t>
      </w:r>
      <w:r w:rsidR="00AE6E33" w:rsidRPr="001B0462">
        <w:t>favouring both</w:t>
      </w:r>
      <w:r w:rsidR="005D7175">
        <w:t xml:space="preserve"> upadacitinib</w:t>
      </w:r>
      <w:r w:rsidR="00AE6E33" w:rsidRPr="001B0462">
        <w:t xml:space="preserve"> groups compared to </w:t>
      </w:r>
      <w:r>
        <w:t>placebo</w:t>
      </w:r>
      <w:r w:rsidR="00AE6E33" w:rsidRPr="001B0462">
        <w:t xml:space="preserve"> in all sensitivity analyses, including</w:t>
      </w:r>
      <w:r w:rsidR="00AE6E33" w:rsidRPr="001B0462">
        <w:rPr>
          <w:spacing w:val="1"/>
        </w:rPr>
        <w:t xml:space="preserve"> </w:t>
      </w:r>
      <w:r w:rsidR="00C351C1">
        <w:t>NRI-</w:t>
      </w:r>
      <w:r w:rsidR="00AE6E33" w:rsidRPr="001B0462">
        <w:t xml:space="preserve">C, </w:t>
      </w:r>
      <w:r>
        <w:t>multiple imputation</w:t>
      </w:r>
      <w:r w:rsidR="00AE6E33" w:rsidRPr="001B0462">
        <w:t xml:space="preserve">, </w:t>
      </w:r>
      <w:r w:rsidRPr="001B0462">
        <w:t>tipping point analysis</w:t>
      </w:r>
      <w:r w:rsidR="00AE6E33" w:rsidRPr="001B0462">
        <w:t xml:space="preserve">, and </w:t>
      </w:r>
      <w:r w:rsidRPr="001B0462">
        <w:t>per protocol analysis</w:t>
      </w:r>
      <w:r>
        <w:t>.</w:t>
      </w:r>
    </w:p>
    <w:p w14:paraId="2BC2BEEF" w14:textId="341A7F17" w:rsidR="00AE6E33" w:rsidRPr="001B0462" w:rsidRDefault="008A7ED4" w:rsidP="008A7ED4">
      <w:pPr>
        <w:pStyle w:val="ListBullet"/>
      </w:pPr>
      <w:r>
        <w:t>T</w:t>
      </w:r>
      <w:r w:rsidR="00AE6E33" w:rsidRPr="001B0462">
        <w:t>reatment effects in all pre-specified sub-groups (across demographic and baseline characteristics), including adolescents</w:t>
      </w:r>
      <w:r w:rsidR="00B51532">
        <w:t xml:space="preserve"> </w:t>
      </w:r>
      <w:r w:rsidR="00B51532">
        <w:rPr>
          <w:spacing w:val="-46"/>
        </w:rPr>
        <w:t xml:space="preserve"> </w:t>
      </w:r>
      <w:r w:rsidR="00AE6E33" w:rsidRPr="001B0462">
        <w:rPr>
          <w:spacing w:val="-46"/>
        </w:rPr>
        <w:t xml:space="preserve"> </w:t>
      </w:r>
      <w:r w:rsidR="00AE6E33" w:rsidRPr="001B0462">
        <w:t>consistently favoured both</w:t>
      </w:r>
      <w:r w:rsidR="005D7175">
        <w:t xml:space="preserve"> upadacitinib</w:t>
      </w:r>
      <w:r w:rsidR="00AE6E33" w:rsidRPr="001B0462">
        <w:t xml:space="preserve"> doses compared to placebo in EASI</w:t>
      </w:r>
      <w:r>
        <w:t xml:space="preserve"> 75</w:t>
      </w:r>
      <w:r w:rsidR="00B767A4">
        <w:t xml:space="preserve"> </w:t>
      </w:r>
      <w:r w:rsidR="00B767A4" w:rsidRPr="00976E93">
        <w:t>and vIGA-AD</w:t>
      </w:r>
      <w:r w:rsidR="00B767A4" w:rsidRPr="00976E93">
        <w:rPr>
          <w:b/>
        </w:rPr>
        <w:t xml:space="preserve"> </w:t>
      </w:r>
      <w:r w:rsidR="00B767A4" w:rsidRPr="00976E93">
        <w:t>with all 95% confidence intervals (CIs) excluding zero</w:t>
      </w:r>
      <w:r w:rsidR="005728DC">
        <w:t xml:space="preserve">, as per </w:t>
      </w:r>
      <w:r w:rsidR="005728DC">
        <w:fldChar w:fldCharType="begin"/>
      </w:r>
      <w:r w:rsidR="005728DC">
        <w:instrText xml:space="preserve"> REF _Ref125694547 \h </w:instrText>
      </w:r>
      <w:r w:rsidR="005728DC">
        <w:fldChar w:fldCharType="separate"/>
      </w:r>
      <w:r w:rsidR="00B51532">
        <w:t xml:space="preserve">Figure </w:t>
      </w:r>
      <w:r w:rsidR="00B51532">
        <w:rPr>
          <w:noProof/>
        </w:rPr>
        <w:t>8</w:t>
      </w:r>
      <w:r w:rsidR="005728DC">
        <w:fldChar w:fldCharType="end"/>
      </w:r>
      <w:r w:rsidR="005728DC">
        <w:fldChar w:fldCharType="begin"/>
      </w:r>
      <w:r w:rsidR="005728DC">
        <w:instrText xml:space="preserve"> REF _Ref125694553 \h </w:instrText>
      </w:r>
      <w:r w:rsidR="005728DC">
        <w:fldChar w:fldCharType="separate"/>
      </w:r>
      <w:r w:rsidR="00B51532">
        <w:t xml:space="preserve">Figure </w:t>
      </w:r>
      <w:r w:rsidR="00B51532">
        <w:rPr>
          <w:noProof/>
        </w:rPr>
        <w:t>9</w:t>
      </w:r>
      <w:r w:rsidR="005728DC">
        <w:fldChar w:fldCharType="end"/>
      </w:r>
      <w:r w:rsidR="005728DC">
        <w:fldChar w:fldCharType="begin"/>
      </w:r>
      <w:r w:rsidR="005728DC">
        <w:instrText xml:space="preserve"> REF _Ref125694555 \h </w:instrText>
      </w:r>
      <w:r w:rsidR="005728DC">
        <w:fldChar w:fldCharType="separate"/>
      </w:r>
      <w:r w:rsidR="00B51532">
        <w:t xml:space="preserve">Figure </w:t>
      </w:r>
      <w:r w:rsidR="00B51532">
        <w:rPr>
          <w:noProof/>
        </w:rPr>
        <w:t>10</w:t>
      </w:r>
      <w:r w:rsidR="005728DC">
        <w:fldChar w:fldCharType="end"/>
      </w:r>
      <w:r w:rsidR="005728DC">
        <w:fldChar w:fldCharType="begin"/>
      </w:r>
      <w:r w:rsidR="005728DC">
        <w:instrText xml:space="preserve"> REF _Ref125694559 \h </w:instrText>
      </w:r>
      <w:r w:rsidR="005728DC">
        <w:fldChar w:fldCharType="separate"/>
      </w:r>
      <w:r w:rsidR="00B51532">
        <w:t xml:space="preserve">Figure </w:t>
      </w:r>
      <w:r w:rsidR="00B51532">
        <w:rPr>
          <w:noProof/>
        </w:rPr>
        <w:t>11</w:t>
      </w:r>
      <w:r w:rsidR="005728DC">
        <w:fldChar w:fldCharType="end"/>
      </w:r>
      <w:r w:rsidR="005728DC">
        <w:fldChar w:fldCharType="begin"/>
      </w:r>
      <w:r w:rsidR="005728DC">
        <w:instrText xml:space="preserve"> REF _Ref125694593 \h </w:instrText>
      </w:r>
      <w:r w:rsidR="005728DC">
        <w:fldChar w:fldCharType="separate"/>
      </w:r>
      <w:r w:rsidR="00B51532">
        <w:t xml:space="preserve">Figure </w:t>
      </w:r>
      <w:r w:rsidR="00B51532">
        <w:rPr>
          <w:noProof/>
        </w:rPr>
        <w:t>12</w:t>
      </w:r>
      <w:r w:rsidR="005728DC">
        <w:fldChar w:fldCharType="end"/>
      </w:r>
      <w:r w:rsidR="005728DC">
        <w:fldChar w:fldCharType="begin"/>
      </w:r>
      <w:r w:rsidR="005728DC">
        <w:instrText xml:space="preserve"> REF _Ref125694597 \h </w:instrText>
      </w:r>
      <w:r w:rsidR="005728DC">
        <w:fldChar w:fldCharType="separate"/>
      </w:r>
      <w:r w:rsidR="00B51532">
        <w:t xml:space="preserve">Figure </w:t>
      </w:r>
      <w:r w:rsidR="00B51532">
        <w:rPr>
          <w:noProof/>
        </w:rPr>
        <w:t>13</w:t>
      </w:r>
      <w:r w:rsidR="005728DC">
        <w:fldChar w:fldCharType="end"/>
      </w:r>
      <w:r w:rsidR="005728DC">
        <w:t xml:space="preserve"> </w:t>
      </w:r>
      <w:r>
        <w:t>below.</w:t>
      </w:r>
    </w:p>
    <w:p w14:paraId="3715AE25" w14:textId="75DAE5B7" w:rsidR="00B767A4" w:rsidRPr="00B767A4" w:rsidRDefault="00B767A4" w:rsidP="00B767A4">
      <w:pPr>
        <w:pStyle w:val="FigureTitle"/>
      </w:pPr>
      <w:bookmarkStart w:id="105" w:name="_Ref125694547"/>
      <w:r>
        <w:lastRenderedPageBreak/>
        <w:t xml:space="preserve">Figure </w:t>
      </w:r>
      <w:fldSimple w:instr=" SEQ Figure \* ARABIC ">
        <w:r w:rsidR="00B51532">
          <w:rPr>
            <w:noProof/>
          </w:rPr>
          <w:t>8</w:t>
        </w:r>
      </w:fldSimple>
      <w:bookmarkEnd w:id="105"/>
      <w:r>
        <w:t>: Study M16-015 Proportion of subjects achieving EASI 75 at Week 16 by subgroup in the upadacitinib p</w:t>
      </w:r>
      <w:r w:rsidRPr="00B767A4">
        <w:t>roportion of</w:t>
      </w:r>
      <w:r>
        <w:t xml:space="preserve"> subjects achieving EASI 75 at W</w:t>
      </w:r>
      <w:r w:rsidRPr="00B767A4">
        <w:t xml:space="preserve">eek 16 by subgroup in the </w:t>
      </w:r>
      <w:r>
        <w:t>u</w:t>
      </w:r>
      <w:r w:rsidRPr="00B767A4">
        <w:t>padacitinib</w:t>
      </w:r>
      <w:r>
        <w:t xml:space="preserve"> </w:t>
      </w:r>
      <w:r w:rsidRPr="00B767A4">
        <w:t>15</w:t>
      </w:r>
      <w:r>
        <w:t xml:space="preserve"> </w:t>
      </w:r>
      <w:r w:rsidRPr="00B767A4">
        <w:t xml:space="preserve">mg group (NRI-C, </w:t>
      </w:r>
      <w:r w:rsidR="005728DC">
        <w:t xml:space="preserve">main ITT </w:t>
      </w:r>
      <w:r>
        <w:t>population)</w:t>
      </w:r>
    </w:p>
    <w:p w14:paraId="128866DE" w14:textId="691BF12D" w:rsidR="00B767A4" w:rsidRPr="00B767A4" w:rsidRDefault="00B767A4" w:rsidP="00B767A4">
      <w:r>
        <w:rPr>
          <w:noProof/>
          <w:lang w:val="en-GB" w:eastAsia="en-GB"/>
        </w:rPr>
        <w:drawing>
          <wp:inline distT="0" distB="0" distL="0" distR="0" wp14:anchorId="682D3778" wp14:editId="6E89600F">
            <wp:extent cx="5588812" cy="2499571"/>
            <wp:effectExtent l="0" t="0" r="0" b="0"/>
            <wp:docPr id="25" name="Picture 25" descr="Study M16-015 Proportion of subjects achieving EASI 75 at Week 16 by subgroup in the upadacitinib proportion of subjects achieving EASI 75 at Week 16 by subgroup in the upadacitinib 15 mg group (NRI-C, main ITT population)" title="Study M16-015 Proportion of subjects achieving EASI 75 at Week 16 by subgroup in the upadacitinib proportion of subjects achieving EASI 75 at Week 16 by subgroup in the upadacitinib 15 mg group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8812" cy="2499571"/>
                    </a:xfrm>
                    <a:prstGeom prst="rect">
                      <a:avLst/>
                    </a:prstGeom>
                    <a:noFill/>
                  </pic:spPr>
                </pic:pic>
              </a:graphicData>
            </a:graphic>
          </wp:inline>
        </w:drawing>
      </w:r>
    </w:p>
    <w:p w14:paraId="145204B8" w14:textId="340AF389" w:rsidR="00B767A4" w:rsidRDefault="00B767A4" w:rsidP="00B767A4">
      <w:pPr>
        <w:pStyle w:val="FigureTitle"/>
      </w:pPr>
      <w:bookmarkStart w:id="106" w:name="_Ref125694553"/>
      <w:r>
        <w:t xml:space="preserve">Figure </w:t>
      </w:r>
      <w:fldSimple w:instr=" SEQ Figure \* ARABIC ">
        <w:r w:rsidR="00B51532">
          <w:rPr>
            <w:noProof/>
          </w:rPr>
          <w:t>9</w:t>
        </w:r>
      </w:fldSimple>
      <w:bookmarkEnd w:id="106"/>
      <w:r>
        <w:t xml:space="preserve">: Study M16-045 </w:t>
      </w:r>
      <w:r w:rsidRPr="00B767A4">
        <w:t>Proportion of</w:t>
      </w:r>
      <w:r>
        <w:t xml:space="preserve"> subjects achieving EASI 75 at W</w:t>
      </w:r>
      <w:r w:rsidRPr="00B767A4">
        <w:t xml:space="preserve">eek 16 by subgroup in the </w:t>
      </w:r>
      <w:r>
        <w:t>u</w:t>
      </w:r>
      <w:r w:rsidRPr="00B767A4">
        <w:t>padacitinib</w:t>
      </w:r>
      <w:r>
        <w:t xml:space="preserve"> </w:t>
      </w:r>
      <w:r w:rsidRPr="00B767A4">
        <w:t>30</w:t>
      </w:r>
      <w:r>
        <w:t> </w:t>
      </w:r>
      <w:r w:rsidRPr="00B767A4">
        <w:t xml:space="preserve">mg group (NRI-C, </w:t>
      </w:r>
      <w:r w:rsidR="005728DC">
        <w:t xml:space="preserve">main ITT </w:t>
      </w:r>
      <w:r>
        <w:t>population)</w:t>
      </w:r>
    </w:p>
    <w:p w14:paraId="20CBAD3F" w14:textId="4231F2FA" w:rsidR="00AE6E33" w:rsidRDefault="00B767A4" w:rsidP="00B767A4">
      <w:r>
        <w:rPr>
          <w:noProof/>
          <w:lang w:val="en-GB" w:eastAsia="en-GB"/>
        </w:rPr>
        <w:drawing>
          <wp:inline distT="0" distB="0" distL="0" distR="0" wp14:anchorId="5887E4B3" wp14:editId="73AC9405">
            <wp:extent cx="5530291" cy="2756174"/>
            <wp:effectExtent l="0" t="0" r="0" b="6350"/>
            <wp:docPr id="26" name="Picture 26" descr="Study M16-045 Proportion of subjects achieving EASI 75 at Week 16 by subgroup in the upadacitinib 30 mg group (NRI-C, main ITT population)" title="Study M16-045 Proportion of subjects achieving EASI 75 at Week 16 by subgroup in the upadacitinib 30 mg group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39006" cy="2760517"/>
                    </a:xfrm>
                    <a:prstGeom prst="rect">
                      <a:avLst/>
                    </a:prstGeom>
                    <a:noFill/>
                  </pic:spPr>
                </pic:pic>
              </a:graphicData>
            </a:graphic>
          </wp:inline>
        </w:drawing>
      </w:r>
    </w:p>
    <w:p w14:paraId="045149EA" w14:textId="77777777" w:rsidR="004A0B90" w:rsidRDefault="004A0B90" w:rsidP="00C3742F">
      <w:pPr>
        <w:pStyle w:val="FigureDescription"/>
      </w:pPr>
      <w:r>
        <w:t>Abbreviations: CI = confidence intervals; EASI 75 = Eczema Area and Severity Index 75 response; ITT = intention to treat; NRI</w:t>
      </w:r>
      <w:r>
        <w:noBreakHyphen/>
        <w:t>C = Nonresponder Imputation incorporating Multiple Imputation (MI) to handle missing data due to COVID-19; QD = once daily; UPA = upadacitinib.</w:t>
      </w:r>
    </w:p>
    <w:p w14:paraId="11434B85" w14:textId="77777777" w:rsidR="004A0B90" w:rsidRPr="00B767A4" w:rsidRDefault="004A0B90" w:rsidP="00B767A4"/>
    <w:p w14:paraId="47BDE00E" w14:textId="44E58CE0" w:rsidR="00B767A4" w:rsidRDefault="00B767A4" w:rsidP="00F43F63">
      <w:pPr>
        <w:pStyle w:val="FigureTitle"/>
      </w:pPr>
      <w:bookmarkStart w:id="107" w:name="_Ref125694555"/>
      <w:r>
        <w:lastRenderedPageBreak/>
        <w:t xml:space="preserve">Figure </w:t>
      </w:r>
      <w:fldSimple w:instr=" SEQ Figure \* ARABIC ">
        <w:r w:rsidR="00B51532">
          <w:rPr>
            <w:noProof/>
          </w:rPr>
          <w:t>10</w:t>
        </w:r>
      </w:fldSimple>
      <w:bookmarkEnd w:id="107"/>
      <w:r>
        <w:t xml:space="preserve">: </w:t>
      </w:r>
      <w:r w:rsidRPr="00B767A4">
        <w:t>Proportion of subjects achieving vIGA-AD of 0 or 1 with at least 2 grades of reduction from baseline at week 16 by subgroup in the</w:t>
      </w:r>
      <w:r w:rsidR="005D7175">
        <w:t xml:space="preserve"> upadacitinib</w:t>
      </w:r>
      <w:r w:rsidRPr="00B767A4">
        <w:t xml:space="preserve"> </w:t>
      </w:r>
      <w:r w:rsidR="005D7175">
        <w:t>15 mg</w:t>
      </w:r>
      <w:r w:rsidRPr="00B767A4">
        <w:t xml:space="preserve"> group (NRI-C, </w:t>
      </w:r>
      <w:r w:rsidR="005728DC">
        <w:t>main ITT</w:t>
      </w:r>
      <w:r w:rsidRPr="00B767A4">
        <w:t xml:space="preserve"> population)</w:t>
      </w:r>
    </w:p>
    <w:p w14:paraId="57036631" w14:textId="435207A0" w:rsidR="00AE6E33" w:rsidRPr="00B767A4" w:rsidRDefault="00B767A4" w:rsidP="00B767A4">
      <w:r>
        <w:rPr>
          <w:noProof/>
          <w:lang w:val="en-GB" w:eastAsia="en-GB"/>
        </w:rPr>
        <w:drawing>
          <wp:inline distT="0" distB="0" distL="0" distR="0" wp14:anchorId="1D63CA3B" wp14:editId="4476E42E">
            <wp:extent cx="5511916" cy="3016428"/>
            <wp:effectExtent l="0" t="0" r="0" b="0"/>
            <wp:docPr id="27" name="Picture 27" descr="Proportion of subjects achieving vIGA-AD of 0 or 1 with at least 2 grades of reduction from baseline at week 16 by subgroup in the upadacitinib 15 mg group (NRI-C, main ITT population)" title="Proportion of subjects achieving vIGA-AD of 0 or 1 with at least 2 grades of reduction from baseline at week 16 by subgroup in the upadacitinib 15 mg group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15642" cy="3018467"/>
                    </a:xfrm>
                    <a:prstGeom prst="rect">
                      <a:avLst/>
                    </a:prstGeom>
                    <a:noFill/>
                  </pic:spPr>
                </pic:pic>
              </a:graphicData>
            </a:graphic>
          </wp:inline>
        </w:drawing>
      </w:r>
    </w:p>
    <w:p w14:paraId="71CA94BA" w14:textId="354017BA" w:rsidR="00F43F63" w:rsidRDefault="00F43F63" w:rsidP="00F43F63">
      <w:pPr>
        <w:pStyle w:val="FigureTitle"/>
      </w:pPr>
      <w:bookmarkStart w:id="108" w:name="_Ref125694559"/>
      <w:r>
        <w:t xml:space="preserve">Figure </w:t>
      </w:r>
      <w:fldSimple w:instr=" SEQ Figure \* ARABIC ">
        <w:r w:rsidR="00B51532">
          <w:rPr>
            <w:noProof/>
          </w:rPr>
          <w:t>11</w:t>
        </w:r>
      </w:fldSimple>
      <w:bookmarkEnd w:id="108"/>
      <w:r>
        <w:t xml:space="preserve">: </w:t>
      </w:r>
      <w:r w:rsidRPr="00C70A73">
        <w:t>Proportion of subjects achieving vIGA-AD of 0 or 1 with at least 2 grades of reduction from baseline at week 16 by subgroup in the</w:t>
      </w:r>
      <w:r w:rsidR="005D7175">
        <w:t xml:space="preserve"> upadacitinib</w:t>
      </w:r>
      <w:r w:rsidRPr="00C70A73">
        <w:t xml:space="preserve"> </w:t>
      </w:r>
      <w:r w:rsidR="005D7175">
        <w:t>30 mg</w:t>
      </w:r>
      <w:r w:rsidRPr="00C70A73">
        <w:t xml:space="preserve"> </w:t>
      </w:r>
      <w:r>
        <w:t xml:space="preserve">group (NRI-C, </w:t>
      </w:r>
      <w:r w:rsidR="005728DC">
        <w:t xml:space="preserve">main ITT </w:t>
      </w:r>
      <w:r>
        <w:t>population)</w:t>
      </w:r>
    </w:p>
    <w:p w14:paraId="5C677061" w14:textId="52DFDB62" w:rsidR="00AE6E33" w:rsidRDefault="00F43F63" w:rsidP="00F43F63">
      <w:r>
        <w:rPr>
          <w:noProof/>
          <w:lang w:val="en-GB" w:eastAsia="en-GB"/>
        </w:rPr>
        <w:drawing>
          <wp:inline distT="0" distB="0" distL="0" distR="0" wp14:anchorId="55709178" wp14:editId="28165726">
            <wp:extent cx="5522976" cy="2451874"/>
            <wp:effectExtent l="0" t="0" r="1905" b="5715"/>
            <wp:docPr id="28" name="Picture 28" descr="Proportion of subjects achieving vIGA-AD of 0 or 1 with at least 2 grades of reduction from baseline at week 16 by subgroup in the upadacitinib 30 mg group (NRI-C, main ITT population)" title="Proportion of subjects achieving vIGA-AD of 0 or 1 with at least 2 grades of reduction from baseline at week 16 by subgroup in the upadacitinib 30 mg group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31317" cy="2499971"/>
                    </a:xfrm>
                    <a:prstGeom prst="rect">
                      <a:avLst/>
                    </a:prstGeom>
                    <a:noFill/>
                  </pic:spPr>
                </pic:pic>
              </a:graphicData>
            </a:graphic>
          </wp:inline>
        </w:drawing>
      </w:r>
    </w:p>
    <w:p w14:paraId="16D8628D" w14:textId="77777777" w:rsidR="00E14C73" w:rsidRPr="00F43F63" w:rsidRDefault="00E14C73" w:rsidP="00C3742F">
      <w:pPr>
        <w:pStyle w:val="FigureDescription"/>
      </w:pPr>
      <w:r>
        <w:t>Abbreviations: CI = confidence intervals; EASI 75 = Eczema Area and Severity Index 75 response; ITT = intention to treat; NRI</w:t>
      </w:r>
      <w:r>
        <w:noBreakHyphen/>
        <w:t>C = Nonresponder Imputation incorporating Multiple Imputation (MI) to handle missing data due to COVID-19; QD = once daily; UPA = upadacitinib.</w:t>
      </w:r>
    </w:p>
    <w:p w14:paraId="074F1986" w14:textId="1498D6AF" w:rsidR="00AE6E33" w:rsidRPr="00F43F63" w:rsidRDefault="005728DC" w:rsidP="005728DC">
      <w:r>
        <w:t>T</w:t>
      </w:r>
      <w:r w:rsidR="00AE6E33" w:rsidRPr="00F43F63">
        <w:t>he onset of action was rapid with statistically significant improv</w:t>
      </w:r>
      <w:r>
        <w:t>ement in EASI 75 observed from W</w:t>
      </w:r>
      <w:r w:rsidR="00AE6E33" w:rsidRPr="00F43F63">
        <w:t>eek 2 onw</w:t>
      </w:r>
      <w:r>
        <w:t>ards and, was maintained until W</w:t>
      </w:r>
      <w:r w:rsidR="00F43F63">
        <w:t>eek 16, as per the figure below.</w:t>
      </w:r>
    </w:p>
    <w:p w14:paraId="72F9013C" w14:textId="078B0C8D" w:rsidR="00F43F63" w:rsidRDefault="00F43F63" w:rsidP="00F43F63">
      <w:pPr>
        <w:pStyle w:val="FigureTitle"/>
      </w:pPr>
      <w:bookmarkStart w:id="109" w:name="_Ref125694593"/>
      <w:r>
        <w:lastRenderedPageBreak/>
        <w:t xml:space="preserve">Figure </w:t>
      </w:r>
      <w:fldSimple w:instr=" SEQ Figure \* ARABIC ">
        <w:r w:rsidR="00B51532">
          <w:rPr>
            <w:noProof/>
          </w:rPr>
          <w:t>12</w:t>
        </w:r>
      </w:fldSimple>
      <w:bookmarkEnd w:id="109"/>
      <w:r w:rsidR="005728DC">
        <w:rPr>
          <w:noProof/>
        </w:rPr>
        <w:t>: Study M16-045 EASI 75 response rates from Baseline to W</w:t>
      </w:r>
      <w:r w:rsidR="00F67D58">
        <w:rPr>
          <w:noProof/>
        </w:rPr>
        <w:t>eek 16 (main ITT population, NRI</w:t>
      </w:r>
      <w:r w:rsidR="005728DC">
        <w:rPr>
          <w:noProof/>
        </w:rPr>
        <w:t>-C)</w:t>
      </w:r>
    </w:p>
    <w:p w14:paraId="0092ECD2" w14:textId="6304DDCF" w:rsidR="00AE6E33" w:rsidRDefault="00F43F63" w:rsidP="00F43F63">
      <w:r>
        <w:rPr>
          <w:noProof/>
          <w:lang w:val="en-GB" w:eastAsia="en-GB"/>
        </w:rPr>
        <w:drawing>
          <wp:inline distT="0" distB="0" distL="0" distR="0" wp14:anchorId="42E2072C" wp14:editId="0350CA7C">
            <wp:extent cx="5407660" cy="2451100"/>
            <wp:effectExtent l="0" t="0" r="2540" b="6350"/>
            <wp:docPr id="29" name="Picture 29" descr="Study M16-045 EASI 75 response rates from Baseline to Week 16 (main ITT population, NRI-C)" title="Study M16-045 EASI 75 response rates from Baseline to Week 16 (main ITT population, N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7660" cy="2451100"/>
                    </a:xfrm>
                    <a:prstGeom prst="rect">
                      <a:avLst/>
                    </a:prstGeom>
                    <a:noFill/>
                  </pic:spPr>
                </pic:pic>
              </a:graphicData>
            </a:graphic>
          </wp:inline>
        </w:drawing>
      </w:r>
    </w:p>
    <w:p w14:paraId="1C34D77E" w14:textId="77777777" w:rsidR="004A0B90" w:rsidRDefault="004A0B90" w:rsidP="00443F4C">
      <w:pPr>
        <w:pStyle w:val="FigureDescription"/>
      </w:pPr>
      <w:r>
        <w:t>Abbreviations: CI = confidence intervals; vIGA-AD = validated investigator’s global assessment; ITT = intention to treat; NRI</w:t>
      </w:r>
      <w:r>
        <w:noBreakHyphen/>
        <w:t>C = Nonresponder Imputation incorporating Multiple Imputation (MI) to handle missing data due to COVID-19; QD = once daily; UPA = upadacitinib.</w:t>
      </w:r>
    </w:p>
    <w:p w14:paraId="73A130BC" w14:textId="3E33E57C" w:rsidR="00AE6E33" w:rsidRPr="00F43F63" w:rsidRDefault="005728DC" w:rsidP="00F43F63">
      <w:r>
        <w:t>S</w:t>
      </w:r>
      <w:r w:rsidR="00AE6E33" w:rsidRPr="00F43F63">
        <w:t xml:space="preserve">imilar results were observed for vIGA-AD of 0 or 1 with at least </w:t>
      </w:r>
      <w:r w:rsidRPr="00F43F63">
        <w:t xml:space="preserve">2 grades of reduction </w:t>
      </w:r>
      <w:r w:rsidR="002E3EA1">
        <w:t xml:space="preserve">from Baseline, as per </w:t>
      </w:r>
      <w:r w:rsidR="002E3EA1">
        <w:fldChar w:fldCharType="begin"/>
      </w:r>
      <w:r w:rsidR="002E3EA1">
        <w:instrText xml:space="preserve"> REF _Ref125694597 \h </w:instrText>
      </w:r>
      <w:r w:rsidR="002E3EA1">
        <w:fldChar w:fldCharType="separate"/>
      </w:r>
      <w:r w:rsidR="00B51532">
        <w:t xml:space="preserve">Figure </w:t>
      </w:r>
      <w:r w:rsidR="00B51532">
        <w:rPr>
          <w:noProof/>
        </w:rPr>
        <w:t>13</w:t>
      </w:r>
      <w:r w:rsidR="002E3EA1">
        <w:fldChar w:fldCharType="end"/>
      </w:r>
      <w:r w:rsidR="002E3EA1">
        <w:t>, below.</w:t>
      </w:r>
    </w:p>
    <w:p w14:paraId="4A8D3B73" w14:textId="757A1D51" w:rsidR="00F43F63" w:rsidRDefault="00F43F63" w:rsidP="00F43F63">
      <w:pPr>
        <w:pStyle w:val="FigureTitle"/>
      </w:pPr>
      <w:bookmarkStart w:id="110" w:name="_Ref125694597"/>
      <w:r>
        <w:t xml:space="preserve">Figure </w:t>
      </w:r>
      <w:fldSimple w:instr=" SEQ Figure \* ARABIC ">
        <w:r w:rsidR="00B51532">
          <w:rPr>
            <w:noProof/>
          </w:rPr>
          <w:t>13</w:t>
        </w:r>
      </w:fldSimple>
      <w:bookmarkEnd w:id="110"/>
      <w:r w:rsidR="002E3EA1">
        <w:rPr>
          <w:noProof/>
        </w:rPr>
        <w:t>: Study M16-045 vIGA 0/1 score response rates from Baseline to Week 16 (main ITT p</w:t>
      </w:r>
      <w:r w:rsidR="009622DC">
        <w:rPr>
          <w:noProof/>
        </w:rPr>
        <w:t>opulation, NRI</w:t>
      </w:r>
      <w:r w:rsidR="002E3EA1">
        <w:rPr>
          <w:noProof/>
        </w:rPr>
        <w:t>-C)</w:t>
      </w:r>
    </w:p>
    <w:p w14:paraId="2C9C2EB4" w14:textId="5BE9010C" w:rsidR="00AE6E33" w:rsidRDefault="00F43F63" w:rsidP="00F43F63">
      <w:r>
        <w:rPr>
          <w:noProof/>
          <w:lang w:val="en-GB" w:eastAsia="en-GB"/>
        </w:rPr>
        <w:drawing>
          <wp:inline distT="0" distB="0" distL="0" distR="0" wp14:anchorId="26DA2EE0" wp14:editId="0DC51CCB">
            <wp:extent cx="5601487" cy="2447925"/>
            <wp:effectExtent l="0" t="0" r="0" b="0"/>
            <wp:docPr id="30" name="Picture 30" descr="Study M16-045 vIGA 0/1 score response rates from Baseline to Week 16 (main ITT population, NRI-C)" title="Study M16-045 vIGA 0/1 score response rates from Baseline to Week 16 (main ITT population, N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
                      <a:extLst>
                        <a:ext uri="{28A0092B-C50C-407E-A947-70E740481C1C}">
                          <a14:useLocalDpi xmlns:a14="http://schemas.microsoft.com/office/drawing/2010/main" val="0"/>
                        </a:ext>
                      </a:extLst>
                    </a:blip>
                    <a:srcRect l="4720" b="16454"/>
                    <a:stretch/>
                  </pic:blipFill>
                  <pic:spPr bwMode="auto">
                    <a:xfrm>
                      <a:off x="0" y="0"/>
                      <a:ext cx="5618774" cy="2455480"/>
                    </a:xfrm>
                    <a:prstGeom prst="rect">
                      <a:avLst/>
                    </a:prstGeom>
                    <a:noFill/>
                    <a:ln>
                      <a:noFill/>
                    </a:ln>
                    <a:extLst>
                      <a:ext uri="{53640926-AAD7-44D8-BBD7-CCE9431645EC}">
                        <a14:shadowObscured xmlns:a14="http://schemas.microsoft.com/office/drawing/2010/main"/>
                      </a:ext>
                    </a:extLst>
                  </pic:spPr>
                </pic:pic>
              </a:graphicData>
            </a:graphic>
          </wp:inline>
        </w:drawing>
      </w:r>
      <w:bookmarkStart w:id="111" w:name="7.2.1.13._Results_for_other_efficacy_out"/>
      <w:bookmarkEnd w:id="111"/>
    </w:p>
    <w:p w14:paraId="14DA0A52" w14:textId="31ED6D38" w:rsidR="00F67D58" w:rsidRPr="00F43F63" w:rsidRDefault="00F67D58" w:rsidP="00443F4C">
      <w:pPr>
        <w:pStyle w:val="FigureDescription"/>
      </w:pPr>
      <w:r>
        <w:t>Abbreviations: CI = confidence intervals; ITT = intention to treat; NRI</w:t>
      </w:r>
      <w:r>
        <w:noBreakHyphen/>
        <w:t>C = Nonresponder Imputation incorporating Multiple Imputation (MI) to handle missing data due to COVID-19; QD = once daily; UPA = upadacitinib;</w:t>
      </w:r>
      <w:r w:rsidRPr="00F67D58">
        <w:t xml:space="preserve"> vIGA-AD = validated investigator’s global assessment</w:t>
      </w:r>
      <w:r>
        <w:t>.</w:t>
      </w:r>
    </w:p>
    <w:p w14:paraId="7EB87C90" w14:textId="764C9503" w:rsidR="00AE6E33" w:rsidRPr="009761D9" w:rsidRDefault="00F43F63" w:rsidP="00F43F63">
      <w:pPr>
        <w:pStyle w:val="Heading6"/>
      </w:pPr>
      <w:r>
        <w:t>Key secondary endpoints</w:t>
      </w:r>
    </w:p>
    <w:p w14:paraId="068FA3F7" w14:textId="7A825DF8" w:rsidR="00AE6E33" w:rsidRPr="00F43F63" w:rsidRDefault="00F43F63" w:rsidP="00F43F63">
      <w:r>
        <w:t xml:space="preserve">The key secondary endpoints </w:t>
      </w:r>
      <w:r w:rsidR="00AE6E33" w:rsidRPr="00F43F63">
        <w:t xml:space="preserve">demonstrated </w:t>
      </w:r>
      <w:r>
        <w:t>the superiority of each u</w:t>
      </w:r>
      <w:r w:rsidR="00AE6E33" w:rsidRPr="00F43F63">
        <w:t xml:space="preserve">padacitinib dose </w:t>
      </w:r>
      <w:r>
        <w:t>versus</w:t>
      </w:r>
      <w:r w:rsidR="00AE6E33" w:rsidRPr="00F43F63">
        <w:t xml:space="preserve"> placebo with statistically significant and clinically relevant improvements in </w:t>
      </w:r>
      <w:r w:rsidR="002E3EA1">
        <w:t>atopic dermatitis</w:t>
      </w:r>
      <w:r w:rsidR="00AE6E33" w:rsidRPr="00F43F63">
        <w:t xml:space="preserve"> activity related to the skin, pruri</w:t>
      </w:r>
      <w:r>
        <w:t xml:space="preserve">tus, health-related quality of life, impact of </w:t>
      </w:r>
      <w:r w:rsidR="002E3EA1">
        <w:t>topic dermatitis</w:t>
      </w:r>
      <w:r>
        <w:t xml:space="preserve"> on sleep and daily activities.</w:t>
      </w:r>
    </w:p>
    <w:p w14:paraId="7CF9BF25" w14:textId="301C0BD9" w:rsidR="00AE6E33" w:rsidRDefault="00F43F63" w:rsidP="00F43F63">
      <w:r>
        <w:t>M</w:t>
      </w:r>
      <w:r w:rsidR="00AE6E33" w:rsidRPr="00F43F63">
        <w:t>ost of these efficacy endpoints demonstrated numerically better improvements with the 30</w:t>
      </w:r>
      <w:r>
        <w:t> </w:t>
      </w:r>
      <w:r w:rsidR="00AE6E33" w:rsidRPr="00F43F63">
        <w:t xml:space="preserve">mg </w:t>
      </w:r>
      <w:r>
        <w:t>u</w:t>
      </w:r>
      <w:r w:rsidR="00AE6E33" w:rsidRPr="00F43F63">
        <w:t>padacitinib dose compared to the</w:t>
      </w:r>
      <w:r>
        <w:t xml:space="preserve"> </w:t>
      </w:r>
      <w:r w:rsidR="00AE6E33" w:rsidRPr="00F43F63">
        <w:t>15</w:t>
      </w:r>
      <w:r>
        <w:t xml:space="preserve"> </w:t>
      </w:r>
      <w:r w:rsidR="00AE6E33" w:rsidRPr="00F43F63">
        <w:t xml:space="preserve">mg </w:t>
      </w:r>
      <w:r>
        <w:t>dose.</w:t>
      </w:r>
    </w:p>
    <w:p w14:paraId="12708B37" w14:textId="555073E2" w:rsidR="0044375F" w:rsidRDefault="0044375F" w:rsidP="0044375F">
      <w:pPr>
        <w:pStyle w:val="Tabletitle0"/>
      </w:pPr>
      <w:r>
        <w:lastRenderedPageBreak/>
        <w:t xml:space="preserve">Table </w:t>
      </w:r>
      <w:fldSimple w:instr=" SEQ Table \* ARABIC ">
        <w:r w:rsidR="00B51532">
          <w:rPr>
            <w:noProof/>
          </w:rPr>
          <w:t>25</w:t>
        </w:r>
      </w:fldSimple>
      <w:r>
        <w:t xml:space="preserve">: Study M16-045 Key secondary endpoint results (US FDA- and EMA-agreed efficacy outcomes; </w:t>
      </w:r>
      <w:r w:rsidR="002E3EA1">
        <w:t>main ITT</w:t>
      </w:r>
      <w:r>
        <w:t xml:space="preserve"> population)</w:t>
      </w:r>
    </w:p>
    <w:p w14:paraId="3EFF4F83" w14:textId="076C3B15" w:rsidR="00F43F63" w:rsidRDefault="00F43F63" w:rsidP="00F43F63">
      <w:r>
        <w:rPr>
          <w:noProof/>
          <w:lang w:val="en-GB" w:eastAsia="en-GB"/>
        </w:rPr>
        <w:drawing>
          <wp:inline distT="0" distB="0" distL="0" distR="0" wp14:anchorId="333C3423" wp14:editId="22A897D1">
            <wp:extent cx="5307496" cy="5424848"/>
            <wp:effectExtent l="0" t="0" r="7620" b="4445"/>
            <wp:docPr id="32" name="Picture 32" descr="Study M16-045 Key secondary endpoint results (US FDA- and EMA-agreed efficacy outcomes; main ITT population)" title="Study M16-045 Key secondary endpoint results (US FDA- and EMA-agreed efficacy outcomes;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33187" cy="5451107"/>
                    </a:xfrm>
                    <a:prstGeom prst="rect">
                      <a:avLst/>
                    </a:prstGeom>
                    <a:noFill/>
                  </pic:spPr>
                </pic:pic>
              </a:graphicData>
            </a:graphic>
          </wp:inline>
        </w:drawing>
      </w:r>
    </w:p>
    <w:p w14:paraId="2F36583C" w14:textId="3A015294" w:rsidR="00AE6E33" w:rsidRPr="0044375F" w:rsidRDefault="002E3EA1" w:rsidP="0044375F">
      <w:pPr>
        <w:rPr>
          <w:b/>
        </w:rPr>
      </w:pPr>
      <w:r>
        <w:t>U</w:t>
      </w:r>
      <w:r w:rsidR="00782F8C">
        <w:t>padacitinib</w:t>
      </w:r>
      <w:r w:rsidR="00AE6E33" w:rsidRPr="007453DA">
        <w:t xml:space="preserve"> </w:t>
      </w:r>
      <w:r w:rsidR="005D7175">
        <w:t>30 mg</w:t>
      </w:r>
      <w:r w:rsidR="00AE6E33" w:rsidRPr="007453DA">
        <w:t xml:space="preserve"> and </w:t>
      </w:r>
      <w:r w:rsidR="005D7175">
        <w:t>15 mg</w:t>
      </w:r>
      <w:r w:rsidR="00AE6E33" w:rsidRPr="007453DA">
        <w:t xml:space="preserve"> showed statistically </w:t>
      </w:r>
      <w:r w:rsidR="0044375F">
        <w:t>significant</w:t>
      </w:r>
      <w:r w:rsidR="00AE6E33" w:rsidRPr="0044375F">
        <w:t xml:space="preserve"> im</w:t>
      </w:r>
      <w:r w:rsidR="0044375F">
        <w:t>provements over placebo for all</w:t>
      </w:r>
      <w:r w:rsidR="00AE6E33" w:rsidRPr="0044375F">
        <w:t xml:space="preserve"> secondary endpoints of skin clearance and disease activity including vIGA score of 0/1, EASI </w:t>
      </w:r>
      <w:r w:rsidR="0044375F">
        <w:t>50/75/90/100 at Week 16.</w:t>
      </w:r>
    </w:p>
    <w:p w14:paraId="05379935" w14:textId="1802C593" w:rsidR="00AE6E33" w:rsidRPr="007453DA" w:rsidRDefault="0044375F" w:rsidP="0044375F">
      <w:pPr>
        <w:rPr>
          <w:b/>
        </w:rPr>
      </w:pPr>
      <w:r>
        <w:t>T</w:t>
      </w:r>
      <w:r w:rsidR="00AE6E33" w:rsidRPr="007453DA">
        <w:t>he proportion of subjects who achieved SCORAD 50/75/90</w:t>
      </w:r>
      <w:r w:rsidR="00AE6E33" w:rsidRPr="007453DA">
        <w:rPr>
          <w:spacing w:val="1"/>
        </w:rPr>
        <w:t xml:space="preserve"> </w:t>
      </w:r>
      <w:r w:rsidR="00AE6E33" w:rsidRPr="007453DA">
        <w:t>continued to increase from We</w:t>
      </w:r>
      <w:r>
        <w:t>ek 2 to Week 16 in subjects on u</w:t>
      </w:r>
      <w:r w:rsidR="00AE6E33" w:rsidRPr="007453DA">
        <w:t>padacitinib 30 mg and 15 mg</w:t>
      </w:r>
      <w:r w:rsidR="00AE6E33" w:rsidRPr="007453DA">
        <w:rPr>
          <w:spacing w:val="1"/>
        </w:rPr>
        <w:t xml:space="preserve"> </w:t>
      </w:r>
      <w:r w:rsidR="00AE6E33" w:rsidRPr="007453DA">
        <w:t>compared to placebo. This pattern was consistent with the percent change improvements in</w:t>
      </w:r>
      <w:r w:rsidR="00AE6E33" w:rsidRPr="007453DA">
        <w:rPr>
          <w:spacing w:val="1"/>
        </w:rPr>
        <w:t xml:space="preserve"> </w:t>
      </w:r>
      <w:r w:rsidR="00AE6E33" w:rsidRPr="007453DA">
        <w:t>SCORAD and its individual components (Objective SCORAD,</w:t>
      </w:r>
      <w:r>
        <w:t xml:space="preserve"> SCORAD Itch, and SCORAD Sleep).</w:t>
      </w:r>
      <w:r w:rsidR="00C351C1">
        <w:t xml:space="preserve"> See section: </w:t>
      </w:r>
      <w:r w:rsidR="00C351C1" w:rsidRPr="00C351C1">
        <w:rPr>
          <w:i/>
        </w:rPr>
        <w:fldChar w:fldCharType="begin"/>
      </w:r>
      <w:r w:rsidR="00C351C1" w:rsidRPr="00C351C1">
        <w:rPr>
          <w:i/>
        </w:rPr>
        <w:instrText xml:space="preserve"> REF _Ref126046677 \h </w:instrText>
      </w:r>
      <w:r w:rsidR="00C351C1">
        <w:rPr>
          <w:i/>
        </w:rPr>
        <w:instrText xml:space="preserve"> \* MERGEFORMAT </w:instrText>
      </w:r>
      <w:r w:rsidR="00C351C1" w:rsidRPr="00C351C1">
        <w:rPr>
          <w:i/>
        </w:rPr>
      </w:r>
      <w:r w:rsidR="00C351C1" w:rsidRPr="00C351C1">
        <w:rPr>
          <w:i/>
        </w:rPr>
        <w:fldChar w:fldCharType="separate"/>
      </w:r>
      <w:r w:rsidR="00B51532" w:rsidRPr="00B51532">
        <w:rPr>
          <w:i/>
        </w:rPr>
        <w:t>Scoring Atopic Dermatitis (SCORAD)</w:t>
      </w:r>
      <w:r w:rsidR="00C351C1" w:rsidRPr="00C351C1">
        <w:rPr>
          <w:i/>
        </w:rPr>
        <w:fldChar w:fldCharType="end"/>
      </w:r>
      <w:r w:rsidR="00C351C1">
        <w:t xml:space="preserve"> for details on this measure.</w:t>
      </w:r>
    </w:p>
    <w:p w14:paraId="14A9F838" w14:textId="1D55E993" w:rsidR="0044375F" w:rsidRDefault="0044375F" w:rsidP="0044375F">
      <w:r>
        <w:rPr>
          <w:spacing w:val="1"/>
        </w:rPr>
        <w:t>T</w:t>
      </w:r>
      <w:r w:rsidR="00AE6E33" w:rsidRPr="007453DA">
        <w:t xml:space="preserve">he </w:t>
      </w:r>
      <w:r>
        <w:t>body surface area</w:t>
      </w:r>
      <w:r w:rsidR="00AE6E33" w:rsidRPr="007453DA">
        <w:t xml:space="preserve"> affected by </w:t>
      </w:r>
      <w:r w:rsidR="000A7587">
        <w:t>atopic dermatitis</w:t>
      </w:r>
      <w:r w:rsidR="00AE6E33" w:rsidRPr="007453DA">
        <w:t xml:space="preserve"> showed significantly greater reduction in the</w:t>
      </w:r>
      <w:r w:rsidR="005D7175">
        <w:t xml:space="preserve"> upadacitinib</w:t>
      </w:r>
      <w:r w:rsidR="00AE6E33" w:rsidRPr="007453DA">
        <w:t xml:space="preserve"> groups</w:t>
      </w:r>
      <w:r w:rsidR="00AE6E33" w:rsidRPr="007453DA">
        <w:rPr>
          <w:spacing w:val="1"/>
        </w:rPr>
        <w:t xml:space="preserve"> </w:t>
      </w:r>
      <w:r w:rsidR="00AE6E33" w:rsidRPr="007453DA">
        <w:t>compared</w:t>
      </w:r>
      <w:r w:rsidR="00AE6E33" w:rsidRPr="007453DA">
        <w:rPr>
          <w:spacing w:val="-2"/>
        </w:rPr>
        <w:t xml:space="preserve"> </w:t>
      </w:r>
      <w:r w:rsidR="00AE6E33" w:rsidRPr="007453DA">
        <w:t>with placebo</w:t>
      </w:r>
      <w:r>
        <w:t>.</w:t>
      </w:r>
    </w:p>
    <w:p w14:paraId="06E8F9F6" w14:textId="0B707A49" w:rsidR="0044375F" w:rsidRPr="007453DA" w:rsidRDefault="00770D0B" w:rsidP="0044375F">
      <w:r>
        <w:t>U</w:t>
      </w:r>
      <w:r w:rsidR="00782F8C">
        <w:t>padacitinib</w:t>
      </w:r>
      <w:r w:rsidR="00AE6E33" w:rsidRPr="007453DA">
        <w:t xml:space="preserve"> 30 mg and 15 mg demonstrated superiority in all secondary endpoints of itch</w:t>
      </w:r>
      <w:r w:rsidR="00AE6E33" w:rsidRPr="007453DA">
        <w:rPr>
          <w:spacing w:val="1"/>
        </w:rPr>
        <w:t xml:space="preserve"> </w:t>
      </w:r>
      <w:r w:rsidR="00AE6E33" w:rsidRPr="007453DA">
        <w:t>reduction, including improvement (reduction) in Worst Pruritus NRS ≥ 4 at Day 2, Day 3, Week</w:t>
      </w:r>
      <w:r w:rsidR="00AE6E33" w:rsidRPr="007453DA">
        <w:rPr>
          <w:spacing w:val="1"/>
        </w:rPr>
        <w:t xml:space="preserve"> </w:t>
      </w:r>
      <w:r w:rsidR="00AE6E33" w:rsidRPr="007453DA">
        <w:t>1, Week 4 and Week 16</w:t>
      </w:r>
      <w:r w:rsidR="0044375F">
        <w:t xml:space="preserve"> (see </w:t>
      </w:r>
      <w:fldSimple w:instr=" REF _Ref120710387 ">
        <w:r w:rsidR="00B51532">
          <w:t xml:space="preserve">Figure </w:t>
        </w:r>
        <w:r w:rsidR="00B51532">
          <w:rPr>
            <w:noProof/>
          </w:rPr>
          <w:t>14</w:t>
        </w:r>
      </w:fldSimple>
      <w:r w:rsidR="0044375F">
        <w:t xml:space="preserve">), </w:t>
      </w:r>
      <w:r w:rsidR="0044375F" w:rsidRPr="0044375F">
        <w:t>and percent ch</w:t>
      </w:r>
      <w:r w:rsidR="0044375F" w:rsidRPr="007453DA">
        <w:t>ange in Worst Pruritus at Week</w:t>
      </w:r>
      <w:r w:rsidR="00B51532">
        <w:t xml:space="preserve"> </w:t>
      </w:r>
      <w:r w:rsidR="0044375F">
        <w:rPr>
          <w:spacing w:val="-46"/>
        </w:rPr>
        <w:t xml:space="preserve"> </w:t>
      </w:r>
      <w:r w:rsidR="0044375F">
        <w:t xml:space="preserve">16 (see </w:t>
      </w:r>
      <w:fldSimple w:instr=" REF _Ref120710397 ">
        <w:r w:rsidR="00B51532">
          <w:t xml:space="preserve">Figure </w:t>
        </w:r>
        <w:r w:rsidR="00B51532">
          <w:rPr>
            <w:noProof/>
          </w:rPr>
          <w:t>15</w:t>
        </w:r>
      </w:fldSimple>
      <w:r w:rsidR="0044375F">
        <w:t>).</w:t>
      </w:r>
      <w:r w:rsidR="00C351C1">
        <w:t xml:space="preserve"> See section: </w:t>
      </w:r>
      <w:r w:rsidR="00C351C1" w:rsidRPr="00C351C1">
        <w:rPr>
          <w:i/>
        </w:rPr>
        <w:fldChar w:fldCharType="begin"/>
      </w:r>
      <w:r w:rsidR="00C351C1" w:rsidRPr="00C351C1">
        <w:rPr>
          <w:i/>
        </w:rPr>
        <w:instrText xml:space="preserve"> REF _Ref126046740 \h </w:instrText>
      </w:r>
      <w:r w:rsidR="00C351C1">
        <w:rPr>
          <w:i/>
        </w:rPr>
        <w:instrText xml:space="preserve"> \* MERGEFORMAT </w:instrText>
      </w:r>
      <w:r w:rsidR="00C351C1" w:rsidRPr="00C351C1">
        <w:rPr>
          <w:i/>
        </w:rPr>
      </w:r>
      <w:r w:rsidR="00C351C1" w:rsidRPr="00C351C1">
        <w:rPr>
          <w:i/>
        </w:rPr>
        <w:fldChar w:fldCharType="separate"/>
      </w:r>
      <w:r w:rsidR="00B51532" w:rsidRPr="00B51532">
        <w:rPr>
          <w:i/>
        </w:rPr>
        <w:t>Worst Pruritus numerical rating scale (NRS)</w:t>
      </w:r>
      <w:r w:rsidR="00C351C1" w:rsidRPr="00C351C1">
        <w:rPr>
          <w:i/>
        </w:rPr>
        <w:fldChar w:fldCharType="end"/>
      </w:r>
      <w:r w:rsidR="00C351C1">
        <w:t xml:space="preserve"> for details on this measure.</w:t>
      </w:r>
    </w:p>
    <w:p w14:paraId="23BBA799" w14:textId="42165329" w:rsidR="00AE6E33" w:rsidRDefault="00AE6E33" w:rsidP="0044375F"/>
    <w:p w14:paraId="031E5A93" w14:textId="4F308DA2" w:rsidR="0044375F" w:rsidRDefault="0044375F" w:rsidP="0044375F">
      <w:pPr>
        <w:pStyle w:val="FigureTitle"/>
      </w:pPr>
      <w:bookmarkStart w:id="112" w:name="_Ref120710387"/>
      <w:r>
        <w:lastRenderedPageBreak/>
        <w:t xml:space="preserve">Figure </w:t>
      </w:r>
      <w:fldSimple w:instr=" SEQ Figure \* ARABIC ">
        <w:r w:rsidR="00B51532">
          <w:rPr>
            <w:noProof/>
          </w:rPr>
          <w:t>14</w:t>
        </w:r>
      </w:fldSimple>
      <w:bookmarkEnd w:id="112"/>
      <w:r>
        <w:t>:</w:t>
      </w:r>
      <w:r w:rsidR="00770D0B">
        <w:rPr>
          <w:noProof/>
        </w:rPr>
        <w:t xml:space="preserve"> Study M16-045 Improvement (reduction) in proportion of subjects recording a Worst Pruiritis NRS score of ≥ 4 from Baseline to W</w:t>
      </w:r>
      <w:r w:rsidR="00F67D58">
        <w:rPr>
          <w:noProof/>
        </w:rPr>
        <w:t>eek 16 (main ITT population, NRI</w:t>
      </w:r>
      <w:r w:rsidR="00770D0B">
        <w:rPr>
          <w:noProof/>
        </w:rPr>
        <w:t>-C)</w:t>
      </w:r>
    </w:p>
    <w:p w14:paraId="4206BB81" w14:textId="46D32EDA" w:rsidR="0044375F" w:rsidRDefault="0044375F" w:rsidP="0044375F">
      <w:pPr>
        <w:rPr>
          <w:b/>
        </w:rPr>
      </w:pPr>
      <w:r>
        <w:rPr>
          <w:b/>
          <w:noProof/>
          <w:lang w:val="en-GB" w:eastAsia="en-GB"/>
        </w:rPr>
        <w:drawing>
          <wp:inline distT="0" distB="0" distL="0" distR="0" wp14:anchorId="05F63BB9" wp14:editId="5DD61730">
            <wp:extent cx="5495925" cy="2078961"/>
            <wp:effectExtent l="0" t="0" r="0" b="0"/>
            <wp:docPr id="33" name="Picture 33" descr="Study M16-045 Improvement (reduction) in proportion of subjects recording a Worst Pruiritis NRS score of ≥ 4 from Baseline to Week 16 (main ITT population, NRI-C)" title="Study M16-045 Improvement (reduction) in proportion of subjects recording a Worst Pruiritis NRS score of ≥ 4 from Baseline to Week 16 (main ITT population, N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7885" cy="2083485"/>
                    </a:xfrm>
                    <a:prstGeom prst="rect">
                      <a:avLst/>
                    </a:prstGeom>
                    <a:noFill/>
                  </pic:spPr>
                </pic:pic>
              </a:graphicData>
            </a:graphic>
          </wp:inline>
        </w:drawing>
      </w:r>
    </w:p>
    <w:p w14:paraId="5F90AEF8" w14:textId="38DB4920" w:rsidR="00F67D58" w:rsidRPr="0044375F" w:rsidRDefault="00F67D58" w:rsidP="00443F4C">
      <w:pPr>
        <w:pStyle w:val="FigureDescription"/>
      </w:pPr>
      <w:r>
        <w:t>Abbreviations: CI = confidence intervals; ITT = intention to treat; NRI</w:t>
      </w:r>
      <w:r>
        <w:noBreakHyphen/>
        <w:t>C = Nonresponder Imputation incorporating Multiple Imputation (MI) to handle missing data due to COVID-19; NRS = numerical rating scale; QD = once daily; UPA = upadacitinib.</w:t>
      </w:r>
    </w:p>
    <w:p w14:paraId="744C2A80" w14:textId="3CF51772" w:rsidR="0044375F" w:rsidRDefault="0044375F" w:rsidP="0044375F">
      <w:pPr>
        <w:pStyle w:val="FigureTitle"/>
      </w:pPr>
      <w:bookmarkStart w:id="113" w:name="_Ref120710397"/>
      <w:r>
        <w:t xml:space="preserve">Figure </w:t>
      </w:r>
      <w:fldSimple w:instr=" SEQ Figure \* ARABIC ">
        <w:r w:rsidR="00B51532">
          <w:rPr>
            <w:noProof/>
          </w:rPr>
          <w:t>15</w:t>
        </w:r>
      </w:fldSimple>
      <w:bookmarkEnd w:id="113"/>
      <w:r w:rsidR="00770D0B">
        <w:rPr>
          <w:noProof/>
        </w:rPr>
        <w:t>: Study M16-045 Percentage change in Worst Pruiritis NRS scores from Baseline to Week 16 (main ITT population, NR</w:t>
      </w:r>
      <w:r w:rsidR="004A0B90">
        <w:rPr>
          <w:noProof/>
        </w:rPr>
        <w:t>I</w:t>
      </w:r>
      <w:r w:rsidR="00770D0B">
        <w:rPr>
          <w:noProof/>
        </w:rPr>
        <w:t>-C)</w:t>
      </w:r>
    </w:p>
    <w:p w14:paraId="6F89C9F8" w14:textId="77777777" w:rsidR="00770D0B" w:rsidRDefault="0044375F" w:rsidP="0044375F">
      <w:r>
        <w:rPr>
          <w:noProof/>
          <w:lang w:val="en-GB" w:eastAsia="en-GB"/>
        </w:rPr>
        <w:drawing>
          <wp:inline distT="0" distB="0" distL="0" distR="0" wp14:anchorId="5C2F51C9" wp14:editId="7D25343F">
            <wp:extent cx="5543550" cy="2171619"/>
            <wp:effectExtent l="0" t="0" r="0" b="635"/>
            <wp:docPr id="34" name="Picture 34" descr="Study M16-045 Percentage change in Worst Pruiritis NRS scores from Baseline to Week 16 (main ITT population, NRI-C)" title="Study M16-045 Percentage change in Worst Pruiritis NRS scores from Baseline to Week 16 (main ITT population, N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
                      <a:extLst>
                        <a:ext uri="{28A0092B-C50C-407E-A947-70E740481C1C}">
                          <a14:useLocalDpi xmlns:a14="http://schemas.microsoft.com/office/drawing/2010/main" val="0"/>
                        </a:ext>
                      </a:extLst>
                    </a:blip>
                    <a:srcRect l="4425" b="23787"/>
                    <a:stretch/>
                  </pic:blipFill>
                  <pic:spPr bwMode="auto">
                    <a:xfrm>
                      <a:off x="0" y="0"/>
                      <a:ext cx="5553743" cy="2175612"/>
                    </a:xfrm>
                    <a:prstGeom prst="rect">
                      <a:avLst/>
                    </a:prstGeom>
                    <a:noFill/>
                    <a:ln>
                      <a:noFill/>
                    </a:ln>
                    <a:extLst>
                      <a:ext uri="{53640926-AAD7-44D8-BBD7-CCE9431645EC}">
                        <a14:shadowObscured xmlns:a14="http://schemas.microsoft.com/office/drawing/2010/main"/>
                      </a:ext>
                    </a:extLst>
                  </pic:spPr>
                </pic:pic>
              </a:graphicData>
            </a:graphic>
          </wp:inline>
        </w:drawing>
      </w:r>
    </w:p>
    <w:p w14:paraId="433E253C" w14:textId="327FBE9A" w:rsidR="00AE6E33" w:rsidRPr="0044375F" w:rsidRDefault="00F67D58" w:rsidP="00443F4C">
      <w:pPr>
        <w:pStyle w:val="FigureDescription"/>
      </w:pPr>
      <w:r>
        <w:t>Abbreviations: CI = confidence intervals; ITT = intention to treat; NRI</w:t>
      </w:r>
      <w:r>
        <w:noBreakHyphen/>
        <w:t>C = Nonresponder Imputation incorporating Multiple Imputation (MI) to handle missing data due to COVID-19; NRS = numerical rating scale; QD = once daily; UPA = upadacitinib.</w:t>
      </w:r>
      <w:r w:rsidR="00770D0B">
        <w:t xml:space="preserve"> </w:t>
      </w:r>
    </w:p>
    <w:p w14:paraId="42274A0F" w14:textId="1FC43030" w:rsidR="00AE6E33" w:rsidRPr="0044375F" w:rsidRDefault="00E62B8D" w:rsidP="0044375F">
      <w:r>
        <w:t>A</w:t>
      </w:r>
      <w:r w:rsidR="00AE6E33" w:rsidRPr="0044375F">
        <w:t xml:space="preserve"> greater proportion of subjects reported a Worst Pruritus NRS score of 0 or 1 compared with placebo, as early as Week 1 through to Week 16 with consistent </w:t>
      </w:r>
      <w:r>
        <w:t>results observed in adolescents.</w:t>
      </w:r>
    </w:p>
    <w:p w14:paraId="7851046D" w14:textId="167DA68B" w:rsidR="00AE6E33" w:rsidRPr="0044375F" w:rsidRDefault="00E62B8D" w:rsidP="0044375F">
      <w:r>
        <w:t>S</w:t>
      </w:r>
      <w:r w:rsidR="00AE6E33" w:rsidRPr="0044375F">
        <w:t xml:space="preserve">ubjects </w:t>
      </w:r>
      <w:r>
        <w:t>on u</w:t>
      </w:r>
      <w:r w:rsidR="00AE6E33" w:rsidRPr="0044375F">
        <w:t xml:space="preserve">padacitinib 30 mg and 15 mg achieved greater itch reduction as measured by the SCORAD itch assessment over placebo at Week 2 and Week </w:t>
      </w:r>
      <w:r>
        <w:t>16.</w:t>
      </w:r>
    </w:p>
    <w:p w14:paraId="5723C7C7" w14:textId="5202CB68" w:rsidR="00AE6E33" w:rsidRDefault="00E62B8D" w:rsidP="0044375F">
      <w:r>
        <w:t>A</w:t>
      </w:r>
      <w:r w:rsidR="00AE6E33" w:rsidRPr="0044375F">
        <w:t xml:space="preserve"> significantly greater proportion of subjects on</w:t>
      </w:r>
      <w:r w:rsidR="005D7175">
        <w:t xml:space="preserve"> upadacitinib</w:t>
      </w:r>
      <w:r w:rsidR="00AE6E33" w:rsidRPr="0044375F">
        <w:t xml:space="preserve"> 30 mg and 15 mg achieved clinically meaningful reductions in symptoms of </w:t>
      </w:r>
      <w:r w:rsidR="00C351C1">
        <w:t>atopic dermatitis</w:t>
      </w:r>
      <w:r w:rsidR="00AE6E33" w:rsidRPr="0044375F">
        <w:t>, demonstrated as improvement in POEM ≥ 4</w:t>
      </w:r>
      <w:r w:rsidR="00B51532">
        <w:t xml:space="preserve"> </w:t>
      </w:r>
      <w:r w:rsidR="00AE6E33" w:rsidRPr="0044375F">
        <w:t>at Week 16 (EMA only), improvement in ADerm-SS skin pain score ≥ 4 at Week 16, and improvement in</w:t>
      </w:r>
      <w:r>
        <w:t xml:space="preserve"> ADerm-SS TSS-7 ≥ 28 at Week 16.</w:t>
      </w:r>
    </w:p>
    <w:p w14:paraId="387454A4" w14:textId="301B350F" w:rsidR="00C351C1" w:rsidRPr="00C351C1" w:rsidRDefault="00C351C1" w:rsidP="0044375F">
      <w:r>
        <w:t>S</w:t>
      </w:r>
      <w:r w:rsidRPr="00C351C1">
        <w:t xml:space="preserve">ee sections: </w:t>
      </w:r>
      <w:r w:rsidRPr="00C351C1">
        <w:rPr>
          <w:i/>
        </w:rPr>
        <w:fldChar w:fldCharType="begin"/>
      </w:r>
      <w:r w:rsidRPr="00C351C1">
        <w:rPr>
          <w:i/>
        </w:rPr>
        <w:instrText xml:space="preserve"> REF _Ref126046810 \h  \* MERGEFORMAT </w:instrText>
      </w:r>
      <w:r w:rsidRPr="00C351C1">
        <w:rPr>
          <w:i/>
        </w:rPr>
      </w:r>
      <w:r w:rsidRPr="00C351C1">
        <w:rPr>
          <w:i/>
        </w:rPr>
        <w:fldChar w:fldCharType="separate"/>
      </w:r>
      <w:r w:rsidR="00B51532" w:rsidRPr="00B51532">
        <w:rPr>
          <w:i/>
        </w:rPr>
        <w:t>Patient Oriented Eczema Measure (POEM)</w:t>
      </w:r>
      <w:r w:rsidRPr="00C351C1">
        <w:rPr>
          <w:i/>
        </w:rPr>
        <w:fldChar w:fldCharType="end"/>
      </w:r>
      <w:r w:rsidRPr="00C351C1">
        <w:rPr>
          <w:i/>
        </w:rPr>
        <w:t xml:space="preserve">; </w:t>
      </w:r>
      <w:r w:rsidRPr="00C351C1">
        <w:rPr>
          <w:i/>
        </w:rPr>
        <w:fldChar w:fldCharType="begin"/>
      </w:r>
      <w:r w:rsidRPr="00C351C1">
        <w:rPr>
          <w:i/>
        </w:rPr>
        <w:instrText xml:space="preserve"> REF _Ref126046814 \h  \* MERGEFORMAT </w:instrText>
      </w:r>
      <w:r w:rsidRPr="00C351C1">
        <w:rPr>
          <w:i/>
        </w:rPr>
      </w:r>
      <w:r w:rsidRPr="00C351C1">
        <w:rPr>
          <w:i/>
        </w:rPr>
        <w:fldChar w:fldCharType="separate"/>
      </w:r>
      <w:r w:rsidR="00B51532" w:rsidRPr="00B51532">
        <w:rPr>
          <w:i/>
        </w:rPr>
        <w:t>Atopic Dermatitis Symptom Scale (ADerm-SS)</w:t>
      </w:r>
      <w:r w:rsidRPr="00C351C1">
        <w:rPr>
          <w:i/>
        </w:rPr>
        <w:fldChar w:fldCharType="end"/>
      </w:r>
      <w:r w:rsidRPr="00C351C1">
        <w:rPr>
          <w:i/>
        </w:rPr>
        <w:fldChar w:fldCharType="begin"/>
      </w:r>
      <w:r w:rsidRPr="00C351C1">
        <w:rPr>
          <w:i/>
        </w:rPr>
        <w:instrText xml:space="preserve"> REF _Ref125686128 \h  \* MERGEFORMAT </w:instrText>
      </w:r>
      <w:r w:rsidRPr="00C351C1">
        <w:rPr>
          <w:i/>
        </w:rPr>
      </w:r>
      <w:r w:rsidRPr="00C351C1">
        <w:rPr>
          <w:i/>
        </w:rPr>
        <w:fldChar w:fldCharType="separate"/>
      </w:r>
      <w:r w:rsidR="00B51532" w:rsidRPr="00B51532">
        <w:rPr>
          <w:i/>
        </w:rPr>
        <w:t>Atopic Dermatitis Impact Scale (ADerm-IS)</w:t>
      </w:r>
      <w:r w:rsidRPr="00C351C1">
        <w:rPr>
          <w:i/>
        </w:rPr>
        <w:fldChar w:fldCharType="end"/>
      </w:r>
      <w:r w:rsidRPr="00C351C1">
        <w:rPr>
          <w:i/>
        </w:rPr>
        <w:t xml:space="preserve">; </w:t>
      </w:r>
      <w:r w:rsidRPr="00C351C1">
        <w:rPr>
          <w:i/>
        </w:rPr>
        <w:fldChar w:fldCharType="begin"/>
      </w:r>
      <w:r w:rsidRPr="00C351C1">
        <w:rPr>
          <w:i/>
        </w:rPr>
        <w:instrText xml:space="preserve"> REF _Ref126046821 \h  \* MERGEFORMAT </w:instrText>
      </w:r>
      <w:r w:rsidRPr="00C351C1">
        <w:rPr>
          <w:i/>
        </w:rPr>
      </w:r>
      <w:r w:rsidRPr="00C351C1">
        <w:rPr>
          <w:i/>
        </w:rPr>
        <w:fldChar w:fldCharType="separate"/>
      </w:r>
      <w:r w:rsidR="00B51532" w:rsidRPr="00B51532">
        <w:rPr>
          <w:i/>
        </w:rPr>
        <w:t>Dermatology Life Quality Index</w:t>
      </w:r>
      <w:r w:rsidRPr="00C351C1">
        <w:rPr>
          <w:i/>
        </w:rPr>
        <w:fldChar w:fldCharType="end"/>
      </w:r>
      <w:r w:rsidRPr="00C351C1">
        <w:rPr>
          <w:i/>
        </w:rPr>
        <w:t xml:space="preserve">; </w:t>
      </w:r>
      <w:r w:rsidRPr="00C351C1">
        <w:t xml:space="preserve">and </w:t>
      </w:r>
      <w:r w:rsidRPr="00C351C1">
        <w:rPr>
          <w:i/>
        </w:rPr>
        <w:fldChar w:fldCharType="begin"/>
      </w:r>
      <w:r w:rsidRPr="00C351C1">
        <w:rPr>
          <w:i/>
        </w:rPr>
        <w:instrText xml:space="preserve"> REF _Ref126046828 \h  \* MERGEFORMAT </w:instrText>
      </w:r>
      <w:r w:rsidRPr="00C351C1">
        <w:rPr>
          <w:i/>
        </w:rPr>
      </w:r>
      <w:r w:rsidRPr="00C351C1">
        <w:rPr>
          <w:i/>
        </w:rPr>
        <w:fldChar w:fldCharType="separate"/>
      </w:r>
      <w:r w:rsidR="00B51532" w:rsidRPr="00B51532">
        <w:rPr>
          <w:i/>
        </w:rPr>
        <w:t>Hospital Anxiety and Depression Scale (HADS)</w:t>
      </w:r>
      <w:r w:rsidRPr="00C351C1">
        <w:rPr>
          <w:i/>
        </w:rPr>
        <w:fldChar w:fldCharType="end"/>
      </w:r>
      <w:r>
        <w:rPr>
          <w:i/>
        </w:rPr>
        <w:t xml:space="preserve"> </w:t>
      </w:r>
      <w:r>
        <w:t>for details of these measures.</w:t>
      </w:r>
    </w:p>
    <w:p w14:paraId="12B3F2A4" w14:textId="5A61B43C" w:rsidR="00AE6E33" w:rsidRPr="0044375F" w:rsidRDefault="00E62B8D" w:rsidP="0044375F">
      <w:r>
        <w:lastRenderedPageBreak/>
        <w:t>Subjects on u</w:t>
      </w:r>
      <w:r w:rsidR="00AE6E33" w:rsidRPr="0044375F">
        <w:t>padacitinib 30 mg and 15 mg achieved a greater improvement (reduction) in skin pain compared to placebo subjects;</w:t>
      </w:r>
    </w:p>
    <w:p w14:paraId="1C702CC9" w14:textId="0D40B6A8" w:rsidR="00AE6E33" w:rsidRPr="0044375F" w:rsidRDefault="00E62B8D" w:rsidP="0044375F">
      <w:r>
        <w:t>S</w:t>
      </w:r>
      <w:r w:rsidR="00AE6E33" w:rsidRPr="0044375F">
        <w:t>ubjects on</w:t>
      </w:r>
      <w:r w:rsidR="005D7175">
        <w:t xml:space="preserve"> upadacitinib</w:t>
      </w:r>
      <w:r w:rsidR="00AE6E33" w:rsidRPr="0044375F">
        <w:t xml:space="preserve"> 30 mg and 15 mg achieved a greater improvement (reduction) in ADerm-IS sleep domain score compared to placebo subjects. Additionally, a greater proportion </w:t>
      </w:r>
      <w:r>
        <w:t>of u</w:t>
      </w:r>
      <w:r w:rsidR="00AE6E33" w:rsidRPr="0044375F">
        <w:t xml:space="preserve">padacitinib 30 mg and 15 mg subjects reported no sleep disturbance in the past 7 days (defined as POEM Sleep score = 0) compared to placebo and also showed greater improvement in the percent change from </w:t>
      </w:r>
      <w:r>
        <w:t>B</w:t>
      </w:r>
      <w:r w:rsidR="00AE6E33" w:rsidRPr="0044375F">
        <w:t xml:space="preserve">aseline in SCORAD </w:t>
      </w:r>
      <w:r>
        <w:t>sleep.</w:t>
      </w:r>
    </w:p>
    <w:p w14:paraId="1672DF22" w14:textId="44FEEF96" w:rsidR="00AE6E33" w:rsidRPr="0044375F" w:rsidRDefault="00E62B8D" w:rsidP="0044375F">
      <w:r>
        <w:t>S</w:t>
      </w:r>
      <w:r w:rsidR="00AE6E33" w:rsidRPr="0044375F">
        <w:t>ubjects on</w:t>
      </w:r>
      <w:r w:rsidR="005D7175">
        <w:t xml:space="preserve"> upadacitinib</w:t>
      </w:r>
      <w:r w:rsidR="00AE6E33" w:rsidRPr="0044375F">
        <w:t xml:space="preserve"> 30 and 15 mg achieved a greater improvement (reduction) in ADerm-IS </w:t>
      </w:r>
      <w:r w:rsidR="004A0B90">
        <w:t>e</w:t>
      </w:r>
      <w:r w:rsidR="00AE6E33" w:rsidRPr="0044375F">
        <w:t xml:space="preserve">motional </w:t>
      </w:r>
      <w:r w:rsidR="004A0B90" w:rsidRPr="0044375F">
        <w:t xml:space="preserve">state domain score </w:t>
      </w:r>
      <w:r w:rsidR="00AE6E33" w:rsidRPr="0044375F">
        <w:t xml:space="preserve">and ADerm-IS </w:t>
      </w:r>
      <w:r w:rsidR="004A0B90">
        <w:t>d</w:t>
      </w:r>
      <w:r w:rsidR="00AE6E33" w:rsidRPr="0044375F">
        <w:t xml:space="preserve">aily </w:t>
      </w:r>
      <w:r w:rsidR="004A0B90">
        <w:t>a</w:t>
      </w:r>
      <w:r w:rsidR="00AE6E33" w:rsidRPr="0044375F">
        <w:t xml:space="preserve">ctivities </w:t>
      </w:r>
      <w:r w:rsidR="004A0B90">
        <w:t>d</w:t>
      </w:r>
      <w:r w:rsidR="00AE6E33" w:rsidRPr="0044375F">
        <w:t xml:space="preserve">omain </w:t>
      </w:r>
      <w:r w:rsidR="004A0B90">
        <w:t>s</w:t>
      </w:r>
      <w:r w:rsidR="00AE6E33" w:rsidRPr="0044375F">
        <w:t xml:space="preserve">core compared to placebo subjects. A greater improvement (reduction) was also observed in HADS and in </w:t>
      </w:r>
      <w:r w:rsidR="004A0B90" w:rsidRPr="004A0B90">
        <w:t>Work Productivity and Activity Impairment Questionnaire</w:t>
      </w:r>
      <w:r w:rsidR="004A0B90">
        <w:t xml:space="preserve"> (</w:t>
      </w:r>
      <w:r w:rsidR="00AE6E33" w:rsidRPr="0044375F">
        <w:t>WPAI</w:t>
      </w:r>
      <w:r w:rsidR="004A0B90">
        <w:t>)</w:t>
      </w:r>
      <w:r w:rsidR="00AE6E33" w:rsidRPr="0044375F">
        <w:t xml:space="preserve">: </w:t>
      </w:r>
      <w:r w:rsidR="004A0B90">
        <w:t>atopic dermatitis</w:t>
      </w:r>
      <w:r w:rsidR="004A0B90" w:rsidRPr="0044375F">
        <w:t xml:space="preserve"> </w:t>
      </w:r>
      <w:r w:rsidR="004A0B90">
        <w:t>d</w:t>
      </w:r>
      <w:r w:rsidR="00AE6E33" w:rsidRPr="0044375F">
        <w:t xml:space="preserve">omain </w:t>
      </w:r>
      <w:r w:rsidR="004A0B90">
        <w:t>s</w:t>
      </w:r>
      <w:r w:rsidR="00AE6E33" w:rsidRPr="0044375F">
        <w:t>cores (</w:t>
      </w:r>
      <w:r w:rsidR="004A0B90">
        <w:t xml:space="preserve">specifically, </w:t>
      </w:r>
      <w:r w:rsidR="00AE6E33" w:rsidRPr="0044375F">
        <w:t>work productivity loss, presenteeism, and activity impairment)</w:t>
      </w:r>
      <w:r w:rsidR="004A0B90">
        <w:t>.</w:t>
      </w:r>
    </w:p>
    <w:p w14:paraId="5BFEC14C" w14:textId="033A24A3" w:rsidR="00AE6E33" w:rsidRPr="0044375F" w:rsidRDefault="00EB63AE" w:rsidP="0044375F">
      <w:r>
        <w:t>U</w:t>
      </w:r>
      <w:r w:rsidR="00782F8C">
        <w:t>padacitinib</w:t>
      </w:r>
      <w:r w:rsidR="00AE6E33" w:rsidRPr="0044375F">
        <w:t xml:space="preserve"> 30 and 15 mg also demonstrated reductions in the health-related quality of life parameters, including improvement</w:t>
      </w:r>
      <w:r w:rsidR="00E62B8D">
        <w:t xml:space="preserve"> </w:t>
      </w:r>
      <w:r w:rsidR="00AE6E33" w:rsidRPr="0044375F">
        <w:t xml:space="preserve">in DLQI ≥ 4 at Week 16, DLQI 0 or 1 at Week 16 CDLQI 0 </w:t>
      </w:r>
      <w:r w:rsidR="00E62B8D">
        <w:t xml:space="preserve">or </w:t>
      </w:r>
      <w:r w:rsidR="00AE6E33" w:rsidRPr="0044375F">
        <w:t>1</w:t>
      </w:r>
      <w:r w:rsidR="004A0B90">
        <w:t>.</w:t>
      </w:r>
    </w:p>
    <w:p w14:paraId="3B72ADA5" w14:textId="3EEC7A50" w:rsidR="00AE6E33" w:rsidRPr="00E62B8D" w:rsidRDefault="00AE6E33" w:rsidP="00E62B8D">
      <w:r w:rsidRPr="00E62B8D">
        <w:t>Similar improvements were observed in EQ-5D-5L scores, SF-36 assessments and patient global impression of severity (PGIS), patient global impression of change (PGIC) and patient global impression of treatment</w:t>
      </w:r>
      <w:bookmarkStart w:id="114" w:name="7.2.1.14._Evaluator_commentary"/>
      <w:bookmarkEnd w:id="114"/>
      <w:r w:rsidR="00E62B8D">
        <w:t>.</w:t>
      </w:r>
    </w:p>
    <w:p w14:paraId="54CA883B" w14:textId="6C006D23" w:rsidR="00AE6E33" w:rsidRDefault="00E62B8D" w:rsidP="00E62B8D">
      <w:pPr>
        <w:pStyle w:val="Heading4"/>
      </w:pPr>
      <w:bookmarkStart w:id="115" w:name="_Ref126053624"/>
      <w:r>
        <w:t>Study M18-891</w:t>
      </w:r>
      <w:r w:rsidR="00AD7682">
        <w:t xml:space="preserve"> (monotherapy)</w:t>
      </w:r>
      <w:bookmarkEnd w:id="115"/>
    </w:p>
    <w:p w14:paraId="486AB3C9" w14:textId="689C3E34" w:rsidR="00E62B8D" w:rsidRDefault="00E62B8D" w:rsidP="00E62B8D">
      <w:r>
        <w:t>Study M18-891 was</w:t>
      </w:r>
      <w:r w:rsidRPr="00E62B8D">
        <w:t xml:space="preserve"> </w:t>
      </w:r>
      <w:r>
        <w:t>a</w:t>
      </w:r>
      <w:r w:rsidRPr="00E62B8D">
        <w:t xml:space="preserve"> Phase </w:t>
      </w:r>
      <w:r w:rsidR="004A0B90">
        <w:t>III</w:t>
      </w:r>
      <w:r w:rsidR="009622DC">
        <w:t>, randomised, double-blind</w:t>
      </w:r>
      <w:r w:rsidRPr="00E62B8D">
        <w:t>, placebo-controlled multicentre study that evaluated the efficacy and safety of</w:t>
      </w:r>
      <w:r w:rsidR="005D7175">
        <w:t xml:space="preserve"> upadacitinib</w:t>
      </w:r>
      <w:r>
        <w:t xml:space="preserve"> in adolescents (12 </w:t>
      </w:r>
      <w:r w:rsidRPr="00E62B8D">
        <w:t xml:space="preserve">to 17 years) and adults (18 to 75 years), with moderate to severe </w:t>
      </w:r>
      <w:r w:rsidR="009622DC">
        <w:t>atopic dermatitis</w:t>
      </w:r>
      <w:r w:rsidRPr="00E62B8D">
        <w:t xml:space="preserve"> who were candidates for systemic therapy.</w:t>
      </w:r>
      <w:bookmarkStart w:id="116" w:name="7.2.2.1._Study_design,_objectives,_locat"/>
      <w:bookmarkEnd w:id="116"/>
    </w:p>
    <w:p w14:paraId="7EE5B489" w14:textId="5F7964B2" w:rsidR="00921F5C" w:rsidRPr="00E62B8D" w:rsidRDefault="00921F5C" w:rsidP="00921F5C">
      <w:pPr>
        <w:pStyle w:val="Heading5"/>
      </w:pPr>
      <w:r>
        <w:t>Study design</w:t>
      </w:r>
    </w:p>
    <w:p w14:paraId="0BAC73E5" w14:textId="5925E005" w:rsidR="00E62B8D" w:rsidRPr="00E62B8D" w:rsidRDefault="00E62B8D" w:rsidP="00E62B8D">
      <w:r w:rsidRPr="00E62B8D">
        <w:t xml:space="preserve">The study design and primary objective of </w:t>
      </w:r>
      <w:r>
        <w:t xml:space="preserve">Study </w:t>
      </w:r>
      <w:r w:rsidRPr="00E62B8D">
        <w:t>M18-891 were identical</w:t>
      </w:r>
      <w:r>
        <w:t xml:space="preserve"> to that described for Study M16-045. See </w:t>
      </w:r>
      <w:r w:rsidR="004A0B90">
        <w:t xml:space="preserve">section: </w:t>
      </w:r>
      <w:r w:rsidR="004A0B90" w:rsidRPr="00362371">
        <w:rPr>
          <w:i/>
        </w:rPr>
        <w:fldChar w:fldCharType="begin"/>
      </w:r>
      <w:r w:rsidR="004A0B90" w:rsidRPr="00362371">
        <w:rPr>
          <w:i/>
        </w:rPr>
        <w:instrText xml:space="preserve"> REF _Ref126053616 \h </w:instrText>
      </w:r>
      <w:r w:rsidR="004A0B90">
        <w:rPr>
          <w:i/>
        </w:rPr>
        <w:instrText xml:space="preserve"> \* MERGEFORMAT </w:instrText>
      </w:r>
      <w:r w:rsidR="004A0B90" w:rsidRPr="00362371">
        <w:rPr>
          <w:i/>
        </w:rPr>
      </w:r>
      <w:r w:rsidR="004A0B90" w:rsidRPr="00362371">
        <w:rPr>
          <w:i/>
        </w:rPr>
        <w:fldChar w:fldCharType="separate"/>
      </w:r>
      <w:r w:rsidR="00B51532" w:rsidRPr="00B51532">
        <w:rPr>
          <w:i/>
        </w:rPr>
        <w:t>Study M16-045 (monotherapy)</w:t>
      </w:r>
      <w:r w:rsidR="004A0B90" w:rsidRPr="00362371">
        <w:rPr>
          <w:i/>
        </w:rPr>
        <w:fldChar w:fldCharType="end"/>
      </w:r>
      <w:r w:rsidR="004A0B90">
        <w:t xml:space="preserve"> </w:t>
      </w:r>
      <w:r w:rsidR="00921F5C">
        <w:t>for further information.</w:t>
      </w:r>
    </w:p>
    <w:p w14:paraId="40D4F1A0" w14:textId="5CC5692A" w:rsidR="00E62B8D" w:rsidRPr="000F5398" w:rsidRDefault="00E62B8D" w:rsidP="00E62B8D">
      <w:r w:rsidRPr="000F5398">
        <w:t>The inclusion</w:t>
      </w:r>
      <w:r w:rsidRPr="000F5398">
        <w:rPr>
          <w:color w:val="001422"/>
          <w:spacing w:val="-4"/>
        </w:rPr>
        <w:t xml:space="preserve"> / </w:t>
      </w:r>
      <w:r w:rsidRPr="000F5398">
        <w:rPr>
          <w:color w:val="001422"/>
        </w:rPr>
        <w:t>exclusion</w:t>
      </w:r>
      <w:r w:rsidRPr="000F5398">
        <w:rPr>
          <w:color w:val="001422"/>
          <w:spacing w:val="-6"/>
        </w:rPr>
        <w:t xml:space="preserve"> </w:t>
      </w:r>
      <w:r w:rsidRPr="000F5398">
        <w:rPr>
          <w:color w:val="001422"/>
        </w:rPr>
        <w:t xml:space="preserve">criteria, study treatments, efficacy parameters and randomisation /blinding methods </w:t>
      </w:r>
      <w:r w:rsidRPr="000F5398">
        <w:rPr>
          <w:spacing w:val="-2"/>
        </w:rPr>
        <w:t xml:space="preserve">were </w:t>
      </w:r>
      <w:r w:rsidRPr="000F5398">
        <w:t>identical</w:t>
      </w:r>
      <w:r w:rsidRPr="000F5398">
        <w:rPr>
          <w:spacing w:val="-2"/>
        </w:rPr>
        <w:t xml:space="preserve"> </w:t>
      </w:r>
      <w:r w:rsidRPr="000F5398">
        <w:t>to</w:t>
      </w:r>
      <w:r w:rsidRPr="000F5398">
        <w:rPr>
          <w:spacing w:val="-2"/>
        </w:rPr>
        <w:t xml:space="preserve"> </w:t>
      </w:r>
      <w:r w:rsidRPr="000F5398">
        <w:t>those</w:t>
      </w:r>
      <w:r w:rsidRPr="000F5398">
        <w:rPr>
          <w:spacing w:val="-2"/>
        </w:rPr>
        <w:t xml:space="preserve"> </w:t>
      </w:r>
      <w:r w:rsidRPr="000F5398">
        <w:t>described</w:t>
      </w:r>
      <w:r w:rsidRPr="000F5398">
        <w:rPr>
          <w:spacing w:val="-2"/>
        </w:rPr>
        <w:t xml:space="preserve"> </w:t>
      </w:r>
      <w:r w:rsidRPr="000F5398">
        <w:t>for</w:t>
      </w:r>
      <w:r w:rsidRPr="000F5398">
        <w:rPr>
          <w:spacing w:val="-2"/>
        </w:rPr>
        <w:t xml:space="preserve"> </w:t>
      </w:r>
      <w:r w:rsidR="00921F5C">
        <w:rPr>
          <w:spacing w:val="-2"/>
        </w:rPr>
        <w:t xml:space="preserve">Study </w:t>
      </w:r>
      <w:r w:rsidRPr="000F5398">
        <w:t>M16-045.</w:t>
      </w:r>
    </w:p>
    <w:p w14:paraId="5B982EAD" w14:textId="3033B5FF" w:rsidR="00E62B8D" w:rsidRPr="000F5398" w:rsidRDefault="00E62B8D" w:rsidP="00E62B8D">
      <w:pPr>
        <w:pStyle w:val="BodyText"/>
        <w:spacing w:before="120"/>
        <w:ind w:right="768"/>
        <w:rPr>
          <w:sz w:val="22"/>
          <w:szCs w:val="22"/>
        </w:rPr>
      </w:pPr>
      <w:bookmarkStart w:id="117" w:name="7.2.2.3._Study_treatments"/>
      <w:bookmarkEnd w:id="117"/>
      <w:r w:rsidRPr="000F5398">
        <w:rPr>
          <w:sz w:val="22"/>
          <w:szCs w:val="22"/>
        </w:rPr>
        <w:t>The analysis of populations, sample size and statistical methods were identical to those described</w:t>
      </w:r>
      <w:r w:rsidRPr="000F5398">
        <w:rPr>
          <w:spacing w:val="-2"/>
          <w:sz w:val="22"/>
          <w:szCs w:val="22"/>
        </w:rPr>
        <w:t xml:space="preserve"> </w:t>
      </w:r>
      <w:r w:rsidRPr="000F5398">
        <w:rPr>
          <w:sz w:val="22"/>
          <w:szCs w:val="22"/>
        </w:rPr>
        <w:t>for</w:t>
      </w:r>
      <w:r w:rsidRPr="000F5398">
        <w:rPr>
          <w:spacing w:val="-2"/>
          <w:sz w:val="22"/>
          <w:szCs w:val="22"/>
        </w:rPr>
        <w:t xml:space="preserve"> </w:t>
      </w:r>
      <w:r w:rsidR="00921F5C">
        <w:rPr>
          <w:spacing w:val="-2"/>
          <w:sz w:val="22"/>
          <w:szCs w:val="22"/>
        </w:rPr>
        <w:t xml:space="preserve">Study </w:t>
      </w:r>
      <w:r w:rsidRPr="000F5398">
        <w:rPr>
          <w:sz w:val="22"/>
          <w:szCs w:val="22"/>
        </w:rPr>
        <w:t>M16-045.</w:t>
      </w:r>
    </w:p>
    <w:p w14:paraId="78438C1E" w14:textId="17706B03" w:rsidR="00E62B8D" w:rsidRPr="00D90702" w:rsidRDefault="00921F5C" w:rsidP="00921F5C">
      <w:pPr>
        <w:pStyle w:val="Heading5"/>
      </w:pPr>
      <w:r>
        <w:t>Participant flow</w:t>
      </w:r>
      <w:r w:rsidR="00B51532">
        <w:t xml:space="preserve"> </w:t>
      </w:r>
    </w:p>
    <w:p w14:paraId="526362F8" w14:textId="1FCD2676" w:rsidR="00E62B8D" w:rsidRPr="00205627" w:rsidRDefault="00E62B8D" w:rsidP="00443F4C">
      <w:r w:rsidRPr="00205627">
        <w:t>Overall, 1143 subjects were screened</w:t>
      </w:r>
      <w:r w:rsidRPr="00205627">
        <w:rPr>
          <w:spacing w:val="1"/>
        </w:rPr>
        <w:t xml:space="preserve"> </w:t>
      </w:r>
      <w:r w:rsidRPr="00205627">
        <w:t xml:space="preserve">and 836 were randomised to study treatment: 276, 282 and 278 were randomised to </w:t>
      </w:r>
      <w:r w:rsidR="00921F5C">
        <w:t>upadacitinib</w:t>
      </w:r>
      <w:r w:rsidRPr="00205627">
        <w:rPr>
          <w:spacing w:val="1"/>
        </w:rPr>
        <w:t xml:space="preserve"> </w:t>
      </w:r>
      <w:r w:rsidR="005D7175">
        <w:t>15 mg</w:t>
      </w:r>
      <w:r w:rsidRPr="00205627">
        <w:t xml:space="preserve">, </w:t>
      </w:r>
      <w:r w:rsidR="00921F5C">
        <w:t>upadacitinib</w:t>
      </w:r>
      <w:r w:rsidR="00B51532">
        <w:t xml:space="preserve"> </w:t>
      </w:r>
      <w:r w:rsidR="005D7175">
        <w:t>30 mg</w:t>
      </w:r>
      <w:r w:rsidRPr="00205627">
        <w:t xml:space="preserve"> and </w:t>
      </w:r>
      <w:r w:rsidR="00921F5C">
        <w:t>placebo</w:t>
      </w:r>
      <w:r w:rsidRPr="00205627">
        <w:t xml:space="preserve"> groups, respectively. </w:t>
      </w:r>
    </w:p>
    <w:p w14:paraId="49D8988A" w14:textId="3EAB1352" w:rsidR="00E62B8D" w:rsidRPr="00205627" w:rsidRDefault="00C351C1" w:rsidP="00443F4C">
      <w:r>
        <w:t xml:space="preserve">Out </w:t>
      </w:r>
      <w:r w:rsidR="00E62B8D" w:rsidRPr="00205627">
        <w:t>of the 836 patients, a total of 764 (91.4%) completed study drug treatment</w:t>
      </w:r>
      <w:r w:rsidR="00B51532">
        <w:t xml:space="preserve"> </w:t>
      </w:r>
      <w:r w:rsidR="00E62B8D" w:rsidRPr="00205627">
        <w:t>(with or without rescue therapy), through the</w:t>
      </w:r>
      <w:r w:rsidR="00921F5C">
        <w:t xml:space="preserve"> double blind p</w:t>
      </w:r>
      <w:r w:rsidR="00E62B8D" w:rsidRPr="00205627">
        <w:t>eriod (Week</w:t>
      </w:r>
      <w:r w:rsidR="00E62B8D" w:rsidRPr="00205627">
        <w:rPr>
          <w:spacing w:val="1"/>
        </w:rPr>
        <w:t xml:space="preserve"> </w:t>
      </w:r>
      <w:r w:rsidR="00E62B8D" w:rsidRPr="00205627">
        <w:t>16). 768 subjects (91.9%) completed study participation through Week 16.</w:t>
      </w:r>
    </w:p>
    <w:p w14:paraId="1560B4CF" w14:textId="696FADC0" w:rsidR="00E62B8D" w:rsidRPr="00205627" w:rsidRDefault="00E62B8D" w:rsidP="00443F4C">
      <w:r w:rsidRPr="00205627">
        <w:t>67 subjects</w:t>
      </w:r>
      <w:r w:rsidRPr="00205627">
        <w:rPr>
          <w:spacing w:val="1"/>
        </w:rPr>
        <w:t xml:space="preserve"> </w:t>
      </w:r>
      <w:r w:rsidRPr="00205627">
        <w:t>discontinued study drug treatment in the</w:t>
      </w:r>
      <w:r w:rsidR="00921F5C">
        <w:t xml:space="preserve"> double blind p</w:t>
      </w:r>
      <w:r w:rsidRPr="00205627">
        <w:t>eriod. The most frequent reasons for discontinuation of study</w:t>
      </w:r>
      <w:r w:rsidRPr="00205627">
        <w:rPr>
          <w:spacing w:val="1"/>
        </w:rPr>
        <w:t xml:space="preserve"> </w:t>
      </w:r>
      <w:r w:rsidRPr="00205627">
        <w:t>drug treatment were withdrawal of con</w:t>
      </w:r>
      <w:r w:rsidR="00921F5C">
        <w:t>sent by the subject for the u</w:t>
      </w:r>
      <w:r w:rsidRPr="00205627">
        <w:t xml:space="preserve">padacitinib 30 mg group, </w:t>
      </w:r>
      <w:r w:rsidR="00921F5C">
        <w:t>adverse events for the u</w:t>
      </w:r>
      <w:r w:rsidRPr="00205627">
        <w:t>padacitinib 15 mg group, and mainly lack of efficacy for the placebo group.</w:t>
      </w:r>
    </w:p>
    <w:p w14:paraId="3A053866" w14:textId="77777777" w:rsidR="00E62B8D" w:rsidRPr="00205627" w:rsidRDefault="00E62B8D" w:rsidP="00443F4C">
      <w:r w:rsidRPr="00205627">
        <w:t>Overall, 161 subjects</w:t>
      </w:r>
      <w:r w:rsidRPr="00205627">
        <w:rPr>
          <w:spacing w:val="1"/>
        </w:rPr>
        <w:t xml:space="preserve"> </w:t>
      </w:r>
      <w:r w:rsidRPr="00205627">
        <w:t>(19.3%) received rescue medication, the majority of whom were from the placebo group (120</w:t>
      </w:r>
      <w:r w:rsidRPr="00205627">
        <w:rPr>
          <w:spacing w:val="1"/>
        </w:rPr>
        <w:t xml:space="preserve"> </w:t>
      </w:r>
      <w:r w:rsidRPr="00205627">
        <w:t>subjects). No subject discontinued from the study due to COVID-19</w:t>
      </w:r>
    </w:p>
    <w:p w14:paraId="75517AAA" w14:textId="77777777" w:rsidR="00E62B8D" w:rsidRPr="00205627" w:rsidRDefault="00E62B8D" w:rsidP="00443F4C">
      <w:pPr>
        <w:pageBreakBefore/>
      </w:pPr>
      <w:r w:rsidRPr="00205627">
        <w:lastRenderedPageBreak/>
        <w:t>Regarding adolescents:</w:t>
      </w:r>
    </w:p>
    <w:p w14:paraId="7990DE13" w14:textId="5F07DAAE" w:rsidR="00E62B8D" w:rsidRPr="00921F5C" w:rsidRDefault="00E62B8D" w:rsidP="00921F5C">
      <w:pPr>
        <w:pStyle w:val="ListBullet"/>
      </w:pPr>
      <w:r w:rsidRPr="00921F5C">
        <w:t>Of the</w:t>
      </w:r>
      <w:r w:rsidR="00B51532">
        <w:t xml:space="preserve"> </w:t>
      </w:r>
      <w:r w:rsidRPr="00921F5C">
        <w:t>836 subjects ra</w:t>
      </w:r>
      <w:r w:rsidR="00921F5C">
        <w:t xml:space="preserve">ndomised, 104 subjects (12.4%) </w:t>
      </w:r>
      <w:r w:rsidRPr="00921F5C">
        <w:t xml:space="preserve">were adolescents; </w:t>
      </w:r>
    </w:p>
    <w:p w14:paraId="45A47956" w14:textId="6C739FDB" w:rsidR="00E62B8D" w:rsidRPr="00921F5C" w:rsidRDefault="00E62B8D" w:rsidP="00921F5C">
      <w:pPr>
        <w:pStyle w:val="ListBullet"/>
      </w:pPr>
      <w:r w:rsidRPr="00921F5C">
        <w:t>Study disposition observed in the adolescent subjects was similar to that observed overall, with 92.3% completing study drug (with or without rescue therapy) through the</w:t>
      </w:r>
      <w:r w:rsidR="00921F5C" w:rsidRPr="00921F5C">
        <w:t xml:space="preserve"> double blind </w:t>
      </w:r>
      <w:r w:rsidRPr="00921F5C">
        <w:t>Period (Week 16) and, only 7 discontinuations during</w:t>
      </w:r>
      <w:r w:rsidR="00921F5C" w:rsidRPr="00921F5C">
        <w:t xml:space="preserve"> double blind </w:t>
      </w:r>
      <w:r w:rsidRPr="00921F5C">
        <w:t xml:space="preserve">period (mainly due to lack of efficacy); </w:t>
      </w:r>
    </w:p>
    <w:p w14:paraId="2BDBC9BC" w14:textId="74D357D1" w:rsidR="00E62B8D" w:rsidRPr="00921F5C" w:rsidRDefault="00E62B8D" w:rsidP="00921F5C">
      <w:pPr>
        <w:pStyle w:val="ListBullet"/>
      </w:pPr>
      <w:r w:rsidRPr="002D375E">
        <w:t>24 adolescent subjects</w:t>
      </w:r>
      <w:r w:rsidRPr="002D375E">
        <w:rPr>
          <w:spacing w:val="1"/>
        </w:rPr>
        <w:t xml:space="preserve"> </w:t>
      </w:r>
      <w:r w:rsidRPr="002D375E">
        <w:t>(23.1%) received rescue m</w:t>
      </w:r>
      <w:r w:rsidR="00921F5C">
        <w:t>edication, the</w:t>
      </w:r>
      <w:r w:rsidRPr="00921F5C">
        <w:t xml:space="preserve"> majority of whom were from the placebo group (19 subjects).</w:t>
      </w:r>
    </w:p>
    <w:p w14:paraId="38BF1BCE" w14:textId="6FAEF580" w:rsidR="00E62B8D" w:rsidRPr="00921F5C" w:rsidRDefault="00E62B8D" w:rsidP="00921F5C">
      <w:r w:rsidRPr="00921F5C">
        <w:t>Overall, 768 subjects entered the</w:t>
      </w:r>
      <w:r w:rsidR="00921F5C" w:rsidRPr="00921F5C">
        <w:t xml:space="preserve"> blinded extension </w:t>
      </w:r>
      <w:r w:rsidRPr="00921F5C">
        <w:t>period and 759 were</w:t>
      </w:r>
      <w:r w:rsidR="00C351C1">
        <w:t xml:space="preserve"> dosed. As of the cut-off date:</w:t>
      </w:r>
    </w:p>
    <w:p w14:paraId="169A6CDA" w14:textId="77777777" w:rsidR="00E62B8D" w:rsidRPr="00921F5C" w:rsidRDefault="00E62B8D" w:rsidP="00921F5C">
      <w:pPr>
        <w:pStyle w:val="ListBullet"/>
      </w:pPr>
      <w:r w:rsidRPr="00921F5C">
        <w:t>10 subjects (1.3%) received rescue medication;</w:t>
      </w:r>
    </w:p>
    <w:p w14:paraId="3D4EB7D2" w14:textId="77777777" w:rsidR="00E62B8D" w:rsidRPr="00921F5C" w:rsidRDefault="00E62B8D" w:rsidP="00921F5C">
      <w:pPr>
        <w:pStyle w:val="ListBullet"/>
      </w:pPr>
      <w:r w:rsidRPr="00921F5C">
        <w:t>no subject completed study drug (Week 136);</w:t>
      </w:r>
    </w:p>
    <w:p w14:paraId="00467FD7" w14:textId="0073EDCA" w:rsidR="00E62B8D" w:rsidRPr="00921F5C" w:rsidRDefault="00E62B8D" w:rsidP="00921F5C">
      <w:pPr>
        <w:pStyle w:val="ListBullet"/>
      </w:pPr>
      <w:r w:rsidRPr="00921F5C">
        <w:t>34 subjects (4.3%) discontinued study drug in the</w:t>
      </w:r>
      <w:r w:rsidR="00921F5C" w:rsidRPr="00921F5C">
        <w:t xml:space="preserve"> blinded extension </w:t>
      </w:r>
      <w:r w:rsidR="00921F5C">
        <w:t>p</w:t>
      </w:r>
      <w:r w:rsidRPr="00921F5C">
        <w:t xml:space="preserve">eriod </w:t>
      </w:r>
      <w:r w:rsidR="00921F5C">
        <w:t>(</w:t>
      </w:r>
      <w:r w:rsidRPr="00921F5C">
        <w:t xml:space="preserve">most frequently due to </w:t>
      </w:r>
      <w:r w:rsidR="00921F5C" w:rsidRPr="00921F5C">
        <w:t>adverse events</w:t>
      </w:r>
      <w:r w:rsidRPr="00921F5C">
        <w:t xml:space="preserve"> (1.3%)</w:t>
      </w:r>
      <w:r w:rsidR="00921F5C">
        <w:t>)</w:t>
      </w:r>
      <w:r w:rsidRPr="00921F5C">
        <w:t>.</w:t>
      </w:r>
    </w:p>
    <w:p w14:paraId="290320D9" w14:textId="71B911C2" w:rsidR="00E62B8D" w:rsidRPr="00921F5C" w:rsidRDefault="00E62B8D" w:rsidP="00921F5C">
      <w:r w:rsidRPr="00921F5C">
        <w:t>Of the 768 subjects that entered the</w:t>
      </w:r>
      <w:r w:rsidR="00921F5C" w:rsidRPr="00921F5C">
        <w:t xml:space="preserve"> blinded extension p</w:t>
      </w:r>
      <w:r w:rsidRPr="00921F5C">
        <w:t>eriod:</w:t>
      </w:r>
    </w:p>
    <w:p w14:paraId="780FED82" w14:textId="77777777" w:rsidR="00E62B8D" w:rsidRPr="00921F5C" w:rsidRDefault="00E62B8D" w:rsidP="00921F5C">
      <w:pPr>
        <w:pStyle w:val="ListBullet"/>
      </w:pPr>
      <w:r w:rsidRPr="00921F5C">
        <w:t>96 were adolescent subjects and all were dosed;</w:t>
      </w:r>
    </w:p>
    <w:p w14:paraId="4AAC9DBE" w14:textId="77777777" w:rsidR="00921F5C" w:rsidRDefault="00E62B8D" w:rsidP="00921F5C">
      <w:pPr>
        <w:pStyle w:val="ListBullet"/>
      </w:pPr>
      <w:r w:rsidRPr="00921F5C">
        <w:t>one (1%) of the 96 adolescent subjects</w:t>
      </w:r>
      <w:r w:rsidR="00921F5C">
        <w:t xml:space="preserve"> received rescue medication; and</w:t>
      </w:r>
    </w:p>
    <w:p w14:paraId="60C02F82" w14:textId="77026258" w:rsidR="00E62B8D" w:rsidRPr="00921F5C" w:rsidRDefault="00921F5C" w:rsidP="00921F5C">
      <w:pPr>
        <w:pStyle w:val="ListBullet"/>
      </w:pPr>
      <w:r>
        <w:t>4</w:t>
      </w:r>
      <w:r w:rsidR="00E62B8D" w:rsidRPr="00921F5C">
        <w:t xml:space="preserve"> (4%) discontinued study drug in the</w:t>
      </w:r>
      <w:r w:rsidRPr="00921F5C">
        <w:t xml:space="preserve"> blinded extension </w:t>
      </w:r>
      <w:r>
        <w:t>period (</w:t>
      </w:r>
      <w:r w:rsidR="00E62B8D" w:rsidRPr="00921F5C">
        <w:t>mostly due to lack of efficacy (2.0%)</w:t>
      </w:r>
      <w:r>
        <w:t>)</w:t>
      </w:r>
      <w:r w:rsidR="00E62B8D" w:rsidRPr="00921F5C">
        <w:t>.</w:t>
      </w:r>
    </w:p>
    <w:p w14:paraId="47EB80DE" w14:textId="45770FB1" w:rsidR="00E62B8D" w:rsidRPr="00216763" w:rsidRDefault="00E62B8D" w:rsidP="00921F5C">
      <w:pPr>
        <w:pStyle w:val="Heading5"/>
      </w:pPr>
      <w:r w:rsidRPr="00216763">
        <w:t>B</w:t>
      </w:r>
      <w:r w:rsidR="00921F5C">
        <w:t>aseline data</w:t>
      </w:r>
    </w:p>
    <w:p w14:paraId="2837B908" w14:textId="7E5F1D8A" w:rsidR="00E62B8D" w:rsidRDefault="00E62B8D" w:rsidP="00B00830">
      <w:r w:rsidRPr="00921F5C">
        <w:t>Overall, the demographic characteristics were</w:t>
      </w:r>
      <w:r w:rsidR="00921F5C" w:rsidRPr="00921F5C">
        <w:t xml:space="preserve"> generally balanced across the u</w:t>
      </w:r>
      <w:r w:rsidRPr="00921F5C">
        <w:t>padacitinib (15 mg and 30 mg) and placebo groups and, in adolescents</w:t>
      </w:r>
      <w:r w:rsidR="00B00830">
        <w:t xml:space="preserve">, as per </w:t>
      </w:r>
      <w:r w:rsidR="00C351C1">
        <w:fldChar w:fldCharType="begin"/>
      </w:r>
      <w:r w:rsidR="00C351C1">
        <w:instrText xml:space="preserve"> REF _Ref126046960 \h </w:instrText>
      </w:r>
      <w:r w:rsidR="00C351C1">
        <w:fldChar w:fldCharType="separate"/>
      </w:r>
      <w:r w:rsidR="00B51532">
        <w:t xml:space="preserve">Table </w:t>
      </w:r>
      <w:r w:rsidR="00B51532">
        <w:rPr>
          <w:noProof/>
        </w:rPr>
        <w:t>26</w:t>
      </w:r>
      <w:r w:rsidR="00C351C1">
        <w:fldChar w:fldCharType="end"/>
      </w:r>
      <w:r w:rsidR="00C351C1">
        <w:t xml:space="preserve">, </w:t>
      </w:r>
      <w:r w:rsidR="00B00830">
        <w:t>below.</w:t>
      </w:r>
    </w:p>
    <w:p w14:paraId="73B65B16" w14:textId="3A9D02D5" w:rsidR="00C351C1" w:rsidRPr="00B00830" w:rsidRDefault="00C351C1" w:rsidP="00C351C1">
      <w:pPr>
        <w:spacing w:before="0" w:after="200" w:line="0" w:lineRule="auto"/>
      </w:pPr>
      <w:r>
        <w:br w:type="page"/>
      </w:r>
    </w:p>
    <w:p w14:paraId="177B7F5A" w14:textId="0071123F" w:rsidR="00B00830" w:rsidRDefault="00B00830" w:rsidP="00B00830">
      <w:pPr>
        <w:pStyle w:val="Tabletitle0"/>
      </w:pPr>
      <w:bookmarkStart w:id="118" w:name="_Ref126046960"/>
      <w:r>
        <w:lastRenderedPageBreak/>
        <w:t xml:space="preserve">Table </w:t>
      </w:r>
      <w:fldSimple w:instr=" SEQ Table \* ARABIC ">
        <w:r w:rsidR="00B51532">
          <w:rPr>
            <w:noProof/>
          </w:rPr>
          <w:t>26</w:t>
        </w:r>
      </w:fldSimple>
      <w:bookmarkEnd w:id="118"/>
      <w:r>
        <w:t>:</w:t>
      </w:r>
      <w:r w:rsidR="00C351C1">
        <w:t xml:space="preserve"> Study M18-891 Baseline data and demographic characteristics</w:t>
      </w:r>
    </w:p>
    <w:p w14:paraId="7CC23F0B" w14:textId="77777777" w:rsidR="00E62B8D" w:rsidRDefault="00E62B8D" w:rsidP="00E62B8D">
      <w:pPr>
        <w:spacing w:line="240" w:lineRule="auto"/>
        <w:rPr>
          <w:lang w:val="en-US"/>
        </w:rPr>
      </w:pPr>
      <w:r w:rsidRPr="00AC0FB2">
        <w:rPr>
          <w:rFonts w:ascii="Calibri" w:hAnsi="Calibri" w:cs="Calibri"/>
          <w:noProof/>
          <w:sz w:val="20"/>
          <w:szCs w:val="20"/>
          <w:lang w:val="en-GB" w:eastAsia="en-GB"/>
        </w:rPr>
        <w:drawing>
          <wp:inline distT="0" distB="0" distL="0" distR="0" wp14:anchorId="45D5A65C" wp14:editId="2573CA81">
            <wp:extent cx="5600700" cy="2773275"/>
            <wp:effectExtent l="0" t="0" r="0" b="8255"/>
            <wp:docPr id="116" name="Picture 116" descr="Study M18-891 Baseline data and demographic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Study M18-891 Baseline data and demographic characteristic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6253" cy="2785928"/>
                    </a:xfrm>
                    <a:prstGeom prst="rect">
                      <a:avLst/>
                    </a:prstGeom>
                    <a:noFill/>
                    <a:ln>
                      <a:noFill/>
                    </a:ln>
                  </pic:spPr>
                </pic:pic>
              </a:graphicData>
            </a:graphic>
          </wp:inline>
        </w:drawing>
      </w:r>
    </w:p>
    <w:p w14:paraId="42F992B7" w14:textId="77777777" w:rsidR="00E62B8D" w:rsidRDefault="00E62B8D" w:rsidP="00E62B8D">
      <w:pPr>
        <w:spacing w:line="240" w:lineRule="auto"/>
        <w:rPr>
          <w:lang w:val="en-US"/>
        </w:rPr>
      </w:pPr>
      <w:r w:rsidRPr="00AC0FB2">
        <w:rPr>
          <w:rFonts w:ascii="Calibri" w:hAnsi="Calibri" w:cs="Calibri"/>
          <w:noProof/>
          <w:sz w:val="20"/>
          <w:szCs w:val="20"/>
          <w:lang w:val="en-GB" w:eastAsia="en-GB"/>
        </w:rPr>
        <w:drawing>
          <wp:inline distT="0" distB="0" distL="0" distR="0" wp14:anchorId="51913107" wp14:editId="52AD499E">
            <wp:extent cx="5648325" cy="2135521"/>
            <wp:effectExtent l="0" t="0" r="0" b="0"/>
            <wp:docPr id="42" name="Picture 42" descr="Study M18-891 Baseline data and demographic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tudy M18-891 Baseline data and demographic characteristic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99505" cy="2154871"/>
                    </a:xfrm>
                    <a:prstGeom prst="rect">
                      <a:avLst/>
                    </a:prstGeom>
                    <a:noFill/>
                    <a:ln>
                      <a:noFill/>
                    </a:ln>
                  </pic:spPr>
                </pic:pic>
              </a:graphicData>
            </a:graphic>
          </wp:inline>
        </w:drawing>
      </w:r>
    </w:p>
    <w:p w14:paraId="7B7E4AEC" w14:textId="77777777" w:rsidR="00E62B8D" w:rsidRDefault="00E62B8D" w:rsidP="00E62B8D">
      <w:pPr>
        <w:spacing w:line="240" w:lineRule="auto"/>
        <w:rPr>
          <w:lang w:val="en-US"/>
        </w:rPr>
      </w:pPr>
      <w:r w:rsidRPr="00AC0FB2">
        <w:rPr>
          <w:rFonts w:ascii="Calibri" w:hAnsi="Calibri" w:cs="Calibri"/>
          <w:noProof/>
          <w:sz w:val="20"/>
          <w:szCs w:val="20"/>
          <w:lang w:val="en-GB" w:eastAsia="en-GB"/>
        </w:rPr>
        <w:drawing>
          <wp:inline distT="0" distB="0" distL="0" distR="0" wp14:anchorId="4E32DD56" wp14:editId="3723E61F">
            <wp:extent cx="5572125" cy="1756610"/>
            <wp:effectExtent l="0" t="0" r="0" b="0"/>
            <wp:docPr id="90" name="Picture 90" descr="Study M18-891 Baseline data and demographic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tudy M18-891 Baseline data and demographic characteristic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04306" cy="1766755"/>
                    </a:xfrm>
                    <a:prstGeom prst="rect">
                      <a:avLst/>
                    </a:prstGeom>
                    <a:noFill/>
                    <a:ln>
                      <a:noFill/>
                    </a:ln>
                  </pic:spPr>
                </pic:pic>
              </a:graphicData>
            </a:graphic>
          </wp:inline>
        </w:drawing>
      </w:r>
    </w:p>
    <w:p w14:paraId="10AE5F48" w14:textId="6E921A97" w:rsidR="00E62B8D" w:rsidRPr="002745E5" w:rsidRDefault="00E62B8D" w:rsidP="00E62B8D">
      <w:pPr>
        <w:spacing w:line="240" w:lineRule="auto"/>
        <w:rPr>
          <w:lang w:val="en-US"/>
        </w:rPr>
      </w:pPr>
      <w:r w:rsidRPr="002745E5">
        <w:rPr>
          <w:lang w:val="en-US"/>
        </w:rPr>
        <w:t>The majority of subjects were male (56.3%) and aged 18 to 39 years (58.3%). In the adolescent group, the majority of subjects were female (53.8%).</w:t>
      </w:r>
    </w:p>
    <w:p w14:paraId="0C8A0E59" w14:textId="63EC246F" w:rsidR="00E62B8D" w:rsidRPr="002745E5" w:rsidRDefault="00E62B8D" w:rsidP="00E62B8D">
      <w:pPr>
        <w:spacing w:line="240" w:lineRule="auto"/>
        <w:rPr>
          <w:rFonts w:eastAsia="TimesNewRoman" w:cs="TimesNewRoman"/>
          <w:color w:val="000000"/>
          <w:lang w:val="en-US"/>
        </w:rPr>
      </w:pPr>
      <w:r w:rsidRPr="002745E5">
        <w:rPr>
          <w:rFonts w:eastAsia="TimesNewRoman" w:cs="TimesNewRoman"/>
          <w:color w:val="000000"/>
          <w:lang w:val="en-US"/>
        </w:rPr>
        <w:t>Baseline disease characteristics were generally balanced acr</w:t>
      </w:r>
      <w:r w:rsidR="00B00830">
        <w:rPr>
          <w:rFonts w:eastAsia="TimesNewRoman" w:cs="TimesNewRoman"/>
          <w:color w:val="000000"/>
          <w:lang w:val="en-US"/>
        </w:rPr>
        <w:t>oss the u</w:t>
      </w:r>
      <w:r w:rsidRPr="002745E5">
        <w:rPr>
          <w:rFonts w:eastAsia="TimesNewRoman" w:cs="TimesNewRoman"/>
          <w:color w:val="000000"/>
          <w:lang w:val="en-US"/>
        </w:rPr>
        <w:t xml:space="preserve">padacitinib and placebo groups overall and, in adolescents. Subjects had been diagnosed with </w:t>
      </w:r>
      <w:r w:rsidR="00C351C1">
        <w:rPr>
          <w:rFonts w:eastAsia="TimesNewRoman" w:cs="TimesNewRoman"/>
          <w:color w:val="000000"/>
          <w:lang w:val="en-US"/>
        </w:rPr>
        <w:t>atopic dermatitis</w:t>
      </w:r>
      <w:r w:rsidRPr="002745E5">
        <w:rPr>
          <w:rFonts w:eastAsia="TimesNewRoman" w:cs="TimesNewRoman"/>
          <w:color w:val="000000"/>
          <w:lang w:val="en-US"/>
        </w:rPr>
        <w:t xml:space="preserve"> for a mean of approximately 20.2 years overall and 12.5 years for adolescents and disease activity consistently reflected moderate (45%) to severe (55%) </w:t>
      </w:r>
      <w:r w:rsidR="00DD6D4D">
        <w:rPr>
          <w:rFonts w:eastAsia="TimesNewRoman" w:cs="TimesNewRoman"/>
          <w:color w:val="000000"/>
          <w:lang w:val="en-US"/>
        </w:rPr>
        <w:t xml:space="preserve">atopic dermatitis </w:t>
      </w:r>
      <w:r w:rsidRPr="002745E5">
        <w:rPr>
          <w:rFonts w:eastAsia="TimesNewRoman" w:cs="TimesNewRoman"/>
          <w:color w:val="000000"/>
          <w:lang w:val="en-US"/>
        </w:rPr>
        <w:t xml:space="preserve">across the treatment groups. EASI, SCORAD (overall, objective, itch and sleep scores), DLQI, CDLQI, HAD scores were similar across all 3 treatment groups. </w:t>
      </w:r>
      <w:r w:rsidRPr="004F415C">
        <w:rPr>
          <w:lang w:val="en-US"/>
        </w:rPr>
        <w:t>Overall, the most common medical/surgical history by body system was respiratory, thoracic and m</w:t>
      </w:r>
      <w:r w:rsidR="00B00830">
        <w:rPr>
          <w:lang w:val="en-US"/>
        </w:rPr>
        <w:t>ediastinal disorders (</w:t>
      </w:r>
      <w:r w:rsidRPr="004F415C">
        <w:rPr>
          <w:lang w:val="en-US"/>
        </w:rPr>
        <w:t>59.4%; asthma (39.8%) and rhinit</w:t>
      </w:r>
      <w:r w:rsidR="00B00830">
        <w:rPr>
          <w:lang w:val="en-US"/>
        </w:rPr>
        <w:t xml:space="preserve">is allergic (34.0%) most </w:t>
      </w:r>
      <w:r w:rsidR="00B00830">
        <w:rPr>
          <w:lang w:val="en-US"/>
        </w:rPr>
        <w:lastRenderedPageBreak/>
        <w:t>common)</w:t>
      </w:r>
      <w:r w:rsidRPr="004F415C">
        <w:rPr>
          <w:lang w:val="en-US"/>
        </w:rPr>
        <w:t>, followed by immune system disorders (46.5%) with similar incidence across treatment groups.</w:t>
      </w:r>
    </w:p>
    <w:p w14:paraId="275520DC" w14:textId="62107BFE" w:rsidR="00E62B8D" w:rsidRDefault="00E62B8D" w:rsidP="00E62B8D">
      <w:pPr>
        <w:spacing w:line="240" w:lineRule="auto"/>
        <w:rPr>
          <w:lang w:val="en-US"/>
        </w:rPr>
      </w:pPr>
      <w:r w:rsidRPr="002745E5">
        <w:rPr>
          <w:lang w:val="en-US"/>
        </w:rPr>
        <w:t xml:space="preserve">Overall, all 836 (100%) of subjects had received prior </w:t>
      </w:r>
      <w:r w:rsidR="00C351C1">
        <w:rPr>
          <w:lang w:val="en-US"/>
        </w:rPr>
        <w:t>atopic dermatitis</w:t>
      </w:r>
      <w:r w:rsidRPr="002745E5">
        <w:rPr>
          <w:lang w:val="en-US"/>
        </w:rPr>
        <w:t xml:space="preserve"> therapy with majority using topical corticosteroids [81.5%, 31.3% and 26.6% used high potency, medium potency and low potency </w:t>
      </w:r>
      <w:r w:rsidR="00B00830">
        <w:rPr>
          <w:lang w:val="en-US"/>
        </w:rPr>
        <w:t>topical corticosteroids</w:t>
      </w:r>
      <w:r w:rsidRPr="002745E5">
        <w:rPr>
          <w:lang w:val="en-US"/>
        </w:rPr>
        <w:t>, topical calcinuerin inhibitor (34.4%), other topical therapy (17%) and phototherapy (19.3%).</w:t>
      </w:r>
    </w:p>
    <w:p w14:paraId="07DA5810" w14:textId="7612F9CE" w:rsidR="00E62B8D" w:rsidRDefault="00E62B8D" w:rsidP="00E62B8D">
      <w:pPr>
        <w:spacing w:line="240" w:lineRule="auto"/>
        <w:rPr>
          <w:lang w:val="en-US"/>
        </w:rPr>
      </w:pPr>
      <w:r w:rsidRPr="002745E5">
        <w:rPr>
          <w:lang w:val="en-US"/>
        </w:rPr>
        <w:t>There were 448 subjects (53.6%) who received prior non-biologic immunomodulating systemic therapies (0 to 100% of subjects per agent had lack of initial response).</w:t>
      </w:r>
    </w:p>
    <w:p w14:paraId="5E7123DE" w14:textId="77777777" w:rsidR="00E62B8D" w:rsidRDefault="00E62B8D" w:rsidP="00E62B8D">
      <w:pPr>
        <w:spacing w:line="240" w:lineRule="auto"/>
        <w:rPr>
          <w:lang w:val="en-US"/>
        </w:rPr>
      </w:pPr>
      <w:r w:rsidRPr="002745E5">
        <w:rPr>
          <w:lang w:val="en-US"/>
        </w:rPr>
        <w:t>Twenty-six subjects (3.1%) received prior biologic systemic therapies (0% to 87.5% of subjects per agent had a lack of initial response)</w:t>
      </w:r>
      <w:r w:rsidRPr="002745E5">
        <w:rPr>
          <w:b/>
          <w:lang w:val="en-US"/>
        </w:rPr>
        <w:t>.</w:t>
      </w:r>
      <w:r w:rsidRPr="002745E5">
        <w:rPr>
          <w:lang w:val="en-US"/>
        </w:rPr>
        <w:t xml:space="preserve"> </w:t>
      </w:r>
    </w:p>
    <w:p w14:paraId="3579F57C" w14:textId="3500E712" w:rsidR="00E62B8D" w:rsidRPr="002745E5" w:rsidRDefault="00E62B8D" w:rsidP="00E62B8D">
      <w:pPr>
        <w:spacing w:line="240" w:lineRule="auto"/>
        <w:rPr>
          <w:lang w:val="en-US"/>
        </w:rPr>
      </w:pPr>
      <w:r w:rsidRPr="002745E5">
        <w:rPr>
          <w:lang w:val="en-US"/>
        </w:rPr>
        <w:t>Concomitant medication usage was similar across all treatment groups; emollients and protectives were the most frequently reported prior medications (39.2% of subjects) and concomitant medications (38.9% and 37.9% of subjects in the</w:t>
      </w:r>
      <w:r w:rsidR="00921F5C">
        <w:rPr>
          <w:lang w:val="en-US"/>
        </w:rPr>
        <w:t xml:space="preserve"> double blind </w:t>
      </w:r>
      <w:r w:rsidR="00B00830">
        <w:rPr>
          <w:lang w:val="en-US"/>
        </w:rPr>
        <w:t>p</w:t>
      </w:r>
      <w:r w:rsidRPr="002745E5">
        <w:rPr>
          <w:lang w:val="en-US"/>
        </w:rPr>
        <w:t>eriod and</w:t>
      </w:r>
      <w:r w:rsidR="00921F5C">
        <w:rPr>
          <w:lang w:val="en-US"/>
        </w:rPr>
        <w:t xml:space="preserve"> blinded extension </w:t>
      </w:r>
      <w:r w:rsidR="00B00830">
        <w:rPr>
          <w:lang w:val="en-US"/>
        </w:rPr>
        <w:t>p</w:t>
      </w:r>
      <w:r w:rsidRPr="002745E5">
        <w:rPr>
          <w:lang w:val="en-US"/>
        </w:rPr>
        <w:t>eriod, respectively).</w:t>
      </w:r>
    </w:p>
    <w:p w14:paraId="16F2190E" w14:textId="375D162E" w:rsidR="00E62B8D" w:rsidRPr="00DA3860" w:rsidRDefault="00E62B8D" w:rsidP="00E62B8D">
      <w:pPr>
        <w:autoSpaceDE w:val="0"/>
        <w:autoSpaceDN w:val="0"/>
        <w:adjustRightInd w:val="0"/>
        <w:spacing w:line="240" w:lineRule="auto"/>
        <w:rPr>
          <w:rFonts w:eastAsia="TimesNewRoman" w:cs="TimesNewRoman"/>
          <w:lang w:val="en-US"/>
        </w:rPr>
      </w:pPr>
      <w:r w:rsidRPr="00DA3860">
        <w:rPr>
          <w:rFonts w:eastAsia="TimesNewRoman" w:cs="TimesNewRoman"/>
          <w:lang w:val="en-US"/>
        </w:rPr>
        <w:t>Treatment compliance rates were high in</w:t>
      </w:r>
      <w:r w:rsidR="00921F5C">
        <w:rPr>
          <w:rFonts w:eastAsia="TimesNewRoman" w:cs="TimesNewRoman"/>
          <w:lang w:val="en-US"/>
        </w:rPr>
        <w:t xml:space="preserve"> double blind </w:t>
      </w:r>
      <w:r w:rsidRPr="00DA3860">
        <w:rPr>
          <w:rFonts w:eastAsia="TimesNewRoman" w:cs="TimesNewRoman"/>
          <w:lang w:val="en-US"/>
        </w:rPr>
        <w:t>Period with mean compliance greater than 95% and median compliance greater than 98%</w:t>
      </w:r>
      <w:r>
        <w:rPr>
          <w:rFonts w:eastAsia="TimesNewRoman" w:cs="TimesNewRoman"/>
          <w:lang w:val="en-US"/>
        </w:rPr>
        <w:t>,</w:t>
      </w:r>
      <w:r w:rsidRPr="00DA3860">
        <w:rPr>
          <w:rFonts w:eastAsia="TimesNewRoman" w:cs="TimesNewRoman"/>
          <w:lang w:val="en-US"/>
        </w:rPr>
        <w:t xml:space="preserve"> in all three groups.</w:t>
      </w:r>
    </w:p>
    <w:p w14:paraId="0A047B19" w14:textId="0B4039AE" w:rsidR="00E62B8D" w:rsidRPr="00B00830" w:rsidRDefault="00B00830" w:rsidP="00B00830">
      <w:r>
        <w:t>The clinical evaluation noted that:</w:t>
      </w:r>
    </w:p>
    <w:p w14:paraId="54DC3FC8" w14:textId="38CA4622" w:rsidR="00E62B8D" w:rsidRPr="00B00830" w:rsidRDefault="00B00830" w:rsidP="00B00830">
      <w:pPr>
        <w:pStyle w:val="ListBullet"/>
        <w:rPr>
          <w:lang w:val="en-US"/>
        </w:rPr>
      </w:pPr>
      <w:r>
        <w:rPr>
          <w:lang w:val="en-US"/>
        </w:rPr>
        <w:t>Compared to S</w:t>
      </w:r>
      <w:r w:rsidR="00E62B8D" w:rsidRPr="00DA3860">
        <w:rPr>
          <w:lang w:val="en-US"/>
        </w:rPr>
        <w:t xml:space="preserve">tudy M16-045, this study included slightly greater number of severe patients (based on vIGA-AD score: 45% </w:t>
      </w:r>
      <w:r>
        <w:rPr>
          <w:lang w:val="en-US"/>
        </w:rPr>
        <w:t>versus</w:t>
      </w:r>
      <w:r w:rsidR="00E62B8D" w:rsidRPr="00DA3860">
        <w:rPr>
          <w:lang w:val="en-US"/>
        </w:rPr>
        <w:t xml:space="preserve"> 55%) with greater use of prior non-biologic immunomodulating systemic therapy (45.5% v</w:t>
      </w:r>
      <w:r>
        <w:rPr>
          <w:lang w:val="en-US"/>
        </w:rPr>
        <w:t>ersu</w:t>
      </w:r>
      <w:r w:rsidR="00E62B8D" w:rsidRPr="00DA3860">
        <w:rPr>
          <w:lang w:val="en-US"/>
        </w:rPr>
        <w:t xml:space="preserve">s 53.6%). </w:t>
      </w:r>
    </w:p>
    <w:p w14:paraId="117B789D" w14:textId="107AA6D1" w:rsidR="00E62B8D" w:rsidRPr="00B00830" w:rsidRDefault="00E62B8D" w:rsidP="00B00830">
      <w:pPr>
        <w:pStyle w:val="Heading5"/>
      </w:pPr>
      <w:r w:rsidRPr="00FE3C3F">
        <w:t>Major protocol violations/deviations</w:t>
      </w:r>
    </w:p>
    <w:p w14:paraId="48CED8BB" w14:textId="5E885993" w:rsidR="00E62B8D" w:rsidRPr="000665EE" w:rsidRDefault="00E62B8D" w:rsidP="00E62B8D">
      <w:pPr>
        <w:spacing w:line="240" w:lineRule="auto"/>
        <w:rPr>
          <w:lang w:eastAsia="ja-JP"/>
        </w:rPr>
      </w:pPr>
      <w:r w:rsidRPr="000665EE">
        <w:rPr>
          <w:lang w:eastAsia="ja-JP"/>
        </w:rPr>
        <w:t>The incidence of protocol deviations was slightly higher in the placebo group (15.8%; 44/278) compa</w:t>
      </w:r>
      <w:r w:rsidR="00B00830">
        <w:rPr>
          <w:lang w:eastAsia="ja-JP"/>
        </w:rPr>
        <w:t>red with the u</w:t>
      </w:r>
      <w:r w:rsidRPr="000665EE">
        <w:rPr>
          <w:lang w:eastAsia="ja-JP"/>
        </w:rPr>
        <w:t>padacitinib 15</w:t>
      </w:r>
      <w:r w:rsidR="00B00830">
        <w:rPr>
          <w:lang w:eastAsia="ja-JP"/>
        </w:rPr>
        <w:t xml:space="preserve"> </w:t>
      </w:r>
      <w:r w:rsidRPr="000665EE">
        <w:rPr>
          <w:lang w:eastAsia="ja-JP"/>
        </w:rPr>
        <w:t>mg (12.0%; 33/276) and 30</w:t>
      </w:r>
      <w:r w:rsidR="00B00830">
        <w:rPr>
          <w:lang w:eastAsia="ja-JP"/>
        </w:rPr>
        <w:t xml:space="preserve"> </w:t>
      </w:r>
      <w:r w:rsidRPr="000665EE">
        <w:rPr>
          <w:lang w:eastAsia="ja-JP"/>
        </w:rPr>
        <w:t xml:space="preserve">mg (11.7%; 33/282) groups. </w:t>
      </w:r>
      <w:r w:rsidRPr="000665EE">
        <w:rPr>
          <w:rFonts w:eastAsia="TimesNewRoman" w:cs="TimesNewRoman"/>
          <w:lang w:val="en-US"/>
        </w:rPr>
        <w:t xml:space="preserve">Total number of subjects excluded from the </w:t>
      </w:r>
      <w:r w:rsidR="00B00830">
        <w:rPr>
          <w:rFonts w:eastAsia="TimesNewRoman" w:cs="TimesNewRoman"/>
          <w:lang w:val="en-US"/>
        </w:rPr>
        <w:t>per protocol</w:t>
      </w:r>
      <w:r w:rsidRPr="000665EE">
        <w:rPr>
          <w:rFonts w:eastAsia="TimesNewRoman" w:cs="TimesNewRoman"/>
          <w:lang w:val="en-US"/>
        </w:rPr>
        <w:t xml:space="preserve"> population was also </w:t>
      </w:r>
      <w:r w:rsidRPr="000665EE">
        <w:rPr>
          <w:lang w:eastAsia="ja-JP"/>
        </w:rPr>
        <w:t>slightly higher in the placebo group (5</w:t>
      </w:r>
      <w:r w:rsidR="00B00830">
        <w:rPr>
          <w:lang w:eastAsia="ja-JP"/>
        </w:rPr>
        <w:t>.4%; 15/278) compared with the u</w:t>
      </w:r>
      <w:r w:rsidRPr="000665EE">
        <w:rPr>
          <w:lang w:eastAsia="ja-JP"/>
        </w:rPr>
        <w:t>padacitinib 15</w:t>
      </w:r>
      <w:r w:rsidR="00B00830">
        <w:rPr>
          <w:lang w:eastAsia="ja-JP"/>
        </w:rPr>
        <w:t> </w:t>
      </w:r>
      <w:r w:rsidRPr="000665EE">
        <w:rPr>
          <w:lang w:eastAsia="ja-JP"/>
        </w:rPr>
        <w:t>mg (2.5%; 7/276) and 30</w:t>
      </w:r>
      <w:r w:rsidR="00B00830">
        <w:rPr>
          <w:lang w:eastAsia="ja-JP"/>
        </w:rPr>
        <w:t xml:space="preserve"> </w:t>
      </w:r>
      <w:r w:rsidRPr="000665EE">
        <w:rPr>
          <w:lang w:eastAsia="ja-JP"/>
        </w:rPr>
        <w:t>mg (3.2%; 9/282) groups.</w:t>
      </w:r>
    </w:p>
    <w:p w14:paraId="425D5287" w14:textId="3DC003C2" w:rsidR="00E62B8D" w:rsidRPr="000665EE" w:rsidRDefault="00E62B8D" w:rsidP="00E62B8D">
      <w:pPr>
        <w:spacing w:line="240" w:lineRule="auto"/>
        <w:rPr>
          <w:rFonts w:eastAsia="TimesNewRoman" w:cs="TimesNewRoman"/>
          <w:lang w:val="en-US"/>
        </w:rPr>
      </w:pPr>
      <w:r w:rsidRPr="000665EE">
        <w:rPr>
          <w:rFonts w:eastAsia="TimesNewRoman" w:cs="TimesNewRoman"/>
          <w:lang w:val="en-US"/>
        </w:rPr>
        <w:t>The most common protocol deviation was subject being entered into the study even though he/she did not satisfy the entry criteria. The most</w:t>
      </w:r>
      <w:r w:rsidR="00B00830">
        <w:rPr>
          <w:rFonts w:eastAsia="TimesNewRoman" w:cs="TimesNewRoman"/>
          <w:lang w:val="en-US"/>
        </w:rPr>
        <w:t xml:space="preserve"> common eligibility criterion (criterion </w:t>
      </w:r>
      <w:r w:rsidRPr="000665EE">
        <w:rPr>
          <w:rFonts w:eastAsia="TimesNewRoman" w:cs="TimesNewRoman"/>
          <w:lang w:val="en-US"/>
        </w:rPr>
        <w:t>7) not being met related to the atopic disease activity parameters.</w:t>
      </w:r>
    </w:p>
    <w:p w14:paraId="1133E1A8" w14:textId="6FD819DC" w:rsidR="00E62B8D" w:rsidRPr="000665EE" w:rsidRDefault="00E62B8D" w:rsidP="00E62B8D">
      <w:pPr>
        <w:spacing w:line="240" w:lineRule="auto"/>
        <w:rPr>
          <w:lang w:eastAsia="ja-JP"/>
        </w:rPr>
      </w:pPr>
      <w:r w:rsidRPr="000665EE">
        <w:rPr>
          <w:rFonts w:eastAsia="TimesNewRoman" w:cs="TimesNewRoman"/>
          <w:lang w:val="en-US"/>
        </w:rPr>
        <w:t>The majority of the deviations re</w:t>
      </w:r>
      <w:r w:rsidR="00B00830">
        <w:rPr>
          <w:rFonts w:eastAsia="TimesNewRoman" w:cs="TimesNewRoman"/>
          <w:lang w:val="en-US"/>
        </w:rPr>
        <w:t xml:space="preserve">lated to eligibility criterion </w:t>
      </w:r>
      <w:r w:rsidRPr="000665EE">
        <w:rPr>
          <w:rFonts w:eastAsia="TimesNewRoman" w:cs="TimesNewRoman"/>
          <w:lang w:val="en-US"/>
        </w:rPr>
        <w:t>7 were due to missing a minimum of 4 daily Worst Pruritus NRS assessments out of the 7 consecutive d</w:t>
      </w:r>
      <w:r w:rsidR="00B00830">
        <w:rPr>
          <w:rFonts w:eastAsia="TimesNewRoman" w:cs="TimesNewRoman"/>
          <w:lang w:val="en-US"/>
        </w:rPr>
        <w:t>ays, immediately preceding the baseline v</w:t>
      </w:r>
      <w:r w:rsidRPr="000665EE">
        <w:rPr>
          <w:rFonts w:eastAsia="TimesNewRoman" w:cs="TimesNewRoman"/>
          <w:lang w:val="en-US"/>
        </w:rPr>
        <w:t>isit to calculate the baseline weekly average of daily Worst Pruritus NRS ≥ 4, while all other disease activity cri</w:t>
      </w:r>
      <w:r w:rsidR="00B00830">
        <w:rPr>
          <w:rFonts w:eastAsia="TimesNewRoman" w:cs="TimesNewRoman"/>
          <w:lang w:val="en-US"/>
        </w:rPr>
        <w:t>teria were met. This included 5 adolescent subjects with a baseline NRS &lt; 4 or a missing b</w:t>
      </w:r>
      <w:r w:rsidRPr="000665EE">
        <w:rPr>
          <w:rFonts w:eastAsia="TimesNewRoman" w:cs="TimesNewRoman"/>
          <w:lang w:val="en-US"/>
        </w:rPr>
        <w:t>aseline NRS.</w:t>
      </w:r>
    </w:p>
    <w:p w14:paraId="2470B7A2" w14:textId="77777777" w:rsidR="00B00830" w:rsidRDefault="00B00830" w:rsidP="00B00830">
      <w:pPr>
        <w:pStyle w:val="Heading5"/>
      </w:pPr>
      <w:bookmarkStart w:id="119" w:name="_bookmark73"/>
      <w:bookmarkEnd w:id="119"/>
      <w:r>
        <w:t>Results for the efficacy outcomes</w:t>
      </w:r>
    </w:p>
    <w:p w14:paraId="7CD953DB" w14:textId="414B6693" w:rsidR="00E62B8D" w:rsidRPr="00561FAF" w:rsidRDefault="00B00830" w:rsidP="00B00830">
      <w:pPr>
        <w:pStyle w:val="Heading6"/>
      </w:pPr>
      <w:r>
        <w:t>Co-primary endpoints</w:t>
      </w:r>
    </w:p>
    <w:p w14:paraId="3872EFC5" w14:textId="192ACA7D" w:rsidR="00E62B8D" w:rsidRPr="00561FAF" w:rsidRDefault="00B00830" w:rsidP="00B00830">
      <w:pPr>
        <w:rPr>
          <w:b/>
          <w:lang w:val="en-US"/>
        </w:rPr>
      </w:pPr>
      <w:r>
        <w:rPr>
          <w:lang w:val="en-US"/>
        </w:rPr>
        <w:t>The co-primary endpoints for stated for Study M18-891 were considered to have been achieved.</w:t>
      </w:r>
    </w:p>
    <w:p w14:paraId="414011F8" w14:textId="06A944DE" w:rsidR="00E62B8D" w:rsidRPr="000F4AE2" w:rsidRDefault="00B00830" w:rsidP="00B00830">
      <w:r>
        <w:t>A</w:t>
      </w:r>
      <w:r w:rsidR="00E62B8D" w:rsidRPr="00B00830">
        <w:t xml:space="preserve"> statistically significantly larger</w:t>
      </w:r>
      <w:r>
        <w:t xml:space="preserve"> proportion of subjects in the </w:t>
      </w:r>
      <w:r w:rsidR="00921F5C" w:rsidRPr="00B00830">
        <w:t>upadacitinib</w:t>
      </w:r>
      <w:r>
        <w:t xml:space="preserve"> groups achieved EASI 75 (</w:t>
      </w:r>
      <w:r w:rsidR="00E62B8D" w:rsidRPr="00B00830">
        <w:t xml:space="preserve">60.1%, 72.9% and 13.3% in the </w:t>
      </w:r>
      <w:r w:rsidR="00921F5C" w:rsidRPr="00B00830">
        <w:t>upadacitinib</w:t>
      </w:r>
      <w:r w:rsidR="00E62B8D" w:rsidRPr="00B00830">
        <w:t xml:space="preserve"> 15</w:t>
      </w:r>
      <w:r>
        <w:t xml:space="preserve"> </w:t>
      </w:r>
      <w:r w:rsidR="00E62B8D" w:rsidRPr="00B00830">
        <w:t xml:space="preserve">mg, </w:t>
      </w:r>
      <w:r w:rsidR="00921F5C" w:rsidRPr="00B00830">
        <w:t>upadacitinib</w:t>
      </w:r>
      <w:r>
        <w:t xml:space="preserve"> </w:t>
      </w:r>
      <w:r w:rsidR="00E62B8D" w:rsidRPr="00B00830">
        <w:t>30</w:t>
      </w:r>
      <w:r>
        <w:t xml:space="preserve"> </w:t>
      </w:r>
      <w:r w:rsidR="00E62B8D" w:rsidRPr="00B00830">
        <w:t xml:space="preserve">mg and </w:t>
      </w:r>
      <w:r w:rsidR="00921F5C" w:rsidRPr="00B00830">
        <w:t>placebo</w:t>
      </w:r>
      <w:r w:rsidR="00E62B8D" w:rsidRPr="00B00830">
        <w:t xml:space="preserve"> groups, respectively; p</w:t>
      </w:r>
      <w:r>
        <w:t xml:space="preserve"> </w:t>
      </w:r>
      <w:r w:rsidR="00E62B8D" w:rsidRPr="00B00830">
        <w:t>&lt;</w:t>
      </w:r>
      <w:r>
        <w:t xml:space="preserve"> </w:t>
      </w:r>
      <w:r w:rsidR="00E62B8D" w:rsidRPr="00B00830">
        <w:t xml:space="preserve">0.001 for both </w:t>
      </w:r>
      <w:r w:rsidR="00921F5C" w:rsidRPr="00B00830">
        <w:t>upadacitinib</w:t>
      </w:r>
      <w:r w:rsidR="00E62B8D" w:rsidRPr="00B00830">
        <w:t xml:space="preserve"> v</w:t>
      </w:r>
      <w:r>
        <w:t>ersus placebo groups.</w:t>
      </w:r>
      <w:r w:rsidR="000F4AE2">
        <w:t xml:space="preserve"> See Section: </w:t>
      </w:r>
      <w:r w:rsidR="000F4AE2">
        <w:rPr>
          <w:i/>
        </w:rPr>
        <w:fldChar w:fldCharType="begin"/>
      </w:r>
      <w:r w:rsidR="000F4AE2">
        <w:rPr>
          <w:i/>
        </w:rPr>
        <w:instrText xml:space="preserve"> REF _Ref126044782 \h  \* MERGEFORMAT </w:instrText>
      </w:r>
      <w:r w:rsidR="000F4AE2">
        <w:rPr>
          <w:i/>
        </w:rPr>
      </w:r>
      <w:r w:rsidR="000F4AE2">
        <w:rPr>
          <w:i/>
        </w:rPr>
        <w:fldChar w:fldCharType="separate"/>
      </w:r>
      <w:r w:rsidR="00B51532" w:rsidRPr="00B51532">
        <w:rPr>
          <w:i/>
        </w:rPr>
        <w:t>Eczema Area and Severity Index (EASI)</w:t>
      </w:r>
      <w:r w:rsidR="000F4AE2">
        <w:rPr>
          <w:i/>
        </w:rPr>
        <w:fldChar w:fldCharType="end"/>
      </w:r>
      <w:r w:rsidR="000F4AE2">
        <w:rPr>
          <w:i/>
        </w:rPr>
        <w:t xml:space="preserve"> </w:t>
      </w:r>
      <w:r w:rsidR="000F4AE2">
        <w:t>for details of this score.</w:t>
      </w:r>
    </w:p>
    <w:p w14:paraId="3F3B457E" w14:textId="49982E54" w:rsidR="00E62B8D" w:rsidRPr="00B00830" w:rsidRDefault="00B00830" w:rsidP="00E62B8D">
      <w:pPr>
        <w:rPr>
          <w:lang w:val="en-US"/>
        </w:rPr>
      </w:pPr>
      <w:r>
        <w:t>P</w:t>
      </w:r>
      <w:r w:rsidR="00E62B8D" w:rsidRPr="00B00830">
        <w:t>atients with moderate and severe eczema demonstrated</w:t>
      </w:r>
      <w:r>
        <w:rPr>
          <w:lang w:val="en-US"/>
        </w:rPr>
        <w:t xml:space="preserve"> significant </w:t>
      </w:r>
      <w:r w:rsidR="00E62B8D" w:rsidRPr="00561FAF">
        <w:rPr>
          <w:lang w:val="en-US"/>
        </w:rPr>
        <w:t xml:space="preserve">improvements over placebo, as per </w:t>
      </w:r>
      <w:r w:rsidR="000F4AE2">
        <w:rPr>
          <w:highlight w:val="yellow"/>
          <w:lang w:val="en-US"/>
        </w:rPr>
        <w:fldChar w:fldCharType="begin"/>
      </w:r>
      <w:r w:rsidR="000F4AE2">
        <w:rPr>
          <w:lang w:val="en-US"/>
        </w:rPr>
        <w:instrText xml:space="preserve"> REF _Ref126047114 \h </w:instrText>
      </w:r>
      <w:r w:rsidR="000F4AE2">
        <w:rPr>
          <w:highlight w:val="yellow"/>
          <w:lang w:val="en-US"/>
        </w:rPr>
      </w:r>
      <w:r w:rsidR="000F4AE2">
        <w:rPr>
          <w:highlight w:val="yellow"/>
          <w:lang w:val="en-US"/>
        </w:rPr>
        <w:fldChar w:fldCharType="separate"/>
      </w:r>
      <w:r w:rsidR="00B51532" w:rsidRPr="00B00830">
        <w:t xml:space="preserve">Table </w:t>
      </w:r>
      <w:r w:rsidR="00B51532">
        <w:rPr>
          <w:noProof/>
        </w:rPr>
        <w:t>27</w:t>
      </w:r>
      <w:r w:rsidR="000F4AE2">
        <w:rPr>
          <w:highlight w:val="yellow"/>
          <w:lang w:val="en-US"/>
        </w:rPr>
        <w:fldChar w:fldCharType="end"/>
      </w:r>
      <w:r w:rsidR="000F4AE2">
        <w:rPr>
          <w:lang w:val="en-US"/>
        </w:rPr>
        <w:t>, below.</w:t>
      </w:r>
    </w:p>
    <w:p w14:paraId="7F59C9F9" w14:textId="4099B7C4" w:rsidR="00B00830" w:rsidRPr="00B00830" w:rsidRDefault="00B00830" w:rsidP="00B00830">
      <w:pPr>
        <w:pStyle w:val="Tabletitle0"/>
      </w:pPr>
      <w:bookmarkStart w:id="120" w:name="_Ref126047114"/>
      <w:r w:rsidRPr="00B00830">
        <w:lastRenderedPageBreak/>
        <w:t xml:space="preserve">Table </w:t>
      </w:r>
      <w:fldSimple w:instr=" SEQ Table \* ARABIC ">
        <w:r w:rsidR="00B51532">
          <w:rPr>
            <w:noProof/>
          </w:rPr>
          <w:t>27</w:t>
        </w:r>
      </w:fldSimple>
      <w:bookmarkEnd w:id="120"/>
      <w:r w:rsidRPr="00B00830">
        <w:t xml:space="preserve">: Study M18-891 Proportion of subjects achieving </w:t>
      </w:r>
      <w:r w:rsidR="000F4AE2">
        <w:t xml:space="preserve">an </w:t>
      </w:r>
      <w:r w:rsidRPr="00B00830">
        <w:t xml:space="preserve">EASI 75 </w:t>
      </w:r>
      <w:r w:rsidR="000F4AE2">
        <w:t xml:space="preserve">response </w:t>
      </w:r>
      <w:r w:rsidRPr="00B00830">
        <w:t>by visit in double blind period (NRI-C</w:t>
      </w:r>
      <w:r w:rsidR="004A0B90">
        <w:t xml:space="preserve">; </w:t>
      </w:r>
      <w:r w:rsidR="009622DC">
        <w:t>main ITT</w:t>
      </w:r>
      <w:r w:rsidRPr="00B00830">
        <w:t xml:space="preserve"> population)</w:t>
      </w:r>
    </w:p>
    <w:p w14:paraId="5FE5C68B" w14:textId="322F9143" w:rsidR="00E62B8D" w:rsidRDefault="00E62B8D" w:rsidP="00E62B8D">
      <w:pPr>
        <w:autoSpaceDE w:val="0"/>
        <w:autoSpaceDN w:val="0"/>
        <w:adjustRightInd w:val="0"/>
        <w:spacing w:line="240" w:lineRule="auto"/>
        <w:rPr>
          <w:rFonts w:eastAsia="TimesNewRoman" w:cs="Calibri"/>
          <w:lang w:val="en-US"/>
        </w:rPr>
      </w:pPr>
      <w:r w:rsidRPr="00AA468B">
        <w:rPr>
          <w:rFonts w:eastAsia="TimesNewRoman" w:cs="Calibri"/>
          <w:noProof/>
          <w:lang w:val="en-GB" w:eastAsia="en-GB"/>
        </w:rPr>
        <w:drawing>
          <wp:inline distT="0" distB="0" distL="0" distR="0" wp14:anchorId="1D6D4FD6" wp14:editId="2646A37F">
            <wp:extent cx="5619750" cy="1877421"/>
            <wp:effectExtent l="0" t="0" r="0" b="8890"/>
            <wp:docPr id="7" name="Picture 7" descr="Study M18-891 Proportion of subjects achieving an EASI 75 response by visit in double blind period (NRI-C) (main ITT population)" title="Study M18-891 Proportion of subjects achieving an EASI 75 response by visit in double blind period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lum/>
                      <a:extLst>
                        <a:ext uri="{28A0092B-C50C-407E-A947-70E740481C1C}">
                          <a14:useLocalDpi xmlns:a14="http://schemas.microsoft.com/office/drawing/2010/main" val="0"/>
                        </a:ext>
                      </a:extLst>
                    </a:blip>
                    <a:srcRect b="30046"/>
                    <a:stretch/>
                  </pic:blipFill>
                  <pic:spPr bwMode="auto">
                    <a:xfrm>
                      <a:off x="0" y="0"/>
                      <a:ext cx="5625405" cy="1879310"/>
                    </a:xfrm>
                    <a:prstGeom prst="rect">
                      <a:avLst/>
                    </a:prstGeom>
                    <a:noFill/>
                    <a:ln>
                      <a:noFill/>
                    </a:ln>
                    <a:extLst>
                      <a:ext uri="{53640926-AAD7-44D8-BBD7-CCE9431645EC}">
                        <a14:shadowObscured xmlns:a14="http://schemas.microsoft.com/office/drawing/2010/main"/>
                      </a:ext>
                    </a:extLst>
                  </pic:spPr>
                </pic:pic>
              </a:graphicData>
            </a:graphic>
          </wp:inline>
        </w:drawing>
      </w:r>
    </w:p>
    <w:p w14:paraId="65E47A40" w14:textId="2E3FD12E" w:rsidR="000F4AE2" w:rsidRPr="000F4AE2" w:rsidRDefault="000F4AE2" w:rsidP="000F4AE2">
      <w:pPr>
        <w:pStyle w:val="TableDescription"/>
      </w:pPr>
      <w:r>
        <w:t>Abbreviations: CI = confidence intervals; EASI 75 = Eczema Area and Severity Index 75 response; ITT = intention to treat; NRI</w:t>
      </w:r>
      <w:r>
        <w:noBreakHyphen/>
        <w:t>C = Nonresponder Imputation incorporating Multiple Imputation (MI) to handle missing data due to COVID-19; QD = once daily; UPA = upadacitinib</w:t>
      </w:r>
      <w:r w:rsidR="004A0B90">
        <w:t>.</w:t>
      </w:r>
    </w:p>
    <w:p w14:paraId="33C6823E" w14:textId="539C9D26" w:rsidR="00E62B8D" w:rsidRPr="00325203" w:rsidRDefault="00B00830" w:rsidP="00325203">
      <w:r>
        <w:t>A</w:t>
      </w:r>
      <w:r w:rsidR="00E62B8D" w:rsidRPr="00B00830">
        <w:t xml:space="preserve"> statistically significantly larger proportion of subjects in the</w:t>
      </w:r>
      <w:r w:rsidR="005D7175">
        <w:t xml:space="preserve"> upadacitinib</w:t>
      </w:r>
      <w:r w:rsidR="00E62B8D" w:rsidRPr="00B00830">
        <w:t xml:space="preserve"> groups achieved a vIGA-AD score of 0 or 1 (clear or almost clear) with a clinically meaningful reduction (at least 2 grade reductions from </w:t>
      </w:r>
      <w:r w:rsidR="00611098">
        <w:t>B</w:t>
      </w:r>
      <w:r w:rsidR="00E62B8D" w:rsidRPr="00B00830">
        <w:t>aseline) at Week 16 compared with the placebo group, based on the primary approach of NR</w:t>
      </w:r>
      <w:r>
        <w:t>I-C (</w:t>
      </w:r>
      <w:r w:rsidR="00E62B8D" w:rsidRPr="00B00830">
        <w:t xml:space="preserve">48.1%, 62% and 8.4% in the </w:t>
      </w:r>
      <w:r w:rsidR="00921F5C" w:rsidRPr="00B00830">
        <w:t>upadacitinib</w:t>
      </w:r>
      <w:r w:rsidR="00E62B8D" w:rsidRPr="00B00830">
        <w:t xml:space="preserve"> 15</w:t>
      </w:r>
      <w:r w:rsidR="00B51532">
        <w:t xml:space="preserve"> </w:t>
      </w:r>
      <w:r w:rsidR="00E62B8D" w:rsidRPr="00B00830">
        <w:t xml:space="preserve">mg, </w:t>
      </w:r>
      <w:r w:rsidR="00921F5C" w:rsidRPr="00B00830">
        <w:t>upadacitinib</w:t>
      </w:r>
      <w:r w:rsidR="00E62B8D" w:rsidRPr="00B00830">
        <w:t xml:space="preserve"> </w:t>
      </w:r>
      <w:r w:rsidR="005D7175">
        <w:t>30 mg</w:t>
      </w:r>
      <w:r w:rsidR="00E62B8D" w:rsidRPr="00B00830">
        <w:t xml:space="preserve"> and </w:t>
      </w:r>
      <w:r w:rsidR="00921F5C" w:rsidRPr="00B00830">
        <w:t>placebo</w:t>
      </w:r>
      <w:r w:rsidR="00E62B8D" w:rsidRPr="00B00830">
        <w:t xml:space="preserve"> groups, respectively; p</w:t>
      </w:r>
      <w:r w:rsidR="00325203">
        <w:t xml:space="preserve"> </w:t>
      </w:r>
      <w:r w:rsidR="00E62B8D" w:rsidRPr="00B00830">
        <w:t>&lt;</w:t>
      </w:r>
      <w:r w:rsidR="00325203">
        <w:t xml:space="preserve"> </w:t>
      </w:r>
      <w:r w:rsidR="00E62B8D" w:rsidRPr="00B00830">
        <w:t>0.001 for both upadacitinib groups v</w:t>
      </w:r>
      <w:r w:rsidR="00325203">
        <w:t>ersus placebo)</w:t>
      </w:r>
      <w:r w:rsidR="000F4AE2">
        <w:t xml:space="preserve">; see Section: </w:t>
      </w:r>
      <w:r w:rsidR="000F4AE2" w:rsidRPr="000F4AE2">
        <w:rPr>
          <w:i/>
        </w:rPr>
        <w:fldChar w:fldCharType="begin"/>
      </w:r>
      <w:r w:rsidR="000F4AE2" w:rsidRPr="000F4AE2">
        <w:rPr>
          <w:i/>
        </w:rPr>
        <w:instrText xml:space="preserve"> REF _Ref126046618 \h </w:instrText>
      </w:r>
      <w:r w:rsidR="000F4AE2">
        <w:rPr>
          <w:i/>
        </w:rPr>
        <w:instrText xml:space="preserve"> \* MERGEFORMAT </w:instrText>
      </w:r>
      <w:r w:rsidR="000F4AE2" w:rsidRPr="000F4AE2">
        <w:rPr>
          <w:i/>
        </w:rPr>
      </w:r>
      <w:r w:rsidR="000F4AE2" w:rsidRPr="000F4AE2">
        <w:rPr>
          <w:i/>
        </w:rPr>
        <w:fldChar w:fldCharType="separate"/>
      </w:r>
      <w:r w:rsidR="00B51532" w:rsidRPr="00B51532">
        <w:rPr>
          <w:i/>
        </w:rPr>
        <w:t>Validated Investigator Global Assessment scale for Atopic Dermatitis (vIGA-AD)</w:t>
      </w:r>
      <w:r w:rsidR="000F4AE2" w:rsidRPr="000F4AE2">
        <w:rPr>
          <w:i/>
        </w:rPr>
        <w:fldChar w:fldCharType="end"/>
      </w:r>
      <w:r w:rsidR="000F4AE2">
        <w:t xml:space="preserve"> for details on this score.</w:t>
      </w:r>
    </w:p>
    <w:p w14:paraId="3783C711" w14:textId="7895AF16" w:rsidR="00E62B8D" w:rsidRPr="00325203" w:rsidRDefault="00325203" w:rsidP="00325203">
      <w:pPr>
        <w:rPr>
          <w:lang w:val="en-US"/>
        </w:rPr>
      </w:pPr>
      <w:r>
        <w:rPr>
          <w:lang w:val="en-US"/>
        </w:rPr>
        <w:t>P</w:t>
      </w:r>
      <w:r w:rsidR="00E62B8D" w:rsidRPr="00561FAF">
        <w:rPr>
          <w:lang w:val="en-US"/>
        </w:rPr>
        <w:t>atients with moderate and severe eczema demonstrated significant</w:t>
      </w:r>
      <w:r>
        <w:rPr>
          <w:lang w:val="en-US"/>
        </w:rPr>
        <w:t xml:space="preserve"> </w:t>
      </w:r>
      <w:r w:rsidR="000F4AE2">
        <w:rPr>
          <w:lang w:val="en-US"/>
        </w:rPr>
        <w:t xml:space="preserve">improvements </w:t>
      </w:r>
      <w:r w:rsidR="00E62B8D" w:rsidRPr="00561FAF">
        <w:rPr>
          <w:lang w:val="en-US"/>
        </w:rPr>
        <w:t xml:space="preserve">over placebo, as per </w:t>
      </w:r>
      <w:bookmarkStart w:id="121" w:name="_Toc72321322"/>
      <w:r w:rsidR="000F4AE2">
        <w:rPr>
          <w:highlight w:val="yellow"/>
          <w:lang w:val="en-US"/>
        </w:rPr>
        <w:fldChar w:fldCharType="begin"/>
      </w:r>
      <w:r w:rsidR="000F4AE2">
        <w:rPr>
          <w:lang w:val="en-US"/>
        </w:rPr>
        <w:instrText xml:space="preserve"> REF _Ref126047413 \h </w:instrText>
      </w:r>
      <w:r w:rsidR="000F4AE2">
        <w:rPr>
          <w:highlight w:val="yellow"/>
          <w:lang w:val="en-US"/>
        </w:rPr>
      </w:r>
      <w:r w:rsidR="000F4AE2">
        <w:rPr>
          <w:highlight w:val="yellow"/>
          <w:lang w:val="en-US"/>
        </w:rPr>
        <w:fldChar w:fldCharType="separate"/>
      </w:r>
      <w:r w:rsidR="00B51532">
        <w:t xml:space="preserve">Table </w:t>
      </w:r>
      <w:r w:rsidR="00B51532">
        <w:rPr>
          <w:noProof/>
        </w:rPr>
        <w:t>28</w:t>
      </w:r>
      <w:r w:rsidR="000F4AE2">
        <w:rPr>
          <w:highlight w:val="yellow"/>
          <w:lang w:val="en-US"/>
        </w:rPr>
        <w:fldChar w:fldCharType="end"/>
      </w:r>
      <w:r w:rsidR="000F4AE2">
        <w:rPr>
          <w:lang w:val="en-US"/>
        </w:rPr>
        <w:t xml:space="preserve"> below.</w:t>
      </w:r>
    </w:p>
    <w:p w14:paraId="01118522" w14:textId="47ED2E6F" w:rsidR="00325203" w:rsidRDefault="00325203" w:rsidP="00325203">
      <w:pPr>
        <w:pStyle w:val="Tabletitle0"/>
      </w:pPr>
      <w:bookmarkStart w:id="122" w:name="_Ref126047413"/>
      <w:bookmarkEnd w:id="121"/>
      <w:r>
        <w:t xml:space="preserve">Table </w:t>
      </w:r>
      <w:fldSimple w:instr=" SEQ Table \* ARABIC ">
        <w:r w:rsidR="00B51532">
          <w:rPr>
            <w:noProof/>
          </w:rPr>
          <w:t>28</w:t>
        </w:r>
      </w:fldSimple>
      <w:bookmarkEnd w:id="122"/>
      <w:r>
        <w:t xml:space="preserve">: </w:t>
      </w:r>
      <w:r>
        <w:rPr>
          <w:lang w:val="en-US"/>
        </w:rPr>
        <w:t xml:space="preserve">Study M18-891 </w:t>
      </w:r>
      <w:r w:rsidRPr="005F30AD">
        <w:t xml:space="preserve">Proportion of subjects achieving vIGA-AD of 0 or 1 with at </w:t>
      </w:r>
      <w:r w:rsidR="004A0B90">
        <w:t>l</w:t>
      </w:r>
      <w:r w:rsidRPr="005F30AD">
        <w:t xml:space="preserve">east 2 </w:t>
      </w:r>
      <w:r w:rsidR="004A0B90">
        <w:t>g</w:t>
      </w:r>
      <w:r w:rsidRPr="005F30AD">
        <w:t xml:space="preserve">rades of </w:t>
      </w:r>
      <w:r w:rsidR="004A0B90">
        <w:t>r</w:t>
      </w:r>
      <w:r w:rsidRPr="005F30AD">
        <w:t>edu</w:t>
      </w:r>
      <w:r w:rsidR="000F4AE2">
        <w:t xml:space="preserve">ction from </w:t>
      </w:r>
      <w:r w:rsidR="004A0B90">
        <w:t>B</w:t>
      </w:r>
      <w:r w:rsidR="000F4AE2">
        <w:t xml:space="preserve">aseline by </w:t>
      </w:r>
      <w:r w:rsidR="004A0B90">
        <w:t>v</w:t>
      </w:r>
      <w:r w:rsidR="000F4AE2">
        <w:t>isit (observed cases</w:t>
      </w:r>
      <w:r w:rsidRPr="005F30AD">
        <w:t>) (</w:t>
      </w:r>
      <w:r w:rsidR="004A0B90">
        <w:t xml:space="preserve">NRI-C; </w:t>
      </w:r>
      <w:r w:rsidR="000F4AE2">
        <w:t>main ITT population</w:t>
      </w:r>
      <w:r w:rsidRPr="005F30AD">
        <w:t>)</w:t>
      </w:r>
    </w:p>
    <w:p w14:paraId="4FC3C2D4" w14:textId="77777777" w:rsidR="00E62B8D" w:rsidRPr="00AA468B" w:rsidRDefault="00E62B8D" w:rsidP="00E62B8D">
      <w:pPr>
        <w:autoSpaceDE w:val="0"/>
        <w:autoSpaceDN w:val="0"/>
        <w:adjustRightInd w:val="0"/>
        <w:spacing w:line="240" w:lineRule="auto"/>
        <w:rPr>
          <w:rFonts w:eastAsia="TimesNewRoman" w:cs="Calibri"/>
          <w:color w:val="000000"/>
          <w:lang w:val="en-US"/>
        </w:rPr>
      </w:pPr>
      <w:r w:rsidRPr="00AA468B">
        <w:rPr>
          <w:rFonts w:eastAsia="TimesNewRoman" w:cs="Calibri"/>
          <w:noProof/>
          <w:color w:val="000000"/>
          <w:lang w:val="en-GB" w:eastAsia="en-GB"/>
        </w:rPr>
        <w:drawing>
          <wp:inline distT="0" distB="0" distL="0" distR="0" wp14:anchorId="5FA2C3AB" wp14:editId="0EA131CC">
            <wp:extent cx="5623158" cy="2604977"/>
            <wp:effectExtent l="0" t="0" r="0" b="5080"/>
            <wp:docPr id="43" name="Picture 43" descr="Study M18-891 Proportion of subjects achieving vIGA-AD of 0 or 1 with at least 2 grades of reduction from Baseline by visit (observed cases) (main ITT population)" title="Study M18-891 Proportion of subjects achieving vIGA-AD of 0 or 1 with at least 2 grades of reduction from Baseline by visit (observed cases)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27005" cy="2606759"/>
                    </a:xfrm>
                    <a:prstGeom prst="rect">
                      <a:avLst/>
                    </a:prstGeom>
                    <a:noFill/>
                    <a:ln>
                      <a:noFill/>
                    </a:ln>
                  </pic:spPr>
                </pic:pic>
              </a:graphicData>
            </a:graphic>
          </wp:inline>
        </w:drawing>
      </w:r>
    </w:p>
    <w:p w14:paraId="241614BC" w14:textId="5450181E" w:rsidR="00E62B8D" w:rsidRPr="000F4AE2" w:rsidRDefault="000F4AE2" w:rsidP="000F4AE2">
      <w:pPr>
        <w:pStyle w:val="TableDescription"/>
      </w:pPr>
      <w:r>
        <w:t>Abbreviations: CI = confidence intervals; ITT = intention to treat; NRI</w:t>
      </w:r>
      <w:r>
        <w:noBreakHyphen/>
        <w:t>C = Nonresponder Imputation incorporating Multiple Imputation (MI) to handle missing data due to COVID-19; QD = once daily; UPA = upadacitinib; vIGA-AD = validated investigator’s global assessment.</w:t>
      </w:r>
    </w:p>
    <w:p w14:paraId="1CCBFFD7" w14:textId="03ED7B4D" w:rsidR="00E62B8D" w:rsidRPr="00325203" w:rsidRDefault="00325203" w:rsidP="00325203">
      <w:r>
        <w:t>T</w:t>
      </w:r>
      <w:r w:rsidR="00E62B8D" w:rsidRPr="00325203">
        <w:t>he robustness of the co-primary endpoints results was supported by consistent results favouring both</w:t>
      </w:r>
      <w:r w:rsidR="005D7175">
        <w:t xml:space="preserve"> upadacitinib</w:t>
      </w:r>
      <w:r w:rsidR="00E62B8D" w:rsidRPr="00325203">
        <w:t xml:space="preserve"> groups compared to placebo in all sensi</w:t>
      </w:r>
      <w:r w:rsidR="000F4AE2">
        <w:t>tivity analyses, including NRI-</w:t>
      </w:r>
      <w:r w:rsidR="00E62B8D" w:rsidRPr="00325203">
        <w:t xml:space="preserve">C, </w:t>
      </w:r>
      <w:r>
        <w:t>multiple imputation</w:t>
      </w:r>
      <w:r w:rsidR="00E62B8D" w:rsidRPr="00325203">
        <w:t xml:space="preserve">, </w:t>
      </w:r>
      <w:r w:rsidRPr="00325203">
        <w:t>tipping point analysis, and per protocol ana</w:t>
      </w:r>
      <w:r>
        <w:t>lysis.</w:t>
      </w:r>
    </w:p>
    <w:p w14:paraId="2917BD8B" w14:textId="27220DA5" w:rsidR="00E62B8D" w:rsidRPr="00325203" w:rsidRDefault="00325203" w:rsidP="00325203">
      <w:r>
        <w:rPr>
          <w:lang w:val="en-US"/>
        </w:rPr>
        <w:lastRenderedPageBreak/>
        <w:t>T</w:t>
      </w:r>
      <w:r w:rsidR="00E62B8D" w:rsidRPr="008D06C3">
        <w:rPr>
          <w:lang w:val="en-US"/>
        </w:rPr>
        <w:t xml:space="preserve">reatment effects in all pre-specified sub-groups (across demographic and </w:t>
      </w:r>
      <w:r w:rsidR="00E62B8D" w:rsidRPr="00325203">
        <w:t xml:space="preserve">baseline characteristics), including adolescents consistently </w:t>
      </w:r>
      <w:r w:rsidRPr="00325203">
        <w:t>favoured</w:t>
      </w:r>
      <w:r>
        <w:t xml:space="preserve"> both u</w:t>
      </w:r>
      <w:r w:rsidR="00E62B8D" w:rsidRPr="00325203">
        <w:t>padacitinib doses compared to placebo in EA</w:t>
      </w:r>
      <w:r>
        <w:t xml:space="preserve">SI 75, and </w:t>
      </w:r>
      <w:r w:rsidRPr="00325203">
        <w:t xml:space="preserve">vIGA-AD with all 95% confidence intervals (CIs) excluding zero, </w:t>
      </w:r>
      <w:r>
        <w:t xml:space="preserve">as </w:t>
      </w:r>
      <w:r w:rsidR="000F4AE2">
        <w:t>shown across the following figures.</w:t>
      </w:r>
    </w:p>
    <w:p w14:paraId="0E81CF68" w14:textId="70D09CD2" w:rsidR="00325203" w:rsidRDefault="00325203" w:rsidP="00325203">
      <w:pPr>
        <w:pStyle w:val="FigureTitle"/>
      </w:pPr>
      <w:r>
        <w:t xml:space="preserve">Figure </w:t>
      </w:r>
      <w:fldSimple w:instr=" SEQ Figure \* ARABIC ">
        <w:r w:rsidR="00B51532">
          <w:rPr>
            <w:noProof/>
          </w:rPr>
          <w:t>16</w:t>
        </w:r>
      </w:fldSimple>
      <w:r>
        <w:t xml:space="preserve">: </w:t>
      </w:r>
      <w:r>
        <w:rPr>
          <w:lang w:val="en-US"/>
        </w:rPr>
        <w:t xml:space="preserve">Study M18-891 Proportion of subjects achieving </w:t>
      </w:r>
      <w:r w:rsidR="000F4AE2">
        <w:rPr>
          <w:lang w:val="en-US"/>
        </w:rPr>
        <w:t xml:space="preserve">an </w:t>
      </w:r>
      <w:r>
        <w:rPr>
          <w:lang w:val="en-US"/>
        </w:rPr>
        <w:t>EASI 75</w:t>
      </w:r>
      <w:r w:rsidR="000F4AE2">
        <w:rPr>
          <w:lang w:val="en-US"/>
        </w:rPr>
        <w:t xml:space="preserve"> response</w:t>
      </w:r>
      <w:r>
        <w:rPr>
          <w:lang w:val="en-US"/>
        </w:rPr>
        <w:t xml:space="preserve"> at Week 16 by subgroup in the upadacitinib 30 mg group (NRI-C, </w:t>
      </w:r>
      <w:r w:rsidR="000F4AE2">
        <w:rPr>
          <w:lang w:val="en-US"/>
        </w:rPr>
        <w:t xml:space="preserve">main ITT </w:t>
      </w:r>
      <w:r>
        <w:rPr>
          <w:lang w:val="en-US"/>
        </w:rPr>
        <w:t>population)</w:t>
      </w:r>
    </w:p>
    <w:p w14:paraId="0ECF5457" w14:textId="0B4AB263" w:rsidR="00E62B8D" w:rsidRDefault="00E62B8D" w:rsidP="00325203">
      <w:pPr>
        <w:rPr>
          <w:lang w:val="en-US"/>
        </w:rPr>
      </w:pPr>
      <w:r w:rsidRPr="00325203">
        <w:rPr>
          <w:noProof/>
          <w:lang w:val="en-GB" w:eastAsia="en-GB"/>
        </w:rPr>
        <w:drawing>
          <wp:inline distT="0" distB="0" distL="0" distR="0" wp14:anchorId="6E2864EA" wp14:editId="704A256F">
            <wp:extent cx="5367271" cy="2806995"/>
            <wp:effectExtent l="0" t="0" r="5080" b="0"/>
            <wp:docPr id="44" name="Picture 44" descr="Study M18-891 Proportion of subjects achieving an EASI 75 response at Week 16 by subgroup in the upadacitinib 30 mg group (NRI-C, main ITT population)" title="Study M18-891 Proportion of subjects achieving an EASI 75 response at Week 16 by subgroup in the upadacitinib 30 mg group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4">
                      <a:extLst>
                        <a:ext uri="{28A0092B-C50C-407E-A947-70E740481C1C}">
                          <a14:useLocalDpi xmlns:a14="http://schemas.microsoft.com/office/drawing/2010/main" val="0"/>
                        </a:ext>
                      </a:extLst>
                    </a:blip>
                    <a:srcRect l="5186" t="14228"/>
                    <a:stretch/>
                  </pic:blipFill>
                  <pic:spPr bwMode="auto">
                    <a:xfrm>
                      <a:off x="0" y="0"/>
                      <a:ext cx="5568926" cy="2912457"/>
                    </a:xfrm>
                    <a:prstGeom prst="rect">
                      <a:avLst/>
                    </a:prstGeom>
                    <a:noFill/>
                    <a:ln>
                      <a:noFill/>
                    </a:ln>
                    <a:extLst>
                      <a:ext uri="{53640926-AAD7-44D8-BBD7-CCE9431645EC}">
                        <a14:shadowObscured xmlns:a14="http://schemas.microsoft.com/office/drawing/2010/main"/>
                      </a:ext>
                    </a:extLst>
                  </pic:spPr>
                </pic:pic>
              </a:graphicData>
            </a:graphic>
          </wp:inline>
        </w:drawing>
      </w:r>
    </w:p>
    <w:p w14:paraId="4BAA2474" w14:textId="1063A685" w:rsidR="000F4AE2" w:rsidRPr="000F4AE2" w:rsidRDefault="000F4AE2" w:rsidP="00443F4C">
      <w:pPr>
        <w:pStyle w:val="FigureDescription"/>
      </w:pPr>
      <w:r>
        <w:t>Abbreviations: CI = confidence intervals; EASI 75 = Eczema Area and Severity Index 75 response; ITT = intention to treat; NRI</w:t>
      </w:r>
      <w:r>
        <w:noBreakHyphen/>
        <w:t>C = Nonresponder Imputation incorporating Multiple Imputation (MI) to handle missing data due to COVID-19; QD = once daily; UPA = upadacitinib.</w:t>
      </w:r>
    </w:p>
    <w:p w14:paraId="781B8E01" w14:textId="14177E5C" w:rsidR="00325203" w:rsidRDefault="00325203" w:rsidP="00325203">
      <w:pPr>
        <w:pStyle w:val="FigureTitle"/>
      </w:pPr>
      <w:r>
        <w:t xml:space="preserve">Figure </w:t>
      </w:r>
      <w:fldSimple w:instr=" SEQ Figure \* ARABIC ">
        <w:r w:rsidR="00B51532">
          <w:rPr>
            <w:noProof/>
          </w:rPr>
          <w:t>17</w:t>
        </w:r>
      </w:fldSimple>
      <w:r>
        <w:t xml:space="preserve">: </w:t>
      </w:r>
      <w:r>
        <w:rPr>
          <w:lang w:val="en-US"/>
        </w:rPr>
        <w:t xml:space="preserve">Study M18-891 Proportion of subjects achieving </w:t>
      </w:r>
      <w:r w:rsidR="000F4AE2">
        <w:rPr>
          <w:lang w:val="en-US"/>
        </w:rPr>
        <w:t xml:space="preserve">an </w:t>
      </w:r>
      <w:r>
        <w:rPr>
          <w:lang w:val="en-US"/>
        </w:rPr>
        <w:t>EASI 75</w:t>
      </w:r>
      <w:r w:rsidR="000F4AE2">
        <w:rPr>
          <w:lang w:val="en-US"/>
        </w:rPr>
        <w:t xml:space="preserve"> response</w:t>
      </w:r>
      <w:r>
        <w:rPr>
          <w:lang w:val="en-US"/>
        </w:rPr>
        <w:t xml:space="preserve"> at Week 16 by subgroup in the upadacitinib 15 mg group (NRI-C, </w:t>
      </w:r>
      <w:r w:rsidR="009622DC">
        <w:rPr>
          <w:lang w:val="en-US"/>
        </w:rPr>
        <w:t>main ITT</w:t>
      </w:r>
      <w:r>
        <w:rPr>
          <w:lang w:val="en-US"/>
        </w:rPr>
        <w:t xml:space="preserve"> population)</w:t>
      </w:r>
    </w:p>
    <w:p w14:paraId="264411C6" w14:textId="0E95FE01" w:rsidR="00E62B8D" w:rsidRDefault="00E62B8D" w:rsidP="00325203">
      <w:pPr>
        <w:rPr>
          <w:lang w:val="en-US"/>
        </w:rPr>
      </w:pPr>
      <w:r w:rsidRPr="00325203">
        <w:rPr>
          <w:noProof/>
          <w:lang w:val="en-GB" w:eastAsia="en-GB"/>
        </w:rPr>
        <w:drawing>
          <wp:inline distT="0" distB="0" distL="0" distR="0" wp14:anchorId="0585605F" wp14:editId="7EAA320F">
            <wp:extent cx="5415280" cy="2445488"/>
            <wp:effectExtent l="0" t="0" r="0" b="0"/>
            <wp:docPr id="45" name="Picture 45" descr="Figure 17: Study M18-891 Proportion of subjects achieving an EASI 75 response at Week 16 by subgroup in the upadacitinib 15 mg group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17: Study M18-891 Proportion of subjects achieving an EASI 75 response at Week 16 by subgroup in the upadacitinib 15 mg group (NRI-C, main ITT population)"/>
                    <pic:cNvPicPr>
                      <a:picLocks noChangeAspect="1" noChangeArrowheads="1"/>
                    </pic:cNvPicPr>
                  </pic:nvPicPr>
                  <pic:blipFill rotWithShape="1">
                    <a:blip r:embed="rId45">
                      <a:extLst>
                        <a:ext uri="{28A0092B-C50C-407E-A947-70E740481C1C}">
                          <a14:useLocalDpi xmlns:a14="http://schemas.microsoft.com/office/drawing/2010/main" val="0"/>
                        </a:ext>
                      </a:extLst>
                    </a:blip>
                    <a:srcRect t="10547" b="22482"/>
                    <a:stretch/>
                  </pic:blipFill>
                  <pic:spPr bwMode="auto">
                    <a:xfrm>
                      <a:off x="0" y="0"/>
                      <a:ext cx="5520571" cy="2493036"/>
                    </a:xfrm>
                    <a:prstGeom prst="rect">
                      <a:avLst/>
                    </a:prstGeom>
                    <a:noFill/>
                    <a:ln>
                      <a:noFill/>
                    </a:ln>
                    <a:extLst>
                      <a:ext uri="{53640926-AAD7-44D8-BBD7-CCE9431645EC}">
                        <a14:shadowObscured xmlns:a14="http://schemas.microsoft.com/office/drawing/2010/main"/>
                      </a:ext>
                    </a:extLst>
                  </pic:spPr>
                </pic:pic>
              </a:graphicData>
            </a:graphic>
          </wp:inline>
        </w:drawing>
      </w:r>
    </w:p>
    <w:p w14:paraId="2B3E28FB" w14:textId="18323BED" w:rsidR="000F4AE2" w:rsidRPr="000F4AE2" w:rsidRDefault="000F4AE2" w:rsidP="00443F4C">
      <w:pPr>
        <w:pStyle w:val="FigureDescription"/>
      </w:pPr>
      <w:r>
        <w:t>Abbreviations: CI = confidence intervals; EASI 75 = Eczema Area and Severity Index 75 response; ITT = intention to treat; NRI</w:t>
      </w:r>
      <w:r>
        <w:noBreakHyphen/>
        <w:t>C = Nonresponder Imputation incorporating Multiple Imputation (MI) to handle missing data due to COVID-19; QD = once daily; UPA = upadacitinib.</w:t>
      </w:r>
    </w:p>
    <w:p w14:paraId="439D5AC3" w14:textId="28F9CE5B" w:rsidR="00325203" w:rsidRDefault="00325203" w:rsidP="00325203">
      <w:pPr>
        <w:pStyle w:val="FigureTitle"/>
      </w:pPr>
      <w:r>
        <w:lastRenderedPageBreak/>
        <w:t xml:space="preserve">Figure </w:t>
      </w:r>
      <w:fldSimple w:instr=" SEQ Figure \* ARABIC ">
        <w:r w:rsidR="00B51532">
          <w:rPr>
            <w:noProof/>
          </w:rPr>
          <w:t>18</w:t>
        </w:r>
      </w:fldSimple>
      <w:r>
        <w:t xml:space="preserve">: </w:t>
      </w:r>
      <w:r>
        <w:rPr>
          <w:lang w:val="en-US"/>
        </w:rPr>
        <w:t>Study M18-891 Proportion of subjects achieving VIGA-AD of 0 or 1 with at least 2 grades of reduction from Baseline in u</w:t>
      </w:r>
      <w:r w:rsidR="000F4AE2">
        <w:rPr>
          <w:lang w:val="en-US"/>
        </w:rPr>
        <w:t>padacitinib 30 mg group (NRI-C, main ITT population</w:t>
      </w:r>
      <w:r>
        <w:rPr>
          <w:lang w:val="en-US"/>
        </w:rPr>
        <w:t xml:space="preserve"> population)</w:t>
      </w:r>
    </w:p>
    <w:p w14:paraId="39EC835D" w14:textId="1961ADAB" w:rsidR="00E62B8D" w:rsidRDefault="00E62B8D" w:rsidP="00325203">
      <w:pPr>
        <w:rPr>
          <w:lang w:val="en-US"/>
        </w:rPr>
      </w:pPr>
      <w:r w:rsidRPr="00325203">
        <w:rPr>
          <w:noProof/>
          <w:lang w:val="en-GB" w:eastAsia="en-GB"/>
        </w:rPr>
        <w:drawing>
          <wp:inline distT="0" distB="0" distL="0" distR="0" wp14:anchorId="60365848" wp14:editId="15E681E5">
            <wp:extent cx="5657553" cy="2998381"/>
            <wp:effectExtent l="0" t="0" r="635" b="0"/>
            <wp:docPr id="47" name="Picture 47" descr="Study M18-891 Proportion of subjects achieving VIGA-AD of 0 or 1 with at least 2 grades of reduction from Baseline in upadacitinib 30 mg group (NRI-C, main ITT population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tudy M18-891 Proportion of subjects achieving VIGA-AD of 0 or 1 with at least 2 grades of reduction from Baseline in upadacitinib 30 mg group (NRI-C, main ITT population population)"/>
                    <pic:cNvPicPr>
                      <a:picLocks noChangeAspect="1" noChangeArrowheads="1"/>
                    </pic:cNvPicPr>
                  </pic:nvPicPr>
                  <pic:blipFill rotWithShape="1">
                    <a:blip r:embed="rId46">
                      <a:extLst>
                        <a:ext uri="{28A0092B-C50C-407E-A947-70E740481C1C}">
                          <a14:useLocalDpi xmlns:a14="http://schemas.microsoft.com/office/drawing/2010/main" val="0"/>
                        </a:ext>
                      </a:extLst>
                    </a:blip>
                    <a:srcRect l="5902" t="15794"/>
                    <a:stretch/>
                  </pic:blipFill>
                  <pic:spPr bwMode="auto">
                    <a:xfrm>
                      <a:off x="0" y="0"/>
                      <a:ext cx="5699962" cy="3020857"/>
                    </a:xfrm>
                    <a:prstGeom prst="rect">
                      <a:avLst/>
                    </a:prstGeom>
                    <a:noFill/>
                    <a:ln>
                      <a:noFill/>
                    </a:ln>
                    <a:extLst>
                      <a:ext uri="{53640926-AAD7-44D8-BBD7-CCE9431645EC}">
                        <a14:shadowObscured xmlns:a14="http://schemas.microsoft.com/office/drawing/2010/main"/>
                      </a:ext>
                    </a:extLst>
                  </pic:spPr>
                </pic:pic>
              </a:graphicData>
            </a:graphic>
          </wp:inline>
        </w:drawing>
      </w:r>
    </w:p>
    <w:p w14:paraId="53503151" w14:textId="4258F952" w:rsidR="000F4AE2" w:rsidRPr="000F4AE2" w:rsidRDefault="000F4AE2" w:rsidP="00443F4C">
      <w:pPr>
        <w:pStyle w:val="FigureDescription"/>
      </w:pPr>
      <w:r>
        <w:t>Abbreviations: CI = confidence intervals; ITT = intention to treat; NRI</w:t>
      </w:r>
      <w:r>
        <w:noBreakHyphen/>
        <w:t>C = Nonresponder Imputation incorporating Multiple Imputation (MI) to handle missing data due to COVID-19; QD = once daily; UPA = upadacitinib; vIGA-AD = validated investigator’s global assessment.</w:t>
      </w:r>
    </w:p>
    <w:p w14:paraId="29D143BA" w14:textId="688B01E8" w:rsidR="00C335ED" w:rsidRDefault="00C335ED" w:rsidP="00C335ED">
      <w:pPr>
        <w:pStyle w:val="FigureTitle"/>
      </w:pPr>
      <w:r>
        <w:t xml:space="preserve">Figure </w:t>
      </w:r>
      <w:fldSimple w:instr=" SEQ Figure \* ARABIC ">
        <w:r w:rsidR="00B51532">
          <w:rPr>
            <w:noProof/>
          </w:rPr>
          <w:t>19</w:t>
        </w:r>
      </w:fldSimple>
      <w:r>
        <w:t xml:space="preserve">: </w:t>
      </w:r>
      <w:r w:rsidRPr="009C68C2">
        <w:t xml:space="preserve">Study M18-891 Proportion of subjects achieving VIGA-AD of 0 or 1 with at least 2 grades of reduction </w:t>
      </w:r>
      <w:r>
        <w:t>from Baseline in upadacitinib 15</w:t>
      </w:r>
      <w:r w:rsidRPr="009C68C2">
        <w:t xml:space="preserve"> mg group (NRI-C, </w:t>
      </w:r>
      <w:r w:rsidR="006914BF">
        <w:t xml:space="preserve">main ITT </w:t>
      </w:r>
      <w:r w:rsidRPr="009C68C2">
        <w:t>population)</w:t>
      </w:r>
    </w:p>
    <w:p w14:paraId="41786977" w14:textId="140412BB" w:rsidR="00E62B8D" w:rsidRDefault="00E62B8D" w:rsidP="00C335ED">
      <w:pPr>
        <w:rPr>
          <w:lang w:val="en-US"/>
        </w:rPr>
      </w:pPr>
      <w:r w:rsidRPr="00C335ED">
        <w:rPr>
          <w:noProof/>
          <w:lang w:val="en-GB" w:eastAsia="en-GB"/>
        </w:rPr>
        <w:drawing>
          <wp:inline distT="0" distB="0" distL="0" distR="0" wp14:anchorId="46E07455" wp14:editId="265CE215">
            <wp:extent cx="5237019" cy="2508885"/>
            <wp:effectExtent l="0" t="0" r="1905" b="5715"/>
            <wp:docPr id="301" name="Picture 301" descr="Study M18-891 Proportion of subjects achieving VIGA-AD of 0 or 1 with at least 2 grades of reduction from Baseline in upadacitinib 15 mg group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Study M18-891 Proportion of subjects achieving VIGA-AD of 0 or 1 with at least 2 grades of reduction from Baseline in upadacitinib 15 mg group (NRI-C, main ITT population)"/>
                    <pic:cNvPicPr>
                      <a:picLocks noChangeAspect="1" noChangeArrowheads="1"/>
                    </pic:cNvPicPr>
                  </pic:nvPicPr>
                  <pic:blipFill rotWithShape="1">
                    <a:blip r:embed="rId47">
                      <a:extLst>
                        <a:ext uri="{28A0092B-C50C-407E-A947-70E740481C1C}">
                          <a14:useLocalDpi xmlns:a14="http://schemas.microsoft.com/office/drawing/2010/main" val="0"/>
                        </a:ext>
                      </a:extLst>
                    </a:blip>
                    <a:srcRect l="5014" t="12107" b="20632"/>
                    <a:stretch/>
                  </pic:blipFill>
                  <pic:spPr bwMode="auto">
                    <a:xfrm>
                      <a:off x="0" y="0"/>
                      <a:ext cx="5269148" cy="2524277"/>
                    </a:xfrm>
                    <a:prstGeom prst="rect">
                      <a:avLst/>
                    </a:prstGeom>
                    <a:noFill/>
                    <a:ln>
                      <a:noFill/>
                    </a:ln>
                    <a:extLst>
                      <a:ext uri="{53640926-AAD7-44D8-BBD7-CCE9431645EC}">
                        <a14:shadowObscured xmlns:a14="http://schemas.microsoft.com/office/drawing/2010/main"/>
                      </a:ext>
                    </a:extLst>
                  </pic:spPr>
                </pic:pic>
              </a:graphicData>
            </a:graphic>
          </wp:inline>
        </w:drawing>
      </w:r>
    </w:p>
    <w:p w14:paraId="7B4F3AF0" w14:textId="047D3F79" w:rsidR="000F4AE2" w:rsidRPr="000F4AE2" w:rsidRDefault="000F4AE2" w:rsidP="00443F4C">
      <w:pPr>
        <w:pStyle w:val="FigureDescription"/>
      </w:pPr>
      <w:r>
        <w:t>Abbreviations: CI = confidence intervals; ITT = intention to treat; NRI</w:t>
      </w:r>
      <w:r>
        <w:noBreakHyphen/>
        <w:t>C = Nonresponder Imputation incorporating Multiple Imputation (MI) to handle missing data due to COVID-19; QD = once daily; UPA = upadacitinib; vIGA-AD = validated investigator’s global assessment.</w:t>
      </w:r>
    </w:p>
    <w:p w14:paraId="0CA5C018" w14:textId="2ACE7A27" w:rsidR="00E62B8D" w:rsidRPr="00C335ED" w:rsidRDefault="00B933FF" w:rsidP="00C335ED">
      <w:r>
        <w:t>T</w:t>
      </w:r>
      <w:r w:rsidR="00E62B8D" w:rsidRPr="00C335ED">
        <w:t>he onset of action was rapid with statistically significant improvement in EASI 75</w:t>
      </w:r>
      <w:r w:rsidR="00B51532">
        <w:t xml:space="preserve"> </w:t>
      </w:r>
      <w:r>
        <w:t>observed from W</w:t>
      </w:r>
      <w:r w:rsidR="00E62B8D" w:rsidRPr="00C335ED">
        <w:t xml:space="preserve">eek 2 onwards and was maintained </w:t>
      </w:r>
      <w:r>
        <w:t>un</w:t>
      </w:r>
      <w:r w:rsidR="00E62B8D" w:rsidRPr="00C335ED">
        <w:t>t</w:t>
      </w:r>
      <w:r>
        <w:t xml:space="preserve">il Week 16, as </w:t>
      </w:r>
      <w:r w:rsidR="006914BF">
        <w:t xml:space="preserve">shown in </w:t>
      </w:r>
      <w:r w:rsidR="006914BF">
        <w:fldChar w:fldCharType="begin"/>
      </w:r>
      <w:r w:rsidR="006914BF">
        <w:instrText xml:space="preserve"> REF _Ref126047752 \h </w:instrText>
      </w:r>
      <w:r w:rsidR="006914BF">
        <w:fldChar w:fldCharType="separate"/>
      </w:r>
      <w:r w:rsidR="00B51532">
        <w:t xml:space="preserve">Figure </w:t>
      </w:r>
      <w:r w:rsidR="00B51532">
        <w:rPr>
          <w:noProof/>
        </w:rPr>
        <w:t>20</w:t>
      </w:r>
      <w:r w:rsidR="006914BF">
        <w:fldChar w:fldCharType="end"/>
      </w:r>
      <w:r w:rsidR="006914BF">
        <w:t>, below.</w:t>
      </w:r>
    </w:p>
    <w:p w14:paraId="6E9A55A1" w14:textId="4FC57BA6" w:rsidR="00B933FF" w:rsidRDefault="00B933FF" w:rsidP="00B933FF">
      <w:pPr>
        <w:pStyle w:val="FigureTitle"/>
      </w:pPr>
      <w:bookmarkStart w:id="123" w:name="_Ref126047752"/>
      <w:r>
        <w:lastRenderedPageBreak/>
        <w:t xml:space="preserve">Figure </w:t>
      </w:r>
      <w:fldSimple w:instr=" SEQ Figure \* ARABIC ">
        <w:r w:rsidR="00B51532">
          <w:rPr>
            <w:noProof/>
          </w:rPr>
          <w:t>20</w:t>
        </w:r>
      </w:fldSimple>
      <w:bookmarkEnd w:id="123"/>
      <w:r>
        <w:t xml:space="preserve">: </w:t>
      </w:r>
      <w:r>
        <w:rPr>
          <w:lang w:val="en-US"/>
        </w:rPr>
        <w:t>Study M18-891</w:t>
      </w:r>
      <w:r w:rsidR="006914BF">
        <w:rPr>
          <w:lang w:val="en-US"/>
        </w:rPr>
        <w:t xml:space="preserve"> Proportion of subjects reporting an EASI 75 response from Baseline to Week 16 (NRI-C; main ITT population)</w:t>
      </w:r>
    </w:p>
    <w:p w14:paraId="4DC70A19" w14:textId="77D42B07" w:rsidR="00E62B8D" w:rsidRDefault="00E62B8D" w:rsidP="00B933FF">
      <w:pPr>
        <w:rPr>
          <w:lang w:eastAsia="ja-JP"/>
        </w:rPr>
      </w:pPr>
      <w:r w:rsidRPr="00B933FF">
        <w:rPr>
          <w:noProof/>
          <w:lang w:val="en-GB" w:eastAsia="en-GB"/>
        </w:rPr>
        <w:drawing>
          <wp:inline distT="0" distB="0" distL="0" distR="0" wp14:anchorId="2A90B43F" wp14:editId="04686B30">
            <wp:extent cx="5592725" cy="3058160"/>
            <wp:effectExtent l="0" t="0" r="8255" b="8890"/>
            <wp:docPr id="102" name="Picture 102" descr="Study M18-891 Proportion of subjects reporting an EASI 75 response from Baseline to Week 16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Study M18-891 Proportion of subjects reporting an EASI 75 response from Baseline to Week 16 (NRI-C; main ITT population)"/>
                    <pic:cNvPicPr>
                      <a:picLocks noChangeAspect="1" noChangeArrowheads="1"/>
                    </pic:cNvPicPr>
                  </pic:nvPicPr>
                  <pic:blipFill rotWithShape="1">
                    <a:blip r:embed="rId48">
                      <a:extLst>
                        <a:ext uri="{28A0092B-C50C-407E-A947-70E740481C1C}">
                          <a14:useLocalDpi xmlns:a14="http://schemas.microsoft.com/office/drawing/2010/main" val="0"/>
                        </a:ext>
                      </a:extLst>
                    </a:blip>
                    <a:srcRect l="8111" r="1760"/>
                    <a:stretch/>
                  </pic:blipFill>
                  <pic:spPr bwMode="auto">
                    <a:xfrm>
                      <a:off x="0" y="0"/>
                      <a:ext cx="5657841" cy="3093766"/>
                    </a:xfrm>
                    <a:prstGeom prst="rect">
                      <a:avLst/>
                    </a:prstGeom>
                    <a:noFill/>
                    <a:ln>
                      <a:noFill/>
                    </a:ln>
                    <a:extLst>
                      <a:ext uri="{53640926-AAD7-44D8-BBD7-CCE9431645EC}">
                        <a14:shadowObscured xmlns:a14="http://schemas.microsoft.com/office/drawing/2010/main"/>
                      </a:ext>
                    </a:extLst>
                  </pic:spPr>
                </pic:pic>
              </a:graphicData>
            </a:graphic>
          </wp:inline>
        </w:drawing>
      </w:r>
    </w:p>
    <w:p w14:paraId="2183A24E" w14:textId="31D38F6F" w:rsidR="006914BF" w:rsidRPr="001A4B9C" w:rsidRDefault="006914BF" w:rsidP="00443F4C">
      <w:pPr>
        <w:pStyle w:val="FigureDescription"/>
      </w:pPr>
      <w:r>
        <w:t>Abbreviations: CI = confidence intervals; EASI 75 = Eczema Area and Severity Index 75 response; ITT = intention to treat; NRI</w:t>
      </w:r>
      <w:r>
        <w:noBreakHyphen/>
        <w:t>C = Nonresponder Imputation incorporating Multiple Imputation (MI) to handle missing data due to COVID-19; QD = once daily; UPA = upadacitinib.</w:t>
      </w:r>
    </w:p>
    <w:p w14:paraId="4B65D330" w14:textId="79B1691A" w:rsidR="00E62B8D" w:rsidRDefault="00E62B8D" w:rsidP="00B933FF">
      <w:r w:rsidRPr="00B933FF">
        <w:t>Similar results were observed for vIGA-AD of 0 or 1 with at least 2 Grades of r</w:t>
      </w:r>
      <w:r w:rsidR="00B933FF">
        <w:t>eduction</w:t>
      </w:r>
      <w:r w:rsidR="00B51532">
        <w:t xml:space="preserve"> </w:t>
      </w:r>
      <w:r w:rsidR="00B933FF">
        <w:t>from B</w:t>
      </w:r>
      <w:r w:rsidRPr="00B933FF">
        <w:t>a</w:t>
      </w:r>
      <w:r w:rsidR="00B933FF">
        <w:t xml:space="preserve">seline, </w:t>
      </w:r>
      <w:r w:rsidR="006914BF">
        <w:t xml:space="preserve">as shown in </w:t>
      </w:r>
      <w:r w:rsidR="006914BF">
        <w:fldChar w:fldCharType="begin"/>
      </w:r>
      <w:r w:rsidR="006914BF">
        <w:instrText xml:space="preserve"> REF _Ref126047763 \h </w:instrText>
      </w:r>
      <w:r w:rsidR="006914BF">
        <w:fldChar w:fldCharType="separate"/>
      </w:r>
      <w:r w:rsidR="00B51532">
        <w:t xml:space="preserve">Figure </w:t>
      </w:r>
      <w:r w:rsidR="00B51532">
        <w:rPr>
          <w:noProof/>
        </w:rPr>
        <w:t>21</w:t>
      </w:r>
      <w:r w:rsidR="006914BF">
        <w:fldChar w:fldCharType="end"/>
      </w:r>
      <w:r w:rsidR="006914BF">
        <w:t>, below.</w:t>
      </w:r>
    </w:p>
    <w:p w14:paraId="76F903EE" w14:textId="1E1DAA13" w:rsidR="00B933FF" w:rsidRDefault="00B933FF" w:rsidP="00B933FF">
      <w:pPr>
        <w:pStyle w:val="FigureTitle"/>
      </w:pPr>
      <w:bookmarkStart w:id="124" w:name="_Ref126047763"/>
      <w:r>
        <w:t xml:space="preserve">Figure </w:t>
      </w:r>
      <w:fldSimple w:instr=" SEQ Figure \* ARABIC ">
        <w:r w:rsidR="00B51532">
          <w:rPr>
            <w:noProof/>
          </w:rPr>
          <w:t>21</w:t>
        </w:r>
      </w:fldSimple>
      <w:bookmarkEnd w:id="124"/>
      <w:r>
        <w:t>:</w:t>
      </w:r>
      <w:r w:rsidR="006914BF">
        <w:t xml:space="preserve"> Study M18-891 Proportion of subjects with vIGA-AD scores of 0 or 1 with at least 2 Grades of reduction from Baseline by Week 16 (NRI-C, main ITT population)</w:t>
      </w:r>
    </w:p>
    <w:p w14:paraId="1C63A5EA" w14:textId="5676D8FF" w:rsidR="00E62B8D" w:rsidRDefault="00E62B8D" w:rsidP="00B933FF">
      <w:pPr>
        <w:rPr>
          <w:lang w:eastAsia="ja-JP"/>
        </w:rPr>
      </w:pPr>
      <w:r w:rsidRPr="00B933FF">
        <w:rPr>
          <w:noProof/>
          <w:lang w:val="en-GB" w:eastAsia="en-GB"/>
        </w:rPr>
        <w:drawing>
          <wp:inline distT="0" distB="0" distL="0" distR="0" wp14:anchorId="4AFEA6ED" wp14:editId="6BAE501B">
            <wp:extent cx="5594071" cy="2775097"/>
            <wp:effectExtent l="0" t="0" r="6985" b="6350"/>
            <wp:docPr id="104" name="Picture 104" descr="Study M18-891 Proportion of subjects with vIGA-AD scores of 0 or 1 with at least 2 Grades of reduction from Baseline by Week 16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Study M18-891 Proportion of subjects with vIGA-AD scores of 0 or 1 with at least 2 Grades of reduction from Baseline by Week 16 (NRI-C, main ITT populati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42837" cy="2799289"/>
                    </a:xfrm>
                    <a:prstGeom prst="rect">
                      <a:avLst/>
                    </a:prstGeom>
                    <a:noFill/>
                    <a:ln>
                      <a:noFill/>
                    </a:ln>
                  </pic:spPr>
                </pic:pic>
              </a:graphicData>
            </a:graphic>
          </wp:inline>
        </w:drawing>
      </w:r>
    </w:p>
    <w:p w14:paraId="286F8495" w14:textId="157AC8DF" w:rsidR="006914BF" w:rsidRPr="00AA468B" w:rsidRDefault="006914BF" w:rsidP="00443F4C">
      <w:pPr>
        <w:pStyle w:val="FigureDescription"/>
      </w:pPr>
      <w:r>
        <w:t>Abbreviations: CI = confidence intervals; ITT = intention to treat; NRI</w:t>
      </w:r>
      <w:r>
        <w:noBreakHyphen/>
        <w:t>C = Nonresponder Imputation incorporating Multiple Imputation (MI) to handle missing data due to COVID-19; QD = once daily; UPA = upadacitinib; vIGA-AD = validated investigator’s global assessment.</w:t>
      </w:r>
    </w:p>
    <w:p w14:paraId="35E0D4CE" w14:textId="5A35FFF4" w:rsidR="00E62B8D" w:rsidRPr="00B933FF" w:rsidRDefault="00B933FF" w:rsidP="00B933FF">
      <w:pPr>
        <w:pStyle w:val="Heading6"/>
      </w:pPr>
      <w:r>
        <w:lastRenderedPageBreak/>
        <w:t>Key secondary endpoints</w:t>
      </w:r>
    </w:p>
    <w:p w14:paraId="65ED0552" w14:textId="21A67A52" w:rsidR="00E62B8D" w:rsidRPr="00B933FF" w:rsidRDefault="00B933FF" w:rsidP="00B933FF">
      <w:r>
        <w:rPr>
          <w:lang w:val="en-US"/>
        </w:rPr>
        <w:t xml:space="preserve">Study M18-891 </w:t>
      </w:r>
      <w:r w:rsidR="00E62B8D" w:rsidRPr="00B933FF">
        <w:t>de</w:t>
      </w:r>
      <w:r>
        <w:t>monstrated superiority of each u</w:t>
      </w:r>
      <w:r w:rsidR="00E62B8D" w:rsidRPr="00B933FF">
        <w:t>pa</w:t>
      </w:r>
      <w:r>
        <w:t xml:space="preserve">dacitinib dose versus placebo, with </w:t>
      </w:r>
      <w:r w:rsidR="00E62B8D" w:rsidRPr="00B933FF">
        <w:t xml:space="preserve">statistically significant and clinically relevant improvements in </w:t>
      </w:r>
      <w:r w:rsidR="006914BF">
        <w:t>atopic dermatitis</w:t>
      </w:r>
      <w:r w:rsidR="00E62B8D" w:rsidRPr="00B933FF">
        <w:t xml:space="preserve"> activity in the skin, pruritus,</w:t>
      </w:r>
      <w:r>
        <w:t xml:space="preserve"> and health-related quality of l</w:t>
      </w:r>
      <w:r w:rsidR="006914BF">
        <w:t>ife.</w:t>
      </w:r>
    </w:p>
    <w:p w14:paraId="0B9CF6C3" w14:textId="1F0B6F57" w:rsidR="00E62B8D" w:rsidRPr="00B933FF" w:rsidRDefault="006914BF" w:rsidP="00B933FF">
      <w:r>
        <w:t>U</w:t>
      </w:r>
      <w:r w:rsidR="00782F8C">
        <w:t>padacitinib</w:t>
      </w:r>
      <w:r w:rsidR="00E62B8D" w:rsidRPr="00B933FF">
        <w:t xml:space="preserve"> 30 mg showed numerically better results for the improvement </w:t>
      </w:r>
      <w:r w:rsidR="00B933FF">
        <w:t>for</w:t>
      </w:r>
      <w:r w:rsidR="00E62B8D" w:rsidRPr="00B933FF">
        <w:t xml:space="preserve"> most of the secondary</w:t>
      </w:r>
      <w:r w:rsidR="00B933FF">
        <w:t>/other efficacy end</w:t>
      </w:r>
      <w:bookmarkStart w:id="125" w:name="_Toc72321323"/>
      <w:r>
        <w:t>points than upadacitinib 15 mg, as shown in the table below.</w:t>
      </w:r>
    </w:p>
    <w:bookmarkEnd w:id="125"/>
    <w:p w14:paraId="080085B4" w14:textId="11D885D5" w:rsidR="00B933FF" w:rsidRDefault="00B933FF" w:rsidP="00B933FF">
      <w:pPr>
        <w:pStyle w:val="Tabletitle0"/>
      </w:pPr>
      <w:r>
        <w:t xml:space="preserve">Table </w:t>
      </w:r>
      <w:fldSimple w:instr=" SEQ Table \* ARABIC ">
        <w:r w:rsidR="00B51532">
          <w:rPr>
            <w:noProof/>
          </w:rPr>
          <w:t>29</w:t>
        </w:r>
      </w:fldSimple>
      <w:r>
        <w:t xml:space="preserve">: </w:t>
      </w:r>
      <w:r>
        <w:rPr>
          <w:lang w:val="en-US"/>
        </w:rPr>
        <w:t xml:space="preserve">Study M18-891 </w:t>
      </w:r>
      <w:r>
        <w:t xml:space="preserve">Key secondary endpoint results (US FDA- and EMA-agreed efficacy outcomes; </w:t>
      </w:r>
      <w:r w:rsidR="006914BF">
        <w:t xml:space="preserve">main ITT </w:t>
      </w:r>
      <w:r>
        <w:t>population)</w:t>
      </w:r>
    </w:p>
    <w:p w14:paraId="1CCDE978" w14:textId="77777777" w:rsidR="00E62B8D" w:rsidRDefault="00E62B8D" w:rsidP="00B933FF">
      <w:pPr>
        <w:rPr>
          <w:lang w:eastAsia="ja-JP"/>
        </w:rPr>
      </w:pPr>
      <w:r w:rsidRPr="00B933FF">
        <w:rPr>
          <w:noProof/>
          <w:lang w:val="en-GB" w:eastAsia="en-GB"/>
        </w:rPr>
        <w:drawing>
          <wp:inline distT="0" distB="0" distL="0" distR="0" wp14:anchorId="67D2338E" wp14:editId="59995992">
            <wp:extent cx="5731510" cy="3009189"/>
            <wp:effectExtent l="0" t="0" r="2540" b="1270"/>
            <wp:docPr id="60" name="Picture 60" descr="Study M18-891 Key secondary endpoint results (US FDA- and EMA-agreed efficacy outcomes; main ITT population)" title="Study M18-891 Key secondary endpoint results (US FDA- and EMA-agreed efficacy outcomes;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3009189"/>
                    </a:xfrm>
                    <a:prstGeom prst="rect">
                      <a:avLst/>
                    </a:prstGeom>
                    <a:noFill/>
                    <a:ln>
                      <a:noFill/>
                    </a:ln>
                  </pic:spPr>
                </pic:pic>
              </a:graphicData>
            </a:graphic>
          </wp:inline>
        </w:drawing>
      </w:r>
      <w:r w:rsidRPr="00AA468B">
        <w:rPr>
          <w:noProof/>
          <w:lang w:val="en-GB" w:eastAsia="en-GB"/>
        </w:rPr>
        <w:drawing>
          <wp:inline distT="0" distB="0" distL="0" distR="0" wp14:anchorId="48CF471F" wp14:editId="197E5579">
            <wp:extent cx="5731510" cy="2458062"/>
            <wp:effectExtent l="0" t="0" r="2540" b="0"/>
            <wp:docPr id="61" name="Picture 61" descr="Study M18-891 Key secondary endpoint results (US FDA- and EMA-agreed efficacy outcomes;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tudy M18-891 Key secondary endpoint results (US FDA- and EMA-agreed efficacy outcomes; main ITT populati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2458062"/>
                    </a:xfrm>
                    <a:prstGeom prst="rect">
                      <a:avLst/>
                    </a:prstGeom>
                    <a:noFill/>
                    <a:ln>
                      <a:noFill/>
                    </a:ln>
                  </pic:spPr>
                </pic:pic>
              </a:graphicData>
            </a:graphic>
          </wp:inline>
        </w:drawing>
      </w:r>
    </w:p>
    <w:p w14:paraId="22824FE0" w14:textId="77777777" w:rsidR="00E62B8D" w:rsidRPr="00AA468B" w:rsidRDefault="00E62B8D" w:rsidP="00E62B8D">
      <w:pPr>
        <w:spacing w:line="240" w:lineRule="auto"/>
        <w:rPr>
          <w:lang w:eastAsia="ja-JP"/>
        </w:rPr>
      </w:pPr>
      <w:r w:rsidRPr="00AA468B">
        <w:rPr>
          <w:noProof/>
          <w:lang w:val="en-GB" w:eastAsia="en-GB"/>
        </w:rPr>
        <w:drawing>
          <wp:inline distT="0" distB="0" distL="0" distR="0" wp14:anchorId="35B46A81" wp14:editId="3DBDE80A">
            <wp:extent cx="5731510" cy="1353673"/>
            <wp:effectExtent l="0" t="0" r="2540" b="0"/>
            <wp:docPr id="62" name="Picture 62" descr="Study M18-891 Key secondary endpoint results (US FDA- and EMA-agreed efficacy outcomes;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tudy M18-891 Key secondary endpoint results (US FDA- and EMA-agreed efficacy outcomes; main ITT population)"/>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5731510" cy="1353673"/>
                    </a:xfrm>
                    <a:prstGeom prst="rect">
                      <a:avLst/>
                    </a:prstGeom>
                    <a:noFill/>
                    <a:ln>
                      <a:noFill/>
                    </a:ln>
                  </pic:spPr>
                </pic:pic>
              </a:graphicData>
            </a:graphic>
          </wp:inline>
        </w:drawing>
      </w:r>
    </w:p>
    <w:p w14:paraId="04A1F29B" w14:textId="43C163EE" w:rsidR="00E62B8D" w:rsidRPr="00B933FF" w:rsidRDefault="006914BF" w:rsidP="00B933FF">
      <w:r>
        <w:lastRenderedPageBreak/>
        <w:t>U</w:t>
      </w:r>
      <w:r w:rsidR="00782F8C">
        <w:t>padacitinib</w:t>
      </w:r>
      <w:r w:rsidR="00E62B8D" w:rsidRPr="00B933FF">
        <w:t xml:space="preserve"> 30</w:t>
      </w:r>
      <w:r w:rsidR="00B933FF">
        <w:t xml:space="preserve"> </w:t>
      </w:r>
      <w:r w:rsidR="00E62B8D" w:rsidRPr="00B933FF">
        <w:t>mg and 15</w:t>
      </w:r>
      <w:r w:rsidR="00B933FF">
        <w:t xml:space="preserve"> </w:t>
      </w:r>
      <w:r w:rsidR="00E62B8D" w:rsidRPr="00B933FF">
        <w:t>mg showed statistically significant improvements over placebo for all secondary endpoints of skin</w:t>
      </w:r>
      <w:r w:rsidR="00B933FF">
        <w:t xml:space="preserve"> clearance and disease activity.</w:t>
      </w:r>
    </w:p>
    <w:p w14:paraId="0AF8258F" w14:textId="0A4C172D" w:rsidR="00E62B8D" w:rsidRPr="00B933FF" w:rsidRDefault="00E62B8D" w:rsidP="00B933FF">
      <w:r w:rsidRPr="00B933FF">
        <w:t>The proportion of subjects who achieved SCORAD 50/75/90 continued to increase from Week 2 to Week 16 in subjects on</w:t>
      </w:r>
      <w:r w:rsidR="005D7175">
        <w:t xml:space="preserve"> upadacitinib</w:t>
      </w:r>
      <w:r w:rsidRPr="00B933FF">
        <w:t xml:space="preserve"> 30 mg and 15 mg compared to placebo. This pattern was consistent with the percent change improvements in SCORAD and its individual components (Objective SCORAD,</w:t>
      </w:r>
      <w:r w:rsidR="00B933FF">
        <w:t xml:space="preserve"> SCORAD Itch, and SCORAD Sleep).</w:t>
      </w:r>
      <w:r w:rsidR="006914BF">
        <w:t xml:space="preserve"> See Section: </w:t>
      </w:r>
      <w:r w:rsidR="006914BF" w:rsidRPr="006914BF">
        <w:rPr>
          <w:i/>
        </w:rPr>
        <w:fldChar w:fldCharType="begin"/>
      </w:r>
      <w:r w:rsidR="006914BF" w:rsidRPr="006914BF">
        <w:rPr>
          <w:i/>
        </w:rPr>
        <w:instrText xml:space="preserve"> REF _Ref126046677 \h </w:instrText>
      </w:r>
      <w:r w:rsidR="006914BF">
        <w:rPr>
          <w:i/>
        </w:rPr>
        <w:instrText xml:space="preserve"> \* MERGEFORMAT </w:instrText>
      </w:r>
      <w:r w:rsidR="006914BF" w:rsidRPr="006914BF">
        <w:rPr>
          <w:i/>
        </w:rPr>
      </w:r>
      <w:r w:rsidR="006914BF" w:rsidRPr="006914BF">
        <w:rPr>
          <w:i/>
        </w:rPr>
        <w:fldChar w:fldCharType="separate"/>
      </w:r>
      <w:r w:rsidR="00B51532" w:rsidRPr="00B51532">
        <w:rPr>
          <w:i/>
        </w:rPr>
        <w:t>Scoring Atopic Dermatitis (SCORAD)</w:t>
      </w:r>
      <w:r w:rsidR="006914BF" w:rsidRPr="006914BF">
        <w:rPr>
          <w:i/>
        </w:rPr>
        <w:fldChar w:fldCharType="end"/>
      </w:r>
      <w:r w:rsidR="006914BF">
        <w:t xml:space="preserve"> for further details on this score.</w:t>
      </w:r>
    </w:p>
    <w:p w14:paraId="6CC5A48E" w14:textId="4CD8E0D1" w:rsidR="00E62B8D" w:rsidRPr="00B933FF" w:rsidRDefault="00E62B8D" w:rsidP="00B933FF">
      <w:r w:rsidRPr="00B933FF">
        <w:t xml:space="preserve">The </w:t>
      </w:r>
      <w:r w:rsidR="00B933FF">
        <w:t>body surface area</w:t>
      </w:r>
      <w:r w:rsidRPr="00B933FF">
        <w:t xml:space="preserve"> affected by </w:t>
      </w:r>
      <w:r w:rsidR="006914BF">
        <w:t>atopic dermatitis</w:t>
      </w:r>
      <w:r w:rsidRPr="00B933FF">
        <w:t xml:space="preserve"> showed signific</w:t>
      </w:r>
      <w:r w:rsidR="00B933FF">
        <w:t>antly greater reduction in the u</w:t>
      </w:r>
      <w:r w:rsidRPr="00B933FF">
        <w:t>padacitin</w:t>
      </w:r>
      <w:r w:rsidR="006914BF">
        <w:t>ib groups compared with placebo.</w:t>
      </w:r>
    </w:p>
    <w:p w14:paraId="7546D1F8" w14:textId="63A9202B" w:rsidR="00E62B8D" w:rsidRPr="00B933FF" w:rsidRDefault="006914BF" w:rsidP="00B933FF">
      <w:r>
        <w:t>U</w:t>
      </w:r>
      <w:r w:rsidR="00782F8C">
        <w:t>padacitinib</w:t>
      </w:r>
      <w:r w:rsidR="00E62B8D" w:rsidRPr="00B933FF">
        <w:t xml:space="preserve"> 30 mg and 15 mg demonstrated superiority in all secondary endpoints of itch reduction, including improvement (reduction) in Worst Pruritus NRS ≥ 4 at Day 2, Day 3, Week 1, Week 4, and Week 16</w:t>
      </w:r>
      <w:r w:rsidR="00B933FF" w:rsidRPr="00B933FF">
        <w:t xml:space="preserve"> and percent chan</w:t>
      </w:r>
      <w:r w:rsidR="00B933FF">
        <w:t>ge in Worst Pruritus at Week 16.</w:t>
      </w:r>
    </w:p>
    <w:p w14:paraId="31FE1FF3" w14:textId="7C78589A" w:rsidR="00B933FF" w:rsidRDefault="00B933FF" w:rsidP="00B933FF">
      <w:pPr>
        <w:pStyle w:val="FigureTitle"/>
      </w:pPr>
      <w:r>
        <w:t xml:space="preserve">Figure </w:t>
      </w:r>
      <w:fldSimple w:instr=" SEQ Figure \* ARABIC ">
        <w:r w:rsidR="00B51532">
          <w:rPr>
            <w:noProof/>
          </w:rPr>
          <w:t>22</w:t>
        </w:r>
      </w:fldSimple>
      <w:r>
        <w:t xml:space="preserve">: </w:t>
      </w:r>
      <w:r>
        <w:rPr>
          <w:lang w:val="en-US"/>
        </w:rPr>
        <w:t>Study M18-891</w:t>
      </w:r>
      <w:r w:rsidR="006914BF">
        <w:rPr>
          <w:lang w:val="en-US"/>
        </w:rPr>
        <w:t xml:space="preserve"> Proportion of subjects reporting an improvement (reduction) in Worst Pruritus NRS score of 4 or more from Baseline to Week 16 (NRI-C, main ITT population)</w:t>
      </w:r>
    </w:p>
    <w:p w14:paraId="6BB92BDA" w14:textId="37FA7002" w:rsidR="00E62B8D" w:rsidRDefault="00E62B8D" w:rsidP="00B933FF">
      <w:pPr>
        <w:rPr>
          <w:lang w:val="en-US"/>
        </w:rPr>
      </w:pPr>
      <w:r w:rsidRPr="00B933FF">
        <w:rPr>
          <w:noProof/>
          <w:lang w:val="en-GB" w:eastAsia="en-GB"/>
        </w:rPr>
        <w:drawing>
          <wp:inline distT="0" distB="0" distL="0" distR="0" wp14:anchorId="2EB86506" wp14:editId="62E262CF">
            <wp:extent cx="5777023" cy="2891848"/>
            <wp:effectExtent l="0" t="0" r="0" b="3810"/>
            <wp:docPr id="112" name="Picture 112" descr="Study M18-891 Proportion of subjects reporting an improvement (reduction) in Worst Pruritus NRS score of 4 or more from Baseline to Week 16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Study M18-891 Proportion of subjects reporting an improvement (reduction) in Worst Pruritus NRS score of 4 or more from Baseline to Week 16 (NRI-C, main ITT populati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88241" cy="2947521"/>
                    </a:xfrm>
                    <a:prstGeom prst="rect">
                      <a:avLst/>
                    </a:prstGeom>
                    <a:noFill/>
                    <a:ln>
                      <a:noFill/>
                    </a:ln>
                  </pic:spPr>
                </pic:pic>
              </a:graphicData>
            </a:graphic>
          </wp:inline>
        </w:drawing>
      </w:r>
    </w:p>
    <w:p w14:paraId="1DA7DA2A" w14:textId="2D69D515" w:rsidR="006914BF" w:rsidRPr="006914BF" w:rsidRDefault="006914BF" w:rsidP="00443F4C">
      <w:pPr>
        <w:pStyle w:val="FigureDescription"/>
      </w:pPr>
      <w:r>
        <w:t>Abbreviations: CI = confidence intervals; ITT = intention to treat; NRI</w:t>
      </w:r>
      <w:r>
        <w:noBreakHyphen/>
        <w:t>C = Nonresponder Imputation incorporating Multiple Imputation (MI) to handle missing data due to COVID-19; NRS = numerical rating scale; QD = once daily; UPA = upadacitinib.</w:t>
      </w:r>
    </w:p>
    <w:p w14:paraId="4CB43C0C" w14:textId="184C64E4" w:rsidR="00B933FF" w:rsidRDefault="00B933FF" w:rsidP="00B933FF">
      <w:pPr>
        <w:pStyle w:val="FigureTitle"/>
      </w:pPr>
      <w:r>
        <w:lastRenderedPageBreak/>
        <w:t xml:space="preserve">Figure </w:t>
      </w:r>
      <w:fldSimple w:instr=" SEQ Figure \* ARABIC ">
        <w:r w:rsidR="00B51532">
          <w:rPr>
            <w:noProof/>
          </w:rPr>
          <w:t>23</w:t>
        </w:r>
      </w:fldSimple>
      <w:r>
        <w:t xml:space="preserve">: </w:t>
      </w:r>
      <w:r>
        <w:rPr>
          <w:lang w:val="en-US"/>
        </w:rPr>
        <w:t>Study M18-891</w:t>
      </w:r>
      <w:r w:rsidR="00836F7C">
        <w:rPr>
          <w:lang w:val="en-US"/>
        </w:rPr>
        <w:t xml:space="preserve"> Improvement (reduction) in Worst Pruritus NRS scores from Baseline to Week 16 (ITT population, NRI-C)</w:t>
      </w:r>
    </w:p>
    <w:p w14:paraId="1DA1DA8C" w14:textId="1D7B97E6" w:rsidR="00E62B8D" w:rsidRDefault="00E62B8D" w:rsidP="00B933FF">
      <w:pPr>
        <w:rPr>
          <w:lang w:val="en-US"/>
        </w:rPr>
      </w:pPr>
      <w:r w:rsidRPr="00B933FF">
        <w:rPr>
          <w:noProof/>
          <w:lang w:val="en-GB" w:eastAsia="en-GB"/>
        </w:rPr>
        <w:drawing>
          <wp:inline distT="0" distB="0" distL="0" distR="0" wp14:anchorId="21A32F81" wp14:editId="3412BA00">
            <wp:extent cx="5728682" cy="2619022"/>
            <wp:effectExtent l="0" t="0" r="5715" b="0"/>
            <wp:docPr id="114" name="Picture 114" descr="Study M18-891 Improvement (reduction) in Worst Pruritus NRS scores from Baseline to Week 16 (ITT population, N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Study M18-891 Improvement (reduction) in Worst Pruritus NRS scores from Baseline to Week 16 (ITT population, NRI-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7323" cy="2654975"/>
                    </a:xfrm>
                    <a:prstGeom prst="rect">
                      <a:avLst/>
                    </a:prstGeom>
                    <a:noFill/>
                    <a:ln>
                      <a:noFill/>
                    </a:ln>
                  </pic:spPr>
                </pic:pic>
              </a:graphicData>
            </a:graphic>
          </wp:inline>
        </w:drawing>
      </w:r>
    </w:p>
    <w:p w14:paraId="297F12C5" w14:textId="6BBEA5C2" w:rsidR="006914BF" w:rsidRPr="006914BF" w:rsidRDefault="006914BF" w:rsidP="00443F4C">
      <w:pPr>
        <w:pStyle w:val="FigureDescription"/>
      </w:pPr>
      <w:r>
        <w:t>Abbreviations: CI = confidence intervals; ITT = intention to treat; NRI</w:t>
      </w:r>
      <w:r>
        <w:noBreakHyphen/>
        <w:t>C = Nonresponder Imputation incorporating Multiple Imputation (MI) to handle missing data due to COVID-19; NRS = numerical rating scale; QD = once daily; UPA = upadacitinib.</w:t>
      </w:r>
    </w:p>
    <w:p w14:paraId="5F1EE74E" w14:textId="4D5B60A8" w:rsidR="00E62B8D" w:rsidRPr="00AD7682" w:rsidRDefault="00AD7682" w:rsidP="00AD7682">
      <w:r>
        <w:t>A</w:t>
      </w:r>
      <w:r w:rsidR="00E62B8D" w:rsidRPr="00AD7682">
        <w:t xml:space="preserve"> greater proportion of subjects reported a Worst Pruritus NRS score of 0 or 1 compared with placebo, as early as Week 1 through to Week 16 with consistent </w:t>
      </w:r>
      <w:r>
        <w:t>results observed in adolescents.</w:t>
      </w:r>
    </w:p>
    <w:p w14:paraId="70C0CB96" w14:textId="06CFC11A" w:rsidR="00E62B8D" w:rsidRPr="00AD7682" w:rsidRDefault="00AD7682" w:rsidP="00AD7682">
      <w:r>
        <w:t>Subjects on u</w:t>
      </w:r>
      <w:r w:rsidR="00E62B8D" w:rsidRPr="00AD7682">
        <w:t>padacitinib 30 mg and 15 mg achieved greater itch reduction as measured by the SCORAD itch assessment over</w:t>
      </w:r>
      <w:r>
        <w:t xml:space="preserve"> placebo at Week 2 and Week 16.</w:t>
      </w:r>
    </w:p>
    <w:p w14:paraId="0A62D613" w14:textId="4AD9BB9D" w:rsidR="00E62B8D" w:rsidRPr="00AD7682" w:rsidRDefault="00AD7682" w:rsidP="00AD7682">
      <w:r>
        <w:t>A</w:t>
      </w:r>
      <w:r w:rsidR="00E62B8D" w:rsidRPr="00AD7682">
        <w:t xml:space="preserve"> significantly greater proportion of subjects on</w:t>
      </w:r>
      <w:r w:rsidR="005D7175">
        <w:t xml:space="preserve"> upadacitinib</w:t>
      </w:r>
      <w:r w:rsidR="00E62B8D" w:rsidRPr="00AD7682">
        <w:t xml:space="preserve"> 30 mg and 15 mg achieved clinically meaningful reductions in symptoms of AD, demonstrated as improvement in POEM ≥ 4 at Week 16 (EMA only), improvement in ADerm-SS skin pain score ≥ 4 at Week 16, and improvement in ADerm-SS TSS-7 ≥ 28 at Week 1</w:t>
      </w:r>
      <w:r>
        <w:t>6.</w:t>
      </w:r>
    </w:p>
    <w:p w14:paraId="07E4DFA1" w14:textId="09841320" w:rsidR="00E62B8D" w:rsidRPr="00AD7682" w:rsidRDefault="00AD7682" w:rsidP="00AD7682">
      <w:r>
        <w:t>T</w:t>
      </w:r>
      <w:r w:rsidR="00E62B8D" w:rsidRPr="00AD7682">
        <w:t>he proportion of subjects on</w:t>
      </w:r>
      <w:r w:rsidR="005D7175">
        <w:t xml:space="preserve"> upadacitinib</w:t>
      </w:r>
      <w:r w:rsidR="00E62B8D" w:rsidRPr="00AD7682">
        <w:t xml:space="preserve"> 30 mg and 15 mg who achieved improvement (reduction) in ADerm-SS TSS-11 was greater than subjects on placebo</w:t>
      </w:r>
      <w:r w:rsidR="00B51532">
        <w:t xml:space="preserve"> </w:t>
      </w:r>
      <w:r w:rsidR="00E62B8D" w:rsidRPr="00AD7682">
        <w:t>and</w:t>
      </w:r>
      <w:r w:rsidR="00B51532">
        <w:t xml:space="preserve"> </w:t>
      </w:r>
      <w:r w:rsidR="00E62B8D" w:rsidRPr="00AD7682">
        <w:t>was consistent, with an improvement (reduction) in ADerm-SS TSS-7 in subjects on</w:t>
      </w:r>
      <w:r w:rsidR="005D7175">
        <w:t xml:space="preserve"> upadacitinib</w:t>
      </w:r>
      <w:r w:rsidR="00E62B8D" w:rsidRPr="00AD7682">
        <w:t xml:space="preserve"> 30 mg and 15 </w:t>
      </w:r>
      <w:r>
        <w:t>mg compared to placebo subjects.</w:t>
      </w:r>
    </w:p>
    <w:p w14:paraId="7CA1E33C" w14:textId="73C9873D" w:rsidR="00E62B8D" w:rsidRPr="00AD7682" w:rsidRDefault="00AD7682" w:rsidP="00AD7682">
      <w:r>
        <w:t>Subjects on u</w:t>
      </w:r>
      <w:r w:rsidR="00E62B8D" w:rsidRPr="00AD7682">
        <w:t>padacitinib 30 mg and 15 mg achieved a greater improvement (reduction) in skin pain compared to placebo subjects. In addition, subjects on upadacitinib 30 mg and 15 mg achieved a greater improvement (reduction) in POE</w:t>
      </w:r>
      <w:r>
        <w:t>M compared to placebo subjects.</w:t>
      </w:r>
    </w:p>
    <w:p w14:paraId="6FEC6FB7" w14:textId="162B13F6" w:rsidR="00E62B8D" w:rsidRPr="00AD7682" w:rsidRDefault="00AD7682" w:rsidP="00AD7682">
      <w:r>
        <w:t>Subjects on u</w:t>
      </w:r>
      <w:r w:rsidR="00E62B8D" w:rsidRPr="00AD7682">
        <w:t>padacitinib 30 mg and 15 mg achieved a greater improvement (reduction) in ADerm-IS sleep domain score compared to placebo subjects. Additionally, a greater proportion of upadacitinib 30 mg and 15 mg subjects reported no sleep disturbance in the past 7 days (defined as POEM Sleep score = 0) compared to placebo. A greater improvement in the percent change from baseline in SCORAD sle</w:t>
      </w:r>
      <w:r>
        <w:t>ep was observed in subjects on u</w:t>
      </w:r>
      <w:r w:rsidR="00E62B8D" w:rsidRPr="00AD7682">
        <w:t>padacitinib 30 mg and 15 mg c</w:t>
      </w:r>
      <w:r>
        <w:t>ompared to placebo subjects.</w:t>
      </w:r>
      <w:r w:rsidR="00E62B8D" w:rsidRPr="00AD7682">
        <w:t xml:space="preserve"> </w:t>
      </w:r>
    </w:p>
    <w:p w14:paraId="1BA370FD" w14:textId="1B47F21A" w:rsidR="00E62B8D" w:rsidRPr="00AD7682" w:rsidRDefault="00AD7682" w:rsidP="00AD7682">
      <w:r>
        <w:t>Subjects on u</w:t>
      </w:r>
      <w:r w:rsidR="00E62B8D" w:rsidRPr="00AD7682">
        <w:t xml:space="preserve">padacitinib 30 and 15 mg achieved a greater improvement (reduction) in ADerm-IS </w:t>
      </w:r>
      <w:r w:rsidR="00407FBB" w:rsidRPr="00AD7682">
        <w:t xml:space="preserve">emotional state domain score </w:t>
      </w:r>
      <w:r w:rsidR="00E62B8D" w:rsidRPr="00AD7682">
        <w:t xml:space="preserve">and ADerm-IS </w:t>
      </w:r>
      <w:r w:rsidR="00407FBB" w:rsidRPr="00AD7682">
        <w:t xml:space="preserve">daily activities domain score </w:t>
      </w:r>
      <w:r w:rsidR="00E62B8D" w:rsidRPr="00AD7682">
        <w:t xml:space="preserve">compared to placebo subjects. A greater improvement (reduction) was also observed in HADS and in </w:t>
      </w:r>
      <w:r w:rsidR="00407FBB" w:rsidRPr="00407FBB">
        <w:t>Work Productivity and Activity Impairment Questionnaire</w:t>
      </w:r>
      <w:r w:rsidR="00407FBB">
        <w:t xml:space="preserve"> (</w:t>
      </w:r>
      <w:r w:rsidR="00E62B8D" w:rsidRPr="00AD7682">
        <w:t>WPAI</w:t>
      </w:r>
      <w:r w:rsidR="00407FBB">
        <w:t xml:space="preserve">) atopic dermatitis </w:t>
      </w:r>
      <w:r w:rsidR="00407FBB" w:rsidRPr="00AD7682">
        <w:t>domain scores</w:t>
      </w:r>
      <w:r w:rsidR="00E62B8D" w:rsidRPr="00AD7682">
        <w:t xml:space="preserve"> (work productivity loss, present</w:t>
      </w:r>
      <w:r>
        <w:t>eeism, and activity impairment).</w:t>
      </w:r>
    </w:p>
    <w:p w14:paraId="58967985" w14:textId="321F9D72" w:rsidR="00E62B8D" w:rsidRDefault="00407FBB" w:rsidP="00AD7682">
      <w:r>
        <w:lastRenderedPageBreak/>
        <w:t>U</w:t>
      </w:r>
      <w:r w:rsidR="00782F8C">
        <w:t>padacitinib</w:t>
      </w:r>
      <w:r w:rsidR="00E62B8D" w:rsidRPr="00AD7682">
        <w:t xml:space="preserve"> 30 and 15 mg also demonstrated reductions in the health-related quality of life parameters, including improvement in DLQI ≥ 4 at Week 16, DLQI 0 or 1 at Week 16 CDLQI 0 or 1. Similar improvements were observed in EQ-5D-5L scores, SF-36 and patient global impression of severity (PGIS), patient global impression of change (PGIC) and patient global impression of treatment (PGIT).</w:t>
      </w:r>
    </w:p>
    <w:p w14:paraId="37F82BBD" w14:textId="645CAC31" w:rsidR="00836F7C" w:rsidRDefault="00836F7C" w:rsidP="00AD7682">
      <w:r>
        <w:t>S</w:t>
      </w:r>
      <w:r w:rsidRPr="00C351C1">
        <w:t xml:space="preserve">ee sections: </w:t>
      </w:r>
      <w:r w:rsidRPr="00C351C1">
        <w:rPr>
          <w:i/>
        </w:rPr>
        <w:fldChar w:fldCharType="begin"/>
      </w:r>
      <w:r w:rsidRPr="00C351C1">
        <w:rPr>
          <w:i/>
        </w:rPr>
        <w:instrText xml:space="preserve"> REF _Ref126046810 \h  \* MERGEFORMAT </w:instrText>
      </w:r>
      <w:r w:rsidRPr="00C351C1">
        <w:rPr>
          <w:i/>
        </w:rPr>
      </w:r>
      <w:r w:rsidRPr="00C351C1">
        <w:rPr>
          <w:i/>
        </w:rPr>
        <w:fldChar w:fldCharType="separate"/>
      </w:r>
      <w:r w:rsidR="00B51532" w:rsidRPr="00B51532">
        <w:rPr>
          <w:i/>
        </w:rPr>
        <w:t>Patient Oriented Eczema Measure (POEM)</w:t>
      </w:r>
      <w:r w:rsidRPr="00C351C1">
        <w:rPr>
          <w:i/>
        </w:rPr>
        <w:fldChar w:fldCharType="end"/>
      </w:r>
      <w:r w:rsidRPr="00C351C1">
        <w:rPr>
          <w:i/>
        </w:rPr>
        <w:t xml:space="preserve">; </w:t>
      </w:r>
      <w:r w:rsidRPr="00C351C1">
        <w:rPr>
          <w:i/>
        </w:rPr>
        <w:fldChar w:fldCharType="begin"/>
      </w:r>
      <w:r w:rsidRPr="00C351C1">
        <w:rPr>
          <w:i/>
        </w:rPr>
        <w:instrText xml:space="preserve"> REF _Ref126046814 \h  \* MERGEFORMAT </w:instrText>
      </w:r>
      <w:r w:rsidRPr="00C351C1">
        <w:rPr>
          <w:i/>
        </w:rPr>
      </w:r>
      <w:r w:rsidRPr="00C351C1">
        <w:rPr>
          <w:i/>
        </w:rPr>
        <w:fldChar w:fldCharType="separate"/>
      </w:r>
      <w:r w:rsidR="00B51532" w:rsidRPr="00B51532">
        <w:rPr>
          <w:i/>
        </w:rPr>
        <w:t>Atopic Dermatitis Symptom Scale (ADerm-SS)</w:t>
      </w:r>
      <w:r w:rsidRPr="00C351C1">
        <w:rPr>
          <w:i/>
        </w:rPr>
        <w:fldChar w:fldCharType="end"/>
      </w:r>
      <w:r w:rsidRPr="00C351C1">
        <w:rPr>
          <w:i/>
        </w:rPr>
        <w:fldChar w:fldCharType="begin"/>
      </w:r>
      <w:r w:rsidRPr="00C351C1">
        <w:rPr>
          <w:i/>
        </w:rPr>
        <w:instrText xml:space="preserve"> REF _Ref125686128 \h  \* MERGEFORMAT </w:instrText>
      </w:r>
      <w:r w:rsidRPr="00C351C1">
        <w:rPr>
          <w:i/>
        </w:rPr>
      </w:r>
      <w:r w:rsidRPr="00C351C1">
        <w:rPr>
          <w:i/>
        </w:rPr>
        <w:fldChar w:fldCharType="separate"/>
      </w:r>
      <w:r w:rsidR="00B51532" w:rsidRPr="00B51532">
        <w:rPr>
          <w:i/>
        </w:rPr>
        <w:t>Atopic Dermatitis Impact Scale (ADerm-IS)</w:t>
      </w:r>
      <w:r w:rsidRPr="00C351C1">
        <w:rPr>
          <w:i/>
        </w:rPr>
        <w:fldChar w:fldCharType="end"/>
      </w:r>
      <w:r w:rsidRPr="00C351C1">
        <w:rPr>
          <w:i/>
        </w:rPr>
        <w:t xml:space="preserve">; </w:t>
      </w:r>
      <w:r w:rsidRPr="00C351C1">
        <w:rPr>
          <w:i/>
        </w:rPr>
        <w:fldChar w:fldCharType="begin"/>
      </w:r>
      <w:r w:rsidRPr="00C351C1">
        <w:rPr>
          <w:i/>
        </w:rPr>
        <w:instrText xml:space="preserve"> REF _Ref126046821 \h  \* MERGEFORMAT </w:instrText>
      </w:r>
      <w:r w:rsidRPr="00C351C1">
        <w:rPr>
          <w:i/>
        </w:rPr>
      </w:r>
      <w:r w:rsidRPr="00C351C1">
        <w:rPr>
          <w:i/>
        </w:rPr>
        <w:fldChar w:fldCharType="separate"/>
      </w:r>
      <w:r w:rsidR="00B51532" w:rsidRPr="00B51532">
        <w:rPr>
          <w:i/>
        </w:rPr>
        <w:t>Dermatology Life Quality Index</w:t>
      </w:r>
      <w:r w:rsidRPr="00C351C1">
        <w:rPr>
          <w:i/>
        </w:rPr>
        <w:fldChar w:fldCharType="end"/>
      </w:r>
      <w:r w:rsidRPr="00C351C1">
        <w:rPr>
          <w:i/>
        </w:rPr>
        <w:t xml:space="preserve">; </w:t>
      </w:r>
      <w:r w:rsidRPr="00C351C1">
        <w:t xml:space="preserve">and </w:t>
      </w:r>
      <w:r w:rsidRPr="00C351C1">
        <w:rPr>
          <w:i/>
        </w:rPr>
        <w:fldChar w:fldCharType="begin"/>
      </w:r>
      <w:r w:rsidRPr="00C351C1">
        <w:rPr>
          <w:i/>
        </w:rPr>
        <w:instrText xml:space="preserve"> REF _Ref126046828 \h  \* MERGEFORMAT </w:instrText>
      </w:r>
      <w:r w:rsidRPr="00C351C1">
        <w:rPr>
          <w:i/>
        </w:rPr>
      </w:r>
      <w:r w:rsidRPr="00C351C1">
        <w:rPr>
          <w:i/>
        </w:rPr>
        <w:fldChar w:fldCharType="separate"/>
      </w:r>
      <w:r w:rsidR="00B51532" w:rsidRPr="00B51532">
        <w:rPr>
          <w:i/>
        </w:rPr>
        <w:t>Hospital Anxiety and Depression Scale (HADS)</w:t>
      </w:r>
      <w:r w:rsidRPr="00C351C1">
        <w:rPr>
          <w:i/>
        </w:rPr>
        <w:fldChar w:fldCharType="end"/>
      </w:r>
      <w:r>
        <w:rPr>
          <w:i/>
        </w:rPr>
        <w:t xml:space="preserve"> </w:t>
      </w:r>
      <w:r>
        <w:t>for details of these measures.</w:t>
      </w:r>
    </w:p>
    <w:p w14:paraId="0A9E736A" w14:textId="1AA6D076" w:rsidR="00AD7682" w:rsidRPr="00AD7682" w:rsidRDefault="00AD7682" w:rsidP="00AD7682">
      <w:pPr>
        <w:pStyle w:val="Heading4"/>
        <w:rPr>
          <w:szCs w:val="22"/>
        </w:rPr>
      </w:pPr>
      <w:r>
        <w:t>Study M16-047 (combination therapy)</w:t>
      </w:r>
    </w:p>
    <w:p w14:paraId="1FC0D12A" w14:textId="0D052F4E" w:rsidR="00E62B8D" w:rsidRPr="00AD7682" w:rsidRDefault="00AD7682" w:rsidP="00AD7682">
      <w:r>
        <w:t xml:space="preserve">Study </w:t>
      </w:r>
      <w:r w:rsidR="00E62B8D" w:rsidRPr="00AD7682">
        <w:t>M16-047</w:t>
      </w:r>
      <w:r>
        <w:t xml:space="preserve"> </w:t>
      </w:r>
      <w:r w:rsidR="00A15D5B">
        <w:t>is</w:t>
      </w:r>
      <w:r>
        <w:t xml:space="preserve"> a Phase III</w:t>
      </w:r>
      <w:r w:rsidR="00E62B8D" w:rsidRPr="00AD7682">
        <w:t xml:space="preserve">, randomised, </w:t>
      </w:r>
      <w:r>
        <w:t>double blind</w:t>
      </w:r>
      <w:r w:rsidR="00E62B8D" w:rsidRPr="00AD7682">
        <w:t>, placebo-controlled multicentre study that evaluated the efficacy and safety of</w:t>
      </w:r>
      <w:r w:rsidR="005D7175">
        <w:t xml:space="preserve"> upadacitinib</w:t>
      </w:r>
      <w:r w:rsidR="00E62B8D" w:rsidRPr="00AD7682">
        <w:t xml:space="preserve"> combined with </w:t>
      </w:r>
      <w:r w:rsidRPr="00AD7682">
        <w:t xml:space="preserve">topical corticosteroids </w:t>
      </w:r>
      <w:r w:rsidR="00E62B8D" w:rsidRPr="00AD7682">
        <w:t xml:space="preserve">in adolescents (12 to 17 years of age at the time of the screening visit) and adults (18 to 75 years of age), with moderate to severe </w:t>
      </w:r>
      <w:r w:rsidR="007A4E6C">
        <w:t>atopic dermatitis</w:t>
      </w:r>
      <w:r w:rsidR="00E62B8D" w:rsidRPr="00AD7682">
        <w:t xml:space="preserve"> who were candidates for sy</w:t>
      </w:r>
      <w:r w:rsidR="007A4E6C">
        <w:t>stemic therapy. Those subjects less than</w:t>
      </w:r>
      <w:r w:rsidR="00E62B8D" w:rsidRPr="00AD7682">
        <w:t xml:space="preserve"> 18 years of age were r</w:t>
      </w:r>
      <w:r>
        <w:t>equired to have a body weight ≥ </w:t>
      </w:r>
      <w:r w:rsidR="00E62B8D" w:rsidRPr="00AD7682">
        <w:t xml:space="preserve">40 kg at Baseline. </w:t>
      </w:r>
    </w:p>
    <w:p w14:paraId="5208D46E" w14:textId="153D17A7" w:rsidR="00E62B8D" w:rsidRPr="00AD7682" w:rsidRDefault="00AD7682" w:rsidP="00AD7682">
      <w:r>
        <w:t xml:space="preserve">The study design included a </w:t>
      </w:r>
      <w:r w:rsidR="00E62B8D" w:rsidRPr="00AD7682">
        <w:t>35-day screening period;</w:t>
      </w:r>
      <w:r>
        <w:t xml:space="preserve"> 16-</w:t>
      </w:r>
      <w:r w:rsidR="00E62B8D" w:rsidRPr="00AD7682">
        <w:t>week</w:t>
      </w:r>
      <w:r w:rsidR="00921F5C" w:rsidRPr="00AD7682">
        <w:t xml:space="preserve"> double blind </w:t>
      </w:r>
      <w:r>
        <w:t>p</w:t>
      </w:r>
      <w:r w:rsidR="00E62B8D" w:rsidRPr="00AD7682">
        <w:t>eriod;</w:t>
      </w:r>
      <w:r>
        <w:t xml:space="preserve"> blinded </w:t>
      </w:r>
      <w:r w:rsidR="00E62B8D" w:rsidRPr="00AD7682">
        <w:t>extension (</w:t>
      </w:r>
      <w:r w:rsidR="00921F5C" w:rsidRPr="00AD7682">
        <w:t>bl</w:t>
      </w:r>
      <w:r w:rsidR="00A15D5B">
        <w:t>inded extension</w:t>
      </w:r>
      <w:r>
        <w:t>) p</w:t>
      </w:r>
      <w:r w:rsidR="00E62B8D" w:rsidRPr="00AD7682">
        <w:t>eriod of up to Week 136;</w:t>
      </w:r>
      <w:r>
        <w:t xml:space="preserve"> and a </w:t>
      </w:r>
      <w:r w:rsidR="00E62B8D" w:rsidRPr="00AD7682">
        <w:t xml:space="preserve">30-day </w:t>
      </w:r>
      <w:r w:rsidRPr="00AD7682">
        <w:t xml:space="preserve">follow-up visit. </w:t>
      </w:r>
    </w:p>
    <w:p w14:paraId="3B7F9774" w14:textId="694E7797" w:rsidR="00E62B8D" w:rsidRDefault="00AD7682" w:rsidP="00AD7682">
      <w:r>
        <w:t>After the target enrol</w:t>
      </w:r>
      <w:r w:rsidR="00E62B8D" w:rsidRPr="00AD7682">
        <w:t xml:space="preserve">ment (810 subjects) was achieved in the </w:t>
      </w:r>
      <w:r>
        <w:t>m</w:t>
      </w:r>
      <w:r w:rsidR="00E62B8D" w:rsidRPr="00AD7682">
        <w:t>ain</w:t>
      </w:r>
      <w:r>
        <w:t xml:space="preserve"> portion of</w:t>
      </w:r>
      <w:r w:rsidR="00E62B8D" w:rsidRPr="00AD7682">
        <w:t xml:space="preserve"> Study</w:t>
      </w:r>
      <w:r>
        <w:t> M16</w:t>
      </w:r>
      <w:r>
        <w:noBreakHyphen/>
        <w:t>047</w:t>
      </w:r>
      <w:r w:rsidR="00E62B8D" w:rsidRPr="00AD7682">
        <w:t>, a supplemental study was opened to continue enrolling adolescent subjects (</w:t>
      </w:r>
      <w:r>
        <w:t>adolescent s</w:t>
      </w:r>
      <w:r w:rsidR="00E62B8D" w:rsidRPr="00AD7682">
        <w:t>ub-study</w:t>
      </w:r>
      <w:r>
        <w:t>)</w:t>
      </w:r>
      <w:r w:rsidR="00E62B8D" w:rsidRPr="00AD7682">
        <w:t xml:space="preserve"> </w:t>
      </w:r>
      <w:r>
        <w:t>to ensure enrol</w:t>
      </w:r>
      <w:r w:rsidR="00E62B8D" w:rsidRPr="00AD7682">
        <w:t>ment in total of 180 adolescent subjects</w:t>
      </w:r>
      <w:r>
        <w:t xml:space="preserve"> in the overall study.</w:t>
      </w:r>
    </w:p>
    <w:p w14:paraId="024ED864" w14:textId="1E81B0C2" w:rsidR="00AD7682" w:rsidRPr="00AD7682" w:rsidRDefault="00AD7682" w:rsidP="00AD7682">
      <w:pPr>
        <w:pStyle w:val="Heading5"/>
      </w:pPr>
      <w:r>
        <w:t>Primary objective</w:t>
      </w:r>
    </w:p>
    <w:p w14:paraId="77925C69" w14:textId="77777777" w:rsidR="00AD7682" w:rsidRDefault="00AD7682" w:rsidP="00AD7682">
      <w:r>
        <w:t>The primary objective was:</w:t>
      </w:r>
    </w:p>
    <w:p w14:paraId="782F5FF3" w14:textId="4B71B132" w:rsidR="00E62B8D" w:rsidRPr="00281951" w:rsidRDefault="00E62B8D" w:rsidP="00AD7682">
      <w:pPr>
        <w:pStyle w:val="ListBullet"/>
      </w:pPr>
      <w:r w:rsidRPr="00281951">
        <w:rPr>
          <w:lang w:val="en-US"/>
        </w:rPr>
        <w:t>To ass</w:t>
      </w:r>
      <w:r w:rsidR="00AD7682">
        <w:rPr>
          <w:lang w:val="en-US"/>
        </w:rPr>
        <w:t>ess the efficacy and safety of u</w:t>
      </w:r>
      <w:r w:rsidRPr="00281951">
        <w:rPr>
          <w:lang w:val="en-US"/>
        </w:rPr>
        <w:t xml:space="preserve">padacitinib combined with </w:t>
      </w:r>
      <w:r w:rsidR="00AD7682">
        <w:rPr>
          <w:lang w:val="en-US"/>
        </w:rPr>
        <w:t>topical corticosteroids</w:t>
      </w:r>
      <w:r w:rsidRPr="00281951">
        <w:rPr>
          <w:lang w:val="en-US"/>
        </w:rPr>
        <w:t xml:space="preserve"> for the treatment of adolescent and adult subjects with moderate to severe </w:t>
      </w:r>
      <w:r w:rsidR="007A4E6C">
        <w:rPr>
          <w:lang w:val="en-US"/>
        </w:rPr>
        <w:t>atopic dermatitis</w:t>
      </w:r>
      <w:r w:rsidRPr="00281951">
        <w:rPr>
          <w:lang w:val="en-US"/>
        </w:rPr>
        <w:t>, who are candidates for systemic therapy.</w:t>
      </w:r>
    </w:p>
    <w:p w14:paraId="6DFEC012" w14:textId="49103891" w:rsidR="00E62B8D" w:rsidRPr="007A4E6C" w:rsidRDefault="00E62B8D" w:rsidP="007A4E6C">
      <w:r w:rsidRPr="007F2704">
        <w:rPr>
          <w:lang w:val="en-US"/>
        </w:rPr>
        <w:t>The objective of the</w:t>
      </w:r>
      <w:r w:rsidR="00921F5C">
        <w:rPr>
          <w:lang w:val="en-US"/>
        </w:rPr>
        <w:t xml:space="preserve"> double blind </w:t>
      </w:r>
      <w:r w:rsidR="00AD7682">
        <w:rPr>
          <w:lang w:val="en-US"/>
        </w:rPr>
        <w:t>p</w:t>
      </w:r>
      <w:r w:rsidRPr="007F2704">
        <w:rPr>
          <w:lang w:val="en-US"/>
        </w:rPr>
        <w:t xml:space="preserve">eriod (through Week 16) was to compare the safety and </w:t>
      </w:r>
      <w:r w:rsidR="00AD7682">
        <w:rPr>
          <w:lang w:val="en-US"/>
        </w:rPr>
        <w:t>efficacy of u</w:t>
      </w:r>
      <w:r w:rsidRPr="00281951">
        <w:rPr>
          <w:lang w:val="en-US"/>
        </w:rPr>
        <w:t>padacitinib (15 mg and 30 mg once da</w:t>
      </w:r>
      <w:r w:rsidR="00AD7682">
        <w:rPr>
          <w:lang w:val="en-US"/>
        </w:rPr>
        <w:t xml:space="preserve">ily </w:t>
      </w:r>
      <w:r w:rsidRPr="00281951">
        <w:rPr>
          <w:lang w:val="en-US"/>
        </w:rPr>
        <w:t xml:space="preserve">plus </w:t>
      </w:r>
      <w:r w:rsidR="00AD7682">
        <w:rPr>
          <w:lang w:val="en-US"/>
        </w:rPr>
        <w:t>topical corticosteroids; versus</w:t>
      </w:r>
      <w:r w:rsidRPr="00281951">
        <w:rPr>
          <w:lang w:val="en-US"/>
        </w:rPr>
        <w:t xml:space="preserve"> placebo </w:t>
      </w:r>
      <w:r w:rsidRPr="00AD7682">
        <w:rPr>
          <w:lang w:val="en-US"/>
        </w:rPr>
        <w:t xml:space="preserve">plus </w:t>
      </w:r>
      <w:r w:rsidR="00AD7682">
        <w:rPr>
          <w:lang w:val="en-US"/>
        </w:rPr>
        <w:t>topical corticosteroids.</w:t>
      </w:r>
    </w:p>
    <w:p w14:paraId="7524B3BC" w14:textId="01E7FBA1" w:rsidR="00E62B8D" w:rsidRPr="00AD7682" w:rsidRDefault="00E62B8D" w:rsidP="00AD7682">
      <w:r w:rsidRPr="00AD7682">
        <w:t>The objective of the 136 week</w:t>
      </w:r>
      <w:r w:rsidR="00921F5C" w:rsidRPr="00AD7682">
        <w:t xml:space="preserve"> blinded extension </w:t>
      </w:r>
      <w:r w:rsidRPr="00AD7682">
        <w:t>period was to evaluate the long-term safety</w:t>
      </w:r>
      <w:r w:rsidR="00AD7682">
        <w:t>, tolerability, and efficacy of u</w:t>
      </w:r>
      <w:r w:rsidRPr="00AD7682">
        <w:t>padacitinib (</w:t>
      </w:r>
      <w:r w:rsidR="005D7175">
        <w:t>15 mg</w:t>
      </w:r>
      <w:r w:rsidRPr="00AD7682">
        <w:t xml:space="preserve"> and 30 mg) </w:t>
      </w:r>
      <w:r w:rsidR="00AD7682">
        <w:t>once daily</w:t>
      </w:r>
      <w:r w:rsidRPr="00AD7682">
        <w:t xml:space="preserve"> in adolescents and adults, with moderate to severe </w:t>
      </w:r>
      <w:r w:rsidR="00DD6D4D">
        <w:t>atopic dermatitis</w:t>
      </w:r>
      <w:r w:rsidRPr="00AD7682">
        <w:t xml:space="preserve"> who had completed the</w:t>
      </w:r>
      <w:r w:rsidR="00921F5C" w:rsidRPr="00AD7682">
        <w:t xml:space="preserve"> double blind </w:t>
      </w:r>
      <w:r w:rsidR="00AD7682" w:rsidRPr="00AD7682">
        <w:t>period.</w:t>
      </w:r>
    </w:p>
    <w:p w14:paraId="1C10190D" w14:textId="77777777" w:rsidR="00E62B8D" w:rsidRDefault="00E62B8D" w:rsidP="00AD7682">
      <w:pPr>
        <w:pStyle w:val="Heading5"/>
      </w:pPr>
      <w:r w:rsidRPr="008D6732">
        <w:t>Inclusion criteria</w:t>
      </w:r>
    </w:p>
    <w:p w14:paraId="320038B6" w14:textId="79CC7A6A" w:rsidR="00E62B8D" w:rsidRPr="00AD7682" w:rsidRDefault="00E62B8D" w:rsidP="00AD7682">
      <w:r w:rsidRPr="00AD7682">
        <w:t>These are similar to those in the monotherapy trials except that:</w:t>
      </w:r>
    </w:p>
    <w:p w14:paraId="2116815A" w14:textId="29A44B2A" w:rsidR="00E62B8D" w:rsidRPr="00AD7682" w:rsidRDefault="002777B3" w:rsidP="002777B3">
      <w:pPr>
        <w:pStyle w:val="ListBullet"/>
      </w:pPr>
      <w:r>
        <w:t>e</w:t>
      </w:r>
      <w:r w:rsidR="00E62B8D" w:rsidRPr="00AD7682">
        <w:t xml:space="preserve">ligible subjects must have had a documented history of inadequate response to treatment with </w:t>
      </w:r>
      <w:r w:rsidR="00AD7682" w:rsidRPr="00AD7682">
        <w:t>topical corticosteroids or topical calcineurin inhibitors or use of systemic treat</w:t>
      </w:r>
      <w:r w:rsidR="007A4E6C">
        <w:t>ment for atopic dermatitis</w:t>
      </w:r>
      <w:r w:rsidR="00E62B8D" w:rsidRPr="00AD7682">
        <w:t xml:space="preserve"> within 6 months prior to Baseline;</w:t>
      </w:r>
      <w:r>
        <w:t xml:space="preserve"> and</w:t>
      </w:r>
    </w:p>
    <w:p w14:paraId="253B62E1" w14:textId="671B463B" w:rsidR="00E62B8D" w:rsidRPr="00AD7682" w:rsidRDefault="002777B3" w:rsidP="00AD7682">
      <w:pPr>
        <w:pStyle w:val="ListBullet"/>
      </w:pPr>
      <w:r>
        <w:t>s</w:t>
      </w:r>
      <w:r w:rsidR="00E62B8D" w:rsidRPr="00AD7682">
        <w:t xml:space="preserve">ubjects must not have ≥ 30% of </w:t>
      </w:r>
      <w:r w:rsidR="007A4E6C">
        <w:t>atopic dermatitis</w:t>
      </w:r>
      <w:r w:rsidR="00E62B8D" w:rsidRPr="00AD7682">
        <w:t xml:space="preserve"> l</w:t>
      </w:r>
      <w:r w:rsidR="007A4E6C">
        <w:t>esional surface involvement at B</w:t>
      </w:r>
      <w:r w:rsidR="00E62B8D" w:rsidRPr="00AD7682">
        <w:t xml:space="preserve">aseline that cannot be safely treated with medium or higher potency </w:t>
      </w:r>
      <w:r w:rsidRPr="00AD7682">
        <w:t xml:space="preserve">topical corticosteroids </w:t>
      </w:r>
      <w:r w:rsidR="00E62B8D" w:rsidRPr="00AD7682">
        <w:t>(</w:t>
      </w:r>
      <w:r>
        <w:t>for example,</w:t>
      </w:r>
      <w:r w:rsidR="00E62B8D" w:rsidRPr="00AD7682">
        <w:t xml:space="preserve"> areas of skin atrophy, face, groin, intertriginous areas).</w:t>
      </w:r>
    </w:p>
    <w:p w14:paraId="724D25BB" w14:textId="610996E3" w:rsidR="00E62B8D" w:rsidRPr="002777B3" w:rsidRDefault="00E62B8D" w:rsidP="002777B3">
      <w:pPr>
        <w:pStyle w:val="Heading5"/>
      </w:pPr>
      <w:r w:rsidRPr="00BF5D88">
        <w:t>Study treatments</w:t>
      </w:r>
    </w:p>
    <w:p w14:paraId="5B8FC49B" w14:textId="4EEA5E0E" w:rsidR="00E62B8D" w:rsidRPr="002777B3" w:rsidRDefault="00E62B8D" w:rsidP="002777B3">
      <w:r w:rsidRPr="002777B3">
        <w:t xml:space="preserve">Subjects who met eligibility criteria were randomised in a 1:1:1 ratio to receive concomitant </w:t>
      </w:r>
      <w:r w:rsidR="002777B3" w:rsidRPr="002777B3">
        <w:t xml:space="preserve">topical corticosteroids </w:t>
      </w:r>
      <w:r w:rsidR="002777B3">
        <w:t>with a daily oral dose of u</w:t>
      </w:r>
      <w:r w:rsidRPr="002777B3">
        <w:t>padacitinib 15 mg or 30</w:t>
      </w:r>
      <w:r w:rsidR="002777B3">
        <w:t xml:space="preserve"> </w:t>
      </w:r>
      <w:r w:rsidRPr="002777B3">
        <w:t xml:space="preserve">mg </w:t>
      </w:r>
      <w:r w:rsidR="002777B3">
        <w:lastRenderedPageBreak/>
        <w:t>(</w:t>
      </w:r>
      <w:r w:rsidRPr="002777B3">
        <w:t>or matching placebo</w:t>
      </w:r>
      <w:r w:rsidR="002777B3">
        <w:t>)</w:t>
      </w:r>
      <w:r w:rsidRPr="002777B3">
        <w:t xml:space="preserve"> </w:t>
      </w:r>
      <w:r w:rsidR="002777B3">
        <w:t>once daily (beginning on Day 1 (Baseline)</w:t>
      </w:r>
      <w:r w:rsidRPr="002777B3">
        <w:t>, at approximately the same time each day with or without food</w:t>
      </w:r>
      <w:r w:rsidR="002777B3">
        <w:t>.</w:t>
      </w:r>
    </w:p>
    <w:p w14:paraId="357645AD" w14:textId="4D3018FA" w:rsidR="00E62B8D" w:rsidRPr="002777B3" w:rsidRDefault="00E62B8D" w:rsidP="002777B3">
      <w:r w:rsidRPr="002777B3">
        <w:t xml:space="preserve">Concomitant </w:t>
      </w:r>
      <w:r w:rsidR="002777B3" w:rsidRPr="002777B3">
        <w:t xml:space="preserve">topical corticosteroids therapy </w:t>
      </w:r>
      <w:r w:rsidR="002777B3">
        <w:t>was started at B</w:t>
      </w:r>
      <w:r w:rsidRPr="002777B3">
        <w:t>aseline and, continued through Week 52 using a step-down regimen:</w:t>
      </w:r>
    </w:p>
    <w:p w14:paraId="7A0189B8" w14:textId="77777777" w:rsidR="002777B3" w:rsidRDefault="002777B3" w:rsidP="002777B3">
      <w:pPr>
        <w:pStyle w:val="ListBullet"/>
      </w:pPr>
      <w:r>
        <w:t>A m</w:t>
      </w:r>
      <w:r w:rsidR="00E62B8D" w:rsidRPr="002777B3">
        <w:t xml:space="preserve">edium potency </w:t>
      </w:r>
      <w:r w:rsidRPr="002777B3">
        <w:t xml:space="preserve">topical corticosteroids </w:t>
      </w:r>
      <w:r w:rsidR="00E62B8D" w:rsidRPr="002777B3">
        <w:t>(</w:t>
      </w:r>
      <w:r>
        <w:t>for example</w:t>
      </w:r>
      <w:r w:rsidR="00E62B8D" w:rsidRPr="002777B3">
        <w:t xml:space="preserve"> triamcinolone acetonide 0.1% cream, fluocinolone acetonide 0.025% ointment) was applied daily to active lesions for a maximum of 3 consecutive weeks;</w:t>
      </w:r>
    </w:p>
    <w:p w14:paraId="1380E825" w14:textId="3272946F" w:rsidR="00E62B8D" w:rsidRPr="002777B3" w:rsidRDefault="002777B3" w:rsidP="002777B3">
      <w:pPr>
        <w:pStyle w:val="ListBullet"/>
      </w:pPr>
      <w:r>
        <w:t>L</w:t>
      </w:r>
      <w:r w:rsidRPr="002777B3">
        <w:t>ow potency topical corticosteroids or topical calcineurin inhibitors could be applied to sensitive skin areas or areas where medium potency topical corticosteroids would</w:t>
      </w:r>
      <w:r w:rsidR="00B51532">
        <w:t xml:space="preserve"> </w:t>
      </w:r>
      <w:r w:rsidRPr="002777B3">
        <w:t>be considered unsafe;</w:t>
      </w:r>
    </w:p>
    <w:p w14:paraId="3C2ED844" w14:textId="752BF443" w:rsidR="00E62B8D" w:rsidRPr="002777B3" w:rsidRDefault="00E62B8D" w:rsidP="002777B3">
      <w:r w:rsidRPr="002777B3">
        <w:t>After lesions were clear or almost clear, or after 3 consecutive weeks of medium or low (sensitive</w:t>
      </w:r>
      <w:r w:rsidR="00B51532">
        <w:t xml:space="preserve"> </w:t>
      </w:r>
      <w:r w:rsidRPr="002777B3">
        <w:t xml:space="preserve">areas) </w:t>
      </w:r>
      <w:r w:rsidR="002777B3" w:rsidRPr="002777B3">
        <w:t>potency topical corticosteroids, a low potency topical corticosteroids (</w:t>
      </w:r>
      <w:r w:rsidR="002777B3">
        <w:t>for example,</w:t>
      </w:r>
      <w:r w:rsidR="002777B3" w:rsidRPr="002777B3">
        <w:t xml:space="preserve"> hydrocortisone 1% cream) was to be used daily for 7 days and then stopped;</w:t>
      </w:r>
    </w:p>
    <w:p w14:paraId="58E90672" w14:textId="62426042" w:rsidR="00E62B8D" w:rsidRPr="002777B3" w:rsidRDefault="00E62B8D" w:rsidP="002777B3">
      <w:r w:rsidRPr="002777B3">
        <w:t xml:space="preserve">The step-down regimen starting with medium potency </w:t>
      </w:r>
      <w:r w:rsidR="002777B3" w:rsidRPr="002777B3">
        <w:t xml:space="preserve">topical corticosteroids </w:t>
      </w:r>
      <w:r w:rsidRPr="002777B3">
        <w:t xml:space="preserve">was to be resumed if </w:t>
      </w:r>
      <w:r w:rsidR="007A4E6C">
        <w:t>atopic dermatitis</w:t>
      </w:r>
      <w:r w:rsidRPr="002777B3">
        <w:t xml:space="preserve"> l</w:t>
      </w:r>
      <w:r w:rsidR="002777B3">
        <w:t>esions returned or persisted (until Week 52)</w:t>
      </w:r>
      <w:r w:rsidRPr="002777B3">
        <w:t>.</w:t>
      </w:r>
    </w:p>
    <w:p w14:paraId="7EA93B85" w14:textId="0EF51FE3" w:rsidR="00E62B8D" w:rsidRPr="002777B3" w:rsidRDefault="002777B3" w:rsidP="002777B3">
      <w:r>
        <w:t>The Delegate for this submission commented that:</w:t>
      </w:r>
    </w:p>
    <w:p w14:paraId="42D39DE3" w14:textId="3BAD0177" w:rsidR="00E62B8D" w:rsidRPr="002777B3" w:rsidRDefault="002777B3" w:rsidP="002777B3">
      <w:pPr>
        <w:ind w:left="720"/>
      </w:pPr>
      <w:r w:rsidRPr="002777B3">
        <w:t>If topical corticosteroi</w:t>
      </w:r>
      <w:r>
        <w:t xml:space="preserve">ds therapy only continued </w:t>
      </w:r>
      <w:r w:rsidR="00407FBB">
        <w:t>until</w:t>
      </w:r>
      <w:r>
        <w:t xml:space="preserve"> Week 52, then only part of the W</w:t>
      </w:r>
      <w:r w:rsidRPr="002777B3">
        <w:t>eek</w:t>
      </w:r>
      <w:r>
        <w:t> </w:t>
      </w:r>
      <w:r w:rsidRPr="002777B3">
        <w:t>136 long term period was covered by combi</w:t>
      </w:r>
      <w:r>
        <w:t>nation therapy of upadacitinib and</w:t>
      </w:r>
      <w:r w:rsidRPr="002777B3">
        <w:t xml:space="preserve"> topical corticosteroids.</w:t>
      </w:r>
    </w:p>
    <w:p w14:paraId="4B5CE787" w14:textId="0A5BB315" w:rsidR="00E62B8D" w:rsidRPr="002777B3" w:rsidRDefault="002777B3" w:rsidP="002777B3">
      <w:pPr>
        <w:pStyle w:val="Heading6"/>
      </w:pPr>
      <w:r>
        <w:t>Rescue therapy</w:t>
      </w:r>
    </w:p>
    <w:p w14:paraId="462B0C9F" w14:textId="77777777" w:rsidR="00E62B8D" w:rsidRPr="002777B3" w:rsidRDefault="00E62B8D" w:rsidP="002777B3">
      <w:r w:rsidRPr="002777B3">
        <w:t>Rescue therapy was permitted:</w:t>
      </w:r>
    </w:p>
    <w:p w14:paraId="3AE1A0BC" w14:textId="6F45601D" w:rsidR="00E62B8D" w:rsidRPr="002777B3" w:rsidRDefault="00E62B8D" w:rsidP="002777B3">
      <w:pPr>
        <w:pStyle w:val="ListBullet"/>
      </w:pPr>
      <w:r w:rsidRPr="002777B3">
        <w:t>f</w:t>
      </w:r>
      <w:r w:rsidR="002777B3">
        <w:t>rom Week 4 through Week 24, if:</w:t>
      </w:r>
    </w:p>
    <w:p w14:paraId="7CE00D8E" w14:textId="3EA4EAF2" w:rsidR="00E62B8D" w:rsidRPr="002777B3" w:rsidRDefault="00E62B8D" w:rsidP="002777B3">
      <w:pPr>
        <w:pStyle w:val="ListBullet2"/>
      </w:pPr>
      <w:r w:rsidRPr="002777B3">
        <w:t>medically necessary</w:t>
      </w:r>
      <w:r w:rsidR="002777B3">
        <w:t>; and</w:t>
      </w:r>
    </w:p>
    <w:p w14:paraId="3D714F85" w14:textId="3E712225" w:rsidR="00E62B8D" w:rsidRPr="002777B3" w:rsidRDefault="007A4E6C" w:rsidP="002777B3">
      <w:pPr>
        <w:pStyle w:val="ListBullet2"/>
      </w:pPr>
      <w:r>
        <w:t>there was a less than an</w:t>
      </w:r>
      <w:r w:rsidR="00E62B8D" w:rsidRPr="002777B3">
        <w:t xml:space="preserve"> EASI 50 response </w:t>
      </w:r>
      <w:r>
        <w:t xml:space="preserve">(that is, less than a 50% reduction in EASI scores compared to Baseline) </w:t>
      </w:r>
      <w:r w:rsidR="00E62B8D" w:rsidRPr="002777B3">
        <w:t xml:space="preserve">at any two consecutive scheduled </w:t>
      </w:r>
      <w:r w:rsidR="002777B3">
        <w:t>visits compared to B</w:t>
      </w:r>
      <w:r w:rsidR="00E62B8D" w:rsidRPr="002777B3">
        <w:t xml:space="preserve">aseline. </w:t>
      </w:r>
    </w:p>
    <w:p w14:paraId="273DDE80" w14:textId="5B7229F3" w:rsidR="00E62B8D" w:rsidRPr="002777B3" w:rsidRDefault="00B51532" w:rsidP="002777B3">
      <w:pPr>
        <w:pStyle w:val="ListBullet"/>
      </w:pPr>
      <w:r>
        <w:t xml:space="preserve"> </w:t>
      </w:r>
      <w:r w:rsidR="00E62B8D" w:rsidRPr="002777B3">
        <w:t xml:space="preserve">after Week 24, </w:t>
      </w:r>
      <w:r w:rsidR="002777B3">
        <w:t>rescue therapy was permitted if</w:t>
      </w:r>
      <w:r w:rsidR="00E62B8D" w:rsidRPr="002777B3">
        <w:t>:</w:t>
      </w:r>
    </w:p>
    <w:p w14:paraId="0B8DADBE" w14:textId="189AA2FD" w:rsidR="00E62B8D" w:rsidRPr="002777B3" w:rsidRDefault="00E62B8D" w:rsidP="002777B3">
      <w:pPr>
        <w:pStyle w:val="ListBullet2"/>
      </w:pPr>
      <w:r w:rsidRPr="002777B3">
        <w:t>medically necessary</w:t>
      </w:r>
      <w:r w:rsidR="002777B3">
        <w:t>; and</w:t>
      </w:r>
    </w:p>
    <w:p w14:paraId="554F1250" w14:textId="14A58FA4" w:rsidR="00E62B8D" w:rsidRPr="002777B3" w:rsidRDefault="00E62B8D" w:rsidP="002777B3">
      <w:pPr>
        <w:pStyle w:val="ListBullet2"/>
      </w:pPr>
      <w:r w:rsidRPr="002777B3">
        <w:t>there was a &lt;</w:t>
      </w:r>
      <w:r w:rsidR="00A15D5B">
        <w:t xml:space="preserve"> </w:t>
      </w:r>
      <w:r w:rsidRPr="002777B3">
        <w:t>EASI 50 res</w:t>
      </w:r>
      <w:r w:rsidR="002777B3">
        <w:t>ponse at any visit compared to B</w:t>
      </w:r>
      <w:r w:rsidRPr="002777B3">
        <w:t>aseline.</w:t>
      </w:r>
    </w:p>
    <w:p w14:paraId="557E5B0E" w14:textId="77777777" w:rsidR="00E62B8D" w:rsidRDefault="00E62B8D" w:rsidP="00E62B8D">
      <w:pPr>
        <w:spacing w:after="11" w:line="248" w:lineRule="auto"/>
        <w:ind w:left="-284"/>
        <w:rPr>
          <w:b/>
        </w:rPr>
      </w:pPr>
    </w:p>
    <w:p w14:paraId="797DE9C5" w14:textId="5B27663E" w:rsidR="00E62B8D" w:rsidRPr="002777B3" w:rsidRDefault="00E62B8D" w:rsidP="002777B3">
      <w:pPr>
        <w:pStyle w:val="Heading5"/>
      </w:pPr>
      <w:r w:rsidRPr="00A16921">
        <w:t>Ran</w:t>
      </w:r>
      <w:r w:rsidR="002777B3">
        <w:t>domisation and blinding methods</w:t>
      </w:r>
    </w:p>
    <w:p w14:paraId="6E7E285E" w14:textId="33346463" w:rsidR="00E62B8D" w:rsidRPr="002777B3" w:rsidRDefault="00E62B8D" w:rsidP="002777B3">
      <w:r w:rsidRPr="002777B3">
        <w:t>Rand</w:t>
      </w:r>
      <w:r w:rsidR="002777B3">
        <w:t>omisation for the main part of Study M16-047</w:t>
      </w:r>
      <w:r w:rsidRPr="002777B3">
        <w:t xml:space="preserve"> was stratified by:</w:t>
      </w:r>
    </w:p>
    <w:p w14:paraId="35A835FF" w14:textId="228CACD6" w:rsidR="00E62B8D" w:rsidRPr="002777B3" w:rsidRDefault="00E62B8D" w:rsidP="002777B3">
      <w:pPr>
        <w:pStyle w:val="ListBullet"/>
      </w:pPr>
      <w:r w:rsidRPr="002777B3">
        <w:t>basel</w:t>
      </w:r>
      <w:r w:rsidR="002777B3">
        <w:t>ine disease severity (moderate (vIGA-AD score of 3)</w:t>
      </w:r>
      <w:r w:rsidRPr="002777B3">
        <w:t xml:space="preserve"> </w:t>
      </w:r>
      <w:r w:rsidR="002777B3">
        <w:t>versus severe (vIGA-score of 4)</w:t>
      </w:r>
      <w:r w:rsidRPr="002777B3">
        <w:t xml:space="preserve">; </w:t>
      </w:r>
    </w:p>
    <w:p w14:paraId="69252AAF" w14:textId="4FD85AC1" w:rsidR="00E62B8D" w:rsidRPr="002777B3" w:rsidRDefault="002777B3" w:rsidP="002777B3">
      <w:pPr>
        <w:pStyle w:val="ListBullet"/>
      </w:pPr>
      <w:r>
        <w:t>age (adolescent aged 12 to 17 versus adult aged 18 to 75)</w:t>
      </w:r>
      <w:r w:rsidR="00E62B8D" w:rsidRPr="002777B3">
        <w:t>;</w:t>
      </w:r>
    </w:p>
    <w:p w14:paraId="51E36DD7" w14:textId="5FBECA0A" w:rsidR="00E62B8D" w:rsidRPr="002777B3" w:rsidRDefault="002777B3" w:rsidP="002777B3">
      <w:pPr>
        <w:pStyle w:val="ListBullet"/>
      </w:pPr>
      <w:r>
        <w:t>geographic region (USA/</w:t>
      </w:r>
      <w:r w:rsidR="00E62B8D" w:rsidRPr="002777B3">
        <w:t>Puer</w:t>
      </w:r>
      <w:r>
        <w:t xml:space="preserve">to-Rico/Canada, Japan, </w:t>
      </w:r>
      <w:r w:rsidR="00E62B8D" w:rsidRPr="002777B3">
        <w:t>China</w:t>
      </w:r>
      <w:r>
        <w:t xml:space="preserve"> (mainland), and other</w:t>
      </w:r>
      <w:r w:rsidR="00E62B8D" w:rsidRPr="002777B3">
        <w:t xml:space="preserve">). </w:t>
      </w:r>
    </w:p>
    <w:p w14:paraId="3122B775" w14:textId="771E11FD" w:rsidR="00E62B8D" w:rsidRPr="002777B3" w:rsidRDefault="00E62B8D" w:rsidP="002777B3">
      <w:r w:rsidRPr="002777B3">
        <w:t>At the end of the</w:t>
      </w:r>
      <w:r w:rsidR="00921F5C" w:rsidRPr="002777B3">
        <w:t xml:space="preserve"> double blind </w:t>
      </w:r>
      <w:r w:rsidR="00407FBB">
        <w:t>p</w:t>
      </w:r>
      <w:r w:rsidRPr="002777B3">
        <w:t>eriod (</w:t>
      </w:r>
      <w:r w:rsidR="002777B3">
        <w:t xml:space="preserve">that is, </w:t>
      </w:r>
      <w:r w:rsidRPr="002777B3">
        <w:t>Week 16), subjects in the placebo group were randomised in a 1:1 ratio (stratified</w:t>
      </w:r>
      <w:r w:rsidR="002777B3">
        <w:t xml:space="preserve"> by Week 16 EASI 50 responders (yes/no)</w:t>
      </w:r>
      <w:r w:rsidRPr="002777B3">
        <w:t xml:space="preserve"> plus, the above stated stratification parameters) to receive daily oral doses of</w:t>
      </w:r>
      <w:r w:rsidR="002777B3">
        <w:t xml:space="preserve"> either u</w:t>
      </w:r>
      <w:r w:rsidRPr="002777B3">
        <w:t>padacitinib 15 mg or 30 mg in the</w:t>
      </w:r>
      <w:r w:rsidR="00921F5C" w:rsidRPr="002777B3">
        <w:t xml:space="preserve"> blinded extension </w:t>
      </w:r>
      <w:r w:rsidRPr="002777B3">
        <w:t xml:space="preserve">period (up to Week 136). </w:t>
      </w:r>
    </w:p>
    <w:p w14:paraId="355CF288" w14:textId="70E638EB" w:rsidR="00E62B8D" w:rsidRPr="002777B3" w:rsidRDefault="00E62B8D" w:rsidP="002777B3">
      <w:r w:rsidRPr="002777B3">
        <w:t>Sub</w:t>
      </w:r>
      <w:r w:rsidR="002777B3">
        <w:t>jects originally randomised to upadacitinib continued u</w:t>
      </w:r>
      <w:r w:rsidRPr="002777B3">
        <w:t>padacitinib in the</w:t>
      </w:r>
      <w:r w:rsidR="00921F5C" w:rsidRPr="002777B3">
        <w:t xml:space="preserve"> blinded extension </w:t>
      </w:r>
      <w:r w:rsidR="002777B3">
        <w:t>p</w:t>
      </w:r>
      <w:r w:rsidRPr="002777B3">
        <w:t>eriod at the same dose.</w:t>
      </w:r>
    </w:p>
    <w:p w14:paraId="49D113A3" w14:textId="284CCD6D" w:rsidR="00E62B8D" w:rsidRPr="002777B3" w:rsidRDefault="00E62B8D" w:rsidP="002777B3">
      <w:r w:rsidRPr="002777B3">
        <w:t>Regarding</w:t>
      </w:r>
      <w:r w:rsidR="00921F5C" w:rsidRPr="002777B3">
        <w:t xml:space="preserve"> blinded extension </w:t>
      </w:r>
      <w:r w:rsidRPr="002777B3">
        <w:t>blinding:</w:t>
      </w:r>
    </w:p>
    <w:p w14:paraId="74EB31F2" w14:textId="514C407A" w:rsidR="00E62B8D" w:rsidRPr="002777B3" w:rsidRDefault="00E533ED" w:rsidP="002777B3">
      <w:pPr>
        <w:pStyle w:val="ListBullet"/>
      </w:pPr>
      <w:r>
        <w:lastRenderedPageBreak/>
        <w:t>s</w:t>
      </w:r>
      <w:r w:rsidR="00E62B8D" w:rsidRPr="002777B3">
        <w:t>tudy sites and subjects were to remain b</w:t>
      </w:r>
      <w:r w:rsidR="002777B3">
        <w:t xml:space="preserve">linded for the duration of the </w:t>
      </w:r>
      <w:r w:rsidR="00E62B8D" w:rsidRPr="002777B3">
        <w:t>study;</w:t>
      </w:r>
      <w:r>
        <w:t xml:space="preserve"> and</w:t>
      </w:r>
    </w:p>
    <w:p w14:paraId="7DE81A08" w14:textId="71ED52A2" w:rsidR="00E62B8D" w:rsidRPr="002777B3" w:rsidRDefault="00E533ED" w:rsidP="002777B3">
      <w:pPr>
        <w:pStyle w:val="ListBullet"/>
      </w:pPr>
      <w:r>
        <w:t>t</w:t>
      </w:r>
      <w:r w:rsidR="00E62B8D" w:rsidRPr="002777B3">
        <w:t xml:space="preserve">he study team only had access to unblinded subject level data for </w:t>
      </w:r>
      <w:r w:rsidR="00921F5C" w:rsidRPr="002777B3">
        <w:t>adverse events</w:t>
      </w:r>
      <w:r>
        <w:t xml:space="preserve"> of special interests and </w:t>
      </w:r>
      <w:r w:rsidR="00921F5C" w:rsidRPr="002777B3">
        <w:t>adverse events</w:t>
      </w:r>
      <w:r w:rsidR="00E62B8D" w:rsidRPr="002777B3">
        <w:t xml:space="preserve"> for regulatory submissions;</w:t>
      </w:r>
    </w:p>
    <w:p w14:paraId="200DDABE" w14:textId="2638BADA" w:rsidR="00E62B8D" w:rsidRPr="00C72344" w:rsidRDefault="00E62B8D" w:rsidP="00E533ED">
      <w:pPr>
        <w:rPr>
          <w:lang w:val="en-US"/>
        </w:rPr>
      </w:pPr>
      <w:r w:rsidRPr="00C72344">
        <w:rPr>
          <w:lang w:val="en-US"/>
        </w:rPr>
        <w:t>In or</w:t>
      </w:r>
      <w:r w:rsidR="00E533ED">
        <w:rPr>
          <w:lang w:val="en-US"/>
        </w:rPr>
        <w:t>der to maintain the blind, the u</w:t>
      </w:r>
      <w:r w:rsidRPr="00C72344">
        <w:rPr>
          <w:lang w:val="en-US"/>
        </w:rPr>
        <w:t>padacitinib tablets and p</w:t>
      </w:r>
      <w:r w:rsidR="00E533ED">
        <w:rPr>
          <w:lang w:val="en-US"/>
        </w:rPr>
        <w:t>lacebo tablets provided for the</w:t>
      </w:r>
      <w:r>
        <w:rPr>
          <w:lang w:val="en-US"/>
        </w:rPr>
        <w:t xml:space="preserve"> </w:t>
      </w:r>
      <w:r w:rsidRPr="00C72344">
        <w:rPr>
          <w:lang w:val="en-US"/>
        </w:rPr>
        <w:t xml:space="preserve">study were identical in appearance. </w:t>
      </w:r>
    </w:p>
    <w:p w14:paraId="23B0C0AB" w14:textId="320FD4B8" w:rsidR="00E62B8D" w:rsidRDefault="00E533ED" w:rsidP="00E533ED">
      <w:pPr>
        <w:pStyle w:val="Heading5"/>
      </w:pPr>
      <w:r>
        <w:t>Efficacy parameters and endpoints</w:t>
      </w:r>
    </w:p>
    <w:p w14:paraId="2460570F" w14:textId="30144B3C" w:rsidR="007A4E6C" w:rsidRPr="007A4E6C" w:rsidRDefault="007A4E6C" w:rsidP="007A4E6C">
      <w:r>
        <w:t xml:space="preserve">See Section: </w:t>
      </w:r>
      <w:r w:rsidRPr="007A4E6C">
        <w:rPr>
          <w:i/>
        </w:rPr>
        <w:fldChar w:fldCharType="begin"/>
      </w:r>
      <w:r w:rsidRPr="007A4E6C">
        <w:rPr>
          <w:i/>
        </w:rPr>
        <w:instrText xml:space="preserve"> REF _Ref125651610 \h </w:instrText>
      </w:r>
      <w:r>
        <w:rPr>
          <w:i/>
        </w:rPr>
        <w:instrText xml:space="preserve"> \* MERGEFORMAT </w:instrText>
      </w:r>
      <w:r w:rsidRPr="007A4E6C">
        <w:rPr>
          <w:i/>
        </w:rPr>
      </w:r>
      <w:r w:rsidRPr="007A4E6C">
        <w:rPr>
          <w:i/>
        </w:rPr>
        <w:fldChar w:fldCharType="separate"/>
      </w:r>
      <w:r w:rsidR="00B51532" w:rsidRPr="00B51532">
        <w:rPr>
          <w:i/>
        </w:rPr>
        <w:t>Scoring systems used in the clinical studies</w:t>
      </w:r>
      <w:r w:rsidRPr="007A4E6C">
        <w:rPr>
          <w:i/>
        </w:rPr>
        <w:fldChar w:fldCharType="end"/>
      </w:r>
      <w:r>
        <w:t xml:space="preserve"> for further details on scoring systems and measures.</w:t>
      </w:r>
    </w:p>
    <w:p w14:paraId="05A7F33F" w14:textId="2F8072B9" w:rsidR="00E533ED" w:rsidRDefault="00E62B8D" w:rsidP="00E533ED">
      <w:r w:rsidRPr="00E533ED">
        <w:rPr>
          <w:i/>
        </w:rPr>
        <w:t>Co-primary and key secondary</w:t>
      </w:r>
      <w:r w:rsidR="00E533ED">
        <w:rPr>
          <w:i/>
        </w:rPr>
        <w:t xml:space="preserve"> endpoints</w:t>
      </w:r>
      <w:r w:rsidR="00E533ED">
        <w:t>:</w:t>
      </w:r>
    </w:p>
    <w:p w14:paraId="4EDC33AA" w14:textId="0358EDD0" w:rsidR="00E62B8D" w:rsidRPr="00E533ED" w:rsidRDefault="00E62B8D" w:rsidP="00E533ED">
      <w:pPr>
        <w:pStyle w:val="ListBullet"/>
      </w:pPr>
      <w:r w:rsidRPr="00E533ED">
        <w:t>to d</w:t>
      </w:r>
      <w:r w:rsidR="00E533ED">
        <w:t>emonstrate superiority of each u</w:t>
      </w:r>
      <w:r w:rsidRPr="00E533ED">
        <w:t xml:space="preserve">padacitinib dose </w:t>
      </w:r>
      <w:r w:rsidR="00E533ED">
        <w:t>versus p</w:t>
      </w:r>
      <w:r w:rsidRPr="00E533ED">
        <w:t>lacebo.</w:t>
      </w:r>
    </w:p>
    <w:p w14:paraId="70B6EEE6" w14:textId="4E4F413C" w:rsidR="00E62B8D" w:rsidRPr="00E533ED" w:rsidRDefault="00E533ED" w:rsidP="00E533ED">
      <w:pPr>
        <w:rPr>
          <w:i/>
        </w:rPr>
      </w:pPr>
      <w:r w:rsidRPr="00E533ED">
        <w:rPr>
          <w:i/>
        </w:rPr>
        <w:t>Co-p</w:t>
      </w:r>
      <w:r w:rsidR="00E62B8D" w:rsidRPr="00E533ED">
        <w:rPr>
          <w:i/>
        </w:rPr>
        <w:t>rimary</w:t>
      </w:r>
      <w:r w:rsidRPr="00E533ED">
        <w:rPr>
          <w:i/>
        </w:rPr>
        <w:t xml:space="preserve"> endpoints</w:t>
      </w:r>
      <w:r w:rsidR="00E62B8D" w:rsidRPr="00E533ED">
        <w:rPr>
          <w:i/>
        </w:rPr>
        <w:t xml:space="preserve">: </w:t>
      </w:r>
    </w:p>
    <w:p w14:paraId="3C60DE2D" w14:textId="77777777" w:rsidR="00E533ED" w:rsidRPr="00E533ED" w:rsidRDefault="00E533ED" w:rsidP="00E533ED">
      <w:pPr>
        <w:pStyle w:val="ListBullet"/>
        <w:rPr>
          <w:lang w:val="en-US"/>
        </w:rPr>
      </w:pPr>
      <w:r>
        <w:rPr>
          <w:lang w:val="en-US"/>
        </w:rPr>
        <w:t>the p</w:t>
      </w:r>
      <w:r w:rsidR="00E62B8D" w:rsidRPr="000415A1">
        <w:rPr>
          <w:lang w:val="en-US"/>
        </w:rPr>
        <w:t xml:space="preserve">roportion of subjects achieving at least a 75% reduction in EASI (EASI 75) from Baseline at </w:t>
      </w:r>
      <w:r w:rsidR="00E62B8D" w:rsidRPr="00E533ED">
        <w:t>Week 16</w:t>
      </w:r>
      <w:r>
        <w:t>; and</w:t>
      </w:r>
    </w:p>
    <w:p w14:paraId="13B7D480" w14:textId="16BB58DE" w:rsidR="00E62B8D" w:rsidRPr="00E533ED" w:rsidRDefault="00E533ED" w:rsidP="00E533ED">
      <w:pPr>
        <w:pStyle w:val="ListBullet"/>
        <w:rPr>
          <w:lang w:val="en-US"/>
        </w:rPr>
      </w:pPr>
      <w:r>
        <w:t>the p</w:t>
      </w:r>
      <w:r w:rsidR="00E62B8D" w:rsidRPr="00E533ED">
        <w:t>roportion of subjects achieving vIGA-AD of 0 or 1 (clear or almost clear) with at least two grades of red</w:t>
      </w:r>
      <w:r>
        <w:t>uction from Baseline at Week 16.</w:t>
      </w:r>
    </w:p>
    <w:p w14:paraId="753D9158" w14:textId="35B885BE" w:rsidR="00E533ED" w:rsidRDefault="00E533ED" w:rsidP="00E533ED">
      <w:pPr>
        <w:rPr>
          <w:i/>
        </w:rPr>
      </w:pPr>
      <w:r>
        <w:rPr>
          <w:i/>
        </w:rPr>
        <w:t>Key secondary endpoints</w:t>
      </w:r>
    </w:p>
    <w:p w14:paraId="11E3A407" w14:textId="68E56A31" w:rsidR="00E62B8D" w:rsidRPr="00E533ED" w:rsidRDefault="00E533ED" w:rsidP="00E533ED">
      <w:r>
        <w:t>Note that t</w:t>
      </w:r>
      <w:r w:rsidRPr="00E533ED">
        <w:t>hese k</w:t>
      </w:r>
      <w:r w:rsidR="00E62B8D" w:rsidRPr="00E533ED">
        <w:t>ey secondary</w:t>
      </w:r>
      <w:r w:rsidRPr="00E533ED">
        <w:t xml:space="preserve"> endpoints were negotiated with the EMA for the EU, and the US FDA for the USA.</w:t>
      </w:r>
      <w:r>
        <w:t xml:space="preserve"> </w:t>
      </w:r>
      <w:r w:rsidR="00E62B8D" w:rsidRPr="00E533ED">
        <w:t>Key secondary endpoints for EU/EMA regulatory purposes were ide</w:t>
      </w:r>
      <w:r w:rsidRPr="00E533ED">
        <w:t xml:space="preserve">ntical to those described for </w:t>
      </w:r>
      <w:r w:rsidR="00E62B8D" w:rsidRPr="00E533ED">
        <w:t>US</w:t>
      </w:r>
      <w:r w:rsidRPr="00E533ED">
        <w:t>/FDA regulatory purposes.</w:t>
      </w:r>
      <w:r>
        <w:t xml:space="preserve"> </w:t>
      </w:r>
      <w:r w:rsidR="00E62B8D" w:rsidRPr="00E533ED">
        <w:t>EMA/EU regulatory purposes, with the exception of 2 secondary endpoints which were not included in the US/FDA list (perce</w:t>
      </w:r>
      <w:r w:rsidRPr="00E533ED">
        <w:t>nt change in EASI score and of Worst Pruritus NRS at W</w:t>
      </w:r>
      <w:r w:rsidR="00E62B8D" w:rsidRPr="00E533ED">
        <w:t>eek 16</w:t>
      </w:r>
      <w:r w:rsidRPr="00E533ED">
        <w:t>).</w:t>
      </w:r>
    </w:p>
    <w:p w14:paraId="6AB24D0D" w14:textId="4E39CC92" w:rsidR="00E62B8D" w:rsidRPr="00E533ED" w:rsidRDefault="00E62B8D" w:rsidP="00E533ED">
      <w:r w:rsidRPr="00E533ED">
        <w:t xml:space="preserve">The following key multiplicity-adjusted secondary endpoints were analysed to demonstrate superiority of </w:t>
      </w:r>
      <w:r w:rsidR="00E533ED">
        <w:t>each upadacitinib dose versus</w:t>
      </w:r>
      <w:r w:rsidRPr="00E533ED">
        <w:t xml:space="preserve"> plac</w:t>
      </w:r>
      <w:r w:rsidR="00E533ED">
        <w:t>ebo, unless otherwise specified:</w:t>
      </w:r>
    </w:p>
    <w:p w14:paraId="5542D7FE" w14:textId="7188224B" w:rsidR="00E62B8D" w:rsidRPr="00E533ED" w:rsidRDefault="00E62B8D" w:rsidP="00E533ED">
      <w:pPr>
        <w:pStyle w:val="ListBullet"/>
      </w:pPr>
      <w:r w:rsidRPr="00E533ED">
        <w:t xml:space="preserve">Proportion of subjects achieving an improvement (reduction) in Worst Pruritus Numerical Rating </w:t>
      </w:r>
    </w:p>
    <w:p w14:paraId="0065172D" w14:textId="7ADB1992" w:rsidR="00E62B8D" w:rsidRPr="00E533ED" w:rsidRDefault="00E62B8D" w:rsidP="00E533ED">
      <w:pPr>
        <w:pStyle w:val="ListBullet"/>
      </w:pPr>
      <w:r w:rsidRPr="00E533ED">
        <w:t>Scale (NRS) ≥ 4 from Baseline at Week 16 for subjects with Worst Pruritus NRS ≥ 4 at Baseline;</w:t>
      </w:r>
    </w:p>
    <w:p w14:paraId="4136BC0A" w14:textId="08FBDA04" w:rsidR="00E62B8D" w:rsidRPr="00E533ED" w:rsidRDefault="00E62B8D" w:rsidP="00E533ED">
      <w:pPr>
        <w:pStyle w:val="ListBullet"/>
      </w:pPr>
      <w:r w:rsidRPr="00E533ED">
        <w:t>Proportion of subjects achieving a 90% reduction in EASI (EASI 90) at Week 16;</w:t>
      </w:r>
    </w:p>
    <w:p w14:paraId="6BD8A94B" w14:textId="28C1D89F" w:rsidR="00E62B8D" w:rsidRPr="00E533ED" w:rsidRDefault="00E62B8D" w:rsidP="00E533ED">
      <w:pPr>
        <w:pStyle w:val="ListBullet"/>
      </w:pPr>
      <w:r w:rsidRPr="00E533ED">
        <w:t>Percent change from Baseline of Worst Pruritus NRS at Week 16;</w:t>
      </w:r>
    </w:p>
    <w:p w14:paraId="71E38C6B" w14:textId="3346A590" w:rsidR="00E62B8D" w:rsidRPr="00E533ED" w:rsidRDefault="00E62B8D" w:rsidP="00E533ED">
      <w:pPr>
        <w:pStyle w:val="ListBullet"/>
      </w:pPr>
      <w:r w:rsidRPr="00E533ED">
        <w:t>Percent change in EASI score from Baseline at Week 16;</w:t>
      </w:r>
    </w:p>
    <w:p w14:paraId="418ECD8C" w14:textId="5535ADFA" w:rsidR="00E62B8D" w:rsidRPr="00E533ED" w:rsidRDefault="00E62B8D" w:rsidP="00E533ED">
      <w:pPr>
        <w:pStyle w:val="ListBullet"/>
      </w:pPr>
      <w:r w:rsidRPr="00E533ED">
        <w:t>Proportion of subjects achieving an improvement (red</w:t>
      </w:r>
      <w:r w:rsidR="00E533ED">
        <w:t>uction) in Worst Pruritus NRS ≥ </w:t>
      </w:r>
      <w:r w:rsidRPr="00E533ED">
        <w:t xml:space="preserve">4 from </w:t>
      </w:r>
    </w:p>
    <w:p w14:paraId="1E704443" w14:textId="0BC7CDA3" w:rsidR="00E62B8D" w:rsidRPr="00E533ED" w:rsidRDefault="00E62B8D" w:rsidP="00E533ED">
      <w:pPr>
        <w:pStyle w:val="ListBullet"/>
      </w:pPr>
      <w:r w:rsidRPr="00E533ED">
        <w:t>Baseline at Week 4 for subjects with Worst Pruritus NRS ≥ 4 at Baseline;</w:t>
      </w:r>
    </w:p>
    <w:p w14:paraId="53F76DFE" w14:textId="1B19FB5E" w:rsidR="00E62B8D" w:rsidRPr="00E533ED" w:rsidRDefault="00E62B8D" w:rsidP="00E533ED">
      <w:pPr>
        <w:pStyle w:val="ListBullet"/>
      </w:pPr>
      <w:r w:rsidRPr="00E533ED">
        <w:t>Proportion of subjects achieving EASI 75 at Week 4;</w:t>
      </w:r>
    </w:p>
    <w:p w14:paraId="56439731" w14:textId="55CEE64E" w:rsidR="00E62B8D" w:rsidRPr="00E533ED" w:rsidRDefault="00E62B8D" w:rsidP="00E533ED">
      <w:pPr>
        <w:pStyle w:val="ListBullet"/>
      </w:pPr>
      <w:r w:rsidRPr="00E533ED">
        <w:t>Proportion of subjects achieving EASI 75 at Week 2;</w:t>
      </w:r>
    </w:p>
    <w:p w14:paraId="7A0C1E8B" w14:textId="47683B49" w:rsidR="00E62B8D" w:rsidRPr="00E533ED" w:rsidRDefault="00E62B8D" w:rsidP="00E533ED">
      <w:pPr>
        <w:pStyle w:val="ListBullet"/>
      </w:pPr>
      <w:r w:rsidRPr="00E533ED">
        <w:t>Proportion of subjects achieving EASI 90 at Week 4;</w:t>
      </w:r>
    </w:p>
    <w:p w14:paraId="3DFCC257" w14:textId="0A665AF8" w:rsidR="00E62B8D" w:rsidRPr="00E533ED" w:rsidRDefault="00E62B8D" w:rsidP="00E533ED">
      <w:pPr>
        <w:pStyle w:val="ListBullet"/>
      </w:pPr>
      <w:r w:rsidRPr="00E533ED">
        <w:t>Proportion of subjects achieving EASI 100 at Week 16 for 30 mg;</w:t>
      </w:r>
    </w:p>
    <w:p w14:paraId="51B75B22" w14:textId="65D95215" w:rsidR="00E62B8D" w:rsidRPr="00E533ED" w:rsidRDefault="00E62B8D" w:rsidP="00E533ED">
      <w:pPr>
        <w:pStyle w:val="ListBullet"/>
      </w:pPr>
      <w:r w:rsidRPr="00E533ED">
        <w:t>Proportion of subjects achieving an improvement (reduction) in Worst</w:t>
      </w:r>
      <w:r w:rsidR="00E533ED">
        <w:t xml:space="preserve"> Pruritus NRS ≥ </w:t>
      </w:r>
      <w:r w:rsidRPr="00E533ED">
        <w:t>4 from Baseline at Week 1 for subjects with Wor</w:t>
      </w:r>
      <w:r w:rsidR="00E533ED">
        <w:t>st Pruritus NRS ≥ 4 at Baseline.</w:t>
      </w:r>
    </w:p>
    <w:p w14:paraId="023017AC" w14:textId="55906977" w:rsidR="00E62B8D" w:rsidRPr="00E533ED" w:rsidRDefault="00E62B8D" w:rsidP="00E533ED">
      <w:pPr>
        <w:pStyle w:val="Heading5"/>
      </w:pPr>
      <w:r w:rsidRPr="00BA322A">
        <w:lastRenderedPageBreak/>
        <w:t>P</w:t>
      </w:r>
      <w:r w:rsidR="00E533ED">
        <w:t>articipant flow</w:t>
      </w:r>
    </w:p>
    <w:p w14:paraId="386D37D8" w14:textId="77777777" w:rsidR="00E533ED" w:rsidRDefault="00E62B8D" w:rsidP="00E533ED">
      <w:r w:rsidRPr="00E533ED">
        <w:t xml:space="preserve">Overall, 1160 subjects were screened and 901 subjects were randomised to the </w:t>
      </w:r>
      <w:r w:rsidR="00E533ED">
        <w:t>study treatments:</w:t>
      </w:r>
    </w:p>
    <w:p w14:paraId="42097084" w14:textId="1A8BAAA3" w:rsidR="00A15D5B" w:rsidRDefault="00A15D5B" w:rsidP="00E533ED">
      <w:pPr>
        <w:pStyle w:val="ListBullet"/>
      </w:pPr>
      <w:r>
        <w:t xml:space="preserve">n = </w:t>
      </w:r>
      <w:r w:rsidR="00E533ED">
        <w:t>300</w:t>
      </w:r>
      <w:r>
        <w:t xml:space="preserve"> to</w:t>
      </w:r>
      <w:r w:rsidR="00E533ED">
        <w:t xml:space="preserve"> </w:t>
      </w:r>
      <w:r w:rsidR="00E533ED" w:rsidRPr="00E533ED">
        <w:t>upadacitinib 15</w:t>
      </w:r>
      <w:r>
        <w:t xml:space="preserve"> </w:t>
      </w:r>
      <w:r w:rsidR="00E533ED" w:rsidRPr="00E533ED">
        <w:t>mg + topical corticosteroids</w:t>
      </w:r>
    </w:p>
    <w:p w14:paraId="1AED36CD" w14:textId="782761F9" w:rsidR="00A15D5B" w:rsidRDefault="00A15D5B" w:rsidP="00E533ED">
      <w:pPr>
        <w:pStyle w:val="ListBullet"/>
      </w:pPr>
      <w:r>
        <w:t xml:space="preserve">n = </w:t>
      </w:r>
      <w:r w:rsidR="00E62B8D" w:rsidRPr="00E533ED">
        <w:t xml:space="preserve">297 </w:t>
      </w:r>
      <w:r w:rsidRPr="00E533ED">
        <w:t>to upadacitinib 30</w:t>
      </w:r>
      <w:r>
        <w:t> mg + topical corticosteroids</w:t>
      </w:r>
    </w:p>
    <w:p w14:paraId="1179C08D" w14:textId="45B160A1" w:rsidR="00E62B8D" w:rsidRPr="00E533ED" w:rsidRDefault="00A15D5B" w:rsidP="00E533ED">
      <w:pPr>
        <w:pStyle w:val="ListBullet"/>
      </w:pPr>
      <w:r>
        <w:t xml:space="preserve">n = </w:t>
      </w:r>
      <w:r w:rsidR="00E62B8D" w:rsidRPr="00E533ED">
        <w:t xml:space="preserve">304 </w:t>
      </w:r>
      <w:r>
        <w:t>to</w:t>
      </w:r>
      <w:r w:rsidR="00E533ED" w:rsidRPr="00E533ED">
        <w:t xml:space="preserve"> pl</w:t>
      </w:r>
      <w:r>
        <w:t>acebo + topical corticosteroids</w:t>
      </w:r>
      <w:r w:rsidR="00E533ED" w:rsidRPr="00E533ED">
        <w:t>.</w:t>
      </w:r>
    </w:p>
    <w:p w14:paraId="06DC9D62" w14:textId="605F7F40" w:rsidR="00E62B8D" w:rsidRPr="00E533ED" w:rsidRDefault="00E62B8D" w:rsidP="00E533ED">
      <w:r w:rsidRPr="00E533ED">
        <w:t>Almost all subjects completed study treatment in the</w:t>
      </w:r>
      <w:r w:rsidR="00921F5C" w:rsidRPr="00E533ED">
        <w:t xml:space="preserve"> double blind </w:t>
      </w:r>
      <w:r w:rsidR="00A15D5B">
        <w:t>p</w:t>
      </w:r>
      <w:r w:rsidRPr="00E533ED">
        <w:t>eriod (94.8%):</w:t>
      </w:r>
    </w:p>
    <w:p w14:paraId="5B9CA985" w14:textId="7B2970B6" w:rsidR="00A15D5B" w:rsidRDefault="00921F5C" w:rsidP="00A15D5B">
      <w:pPr>
        <w:pStyle w:val="ListBullet"/>
      </w:pPr>
      <w:r w:rsidRPr="00A15D5B">
        <w:t>adverse events</w:t>
      </w:r>
      <w:r w:rsidR="00E62B8D" w:rsidRPr="00A15D5B">
        <w:t xml:space="preserve"> (&lt; 5 subjects in any treatment groups) were the most common reasons for study drug</w:t>
      </w:r>
      <w:r w:rsidR="00B51532">
        <w:t xml:space="preserve"> </w:t>
      </w:r>
      <w:r w:rsidR="00E62B8D" w:rsidRPr="00A15D5B">
        <w:t>discontinuation</w:t>
      </w:r>
      <w:r w:rsidR="00A15D5B">
        <w:t xml:space="preserve"> </w:t>
      </w:r>
      <w:r w:rsidR="00E62B8D" w:rsidRPr="00A15D5B">
        <w:t>for all subjects, including adolescents);</w:t>
      </w:r>
    </w:p>
    <w:p w14:paraId="74F20AF9" w14:textId="77777777" w:rsidR="00A15D5B" w:rsidRDefault="00E62B8D" w:rsidP="00A15D5B">
      <w:pPr>
        <w:pStyle w:val="ListBullet"/>
      </w:pPr>
      <w:r w:rsidRPr="00A15D5B">
        <w:t xml:space="preserve">more subjects on placebo (25.7%) received rescue therapy than subjects on </w:t>
      </w:r>
      <w:r w:rsidR="00A15D5B">
        <w:t xml:space="preserve">upadacitinib (5.3 to </w:t>
      </w:r>
      <w:r w:rsidRPr="00A15D5B">
        <w:t>5.4%);</w:t>
      </w:r>
    </w:p>
    <w:p w14:paraId="22934FCF" w14:textId="588F0D9A" w:rsidR="00E62B8D" w:rsidRPr="00A15D5B" w:rsidRDefault="00E62B8D" w:rsidP="00A15D5B">
      <w:pPr>
        <w:pStyle w:val="ListBullet"/>
      </w:pPr>
      <w:r w:rsidRPr="00A15D5B">
        <w:t>most adolescents (95.7%) completed study drug in the</w:t>
      </w:r>
      <w:r w:rsidR="00921F5C" w:rsidRPr="00A15D5B">
        <w:t xml:space="preserve"> double blind </w:t>
      </w:r>
      <w:r w:rsidR="00A15D5B">
        <w:t>p</w:t>
      </w:r>
      <w:r w:rsidRPr="00A15D5B">
        <w:t xml:space="preserve">eriod </w:t>
      </w:r>
      <w:r w:rsidR="00A15D5B">
        <w:t>(4 </w:t>
      </w:r>
      <w:r w:rsidRPr="00A15D5B">
        <w:t>adolescents discontinued the study drug due (2 sub</w:t>
      </w:r>
      <w:r w:rsidR="00A15D5B">
        <w:t>jects were lost to follow-up, one subject for a treatment-emergent adverse event, and one</w:t>
      </w:r>
      <w:r w:rsidRPr="00A15D5B">
        <w:t xml:space="preserve"> subject withdrew consent)</w:t>
      </w:r>
      <w:r w:rsidR="00A15D5B">
        <w:t>).</w:t>
      </w:r>
    </w:p>
    <w:p w14:paraId="529BF7C1" w14:textId="3193AA88" w:rsidR="00E62B8D" w:rsidRPr="00A15D5B" w:rsidRDefault="00E62B8D" w:rsidP="00A15D5B">
      <w:r w:rsidRPr="00A15D5B">
        <w:t>Six subjects who discontinued study drug in the</w:t>
      </w:r>
      <w:r w:rsidR="00921F5C" w:rsidRPr="00A15D5B">
        <w:t xml:space="preserve"> double blind </w:t>
      </w:r>
      <w:r w:rsidR="00A15D5B">
        <w:t>p</w:t>
      </w:r>
      <w:r w:rsidRPr="00A15D5B">
        <w:t>eriod, continued to be fol</w:t>
      </w:r>
      <w:r w:rsidR="00A15D5B">
        <w:t>lowed in the</w:t>
      </w:r>
      <w:r w:rsidRPr="00A15D5B">
        <w:t xml:space="preserve"> study as permitted by the protocol while off study drug treatment.</w:t>
      </w:r>
    </w:p>
    <w:p w14:paraId="447C98C8" w14:textId="53A32B70" w:rsidR="00E62B8D" w:rsidRPr="00A15D5B" w:rsidRDefault="00E62B8D" w:rsidP="00A15D5B">
      <w:r w:rsidRPr="00A15D5B">
        <w:t>A total of 854 subjects (97.4%) including 111 adolescents, continued into the</w:t>
      </w:r>
      <w:r w:rsidR="00921F5C" w:rsidRPr="00A15D5B">
        <w:t xml:space="preserve"> blinded extension </w:t>
      </w:r>
      <w:r w:rsidR="00A15D5B">
        <w:t>p</w:t>
      </w:r>
      <w:r w:rsidRPr="00A15D5B">
        <w:t>eriod:</w:t>
      </w:r>
    </w:p>
    <w:p w14:paraId="7AFDF92F" w14:textId="77777777" w:rsidR="00E62B8D" w:rsidRPr="00A15D5B" w:rsidRDefault="00E62B8D" w:rsidP="00A15D5B">
      <w:pPr>
        <w:pStyle w:val="ListBullet"/>
      </w:pPr>
      <w:r w:rsidRPr="00A15D5B">
        <w:t>at the cut-off date, 50 subjects (5.7 %) including 7 adolescents discontinued study treatment;</w:t>
      </w:r>
    </w:p>
    <w:p w14:paraId="434200EC" w14:textId="4ABCC320" w:rsidR="00E62B8D" w:rsidRPr="00A15D5B" w:rsidRDefault="00E62B8D" w:rsidP="00A15D5B">
      <w:pPr>
        <w:pStyle w:val="ListBullet"/>
      </w:pPr>
      <w:r w:rsidRPr="00A15D5B">
        <w:t>the most frequent reason for treatment discontinuation in the</w:t>
      </w:r>
      <w:r w:rsidR="00921F5C" w:rsidRPr="00A15D5B">
        <w:t xml:space="preserve"> blinded extension </w:t>
      </w:r>
      <w:r w:rsidR="00A15D5B">
        <w:t xml:space="preserve">period </w:t>
      </w:r>
      <w:r w:rsidRPr="00A15D5B">
        <w:t>was lack of efficacy, which was more frequently reported</w:t>
      </w:r>
      <w:r w:rsidR="00B51532">
        <w:t xml:space="preserve"> </w:t>
      </w:r>
      <w:r w:rsidRPr="00A15D5B">
        <w:t xml:space="preserve">in the </w:t>
      </w:r>
      <w:r w:rsidR="00921F5C" w:rsidRPr="00A15D5B">
        <w:t>placebo</w:t>
      </w:r>
      <w:r w:rsidRPr="00A15D5B">
        <w:t xml:space="preserve"> + </w:t>
      </w:r>
      <w:r w:rsidR="00A15D5B" w:rsidRPr="00A15D5B">
        <w:t>topical corticosteroids</w:t>
      </w:r>
      <w:r w:rsidRPr="00A15D5B">
        <w:t>/</w:t>
      </w:r>
      <w:r w:rsidR="00921F5C" w:rsidRPr="00A15D5B">
        <w:t>upadacitinib</w:t>
      </w:r>
      <w:r w:rsidRPr="00A15D5B">
        <w:t xml:space="preserve"> </w:t>
      </w:r>
      <w:r w:rsidR="005D7175">
        <w:t>15 mg</w:t>
      </w:r>
      <w:r w:rsidRPr="00A15D5B">
        <w:t xml:space="preserve"> </w:t>
      </w:r>
      <w:r w:rsidR="00A15D5B">
        <w:t>once daily</w:t>
      </w:r>
      <w:r w:rsidRPr="00A15D5B">
        <w:t xml:space="preserve"> +</w:t>
      </w:r>
      <w:r w:rsidR="00A15D5B">
        <w:t xml:space="preserve">topical corticosteroids </w:t>
      </w:r>
      <w:r w:rsidR="00A15D5B" w:rsidRPr="00A15D5B">
        <w:t>and upadacitinib 15</w:t>
      </w:r>
      <w:r w:rsidR="00A15D5B">
        <w:t xml:space="preserve"> </w:t>
      </w:r>
      <w:r w:rsidR="00A15D5B" w:rsidRPr="00A15D5B">
        <w:t xml:space="preserve">mg </w:t>
      </w:r>
      <w:r w:rsidR="00A15D5B">
        <w:t>once daily</w:t>
      </w:r>
      <w:r w:rsidR="00A15D5B" w:rsidRPr="00A15D5B">
        <w:t xml:space="preserve"> + topical corticosteroids</w:t>
      </w:r>
      <w:r w:rsidRPr="00A15D5B">
        <w:t xml:space="preserve">. For the later, the respective (percentage %) values were: </w:t>
      </w:r>
    </w:p>
    <w:p w14:paraId="562A2930" w14:textId="15403DC5" w:rsidR="00E62B8D" w:rsidRPr="00A15D5B" w:rsidRDefault="00A15D5B" w:rsidP="00A15D5B">
      <w:pPr>
        <w:pStyle w:val="ListBullet2"/>
      </w:pPr>
      <w:r>
        <w:t>Overall</w:t>
      </w:r>
      <w:r w:rsidR="00B51532">
        <w:t xml:space="preserve"> </w:t>
      </w:r>
      <w:r>
        <w:t xml:space="preserve">subjects, </w:t>
      </w:r>
      <w:r w:rsidR="00E62B8D" w:rsidRPr="00A15D5B">
        <w:t>2.8 and 5;</w:t>
      </w:r>
    </w:p>
    <w:p w14:paraId="48DF4B49" w14:textId="72BF1961" w:rsidR="00E62B8D" w:rsidRPr="00A15D5B" w:rsidRDefault="00A15D5B" w:rsidP="00A15D5B">
      <w:pPr>
        <w:pStyle w:val="ListBullet2"/>
      </w:pPr>
      <w:r>
        <w:t xml:space="preserve">Adolescent subjects, </w:t>
      </w:r>
      <w:r w:rsidR="00E62B8D" w:rsidRPr="00A15D5B">
        <w:t>10.5 and 5.1.</w:t>
      </w:r>
    </w:p>
    <w:p w14:paraId="3958028A" w14:textId="29BEC858" w:rsidR="00E62B8D" w:rsidRPr="00A15D5B" w:rsidRDefault="00A15D5B" w:rsidP="00A15D5B">
      <w:pPr>
        <w:pStyle w:val="ListBullet"/>
      </w:pPr>
      <w:r>
        <w:t>F</w:t>
      </w:r>
      <w:r w:rsidRPr="00A15D5B">
        <w:t>or the other treatment ratio (placebo + topical corticosteroids/upadacitinib 30</w:t>
      </w:r>
      <w:r>
        <w:t xml:space="preserve"> </w:t>
      </w:r>
      <w:r w:rsidRPr="00A15D5B">
        <w:t xml:space="preserve">mg </w:t>
      </w:r>
      <w:r>
        <w:t>once daily</w:t>
      </w:r>
      <w:r w:rsidRPr="00A15D5B">
        <w:t xml:space="preserve"> +</w:t>
      </w:r>
      <w:r>
        <w:t xml:space="preserve"> </w:t>
      </w:r>
      <w:r w:rsidRPr="00A15D5B">
        <w:t>topical corticosteroids) or combination (upadacitinib 30</w:t>
      </w:r>
      <w:r>
        <w:t xml:space="preserve"> mg</w:t>
      </w:r>
      <w:r w:rsidRPr="00A15D5B">
        <w:t xml:space="preserve"> </w:t>
      </w:r>
      <w:r>
        <w:t>once daily + topical corticosteroids):</w:t>
      </w:r>
    </w:p>
    <w:p w14:paraId="00664BDE" w14:textId="6733931C" w:rsidR="00E62B8D" w:rsidRPr="00A15D5B" w:rsidRDefault="00A15D5B" w:rsidP="00A15D5B">
      <w:pPr>
        <w:pStyle w:val="ListBullet2"/>
      </w:pPr>
      <w:r>
        <w:t xml:space="preserve">Overall subjects, </w:t>
      </w:r>
      <w:r w:rsidR="00E62B8D" w:rsidRPr="00A15D5B">
        <w:t>0 and 0.7;</w:t>
      </w:r>
    </w:p>
    <w:p w14:paraId="6F792E0E" w14:textId="297EB4F2" w:rsidR="00E62B8D" w:rsidRPr="0041528F" w:rsidRDefault="00A15D5B" w:rsidP="00A15D5B">
      <w:pPr>
        <w:pStyle w:val="ListBullet2"/>
      </w:pPr>
      <w:r>
        <w:t xml:space="preserve">Adolescent subjects, </w:t>
      </w:r>
      <w:r w:rsidR="00E62B8D" w:rsidRPr="0041528F">
        <w:t>0 and 0.</w:t>
      </w:r>
    </w:p>
    <w:p w14:paraId="16E8C7F3" w14:textId="77777777" w:rsidR="00E62B8D" w:rsidRPr="00A15D5B" w:rsidRDefault="00E62B8D" w:rsidP="00A15D5B">
      <w:r w:rsidRPr="00A15D5B">
        <w:t>No subjects discontinued study drug due to protocol mandated systemic rescue therapy, as a primary reason for discontinuation.</w:t>
      </w:r>
    </w:p>
    <w:p w14:paraId="7B4B76B0" w14:textId="417315E6" w:rsidR="00E62B8D" w:rsidRPr="00A15D5B" w:rsidRDefault="00E62B8D" w:rsidP="00A15D5B">
      <w:r w:rsidRPr="00A15D5B">
        <w:t>One subject in the upadacitinib 30 mg group who withdrew consent from the study, also indicated COVID-19 logistical restrictions as a secondary reason for discontinuation</w:t>
      </w:r>
      <w:r w:rsidR="00A15D5B">
        <w:t>.</w:t>
      </w:r>
    </w:p>
    <w:p w14:paraId="19152DBC" w14:textId="77777777" w:rsidR="00E62B8D" w:rsidRPr="00A15D5B" w:rsidRDefault="00E62B8D" w:rsidP="00A15D5B">
      <w:r w:rsidRPr="00A15D5B">
        <w:t>At the time of the cut-off date:</w:t>
      </w:r>
    </w:p>
    <w:p w14:paraId="5C883912" w14:textId="37437F16" w:rsidR="00E62B8D" w:rsidRPr="00A15D5B" w:rsidRDefault="00E62B8D" w:rsidP="00A15D5B">
      <w:pPr>
        <w:pStyle w:val="ListBullet"/>
      </w:pPr>
      <w:r w:rsidRPr="00A15D5B">
        <w:t>none of the subjects completed the</w:t>
      </w:r>
      <w:r w:rsidR="00921F5C" w:rsidRPr="00A15D5B">
        <w:t xml:space="preserve"> blinded extension </w:t>
      </w:r>
      <w:r w:rsidR="00A15D5B">
        <w:t>p</w:t>
      </w:r>
      <w:r w:rsidRPr="00A15D5B">
        <w:t>eriod;</w:t>
      </w:r>
    </w:p>
    <w:p w14:paraId="0186F5E7" w14:textId="5D6550E4" w:rsidR="00E62B8D" w:rsidRPr="00A15D5B" w:rsidRDefault="00E62B8D" w:rsidP="00A15D5B">
      <w:pPr>
        <w:pStyle w:val="ListBullet"/>
      </w:pPr>
      <w:r w:rsidRPr="00A15D5B">
        <w:t>10 subjects who discontinued study drug continued to be followed in the off</w:t>
      </w:r>
      <w:r w:rsidR="00B51532">
        <w:t xml:space="preserve"> </w:t>
      </w:r>
      <w:r w:rsidRPr="00A15D5B">
        <w:t>study treatment period.</w:t>
      </w:r>
    </w:p>
    <w:p w14:paraId="20A88FB2" w14:textId="04329343" w:rsidR="00E62B8D" w:rsidRPr="00A15D5B" w:rsidRDefault="00A15D5B" w:rsidP="00A15D5B">
      <w:pPr>
        <w:pStyle w:val="Heading5"/>
      </w:pPr>
      <w:r>
        <w:lastRenderedPageBreak/>
        <w:t>Analysis of populations</w:t>
      </w:r>
    </w:p>
    <w:p w14:paraId="1B78008E" w14:textId="5F9C3DF2" w:rsidR="00E62B8D" w:rsidRPr="00A15D5B" w:rsidRDefault="00A15D5B" w:rsidP="00A15D5B">
      <w:r>
        <w:t>The</w:t>
      </w:r>
      <w:r w:rsidR="007A4E6C">
        <w:t xml:space="preserve"> main ITT population</w:t>
      </w:r>
      <w:r>
        <w:t xml:space="preserve"> </w:t>
      </w:r>
      <w:r w:rsidR="007A4E6C">
        <w:t>(</w:t>
      </w:r>
      <w:r>
        <w:t>ITT_M</w:t>
      </w:r>
      <w:r w:rsidR="007A4E6C">
        <w:t>)</w:t>
      </w:r>
      <w:r>
        <w:t xml:space="preserve"> </w:t>
      </w:r>
      <w:r w:rsidR="00E62B8D" w:rsidRPr="00A15D5B">
        <w:t>was used for the efficacy analyses. Subjects in this population were analysed according to r</w:t>
      </w:r>
      <w:r>
        <w:t>andomisation in the main part of Study M16-047.</w:t>
      </w:r>
    </w:p>
    <w:p w14:paraId="65B9F8F6" w14:textId="24F7DC4A" w:rsidR="00E62B8D" w:rsidRPr="00A15D5B" w:rsidRDefault="00E62B8D" w:rsidP="00A15D5B">
      <w:r w:rsidRPr="00A15D5B">
        <w:t>Subjects who were randomised to placebo in the</w:t>
      </w:r>
      <w:r w:rsidR="00921F5C" w:rsidRPr="00A15D5B">
        <w:t xml:space="preserve"> double blind </w:t>
      </w:r>
      <w:r w:rsidR="00A15D5B" w:rsidRPr="00A15D5B">
        <w:t>period and who did not continue into the blinded extension period were not included in the analysis in the blinded extension period</w:t>
      </w:r>
      <w:r w:rsidR="00A15D5B">
        <w:t>.</w:t>
      </w:r>
    </w:p>
    <w:p w14:paraId="70CADD3C" w14:textId="71F076AA" w:rsidR="00E62B8D" w:rsidRPr="00A15D5B" w:rsidRDefault="00A15D5B" w:rsidP="00A15D5B">
      <w:r>
        <w:t>The per protocol p</w:t>
      </w:r>
      <w:r w:rsidR="00E62B8D" w:rsidRPr="00A15D5B">
        <w:t>opulation</w:t>
      </w:r>
      <w:r w:rsidR="00407FBB">
        <w:t xml:space="preserve"> (PP_M)</w:t>
      </w:r>
      <w:r w:rsidR="00E62B8D" w:rsidRPr="00A15D5B">
        <w:t xml:space="preserve"> of the </w:t>
      </w:r>
      <w:r>
        <w:t>main part of Study M16-047</w:t>
      </w:r>
      <w:r w:rsidR="00E62B8D" w:rsidRPr="00A15D5B">
        <w:t xml:space="preserve"> </w:t>
      </w:r>
      <w:r w:rsidR="007A4E6C">
        <w:t>was a subset of the ITT_M p</w:t>
      </w:r>
      <w:r w:rsidR="00E62B8D" w:rsidRPr="00A15D5B">
        <w:t>opulation, that excluded subjects with major protocol deviations that could potentially affect the co-primary efficacy endpoints</w:t>
      </w:r>
      <w:r>
        <w:t>.</w:t>
      </w:r>
    </w:p>
    <w:p w14:paraId="3196286E" w14:textId="7F76EB9F" w:rsidR="00E62B8D" w:rsidRPr="00A15D5B" w:rsidRDefault="00A15D5B" w:rsidP="00A15D5B">
      <w:r>
        <w:t>The safety p</w:t>
      </w:r>
      <w:r w:rsidR="00E62B8D" w:rsidRPr="00A15D5B">
        <w:t>opulation in the</w:t>
      </w:r>
      <w:r w:rsidR="00921F5C" w:rsidRPr="00A15D5B">
        <w:t xml:space="preserve"> double blind </w:t>
      </w:r>
      <w:r>
        <w:t>p</w:t>
      </w:r>
      <w:r w:rsidR="00E62B8D" w:rsidRPr="00A15D5B">
        <w:t xml:space="preserve">eriod for the </w:t>
      </w:r>
      <w:r>
        <w:t>main part of Study M16-047</w:t>
      </w:r>
      <w:r w:rsidR="00E62B8D" w:rsidRPr="00A15D5B">
        <w:t xml:space="preserve"> (Safety DB_M), included all randomised subjects who received at least 1 dose of study drug in the </w:t>
      </w:r>
      <w:r w:rsidR="00AA44D2">
        <w:t>main part of the study</w:t>
      </w:r>
      <w:r w:rsidR="00E62B8D" w:rsidRPr="00A15D5B">
        <w:t xml:space="preserve"> during the</w:t>
      </w:r>
      <w:r w:rsidR="00921F5C" w:rsidRPr="00A15D5B">
        <w:t xml:space="preserve"> double blind </w:t>
      </w:r>
      <w:r w:rsidR="00AA44D2">
        <w:t>p</w:t>
      </w:r>
      <w:r w:rsidR="00E62B8D" w:rsidRPr="00A15D5B">
        <w:t>eriod,</w:t>
      </w:r>
    </w:p>
    <w:p w14:paraId="7007685A" w14:textId="3813A602" w:rsidR="00E62B8D" w:rsidRPr="00A15D5B" w:rsidRDefault="00AA44D2" w:rsidP="00A15D5B">
      <w:r>
        <w:t>The all u</w:t>
      </w:r>
      <w:r w:rsidR="00E62B8D" w:rsidRPr="00A15D5B">
        <w:t>padacitinib</w:t>
      </w:r>
      <w:r>
        <w:t>-t</w:t>
      </w:r>
      <w:r w:rsidR="00E62B8D" w:rsidRPr="00A15D5B">
        <w:t>reated</w:t>
      </w:r>
      <w:r>
        <w:t xml:space="preserve"> p</w:t>
      </w:r>
      <w:r w:rsidR="00E62B8D" w:rsidRPr="00A15D5B">
        <w:t xml:space="preserve">opulation for the </w:t>
      </w:r>
      <w:r>
        <w:t>main part of Study M16-047</w:t>
      </w:r>
      <w:r w:rsidR="00E62B8D" w:rsidRPr="00A15D5B">
        <w:t xml:space="preserve"> (ALL_</w:t>
      </w:r>
      <w:r w:rsidR="00921F5C" w:rsidRPr="00A15D5B">
        <w:t>upadacitinib</w:t>
      </w:r>
      <w:r w:rsidR="00E62B8D" w:rsidRPr="00A15D5B">
        <w:t>_M) included subjects who</w:t>
      </w:r>
      <w:r>
        <w:t xml:space="preserve"> received at least one dose of u</w:t>
      </w:r>
      <w:r w:rsidR="00E62B8D" w:rsidRPr="00A15D5B">
        <w:t>padacitinib;</w:t>
      </w:r>
    </w:p>
    <w:p w14:paraId="0748C56C" w14:textId="48689F08" w:rsidR="00E62B8D" w:rsidRPr="00A15D5B" w:rsidRDefault="00E62B8D" w:rsidP="00A15D5B">
      <w:r w:rsidRPr="00A15D5B">
        <w:t xml:space="preserve">For the safety populations, subjects were assigned to a treatment group based on the </w:t>
      </w:r>
      <w:r w:rsidR="00921F5C" w:rsidRPr="00A15D5B">
        <w:t>‘</w:t>
      </w:r>
      <w:r w:rsidRPr="00A15D5B">
        <w:t>as treated</w:t>
      </w:r>
      <w:r w:rsidR="00921F5C" w:rsidRPr="00A15D5B">
        <w:t>’</w:t>
      </w:r>
      <w:r w:rsidRPr="00A15D5B">
        <w:t xml:space="preserve"> treatment group, regardless of the treatment randomised. The </w:t>
      </w:r>
      <w:r w:rsidR="00921F5C" w:rsidRPr="00A15D5B">
        <w:t>‘</w:t>
      </w:r>
      <w:r w:rsidRPr="00A15D5B">
        <w:t>as treated</w:t>
      </w:r>
      <w:r w:rsidR="00921F5C" w:rsidRPr="00A15D5B">
        <w:t>’</w:t>
      </w:r>
      <w:r w:rsidRPr="00A15D5B">
        <w:t xml:space="preserve"> was determined by the treatment the subject received during the majority of the subject's drug exposure time in the analysis period.</w:t>
      </w:r>
      <w:r w:rsidR="00B51532">
        <w:t xml:space="preserve"> </w:t>
      </w:r>
    </w:p>
    <w:p w14:paraId="0DCA6507" w14:textId="77777777" w:rsidR="00E62B8D" w:rsidRPr="002860BB" w:rsidRDefault="00E62B8D" w:rsidP="00AA44D2">
      <w:pPr>
        <w:pStyle w:val="Heading5"/>
        <w:rPr>
          <w:lang w:val="en-US"/>
        </w:rPr>
      </w:pPr>
      <w:r w:rsidRPr="002860BB">
        <w:rPr>
          <w:lang w:val="en-US"/>
        </w:rPr>
        <w:t>Sample size</w:t>
      </w:r>
    </w:p>
    <w:p w14:paraId="28927823" w14:textId="37E5E03E" w:rsidR="00E62B8D" w:rsidRPr="00AA44D2" w:rsidRDefault="00AA44D2" w:rsidP="00AA44D2">
      <w:r>
        <w:t>For the main study, approximately 810 persons</w:t>
      </w:r>
      <w:r w:rsidR="00E62B8D" w:rsidRPr="00AA44D2">
        <w:t>, comprising of adults and some adolescents were to be randomised in a ratio of 1:1:1 into:</w:t>
      </w:r>
    </w:p>
    <w:p w14:paraId="1617B235" w14:textId="13215CB6" w:rsidR="00E62B8D" w:rsidRPr="00AA44D2" w:rsidRDefault="00AA44D2" w:rsidP="00AA44D2">
      <w:pPr>
        <w:pStyle w:val="ListBullet"/>
      </w:pPr>
      <w:r w:rsidRPr="00AA44D2">
        <w:t>n</w:t>
      </w:r>
      <w:r>
        <w:t xml:space="preserve"> </w:t>
      </w:r>
      <w:r w:rsidRPr="00AA44D2">
        <w:t>=</w:t>
      </w:r>
      <w:r>
        <w:t xml:space="preserve"> 270 to u</w:t>
      </w:r>
      <w:r w:rsidRPr="00AA44D2">
        <w:t>padacitinib 15</w:t>
      </w:r>
      <w:r>
        <w:t xml:space="preserve"> </w:t>
      </w:r>
      <w:r w:rsidRPr="00AA44D2">
        <w:t>mg with concomitant use of topical corticosteroids;</w:t>
      </w:r>
    </w:p>
    <w:p w14:paraId="261C466A" w14:textId="7442102B" w:rsidR="00E62B8D" w:rsidRPr="00AA44D2" w:rsidRDefault="00AA44D2" w:rsidP="00AA44D2">
      <w:pPr>
        <w:pStyle w:val="ListBullet"/>
      </w:pPr>
      <w:r>
        <w:t>n = 270 to</w:t>
      </w:r>
      <w:r w:rsidRPr="00AA44D2">
        <w:t xml:space="preserve"> upadacitinib 30</w:t>
      </w:r>
      <w:r>
        <w:t xml:space="preserve"> </w:t>
      </w:r>
      <w:r w:rsidRPr="00AA44D2">
        <w:t>mg with concomitant use of topical corticosteroids;</w:t>
      </w:r>
    </w:p>
    <w:p w14:paraId="3C2B82D6" w14:textId="6F2747DC" w:rsidR="00E62B8D" w:rsidRPr="00AA44D2" w:rsidRDefault="00AA44D2" w:rsidP="00AA44D2">
      <w:pPr>
        <w:pStyle w:val="ListBullet"/>
      </w:pPr>
      <w:r>
        <w:t>n = 270 to</w:t>
      </w:r>
      <w:r w:rsidRPr="00AA44D2">
        <w:t xml:space="preserve"> placebo with concomitant use of topical corticosteroids.</w:t>
      </w:r>
    </w:p>
    <w:p w14:paraId="09252984" w14:textId="7486D640" w:rsidR="00E62B8D" w:rsidRPr="00AA44D2" w:rsidRDefault="00AA44D2" w:rsidP="00AA44D2">
      <w:r>
        <w:t>A</w:t>
      </w:r>
      <w:r w:rsidR="00E62B8D" w:rsidRPr="00AA44D2">
        <w:t xml:space="preserve"> total of 901 subjects were </w:t>
      </w:r>
      <w:r>
        <w:t>actually randomised into:</w:t>
      </w:r>
    </w:p>
    <w:p w14:paraId="71B6576F" w14:textId="2474A8DF" w:rsidR="00E62B8D" w:rsidRPr="00AA44D2" w:rsidRDefault="00AA44D2" w:rsidP="00AA44D2">
      <w:pPr>
        <w:pStyle w:val="ListBullet"/>
      </w:pPr>
      <w:r w:rsidRPr="00AA44D2">
        <w:t>n</w:t>
      </w:r>
      <w:r>
        <w:t xml:space="preserve"> = 300 to</w:t>
      </w:r>
      <w:r w:rsidRPr="00AA44D2">
        <w:t xml:space="preserve"> upadacitinib 15</w:t>
      </w:r>
      <w:r>
        <w:t xml:space="preserve"> </w:t>
      </w:r>
      <w:r w:rsidRPr="00AA44D2">
        <w:t>mg with concomitant use of topical corticosteroids;</w:t>
      </w:r>
    </w:p>
    <w:p w14:paraId="7B453D26" w14:textId="619A6D51" w:rsidR="00E62B8D" w:rsidRPr="00AA44D2" w:rsidRDefault="00AA44D2" w:rsidP="00AA44D2">
      <w:pPr>
        <w:pStyle w:val="ListBullet"/>
      </w:pPr>
      <w:r w:rsidRPr="00AA44D2">
        <w:t>n</w:t>
      </w:r>
      <w:r>
        <w:t xml:space="preserve"> = 297 to</w:t>
      </w:r>
      <w:r w:rsidRPr="00AA44D2">
        <w:t xml:space="preserve"> upadacitinib 30</w:t>
      </w:r>
      <w:r>
        <w:t xml:space="preserve"> </w:t>
      </w:r>
      <w:r w:rsidRPr="00AA44D2">
        <w:t>mg with concomitant use of topical corticosteroids;</w:t>
      </w:r>
    </w:p>
    <w:p w14:paraId="2A47D683" w14:textId="0281E23B" w:rsidR="00E62B8D" w:rsidRPr="00AA44D2" w:rsidRDefault="00AA44D2" w:rsidP="00AA44D2">
      <w:pPr>
        <w:pStyle w:val="ListBullet"/>
      </w:pPr>
      <w:r w:rsidRPr="00AA44D2">
        <w:t>n</w:t>
      </w:r>
      <w:r>
        <w:t xml:space="preserve"> = 304 to</w:t>
      </w:r>
      <w:r w:rsidRPr="00AA44D2">
        <w:t xml:space="preserve"> placebo with concomitant use of topical corticosteroids.</w:t>
      </w:r>
    </w:p>
    <w:p w14:paraId="2CF009E0" w14:textId="40441A67" w:rsidR="00E62B8D" w:rsidRPr="00AA44D2" w:rsidRDefault="00E62B8D" w:rsidP="00AA44D2">
      <w:r w:rsidRPr="00AA44D2">
        <w:t xml:space="preserve">It is stated that the sample size was determined by the regulatory requirement to adequately characterise the safety profile. </w:t>
      </w:r>
    </w:p>
    <w:p w14:paraId="0C7700A7" w14:textId="77777777" w:rsidR="00AA44D2" w:rsidRDefault="00E62B8D" w:rsidP="00AA44D2">
      <w:r w:rsidRPr="00AA44D2">
        <w:t>A</w:t>
      </w:r>
      <w:r w:rsidR="00AA44D2">
        <w:t xml:space="preserve">ssumptions for the sample </w:t>
      </w:r>
      <w:r w:rsidR="00AA44D2" w:rsidRPr="00AA44D2">
        <w:t>size</w:t>
      </w:r>
      <w:r w:rsidR="00AA44D2">
        <w:t>:</w:t>
      </w:r>
    </w:p>
    <w:p w14:paraId="6097C34B" w14:textId="2424F581" w:rsidR="00AA44D2" w:rsidRDefault="00E62B8D" w:rsidP="00AA44D2">
      <w:pPr>
        <w:pStyle w:val="ListBullet"/>
      </w:pPr>
      <w:r w:rsidRPr="00AA44D2">
        <w:t>an</w:t>
      </w:r>
      <w:r w:rsidR="00AA44D2">
        <w:t xml:space="preserve"> EASI 75 response rate of 24%, a </w:t>
      </w:r>
      <w:r w:rsidRPr="00AA44D2">
        <w:t>vIGA-AD clear or almost clear,</w:t>
      </w:r>
    </w:p>
    <w:p w14:paraId="1D0101D0" w14:textId="4E8842FC" w:rsidR="00E62B8D" w:rsidRPr="00AA44D2" w:rsidRDefault="00E62B8D" w:rsidP="00AA44D2">
      <w:pPr>
        <w:pStyle w:val="ListBullet"/>
      </w:pPr>
      <w:r w:rsidRPr="00AA44D2">
        <w:t>with at least a 2-point reduction response rate</w:t>
      </w:r>
      <w:r w:rsidR="00AA44D2">
        <w:t xml:space="preserve"> </w:t>
      </w:r>
      <w:r w:rsidRPr="00AA44D2">
        <w:t>of 13% in the placebo/</w:t>
      </w:r>
      <w:r w:rsidR="00AA44D2" w:rsidRPr="00AA44D2">
        <w:t xml:space="preserve">topical corticosteroids </w:t>
      </w:r>
      <w:r w:rsidRPr="00AA44D2">
        <w:t>group.</w:t>
      </w:r>
    </w:p>
    <w:p w14:paraId="42485EA8" w14:textId="4D7664CC" w:rsidR="00E62B8D" w:rsidRPr="00AA44D2" w:rsidRDefault="00E62B8D" w:rsidP="00AA44D2">
      <w:r w:rsidRPr="00AA44D2">
        <w:t>The above sample size provided more than 90% power to detect the treatment differences of 38% and 20%, respectively, for the above 2 endpoints simultaneously using two-sided test at a 0.05 significant level.</w:t>
      </w:r>
    </w:p>
    <w:p w14:paraId="6D641ACF" w14:textId="74AD031F" w:rsidR="00E62B8D" w:rsidRPr="00AA44D2" w:rsidRDefault="00E62B8D" w:rsidP="00AA44D2">
      <w:r w:rsidRPr="00AA44D2">
        <w:t xml:space="preserve">The assumptions of placebo response rates for EASI 75 and IGA-AD 0/1 were based </w:t>
      </w:r>
      <w:r w:rsidR="00AA44D2">
        <w:t xml:space="preserve">on the maximum placebo rate in Study </w:t>
      </w:r>
      <w:r w:rsidR="00AA44D2" w:rsidRPr="001D040E">
        <w:t>M16-048</w:t>
      </w:r>
      <w:r w:rsidR="00AA44D2">
        <w:t xml:space="preserve"> (the upadacitinib in </w:t>
      </w:r>
      <w:r w:rsidR="00DD6D4D">
        <w:t xml:space="preserve">atopic dermatitis </w:t>
      </w:r>
      <w:r w:rsidR="00AA44D2">
        <w:t>Phase II</w:t>
      </w:r>
      <w:r w:rsidRPr="00AA44D2">
        <w:t>b study</w:t>
      </w:r>
      <w:r w:rsidR="00AA44D2">
        <w:t>)</w:t>
      </w:r>
      <w:r w:rsidRPr="00AA44D2">
        <w:t xml:space="preserve"> and </w:t>
      </w:r>
      <w:r w:rsidR="00AA44D2">
        <w:t>the Phase III monotherapy studies using d</w:t>
      </w:r>
      <w:r w:rsidRPr="00AA44D2">
        <w:t xml:space="preserve">upilumab </w:t>
      </w:r>
      <w:r w:rsidR="00AA44D2">
        <w:t>in atopic dermatitis</w:t>
      </w:r>
      <w:r w:rsidRPr="00AA44D2">
        <w:t xml:space="preserve"> </w:t>
      </w:r>
      <w:r w:rsidRPr="00E7488C">
        <w:t>(</w:t>
      </w:r>
      <w:r w:rsidR="00E7488C" w:rsidRPr="00E7488C">
        <w:t>SOLO 1 and SOLO 2</w:t>
      </w:r>
      <w:r w:rsidR="00407FBB">
        <w:t xml:space="preserve"> clinical trials</w:t>
      </w:r>
      <w:r w:rsidR="00E7488C" w:rsidRPr="00E7488C">
        <w:t>);</w:t>
      </w:r>
      <w:r w:rsidR="00E7488C" w:rsidRPr="00E7488C">
        <w:rPr>
          <w:vertAlign w:val="superscript"/>
        </w:rPr>
        <w:fldChar w:fldCharType="begin"/>
      </w:r>
      <w:r w:rsidR="00E7488C" w:rsidRPr="00E7488C">
        <w:rPr>
          <w:vertAlign w:val="superscript"/>
        </w:rPr>
        <w:instrText xml:space="preserve"> NOTEREF _Ref126049022 \h  \* MERGEFORMAT </w:instrText>
      </w:r>
      <w:r w:rsidR="00E7488C" w:rsidRPr="00E7488C">
        <w:rPr>
          <w:vertAlign w:val="superscript"/>
        </w:rPr>
      </w:r>
      <w:r w:rsidR="00E7488C" w:rsidRPr="00E7488C">
        <w:rPr>
          <w:vertAlign w:val="superscript"/>
        </w:rPr>
        <w:fldChar w:fldCharType="separate"/>
      </w:r>
      <w:r w:rsidR="00B51532">
        <w:rPr>
          <w:vertAlign w:val="superscript"/>
        </w:rPr>
        <w:t>58</w:t>
      </w:r>
      <w:r w:rsidR="00E7488C" w:rsidRPr="00E7488C">
        <w:rPr>
          <w:vertAlign w:val="superscript"/>
        </w:rPr>
        <w:fldChar w:fldCharType="end"/>
      </w:r>
      <w:r w:rsidR="00E7488C" w:rsidRPr="00E7488C">
        <w:rPr>
          <w:vertAlign w:val="superscript"/>
        </w:rPr>
        <w:t>,</w:t>
      </w:r>
      <w:r w:rsidR="00E7488C" w:rsidRPr="00E7488C">
        <w:rPr>
          <w:vertAlign w:val="superscript"/>
        </w:rPr>
        <w:fldChar w:fldCharType="begin"/>
      </w:r>
      <w:r w:rsidR="00E7488C" w:rsidRPr="00E7488C">
        <w:rPr>
          <w:vertAlign w:val="superscript"/>
        </w:rPr>
        <w:instrText xml:space="preserve"> NOTEREF _Ref126049025 \h  \* MERGEFORMAT </w:instrText>
      </w:r>
      <w:r w:rsidR="00E7488C" w:rsidRPr="00E7488C">
        <w:rPr>
          <w:vertAlign w:val="superscript"/>
        </w:rPr>
      </w:r>
      <w:r w:rsidR="00E7488C" w:rsidRPr="00E7488C">
        <w:rPr>
          <w:vertAlign w:val="superscript"/>
        </w:rPr>
        <w:fldChar w:fldCharType="separate"/>
      </w:r>
      <w:r w:rsidR="00B51532">
        <w:rPr>
          <w:vertAlign w:val="superscript"/>
        </w:rPr>
        <w:t>59</w:t>
      </w:r>
      <w:r w:rsidR="00E7488C" w:rsidRPr="00E7488C">
        <w:rPr>
          <w:vertAlign w:val="superscript"/>
        </w:rPr>
        <w:fldChar w:fldCharType="end"/>
      </w:r>
      <w:r w:rsidRPr="00E7488C">
        <w:t xml:space="preserve"> addin</w:t>
      </w:r>
      <w:r w:rsidRPr="00AA44D2">
        <w:t xml:space="preserve">g the estimation of topical treatment effect which is </w:t>
      </w:r>
      <w:r w:rsidRPr="00AA44D2">
        <w:lastRenderedPageBreak/>
        <w:t xml:space="preserve">also based on the difference between the mono- and combo-therapy </w:t>
      </w:r>
      <w:r w:rsidRPr="00E7488C">
        <w:t>(CHRONOS</w:t>
      </w:r>
      <w:r w:rsidR="00407FBB">
        <w:t xml:space="preserve"> trials</w:t>
      </w:r>
      <w:r w:rsidR="00AA44D2" w:rsidRPr="00E7488C">
        <w:t>)</w:t>
      </w:r>
      <w:r w:rsidR="00AA44D2">
        <w:t xml:space="preserve"> in dupilumab.</w:t>
      </w:r>
      <w:r w:rsidR="00E7488C">
        <w:rPr>
          <w:rStyle w:val="FootnoteReference"/>
        </w:rPr>
        <w:footnoteReference w:id="61"/>
      </w:r>
    </w:p>
    <w:p w14:paraId="1128B2F6" w14:textId="7C0DEE67" w:rsidR="00E62B8D" w:rsidRPr="00AA44D2" w:rsidRDefault="00E62B8D" w:rsidP="00AA44D2">
      <w:r w:rsidRPr="00AA44D2">
        <w:t>The total sample size of 180 adolescents in the overall study (main study + adolescent sub-study) was determined to ensure 1 year of data for a total of 225 subjects per dose acros</w:t>
      </w:r>
      <w:r w:rsidR="00AA44D2">
        <w:t>s 3 pivotal studies.</w:t>
      </w:r>
    </w:p>
    <w:p w14:paraId="616653B8" w14:textId="0B96B491" w:rsidR="00E62B8D" w:rsidRPr="002860BB" w:rsidRDefault="00E62B8D" w:rsidP="00AA44D2">
      <w:pPr>
        <w:pStyle w:val="Heading5"/>
        <w:rPr>
          <w:rFonts w:ascii="Arial" w:eastAsia="Arial" w:hAnsi="Arial" w:cs="Arial"/>
        </w:rPr>
      </w:pPr>
      <w:r w:rsidRPr="002860BB">
        <w:t>Statistical methods</w:t>
      </w:r>
      <w:r w:rsidRPr="002860BB">
        <w:rPr>
          <w:rFonts w:ascii="Arial" w:eastAsia="Arial" w:hAnsi="Arial" w:cs="Arial"/>
        </w:rPr>
        <w:t xml:space="preserve"> </w:t>
      </w:r>
    </w:p>
    <w:p w14:paraId="2DA69735" w14:textId="55C7D90D" w:rsidR="00E62B8D" w:rsidRPr="002860BB" w:rsidRDefault="00E62B8D" w:rsidP="00E62B8D">
      <w:pPr>
        <w:autoSpaceDE w:val="0"/>
        <w:autoSpaceDN w:val="0"/>
        <w:adjustRightInd w:val="0"/>
        <w:spacing w:line="240" w:lineRule="auto"/>
        <w:rPr>
          <w:rFonts w:eastAsiaTheme="minorHAnsi" w:cs="Calibri"/>
          <w:lang w:val="en-US"/>
        </w:rPr>
      </w:pPr>
      <w:r w:rsidRPr="002860BB">
        <w:rPr>
          <w:rFonts w:eastAsiaTheme="minorHAnsi" w:cs="Calibri"/>
          <w:lang w:val="en-US"/>
        </w:rPr>
        <w:t>The efficacy analysis of the main st</w:t>
      </w:r>
      <w:r w:rsidR="00AA44D2">
        <w:rPr>
          <w:rFonts w:eastAsiaTheme="minorHAnsi" w:cs="Calibri"/>
          <w:lang w:val="en-US"/>
        </w:rPr>
        <w:t>udy was conducted in the ITT_M p</w:t>
      </w:r>
      <w:r w:rsidRPr="002860BB">
        <w:rPr>
          <w:rFonts w:eastAsiaTheme="minorHAnsi" w:cs="Calibri"/>
          <w:lang w:val="en-US"/>
        </w:rPr>
        <w:t>opulation, which includes some adolescents, while that for adolesce</w:t>
      </w:r>
      <w:r w:rsidR="00AA44D2">
        <w:rPr>
          <w:rFonts w:eastAsiaTheme="minorHAnsi" w:cs="Calibri"/>
          <w:lang w:val="en-US"/>
        </w:rPr>
        <w:t>nts was conducted in the ITT_A p</w:t>
      </w:r>
      <w:r w:rsidRPr="002860BB">
        <w:rPr>
          <w:rFonts w:eastAsiaTheme="minorHAnsi" w:cs="Calibri"/>
          <w:lang w:val="en-US"/>
        </w:rPr>
        <w:t xml:space="preserve">opulation. In addition, the primary efficacy endpoints </w:t>
      </w:r>
      <w:r w:rsidR="00AA44D2">
        <w:rPr>
          <w:rFonts w:eastAsiaTheme="minorHAnsi" w:cs="Calibri"/>
          <w:lang w:val="en-US"/>
        </w:rPr>
        <w:t>were also analysed in the PP_M p</w:t>
      </w:r>
      <w:r w:rsidRPr="002860BB">
        <w:rPr>
          <w:rFonts w:eastAsiaTheme="minorHAnsi" w:cs="Calibri"/>
          <w:lang w:val="en-US"/>
        </w:rPr>
        <w:t xml:space="preserve">opulation. </w:t>
      </w:r>
    </w:p>
    <w:p w14:paraId="6B038C2A" w14:textId="73D5D0F6" w:rsidR="00E62B8D" w:rsidRPr="002860BB" w:rsidRDefault="00E62B8D" w:rsidP="00E62B8D">
      <w:pPr>
        <w:autoSpaceDE w:val="0"/>
        <w:autoSpaceDN w:val="0"/>
        <w:adjustRightInd w:val="0"/>
        <w:spacing w:line="240" w:lineRule="auto"/>
        <w:rPr>
          <w:rFonts w:eastAsiaTheme="minorHAnsi" w:cs="Calibri"/>
          <w:lang w:val="en-US"/>
        </w:rPr>
      </w:pPr>
      <w:r w:rsidRPr="002860BB">
        <w:rPr>
          <w:rFonts w:eastAsiaTheme="minorHAnsi" w:cs="Calibri"/>
          <w:lang w:val="en-US"/>
        </w:rPr>
        <w:t>In the</w:t>
      </w:r>
      <w:r w:rsidR="00921F5C">
        <w:rPr>
          <w:rFonts w:eastAsiaTheme="minorHAnsi" w:cs="Calibri"/>
          <w:lang w:val="en-US"/>
        </w:rPr>
        <w:t xml:space="preserve"> double blind </w:t>
      </w:r>
      <w:r w:rsidR="00AA44D2">
        <w:rPr>
          <w:rFonts w:eastAsiaTheme="minorHAnsi" w:cs="Calibri"/>
          <w:lang w:val="en-US"/>
        </w:rPr>
        <w:t>p</w:t>
      </w:r>
      <w:r w:rsidRPr="002860BB">
        <w:rPr>
          <w:rFonts w:eastAsiaTheme="minorHAnsi" w:cs="Calibri"/>
          <w:lang w:val="en-US"/>
        </w:rPr>
        <w:t>eriod, categorical variables were analysed</w:t>
      </w:r>
      <w:r w:rsidR="00AA44D2">
        <w:rPr>
          <w:rFonts w:eastAsiaTheme="minorHAnsi" w:cs="Calibri"/>
          <w:lang w:val="en-US"/>
        </w:rPr>
        <w:t xml:space="preserve"> using Cochran-Mantel-Haenszel </w:t>
      </w:r>
      <w:r w:rsidRPr="002860BB">
        <w:rPr>
          <w:rFonts w:eastAsiaTheme="minorHAnsi" w:cs="Calibri"/>
          <w:lang w:val="en-US"/>
        </w:rPr>
        <w:t xml:space="preserve">test, stratified by vIGA-AD categories and age (adolescent versus adult) for the ITT_M Population, and stratified by vIGA-AD categories and study portion (main study vs. adolescent sub-study) for the ITT_A Population. </w:t>
      </w:r>
    </w:p>
    <w:p w14:paraId="02252524" w14:textId="77777777" w:rsidR="00E62B8D" w:rsidRPr="002860BB" w:rsidRDefault="00E62B8D" w:rsidP="00E62B8D">
      <w:pPr>
        <w:autoSpaceDE w:val="0"/>
        <w:autoSpaceDN w:val="0"/>
        <w:adjustRightInd w:val="0"/>
        <w:spacing w:line="240" w:lineRule="auto"/>
        <w:rPr>
          <w:rFonts w:eastAsiaTheme="minorHAnsi" w:cs="Calibri"/>
          <w:lang w:val="en-US"/>
        </w:rPr>
      </w:pPr>
      <w:r w:rsidRPr="002860BB">
        <w:rPr>
          <w:rFonts w:eastAsiaTheme="minorHAnsi" w:cs="Calibri"/>
          <w:lang w:val="en-US"/>
        </w:rPr>
        <w:t>Continuous variables were analysed using mixed effect model with repeated measures (MMRM).</w:t>
      </w:r>
    </w:p>
    <w:p w14:paraId="660E8F8C" w14:textId="31E3601C" w:rsidR="00E62B8D" w:rsidRPr="007C0306" w:rsidRDefault="00E62B8D" w:rsidP="00E62B8D">
      <w:pPr>
        <w:autoSpaceDE w:val="0"/>
        <w:autoSpaceDN w:val="0"/>
        <w:adjustRightInd w:val="0"/>
        <w:spacing w:line="240" w:lineRule="auto"/>
        <w:rPr>
          <w:rFonts w:eastAsiaTheme="minorHAnsi" w:cs="Calibri"/>
          <w:lang w:val="en-US"/>
        </w:rPr>
      </w:pPr>
      <w:r w:rsidRPr="007C0306">
        <w:rPr>
          <w:rFonts w:eastAsiaTheme="minorHAnsi" w:cs="Calibri"/>
          <w:lang w:val="en-US"/>
        </w:rPr>
        <w:t>In the</w:t>
      </w:r>
      <w:r w:rsidR="00921F5C">
        <w:rPr>
          <w:rFonts w:eastAsiaTheme="minorHAnsi" w:cs="Calibri"/>
          <w:lang w:val="en-US"/>
        </w:rPr>
        <w:t xml:space="preserve"> double blind </w:t>
      </w:r>
      <w:r w:rsidR="00AA44D2">
        <w:rPr>
          <w:rFonts w:eastAsiaTheme="minorHAnsi" w:cs="Calibri"/>
          <w:lang w:val="en-US"/>
        </w:rPr>
        <w:t>p</w:t>
      </w:r>
      <w:r w:rsidRPr="007C0306">
        <w:rPr>
          <w:rFonts w:eastAsiaTheme="minorHAnsi" w:cs="Calibri"/>
          <w:lang w:val="en-US"/>
        </w:rPr>
        <w:t>eriod, missing values and visits after the rescue were handled by non-responder imputation (NRI) for categorical variables, or MMRM for the continuous variables. This handling also will be applied to selective additional endpoints (</w:t>
      </w:r>
      <w:r w:rsidR="008A6FFE">
        <w:rPr>
          <w:rFonts w:eastAsiaTheme="minorHAnsi" w:cs="Calibri"/>
          <w:lang w:val="en-US"/>
        </w:rPr>
        <w:t xml:space="preserve">that is, </w:t>
      </w:r>
      <w:r w:rsidRPr="007C0306">
        <w:rPr>
          <w:rFonts w:eastAsiaTheme="minorHAnsi" w:cs="Calibri"/>
          <w:lang w:val="en-US"/>
        </w:rPr>
        <w:t>primary and key secondary variables evaluated at visits from Week 16 to Week 52) in the</w:t>
      </w:r>
      <w:r w:rsidR="00921F5C">
        <w:rPr>
          <w:rFonts w:eastAsiaTheme="minorHAnsi" w:cs="Calibri"/>
          <w:lang w:val="en-US"/>
        </w:rPr>
        <w:t xml:space="preserve"> blinded extension </w:t>
      </w:r>
      <w:r w:rsidR="008A6FFE">
        <w:rPr>
          <w:rFonts w:eastAsiaTheme="minorHAnsi" w:cs="Calibri"/>
          <w:lang w:val="en-US"/>
        </w:rPr>
        <w:t>p</w:t>
      </w:r>
      <w:r w:rsidRPr="007C0306">
        <w:rPr>
          <w:rFonts w:eastAsiaTheme="minorHAnsi" w:cs="Calibri"/>
          <w:lang w:val="en-US"/>
        </w:rPr>
        <w:t>eriod.</w:t>
      </w:r>
    </w:p>
    <w:p w14:paraId="57A5D3EA" w14:textId="2F60C27B" w:rsidR="00E62B8D" w:rsidRPr="007C0306" w:rsidRDefault="00E62B8D" w:rsidP="00E62B8D">
      <w:pPr>
        <w:autoSpaceDE w:val="0"/>
        <w:autoSpaceDN w:val="0"/>
        <w:adjustRightInd w:val="0"/>
        <w:spacing w:line="240" w:lineRule="auto"/>
        <w:rPr>
          <w:rFonts w:eastAsiaTheme="minorHAnsi" w:cs="Calibri"/>
          <w:lang w:val="en-US"/>
        </w:rPr>
      </w:pPr>
      <w:r w:rsidRPr="007C0306">
        <w:rPr>
          <w:rFonts w:eastAsiaTheme="minorHAnsi" w:cs="Calibri"/>
          <w:lang w:val="en-US"/>
        </w:rPr>
        <w:t>Assessments of long-term efficacy (across the</w:t>
      </w:r>
      <w:r w:rsidR="00921F5C">
        <w:rPr>
          <w:rFonts w:eastAsiaTheme="minorHAnsi" w:cs="Calibri"/>
          <w:lang w:val="en-US"/>
        </w:rPr>
        <w:t xml:space="preserve"> double blind </w:t>
      </w:r>
      <w:r w:rsidRPr="007C0306">
        <w:rPr>
          <w:rFonts w:eastAsiaTheme="minorHAnsi" w:cs="Calibri"/>
          <w:lang w:val="en-US"/>
        </w:rPr>
        <w:t>and</w:t>
      </w:r>
      <w:r w:rsidR="00921F5C">
        <w:rPr>
          <w:rFonts w:eastAsiaTheme="minorHAnsi" w:cs="Calibri"/>
          <w:lang w:val="en-US"/>
        </w:rPr>
        <w:t xml:space="preserve"> blinded extension </w:t>
      </w:r>
      <w:r w:rsidRPr="007C0306">
        <w:rPr>
          <w:rFonts w:eastAsiaTheme="minorHAnsi" w:cs="Calibri"/>
          <w:lang w:val="en-US"/>
        </w:rPr>
        <w:t>Periods) for subjects who stayed on treatment will also be summarised by Observed Case approach at each visit. No missing data imputation will be applied, and all assessments prior to premature discontinuation from study drug will be used.</w:t>
      </w:r>
    </w:p>
    <w:p w14:paraId="0FBF91A0" w14:textId="5A0DECC4" w:rsidR="00E62B8D" w:rsidRDefault="00E62B8D" w:rsidP="00E62B8D">
      <w:pPr>
        <w:spacing w:line="240" w:lineRule="auto"/>
        <w:rPr>
          <w:lang w:val="en-US"/>
        </w:rPr>
      </w:pPr>
      <w:r w:rsidRPr="00E75325">
        <w:rPr>
          <w:lang w:val="en-US"/>
        </w:rPr>
        <w:t>There were no change</w:t>
      </w:r>
      <w:r w:rsidR="008A6FFE">
        <w:rPr>
          <w:lang w:val="en-US"/>
        </w:rPr>
        <w:t xml:space="preserve">s after the finalisation of </w:t>
      </w:r>
      <w:r w:rsidRPr="00E75325">
        <w:rPr>
          <w:lang w:val="en-US"/>
        </w:rPr>
        <w:t>version 3</w:t>
      </w:r>
      <w:r w:rsidR="008A6FFE">
        <w:rPr>
          <w:lang w:val="en-US"/>
        </w:rPr>
        <w:t xml:space="preserve"> of the statistical analysis plan</w:t>
      </w:r>
      <w:r w:rsidRPr="00E75325">
        <w:rPr>
          <w:lang w:val="en-US"/>
        </w:rPr>
        <w:t>. Additional (</w:t>
      </w:r>
      <w:r w:rsidRPr="008A6FFE">
        <w:rPr>
          <w:i/>
          <w:lang w:val="en-US"/>
        </w:rPr>
        <w:t>post-hoc</w:t>
      </w:r>
      <w:r w:rsidRPr="00E75325">
        <w:rPr>
          <w:lang w:val="en-US"/>
        </w:rPr>
        <w:t>) analyses were requested by the Swedish Medical Products Agency, including sensitivity analysis of the co-primary endpoints and long-term efficacy outcomes for EASI 75, vIGA-AD 0/1 and improvement in Worst Pruritus NRS ≥</w:t>
      </w:r>
      <w:r w:rsidR="008A6FFE">
        <w:rPr>
          <w:lang w:val="en-US"/>
        </w:rPr>
        <w:t> </w:t>
      </w:r>
      <w:r w:rsidRPr="00E75325">
        <w:rPr>
          <w:lang w:val="en-US"/>
        </w:rPr>
        <w:t>4.</w:t>
      </w:r>
    </w:p>
    <w:p w14:paraId="434263E4" w14:textId="45BD054D" w:rsidR="00E62B8D" w:rsidRPr="008A6FFE" w:rsidRDefault="00E62B8D" w:rsidP="008A6FFE">
      <w:r w:rsidRPr="008A6FFE">
        <w:t>Missing efficacy data/missed visits due to COVID-19 infection or logistical restrictions were recorded in the database. The primary approach for handling missing data in the analysis of categorical endpoints (including the co-primary endpoints) used Non-Responder I</w:t>
      </w:r>
      <w:r w:rsidR="008A6FFE" w:rsidRPr="008A6FFE">
        <w:t xml:space="preserve">mputation. while incorporating multiple imputation was incorporated </w:t>
      </w:r>
      <w:r w:rsidRPr="008A6FFE">
        <w:t xml:space="preserve">to handle missing data due to COVID-19 (NRI-C) in which, any subject who does not have an evaluation during a pre-specified visit window (either due to missing assessment or due to early withdrawal from the study), was categorised as a non-responder for the visit except when: </w:t>
      </w:r>
    </w:p>
    <w:p w14:paraId="7B2629BF" w14:textId="76AE8509" w:rsidR="00E62B8D" w:rsidRPr="008A6FFE" w:rsidRDefault="00E62B8D" w:rsidP="008A6FFE">
      <w:pPr>
        <w:pStyle w:val="ListBullet"/>
      </w:pPr>
      <w:r w:rsidRPr="008A6FFE">
        <w:t>the subject was a responder both before and after the visit window. In that case, the subject was categorised as a responder for the visit;</w:t>
      </w:r>
      <w:r w:rsidR="00407FBB">
        <w:t xml:space="preserve"> or</w:t>
      </w:r>
    </w:p>
    <w:p w14:paraId="1C87560D" w14:textId="7F813243" w:rsidR="00E62B8D" w:rsidRPr="008A6FFE" w:rsidRDefault="00E62B8D" w:rsidP="008A6FFE">
      <w:pPr>
        <w:pStyle w:val="ListBullet"/>
      </w:pPr>
      <w:r w:rsidRPr="008A6FFE">
        <w:t xml:space="preserve">there is missing data due to COVID-19 infection or logistical restriction and in that case, it was handled by </w:t>
      </w:r>
      <w:r w:rsidR="008A6FFE">
        <w:t>multiple imputation</w:t>
      </w:r>
      <w:r w:rsidRPr="008A6FFE">
        <w:t>.</w:t>
      </w:r>
    </w:p>
    <w:p w14:paraId="0EFCF450" w14:textId="0B6BCC8D" w:rsidR="00E62B8D" w:rsidRPr="00394514" w:rsidRDefault="00E62B8D" w:rsidP="00E62B8D">
      <w:pPr>
        <w:spacing w:line="240" w:lineRule="auto"/>
        <w:rPr>
          <w:lang w:val="en-US"/>
        </w:rPr>
      </w:pPr>
      <w:r w:rsidRPr="00394514">
        <w:rPr>
          <w:lang w:val="en-US"/>
        </w:rPr>
        <w:t xml:space="preserve">A sensitivity analysis for the co-primary endpoints and the key secondary categorical endpoints used NRI with no special data handling for missing data due to COVID-19 (Non- Responder Imputation with no special data handling for missing data, due to </w:t>
      </w:r>
      <w:r w:rsidR="008A6FFE">
        <w:rPr>
          <w:lang w:val="en-US"/>
        </w:rPr>
        <w:t xml:space="preserve">COVID-19 </w:t>
      </w:r>
      <w:r w:rsidR="00E7488C">
        <w:rPr>
          <w:lang w:val="en-US"/>
        </w:rPr>
        <w:lastRenderedPageBreak/>
        <w:t>(NRI-</w:t>
      </w:r>
      <w:r w:rsidR="008A6FFE">
        <w:rPr>
          <w:lang w:val="en-US"/>
        </w:rPr>
        <w:t>C)</w:t>
      </w:r>
      <w:r w:rsidRPr="00394514">
        <w:rPr>
          <w:lang w:val="en-US"/>
        </w:rPr>
        <w:t>), in which subjects with missing data due to COVID-19 infection or logistical restriction were counted as non-responders.</w:t>
      </w:r>
    </w:p>
    <w:p w14:paraId="256BD03A" w14:textId="77777777" w:rsidR="00E62B8D" w:rsidRDefault="00E62B8D" w:rsidP="008A6FFE">
      <w:pPr>
        <w:pStyle w:val="Heading5"/>
        <w:rPr>
          <w:lang w:val="en-US"/>
        </w:rPr>
      </w:pPr>
      <w:r>
        <w:rPr>
          <w:lang w:val="en-US"/>
        </w:rPr>
        <w:t>Baseline data</w:t>
      </w:r>
    </w:p>
    <w:p w14:paraId="4D22C06C" w14:textId="34AA9398" w:rsidR="00E62B8D" w:rsidRDefault="00E62B8D" w:rsidP="00E62B8D">
      <w:pPr>
        <w:autoSpaceDE w:val="0"/>
        <w:autoSpaceDN w:val="0"/>
        <w:adjustRightInd w:val="0"/>
        <w:spacing w:line="240" w:lineRule="auto"/>
        <w:rPr>
          <w:lang w:val="en-US"/>
        </w:rPr>
      </w:pPr>
      <w:r w:rsidRPr="002C1ED4">
        <w:rPr>
          <w:lang w:val="en-US"/>
        </w:rPr>
        <w:t>Demographic characteristics were generally balanced between the treatment groups</w:t>
      </w:r>
      <w:r w:rsidR="008A6FFE">
        <w:rPr>
          <w:lang w:val="en-US"/>
        </w:rPr>
        <w:t xml:space="preserve"> (see </w:t>
      </w:r>
      <w:r w:rsidR="008A6FFE">
        <w:rPr>
          <w:lang w:val="en-US"/>
        </w:rPr>
        <w:fldChar w:fldCharType="begin"/>
      </w:r>
      <w:r w:rsidR="008A6FFE">
        <w:rPr>
          <w:lang w:val="en-US"/>
        </w:rPr>
        <w:instrText xml:space="preserve"> REF _Ref120717095 </w:instrText>
      </w:r>
      <w:r w:rsidR="008A6FFE">
        <w:rPr>
          <w:lang w:val="en-US"/>
        </w:rPr>
        <w:fldChar w:fldCharType="separate"/>
      </w:r>
      <w:r w:rsidR="00B51532">
        <w:t xml:space="preserve">Table </w:t>
      </w:r>
      <w:r w:rsidR="00B51532">
        <w:rPr>
          <w:noProof/>
        </w:rPr>
        <w:t>30</w:t>
      </w:r>
      <w:r w:rsidR="008A6FFE">
        <w:rPr>
          <w:lang w:val="en-US"/>
        </w:rPr>
        <w:fldChar w:fldCharType="end"/>
      </w:r>
      <w:r w:rsidR="008A6FFE">
        <w:rPr>
          <w:lang w:val="en-US"/>
        </w:rPr>
        <w:t xml:space="preserve"> below).</w:t>
      </w:r>
    </w:p>
    <w:p w14:paraId="680574FA" w14:textId="6DED9E6E" w:rsidR="008A6FFE" w:rsidRDefault="008A6FFE" w:rsidP="008A6FFE">
      <w:pPr>
        <w:pStyle w:val="Tabletitle0"/>
      </w:pPr>
      <w:bookmarkStart w:id="126" w:name="_Ref120717095"/>
      <w:r>
        <w:t xml:space="preserve">Table </w:t>
      </w:r>
      <w:fldSimple w:instr=" SEQ Table \* ARABIC ">
        <w:r w:rsidR="00B51532">
          <w:rPr>
            <w:noProof/>
          </w:rPr>
          <w:t>30</w:t>
        </w:r>
      </w:fldSimple>
      <w:bookmarkEnd w:id="126"/>
      <w:r>
        <w:t>: Study M16-048 Demographic characteristics and baseline data</w:t>
      </w:r>
    </w:p>
    <w:p w14:paraId="493CCA1F" w14:textId="77777777" w:rsidR="00E62B8D" w:rsidRPr="002C1ED4" w:rsidRDefault="00E62B8D" w:rsidP="00E62B8D">
      <w:pPr>
        <w:autoSpaceDE w:val="0"/>
        <w:autoSpaceDN w:val="0"/>
        <w:adjustRightInd w:val="0"/>
        <w:spacing w:line="240" w:lineRule="auto"/>
        <w:rPr>
          <w:lang w:val="en-US"/>
        </w:rPr>
      </w:pPr>
      <w:r w:rsidRPr="00AC0FB2">
        <w:rPr>
          <w:rFonts w:ascii="Calibri" w:eastAsia="TimesNewRoman" w:hAnsi="Calibri" w:cs="Calibri"/>
          <w:noProof/>
          <w:sz w:val="20"/>
          <w:szCs w:val="20"/>
          <w:lang w:val="en-GB" w:eastAsia="en-GB"/>
        </w:rPr>
        <w:drawing>
          <wp:inline distT="0" distB="0" distL="0" distR="0" wp14:anchorId="2ECA7BB9" wp14:editId="1DECDBBE">
            <wp:extent cx="4883888" cy="2349499"/>
            <wp:effectExtent l="0" t="0" r="0" b="0"/>
            <wp:docPr id="143" name="Picture 143" descr="Study M16-048 Demographic characteristics and baselin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Study M16-048 Demographic characteristics and baseline dat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41250" cy="2377094"/>
                    </a:xfrm>
                    <a:prstGeom prst="rect">
                      <a:avLst/>
                    </a:prstGeom>
                    <a:noFill/>
                    <a:ln>
                      <a:noFill/>
                    </a:ln>
                  </pic:spPr>
                </pic:pic>
              </a:graphicData>
            </a:graphic>
          </wp:inline>
        </w:drawing>
      </w:r>
      <w:r w:rsidRPr="002C1ED4">
        <w:rPr>
          <w:lang w:val="en-US"/>
        </w:rPr>
        <w:t xml:space="preserve"> </w:t>
      </w:r>
    </w:p>
    <w:p w14:paraId="3C22EDC4" w14:textId="77777777" w:rsidR="00E62B8D" w:rsidRDefault="00E62B8D" w:rsidP="00E62B8D">
      <w:pPr>
        <w:autoSpaceDE w:val="0"/>
        <w:autoSpaceDN w:val="0"/>
        <w:adjustRightInd w:val="0"/>
        <w:spacing w:line="240" w:lineRule="auto"/>
        <w:rPr>
          <w:lang w:val="en-US"/>
        </w:rPr>
      </w:pPr>
      <w:r w:rsidRPr="00AC0FB2">
        <w:rPr>
          <w:rFonts w:ascii="Calibri" w:eastAsia="TimesNewRoman" w:hAnsi="Calibri" w:cs="Calibri"/>
          <w:noProof/>
          <w:sz w:val="20"/>
          <w:szCs w:val="20"/>
          <w:lang w:val="en-GB" w:eastAsia="en-GB"/>
        </w:rPr>
        <w:drawing>
          <wp:inline distT="0" distB="0" distL="0" distR="0" wp14:anchorId="7979854B" wp14:editId="554DA361">
            <wp:extent cx="4784651" cy="3978910"/>
            <wp:effectExtent l="0" t="0" r="0" b="2540"/>
            <wp:docPr id="144" name="Picture 144" descr="Study M16-048 Demographic characteristics and baselin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Study M16-048 Demographic characteristics and baseline dat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40982" cy="4025754"/>
                    </a:xfrm>
                    <a:prstGeom prst="rect">
                      <a:avLst/>
                    </a:prstGeom>
                    <a:noFill/>
                    <a:ln>
                      <a:noFill/>
                    </a:ln>
                  </pic:spPr>
                </pic:pic>
              </a:graphicData>
            </a:graphic>
          </wp:inline>
        </w:drawing>
      </w:r>
    </w:p>
    <w:p w14:paraId="3086E360" w14:textId="0416B846" w:rsidR="00E62B8D" w:rsidRPr="00D81B47" w:rsidRDefault="00E62B8D" w:rsidP="00E62B8D">
      <w:pPr>
        <w:autoSpaceDE w:val="0"/>
        <w:autoSpaceDN w:val="0"/>
        <w:adjustRightInd w:val="0"/>
        <w:spacing w:line="240" w:lineRule="auto"/>
        <w:rPr>
          <w:rFonts w:eastAsia="TimesNewRoman" w:cs="TimesNewRoman"/>
          <w:color w:val="000000"/>
          <w:lang w:val="en-US"/>
        </w:rPr>
      </w:pPr>
      <w:r w:rsidRPr="00D81B47">
        <w:rPr>
          <w:lang w:val="en-US"/>
        </w:rPr>
        <w:t>Overall, most subjects were male (60.7%) with a mean age of 34.1 years. Adolescents had a mean age of 15.5 years (</w:t>
      </w:r>
      <w:r w:rsidR="008A6FFE">
        <w:rPr>
          <w:lang w:val="en-US"/>
        </w:rPr>
        <w:t>standard deviation (SD) of</w:t>
      </w:r>
      <w:r w:rsidRPr="00D81B47">
        <w:rPr>
          <w:lang w:val="en-US"/>
        </w:rPr>
        <w:t xml:space="preserve"> 1.75 years), with more female adolescents initially randomised to placebo </w:t>
      </w:r>
      <w:r w:rsidR="008A6FFE">
        <w:rPr>
          <w:rFonts w:eastAsia="TimesNewRoman" w:cs="TimesNewRoman"/>
          <w:color w:val="000000"/>
          <w:lang w:val="en-US"/>
        </w:rPr>
        <w:t>compared to the u</w:t>
      </w:r>
      <w:r w:rsidRPr="00D81B47">
        <w:rPr>
          <w:rFonts w:eastAsia="TimesNewRoman" w:cs="TimesNewRoman"/>
          <w:color w:val="000000"/>
          <w:lang w:val="en-US"/>
        </w:rPr>
        <w:t>padacitinib groups.</w:t>
      </w:r>
    </w:p>
    <w:p w14:paraId="41CDB849" w14:textId="023013CE" w:rsidR="00E62B8D" w:rsidRPr="00D81B47" w:rsidRDefault="00E62B8D" w:rsidP="00E62B8D">
      <w:pPr>
        <w:spacing w:after="0" w:line="240" w:lineRule="auto"/>
        <w:rPr>
          <w:lang w:val="en-US"/>
        </w:rPr>
      </w:pPr>
      <w:r w:rsidRPr="00D81B47">
        <w:rPr>
          <w:rFonts w:eastAsia="TimesNewRoman" w:cs="TimesNewRoman"/>
          <w:color w:val="000000"/>
          <w:lang w:val="en-US"/>
        </w:rPr>
        <w:t xml:space="preserve">Baseline disease characteristics were also generally balanced across the treatment groups for all subjects, including adolescents. </w:t>
      </w:r>
      <w:r w:rsidRPr="00D81B47">
        <w:rPr>
          <w:lang w:val="en-US"/>
        </w:rPr>
        <w:t>The most common medical/surgical history by body system was respiratory, thoracic an</w:t>
      </w:r>
      <w:r w:rsidR="008A6FFE">
        <w:rPr>
          <w:lang w:val="en-US"/>
        </w:rPr>
        <w:t>d mediastinal disorders (63.8%, of which</w:t>
      </w:r>
      <w:r w:rsidRPr="00D81B47">
        <w:rPr>
          <w:lang w:val="en-US"/>
        </w:rPr>
        <w:t xml:space="preserve"> asthma </w:t>
      </w:r>
      <w:r w:rsidRPr="00D81B47">
        <w:rPr>
          <w:lang w:val="en-US"/>
        </w:rPr>
        <w:lastRenderedPageBreak/>
        <w:t xml:space="preserve">(45.3%) </w:t>
      </w:r>
      <w:r w:rsidR="008A6FFE">
        <w:rPr>
          <w:lang w:val="en-US"/>
        </w:rPr>
        <w:t>and allergic rhinitis (34.2%) were the most common)</w:t>
      </w:r>
      <w:r w:rsidRPr="00D81B47">
        <w:rPr>
          <w:lang w:val="en-US"/>
        </w:rPr>
        <w:t xml:space="preserve">, followed by </w:t>
      </w:r>
      <w:r w:rsidR="008A6FFE">
        <w:rPr>
          <w:lang w:val="en-US"/>
        </w:rPr>
        <w:t xml:space="preserve">immune system disorders (56.0% of which </w:t>
      </w:r>
      <w:r w:rsidRPr="00D81B47">
        <w:rPr>
          <w:lang w:val="en-US"/>
        </w:rPr>
        <w:t xml:space="preserve">food allergies </w:t>
      </w:r>
      <w:r w:rsidR="008A6FFE">
        <w:rPr>
          <w:lang w:val="en-US"/>
        </w:rPr>
        <w:t>were most common (33.5%))</w:t>
      </w:r>
      <w:r w:rsidRPr="00D81B47">
        <w:rPr>
          <w:lang w:val="en-US"/>
        </w:rPr>
        <w:t xml:space="preserve"> with similar incidence across treatment groups.</w:t>
      </w:r>
    </w:p>
    <w:p w14:paraId="4D54FDE3" w14:textId="6A4681F3" w:rsidR="00E62B8D" w:rsidRPr="00D81B47" w:rsidRDefault="00E62B8D" w:rsidP="00E62B8D">
      <w:pPr>
        <w:autoSpaceDE w:val="0"/>
        <w:autoSpaceDN w:val="0"/>
        <w:adjustRightInd w:val="0"/>
        <w:spacing w:line="240" w:lineRule="auto"/>
        <w:rPr>
          <w:rFonts w:eastAsia="TimesNewRoman" w:cs="TimesNewRoman"/>
          <w:color w:val="000000"/>
          <w:lang w:val="en-US"/>
        </w:rPr>
      </w:pPr>
      <w:r w:rsidRPr="00D81B47">
        <w:rPr>
          <w:rFonts w:eastAsia="TimesNewRoman" w:cs="TimesNewRoman"/>
          <w:color w:val="000000"/>
          <w:lang w:val="en-US"/>
        </w:rPr>
        <w:t xml:space="preserve">Subjects had a mean </w:t>
      </w:r>
      <w:r w:rsidR="00E7488C">
        <w:rPr>
          <w:rFonts w:eastAsia="TimesNewRoman" w:cs="TimesNewRoman"/>
          <w:color w:val="000000"/>
          <w:lang w:val="en-US"/>
        </w:rPr>
        <w:t>atopic dermatitis</w:t>
      </w:r>
      <w:r w:rsidRPr="00D81B47">
        <w:rPr>
          <w:rFonts w:eastAsia="TimesNewRoman" w:cs="TimesNewRoman"/>
          <w:color w:val="000000"/>
          <w:lang w:val="en-US"/>
        </w:rPr>
        <w:t xml:space="preserve"> disease duration since diagnosis of 23.44 years (12.38 years</w:t>
      </w:r>
      <w:r w:rsidR="008A6FFE">
        <w:rPr>
          <w:rFonts w:eastAsia="TimesNewRoman" w:cs="TimesNewRoman"/>
          <w:color w:val="000000"/>
          <w:lang w:val="en-US"/>
        </w:rPr>
        <w:t xml:space="preserve"> for adolescents). Moderate (46 to 47%) to severe (52 to </w:t>
      </w:r>
      <w:r w:rsidRPr="00D81B47">
        <w:rPr>
          <w:rFonts w:eastAsia="TimesNewRoman" w:cs="TimesNewRoman"/>
          <w:color w:val="000000"/>
          <w:lang w:val="en-US"/>
        </w:rPr>
        <w:t xml:space="preserve">54%) </w:t>
      </w:r>
      <w:r w:rsidR="00E7488C">
        <w:rPr>
          <w:rFonts w:eastAsia="TimesNewRoman" w:cs="TimesNewRoman"/>
          <w:color w:val="000000"/>
          <w:lang w:val="en-US"/>
        </w:rPr>
        <w:t>atopic dermatitis</w:t>
      </w:r>
      <w:r w:rsidRPr="00D81B47">
        <w:rPr>
          <w:rFonts w:eastAsia="TimesNewRoman" w:cs="TimesNewRoman"/>
          <w:color w:val="000000"/>
          <w:lang w:val="en-US"/>
        </w:rPr>
        <w:t xml:space="preserve"> was consistently observed across all treatment groups.</w:t>
      </w:r>
    </w:p>
    <w:p w14:paraId="509CD28B" w14:textId="0A25143C" w:rsidR="00E62B8D" w:rsidRPr="00D81B47" w:rsidRDefault="008A6FFE" w:rsidP="00E62B8D">
      <w:pPr>
        <w:autoSpaceDE w:val="0"/>
        <w:autoSpaceDN w:val="0"/>
        <w:adjustRightInd w:val="0"/>
        <w:spacing w:line="240" w:lineRule="auto"/>
        <w:rPr>
          <w:rFonts w:eastAsia="TimesNewRoman" w:cs="TimesNewRoman"/>
          <w:lang w:val="en-US"/>
        </w:rPr>
      </w:pPr>
      <w:r>
        <w:rPr>
          <w:rFonts w:eastAsia="TimesNewRoman" w:cs="TimesNewRoman"/>
          <w:lang w:val="en-US"/>
        </w:rPr>
        <w:t xml:space="preserve">Prior use of high </w:t>
      </w:r>
      <w:r w:rsidRPr="00D81B47">
        <w:rPr>
          <w:rFonts w:eastAsia="TimesNewRoman" w:cs="TimesNewRoman"/>
          <w:lang w:val="en-US"/>
        </w:rPr>
        <w:t xml:space="preserve">potency </w:t>
      </w:r>
      <w:r>
        <w:rPr>
          <w:rFonts w:eastAsia="TimesNewRoman" w:cs="TimesNewRoman"/>
          <w:lang w:val="en-US"/>
        </w:rPr>
        <w:t>topical corticosteroids</w:t>
      </w:r>
      <w:r w:rsidRPr="00D81B47">
        <w:rPr>
          <w:rFonts w:eastAsia="TimesNewRoman" w:cs="TimesNewRoman"/>
          <w:lang w:val="en-US"/>
        </w:rPr>
        <w:t xml:space="preserve"> was similar across treatment groups</w:t>
      </w:r>
      <w:r>
        <w:rPr>
          <w:rFonts w:eastAsia="TimesNewRoman" w:cs="TimesNewRoman"/>
          <w:lang w:val="en-US"/>
        </w:rPr>
        <w:t>, with 629 (69.8%) having received high, medium (40 (45.4%)) and low (277 (30.7%)) potency topical corticosteroids. T</w:t>
      </w:r>
      <w:r w:rsidRPr="00D81B47">
        <w:rPr>
          <w:rFonts w:eastAsia="TimesNewRoman" w:cs="TimesNewRoman"/>
          <w:lang w:val="en-US"/>
        </w:rPr>
        <w:t xml:space="preserve">he most common </w:t>
      </w:r>
      <w:r>
        <w:rPr>
          <w:rFonts w:eastAsia="TimesNewRoman" w:cs="TimesNewRoman"/>
          <w:lang w:val="en-US"/>
        </w:rPr>
        <w:t>topical corticosteroids</w:t>
      </w:r>
      <w:r w:rsidRPr="00D81B47">
        <w:rPr>
          <w:rFonts w:eastAsia="TimesNewRoman" w:cs="TimesNewRoman"/>
          <w:lang w:val="en-US"/>
        </w:rPr>
        <w:t xml:space="preserve"> used prior to start of study were:</w:t>
      </w:r>
    </w:p>
    <w:p w14:paraId="15951E2C" w14:textId="77777777" w:rsidR="00CA47D7" w:rsidRDefault="00E62B8D" w:rsidP="008A6FFE">
      <w:pPr>
        <w:pStyle w:val="ListBullet"/>
      </w:pPr>
      <w:r w:rsidRPr="008A6FFE">
        <w:t xml:space="preserve">high potency </w:t>
      </w:r>
      <w:r w:rsidR="008A6FFE" w:rsidRPr="008A6FFE">
        <w:t>topical corticosteroids</w:t>
      </w:r>
      <w:r w:rsidR="00CA47D7">
        <w:t>:</w:t>
      </w:r>
    </w:p>
    <w:p w14:paraId="2B45F99C" w14:textId="437C60A9" w:rsidR="00E62B8D" w:rsidRPr="008A6FFE" w:rsidRDefault="00CA47D7" w:rsidP="00CA47D7">
      <w:pPr>
        <w:pStyle w:val="ListBullet2"/>
      </w:pPr>
      <w:r>
        <w:t>betamethasone (</w:t>
      </w:r>
      <w:r w:rsidR="00E62B8D" w:rsidRPr="008A6FFE">
        <w:t>n</w:t>
      </w:r>
      <w:r>
        <w:t xml:space="preserve"> </w:t>
      </w:r>
      <w:r w:rsidR="00E62B8D" w:rsidRPr="008A6FFE">
        <w:t>=</w:t>
      </w:r>
      <w:r>
        <w:t xml:space="preserve"> </w:t>
      </w:r>
      <w:r w:rsidR="00E62B8D" w:rsidRPr="008A6FFE">
        <w:t>358</w:t>
      </w:r>
      <w:r>
        <w:t>,</w:t>
      </w:r>
      <w:r w:rsidR="00E62B8D" w:rsidRPr="008A6FFE">
        <w:t xml:space="preserve"> with 80.2% showing inadeq</w:t>
      </w:r>
      <w:r>
        <w:t>uate response/ loss of response)</w:t>
      </w:r>
      <w:r w:rsidR="00E62B8D" w:rsidRPr="008A6FFE">
        <w:t xml:space="preserve">; </w:t>
      </w:r>
    </w:p>
    <w:p w14:paraId="2C90D858" w14:textId="77777777" w:rsidR="00CA47D7" w:rsidRDefault="00E62B8D" w:rsidP="008A6FFE">
      <w:pPr>
        <w:pStyle w:val="ListBullet"/>
      </w:pPr>
      <w:r w:rsidRPr="008A6FFE">
        <w:t xml:space="preserve">medium potency </w:t>
      </w:r>
      <w:r w:rsidR="00CA47D7">
        <w:t>topical corticosteroids:</w:t>
      </w:r>
    </w:p>
    <w:p w14:paraId="1090176B" w14:textId="6563DF37" w:rsidR="00CA47D7" w:rsidRDefault="00CA47D7" w:rsidP="00CA47D7">
      <w:pPr>
        <w:pStyle w:val="ListBullet2"/>
      </w:pPr>
      <w:r>
        <w:t>triamcinolone (</w:t>
      </w:r>
      <w:r w:rsidR="00E62B8D" w:rsidRPr="008A6FFE">
        <w:t>n</w:t>
      </w:r>
      <w:r>
        <w:t xml:space="preserve"> </w:t>
      </w:r>
      <w:r w:rsidR="00E62B8D" w:rsidRPr="008A6FFE">
        <w:t>=</w:t>
      </w:r>
      <w:r>
        <w:t xml:space="preserve"> </w:t>
      </w:r>
      <w:r w:rsidR="00E62B8D" w:rsidRPr="008A6FFE">
        <w:t>186 with 86% showing inadequ</w:t>
      </w:r>
      <w:r>
        <w:t>ate response/ loss of response) and</w:t>
      </w:r>
    </w:p>
    <w:p w14:paraId="3685AAB7" w14:textId="3BA67567" w:rsidR="00E62B8D" w:rsidRPr="008A6FFE" w:rsidRDefault="00CA47D7" w:rsidP="00CA47D7">
      <w:pPr>
        <w:pStyle w:val="ListBullet2"/>
      </w:pPr>
      <w:r>
        <w:t>mometasone (</w:t>
      </w:r>
      <w:r w:rsidR="00E62B8D" w:rsidRPr="008A6FFE">
        <w:t>n</w:t>
      </w:r>
      <w:r>
        <w:t xml:space="preserve"> </w:t>
      </w:r>
      <w:r w:rsidR="00E62B8D" w:rsidRPr="008A6FFE">
        <w:t>=</w:t>
      </w:r>
      <w:r>
        <w:t xml:space="preserve"> </w:t>
      </w:r>
      <w:r w:rsidR="00E62B8D" w:rsidRPr="008A6FFE">
        <w:t>256 with 81.6% showing inadeq</w:t>
      </w:r>
      <w:r>
        <w:t>uate response/ loss of response)</w:t>
      </w:r>
      <w:r w:rsidR="00E62B8D" w:rsidRPr="008A6FFE">
        <w:t xml:space="preserve">; </w:t>
      </w:r>
    </w:p>
    <w:p w14:paraId="0357F2F7" w14:textId="604C182C" w:rsidR="00CA47D7" w:rsidRDefault="00E62B8D" w:rsidP="008A6FFE">
      <w:pPr>
        <w:pStyle w:val="ListBullet"/>
      </w:pPr>
      <w:r w:rsidRPr="008A6FFE">
        <w:t xml:space="preserve">low potency </w:t>
      </w:r>
      <w:r w:rsidR="00CA47D7">
        <w:t>topical corticosteroids</w:t>
      </w:r>
      <w:r w:rsidR="00407FBB">
        <w:t>:</w:t>
      </w:r>
    </w:p>
    <w:p w14:paraId="40F30E8A" w14:textId="39C59B6F" w:rsidR="00E62B8D" w:rsidRPr="008A6FFE" w:rsidRDefault="00CA47D7" w:rsidP="00CA47D7">
      <w:pPr>
        <w:pStyle w:val="ListBullet2"/>
      </w:pPr>
      <w:r>
        <w:t>hydrocortisone (</w:t>
      </w:r>
      <w:r w:rsidR="00E62B8D" w:rsidRPr="008A6FFE">
        <w:t>n</w:t>
      </w:r>
      <w:r>
        <w:t xml:space="preserve"> </w:t>
      </w:r>
      <w:r w:rsidR="00E62B8D" w:rsidRPr="008A6FFE">
        <w:t>=</w:t>
      </w:r>
      <w:r>
        <w:t xml:space="preserve"> </w:t>
      </w:r>
      <w:r w:rsidR="00E62B8D" w:rsidRPr="008A6FFE">
        <w:t>222 with 82% showing inadequate response/ loss of response</w:t>
      </w:r>
      <w:r>
        <w:t>)</w:t>
      </w:r>
      <w:r w:rsidR="00E62B8D" w:rsidRPr="008A6FFE">
        <w:t xml:space="preserve">. </w:t>
      </w:r>
    </w:p>
    <w:p w14:paraId="51CCF42E" w14:textId="7B90DC9A" w:rsidR="00E62B8D" w:rsidRPr="008A6FFE" w:rsidRDefault="00E62B8D" w:rsidP="008A6FFE">
      <w:r w:rsidRPr="008A6FFE">
        <w:t xml:space="preserve">It is noted, that prior use of these </w:t>
      </w:r>
      <w:r w:rsidR="00CA47D7" w:rsidRPr="008A6FFE">
        <w:t xml:space="preserve">topical corticosteroids </w:t>
      </w:r>
      <w:r w:rsidRPr="008A6FFE">
        <w:t>was simil</w:t>
      </w:r>
      <w:r w:rsidR="00CA47D7">
        <w:t>ar across all treatment groups.</w:t>
      </w:r>
    </w:p>
    <w:p w14:paraId="3EC07608" w14:textId="0898EC61" w:rsidR="00E62B8D" w:rsidRPr="008A6FFE" w:rsidRDefault="00CA47D7" w:rsidP="008A6FFE">
      <w:r>
        <w:t>More than half of the subjects (</w:t>
      </w:r>
      <w:r w:rsidR="00E62B8D" w:rsidRPr="008A6FFE">
        <w:t>n</w:t>
      </w:r>
      <w:r>
        <w:t xml:space="preserve"> </w:t>
      </w:r>
      <w:r w:rsidR="00E62B8D" w:rsidRPr="008A6FFE">
        <w:t>=</w:t>
      </w:r>
      <w:r>
        <w:t xml:space="preserve"> 492 (54.6. %))</w:t>
      </w:r>
      <w:r w:rsidR="00E62B8D" w:rsidRPr="008A6FFE">
        <w:t xml:space="preserve"> received prior non-biologic immunomodulating systemic therapies and only 30 subjects (3.3%) received prior biologic systemic therapies. </w:t>
      </w:r>
    </w:p>
    <w:p w14:paraId="6B5A9227" w14:textId="1547B67E" w:rsidR="00E62B8D" w:rsidRPr="00B15260" w:rsidRDefault="00CA47D7" w:rsidP="00CA47D7">
      <w:pPr>
        <w:rPr>
          <w:lang w:val="en-US"/>
        </w:rPr>
      </w:pPr>
      <w:r>
        <w:rPr>
          <w:lang w:val="en-US"/>
        </w:rPr>
        <w:t>The clinical evaluation noted that p</w:t>
      </w:r>
      <w:r w:rsidR="00E62B8D" w:rsidRPr="00B15260">
        <w:rPr>
          <w:lang w:val="en-US"/>
        </w:rPr>
        <w:t>rior use of non-biologic immunomodulating systemic ther</w:t>
      </w:r>
      <w:r>
        <w:rPr>
          <w:lang w:val="en-US"/>
        </w:rPr>
        <w:t>apy was slightly higher in the u</w:t>
      </w:r>
      <w:r w:rsidR="00E62B8D" w:rsidRPr="00B15260">
        <w:rPr>
          <w:lang w:val="en-US"/>
        </w:rPr>
        <w:t xml:space="preserve">padacitinib treatment groups compared to the placebo group </w:t>
      </w:r>
      <w:r>
        <w:rPr>
          <w:color w:val="000000"/>
          <w:lang w:val="en-US"/>
        </w:rPr>
        <w:t xml:space="preserve">at </w:t>
      </w:r>
      <w:r w:rsidR="00E62B8D" w:rsidRPr="00B15260">
        <w:rPr>
          <w:color w:val="000000"/>
          <w:lang w:val="en-US"/>
        </w:rPr>
        <w:t xml:space="preserve">56.0%, 56.9% and 51.0% in the </w:t>
      </w:r>
      <w:r w:rsidR="00921F5C">
        <w:t>upadacitinib</w:t>
      </w:r>
      <w:r w:rsidR="00E62B8D" w:rsidRPr="00B15260">
        <w:t xml:space="preserve"> 15</w:t>
      </w:r>
      <w:r>
        <w:t xml:space="preserve"> </w:t>
      </w:r>
      <w:r w:rsidR="00E62B8D" w:rsidRPr="00B15260">
        <w:t xml:space="preserve">mg + </w:t>
      </w:r>
      <w:r>
        <w:t>topical corticosteroids</w:t>
      </w:r>
      <w:r w:rsidR="00E62B8D" w:rsidRPr="00B15260">
        <w:t xml:space="preserve">, </w:t>
      </w:r>
      <w:r w:rsidR="00921F5C">
        <w:t>upadacitinib</w:t>
      </w:r>
      <w:r w:rsidR="00E62B8D" w:rsidRPr="00B15260">
        <w:t xml:space="preserve"> 30</w:t>
      </w:r>
      <w:r>
        <w:t xml:space="preserve"> </w:t>
      </w:r>
      <w:r w:rsidR="00E62B8D" w:rsidRPr="00B15260">
        <w:t>mg +</w:t>
      </w:r>
      <w:r>
        <w:t xml:space="preserve"> topical corticosteroids</w:t>
      </w:r>
      <w:r w:rsidRPr="00B15260">
        <w:t xml:space="preserve"> </w:t>
      </w:r>
      <w:r>
        <w:t>and p</w:t>
      </w:r>
      <w:r w:rsidR="00E62B8D" w:rsidRPr="00B15260">
        <w:t xml:space="preserve">lacebo + </w:t>
      </w:r>
      <w:r>
        <w:t>topical corticosteroids</w:t>
      </w:r>
      <w:r w:rsidRPr="00B15260">
        <w:t xml:space="preserve"> </w:t>
      </w:r>
      <w:r>
        <w:t>groups, respectively)</w:t>
      </w:r>
      <w:r w:rsidR="00E62B8D" w:rsidRPr="00B15260">
        <w:t>.</w:t>
      </w:r>
    </w:p>
    <w:p w14:paraId="70CF68FB" w14:textId="7C32F731" w:rsidR="00CA47D7" w:rsidRDefault="00033D17" w:rsidP="00CA47D7">
      <w:pPr>
        <w:pStyle w:val="Heading6"/>
      </w:pPr>
      <w:r>
        <w:t>Concomitant topical corticosteroid use</w:t>
      </w:r>
    </w:p>
    <w:p w14:paraId="4E891AB2" w14:textId="45372D3D" w:rsidR="00E62B8D" w:rsidRPr="00CA47D7" w:rsidRDefault="00E62B8D" w:rsidP="00CA47D7">
      <w:pPr>
        <w:rPr>
          <w:rFonts w:asciiTheme="minorHAnsi" w:hAnsiTheme="minorHAnsi" w:cs="Arial"/>
          <w:lang w:val="en-US"/>
        </w:rPr>
      </w:pPr>
      <w:r w:rsidRPr="00B15260">
        <w:rPr>
          <w:lang w:val="en-US"/>
        </w:rPr>
        <w:t>The most common concomitant medications during the</w:t>
      </w:r>
      <w:r w:rsidR="00921F5C">
        <w:rPr>
          <w:lang w:val="en-US"/>
        </w:rPr>
        <w:t xml:space="preserve"> double blind </w:t>
      </w:r>
      <w:r w:rsidRPr="00B15260">
        <w:rPr>
          <w:lang w:val="en-US"/>
        </w:rPr>
        <w:t>treatment period were:</w:t>
      </w:r>
    </w:p>
    <w:p w14:paraId="300CA531" w14:textId="3FBE0F7C" w:rsidR="00CA47D7" w:rsidRDefault="00E62B8D" w:rsidP="00CA47D7">
      <w:pPr>
        <w:pStyle w:val="ListBullet"/>
      </w:pPr>
      <w:r w:rsidRPr="00CA47D7">
        <w:t>Hy</w:t>
      </w:r>
      <w:r w:rsidR="00CA47D7">
        <w:t>drocortisone (</w:t>
      </w:r>
      <w:r w:rsidRPr="00CA47D7">
        <w:t>n</w:t>
      </w:r>
      <w:r w:rsidR="00CA47D7">
        <w:t xml:space="preserve"> </w:t>
      </w:r>
      <w:r w:rsidRPr="00CA47D7">
        <w:t>=</w:t>
      </w:r>
      <w:r w:rsidR="00CA47D7">
        <w:t xml:space="preserve"> 522 (58%));</w:t>
      </w:r>
    </w:p>
    <w:p w14:paraId="1E961A45" w14:textId="5B5D1D1C" w:rsidR="00E62B8D" w:rsidRPr="00CA47D7" w:rsidRDefault="00E62B8D" w:rsidP="00CA47D7">
      <w:pPr>
        <w:pStyle w:val="ListBullet2"/>
      </w:pPr>
      <w:r w:rsidRPr="00CA47D7">
        <w:t xml:space="preserve">57.3%, 55.6% and 61.1% in the </w:t>
      </w:r>
      <w:r w:rsidR="00921F5C" w:rsidRPr="00CA47D7">
        <w:t>upadacitinib</w:t>
      </w:r>
      <w:r w:rsidRPr="00CA47D7">
        <w:t xml:space="preserve"> </w:t>
      </w:r>
      <w:r w:rsidR="005D7175">
        <w:t>15 mg</w:t>
      </w:r>
      <w:r w:rsidRPr="00CA47D7">
        <w:t xml:space="preserve"> + </w:t>
      </w:r>
      <w:r w:rsidR="00CA47D7" w:rsidRPr="00CA47D7">
        <w:t>topical corticosteroids</w:t>
      </w:r>
      <w:r w:rsidRPr="00CA47D7">
        <w:t xml:space="preserve">, </w:t>
      </w:r>
      <w:r w:rsidR="00921F5C" w:rsidRPr="00CA47D7">
        <w:t>upadacitinib</w:t>
      </w:r>
      <w:r w:rsidRPr="00CA47D7">
        <w:t xml:space="preserve"> 30</w:t>
      </w:r>
      <w:r w:rsidR="00CA47D7">
        <w:t xml:space="preserve"> </w:t>
      </w:r>
      <w:r w:rsidRPr="00CA47D7">
        <w:t>mg</w:t>
      </w:r>
      <w:r w:rsidR="00CA47D7">
        <w:t xml:space="preserve"> </w:t>
      </w:r>
      <w:r w:rsidR="00CA47D7" w:rsidRPr="00CA47D7">
        <w:t>+</w:t>
      </w:r>
      <w:r w:rsidR="00CA47D7">
        <w:t xml:space="preserve"> </w:t>
      </w:r>
      <w:r w:rsidR="00CA47D7" w:rsidRPr="00CA47D7">
        <w:t>topical corticosteroids and placebo + topical corti</w:t>
      </w:r>
      <w:r w:rsidR="00CA47D7">
        <w:t>costeroids groups, respectively)</w:t>
      </w:r>
      <w:r w:rsidR="00CA47D7" w:rsidRPr="00CA47D7">
        <w:t>;</w:t>
      </w:r>
    </w:p>
    <w:p w14:paraId="622E19B9" w14:textId="4BC598BA" w:rsidR="00CA47D7" w:rsidRDefault="00CA47D7" w:rsidP="00CA47D7">
      <w:pPr>
        <w:pStyle w:val="ListBullet"/>
        <w:rPr>
          <w:lang w:val="en-US"/>
        </w:rPr>
      </w:pPr>
      <w:r>
        <w:rPr>
          <w:lang w:val="en-US"/>
        </w:rPr>
        <w:t>Mometasone (n = 252 (28%));</w:t>
      </w:r>
    </w:p>
    <w:p w14:paraId="7F7A8D9F" w14:textId="47F97E62" w:rsidR="00E62B8D" w:rsidRPr="00B15260" w:rsidRDefault="00E62B8D" w:rsidP="00CA47D7">
      <w:pPr>
        <w:pStyle w:val="ListBullet2"/>
        <w:rPr>
          <w:lang w:val="en-US"/>
        </w:rPr>
      </w:pPr>
      <w:r w:rsidRPr="00B15260">
        <w:rPr>
          <w:lang w:val="en-US"/>
        </w:rPr>
        <w:t>27.3%, 23.9% and 32.7</w:t>
      </w:r>
      <w:r w:rsidR="00CA47D7">
        <w:rPr>
          <w:lang w:val="en-US"/>
        </w:rPr>
        <w:t>%, respectively</w:t>
      </w:r>
      <w:r w:rsidRPr="00B15260">
        <w:rPr>
          <w:lang w:val="en-US"/>
        </w:rPr>
        <w:t>;</w:t>
      </w:r>
      <w:r w:rsidR="00033D17">
        <w:rPr>
          <w:lang w:val="en-US"/>
        </w:rPr>
        <w:t xml:space="preserve"> and</w:t>
      </w:r>
    </w:p>
    <w:p w14:paraId="635928FD" w14:textId="77777777" w:rsidR="00CA47D7" w:rsidRDefault="00CA47D7" w:rsidP="00CA47D7">
      <w:pPr>
        <w:pStyle w:val="ListBullet"/>
        <w:rPr>
          <w:rFonts w:eastAsia="TimesNewRoman" w:cs="TimesNewRoman"/>
          <w:color w:val="000000"/>
          <w:lang w:val="en-US"/>
        </w:rPr>
      </w:pPr>
      <w:r>
        <w:rPr>
          <w:rFonts w:eastAsia="TimesNewRoman" w:cs="TimesNewRoman"/>
          <w:color w:val="000000"/>
          <w:lang w:val="en-US"/>
        </w:rPr>
        <w:t>Betamethasone (</w:t>
      </w:r>
      <w:r w:rsidR="00E62B8D" w:rsidRPr="00B15260">
        <w:rPr>
          <w:rFonts w:eastAsia="TimesNewRoman" w:cs="TimesNewRoman"/>
          <w:color w:val="000000"/>
          <w:lang w:val="en-US"/>
        </w:rPr>
        <w:t>n</w:t>
      </w:r>
      <w:r>
        <w:rPr>
          <w:rFonts w:eastAsia="TimesNewRoman" w:cs="TimesNewRoman"/>
          <w:color w:val="000000"/>
          <w:lang w:val="en-US"/>
        </w:rPr>
        <w:t xml:space="preserve"> </w:t>
      </w:r>
      <w:r w:rsidR="00E62B8D" w:rsidRPr="00B15260">
        <w:rPr>
          <w:rFonts w:eastAsia="TimesNewRoman" w:cs="TimesNewRoman"/>
          <w:color w:val="000000"/>
          <w:lang w:val="en-US"/>
        </w:rPr>
        <w:t>=</w:t>
      </w:r>
      <w:r>
        <w:rPr>
          <w:rFonts w:eastAsia="TimesNewRoman" w:cs="TimesNewRoman"/>
          <w:color w:val="000000"/>
          <w:lang w:val="en-US"/>
        </w:rPr>
        <w:t xml:space="preserve"> 187 (20.8%));</w:t>
      </w:r>
    </w:p>
    <w:p w14:paraId="400A7C35" w14:textId="4BA4A90E" w:rsidR="00CA47D7" w:rsidRPr="00CA47D7" w:rsidRDefault="00E62B8D" w:rsidP="00CA47D7">
      <w:pPr>
        <w:pStyle w:val="ListBullet2"/>
        <w:rPr>
          <w:rFonts w:eastAsia="TimesNewRoman" w:cs="TimesNewRoman"/>
          <w:color w:val="000000"/>
          <w:lang w:val="en-US"/>
        </w:rPr>
      </w:pPr>
      <w:r w:rsidRPr="00B15260">
        <w:rPr>
          <w:rFonts w:eastAsia="TimesNewRoman" w:cs="TimesNewRoman"/>
          <w:color w:val="000000"/>
          <w:lang w:val="en-US"/>
        </w:rPr>
        <w:t>16.3%, 18.9% and 27.1%</w:t>
      </w:r>
      <w:r w:rsidR="00033D17">
        <w:t>, respectively.</w:t>
      </w:r>
    </w:p>
    <w:p w14:paraId="65A33DBC" w14:textId="41D4DA62" w:rsidR="00033D17" w:rsidRDefault="00033D17" w:rsidP="00033D17">
      <w:pPr>
        <w:pStyle w:val="Heading6"/>
      </w:pPr>
      <w:r>
        <w:lastRenderedPageBreak/>
        <w:t>Use of other concomitant treatments</w:t>
      </w:r>
    </w:p>
    <w:p w14:paraId="1B9814AF" w14:textId="0D3F4956" w:rsidR="00E62B8D" w:rsidRPr="00033D17" w:rsidRDefault="00CA47D7" w:rsidP="00033D17">
      <w:r w:rsidRPr="00033D17">
        <w:t>Emollients and protectives (</w:t>
      </w:r>
      <w:r w:rsidR="00E62B8D" w:rsidRPr="00033D17">
        <w:t>n</w:t>
      </w:r>
      <w:r w:rsidRPr="00033D17">
        <w:t xml:space="preserve"> </w:t>
      </w:r>
      <w:r w:rsidR="00E62B8D" w:rsidRPr="00033D17">
        <w:t>=</w:t>
      </w:r>
      <w:r w:rsidRPr="00033D17">
        <w:t xml:space="preserve"> </w:t>
      </w:r>
      <w:r w:rsidR="00E62B8D" w:rsidRPr="00033D17">
        <w:t>205 (22.8%)</w:t>
      </w:r>
      <w:r w:rsidRPr="00033D17">
        <w:t>);</w:t>
      </w:r>
      <w:r w:rsidR="00033D17">
        <w:t xml:space="preserve"> were used in </w:t>
      </w:r>
      <w:r w:rsidR="00E62B8D" w:rsidRPr="00033D17">
        <w:t>23.7%</w:t>
      </w:r>
      <w:r w:rsidRPr="00033D17">
        <w:t>, 26.3% and 18.5%, respectively</w:t>
      </w:r>
      <w:r w:rsidR="00E62B8D" w:rsidRPr="00033D17">
        <w:t>.</w:t>
      </w:r>
      <w:r w:rsidR="00033D17">
        <w:t xml:space="preserve"> The clinical evaluation noted </w:t>
      </w:r>
      <w:r w:rsidR="00033D17" w:rsidRPr="00CA47D7">
        <w:t>that use of emollients and protecti</w:t>
      </w:r>
      <w:r w:rsidR="00033D17">
        <w:t>ves was slightly higher in the u</w:t>
      </w:r>
      <w:r w:rsidR="00033D17" w:rsidRPr="00CA47D7">
        <w:t>padacitinib treatment group</w:t>
      </w:r>
      <w:r w:rsidR="00033D17">
        <w:t>s compared to the placebo group.</w:t>
      </w:r>
    </w:p>
    <w:p w14:paraId="485D8CC3" w14:textId="208FBCA5" w:rsidR="00E62B8D" w:rsidRPr="00CA47D7" w:rsidRDefault="00E62B8D" w:rsidP="00CA47D7">
      <w:r w:rsidRPr="00CA47D7">
        <w:t>Other</w:t>
      </w:r>
      <w:r w:rsidR="00CA47D7">
        <w:t xml:space="preserve"> commonly used medications were salbutamol (17%)</w:t>
      </w:r>
      <w:r w:rsidRPr="00CA47D7">
        <w:t>;</w:t>
      </w:r>
      <w:r w:rsidR="00CA47D7">
        <w:t xml:space="preserve"> ibuprofen (10.2%)</w:t>
      </w:r>
      <w:r w:rsidRPr="00CA47D7">
        <w:t>;</w:t>
      </w:r>
      <w:r w:rsidR="00CA47D7">
        <w:t xml:space="preserve"> and p</w:t>
      </w:r>
      <w:r w:rsidRPr="00CA47D7">
        <w:t>aracet</w:t>
      </w:r>
      <w:r w:rsidR="00CA47D7">
        <w:t>amol (9.9%)</w:t>
      </w:r>
      <w:r w:rsidRPr="00CA47D7">
        <w:t>.</w:t>
      </w:r>
    </w:p>
    <w:p w14:paraId="47EDF3C6" w14:textId="77777777" w:rsidR="00E62B8D" w:rsidRPr="00B15260" w:rsidRDefault="00E62B8D" w:rsidP="00E62B8D">
      <w:pPr>
        <w:tabs>
          <w:tab w:val="left" w:pos="1134"/>
          <w:tab w:val="left" w:pos="1276"/>
        </w:tabs>
        <w:spacing w:line="240" w:lineRule="auto"/>
      </w:pPr>
      <w:r w:rsidRPr="00B15260">
        <w:t>Commonly used antihistamines included:</w:t>
      </w:r>
    </w:p>
    <w:p w14:paraId="0EADD218" w14:textId="5DBD35F5" w:rsidR="00E62B8D" w:rsidRPr="00B15260" w:rsidRDefault="00CA47D7" w:rsidP="00CA47D7">
      <w:pPr>
        <w:pStyle w:val="ListBullet"/>
        <w:rPr>
          <w:rFonts w:eastAsia="TimesNewRoman" w:cs="TimesNewRoman"/>
          <w:color w:val="000000"/>
          <w:lang w:val="en-US"/>
        </w:rPr>
      </w:pPr>
      <w:r>
        <w:t>Cetirizine (</w:t>
      </w:r>
      <w:r w:rsidR="00E62B8D" w:rsidRPr="00B15260">
        <w:t>n</w:t>
      </w:r>
      <w:r>
        <w:t xml:space="preserve"> </w:t>
      </w:r>
      <w:r w:rsidR="00E62B8D" w:rsidRPr="00B15260">
        <w:t>=</w:t>
      </w:r>
      <w:r>
        <w:t xml:space="preserve"> </w:t>
      </w:r>
      <w:r w:rsidR="00E62B8D" w:rsidRPr="00B15260">
        <w:t>120 (13.3%); 13.7%</w:t>
      </w:r>
      <w:r>
        <w:t>, 11.8% and 14.5%, respectively)</w:t>
      </w:r>
      <w:r w:rsidR="00E62B8D" w:rsidRPr="00B15260">
        <w:t>;</w:t>
      </w:r>
    </w:p>
    <w:p w14:paraId="535779BA" w14:textId="71EC7B90" w:rsidR="00E62B8D" w:rsidRPr="00CA47D7" w:rsidRDefault="00E62B8D" w:rsidP="00CA47D7">
      <w:pPr>
        <w:pStyle w:val="ListBullet"/>
        <w:rPr>
          <w:rFonts w:eastAsia="TimesNewRoman" w:cs="TimesNewRoman"/>
          <w:color w:val="000000"/>
          <w:lang w:val="en-US"/>
        </w:rPr>
      </w:pPr>
      <w:r w:rsidRPr="00B15260">
        <w:t xml:space="preserve">Others </w:t>
      </w:r>
      <w:r w:rsidR="00CA47D7">
        <w:t>antihistamines with</w:t>
      </w:r>
      <w:r w:rsidRPr="00B15260">
        <w:t xml:space="preserve"> similar incidence of use across treatment groups </w:t>
      </w:r>
      <w:r w:rsidR="00CA47D7">
        <w:t xml:space="preserve">included </w:t>
      </w:r>
      <w:r w:rsidR="00CA47D7" w:rsidRPr="00CA47D7">
        <w:t>fexofenadine</w:t>
      </w:r>
      <w:r w:rsidR="00CA47D7">
        <w:t xml:space="preserve">, </w:t>
      </w:r>
      <w:r w:rsidR="00CA47D7" w:rsidRPr="00CA47D7">
        <w:t>diphenhydramine</w:t>
      </w:r>
      <w:r w:rsidR="00CA47D7">
        <w:t xml:space="preserve">, and </w:t>
      </w:r>
      <w:r w:rsidR="00CA47D7" w:rsidRPr="00CA47D7">
        <w:t xml:space="preserve">loratidine. </w:t>
      </w:r>
    </w:p>
    <w:p w14:paraId="207EC996" w14:textId="6313C7C0" w:rsidR="00E62B8D" w:rsidRPr="00CA47D7" w:rsidRDefault="00033D17" w:rsidP="00CA47D7">
      <w:r>
        <w:t>The clinical evaluation noted that</w:t>
      </w:r>
      <w:r w:rsidR="00E62B8D" w:rsidRPr="00CA47D7">
        <w:t xml:space="preserve"> the concomitant use of topical calcinuerin inhibitors was not </w:t>
      </w:r>
      <w:r>
        <w:t>clarified in this study.</w:t>
      </w:r>
    </w:p>
    <w:p w14:paraId="3B08530A" w14:textId="20380173" w:rsidR="00E62B8D" w:rsidRPr="00CA47D7" w:rsidRDefault="00033D17" w:rsidP="00033D17">
      <w:pPr>
        <w:pStyle w:val="Heading6"/>
      </w:pPr>
      <w:r>
        <w:t>Use of rescue therapy</w:t>
      </w:r>
    </w:p>
    <w:p w14:paraId="5B1540C9" w14:textId="77777777" w:rsidR="00033D17" w:rsidRDefault="00E62B8D" w:rsidP="00E62B8D">
      <w:pPr>
        <w:spacing w:line="240" w:lineRule="auto"/>
      </w:pPr>
      <w:r w:rsidRPr="00AA3A3F">
        <w:rPr>
          <w:lang w:val="en-US" w:eastAsia="en-AU"/>
        </w:rPr>
        <w:t xml:space="preserve">The proportion of subjects receiving one or more rescue medications was much higher in the placebo </w:t>
      </w:r>
      <w:r w:rsidR="00033D17" w:rsidRPr="00AA3A3F">
        <w:rPr>
          <w:lang w:val="en-US" w:eastAsia="en-AU"/>
        </w:rPr>
        <w:t xml:space="preserve">+ </w:t>
      </w:r>
      <w:r w:rsidR="00033D17">
        <w:rPr>
          <w:lang w:val="en-US" w:eastAsia="en-AU"/>
        </w:rPr>
        <w:t>topical corticosteroids (78 (25.7%))</w:t>
      </w:r>
      <w:r w:rsidR="00033D17" w:rsidRPr="00AA3A3F">
        <w:rPr>
          <w:lang w:val="en-US" w:eastAsia="en-AU"/>
        </w:rPr>
        <w:t xml:space="preserve"> compared to the </w:t>
      </w:r>
      <w:r w:rsidR="00033D17">
        <w:t>upadacitinib</w:t>
      </w:r>
      <w:r w:rsidR="00033D17" w:rsidRPr="00AA3A3F">
        <w:t xml:space="preserve"> 15</w:t>
      </w:r>
      <w:r w:rsidR="00033D17">
        <w:t xml:space="preserve"> </w:t>
      </w:r>
      <w:r w:rsidR="00033D17" w:rsidRPr="00AA3A3F">
        <w:t xml:space="preserve">mg + </w:t>
      </w:r>
      <w:r w:rsidR="00033D17">
        <w:t>topical corticosteroids (16 (5.3%))</w:t>
      </w:r>
      <w:r w:rsidR="00033D17" w:rsidRPr="00AA3A3F">
        <w:t xml:space="preserve"> and </w:t>
      </w:r>
      <w:r w:rsidR="00033D17">
        <w:t>upadacitinib</w:t>
      </w:r>
      <w:r w:rsidR="00033D17" w:rsidRPr="00AA3A3F">
        <w:t xml:space="preserve"> 30</w:t>
      </w:r>
      <w:r w:rsidR="00033D17">
        <w:t xml:space="preserve"> </w:t>
      </w:r>
      <w:r w:rsidR="00033D17" w:rsidRPr="00AA3A3F">
        <w:t>mg</w:t>
      </w:r>
      <w:r w:rsidR="00033D17">
        <w:t xml:space="preserve"> </w:t>
      </w:r>
      <w:r w:rsidR="00033D17" w:rsidRPr="00AA3A3F">
        <w:t>+</w:t>
      </w:r>
      <w:r w:rsidR="00033D17">
        <w:t xml:space="preserve"> topical corticosteroids (16 (5.4%))</w:t>
      </w:r>
      <w:r w:rsidR="00033D17" w:rsidRPr="00AA3A3F">
        <w:t xml:space="preserve"> groups</w:t>
      </w:r>
      <w:r w:rsidR="00033D17">
        <w:t>.</w:t>
      </w:r>
    </w:p>
    <w:p w14:paraId="49666E6A" w14:textId="4AAB1DA0" w:rsidR="00E62B8D" w:rsidRDefault="00033D17" w:rsidP="00E62B8D">
      <w:pPr>
        <w:spacing w:line="240" w:lineRule="auto"/>
      </w:pPr>
      <w:r>
        <w:t>T</w:t>
      </w:r>
      <w:r w:rsidRPr="00AA3A3F">
        <w:t xml:space="preserve">he most commonly used rescue medications were high potency </w:t>
      </w:r>
      <w:r>
        <w:t>topical corticosteroids</w:t>
      </w:r>
      <w:r w:rsidRPr="00AA3A3F">
        <w:t xml:space="preserve"> (4.7%, 4.4% and 23.4% </w:t>
      </w:r>
      <w:r w:rsidRPr="00AA3A3F">
        <w:rPr>
          <w:rFonts w:eastAsia="TimesNewRoman" w:cs="TimesNewRoman"/>
          <w:color w:val="000000"/>
          <w:lang w:val="en-US"/>
        </w:rPr>
        <w:t xml:space="preserve">in the </w:t>
      </w:r>
      <w:r>
        <w:t>upadacitinib</w:t>
      </w:r>
      <w:r w:rsidRPr="00AA3A3F">
        <w:t xml:space="preserve"> 15</w:t>
      </w:r>
      <w:r>
        <w:t xml:space="preserve"> </w:t>
      </w:r>
      <w:r w:rsidRPr="00AA3A3F">
        <w:t xml:space="preserve">mg + </w:t>
      </w:r>
      <w:r>
        <w:t>topical corticosteroids</w:t>
      </w:r>
      <w:r w:rsidRPr="00AA3A3F">
        <w:t xml:space="preserve">, </w:t>
      </w:r>
      <w:r>
        <w:t>upadacitinib</w:t>
      </w:r>
      <w:r w:rsidRPr="00AA3A3F">
        <w:t xml:space="preserve"> </w:t>
      </w:r>
      <w:r w:rsidR="005D7175">
        <w:t>30 mg</w:t>
      </w:r>
      <w:r>
        <w:t xml:space="preserve"> </w:t>
      </w:r>
      <w:r w:rsidRPr="00AA3A3F">
        <w:t>+</w:t>
      </w:r>
      <w:r>
        <w:t xml:space="preserve"> topical corticosteroids</w:t>
      </w:r>
      <w:r w:rsidRPr="00AA3A3F">
        <w:t xml:space="preserve"> and placebo + </w:t>
      </w:r>
      <w:r>
        <w:t>topical corticosteroids</w:t>
      </w:r>
      <w:r w:rsidRPr="00AA3A3F">
        <w:t xml:space="preserve"> groups</w:t>
      </w:r>
      <w:r w:rsidR="00E62B8D" w:rsidRPr="00AA3A3F">
        <w:t>, respectively) and, non-biologic immunomodulating systemic therapy (1.0%, 0.7% and 4.9%, respectively)</w:t>
      </w:r>
      <w:r w:rsidR="00E62B8D">
        <w:t>.</w:t>
      </w:r>
      <w:r w:rsidR="00E62B8D" w:rsidRPr="00AA3A3F">
        <w:t xml:space="preserve"> </w:t>
      </w:r>
    </w:p>
    <w:p w14:paraId="79A6B2CB" w14:textId="7B29974C" w:rsidR="00E62B8D" w:rsidRPr="00AA3A3F" w:rsidRDefault="00E62B8D" w:rsidP="00E62B8D">
      <w:pPr>
        <w:spacing w:line="240" w:lineRule="auto"/>
        <w:rPr>
          <w:color w:val="000000"/>
          <w:lang w:val="en-US"/>
        </w:rPr>
      </w:pPr>
      <w:r w:rsidRPr="00AA3A3F">
        <w:rPr>
          <w:lang w:val="en-US"/>
        </w:rPr>
        <w:t>Treatment compliance rates were high in</w:t>
      </w:r>
      <w:r w:rsidR="00921F5C">
        <w:rPr>
          <w:lang w:val="en-US"/>
        </w:rPr>
        <w:t xml:space="preserve"> double blind </w:t>
      </w:r>
      <w:r w:rsidRPr="00AA3A3F">
        <w:rPr>
          <w:lang w:val="en-US"/>
        </w:rPr>
        <w:t>Period with mean compliance greater than 94% and median compliance greater than 97% in all three groups. Mean compliance during the</w:t>
      </w:r>
      <w:r w:rsidR="00921F5C">
        <w:rPr>
          <w:lang w:val="en-US"/>
        </w:rPr>
        <w:t xml:space="preserve"> blinded extension </w:t>
      </w:r>
      <w:r w:rsidRPr="00AA3A3F">
        <w:rPr>
          <w:lang w:val="en-US"/>
        </w:rPr>
        <w:t xml:space="preserve">period was greater than 91% in all treatment groups and median compliance was greater than 95% in all groups. </w:t>
      </w:r>
    </w:p>
    <w:p w14:paraId="0B26113B" w14:textId="711D1354" w:rsidR="00E62B8D" w:rsidRDefault="00033D17" w:rsidP="00033D17">
      <w:pPr>
        <w:pStyle w:val="Heading5"/>
        <w:rPr>
          <w:b w:val="0"/>
        </w:rPr>
      </w:pPr>
      <w:r>
        <w:t xml:space="preserve">Major protocol violations and </w:t>
      </w:r>
      <w:r w:rsidR="00E62B8D" w:rsidRPr="00671D4B">
        <w:t>deviations</w:t>
      </w:r>
    </w:p>
    <w:p w14:paraId="4E6FC519" w14:textId="3705F89F" w:rsidR="00E62B8D" w:rsidRPr="00033D17" w:rsidRDefault="00E62B8D" w:rsidP="00033D17">
      <w:r w:rsidRPr="00033D17">
        <w:t xml:space="preserve">The proportion of subjects who had at least one protocol deviation was similar across treatment groups: 16%, 15.8% and 15.8% in the </w:t>
      </w:r>
      <w:r w:rsidR="00921F5C" w:rsidRPr="00033D17">
        <w:t>upadacitinib</w:t>
      </w:r>
      <w:r w:rsidRPr="00033D17">
        <w:t xml:space="preserve"> 15</w:t>
      </w:r>
      <w:r w:rsidR="00033D17" w:rsidRPr="00033D17">
        <w:t xml:space="preserve"> </w:t>
      </w:r>
      <w:r w:rsidRPr="00033D17">
        <w:t xml:space="preserve">mg + </w:t>
      </w:r>
      <w:r w:rsidR="00033D17" w:rsidRPr="00033D17">
        <w:t>topical corticosteroids, upadacitinib 30 mg + topical corticosteroids and placebo + topical corticosteroids groups, respectivel</w:t>
      </w:r>
      <w:r w:rsidRPr="00033D17">
        <w:t xml:space="preserve">y. </w:t>
      </w:r>
    </w:p>
    <w:p w14:paraId="7A92C492" w14:textId="308A683E" w:rsidR="00E62B8D" w:rsidRPr="00033D17" w:rsidRDefault="00E62B8D" w:rsidP="00033D17">
      <w:r w:rsidRPr="00033D17">
        <w:t xml:space="preserve">The majority of deviations relating </w:t>
      </w:r>
      <w:r w:rsidR="00033D17" w:rsidRPr="00033D17">
        <w:t xml:space="preserve">to eligibility criterion </w:t>
      </w:r>
      <w:r w:rsidRPr="00033D17">
        <w:t>7 not being met were due to missing a minimum of 4 daily Worst Pruritus NRS assessments out of the 7 consecutive days, immediately preceding the Baseline Visit to calculate the baseline weekly average of daily Worst Pruritus NRS ≥ 4, while all other disease activity criteria were met. This included 11 adolescent subjects with a Baseline Worst Pruritus NRS &lt; 4 or a missing Baseline Worst Pruritus NRS. None of the deviations was considered to have affected the study outcome or interpretation of the study results or conclusions.</w:t>
      </w:r>
    </w:p>
    <w:p w14:paraId="74BC43DC" w14:textId="5B06F7E5" w:rsidR="00E62B8D" w:rsidRPr="00033D17" w:rsidRDefault="00033D17" w:rsidP="00033D17">
      <w:pPr>
        <w:pStyle w:val="Heading5"/>
        <w:numPr>
          <w:ilvl w:val="3"/>
          <w:numId w:val="0"/>
        </w:numPr>
        <w:rPr>
          <w:rFonts w:asciiTheme="minorHAnsi" w:hAnsiTheme="minorHAnsi"/>
          <w:i w:val="0"/>
        </w:rPr>
      </w:pPr>
      <w:r>
        <w:rPr>
          <w:rFonts w:asciiTheme="minorHAnsi" w:hAnsiTheme="minorHAnsi"/>
          <w:i w:val="0"/>
        </w:rPr>
        <w:t xml:space="preserve">Results for the efficacy </w:t>
      </w:r>
      <w:r w:rsidR="0012437B">
        <w:rPr>
          <w:rFonts w:asciiTheme="minorHAnsi" w:hAnsiTheme="minorHAnsi"/>
          <w:i w:val="0"/>
        </w:rPr>
        <w:t>endpoints</w:t>
      </w:r>
    </w:p>
    <w:p w14:paraId="116B56D3" w14:textId="6423997A" w:rsidR="00E62B8D" w:rsidRPr="00033D17" w:rsidRDefault="00E62B8D" w:rsidP="00033D17">
      <w:pPr>
        <w:pStyle w:val="Heading6"/>
        <w:rPr>
          <w:rFonts w:eastAsia="TimesNewRoman"/>
          <w:lang w:val="en-US"/>
        </w:rPr>
      </w:pPr>
      <w:r w:rsidRPr="00040636">
        <w:rPr>
          <w:rFonts w:eastAsia="TimesNewRoman"/>
          <w:lang w:val="en-US"/>
        </w:rPr>
        <w:t>C</w:t>
      </w:r>
      <w:r w:rsidR="00033D17">
        <w:rPr>
          <w:rFonts w:eastAsia="TimesNewRoman"/>
          <w:lang w:val="en-US"/>
        </w:rPr>
        <w:t>o-primary endpoints</w:t>
      </w:r>
    </w:p>
    <w:p w14:paraId="05903257" w14:textId="2655E08C" w:rsidR="00E62B8D" w:rsidRDefault="00E62B8D" w:rsidP="00033D17">
      <w:r w:rsidRPr="007A217E">
        <w:rPr>
          <w:lang w:val="en-US"/>
        </w:rPr>
        <w:t xml:space="preserve"> </w:t>
      </w:r>
      <w:r w:rsidR="00033D17">
        <w:rPr>
          <w:lang w:val="en-US"/>
        </w:rPr>
        <w:t xml:space="preserve">A </w:t>
      </w:r>
      <w:r w:rsidRPr="007A217E">
        <w:rPr>
          <w:lang w:val="en-US"/>
        </w:rPr>
        <w:t>statistically significantly larger proportion of subjects in the</w:t>
      </w:r>
      <w:r w:rsidR="005D7175">
        <w:rPr>
          <w:lang w:val="en-US"/>
        </w:rPr>
        <w:t xml:space="preserve"> upadacitinib</w:t>
      </w:r>
      <w:r w:rsidRPr="007A217E">
        <w:rPr>
          <w:lang w:val="en-US"/>
        </w:rPr>
        <w:t xml:space="preserve"> </w:t>
      </w:r>
      <w:r w:rsidR="00033D17">
        <w:rPr>
          <w:lang w:val="en-US"/>
        </w:rPr>
        <w:t>groups achieved EASI 75 (</w:t>
      </w:r>
      <w:r w:rsidRPr="007A217E">
        <w:rPr>
          <w:lang w:val="en-US"/>
        </w:rPr>
        <w:t xml:space="preserve">60.1%, 72.9% and 13.3% in the </w:t>
      </w:r>
      <w:r w:rsidR="00921F5C">
        <w:rPr>
          <w:lang w:val="en-US"/>
        </w:rPr>
        <w:t>upadacitinib</w:t>
      </w:r>
      <w:r w:rsidRPr="007A217E">
        <w:rPr>
          <w:lang w:val="en-US"/>
        </w:rPr>
        <w:t xml:space="preserve"> 15</w:t>
      </w:r>
      <w:r w:rsidR="00033D17">
        <w:rPr>
          <w:lang w:val="en-US"/>
        </w:rPr>
        <w:t xml:space="preserve"> </w:t>
      </w:r>
      <w:r w:rsidRPr="007A217E">
        <w:rPr>
          <w:lang w:val="en-US"/>
        </w:rPr>
        <w:t xml:space="preserve">mg, </w:t>
      </w:r>
      <w:r w:rsidR="00921F5C">
        <w:rPr>
          <w:lang w:val="en-US"/>
        </w:rPr>
        <w:t>upadacitinib</w:t>
      </w:r>
      <w:r w:rsidRPr="007A217E">
        <w:rPr>
          <w:lang w:val="en-US"/>
        </w:rPr>
        <w:t xml:space="preserve"> 30</w:t>
      </w:r>
      <w:r w:rsidR="00033D17">
        <w:rPr>
          <w:lang w:val="en-US"/>
        </w:rPr>
        <w:t xml:space="preserve"> </w:t>
      </w:r>
      <w:r w:rsidRPr="007A217E">
        <w:rPr>
          <w:lang w:val="en-US"/>
        </w:rPr>
        <w:t xml:space="preserve">mg and </w:t>
      </w:r>
      <w:r w:rsidR="00921F5C">
        <w:rPr>
          <w:lang w:val="en-US"/>
        </w:rPr>
        <w:t>placebo</w:t>
      </w:r>
      <w:r w:rsidRPr="007A217E">
        <w:rPr>
          <w:lang w:val="en-US"/>
        </w:rPr>
        <w:t xml:space="preserve"> groups</w:t>
      </w:r>
      <w:r w:rsidRPr="00E7488C">
        <w:t>, respectively; p</w:t>
      </w:r>
      <w:r w:rsidR="00033D17" w:rsidRPr="00E7488C">
        <w:t xml:space="preserve"> </w:t>
      </w:r>
      <w:r w:rsidRPr="00E7488C">
        <w:t>&lt;</w:t>
      </w:r>
      <w:r w:rsidR="00033D17" w:rsidRPr="00E7488C">
        <w:t xml:space="preserve"> </w:t>
      </w:r>
      <w:r w:rsidRPr="00E7488C">
        <w:t xml:space="preserve">0.001 for both </w:t>
      </w:r>
      <w:r w:rsidR="00033D17" w:rsidRPr="00E7488C">
        <w:t>u</w:t>
      </w:r>
      <w:r w:rsidRPr="00E7488C">
        <w:t>padacitinib groups v</w:t>
      </w:r>
      <w:r w:rsidR="00033D17" w:rsidRPr="00E7488C">
        <w:t>ersus placebo)</w:t>
      </w:r>
      <w:r w:rsidRPr="00E7488C">
        <w:t xml:space="preserve">. Both patients with moderate and severe eczema demonstrated significant improvements over placebo as </w:t>
      </w:r>
      <w:r w:rsidR="00E7488C" w:rsidRPr="00E7488C">
        <w:t xml:space="preserve">shown in </w:t>
      </w:r>
      <w:r w:rsidR="00E7488C" w:rsidRPr="00E7488C">
        <w:fldChar w:fldCharType="begin"/>
      </w:r>
      <w:r w:rsidR="00E7488C" w:rsidRPr="00E7488C">
        <w:instrText xml:space="preserve"> REF _Ref126049447 \h </w:instrText>
      </w:r>
      <w:r w:rsidR="00E7488C" w:rsidRPr="00E7488C">
        <w:fldChar w:fldCharType="separate"/>
      </w:r>
      <w:r w:rsidR="00B51532">
        <w:t xml:space="preserve">Table </w:t>
      </w:r>
      <w:r w:rsidR="00B51532">
        <w:rPr>
          <w:noProof/>
        </w:rPr>
        <w:t>31</w:t>
      </w:r>
      <w:r w:rsidR="00E7488C" w:rsidRPr="00E7488C">
        <w:fldChar w:fldCharType="end"/>
      </w:r>
      <w:r w:rsidRPr="00E7488C">
        <w:t xml:space="preserve"> </w:t>
      </w:r>
      <w:r w:rsidR="00E7488C" w:rsidRPr="00E7488C">
        <w:t>below.</w:t>
      </w:r>
    </w:p>
    <w:p w14:paraId="0AE08A5C" w14:textId="02A66914" w:rsidR="00E7488C" w:rsidRPr="00033D17" w:rsidRDefault="00E7488C" w:rsidP="00033D17">
      <w:pPr>
        <w:rPr>
          <w:b/>
          <w:lang w:val="en-US"/>
        </w:rPr>
      </w:pPr>
      <w:r>
        <w:t>See</w:t>
      </w:r>
      <w:r w:rsidRPr="00E7488C">
        <w:t xml:space="preserve"> Section: </w:t>
      </w:r>
      <w:r w:rsidRPr="00E7488C">
        <w:rPr>
          <w:i/>
        </w:rPr>
        <w:t xml:space="preserve">Eczema Area and Severity Index (EASI) </w:t>
      </w:r>
      <w:r>
        <w:t>for details of this scoring measure.</w:t>
      </w:r>
    </w:p>
    <w:p w14:paraId="351C4E55" w14:textId="30E70D42" w:rsidR="00033D17" w:rsidRDefault="00033D17" w:rsidP="00033D17">
      <w:pPr>
        <w:pStyle w:val="Tabletitle0"/>
      </w:pPr>
      <w:bookmarkStart w:id="127" w:name="_Ref126049447"/>
      <w:r>
        <w:lastRenderedPageBreak/>
        <w:t xml:space="preserve">Table </w:t>
      </w:r>
      <w:fldSimple w:instr=" SEQ Table \* ARABIC ">
        <w:r w:rsidR="00B51532">
          <w:rPr>
            <w:noProof/>
          </w:rPr>
          <w:t>31</w:t>
        </w:r>
      </w:fldSimple>
      <w:bookmarkEnd w:id="127"/>
      <w:r>
        <w:t xml:space="preserve">: Study M16-047 </w:t>
      </w:r>
      <w:r w:rsidRPr="00033D17">
        <w:t>Proportion of subjects achieving EASI 75 by vi</w:t>
      </w:r>
      <w:r>
        <w:t>sit in the double blind period (NRI</w:t>
      </w:r>
      <w:r>
        <w:noBreakHyphen/>
      </w:r>
      <w:r w:rsidRPr="00033D17">
        <w:t>C</w:t>
      </w:r>
      <w:r w:rsidR="00E7488C">
        <w:t>, main ITT population)</w:t>
      </w:r>
    </w:p>
    <w:p w14:paraId="07E7EA02" w14:textId="77777777" w:rsidR="00E62B8D" w:rsidRPr="00AA468B" w:rsidRDefault="00E62B8D" w:rsidP="00033D17">
      <w:pPr>
        <w:rPr>
          <w:lang w:val="en-US"/>
        </w:rPr>
      </w:pPr>
      <w:r w:rsidRPr="00033D17">
        <w:rPr>
          <w:noProof/>
          <w:lang w:val="en-GB" w:eastAsia="en-GB"/>
        </w:rPr>
        <w:drawing>
          <wp:inline distT="0" distB="0" distL="0" distR="0" wp14:anchorId="5C333EF1" wp14:editId="0AACE046">
            <wp:extent cx="5617303" cy="2849526"/>
            <wp:effectExtent l="0" t="0" r="2540" b="8255"/>
            <wp:docPr id="48" name="Picture 48" descr="Study M16-047 Proportion of subjects achieving EASI 75 by visit in the double blind period (NRI 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tudy M16-047 Proportion of subjects achieving EASI 75 by visit in the double blind period (NRI C, main ITT populati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78863" cy="2880754"/>
                    </a:xfrm>
                    <a:prstGeom prst="rect">
                      <a:avLst/>
                    </a:prstGeom>
                    <a:noFill/>
                    <a:ln>
                      <a:noFill/>
                    </a:ln>
                  </pic:spPr>
                </pic:pic>
              </a:graphicData>
            </a:graphic>
          </wp:inline>
        </w:drawing>
      </w:r>
    </w:p>
    <w:p w14:paraId="1D2C5EEC" w14:textId="34E33E86" w:rsidR="00E62B8D" w:rsidRDefault="000C3975" w:rsidP="000C3975">
      <w:r>
        <w:t xml:space="preserve">A </w:t>
      </w:r>
      <w:r w:rsidR="00E62B8D" w:rsidRPr="000C3975">
        <w:t xml:space="preserve">statistically significant larger proportion of subjects in the </w:t>
      </w:r>
      <w:r>
        <w:t>u</w:t>
      </w:r>
      <w:r w:rsidR="00E62B8D" w:rsidRPr="000C3975">
        <w:t>padacitinib groups achieved EASI 75 and achieved a vIGA-AD score of 0 or 1 (clear or almost clear) with a clinically meaningful reduction (at least 2 grade reduction from Baseline) at Week 16 compared with</w:t>
      </w:r>
      <w:r w:rsidR="00E7488C">
        <w:t xml:space="preserve"> the placebo group , as per </w:t>
      </w:r>
      <w:r w:rsidR="00E7488C">
        <w:fldChar w:fldCharType="begin"/>
      </w:r>
      <w:r w:rsidR="00E7488C">
        <w:instrText xml:space="preserve"> REF _Ref126049460 \h </w:instrText>
      </w:r>
      <w:r w:rsidR="00E7488C">
        <w:fldChar w:fldCharType="separate"/>
      </w:r>
      <w:r w:rsidR="00B51532">
        <w:t xml:space="preserve">Table </w:t>
      </w:r>
      <w:r w:rsidR="00B51532">
        <w:rPr>
          <w:noProof/>
        </w:rPr>
        <w:t>32</w:t>
      </w:r>
      <w:r w:rsidR="00E7488C">
        <w:fldChar w:fldCharType="end"/>
      </w:r>
      <w:r w:rsidR="00DB5DE2">
        <w:t xml:space="preserve"> </w:t>
      </w:r>
      <w:r w:rsidR="00E62B8D" w:rsidRPr="000C3975">
        <w:t>below based on</w:t>
      </w:r>
      <w:r w:rsidR="00DB5DE2">
        <w:t xml:space="preserve"> the primary approach of NRI-C.</w:t>
      </w:r>
    </w:p>
    <w:p w14:paraId="6E17AA2A" w14:textId="3120E204" w:rsidR="00DB5DE2" w:rsidRPr="000C3975" w:rsidRDefault="00DB5DE2" w:rsidP="000C3975">
      <w:r>
        <w:t xml:space="preserve">See Section: </w:t>
      </w:r>
      <w:r>
        <w:rPr>
          <w:i/>
        </w:rPr>
        <w:fldChar w:fldCharType="begin"/>
      </w:r>
      <w:r>
        <w:rPr>
          <w:i/>
        </w:rPr>
        <w:instrText xml:space="preserve"> REF _Ref126046618 \h  \* MERGEFORMAT </w:instrText>
      </w:r>
      <w:r>
        <w:rPr>
          <w:i/>
        </w:rPr>
      </w:r>
      <w:r>
        <w:rPr>
          <w:i/>
        </w:rPr>
        <w:fldChar w:fldCharType="separate"/>
      </w:r>
      <w:r w:rsidR="00B51532" w:rsidRPr="00B51532">
        <w:rPr>
          <w:i/>
        </w:rPr>
        <w:t>Validated Investigator Global Assessment scale for Atopic Dermatitis (vIGA-AD)</w:t>
      </w:r>
      <w:r>
        <w:rPr>
          <w:i/>
        </w:rPr>
        <w:fldChar w:fldCharType="end"/>
      </w:r>
      <w:r>
        <w:t xml:space="preserve"> for details on this score.</w:t>
      </w:r>
    </w:p>
    <w:p w14:paraId="76D41046" w14:textId="543A5B14" w:rsidR="000C3975" w:rsidRDefault="000C3975" w:rsidP="000C3975">
      <w:pPr>
        <w:pStyle w:val="Tabletitle0"/>
      </w:pPr>
      <w:bookmarkStart w:id="128" w:name="_Ref126049460"/>
      <w:r>
        <w:t xml:space="preserve">Table </w:t>
      </w:r>
      <w:fldSimple w:instr=" SEQ Table \* ARABIC ">
        <w:r w:rsidR="00B51532">
          <w:rPr>
            <w:noProof/>
          </w:rPr>
          <w:t>32</w:t>
        </w:r>
      </w:fldSimple>
      <w:bookmarkEnd w:id="128"/>
      <w:r>
        <w:t>: Study M16-047 Comparison in the p</w:t>
      </w:r>
      <w:r w:rsidRPr="00033D17">
        <w:t>roportio</w:t>
      </w:r>
      <w:r>
        <w:t>n of subjects achieving EASI 75, and vIGA-AD score of 0 or 1 at Week 16 in the double blind period (NRI</w:t>
      </w:r>
      <w:r>
        <w:noBreakHyphen/>
      </w:r>
      <w:r w:rsidRPr="00033D17">
        <w:t>C) (</w:t>
      </w:r>
      <w:r w:rsidR="00DB5DE2">
        <w:t xml:space="preserve">main ITT </w:t>
      </w:r>
      <w:r w:rsidRPr="00033D17">
        <w:t>population)</w:t>
      </w:r>
    </w:p>
    <w:p w14:paraId="699A80CC" w14:textId="77777777" w:rsidR="00E62B8D" w:rsidRDefault="00E62B8D" w:rsidP="000C3975">
      <w:pPr>
        <w:rPr>
          <w:lang w:val="en-US"/>
        </w:rPr>
      </w:pPr>
      <w:r w:rsidRPr="000C3975">
        <w:rPr>
          <w:noProof/>
          <w:lang w:val="en-GB" w:eastAsia="en-GB"/>
        </w:rPr>
        <w:drawing>
          <wp:inline distT="0" distB="0" distL="0" distR="0" wp14:anchorId="3B3DDAC0" wp14:editId="5E5FEC71">
            <wp:extent cx="5585637" cy="2209429"/>
            <wp:effectExtent l="0" t="0" r="0" b="635"/>
            <wp:docPr id="49" name="Picture 49" descr="Study M16-047 Comparison in the proportion of subjects achieving EASI 75, and vIGA-AD score of 0 or 1 at Week 16 in the double blind period (NRI 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tudy M16-047 Comparison in the proportion of subjects achieving EASI 75, and vIGA-AD score of 0 or 1 at Week 16 in the double blind period (NRI C) (main ITT populatio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7742" cy="2226084"/>
                    </a:xfrm>
                    <a:prstGeom prst="rect">
                      <a:avLst/>
                    </a:prstGeom>
                    <a:noFill/>
                    <a:ln>
                      <a:noFill/>
                    </a:ln>
                  </pic:spPr>
                </pic:pic>
              </a:graphicData>
            </a:graphic>
          </wp:inline>
        </w:drawing>
      </w:r>
    </w:p>
    <w:p w14:paraId="1CB1C879" w14:textId="3DBC4ACC" w:rsidR="00E62B8D" w:rsidRPr="000C3975" w:rsidRDefault="000C3975" w:rsidP="000C3975">
      <w:r>
        <w:t>T</w:t>
      </w:r>
      <w:r w:rsidR="00E62B8D" w:rsidRPr="000C3975">
        <w:t xml:space="preserve">he co-primary endpoint results were supported by all sensitivity analyses, </w:t>
      </w:r>
      <w:r>
        <w:t>including NRI</w:t>
      </w:r>
      <w:r>
        <w:noBreakHyphen/>
      </w:r>
      <w:r w:rsidR="00E62B8D" w:rsidRPr="000C3975">
        <w:t xml:space="preserve">C, </w:t>
      </w:r>
      <w:r>
        <w:t>multiple imputation, tipping point analysis, and per protocol analysis.</w:t>
      </w:r>
    </w:p>
    <w:p w14:paraId="573ECAC0" w14:textId="387AE337" w:rsidR="00E62B8D" w:rsidRPr="00C50DE9" w:rsidRDefault="000C3975" w:rsidP="00C50DE9">
      <w:r w:rsidRPr="00C50DE9">
        <w:t>T</w:t>
      </w:r>
      <w:r w:rsidR="00E62B8D" w:rsidRPr="00C50DE9">
        <w:t xml:space="preserve">he robustness of these results were confirmed by significant improvements in </w:t>
      </w:r>
      <w:r w:rsidRPr="00C50DE9">
        <w:t>the u</w:t>
      </w:r>
      <w:r w:rsidR="00E62B8D" w:rsidRPr="00C50DE9">
        <w:t xml:space="preserve">padacitinib </w:t>
      </w:r>
      <w:r w:rsidRPr="00C50DE9">
        <w:t>+ topical corticosteroids groups compared with placebo + topical corticosteroids groups in all pre-</w:t>
      </w:r>
      <w:r w:rsidR="00E62B8D" w:rsidRPr="00C50DE9">
        <w:t xml:space="preserve">specified sub-groups across demographic and baseline in EASI 75 </w:t>
      </w:r>
      <w:r w:rsidRPr="00C50DE9">
        <w:t xml:space="preserve">and vIGA-AD, </w:t>
      </w:r>
      <w:r w:rsidR="00C50DE9">
        <w:t>a</w:t>
      </w:r>
      <w:r w:rsidR="00E62B8D" w:rsidRPr="00C50DE9">
        <w:t xml:space="preserve">s </w:t>
      </w:r>
      <w:r w:rsidR="00E62B8D" w:rsidRPr="004B644A">
        <w:t>per the figures</w:t>
      </w:r>
      <w:r w:rsidRPr="004B644A">
        <w:t xml:space="preserve"> below.</w:t>
      </w:r>
    </w:p>
    <w:p w14:paraId="4C3A9E86" w14:textId="782C4EB0" w:rsidR="000C3975" w:rsidRDefault="000C3975" w:rsidP="000C3975">
      <w:pPr>
        <w:pStyle w:val="FigureTitle"/>
      </w:pPr>
      <w:r>
        <w:lastRenderedPageBreak/>
        <w:t xml:space="preserve">Figure </w:t>
      </w:r>
      <w:fldSimple w:instr=" SEQ Figure \* ARABIC ">
        <w:r w:rsidR="00B51532">
          <w:rPr>
            <w:noProof/>
          </w:rPr>
          <w:t>24</w:t>
        </w:r>
      </w:fldSimple>
      <w:r>
        <w:t xml:space="preserve">: Study M16-048 </w:t>
      </w:r>
      <w:r w:rsidRPr="00BC7DB4">
        <w:rPr>
          <w:lang w:val="en-US"/>
        </w:rPr>
        <w:t>P</w:t>
      </w:r>
      <w:r w:rsidRPr="000C3975">
        <w:t>roportion of subjects a</w:t>
      </w:r>
      <w:r>
        <w:t>chieving EASI 75 at Week 16 by subgroup in the u</w:t>
      </w:r>
      <w:r w:rsidRPr="000C3975">
        <w:t xml:space="preserve">padacitinib </w:t>
      </w:r>
      <w:r w:rsidR="005D7175">
        <w:t>15 mg</w:t>
      </w:r>
      <w:r w:rsidRPr="000C3975">
        <w:t xml:space="preserve"> group </w:t>
      </w:r>
      <w:r>
        <w:t>(</w:t>
      </w:r>
      <w:r w:rsidRPr="000C3975">
        <w:t>NRI-C, ITT_M population)</w:t>
      </w:r>
    </w:p>
    <w:p w14:paraId="03AE3727" w14:textId="77777777" w:rsidR="00E62B8D" w:rsidRDefault="00E62B8D" w:rsidP="000C3975">
      <w:pPr>
        <w:rPr>
          <w:rFonts w:eastAsia="TimesNewRoman" w:cs="TimesNewRoman"/>
          <w:b/>
          <w:color w:val="000000"/>
          <w:lang w:val="en-US"/>
        </w:rPr>
      </w:pPr>
      <w:r w:rsidRPr="000C3975">
        <w:rPr>
          <w:noProof/>
          <w:lang w:val="en-GB" w:eastAsia="en-GB"/>
        </w:rPr>
        <w:drawing>
          <wp:inline distT="0" distB="0" distL="0" distR="0" wp14:anchorId="7AF6B8AB" wp14:editId="1438E9E2">
            <wp:extent cx="5670697" cy="3518356"/>
            <wp:effectExtent l="0" t="0" r="6350" b="6350"/>
            <wp:docPr id="169" name="Picture 169" descr="Study M16-048 Proportion of subjects achieving EASI 75 at Week 16 by subgroup in the upadacitinib 15 mg group (NRI-C, ITT_M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tudy M16-048 Proportion of subjects achieving EASI 75 at Week 16 by subgroup in the upadacitinib 15 mg group (NRI-C, ITT_M populati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21629" cy="3612001"/>
                    </a:xfrm>
                    <a:prstGeom prst="rect">
                      <a:avLst/>
                    </a:prstGeom>
                    <a:noFill/>
                    <a:ln>
                      <a:noFill/>
                    </a:ln>
                  </pic:spPr>
                </pic:pic>
              </a:graphicData>
            </a:graphic>
          </wp:inline>
        </w:drawing>
      </w:r>
    </w:p>
    <w:p w14:paraId="52FD9100" w14:textId="50358E84" w:rsidR="000C3975" w:rsidRPr="000C3975" w:rsidRDefault="000C3975" w:rsidP="000C3975">
      <w:pPr>
        <w:pStyle w:val="FigureTitle"/>
        <w:rPr>
          <w:lang w:val="en-US"/>
        </w:rPr>
      </w:pPr>
      <w:r>
        <w:t xml:space="preserve">Figure </w:t>
      </w:r>
      <w:fldSimple w:instr=" SEQ Figure \* ARABIC ">
        <w:r w:rsidR="00B51532">
          <w:rPr>
            <w:noProof/>
          </w:rPr>
          <w:t>25</w:t>
        </w:r>
      </w:fldSimple>
      <w:r>
        <w:t xml:space="preserve">: Study M16-048 </w:t>
      </w:r>
      <w:r w:rsidRPr="00BC7DB4">
        <w:rPr>
          <w:lang w:val="en-US"/>
        </w:rPr>
        <w:t>Proportion of subjects achieving EASI 75</w:t>
      </w:r>
      <w:r>
        <w:rPr>
          <w:lang w:val="en-US"/>
        </w:rPr>
        <w:t xml:space="preserve"> at Week 16 by s</w:t>
      </w:r>
      <w:r w:rsidRPr="00BC7DB4">
        <w:rPr>
          <w:lang w:val="en-US"/>
        </w:rPr>
        <w:t xml:space="preserve">ubgroup </w:t>
      </w:r>
      <w:r>
        <w:rPr>
          <w:lang w:val="en-US"/>
        </w:rPr>
        <w:t>in the upadacitinib 30 mg group (NRI-C, ITT_M population)</w:t>
      </w:r>
    </w:p>
    <w:p w14:paraId="115DDE7A" w14:textId="30742FD7" w:rsidR="00E62B8D" w:rsidRPr="000C3975" w:rsidRDefault="00E62B8D" w:rsidP="000C3975">
      <w:pPr>
        <w:rPr>
          <w:rFonts w:eastAsia="TimesNewRoman" w:cs="TimesNewRoman"/>
          <w:b/>
          <w:color w:val="000000"/>
          <w:lang w:val="en-US"/>
        </w:rPr>
      </w:pPr>
      <w:r w:rsidRPr="000C3975">
        <w:rPr>
          <w:noProof/>
          <w:lang w:val="en-GB" w:eastAsia="en-GB"/>
        </w:rPr>
        <w:drawing>
          <wp:inline distT="0" distB="0" distL="0" distR="0" wp14:anchorId="2F21E672" wp14:editId="4AA63FF6">
            <wp:extent cx="5698323" cy="3317359"/>
            <wp:effectExtent l="0" t="0" r="0" b="0"/>
            <wp:docPr id="167" name="Picture 167" descr="Study M16-048 Proportion of subjects achieving EASI 75 at Week 16 by subgroup in the upadacitinib 30 mg group (NRI-C, ITT_M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tudy M16-048 Proportion of subjects achieving EASI 75 at Week 16 by subgroup in the upadacitinib 30 mg group (NRI-C, ITT_M populatio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05540" cy="3379777"/>
                    </a:xfrm>
                    <a:prstGeom prst="rect">
                      <a:avLst/>
                    </a:prstGeom>
                    <a:noFill/>
                    <a:ln>
                      <a:noFill/>
                    </a:ln>
                  </pic:spPr>
                </pic:pic>
              </a:graphicData>
            </a:graphic>
          </wp:inline>
        </w:drawing>
      </w:r>
    </w:p>
    <w:p w14:paraId="7E3E7E27" w14:textId="69E110AA" w:rsidR="00C50DE9" w:rsidRPr="00C50DE9" w:rsidRDefault="00C50DE9" w:rsidP="00C50DE9">
      <w:pPr>
        <w:pStyle w:val="FigureTitle"/>
        <w:rPr>
          <w:lang w:val="en-US"/>
        </w:rPr>
      </w:pPr>
      <w:r>
        <w:lastRenderedPageBreak/>
        <w:t xml:space="preserve">Figure </w:t>
      </w:r>
      <w:fldSimple w:instr=" SEQ Figure \* ARABIC ">
        <w:r w:rsidR="00B51532">
          <w:rPr>
            <w:noProof/>
          </w:rPr>
          <w:t>26</w:t>
        </w:r>
      </w:fldSimple>
      <w:r>
        <w:t xml:space="preserve">: Study M16-047 </w:t>
      </w:r>
      <w:r w:rsidRPr="00D26A88">
        <w:rPr>
          <w:lang w:val="en-US"/>
        </w:rPr>
        <w:t>Proportion of subjects achieving vIGA-AD of 0 or 1 with at le</w:t>
      </w:r>
      <w:r>
        <w:rPr>
          <w:lang w:val="en-US"/>
        </w:rPr>
        <w:t xml:space="preserve">ast 2 Grades of Reduction from </w:t>
      </w:r>
      <w:r w:rsidRPr="00D26A88">
        <w:rPr>
          <w:lang w:val="en-US"/>
        </w:rPr>
        <w:t>Baseline at Week 16 by Subgroup in the</w:t>
      </w:r>
      <w:r w:rsidR="005D7175">
        <w:rPr>
          <w:lang w:val="en-US"/>
        </w:rPr>
        <w:t xml:space="preserve"> upadacitinib</w:t>
      </w:r>
      <w:r w:rsidRPr="00D26A88">
        <w:rPr>
          <w:lang w:val="en-US"/>
        </w:rPr>
        <w:t xml:space="preserve"> </w:t>
      </w:r>
      <w:r w:rsidR="005D7175">
        <w:rPr>
          <w:lang w:val="en-US"/>
        </w:rPr>
        <w:t>15 mg</w:t>
      </w:r>
      <w:r w:rsidRPr="00D26A88">
        <w:rPr>
          <w:lang w:val="en-US"/>
        </w:rPr>
        <w:t xml:space="preserve"> Group (NRI-C, ITT_M Population)</w:t>
      </w:r>
    </w:p>
    <w:p w14:paraId="6EECB90A" w14:textId="77777777" w:rsidR="00E62B8D" w:rsidRPr="00C55371" w:rsidRDefault="00E62B8D" w:rsidP="00C50DE9">
      <w:pPr>
        <w:rPr>
          <w:rFonts w:eastAsia="TimesNewRoman" w:cs="TimesNewRoman"/>
          <w:color w:val="000000"/>
          <w:lang w:val="en-US"/>
        </w:rPr>
      </w:pPr>
      <w:r w:rsidRPr="00C50DE9">
        <w:rPr>
          <w:noProof/>
          <w:lang w:val="en-GB" w:eastAsia="en-GB"/>
        </w:rPr>
        <w:drawing>
          <wp:inline distT="0" distB="0" distL="0" distR="0" wp14:anchorId="099C8FA0" wp14:editId="3037C301">
            <wp:extent cx="5548596" cy="3380829"/>
            <wp:effectExtent l="0" t="0" r="0" b="0"/>
            <wp:docPr id="174" name="Picture 174" descr="Study M16-047 Proportion of subjects achieving vIGA-AD of 0 or 1 with at least 2 Grades of Reduction from Baseline at Week 16 by Subgroup in the upadacitinib 15 mg Group (NRI-C, ITT_M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tudy M16-047 Proportion of subjects achieving vIGA-AD of 0 or 1 with at least 2 Grades of Reduction from Baseline at Week 16 by Subgroup in the upadacitinib 15 mg Group (NRI-C, ITT_M Populat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3319" cy="3426359"/>
                    </a:xfrm>
                    <a:prstGeom prst="rect">
                      <a:avLst/>
                    </a:prstGeom>
                    <a:noFill/>
                    <a:ln>
                      <a:noFill/>
                    </a:ln>
                  </pic:spPr>
                </pic:pic>
              </a:graphicData>
            </a:graphic>
          </wp:inline>
        </w:drawing>
      </w:r>
    </w:p>
    <w:p w14:paraId="752EE7B7" w14:textId="0338E68D" w:rsidR="00C50DE9" w:rsidRDefault="00C50DE9" w:rsidP="00C50DE9">
      <w:pPr>
        <w:pStyle w:val="FigureTitle"/>
        <w:rPr>
          <w:lang w:eastAsia="ja-JP"/>
        </w:rPr>
      </w:pPr>
      <w:r>
        <w:t xml:space="preserve">Figure </w:t>
      </w:r>
      <w:fldSimple w:instr=" SEQ Figure \* ARABIC ">
        <w:r w:rsidR="00B51532">
          <w:rPr>
            <w:noProof/>
          </w:rPr>
          <w:t>27</w:t>
        </w:r>
      </w:fldSimple>
      <w:r>
        <w:t xml:space="preserve">: Study M16-048 </w:t>
      </w:r>
      <w:r w:rsidRPr="00BC7DB4">
        <w:rPr>
          <w:lang w:val="en-US"/>
        </w:rPr>
        <w:t>Proportion of subjects achieving</w:t>
      </w:r>
      <w:r w:rsidR="00B51532">
        <w:rPr>
          <w:lang w:val="en-US"/>
        </w:rPr>
        <w:t xml:space="preserve"> </w:t>
      </w:r>
      <w:r w:rsidRPr="00BC7DB4">
        <w:rPr>
          <w:lang w:val="en-US"/>
        </w:rPr>
        <w:t>vIGA-AD</w:t>
      </w:r>
      <w:r w:rsidR="00B51532">
        <w:rPr>
          <w:lang w:val="en-US"/>
        </w:rPr>
        <w:t xml:space="preserve"> </w:t>
      </w:r>
      <w:r w:rsidRPr="00BC7DB4">
        <w:rPr>
          <w:lang w:val="en-US"/>
        </w:rPr>
        <w:t xml:space="preserve">of 0 or 1 with at </w:t>
      </w:r>
      <w:r>
        <w:rPr>
          <w:lang w:val="en-US"/>
        </w:rPr>
        <w:t>l</w:t>
      </w:r>
      <w:r w:rsidRPr="00BC7DB4">
        <w:rPr>
          <w:lang w:val="en-US"/>
        </w:rPr>
        <w:t>east 2 Grades of Reduction</w:t>
      </w:r>
      <w:r w:rsidR="00B51532">
        <w:rPr>
          <w:lang w:val="en-US"/>
        </w:rPr>
        <w:t xml:space="preserve"> </w:t>
      </w:r>
      <w:r w:rsidRPr="00BC7DB4">
        <w:rPr>
          <w:lang w:val="en-US"/>
        </w:rPr>
        <w:t>from</w:t>
      </w:r>
      <w:r w:rsidR="00B51532">
        <w:rPr>
          <w:lang w:val="en-US"/>
        </w:rPr>
        <w:t xml:space="preserve"> </w:t>
      </w:r>
      <w:r w:rsidRPr="00BC7DB4">
        <w:rPr>
          <w:lang w:val="en-US"/>
        </w:rPr>
        <w:t>Baseline</w:t>
      </w:r>
      <w:r w:rsidR="00B51532">
        <w:rPr>
          <w:lang w:val="en-US"/>
        </w:rPr>
        <w:t xml:space="preserve"> </w:t>
      </w:r>
      <w:r w:rsidRPr="00BC7DB4">
        <w:rPr>
          <w:lang w:val="en-US"/>
        </w:rPr>
        <w:t>at</w:t>
      </w:r>
      <w:r w:rsidR="00B51532">
        <w:rPr>
          <w:lang w:val="en-US"/>
        </w:rPr>
        <w:t xml:space="preserve"> </w:t>
      </w:r>
      <w:r w:rsidRPr="00BC7DB4">
        <w:rPr>
          <w:lang w:val="en-US"/>
        </w:rPr>
        <w:t>Week 16 by Subgroup in the</w:t>
      </w:r>
      <w:r w:rsidR="005D7175">
        <w:rPr>
          <w:lang w:val="en-US"/>
        </w:rPr>
        <w:t xml:space="preserve"> upadacitinib</w:t>
      </w:r>
      <w:r w:rsidRPr="00BC7DB4">
        <w:rPr>
          <w:lang w:val="en-US"/>
        </w:rPr>
        <w:t xml:space="preserve"> </w:t>
      </w:r>
      <w:r w:rsidR="005D7175">
        <w:rPr>
          <w:lang w:val="en-US"/>
        </w:rPr>
        <w:t>30 mg</w:t>
      </w:r>
      <w:r w:rsidRPr="00BC7DB4">
        <w:rPr>
          <w:lang w:val="en-US"/>
        </w:rPr>
        <w:t xml:space="preserve"> </w:t>
      </w:r>
      <w:r>
        <w:rPr>
          <w:lang w:val="en-US"/>
        </w:rPr>
        <w:t>Group</w:t>
      </w:r>
      <w:r w:rsidR="00B51532">
        <w:rPr>
          <w:lang w:val="en-US"/>
        </w:rPr>
        <w:t xml:space="preserve"> </w:t>
      </w:r>
      <w:r>
        <w:rPr>
          <w:lang w:val="en-US"/>
        </w:rPr>
        <w:t>(NRI-C, ITT_M Population)</w:t>
      </w:r>
    </w:p>
    <w:p w14:paraId="7E708B6E" w14:textId="670B381D" w:rsidR="00E62B8D" w:rsidRDefault="00E62B8D" w:rsidP="00C50DE9">
      <w:pPr>
        <w:rPr>
          <w:lang w:eastAsia="ja-JP"/>
        </w:rPr>
      </w:pPr>
      <w:r w:rsidRPr="00C50DE9">
        <w:rPr>
          <w:noProof/>
          <w:lang w:val="en-GB" w:eastAsia="en-GB"/>
        </w:rPr>
        <w:drawing>
          <wp:inline distT="0" distB="0" distL="0" distR="0" wp14:anchorId="3A707375" wp14:editId="6417F0D7">
            <wp:extent cx="5655046" cy="3442915"/>
            <wp:effectExtent l="0" t="0" r="3175" b="5715"/>
            <wp:docPr id="172" name="Picture 172" descr="Study M16-048 Proportion of subjects achieving vIGA-AD of 0 or 1 with at least 2 Grades of Reduction from Baseline at Week 16 by Subgroup in the upadacitinib 30 mg Group (NRI-C, ITT_M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Study M16-048 Proportion of subjects achieving vIGA-AD of 0 or 1 with at least 2 Grades of Reduction from Baseline at Week 16 by Subgroup in the upadacitinib 30 mg Group (NRI-C, ITT_M Population)"/>
                    <pic:cNvPicPr>
                      <a:picLocks noChangeAspect="1" noChangeArrowheads="1"/>
                    </pic:cNvPicPr>
                  </pic:nvPicPr>
                  <pic:blipFill rotWithShape="1">
                    <a:blip r:embed="rId61">
                      <a:extLst>
                        <a:ext uri="{28A0092B-C50C-407E-A947-70E740481C1C}">
                          <a14:useLocalDpi xmlns:a14="http://schemas.microsoft.com/office/drawing/2010/main" val="0"/>
                        </a:ext>
                      </a:extLst>
                    </a:blip>
                    <a:srcRect l="3433" t="2762" r="1268"/>
                    <a:stretch/>
                  </pic:blipFill>
                  <pic:spPr bwMode="auto">
                    <a:xfrm>
                      <a:off x="0" y="0"/>
                      <a:ext cx="5689850" cy="3464105"/>
                    </a:xfrm>
                    <a:prstGeom prst="rect">
                      <a:avLst/>
                    </a:prstGeom>
                    <a:noFill/>
                    <a:ln>
                      <a:noFill/>
                    </a:ln>
                    <a:extLst>
                      <a:ext uri="{53640926-AAD7-44D8-BBD7-CCE9431645EC}">
                        <a14:shadowObscured xmlns:a14="http://schemas.microsoft.com/office/drawing/2010/main"/>
                      </a:ext>
                    </a:extLst>
                  </pic:spPr>
                </pic:pic>
              </a:graphicData>
            </a:graphic>
          </wp:inline>
        </w:drawing>
      </w:r>
    </w:p>
    <w:p w14:paraId="4F9E8DA2" w14:textId="5A85A6F0" w:rsidR="00E62B8D" w:rsidRPr="00C50DE9" w:rsidRDefault="00C50DE9" w:rsidP="00C50DE9">
      <w:r>
        <w:t>The clinical evaluation did not however that s</w:t>
      </w:r>
      <w:r w:rsidR="00E62B8D" w:rsidRPr="00643183">
        <w:t>ubgroup efficacy analysis based on concomitant use of topical calcinuerin inhibitors</w:t>
      </w:r>
      <w:r>
        <w:t xml:space="preserve">, </w:t>
      </w:r>
      <w:r w:rsidR="00E62B8D" w:rsidRPr="00643183">
        <w:rPr>
          <w:rFonts w:asciiTheme="minorHAnsi" w:hAnsiTheme="minorHAnsi"/>
        </w:rPr>
        <w:t>emollients and oral antihistamines was not provided</w:t>
      </w:r>
      <w:r>
        <w:rPr>
          <w:rFonts w:asciiTheme="minorHAnsi" w:hAnsiTheme="minorHAnsi"/>
        </w:rPr>
        <w:t xml:space="preserve"> when this study was evaluated.</w:t>
      </w:r>
    </w:p>
    <w:p w14:paraId="10AC6BC1" w14:textId="41CC813A" w:rsidR="00E62B8D" w:rsidRPr="00C50DE9" w:rsidRDefault="00E62B8D" w:rsidP="00C50DE9">
      <w:pPr>
        <w:pStyle w:val="Heading6"/>
      </w:pPr>
      <w:r w:rsidRPr="00C50DE9">
        <w:lastRenderedPageBreak/>
        <w:t>Key secondary endpoints</w:t>
      </w:r>
    </w:p>
    <w:p w14:paraId="5D6F21B5" w14:textId="251523BC" w:rsidR="00E62B8D" w:rsidRPr="00C50DE9" w:rsidRDefault="00C50DE9" w:rsidP="00C50DE9">
      <w:r>
        <w:t xml:space="preserve">The </w:t>
      </w:r>
      <w:r w:rsidR="00E62B8D" w:rsidRPr="00C50DE9">
        <w:t xml:space="preserve">superiority of each </w:t>
      </w:r>
      <w:r>
        <w:t>u</w:t>
      </w:r>
      <w:r w:rsidR="00E62B8D" w:rsidRPr="00C50DE9">
        <w:t xml:space="preserve">padacitinib dose </w:t>
      </w:r>
      <w:r>
        <w:t>versus</w:t>
      </w:r>
      <w:r w:rsidR="00E62B8D" w:rsidRPr="00C50DE9">
        <w:t xml:space="preserve"> plac</w:t>
      </w:r>
      <w:r>
        <w:t>ebo was demonstrated in all pre</w:t>
      </w:r>
      <w:r>
        <w:noBreakHyphen/>
      </w:r>
      <w:r w:rsidR="00E62B8D" w:rsidRPr="00C50DE9">
        <w:t>specified key secondary endpoints, as shown by the clinically meaningful and statistically significant treatment differences in terms of improvements for skin clearance, disea</w:t>
      </w:r>
      <w:r w:rsidR="004B644A">
        <w:t>se activity as well as pruritus as shown in</w:t>
      </w:r>
      <w:r w:rsidR="00E7488C">
        <w:t xml:space="preserve"> </w:t>
      </w:r>
      <w:r w:rsidR="00E7488C">
        <w:fldChar w:fldCharType="begin"/>
      </w:r>
      <w:r w:rsidR="00E7488C">
        <w:instrText xml:space="preserve"> REF _Ref126049488 \h </w:instrText>
      </w:r>
      <w:r w:rsidR="00E7488C">
        <w:fldChar w:fldCharType="separate"/>
      </w:r>
      <w:r w:rsidR="00B51532">
        <w:t xml:space="preserve">Table </w:t>
      </w:r>
      <w:r w:rsidR="00B51532">
        <w:rPr>
          <w:noProof/>
        </w:rPr>
        <w:t>33</w:t>
      </w:r>
      <w:r w:rsidR="00E7488C">
        <w:fldChar w:fldCharType="end"/>
      </w:r>
      <w:r w:rsidR="004B644A">
        <w:t>, below.</w:t>
      </w:r>
    </w:p>
    <w:p w14:paraId="0B9F77C1" w14:textId="2BECDF7A" w:rsidR="00C50DE9" w:rsidRDefault="00C50DE9" w:rsidP="00C50DE9">
      <w:pPr>
        <w:pStyle w:val="Tabletitle0"/>
      </w:pPr>
      <w:bookmarkStart w:id="129" w:name="_Ref126049488"/>
      <w:r>
        <w:t xml:space="preserve">Table </w:t>
      </w:r>
      <w:fldSimple w:instr=" SEQ Table \* ARABIC ">
        <w:r w:rsidR="00B51532">
          <w:rPr>
            <w:noProof/>
          </w:rPr>
          <w:t>33</w:t>
        </w:r>
      </w:fldSimple>
      <w:bookmarkEnd w:id="129"/>
      <w:r>
        <w:t xml:space="preserve">: Study M16-048 Key secondary endpoint results (US FDA- and EMA-agreed efficacy outcomes; </w:t>
      </w:r>
      <w:r w:rsidR="004B644A">
        <w:t>main ITT</w:t>
      </w:r>
      <w:r>
        <w:t xml:space="preserve"> population)</w:t>
      </w:r>
    </w:p>
    <w:p w14:paraId="1F85579C" w14:textId="253CD7E5" w:rsidR="00E62B8D" w:rsidRPr="00341EE2" w:rsidRDefault="00E62B8D" w:rsidP="00341EE2">
      <w:r w:rsidRPr="00341EE2">
        <w:rPr>
          <w:noProof/>
          <w:lang w:val="en-GB" w:eastAsia="en-GB"/>
        </w:rPr>
        <w:drawing>
          <wp:inline distT="0" distB="0" distL="0" distR="0" wp14:anchorId="28E728EA" wp14:editId="41670EF4">
            <wp:extent cx="5604097" cy="2810850"/>
            <wp:effectExtent l="0" t="0" r="0" b="8890"/>
            <wp:docPr id="66" name="Picture 66" descr="Study M16-048 Key secondary endpoint results (US FDA- and EMA-agreed efficacy outcomes;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tudy M16-048 Key secondary endpoint results (US FDA- and EMA-agreed efficacy outcomes; main ITT populati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0065" cy="2818859"/>
                    </a:xfrm>
                    <a:prstGeom prst="rect">
                      <a:avLst/>
                    </a:prstGeom>
                    <a:noFill/>
                    <a:ln>
                      <a:noFill/>
                    </a:ln>
                  </pic:spPr>
                </pic:pic>
              </a:graphicData>
            </a:graphic>
          </wp:inline>
        </w:drawing>
      </w:r>
      <w:r w:rsidRPr="00341EE2">
        <w:rPr>
          <w:noProof/>
          <w:lang w:val="en-GB" w:eastAsia="en-GB"/>
        </w:rPr>
        <w:drawing>
          <wp:inline distT="0" distB="0" distL="0" distR="0" wp14:anchorId="3335C496" wp14:editId="2E14A544">
            <wp:extent cx="5731510" cy="320064"/>
            <wp:effectExtent l="0" t="0" r="2540" b="3810"/>
            <wp:docPr id="67" name="Picture 67" descr="Study M16-048 Key secondary endpoint results (US FDA- and EMA-agreed efficacy outcomes;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tudy M16-048 Key secondary endpoint results (US FDA- and EMA-agreed efficacy outcomes; main ITT populati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320064"/>
                    </a:xfrm>
                    <a:prstGeom prst="rect">
                      <a:avLst/>
                    </a:prstGeom>
                    <a:noFill/>
                    <a:ln>
                      <a:noFill/>
                    </a:ln>
                  </pic:spPr>
                </pic:pic>
              </a:graphicData>
            </a:graphic>
          </wp:inline>
        </w:drawing>
      </w:r>
      <w:r w:rsidRPr="00341EE2">
        <w:rPr>
          <w:noProof/>
          <w:lang w:val="en-GB" w:eastAsia="en-GB"/>
        </w:rPr>
        <w:drawing>
          <wp:inline distT="0" distB="0" distL="0" distR="0" wp14:anchorId="58159944" wp14:editId="6111E28F">
            <wp:extent cx="5731510" cy="476174"/>
            <wp:effectExtent l="0" t="0" r="2540" b="635"/>
            <wp:docPr id="68" name="Picture 68" descr="Study M16-048 Key secondary endpoint results (US FDA- and EMA-agreed efficacy outcomes;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Study M16-048 Key secondary endpoint results (US FDA- and EMA-agreed efficacy outcomes; main ITT populatio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476174"/>
                    </a:xfrm>
                    <a:prstGeom prst="rect">
                      <a:avLst/>
                    </a:prstGeom>
                    <a:noFill/>
                    <a:ln>
                      <a:noFill/>
                    </a:ln>
                  </pic:spPr>
                </pic:pic>
              </a:graphicData>
            </a:graphic>
          </wp:inline>
        </w:drawing>
      </w:r>
    </w:p>
    <w:p w14:paraId="0155A474" w14:textId="286C473C" w:rsidR="00E62B8D" w:rsidRPr="00341EE2" w:rsidRDefault="00C50DE9" w:rsidP="00341EE2">
      <w:r w:rsidRPr="00341EE2">
        <w:t>T</w:t>
      </w:r>
      <w:r w:rsidR="00E62B8D" w:rsidRPr="00341EE2">
        <w:t>he significant improvements following</w:t>
      </w:r>
      <w:r w:rsidR="005D7175">
        <w:t xml:space="preserve"> upadacitinib</w:t>
      </w:r>
      <w:r w:rsidR="00E62B8D" w:rsidRPr="00341EE2">
        <w:t xml:space="preserve"> treatment compared to placebo in EASI 75/90/100, </w:t>
      </w:r>
      <w:r w:rsidR="004B644A">
        <w:t>as shown in the following figures.</w:t>
      </w:r>
    </w:p>
    <w:p w14:paraId="40C47CB2" w14:textId="3F281573" w:rsidR="00C50DE9" w:rsidRDefault="00C50DE9" w:rsidP="008A6D96">
      <w:pPr>
        <w:pStyle w:val="FigureTitle"/>
      </w:pPr>
      <w:r>
        <w:t xml:space="preserve">Figure </w:t>
      </w:r>
      <w:fldSimple w:instr=" SEQ Figure \* ARABIC ">
        <w:r w:rsidR="00B51532">
          <w:rPr>
            <w:noProof/>
          </w:rPr>
          <w:t>28</w:t>
        </w:r>
      </w:fldSimple>
      <w:r>
        <w:t xml:space="preserve">: Study M16-048 EASI 75 results by visit through to Week 16 (NRI-C, </w:t>
      </w:r>
      <w:r w:rsidR="004B644A">
        <w:t>main ITT</w:t>
      </w:r>
      <w:r>
        <w:t xml:space="preserve"> population)</w:t>
      </w:r>
    </w:p>
    <w:p w14:paraId="4D92B7ED" w14:textId="6B145646" w:rsidR="00E62B8D" w:rsidRDefault="00E62B8D" w:rsidP="00C50DE9">
      <w:pPr>
        <w:rPr>
          <w:rFonts w:eastAsia="TimesNewRoman" w:cs="TimesNewRoman"/>
          <w:b/>
          <w:color w:val="000000"/>
          <w:lang w:val="en-US"/>
        </w:rPr>
      </w:pPr>
      <w:r w:rsidRPr="00C50DE9">
        <w:rPr>
          <w:noProof/>
          <w:lang w:val="en-GB" w:eastAsia="en-GB"/>
        </w:rPr>
        <w:drawing>
          <wp:inline distT="0" distB="0" distL="0" distR="0" wp14:anchorId="214DB901" wp14:editId="641A4379">
            <wp:extent cx="5319423" cy="2420430"/>
            <wp:effectExtent l="0" t="0" r="0" b="0"/>
            <wp:docPr id="179" name="Picture 179" descr="Study M16-048 EASI 75 results by visit through to Week 16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Study M16-048 EASI 75 results by visit through to Week 16 (NRI-C, main ITT population)"/>
                    <pic:cNvPicPr>
                      <a:picLocks noChangeAspect="1" noChangeArrowheads="1"/>
                    </pic:cNvPicPr>
                  </pic:nvPicPr>
                  <pic:blipFill rotWithShape="1">
                    <a:blip r:embed="rId65">
                      <a:extLst>
                        <a:ext uri="{28A0092B-C50C-407E-A947-70E740481C1C}">
                          <a14:useLocalDpi xmlns:a14="http://schemas.microsoft.com/office/drawing/2010/main" val="0"/>
                        </a:ext>
                      </a:extLst>
                    </a:blip>
                    <a:srcRect t="11862"/>
                    <a:stretch/>
                  </pic:blipFill>
                  <pic:spPr bwMode="auto">
                    <a:xfrm>
                      <a:off x="0" y="0"/>
                      <a:ext cx="5538749" cy="2520227"/>
                    </a:xfrm>
                    <a:prstGeom prst="rect">
                      <a:avLst/>
                    </a:prstGeom>
                    <a:noFill/>
                    <a:ln>
                      <a:noFill/>
                    </a:ln>
                    <a:extLst>
                      <a:ext uri="{53640926-AAD7-44D8-BBD7-CCE9431645EC}">
                        <a14:shadowObscured xmlns:a14="http://schemas.microsoft.com/office/drawing/2010/main"/>
                      </a:ext>
                    </a:extLst>
                  </pic:spPr>
                </pic:pic>
              </a:graphicData>
            </a:graphic>
          </wp:inline>
        </w:drawing>
      </w:r>
    </w:p>
    <w:p w14:paraId="063EBBF0" w14:textId="0AA4E16A" w:rsidR="004B644A" w:rsidRPr="004B644A" w:rsidRDefault="004B644A" w:rsidP="00C056B6">
      <w:pPr>
        <w:pStyle w:val="FigureDescription"/>
      </w:pPr>
      <w:r w:rsidRPr="004B644A">
        <w:t>Abbreviations: CI = confidence intervals; EASI 75 = Eczema Area and Severity Index 75 response; ITT = intention to treat; NRI C = Nonresponder Imputation incorporating Multiple Imputation (MI) to handle missing data due to COVID-19; QD = once daily; UPA = upadacitinib.</w:t>
      </w:r>
    </w:p>
    <w:p w14:paraId="10412309" w14:textId="33EB5139" w:rsidR="008A6D96" w:rsidRPr="008A6D96" w:rsidRDefault="008A6D96" w:rsidP="008A6D96">
      <w:pPr>
        <w:pStyle w:val="FigureTitle"/>
      </w:pPr>
      <w:r>
        <w:lastRenderedPageBreak/>
        <w:t xml:space="preserve">Figure </w:t>
      </w:r>
      <w:fldSimple w:instr=" SEQ Figure \* ARABIC ">
        <w:r w:rsidR="00B51532">
          <w:rPr>
            <w:noProof/>
          </w:rPr>
          <w:t>29</w:t>
        </w:r>
      </w:fldSimple>
      <w:r>
        <w:t xml:space="preserve">: Study M16-048 EASI 90 results by visit through to Week 16 (NRI-C, </w:t>
      </w:r>
      <w:r w:rsidR="004B644A">
        <w:t xml:space="preserve">main ITT </w:t>
      </w:r>
      <w:r>
        <w:t>population)</w:t>
      </w:r>
    </w:p>
    <w:p w14:paraId="46FEDE6E" w14:textId="300E4B6E" w:rsidR="00E62B8D" w:rsidRDefault="00E62B8D" w:rsidP="008A6D96">
      <w:pPr>
        <w:rPr>
          <w:rFonts w:eastAsia="TimesNewRoman" w:cs="TimesNewRoman"/>
          <w:b/>
          <w:color w:val="000000"/>
          <w:lang w:val="en-US"/>
        </w:rPr>
      </w:pPr>
      <w:r w:rsidRPr="008A6D96">
        <w:rPr>
          <w:noProof/>
          <w:lang w:val="en-GB" w:eastAsia="en-GB"/>
        </w:rPr>
        <w:drawing>
          <wp:inline distT="0" distB="0" distL="0" distR="0" wp14:anchorId="68E21AA9" wp14:editId="1DD6C128">
            <wp:extent cx="5323367" cy="2163434"/>
            <wp:effectExtent l="0" t="0" r="0" b="8890"/>
            <wp:docPr id="178" name="Picture 178" descr="Study M16-048 EASI 90 results by visit through to Week 16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Study M16-048 EASI 90 results by visit through to Week 16 (NRI-C, main ITT population)"/>
                    <pic:cNvPicPr>
                      <a:picLocks noChangeAspect="1" noChangeArrowheads="1"/>
                    </pic:cNvPicPr>
                  </pic:nvPicPr>
                  <pic:blipFill rotWithShape="1">
                    <a:blip r:embed="rId66">
                      <a:extLst>
                        <a:ext uri="{28A0092B-C50C-407E-A947-70E740481C1C}">
                          <a14:useLocalDpi xmlns:a14="http://schemas.microsoft.com/office/drawing/2010/main" val="0"/>
                        </a:ext>
                      </a:extLst>
                    </a:blip>
                    <a:srcRect l="4675" t="13586"/>
                    <a:stretch/>
                  </pic:blipFill>
                  <pic:spPr bwMode="auto">
                    <a:xfrm>
                      <a:off x="0" y="0"/>
                      <a:ext cx="5360292" cy="2178440"/>
                    </a:xfrm>
                    <a:prstGeom prst="rect">
                      <a:avLst/>
                    </a:prstGeom>
                    <a:noFill/>
                    <a:ln>
                      <a:noFill/>
                    </a:ln>
                    <a:extLst>
                      <a:ext uri="{53640926-AAD7-44D8-BBD7-CCE9431645EC}">
                        <a14:shadowObscured xmlns:a14="http://schemas.microsoft.com/office/drawing/2010/main"/>
                      </a:ext>
                    </a:extLst>
                  </pic:spPr>
                </pic:pic>
              </a:graphicData>
            </a:graphic>
          </wp:inline>
        </w:drawing>
      </w:r>
    </w:p>
    <w:p w14:paraId="2F7080DF" w14:textId="0AFE05CD" w:rsidR="004B644A" w:rsidRPr="004B644A" w:rsidRDefault="004B644A" w:rsidP="00C056B6">
      <w:pPr>
        <w:pStyle w:val="FigureDescription"/>
      </w:pPr>
      <w:r>
        <w:t>Abbreviations: CI = confidence intervals; EASI 90 = Eczema Area and Severity Index 90 response; ITT = intention to treat; NRI</w:t>
      </w:r>
      <w:r>
        <w:noBreakHyphen/>
        <w:t>C = Nonresponder Imputation incorporating Multiple Imputation (MI) to handle missing data due to COVID-19; QD = once daily; UPA = upadacitinib.</w:t>
      </w:r>
    </w:p>
    <w:p w14:paraId="6C5B45E3" w14:textId="56CFB681" w:rsidR="008A6D96" w:rsidRPr="008A6D96" w:rsidRDefault="008A6D96" w:rsidP="008A6D96">
      <w:pPr>
        <w:pStyle w:val="FigureTitle"/>
      </w:pPr>
      <w:r>
        <w:t xml:space="preserve">Figure </w:t>
      </w:r>
      <w:fldSimple w:instr=" SEQ Figure \* ARABIC ">
        <w:r w:rsidR="00B51532">
          <w:rPr>
            <w:noProof/>
          </w:rPr>
          <w:t>30</w:t>
        </w:r>
      </w:fldSimple>
      <w:r>
        <w:t xml:space="preserve">: Study M16-048 EASI 100 results by visit through to Week 16 (NRI-C, </w:t>
      </w:r>
      <w:r w:rsidR="00CA216E">
        <w:t>main </w:t>
      </w:r>
      <w:r>
        <w:t>ITT population)</w:t>
      </w:r>
    </w:p>
    <w:p w14:paraId="6F16DEDC" w14:textId="68958F05" w:rsidR="00E62B8D" w:rsidRDefault="00E62B8D" w:rsidP="008A6D96">
      <w:pPr>
        <w:rPr>
          <w:rFonts w:eastAsia="TimesNewRoman" w:cs="TimesNewRoman"/>
          <w:b/>
          <w:color w:val="000000"/>
          <w:lang w:val="en-US"/>
        </w:rPr>
      </w:pPr>
      <w:r w:rsidRPr="008A6D96">
        <w:rPr>
          <w:noProof/>
          <w:lang w:val="en-GB" w:eastAsia="en-GB"/>
        </w:rPr>
        <w:drawing>
          <wp:inline distT="0" distB="0" distL="0" distR="0" wp14:anchorId="504367FE" wp14:editId="4E3728F5">
            <wp:extent cx="5302102" cy="2508885"/>
            <wp:effectExtent l="0" t="0" r="0" b="5715"/>
            <wp:docPr id="180" name="Picture 180" descr=": Study M16-048 EASI 100 results by visit through to Week 16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 Study M16-048 EASI 100 results by visit through to Week 16 (NRI-C, main ITT population)"/>
                    <pic:cNvPicPr>
                      <a:picLocks noChangeAspect="1" noChangeArrowheads="1"/>
                    </pic:cNvPicPr>
                  </pic:nvPicPr>
                  <pic:blipFill rotWithShape="1">
                    <a:blip r:embed="rId67">
                      <a:extLst>
                        <a:ext uri="{28A0092B-C50C-407E-A947-70E740481C1C}">
                          <a14:useLocalDpi xmlns:a14="http://schemas.microsoft.com/office/drawing/2010/main" val="0"/>
                        </a:ext>
                      </a:extLst>
                    </a:blip>
                    <a:srcRect l="5067" t="12793"/>
                    <a:stretch/>
                  </pic:blipFill>
                  <pic:spPr bwMode="auto">
                    <a:xfrm>
                      <a:off x="0" y="0"/>
                      <a:ext cx="5382132" cy="2546754"/>
                    </a:xfrm>
                    <a:prstGeom prst="rect">
                      <a:avLst/>
                    </a:prstGeom>
                    <a:noFill/>
                    <a:ln>
                      <a:noFill/>
                    </a:ln>
                    <a:extLst>
                      <a:ext uri="{53640926-AAD7-44D8-BBD7-CCE9431645EC}">
                        <a14:shadowObscured xmlns:a14="http://schemas.microsoft.com/office/drawing/2010/main"/>
                      </a:ext>
                    </a:extLst>
                  </pic:spPr>
                </pic:pic>
              </a:graphicData>
            </a:graphic>
          </wp:inline>
        </w:drawing>
      </w:r>
    </w:p>
    <w:p w14:paraId="4C9C974B" w14:textId="27173056" w:rsidR="004B644A" w:rsidRPr="004B644A" w:rsidRDefault="004B644A" w:rsidP="00C056B6">
      <w:pPr>
        <w:pStyle w:val="FigureDescription"/>
      </w:pPr>
      <w:r>
        <w:t>Abbreviations: CI = confidence intervals; EASI 100 = Eczema Area and Severity Index 100 response; ITT = intention to treat; NRI</w:t>
      </w:r>
      <w:r>
        <w:noBreakHyphen/>
        <w:t>C = Nonresponder Imputation incorporating Multiple Imputation (MI) to handle missing data due to COVID-19; QD = once daily; UPA = upadacitinib.</w:t>
      </w:r>
    </w:p>
    <w:p w14:paraId="3D30D03C" w14:textId="3728991E" w:rsidR="00E62B8D" w:rsidRDefault="00E62B8D" w:rsidP="008A6D96">
      <w:r w:rsidRPr="008A6D96">
        <w:t xml:space="preserve">vIGA-AD score 0/1 (clear or almost clear) </w:t>
      </w:r>
      <w:r w:rsidR="008A6D96">
        <w:t>were observed from W</w:t>
      </w:r>
      <w:r w:rsidRPr="008A6D96">
        <w:t xml:space="preserve">eek 2 and were maintained </w:t>
      </w:r>
      <w:r w:rsidR="008A6D96">
        <w:t>through to W</w:t>
      </w:r>
      <w:r w:rsidRPr="008A6D96">
        <w:t>eek 16</w:t>
      </w:r>
      <w:r w:rsidR="008A6D96">
        <w:t xml:space="preserve"> as per the </w:t>
      </w:r>
      <w:r w:rsidR="008A6D96" w:rsidRPr="004B644A">
        <w:t>figure below.</w:t>
      </w:r>
    </w:p>
    <w:p w14:paraId="2B86DB88" w14:textId="44B5ACB3" w:rsidR="008A6D96" w:rsidRPr="008A6D96" w:rsidRDefault="008A6D96" w:rsidP="008A6D96">
      <w:pPr>
        <w:pStyle w:val="FigureTitle"/>
      </w:pPr>
      <w:r>
        <w:lastRenderedPageBreak/>
        <w:t xml:space="preserve">Figure </w:t>
      </w:r>
      <w:fldSimple w:instr=" SEQ Figure \* ARABIC ">
        <w:r w:rsidR="00B51532">
          <w:rPr>
            <w:noProof/>
          </w:rPr>
          <w:t>31</w:t>
        </w:r>
      </w:fldSimple>
      <w:r>
        <w:t xml:space="preserve">: Study M16-048 vIGA-AD 0/1 score results by visit through to Week 16 (NRI-C, </w:t>
      </w:r>
      <w:r w:rsidR="004B644A">
        <w:t>main ITT</w:t>
      </w:r>
      <w:r>
        <w:t xml:space="preserve"> population)</w:t>
      </w:r>
    </w:p>
    <w:p w14:paraId="14B1750D" w14:textId="66721F35" w:rsidR="00E62B8D" w:rsidRDefault="00E62B8D" w:rsidP="008A6D96">
      <w:pPr>
        <w:rPr>
          <w:rFonts w:eastAsia="TimesNewRoman" w:cs="TimesNewRoman"/>
          <w:color w:val="000000"/>
          <w:lang w:val="en-US"/>
        </w:rPr>
      </w:pPr>
      <w:r w:rsidRPr="008A6D96">
        <w:rPr>
          <w:noProof/>
          <w:lang w:val="en-GB" w:eastAsia="en-GB"/>
        </w:rPr>
        <w:drawing>
          <wp:inline distT="0" distB="0" distL="0" distR="0" wp14:anchorId="2DE99833" wp14:editId="602510EC">
            <wp:extent cx="5504985" cy="2585155"/>
            <wp:effectExtent l="0" t="0" r="635" b="5715"/>
            <wp:docPr id="183" name="Picture 183" descr="Study M16-048 vIGA-AD 0/1 score results by visit through to Week 16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Study M16-048 vIGA-AD 0/1 score results by visit through to Week 16 (NRI-C, main ITT populatio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45797" cy="2604321"/>
                    </a:xfrm>
                    <a:prstGeom prst="rect">
                      <a:avLst/>
                    </a:prstGeom>
                    <a:noFill/>
                    <a:ln>
                      <a:noFill/>
                    </a:ln>
                  </pic:spPr>
                </pic:pic>
              </a:graphicData>
            </a:graphic>
          </wp:inline>
        </w:drawing>
      </w:r>
    </w:p>
    <w:p w14:paraId="4324271E" w14:textId="3A5AD7C7" w:rsidR="004B644A" w:rsidRPr="004B644A" w:rsidRDefault="004B644A" w:rsidP="00C056B6">
      <w:pPr>
        <w:pStyle w:val="FigureDescription"/>
      </w:pPr>
      <w:r>
        <w:t>Abbreviations: CI = confidence intervals; ITT = intention to treat; NRI</w:t>
      </w:r>
      <w:r>
        <w:noBreakHyphen/>
        <w:t>C = Nonresponder Imputation incorporating Multiple Imputation (MI) to handle missing data due to COVID-19; NRS = numerical rating scale; QD = once daily; UPA = upadacitinib; vIGA-AD = validated investigator’s global assessment.</w:t>
      </w:r>
    </w:p>
    <w:p w14:paraId="2B7B4D49" w14:textId="5D15908E" w:rsidR="00E62B8D" w:rsidRPr="008A6D96" w:rsidRDefault="004B644A" w:rsidP="008A6D96">
      <w:r>
        <w:t>U</w:t>
      </w:r>
      <w:r w:rsidR="00782F8C">
        <w:t>padacitinib</w:t>
      </w:r>
      <w:r w:rsidR="00E62B8D" w:rsidRPr="008A6D96">
        <w:t xml:space="preserve"> 30 mg showed numerically better results on skin clearance and disease activity measures compared to upadacitinib 15 mg</w:t>
      </w:r>
      <w:r w:rsidR="008A6D96">
        <w:t>.</w:t>
      </w:r>
    </w:p>
    <w:p w14:paraId="163316D3" w14:textId="2E5EFB38" w:rsidR="00E62B8D" w:rsidRPr="008A6D96" w:rsidRDefault="008A6D96" w:rsidP="008A6D96">
      <w:r>
        <w:t>T</w:t>
      </w:r>
      <w:r w:rsidR="00E62B8D" w:rsidRPr="008A6D96">
        <w:t>he proportion of subjects achieving an improvement (reduction) in SCORAD 50/75/90 at Week 16 was also significantly greater in the</w:t>
      </w:r>
      <w:r w:rsidR="005D7175">
        <w:t xml:space="preserve"> upadacitinib</w:t>
      </w:r>
      <w:r w:rsidR="00E62B8D" w:rsidRPr="008A6D96">
        <w:t xml:space="preserve"> treatment groups compared with placebo. This was consistent with improvements SCORAD and its individual components (Objective SCORAD, SCORAD Itch, and SCORAD Sleep) as well as reduction in </w:t>
      </w:r>
      <w:r w:rsidR="004B644A">
        <w:t>body surface area</w:t>
      </w:r>
      <w:r w:rsidR="00E62B8D" w:rsidRPr="008A6D96">
        <w:t xml:space="preserve"> affected</w:t>
      </w:r>
      <w:r w:rsidR="004B644A">
        <w:t xml:space="preserve"> (see section: </w:t>
      </w:r>
      <w:r w:rsidR="004B644A" w:rsidRPr="004B644A">
        <w:rPr>
          <w:i/>
        </w:rPr>
        <w:fldChar w:fldCharType="begin"/>
      </w:r>
      <w:r w:rsidR="004B644A" w:rsidRPr="004B644A">
        <w:rPr>
          <w:i/>
        </w:rPr>
        <w:instrText xml:space="preserve"> REF _Ref126046677 \h </w:instrText>
      </w:r>
      <w:r w:rsidR="004B644A">
        <w:rPr>
          <w:i/>
        </w:rPr>
        <w:instrText xml:space="preserve"> \* MERGEFORMAT </w:instrText>
      </w:r>
      <w:r w:rsidR="004B644A" w:rsidRPr="004B644A">
        <w:rPr>
          <w:i/>
        </w:rPr>
      </w:r>
      <w:r w:rsidR="004B644A" w:rsidRPr="004B644A">
        <w:rPr>
          <w:i/>
        </w:rPr>
        <w:fldChar w:fldCharType="separate"/>
      </w:r>
      <w:r w:rsidR="00B51532" w:rsidRPr="00B51532">
        <w:rPr>
          <w:i/>
        </w:rPr>
        <w:t>Scoring Atopic Dermatitis (SCORAD)</w:t>
      </w:r>
      <w:r w:rsidR="004B644A" w:rsidRPr="004B644A">
        <w:rPr>
          <w:i/>
        </w:rPr>
        <w:fldChar w:fldCharType="end"/>
      </w:r>
      <w:r w:rsidR="004B644A">
        <w:t xml:space="preserve"> for further details).</w:t>
      </w:r>
    </w:p>
    <w:p w14:paraId="208BF2D0" w14:textId="6A360327" w:rsidR="00E62B8D" w:rsidRPr="008A6D96" w:rsidRDefault="008A6D96" w:rsidP="008A6D96">
      <w:r>
        <w:t>R</w:t>
      </w:r>
      <w:r w:rsidR="00E62B8D" w:rsidRPr="008A6D96">
        <w:t>apid response and consistent improvement in skin clearance and disease activity was observed in adolescents too</w:t>
      </w:r>
      <w:r>
        <w:t>.</w:t>
      </w:r>
    </w:p>
    <w:p w14:paraId="2A37B05E" w14:textId="628DB6BF" w:rsidR="00E62B8D" w:rsidRPr="008A6D96" w:rsidRDefault="008A6D96" w:rsidP="008A6D96">
      <w:r>
        <w:t>D</w:t>
      </w:r>
      <w:r w:rsidR="00E62B8D" w:rsidRPr="008A6D96">
        <w:t>uring the</w:t>
      </w:r>
      <w:r w:rsidR="00921F5C" w:rsidRPr="008A6D96">
        <w:t xml:space="preserve"> double blind </w:t>
      </w:r>
      <w:r>
        <w:t>p</w:t>
      </w:r>
      <w:r w:rsidR="00E62B8D" w:rsidRPr="008A6D96">
        <w:t>eriod, fewer subjects on</w:t>
      </w:r>
      <w:r w:rsidR="005D7175">
        <w:t xml:space="preserve"> upadacitinib</w:t>
      </w:r>
      <w:r w:rsidR="00E62B8D" w:rsidRPr="008A6D96">
        <w:t xml:space="preserve"> experienced a flare (increase in EASI by ≥ 6.6 from Baseline) than on placebo (4, 2 and 38 subjects in the </w:t>
      </w:r>
      <w:r w:rsidR="00921F5C" w:rsidRPr="008A6D96">
        <w:t>upadacitinib</w:t>
      </w:r>
      <w:r w:rsidR="00E62B8D" w:rsidRPr="008A6D96">
        <w:t xml:space="preserve"> </w:t>
      </w:r>
      <w:r w:rsidR="005D7175">
        <w:t>15 mg</w:t>
      </w:r>
      <w:r w:rsidR="00E62B8D" w:rsidRPr="008A6D96">
        <w:t xml:space="preserve"> </w:t>
      </w:r>
      <w:r w:rsidR="00CA216E">
        <w:t>plus</w:t>
      </w:r>
      <w:r w:rsidR="00E62B8D" w:rsidRPr="008A6D96">
        <w:t xml:space="preserve"> </w:t>
      </w:r>
      <w:r w:rsidRPr="008A6D96">
        <w:t xml:space="preserve">topical corticosteroids, upadacitinib </w:t>
      </w:r>
      <w:r w:rsidR="005D7175">
        <w:t>30 mg</w:t>
      </w:r>
      <w:r w:rsidR="00CA216E">
        <w:t xml:space="preserve"> plus </w:t>
      </w:r>
      <w:r w:rsidRPr="008A6D96">
        <w:t xml:space="preserve">topical corticosteroids and placebo </w:t>
      </w:r>
      <w:r w:rsidR="00CA216E">
        <w:t>plus</w:t>
      </w:r>
      <w:r w:rsidRPr="008A6D96">
        <w:t xml:space="preserve"> topical corticosteroids </w:t>
      </w:r>
      <w:r w:rsidR="00E62B8D" w:rsidRPr="008A6D96">
        <w:t xml:space="preserve">groups, respectively). </w:t>
      </w:r>
      <w:r>
        <w:t>Among adolescents, only one</w:t>
      </w:r>
      <w:r w:rsidR="00E62B8D" w:rsidRPr="008A6D96">
        <w:t xml:space="preserve"> subject on </w:t>
      </w:r>
      <w:r w:rsidR="00921F5C" w:rsidRPr="008A6D96">
        <w:t>upadacitinib</w:t>
      </w:r>
      <w:r w:rsidR="00E62B8D" w:rsidRPr="008A6D96">
        <w:t xml:space="preserve"> </w:t>
      </w:r>
      <w:r w:rsidR="005D7175">
        <w:t>15 mg</w:t>
      </w:r>
      <w:r w:rsidR="00E62B8D" w:rsidRPr="008A6D96">
        <w:t xml:space="preserve"> + </w:t>
      </w:r>
      <w:r w:rsidRPr="008A6D96">
        <w:t>topical corticosteroids and 5</w:t>
      </w:r>
      <w:r w:rsidR="00CA216E">
        <w:t> </w:t>
      </w:r>
      <w:r w:rsidRPr="008A6D96">
        <w:t>subjects on placebo + topical corticosteroids experien</w:t>
      </w:r>
      <w:r w:rsidR="00E62B8D" w:rsidRPr="008A6D96">
        <w:t>ced a flare during the</w:t>
      </w:r>
      <w:r>
        <w:t xml:space="preserve"> double blind pe</w:t>
      </w:r>
      <w:r w:rsidR="00E62B8D" w:rsidRPr="008A6D96">
        <w:t>riod</w:t>
      </w:r>
      <w:r>
        <w:t>.</w:t>
      </w:r>
    </w:p>
    <w:p w14:paraId="019B3293" w14:textId="6232DFE6" w:rsidR="00E62B8D" w:rsidRDefault="004B644A" w:rsidP="008A6D96">
      <w:r>
        <w:t>U</w:t>
      </w:r>
      <w:r w:rsidR="00782F8C">
        <w:t>padacitinib</w:t>
      </w:r>
      <w:r w:rsidR="00E62B8D" w:rsidRPr="008A6D96">
        <w:t xml:space="preserve"> (30 mg and 15 mg) demonstrated superiority in all secondary endpoints of itch reduction in Worst Pruritus NRS ≥ 4 at Week 1, Week 4, and Week 16 and percent change from Baseline in Worst Pruritus at Week 16. The onset of action for reduction in Worst Pruritus NRS ≥</w:t>
      </w:r>
      <w:r w:rsidR="00CA216E">
        <w:t xml:space="preserve"> </w:t>
      </w:r>
      <w:r w:rsidR="00E62B8D" w:rsidRPr="008A6D96">
        <w:t>4 and the percent change from Baseline in Wors</w:t>
      </w:r>
      <w:r w:rsidR="008A6D96">
        <w:t>t Pruritus NRS was rapid (from W</w:t>
      </w:r>
      <w:r w:rsidR="00E62B8D" w:rsidRPr="008A6D96">
        <w:t>eek 1) and continued to improve through Week 16</w:t>
      </w:r>
      <w:r w:rsidR="008A6D96">
        <w:t>.</w:t>
      </w:r>
    </w:p>
    <w:p w14:paraId="1D47A649" w14:textId="1F92923D" w:rsidR="008A6D96" w:rsidRPr="008A6D96" w:rsidRDefault="008A6D96" w:rsidP="008A6D96">
      <w:pPr>
        <w:pStyle w:val="FigureTitle"/>
      </w:pPr>
      <w:r>
        <w:lastRenderedPageBreak/>
        <w:t xml:space="preserve">Figure </w:t>
      </w:r>
      <w:fldSimple w:instr=" SEQ Figure \* ARABIC ">
        <w:r w:rsidR="00B51532">
          <w:rPr>
            <w:noProof/>
          </w:rPr>
          <w:t>32</w:t>
        </w:r>
      </w:fldSimple>
      <w:r>
        <w:t xml:space="preserve">: Study M16-048 Proportion of subjects achieving an improvement (reduction) in Worst Pruritus NRS ≥ 4 from Baseline in </w:t>
      </w:r>
      <w:r w:rsidR="00341EE2">
        <w:t xml:space="preserve">the </w:t>
      </w:r>
      <w:r>
        <w:t xml:space="preserve">double blind period (NRI-C, </w:t>
      </w:r>
      <w:r w:rsidR="004B644A">
        <w:t xml:space="preserve">main ITT </w:t>
      </w:r>
      <w:r>
        <w:t>population)</w:t>
      </w:r>
    </w:p>
    <w:p w14:paraId="39EFEB79" w14:textId="0F73AFFD" w:rsidR="00E62B8D" w:rsidRDefault="00E62B8D" w:rsidP="008A6D96">
      <w:pPr>
        <w:rPr>
          <w:rFonts w:eastAsia="TimesNewRoman" w:cs="TimesNewRoman"/>
          <w:b/>
          <w:lang w:val="en-US"/>
        </w:rPr>
      </w:pPr>
      <w:r w:rsidRPr="008A6D96">
        <w:rPr>
          <w:noProof/>
          <w:lang w:val="en-GB" w:eastAsia="en-GB"/>
        </w:rPr>
        <w:drawing>
          <wp:inline distT="0" distB="0" distL="0" distR="0" wp14:anchorId="61439AF9" wp14:editId="7AE09D84">
            <wp:extent cx="5380074" cy="2807149"/>
            <wp:effectExtent l="0" t="0" r="0" b="0"/>
            <wp:docPr id="194" name="Picture 194" descr="Study M16-048 Proportion of subjects achieving an improvement (reduction) in Worst Pruritus NRS ≥ 4 from Baseline in the double blind period (NRI-C,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Study M16-048 Proportion of subjects achieving an improvement (reduction) in Worst Pruritus NRS ≥ 4 from Baseline in the double blind period (NRI-C, main ITT population)"/>
                    <pic:cNvPicPr>
                      <a:picLocks noChangeAspect="1" noChangeArrowheads="1"/>
                    </pic:cNvPicPr>
                  </pic:nvPicPr>
                  <pic:blipFill rotWithShape="1">
                    <a:blip r:embed="rId69">
                      <a:extLst>
                        <a:ext uri="{28A0092B-C50C-407E-A947-70E740481C1C}">
                          <a14:useLocalDpi xmlns:a14="http://schemas.microsoft.com/office/drawing/2010/main" val="0"/>
                        </a:ext>
                      </a:extLst>
                    </a:blip>
                    <a:srcRect l="5441" t="15383" r="2768"/>
                    <a:stretch/>
                  </pic:blipFill>
                  <pic:spPr bwMode="auto">
                    <a:xfrm>
                      <a:off x="0" y="0"/>
                      <a:ext cx="5415725" cy="2825751"/>
                    </a:xfrm>
                    <a:prstGeom prst="rect">
                      <a:avLst/>
                    </a:prstGeom>
                    <a:noFill/>
                    <a:ln>
                      <a:noFill/>
                    </a:ln>
                    <a:extLst>
                      <a:ext uri="{53640926-AAD7-44D8-BBD7-CCE9431645EC}">
                        <a14:shadowObscured xmlns:a14="http://schemas.microsoft.com/office/drawing/2010/main"/>
                      </a:ext>
                    </a:extLst>
                  </pic:spPr>
                </pic:pic>
              </a:graphicData>
            </a:graphic>
          </wp:inline>
        </w:drawing>
      </w:r>
    </w:p>
    <w:p w14:paraId="64333BFF" w14:textId="3C577512" w:rsidR="004B644A" w:rsidRPr="004B644A" w:rsidRDefault="004B644A" w:rsidP="00C056B6">
      <w:pPr>
        <w:pStyle w:val="FigureDescription"/>
      </w:pPr>
      <w:r>
        <w:t>Abbreviations: CI = confidence intervals; ITT = intention to treat; NRI</w:t>
      </w:r>
      <w:r>
        <w:noBreakHyphen/>
        <w:t>C = Nonresponder Imputation incorporating Multiple Imputation (MI) to handle missing data due to COVID-19; NRS = numerical rating scale; QD = once daily; UPA = upadacitinib.</w:t>
      </w:r>
    </w:p>
    <w:p w14:paraId="7C25098B" w14:textId="4B3B1AA4" w:rsidR="008A6D96" w:rsidRPr="008A6D96" w:rsidRDefault="008A6D96" w:rsidP="008A6D96">
      <w:pPr>
        <w:pStyle w:val="FigureTitle"/>
      </w:pPr>
      <w:r>
        <w:t xml:space="preserve">Figure </w:t>
      </w:r>
      <w:fldSimple w:instr=" SEQ Figure \* ARABIC ">
        <w:r w:rsidR="00B51532">
          <w:rPr>
            <w:noProof/>
          </w:rPr>
          <w:t>33</w:t>
        </w:r>
      </w:fldSimple>
      <w:r>
        <w:t>: Study M16-048 Percent change from Baseline in Worst Pruritus NRS (weekly average) by visit in the double blind period (</w:t>
      </w:r>
      <w:r w:rsidR="004B644A">
        <w:t>main</w:t>
      </w:r>
      <w:r>
        <w:t xml:space="preserve"> ITT population)</w:t>
      </w:r>
    </w:p>
    <w:p w14:paraId="003CD061" w14:textId="0A43F87E" w:rsidR="00E62B8D" w:rsidRDefault="00E62B8D" w:rsidP="00341EE2">
      <w:pPr>
        <w:rPr>
          <w:rFonts w:eastAsia="TimesNewRoman" w:cs="TimesNewRoman"/>
          <w:lang w:val="en-US"/>
        </w:rPr>
      </w:pPr>
      <w:r w:rsidRPr="008A6D96">
        <w:rPr>
          <w:noProof/>
          <w:lang w:val="en-GB" w:eastAsia="en-GB"/>
        </w:rPr>
        <w:drawing>
          <wp:inline distT="0" distB="0" distL="0" distR="0" wp14:anchorId="1C2257F9" wp14:editId="0586DE15">
            <wp:extent cx="5342244" cy="2473842"/>
            <wp:effectExtent l="0" t="0" r="0" b="3175"/>
            <wp:docPr id="195" name="Picture 195" descr="Study M16-048 Percent change from Baseline in Worst Pruritus NRS (weekly average) by visit in the double blind period (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tudy M16-048 Percent change from Baseline in Worst Pruritus NRS (weekly average) by visit in the double blind period (main ITT population)"/>
                    <pic:cNvPicPr>
                      <a:picLocks noChangeAspect="1" noChangeArrowheads="1"/>
                    </pic:cNvPicPr>
                  </pic:nvPicPr>
                  <pic:blipFill rotWithShape="1">
                    <a:blip r:embed="rId70">
                      <a:extLst>
                        <a:ext uri="{28A0092B-C50C-407E-A947-70E740481C1C}">
                          <a14:useLocalDpi xmlns:a14="http://schemas.microsoft.com/office/drawing/2010/main" val="0"/>
                        </a:ext>
                      </a:extLst>
                    </a:blip>
                    <a:srcRect l="10929" t="19626" r="9029"/>
                    <a:stretch/>
                  </pic:blipFill>
                  <pic:spPr bwMode="auto">
                    <a:xfrm>
                      <a:off x="0" y="0"/>
                      <a:ext cx="5355081" cy="2479786"/>
                    </a:xfrm>
                    <a:prstGeom prst="rect">
                      <a:avLst/>
                    </a:prstGeom>
                    <a:noFill/>
                    <a:ln>
                      <a:noFill/>
                    </a:ln>
                    <a:extLst>
                      <a:ext uri="{53640926-AAD7-44D8-BBD7-CCE9431645EC}">
                        <a14:shadowObscured xmlns:a14="http://schemas.microsoft.com/office/drawing/2010/main"/>
                      </a:ext>
                    </a:extLst>
                  </pic:spPr>
                </pic:pic>
              </a:graphicData>
            </a:graphic>
          </wp:inline>
        </w:drawing>
      </w:r>
    </w:p>
    <w:p w14:paraId="6CA0BD35" w14:textId="4F6C5BAC" w:rsidR="004B644A" w:rsidRPr="004B644A" w:rsidRDefault="004B644A" w:rsidP="00C056B6">
      <w:pPr>
        <w:pStyle w:val="FigureDescription"/>
      </w:pPr>
      <w:r>
        <w:t>Abbreviations: CI = confidence intervals; ITT = intention to treat; NRI</w:t>
      </w:r>
      <w:r>
        <w:noBreakHyphen/>
        <w:t>C = Nonresponder Imputation incorporating Multiple Imputation (MI) to handle missing data due to COVID-19; NRS = numerical rating scale; QD = once daily; UPA = upadacitinib.</w:t>
      </w:r>
    </w:p>
    <w:p w14:paraId="3812DA0D" w14:textId="0136CAA9" w:rsidR="00E62B8D" w:rsidRPr="00341EE2" w:rsidRDefault="00E62B8D" w:rsidP="00341EE2">
      <w:r w:rsidRPr="00341EE2">
        <w:t>A significantly greater proportion of subjects on</w:t>
      </w:r>
      <w:r w:rsidR="005D7175">
        <w:t xml:space="preserve"> upadacitinib</w:t>
      </w:r>
      <w:r w:rsidRPr="00341EE2">
        <w:t xml:space="preserve"> (30 mg or 15 mg) achieved improvement in the additional endpoints related to skin pain (ADerm-SS Skin Pain) and overall symptoms (ADerm-SS TSS-7, POEM) a</w:t>
      </w:r>
      <w:r w:rsidR="00341EE2">
        <w:t>t Week 16 compared with placebo.</w:t>
      </w:r>
    </w:p>
    <w:p w14:paraId="140E8CDB" w14:textId="0BEAAFD2" w:rsidR="00341EE2" w:rsidRDefault="004B644A" w:rsidP="00341EE2">
      <w:r>
        <w:t>U</w:t>
      </w:r>
      <w:r w:rsidR="00782F8C">
        <w:t>padacitinib</w:t>
      </w:r>
      <w:r w:rsidR="00E62B8D" w:rsidRPr="00341EE2">
        <w:t xml:space="preserve">-related improvements in skin symptoms, such as itching, were associated with significant improvements in additional endpoints of </w:t>
      </w:r>
      <w:r w:rsidR="00CA216E">
        <w:t>atopic dermatitis</w:t>
      </w:r>
      <w:r w:rsidR="00E62B8D" w:rsidRPr="00341EE2">
        <w:t>-related sleep disturbanc</w:t>
      </w:r>
      <w:r w:rsidR="00341EE2">
        <w:t xml:space="preserve">es compared to placebo. </w:t>
      </w:r>
      <w:r w:rsidR="00E62B8D" w:rsidRPr="00341EE2">
        <w:t>The latter</w:t>
      </w:r>
      <w:r w:rsidR="00B51532">
        <w:t xml:space="preserve"> </w:t>
      </w:r>
      <w:r w:rsidR="00E62B8D" w:rsidRPr="00341EE2">
        <w:t>was</w:t>
      </w:r>
      <w:r w:rsidR="00B51532">
        <w:t xml:space="preserve"> </w:t>
      </w:r>
      <w:r w:rsidR="00E62B8D" w:rsidRPr="00341EE2">
        <w:t>as measured by: ADerm-IS sleep domain score ≥ 12, POEM Sleep score of 0 and the percent change from base</w:t>
      </w:r>
      <w:r w:rsidR="00341EE2">
        <w:t xml:space="preserve">line in SCORAD sleep </w:t>
      </w:r>
      <w:r w:rsidR="00341EE2">
        <w:lastRenderedPageBreak/>
        <w:t>at Week 16. u</w:t>
      </w:r>
      <w:r w:rsidR="00E62B8D" w:rsidRPr="00341EE2">
        <w:t>padacitinib 30 mg showed n</w:t>
      </w:r>
      <w:r w:rsidR="00341EE2">
        <w:t>umerically better results than u</w:t>
      </w:r>
      <w:r w:rsidR="00E62B8D" w:rsidRPr="00341EE2">
        <w:t>padacitinib 15 mg</w:t>
      </w:r>
      <w:r w:rsidR="00341EE2">
        <w:t>.</w:t>
      </w:r>
    </w:p>
    <w:p w14:paraId="281FD875" w14:textId="28DA82CB" w:rsidR="00E62B8D" w:rsidRPr="00341EE2" w:rsidRDefault="00E62B8D" w:rsidP="00341EE2">
      <w:r w:rsidRPr="00341EE2">
        <w:t>Treatment with upadacitinib (30 mg and 15 mg) led to significant improvements (reduction) in the patient-reported im</w:t>
      </w:r>
      <w:r w:rsidR="00341EE2">
        <w:t xml:space="preserve">pact of </w:t>
      </w:r>
      <w:r w:rsidR="00CA216E">
        <w:t xml:space="preserve">atopic dermatitis </w:t>
      </w:r>
      <w:r w:rsidR="00341EE2">
        <w:t xml:space="preserve">compared to placebo. </w:t>
      </w:r>
      <w:r w:rsidRPr="00341EE2">
        <w:t xml:space="preserve">The latter was as measured by: improvement in ADerm-IS </w:t>
      </w:r>
      <w:r w:rsidR="00CA216E" w:rsidRPr="00341EE2">
        <w:t xml:space="preserve">emotional state domain score </w:t>
      </w:r>
      <w:r w:rsidRPr="00341EE2">
        <w:t xml:space="preserve">≥ 11, improvement in ADerm-IS </w:t>
      </w:r>
      <w:r w:rsidR="00CA216E" w:rsidRPr="00341EE2">
        <w:t xml:space="preserve">daily activities domain score </w:t>
      </w:r>
      <w:r w:rsidRPr="00341EE2">
        <w:t>≥ 14, reduction in anxiety and depression symptoms (HADS) and in select WPAI</w:t>
      </w:r>
      <w:r w:rsidR="00CA216E">
        <w:t xml:space="preserve"> questionnaire</w:t>
      </w:r>
      <w:r w:rsidRPr="00341EE2">
        <w:t xml:space="preserve">: </w:t>
      </w:r>
      <w:r w:rsidR="00CA216E">
        <w:t>atopic dermatitis</w:t>
      </w:r>
      <w:r w:rsidRPr="00341EE2">
        <w:t xml:space="preserve"> </w:t>
      </w:r>
      <w:r w:rsidR="00CA216E">
        <w:t>d</w:t>
      </w:r>
      <w:r w:rsidRPr="00341EE2">
        <w:t xml:space="preserve">omain </w:t>
      </w:r>
      <w:r w:rsidR="00CA216E">
        <w:t>s</w:t>
      </w:r>
      <w:r w:rsidRPr="00341EE2">
        <w:t>cores (work productivity loss, presenteeism, and a</w:t>
      </w:r>
      <w:r w:rsidR="00341EE2">
        <w:t>ctivity impairment) at Week 16.</w:t>
      </w:r>
    </w:p>
    <w:p w14:paraId="68BFDBC4" w14:textId="61D87F23" w:rsidR="00E62B8D" w:rsidRPr="00341EE2" w:rsidRDefault="00E62B8D" w:rsidP="00341EE2">
      <w:r w:rsidRPr="00341EE2">
        <w:t xml:space="preserve">The proportion of subjects showing improvements in impact of </w:t>
      </w:r>
      <w:r w:rsidR="00CA216E">
        <w:t>atopic dermatitis</w:t>
      </w:r>
      <w:r w:rsidR="00CA216E" w:rsidRPr="00341EE2">
        <w:t xml:space="preserve"> </w:t>
      </w:r>
      <w:r w:rsidRPr="00341EE2">
        <w:t xml:space="preserve">was numerically greater in the </w:t>
      </w:r>
      <w:r w:rsidR="00921F5C" w:rsidRPr="00341EE2">
        <w:t>upadacitinib</w:t>
      </w:r>
      <w:r w:rsidRPr="00341EE2">
        <w:t xml:space="preserve"> </w:t>
      </w:r>
      <w:r w:rsidR="005D7175">
        <w:t>30 mg</w:t>
      </w:r>
      <w:r w:rsidRPr="00341EE2">
        <w:t xml:space="preserve"> + </w:t>
      </w:r>
      <w:r w:rsidR="00341EE2" w:rsidRPr="00341EE2">
        <w:t xml:space="preserve">topical corticosteroids group compared to the upadacitinib </w:t>
      </w:r>
      <w:r w:rsidR="005D7175">
        <w:t>15 mg</w:t>
      </w:r>
      <w:r w:rsidR="00341EE2" w:rsidRPr="00341EE2">
        <w:t xml:space="preserve"> +topical corticosteroids </w:t>
      </w:r>
      <w:r w:rsidRPr="00341EE2">
        <w:t>group</w:t>
      </w:r>
      <w:r w:rsidR="00341EE2">
        <w:t>.</w:t>
      </w:r>
    </w:p>
    <w:p w14:paraId="09450C14" w14:textId="575B0DD5" w:rsidR="00E62B8D" w:rsidRPr="00341EE2" w:rsidRDefault="00E62B8D" w:rsidP="00341EE2">
      <w:r w:rsidRPr="00341EE2">
        <w:t>Compare</w:t>
      </w:r>
      <w:r w:rsidR="00341EE2">
        <w:t>d with placebo, treatment with u</w:t>
      </w:r>
      <w:r w:rsidRPr="00341EE2">
        <w:t xml:space="preserve">padacitinib (30 mg and 15 mg) in combination with </w:t>
      </w:r>
      <w:r w:rsidR="00341EE2" w:rsidRPr="00341EE2">
        <w:t xml:space="preserve">topical corticosteroids </w:t>
      </w:r>
      <w:r w:rsidRPr="00341EE2">
        <w:t xml:space="preserve">also led to greater improvement in endpoints, reflecting </w:t>
      </w:r>
      <w:r w:rsidR="00341EE2">
        <w:t xml:space="preserve">health-related quality of life. </w:t>
      </w:r>
      <w:r w:rsidRPr="00341EE2">
        <w:t>The latter includes the additional endpoints of: improvement (reduction) in DLQI ≥ 4, DLQI 0 or 1, CDLQI 0 or 1, and improvement in EQ-5D-5L, as</w:t>
      </w:r>
      <w:r w:rsidR="00341EE2">
        <w:t xml:space="preserve"> well as in PGIS, PGIC and PGIT.</w:t>
      </w:r>
    </w:p>
    <w:p w14:paraId="7C24409E" w14:textId="2F5AAD53" w:rsidR="00E62B8D" w:rsidRDefault="00E62B8D" w:rsidP="00341EE2">
      <w:r w:rsidRPr="00341EE2">
        <w:t xml:space="preserve">Improvements in skin clearance, disease activity, itch reduction, sleep disturbances, impact of </w:t>
      </w:r>
      <w:r w:rsidR="004B644A">
        <w:t>atopic dermatitis</w:t>
      </w:r>
      <w:r w:rsidRPr="00341EE2">
        <w:t xml:space="preserve"> and health-related </w:t>
      </w:r>
      <w:r w:rsidR="00341EE2">
        <w:t>quality of life</w:t>
      </w:r>
      <w:r w:rsidRPr="00341EE2">
        <w:t xml:space="preserve"> measures observed in adolescents were consistent with</w:t>
      </w:r>
      <w:r w:rsidR="00341EE2">
        <w:t xml:space="preserve"> those observed in all subjects.</w:t>
      </w:r>
    </w:p>
    <w:p w14:paraId="44B825B0" w14:textId="2D4DC7BB" w:rsidR="004B644A" w:rsidRPr="00341EE2" w:rsidRDefault="004B644A" w:rsidP="00341EE2">
      <w:r>
        <w:t xml:space="preserve">See sections: </w:t>
      </w:r>
      <w:r>
        <w:rPr>
          <w:i/>
        </w:rPr>
        <w:fldChar w:fldCharType="begin"/>
      </w:r>
      <w:r>
        <w:rPr>
          <w:i/>
        </w:rPr>
        <w:instrText xml:space="preserve"> REF _Ref126046810 \h  \* MERGEFORMAT </w:instrText>
      </w:r>
      <w:r>
        <w:rPr>
          <w:i/>
        </w:rPr>
      </w:r>
      <w:r>
        <w:rPr>
          <w:i/>
        </w:rPr>
        <w:fldChar w:fldCharType="separate"/>
      </w:r>
      <w:r w:rsidR="00B51532" w:rsidRPr="00B51532">
        <w:rPr>
          <w:i/>
        </w:rPr>
        <w:t>Patient Oriented Eczema Measure (POEM)</w:t>
      </w:r>
      <w:r>
        <w:rPr>
          <w:i/>
        </w:rPr>
        <w:fldChar w:fldCharType="end"/>
      </w:r>
      <w:r>
        <w:rPr>
          <w:i/>
        </w:rPr>
        <w:t xml:space="preserve">; </w:t>
      </w:r>
      <w:r>
        <w:rPr>
          <w:i/>
        </w:rPr>
        <w:fldChar w:fldCharType="begin"/>
      </w:r>
      <w:r>
        <w:rPr>
          <w:i/>
        </w:rPr>
        <w:instrText xml:space="preserve"> REF _Ref126046814 \h  \* MERGEFORMAT </w:instrText>
      </w:r>
      <w:r>
        <w:rPr>
          <w:i/>
        </w:rPr>
      </w:r>
      <w:r>
        <w:rPr>
          <w:i/>
        </w:rPr>
        <w:fldChar w:fldCharType="separate"/>
      </w:r>
      <w:r w:rsidR="00B51532" w:rsidRPr="00B51532">
        <w:rPr>
          <w:i/>
        </w:rPr>
        <w:t>Atopic Dermatitis Symptom Scale (ADerm-SS)</w:t>
      </w:r>
      <w:r>
        <w:rPr>
          <w:i/>
        </w:rPr>
        <w:fldChar w:fldCharType="end"/>
      </w:r>
      <w:r>
        <w:rPr>
          <w:i/>
        </w:rPr>
        <w:fldChar w:fldCharType="begin"/>
      </w:r>
      <w:r>
        <w:rPr>
          <w:i/>
        </w:rPr>
        <w:instrText xml:space="preserve"> REF _Ref125686128 \h  \* MERGEFORMAT </w:instrText>
      </w:r>
      <w:r>
        <w:rPr>
          <w:i/>
        </w:rPr>
      </w:r>
      <w:r>
        <w:rPr>
          <w:i/>
        </w:rPr>
        <w:fldChar w:fldCharType="separate"/>
      </w:r>
      <w:r w:rsidR="00B51532" w:rsidRPr="00B51532">
        <w:rPr>
          <w:i/>
        </w:rPr>
        <w:t>Atopic Dermatitis Impact Scale (ADerm-IS)</w:t>
      </w:r>
      <w:r>
        <w:rPr>
          <w:i/>
        </w:rPr>
        <w:fldChar w:fldCharType="end"/>
      </w:r>
      <w:r>
        <w:rPr>
          <w:i/>
        </w:rPr>
        <w:t xml:space="preserve">; </w:t>
      </w:r>
      <w:r>
        <w:rPr>
          <w:i/>
        </w:rPr>
        <w:fldChar w:fldCharType="begin"/>
      </w:r>
      <w:r>
        <w:rPr>
          <w:i/>
        </w:rPr>
        <w:instrText xml:space="preserve"> REF _Ref126046821 \h  \* MERGEFORMAT </w:instrText>
      </w:r>
      <w:r>
        <w:rPr>
          <w:i/>
        </w:rPr>
      </w:r>
      <w:r>
        <w:rPr>
          <w:i/>
        </w:rPr>
        <w:fldChar w:fldCharType="separate"/>
      </w:r>
      <w:r w:rsidR="00B51532" w:rsidRPr="00B51532">
        <w:rPr>
          <w:i/>
        </w:rPr>
        <w:t>Dermatology Life Quality Index</w:t>
      </w:r>
      <w:r>
        <w:rPr>
          <w:i/>
        </w:rPr>
        <w:fldChar w:fldCharType="end"/>
      </w:r>
      <w:r>
        <w:rPr>
          <w:i/>
        </w:rPr>
        <w:t xml:space="preserve">; </w:t>
      </w:r>
      <w:r>
        <w:t xml:space="preserve">and </w:t>
      </w:r>
      <w:r>
        <w:rPr>
          <w:i/>
        </w:rPr>
        <w:fldChar w:fldCharType="begin"/>
      </w:r>
      <w:r>
        <w:rPr>
          <w:i/>
        </w:rPr>
        <w:instrText xml:space="preserve"> REF _Ref126046828 \h  \* MERGEFORMAT </w:instrText>
      </w:r>
      <w:r>
        <w:rPr>
          <w:i/>
        </w:rPr>
      </w:r>
      <w:r>
        <w:rPr>
          <w:i/>
        </w:rPr>
        <w:fldChar w:fldCharType="separate"/>
      </w:r>
      <w:r w:rsidR="00B51532" w:rsidRPr="00B51532">
        <w:rPr>
          <w:i/>
        </w:rPr>
        <w:t>Hospital Anxiety and Depression Scale (HADS)</w:t>
      </w:r>
      <w:r>
        <w:rPr>
          <w:i/>
        </w:rPr>
        <w:fldChar w:fldCharType="end"/>
      </w:r>
      <w:r>
        <w:rPr>
          <w:i/>
        </w:rPr>
        <w:t xml:space="preserve"> </w:t>
      </w:r>
      <w:r>
        <w:t>for details of these measures.</w:t>
      </w:r>
    </w:p>
    <w:p w14:paraId="15CFFAF1" w14:textId="49923B71" w:rsidR="00E62B8D" w:rsidRPr="00341EE2" w:rsidRDefault="00341EE2" w:rsidP="00341EE2">
      <w:pPr>
        <w:pStyle w:val="Heading5"/>
        <w:rPr>
          <w:rFonts w:eastAsia="TimesNewRoman"/>
        </w:rPr>
      </w:pPr>
      <w:r>
        <w:rPr>
          <w:rFonts w:eastAsia="TimesNewRoman"/>
        </w:rPr>
        <w:t>Long</w:t>
      </w:r>
      <w:r w:rsidR="00CA216E">
        <w:rPr>
          <w:rFonts w:eastAsia="TimesNewRoman"/>
        </w:rPr>
        <w:t>-</w:t>
      </w:r>
      <w:r>
        <w:rPr>
          <w:rFonts w:eastAsia="TimesNewRoman"/>
        </w:rPr>
        <w:t>term efficacy results</w:t>
      </w:r>
    </w:p>
    <w:p w14:paraId="66DAA7AC" w14:textId="615FA777" w:rsidR="00E62B8D" w:rsidRPr="00341EE2" w:rsidRDefault="00E62B8D" w:rsidP="00341EE2">
      <w:r w:rsidRPr="00341EE2">
        <w:t xml:space="preserve">Regarding </w:t>
      </w:r>
      <w:r w:rsidR="00341EE2">
        <w:t xml:space="preserve">long </w:t>
      </w:r>
      <w:r w:rsidRPr="00341EE2">
        <w:t>term efficacy results from the</w:t>
      </w:r>
      <w:r w:rsidR="00921F5C" w:rsidRPr="00341EE2">
        <w:t xml:space="preserve"> blinded extension </w:t>
      </w:r>
      <w:r w:rsidRPr="00341EE2">
        <w:t>period:</w:t>
      </w:r>
    </w:p>
    <w:p w14:paraId="349F2E50" w14:textId="09FF386B" w:rsidR="00341EE2" w:rsidRDefault="00E62B8D" w:rsidP="00341EE2">
      <w:pPr>
        <w:pStyle w:val="ListBullet"/>
      </w:pPr>
      <w:r w:rsidRPr="00341EE2">
        <w:t>The long-term</w:t>
      </w:r>
      <w:r w:rsidR="00921F5C" w:rsidRPr="00341EE2">
        <w:t xml:space="preserve"> blinded extension </w:t>
      </w:r>
      <w:r w:rsidR="00341EE2">
        <w:t>p</w:t>
      </w:r>
      <w:r w:rsidRPr="00341EE2">
        <w:t>eriod was described with observed case analysis that did not impute</w:t>
      </w:r>
      <w:r w:rsidR="00341EE2">
        <w:t xml:space="preserve"> values for missing evaluations.</w:t>
      </w:r>
    </w:p>
    <w:p w14:paraId="62DEE799" w14:textId="1C56CB4D" w:rsidR="00E62B8D" w:rsidRPr="00341EE2" w:rsidRDefault="00E62B8D" w:rsidP="00341EE2">
      <w:pPr>
        <w:pStyle w:val="ListBullet"/>
      </w:pPr>
      <w:r w:rsidRPr="00341EE2">
        <w:t>Additional long-term summaries were provided for EASI 75, vIGA-AD 0/1</w:t>
      </w:r>
      <w:r w:rsidR="00341EE2">
        <w:t xml:space="preserve">, </w:t>
      </w:r>
      <w:r w:rsidRPr="00341EE2">
        <w:t xml:space="preserve">and Worst Pruritus NRS improvement ≥ 4 from Baseline using </w:t>
      </w:r>
      <w:r w:rsidR="00341EE2">
        <w:t>missing imputation</w:t>
      </w:r>
      <w:r w:rsidRPr="00341EE2">
        <w:t xml:space="preserve"> approach: </w:t>
      </w:r>
    </w:p>
    <w:p w14:paraId="1C67BEC9" w14:textId="2FC579B5" w:rsidR="00E62B8D" w:rsidRPr="00390B4B" w:rsidRDefault="00E62B8D" w:rsidP="00341EE2">
      <w:pPr>
        <w:pStyle w:val="ListBullet2"/>
        <w:rPr>
          <w:rFonts w:eastAsia="TimesNewRoman" w:cs="TimesNewRoman"/>
          <w:lang w:val="en-US"/>
        </w:rPr>
      </w:pPr>
      <w:r w:rsidRPr="00390B4B">
        <w:rPr>
          <w:lang w:val="en-US"/>
        </w:rPr>
        <w:t xml:space="preserve">EASI response rate was maintained up to </w:t>
      </w:r>
      <w:r w:rsidR="00341EE2">
        <w:rPr>
          <w:lang w:val="en-US"/>
        </w:rPr>
        <w:t>W</w:t>
      </w:r>
      <w:r w:rsidRPr="00341EE2">
        <w:rPr>
          <w:lang w:val="en-US"/>
        </w:rPr>
        <w:t>eek 52 in</w:t>
      </w:r>
      <w:r w:rsidRPr="00390B4B">
        <w:rPr>
          <w:lang w:val="en-US"/>
        </w:rPr>
        <w:t xml:space="preserve"> those subjects who continued with their</w:t>
      </w:r>
      <w:r w:rsidR="00921F5C">
        <w:rPr>
          <w:lang w:val="en-US"/>
        </w:rPr>
        <w:t xml:space="preserve"> double blind </w:t>
      </w:r>
      <w:r w:rsidRPr="00390B4B">
        <w:rPr>
          <w:lang w:val="en-US"/>
        </w:rPr>
        <w:t>treatments; placebo subjects who starte</w:t>
      </w:r>
      <w:r w:rsidR="00341EE2">
        <w:rPr>
          <w:lang w:val="en-US"/>
        </w:rPr>
        <w:t>d treatment with u</w:t>
      </w:r>
      <w:r w:rsidRPr="00390B4B">
        <w:rPr>
          <w:lang w:val="en-US"/>
        </w:rPr>
        <w:t>padacitinib after 16 weeks also showed good EASI 75 response rates whi</w:t>
      </w:r>
      <w:r w:rsidR="00341EE2">
        <w:rPr>
          <w:lang w:val="en-US"/>
        </w:rPr>
        <w:t>ch were maintained through to Week 52.</w:t>
      </w:r>
    </w:p>
    <w:p w14:paraId="530EF591" w14:textId="0C4E3666" w:rsidR="00E62B8D" w:rsidRPr="00390B4B" w:rsidRDefault="00E62B8D" w:rsidP="00341EE2">
      <w:pPr>
        <w:pStyle w:val="ListBullet2"/>
        <w:rPr>
          <w:rFonts w:eastAsia="TimesNewRoman" w:cs="TimesNewRoman"/>
          <w:lang w:val="en-US"/>
        </w:rPr>
      </w:pPr>
      <w:r w:rsidRPr="00390B4B">
        <w:rPr>
          <w:lang w:val="en-US"/>
        </w:rPr>
        <w:t>Similar result</w:t>
      </w:r>
      <w:r w:rsidR="00341EE2">
        <w:rPr>
          <w:lang w:val="en-US"/>
        </w:rPr>
        <w:t>s were observed for vIGA-AD scores of 0/1.</w:t>
      </w:r>
    </w:p>
    <w:p w14:paraId="7FEF9FA0" w14:textId="1CA07209" w:rsidR="00E62B8D" w:rsidRPr="00390B4B" w:rsidRDefault="00E62B8D" w:rsidP="00341EE2">
      <w:pPr>
        <w:pStyle w:val="ListBullet2"/>
        <w:rPr>
          <w:rFonts w:eastAsia="TimesNewRoman" w:cs="TimesNewRoman"/>
          <w:lang w:val="en-US"/>
        </w:rPr>
      </w:pPr>
      <w:r w:rsidRPr="00390B4B">
        <w:rPr>
          <w:lang w:val="en-US"/>
        </w:rPr>
        <w:t>Reduction in pruritus was observed for placebo subje</w:t>
      </w:r>
      <w:r w:rsidR="00341EE2">
        <w:rPr>
          <w:lang w:val="en-US"/>
        </w:rPr>
        <w:t>cts who started treatment with u</w:t>
      </w:r>
      <w:r w:rsidRPr="00390B4B">
        <w:rPr>
          <w:lang w:val="en-US"/>
        </w:rPr>
        <w:t xml:space="preserve">padacitinib after 16 weeks and was maintained </w:t>
      </w:r>
      <w:r w:rsidR="00341EE2">
        <w:rPr>
          <w:lang w:val="en-US"/>
        </w:rPr>
        <w:t>through to W</w:t>
      </w:r>
      <w:r w:rsidRPr="00390B4B">
        <w:rPr>
          <w:lang w:val="en-US"/>
        </w:rPr>
        <w:t>eek 52 as well as for those pat</w:t>
      </w:r>
      <w:r w:rsidR="00341EE2">
        <w:rPr>
          <w:lang w:val="en-US"/>
        </w:rPr>
        <w:t>ients who continued with their u</w:t>
      </w:r>
      <w:r w:rsidRPr="00390B4B">
        <w:rPr>
          <w:lang w:val="en-US"/>
        </w:rPr>
        <w:t>padacitinib treatment from their</w:t>
      </w:r>
      <w:r w:rsidR="00921F5C">
        <w:rPr>
          <w:lang w:val="en-US"/>
        </w:rPr>
        <w:t xml:space="preserve"> double blind </w:t>
      </w:r>
      <w:r w:rsidR="00341EE2">
        <w:rPr>
          <w:lang w:val="en-US"/>
        </w:rPr>
        <w:t>phase.</w:t>
      </w:r>
    </w:p>
    <w:p w14:paraId="26CBC92B" w14:textId="37DA7934" w:rsidR="00E62B8D" w:rsidRPr="00390B4B" w:rsidRDefault="00E62B8D" w:rsidP="00341EE2">
      <w:pPr>
        <w:pStyle w:val="ListBullet2"/>
        <w:rPr>
          <w:rFonts w:eastAsia="TimesNewRoman" w:cs="TimesNewRoman"/>
          <w:lang w:val="en-US"/>
        </w:rPr>
      </w:pPr>
      <w:r w:rsidRPr="00390B4B">
        <w:rPr>
          <w:lang w:val="en-US"/>
        </w:rPr>
        <w:t>Response rates were higher in EASI 50 respond</w:t>
      </w:r>
      <w:r w:rsidR="00341EE2">
        <w:rPr>
          <w:lang w:val="en-US"/>
        </w:rPr>
        <w:t>ers compared to the EASI 50 non</w:t>
      </w:r>
      <w:r w:rsidR="00341EE2">
        <w:rPr>
          <w:lang w:val="en-US"/>
        </w:rPr>
        <w:noBreakHyphen/>
      </w:r>
      <w:r w:rsidRPr="00390B4B">
        <w:rPr>
          <w:lang w:val="en-US"/>
        </w:rPr>
        <w:t>responders.</w:t>
      </w:r>
      <w:r w:rsidR="00B51532">
        <w:rPr>
          <w:lang w:val="en-US"/>
        </w:rPr>
        <w:t xml:space="preserve"> </w:t>
      </w:r>
    </w:p>
    <w:p w14:paraId="72F13CD3" w14:textId="7D311D47" w:rsidR="00E62B8D" w:rsidRPr="00390B4B" w:rsidRDefault="00341EE2" w:rsidP="00E62B8D">
      <w:pPr>
        <w:autoSpaceDE w:val="0"/>
        <w:autoSpaceDN w:val="0"/>
        <w:adjustRightInd w:val="0"/>
        <w:spacing w:line="240" w:lineRule="auto"/>
        <w:rPr>
          <w:rFonts w:eastAsia="TimesNewRoman" w:cs="TimesNewRoman"/>
          <w:lang w:val="en-US"/>
        </w:rPr>
      </w:pPr>
      <w:r>
        <w:t>Ano</w:t>
      </w:r>
      <w:r w:rsidR="00E62B8D" w:rsidRPr="00341EE2">
        <w:t xml:space="preserve">ther issue relates to </w:t>
      </w:r>
      <w:r w:rsidRPr="00341EE2">
        <w:t>topical corticosteroids</w:t>
      </w:r>
      <w:r w:rsidR="00E62B8D" w:rsidRPr="00341EE2">
        <w:t>-free days</w:t>
      </w:r>
      <w:r w:rsidR="00E62B8D" w:rsidRPr="00390B4B">
        <w:rPr>
          <w:rFonts w:eastAsia="TimesNewRoman" w:cs="TimesNewRoman"/>
          <w:lang w:val="en-US"/>
        </w:rPr>
        <w:t>:</w:t>
      </w:r>
    </w:p>
    <w:p w14:paraId="197B12B3" w14:textId="77777777" w:rsidR="00341EE2" w:rsidRDefault="00E62B8D" w:rsidP="00341EE2">
      <w:pPr>
        <w:pStyle w:val="ListBullet"/>
      </w:pPr>
      <w:r w:rsidRPr="00341EE2">
        <w:t xml:space="preserve">The mean number of days off all </w:t>
      </w:r>
      <w:r w:rsidR="00341EE2" w:rsidRPr="00341EE2">
        <w:t xml:space="preserve">topical corticosteroids </w:t>
      </w:r>
      <w:r w:rsidRPr="00341EE2">
        <w:t xml:space="preserve">and achieving EASI 75 response (through week 16) was 33.53 days (median 26 days), 47.47 days (median: 57 days) and 7.88 days (median: 0 days) in the </w:t>
      </w:r>
      <w:r w:rsidR="00341EE2">
        <w:t>u</w:t>
      </w:r>
      <w:r w:rsidRPr="00341EE2">
        <w:t>padacitinib 15</w:t>
      </w:r>
      <w:r w:rsidR="00341EE2">
        <w:t xml:space="preserve"> </w:t>
      </w:r>
      <w:r w:rsidRPr="00341EE2">
        <w:t>mg, 30</w:t>
      </w:r>
      <w:r w:rsidR="00341EE2">
        <w:t xml:space="preserve"> </w:t>
      </w:r>
      <w:r w:rsidRPr="00341EE2">
        <w:t>mg and placebo groups, respectively</w:t>
      </w:r>
      <w:r w:rsidR="00341EE2">
        <w:t>.</w:t>
      </w:r>
    </w:p>
    <w:p w14:paraId="65EE31C7" w14:textId="77777777" w:rsidR="00341EE2" w:rsidRPr="00341EE2" w:rsidRDefault="00E62B8D" w:rsidP="00341EE2">
      <w:pPr>
        <w:pStyle w:val="ListBullet"/>
      </w:pPr>
      <w:r w:rsidRPr="00341EE2">
        <w:rPr>
          <w:lang w:val="en-US"/>
        </w:rPr>
        <w:t xml:space="preserve">The mean number of days off all medium and high potency </w:t>
      </w:r>
      <w:r w:rsidR="00341EE2" w:rsidRPr="00341EE2">
        <w:rPr>
          <w:lang w:val="en-US"/>
        </w:rPr>
        <w:t xml:space="preserve">topical corticosteroids </w:t>
      </w:r>
      <w:r w:rsidRPr="00341EE2">
        <w:rPr>
          <w:lang w:val="en-US"/>
        </w:rPr>
        <w:t>and achieving an EASI 75 response was 39.50 days (median: 31 days), 55.86 days (median: 69 days) and 10.14 days (median 0 days), respectively</w:t>
      </w:r>
      <w:r w:rsidR="00341EE2">
        <w:rPr>
          <w:lang w:val="en-US"/>
        </w:rPr>
        <w:t>.</w:t>
      </w:r>
    </w:p>
    <w:p w14:paraId="1FDA0E5C" w14:textId="12255060" w:rsidR="00E62B8D" w:rsidRPr="00341EE2" w:rsidRDefault="00E62B8D" w:rsidP="00341EE2">
      <w:pPr>
        <w:pStyle w:val="ListBullet"/>
      </w:pPr>
      <w:r w:rsidRPr="00341EE2">
        <w:rPr>
          <w:lang w:val="en-US"/>
        </w:rPr>
        <w:lastRenderedPageBreak/>
        <w:t xml:space="preserve">The median time to </w:t>
      </w:r>
      <w:r w:rsidR="00341EE2" w:rsidRPr="00341EE2">
        <w:rPr>
          <w:lang w:val="en-US"/>
        </w:rPr>
        <w:t>first discontinuation of topical corticosteroids</w:t>
      </w:r>
      <w:r w:rsidR="00341EE2" w:rsidRPr="00341EE2">
        <w:rPr>
          <w:b/>
          <w:lang w:val="en-US"/>
        </w:rPr>
        <w:t xml:space="preserve"> </w:t>
      </w:r>
      <w:r w:rsidRPr="00341EE2">
        <w:rPr>
          <w:lang w:val="en-US"/>
        </w:rPr>
        <w:t>with an EASI 75 response was 57 days for the</w:t>
      </w:r>
      <w:r w:rsidR="00341EE2">
        <w:rPr>
          <w:lang w:val="en-US"/>
        </w:rPr>
        <w:t xml:space="preserve"> u</w:t>
      </w:r>
      <w:r w:rsidRPr="00341EE2">
        <w:rPr>
          <w:lang w:val="en-US"/>
        </w:rPr>
        <w:t xml:space="preserve">padacitinib 30 mg group, 88 days for the </w:t>
      </w:r>
      <w:r w:rsidR="00341EE2">
        <w:rPr>
          <w:lang w:val="en-US"/>
        </w:rPr>
        <w:t>u</w:t>
      </w:r>
      <w:r w:rsidRPr="00341EE2">
        <w:rPr>
          <w:lang w:val="en-US"/>
        </w:rPr>
        <w:t>padacitinib 15 mg group, and not observed for the placebo group.</w:t>
      </w:r>
    </w:p>
    <w:p w14:paraId="51E95653" w14:textId="1E484995" w:rsidR="00341EE2" w:rsidRDefault="00341EE2" w:rsidP="00FA5C0A">
      <w:pPr>
        <w:pStyle w:val="FigureTitle"/>
      </w:pPr>
      <w:r>
        <w:t xml:space="preserve">Figure </w:t>
      </w:r>
      <w:fldSimple w:instr=" SEQ Figure \* ARABIC ">
        <w:r w:rsidR="00B51532">
          <w:rPr>
            <w:noProof/>
          </w:rPr>
          <w:t>34</w:t>
        </w:r>
      </w:fldSimple>
      <w:r>
        <w:t>: Study M16-048</w:t>
      </w:r>
      <w:r w:rsidR="00FA5C0A">
        <w:t xml:space="preserve"> Event free probability of discontinuation of topical steroids with an EASI 75 response (observed case/missing imputation analysis</w:t>
      </w:r>
      <w:r w:rsidR="006353BE">
        <w:t>)</w:t>
      </w:r>
    </w:p>
    <w:p w14:paraId="0B65A0C3" w14:textId="4F45AE77" w:rsidR="00E62B8D" w:rsidRDefault="00E62B8D" w:rsidP="00FA5C0A">
      <w:pPr>
        <w:rPr>
          <w:rFonts w:eastAsia="TimesNewRoman" w:cs="TimesNewRoman"/>
          <w:b/>
          <w:lang w:val="en-US"/>
        </w:rPr>
      </w:pPr>
      <w:r w:rsidRPr="00FA5C0A">
        <w:rPr>
          <w:noProof/>
          <w:lang w:val="en-GB" w:eastAsia="en-GB"/>
        </w:rPr>
        <w:drawing>
          <wp:inline distT="0" distB="0" distL="0" distR="0" wp14:anchorId="447A776D" wp14:editId="5CEF37BC">
            <wp:extent cx="5430741" cy="3230652"/>
            <wp:effectExtent l="0" t="0" r="0" b="8255"/>
            <wp:docPr id="209" name="Picture 209" descr="Study M16-048 Event free probability of discontinuation of topical steroids with an EASI 75 response (observed case/missing imputation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Study M16-048 Event free probability of discontinuation of topical steroids with an EASI 75 response (observed case/missing imputation analysis)"/>
                    <pic:cNvPicPr>
                      <a:picLocks noChangeAspect="1" noChangeArrowheads="1"/>
                    </pic:cNvPicPr>
                  </pic:nvPicPr>
                  <pic:blipFill rotWithShape="1">
                    <a:blip r:embed="rId71">
                      <a:extLst>
                        <a:ext uri="{28A0092B-C50C-407E-A947-70E740481C1C}">
                          <a14:useLocalDpi xmlns:a14="http://schemas.microsoft.com/office/drawing/2010/main" val="0"/>
                        </a:ext>
                      </a:extLst>
                    </a:blip>
                    <a:srcRect l="13070" r="11990" b="17998"/>
                    <a:stretch/>
                  </pic:blipFill>
                  <pic:spPr bwMode="auto">
                    <a:xfrm>
                      <a:off x="0" y="0"/>
                      <a:ext cx="5501601" cy="3272805"/>
                    </a:xfrm>
                    <a:prstGeom prst="rect">
                      <a:avLst/>
                    </a:prstGeom>
                    <a:noFill/>
                    <a:ln>
                      <a:noFill/>
                    </a:ln>
                    <a:extLst>
                      <a:ext uri="{53640926-AAD7-44D8-BBD7-CCE9431645EC}">
                        <a14:shadowObscured xmlns:a14="http://schemas.microsoft.com/office/drawing/2010/main"/>
                      </a:ext>
                    </a:extLst>
                  </pic:spPr>
                </pic:pic>
              </a:graphicData>
            </a:graphic>
          </wp:inline>
        </w:drawing>
      </w:r>
    </w:p>
    <w:p w14:paraId="59E80E47" w14:textId="0995EF08" w:rsidR="006353BE" w:rsidRDefault="006353BE" w:rsidP="006353BE">
      <w:pPr>
        <w:pStyle w:val="FigureDescription"/>
      </w:pPr>
      <w:r>
        <w:t>Abbreviations: CI = confidence interval; EASI = Eczema Area and Severity Index; PBO = placebo; TCS = topical corticosteroids; UPA = upadacitinib/</w:t>
      </w:r>
    </w:p>
    <w:p w14:paraId="3F42E72B" w14:textId="79DACC99" w:rsidR="006353BE" w:rsidRPr="006353BE" w:rsidRDefault="006353BE" w:rsidP="006353BE">
      <w:pPr>
        <w:pStyle w:val="FigureDescription"/>
      </w:pPr>
      <w:r>
        <w:t>Discontinuation of all topical corticosteroids was defined as when the subject stops all topical corticosteroids treatment for more than 7 consecutive days. Days after the start of systemic rescue were not considered as topical corticosteroid-free days.</w:t>
      </w:r>
    </w:p>
    <w:p w14:paraId="5B961D5B" w14:textId="1E5017EA" w:rsidR="00E62B8D" w:rsidRPr="00B6044E" w:rsidRDefault="00FA5C0A" w:rsidP="00E62B8D">
      <w:pPr>
        <w:rPr>
          <w:lang w:val="en-US"/>
        </w:rPr>
      </w:pPr>
      <w:r>
        <w:rPr>
          <w:lang w:val="en-US"/>
        </w:rPr>
        <w:t>The clinical evaluation</w:t>
      </w:r>
      <w:r w:rsidR="00E62B8D" w:rsidRPr="00F94B5C">
        <w:rPr>
          <w:lang w:val="en-US"/>
        </w:rPr>
        <w:t xml:space="preserve"> noted that although improvement in pruritus was maintained till 52 weeks for patients with worst prurit</w:t>
      </w:r>
      <w:r>
        <w:rPr>
          <w:lang w:val="en-US"/>
        </w:rPr>
        <w:t>us (NRS weekly average &gt; 4) at B</w:t>
      </w:r>
      <w:r w:rsidR="00E62B8D" w:rsidRPr="00F94B5C">
        <w:rPr>
          <w:lang w:val="en-US"/>
        </w:rPr>
        <w:t>aseline, there was a trend indicating reduced efficacy over time</w:t>
      </w:r>
      <w:r w:rsidR="00E62B8D">
        <w:rPr>
          <w:lang w:val="en-US"/>
        </w:rPr>
        <w:t>:</w:t>
      </w:r>
    </w:p>
    <w:p w14:paraId="423CB190" w14:textId="505E0C93" w:rsidR="00E62B8D" w:rsidRPr="00FA5C0A" w:rsidRDefault="00E62B8D" w:rsidP="00FA5C0A">
      <w:pPr>
        <w:pStyle w:val="ListBullet"/>
      </w:pPr>
      <w:r w:rsidRPr="00FA5C0A">
        <w:t>For placebo subjects who started treatment with</w:t>
      </w:r>
      <w:r w:rsidR="00FA5C0A">
        <w:t xml:space="preserve"> u</w:t>
      </w:r>
      <w:r w:rsidRPr="00FA5C0A">
        <w:t>padacitinib aft</w:t>
      </w:r>
      <w:r w:rsidR="00FA5C0A">
        <w:t>er 16 weeks, response rate for u</w:t>
      </w:r>
      <w:r w:rsidRPr="00FA5C0A">
        <w:t>padacitinib 15</w:t>
      </w:r>
      <w:r w:rsidR="00FA5C0A">
        <w:t xml:space="preserve"> </w:t>
      </w:r>
      <w:r w:rsidRPr="00FA5C0A">
        <w:t>mg and 30</w:t>
      </w:r>
      <w:r w:rsidR="00FA5C0A">
        <w:t xml:space="preserve"> </w:t>
      </w:r>
      <w:r w:rsidRPr="00FA5C0A">
        <w:t>mg groups was 71</w:t>
      </w:r>
      <w:r w:rsidR="00FA5C0A">
        <w:t>.5% and 82.4%, respectively at W</w:t>
      </w:r>
      <w:r w:rsidRPr="00FA5C0A">
        <w:t>eek 20 while it was 50</w:t>
      </w:r>
      <w:r w:rsidR="00FA5C0A">
        <w:t>.6% and 70.5%, respectively at W</w:t>
      </w:r>
      <w:r w:rsidRPr="00FA5C0A">
        <w:t>eek 52</w:t>
      </w:r>
      <w:r w:rsidR="00FA5C0A">
        <w:t>.</w:t>
      </w:r>
    </w:p>
    <w:p w14:paraId="710906AD" w14:textId="007F20BD" w:rsidR="00E62B8D" w:rsidRDefault="00E62B8D" w:rsidP="00FA5C0A">
      <w:pPr>
        <w:pStyle w:val="ListBullet"/>
      </w:pPr>
      <w:r w:rsidRPr="00FA5C0A">
        <w:t>For pat</w:t>
      </w:r>
      <w:r w:rsidR="00FA5C0A">
        <w:t>ients who continued with their u</w:t>
      </w:r>
      <w:r w:rsidRPr="00FA5C0A">
        <w:t>padacitinib treatment from</w:t>
      </w:r>
      <w:r w:rsidR="00921F5C" w:rsidRPr="00FA5C0A">
        <w:t xml:space="preserve"> double blind </w:t>
      </w:r>
      <w:r w:rsidRPr="00FA5C0A">
        <w:t xml:space="preserve">phase, response </w:t>
      </w:r>
      <w:r w:rsidR="00FA5C0A">
        <w:t>rates were 53.5% and 66.5% for u</w:t>
      </w:r>
      <w:r w:rsidRPr="00FA5C0A">
        <w:t>padacitinib 15</w:t>
      </w:r>
      <w:r w:rsidR="00FA5C0A">
        <w:t xml:space="preserve"> </w:t>
      </w:r>
      <w:r w:rsidRPr="00FA5C0A">
        <w:t>mg and 30</w:t>
      </w:r>
      <w:r w:rsidR="00FA5C0A">
        <w:t xml:space="preserve"> mg groups, respectively at W</w:t>
      </w:r>
      <w:r w:rsidRPr="00FA5C0A">
        <w:t>eek 20, w</w:t>
      </w:r>
      <w:r w:rsidR="00FA5C0A">
        <w:t>hile it was 39.2% and 56.3% at W</w:t>
      </w:r>
      <w:r w:rsidRPr="00FA5C0A">
        <w:t>eek 52.</w:t>
      </w:r>
    </w:p>
    <w:p w14:paraId="749B8370" w14:textId="0FF83FEE" w:rsidR="00462FB8" w:rsidRDefault="00462FB8" w:rsidP="00462FB8">
      <w:pPr>
        <w:pStyle w:val="Heading4"/>
        <w:spacing w:before="0" w:line="240" w:lineRule="auto"/>
        <w:rPr>
          <w:szCs w:val="22"/>
        </w:rPr>
      </w:pPr>
      <w:bookmarkStart w:id="130" w:name="_Ref64447117"/>
      <w:bookmarkStart w:id="131" w:name="_Ref125693608"/>
      <w:r>
        <w:rPr>
          <w:szCs w:val="22"/>
        </w:rPr>
        <w:t xml:space="preserve">Study </w:t>
      </w:r>
      <w:r w:rsidRPr="00535B09">
        <w:rPr>
          <w:szCs w:val="22"/>
        </w:rPr>
        <w:t>M16-</w:t>
      </w:r>
      <w:bookmarkStart w:id="132" w:name="_Toc290888505"/>
      <w:bookmarkStart w:id="133" w:name="_Toc416353721"/>
      <w:bookmarkEnd w:id="130"/>
      <w:r>
        <w:rPr>
          <w:szCs w:val="22"/>
        </w:rPr>
        <w:t>048 (supportive study)</w:t>
      </w:r>
      <w:bookmarkEnd w:id="131"/>
    </w:p>
    <w:p w14:paraId="09CE5BD7" w14:textId="792535CD" w:rsidR="00462FB8" w:rsidRPr="00535B09" w:rsidRDefault="00462FB8" w:rsidP="00462FB8">
      <w:pPr>
        <w:rPr>
          <w:lang w:val="en-US"/>
        </w:rPr>
      </w:pPr>
      <w:r>
        <w:rPr>
          <w:lang w:val="en-US"/>
        </w:rPr>
        <w:t>Study M16-048 was a Phase II</w:t>
      </w:r>
      <w:r w:rsidRPr="00535B09">
        <w:rPr>
          <w:lang w:val="en-US"/>
        </w:rPr>
        <w:t>b, randomised, double-blind, parallel-group,</w:t>
      </w:r>
      <w:r>
        <w:rPr>
          <w:lang w:val="en-US"/>
        </w:rPr>
        <w:t xml:space="preserve"> placebo-controlled multicentre</w:t>
      </w:r>
      <w:r w:rsidRPr="00462FB8">
        <w:t xml:space="preserve"> study of 88 weeks, to evaluate the safety and efficacy of </w:t>
      </w:r>
      <w:r>
        <w:t>upadacitinib</w:t>
      </w:r>
      <w:r w:rsidRPr="00462FB8">
        <w:t xml:space="preserve"> in adult subjects with moderate to severe </w:t>
      </w:r>
      <w:r>
        <w:t>atopic dermatitis</w:t>
      </w:r>
      <w:r w:rsidRPr="00462FB8">
        <w:t xml:space="preserve">. </w:t>
      </w:r>
    </w:p>
    <w:p w14:paraId="72210B90" w14:textId="6924211C" w:rsidR="00462FB8" w:rsidRPr="00462FB8" w:rsidRDefault="00462FB8" w:rsidP="00462FB8">
      <w:r w:rsidRPr="00462FB8">
        <w:t xml:space="preserve">The study design </w:t>
      </w:r>
      <w:r>
        <w:t xml:space="preserve">included a </w:t>
      </w:r>
      <w:r w:rsidRPr="00462FB8">
        <w:t xml:space="preserve">35-day maximum screening period; 16-week </w:t>
      </w:r>
      <w:r>
        <w:t>double blind</w:t>
      </w:r>
      <w:r w:rsidRPr="00462FB8">
        <w:t xml:space="preserve"> treatment period (Period 1); 72-week </w:t>
      </w:r>
      <w:r>
        <w:t>double blind</w:t>
      </w:r>
      <w:r w:rsidRPr="00462FB8">
        <w:t xml:space="preserve"> treatment period (Period 2)</w:t>
      </w:r>
      <w:r>
        <w:t xml:space="preserve"> (that is, a b</w:t>
      </w:r>
      <w:r w:rsidRPr="00462FB8">
        <w:t xml:space="preserve">linded </w:t>
      </w:r>
      <w:r>
        <w:t>e</w:t>
      </w:r>
      <w:r w:rsidRPr="00462FB8">
        <w:t>xtension</w:t>
      </w:r>
      <w:r>
        <w:t xml:space="preserve"> p</w:t>
      </w:r>
      <w:r w:rsidRPr="00462FB8">
        <w:t>eriod.</w:t>
      </w:r>
    </w:p>
    <w:p w14:paraId="2C81D1BD" w14:textId="760557AD" w:rsidR="00462FB8" w:rsidRPr="00462FB8" w:rsidRDefault="00462FB8" w:rsidP="00462FB8">
      <w:r>
        <w:t xml:space="preserve">A </w:t>
      </w:r>
      <w:r w:rsidRPr="00462FB8">
        <w:t>30-day follow-up period (call or visit) to determine the status of any ongoing or new</w:t>
      </w:r>
      <w:r>
        <w:t xml:space="preserve"> adverse events (AEs) or </w:t>
      </w:r>
      <w:r w:rsidRPr="00462FB8">
        <w:t>serious adverse events (SAEs) were to be done.</w:t>
      </w:r>
    </w:p>
    <w:p w14:paraId="0B5813E2" w14:textId="4067B3A4" w:rsidR="00462FB8" w:rsidRPr="00462FB8" w:rsidRDefault="00462FB8" w:rsidP="00462FB8">
      <w:pPr>
        <w:pStyle w:val="Heading5"/>
      </w:pPr>
      <w:r>
        <w:lastRenderedPageBreak/>
        <w:t>Primary objective</w:t>
      </w:r>
    </w:p>
    <w:p w14:paraId="6FF63BE4" w14:textId="1450A57B" w:rsidR="00462FB8" w:rsidRDefault="00462FB8" w:rsidP="00462FB8">
      <w:pPr>
        <w:rPr>
          <w:lang w:val="en-US"/>
        </w:rPr>
      </w:pPr>
      <w:r>
        <w:t>The primary objective was t</w:t>
      </w:r>
      <w:r w:rsidRPr="00CD4F32">
        <w:rPr>
          <w:lang w:val="en-US"/>
        </w:rPr>
        <w:t xml:space="preserve">o evaluate the safety and efficacy of multiple doses of </w:t>
      </w:r>
      <w:r>
        <w:rPr>
          <w:lang w:val="en-US"/>
        </w:rPr>
        <w:t>u</w:t>
      </w:r>
      <w:r w:rsidRPr="00CD4F32">
        <w:rPr>
          <w:lang w:val="en-US"/>
        </w:rPr>
        <w:t>padacitinib monotherapy versus placebo</w:t>
      </w:r>
      <w:r>
        <w:rPr>
          <w:lang w:val="en-US"/>
        </w:rPr>
        <w:t>,</w:t>
      </w:r>
      <w:r w:rsidRPr="00CD4F32">
        <w:rPr>
          <w:lang w:val="en-US"/>
        </w:rPr>
        <w:t xml:space="preserve"> in the treatment of adults with moderate to severe </w:t>
      </w:r>
      <w:r>
        <w:rPr>
          <w:lang w:val="en-US"/>
        </w:rPr>
        <w:t>atopic dermatitis.</w:t>
      </w:r>
    </w:p>
    <w:p w14:paraId="74E90B70" w14:textId="0FCA9CA4" w:rsidR="00462FB8" w:rsidRPr="00462FB8" w:rsidRDefault="00462FB8" w:rsidP="00462FB8">
      <w:pPr>
        <w:pStyle w:val="Heading5"/>
        <w:rPr>
          <w:rFonts w:eastAsia="Cambria"/>
        </w:rPr>
      </w:pPr>
      <w:r>
        <w:rPr>
          <w:rFonts w:eastAsia="Cambria"/>
        </w:rPr>
        <w:t>Inclusion criteria</w:t>
      </w:r>
    </w:p>
    <w:p w14:paraId="54648786" w14:textId="77777777" w:rsidR="00462FB8" w:rsidRPr="00462FB8" w:rsidRDefault="00462FB8" w:rsidP="00462FB8">
      <w:r w:rsidRPr="00462FB8">
        <w:t xml:space="preserve">Inclusion criteria included: </w:t>
      </w:r>
    </w:p>
    <w:p w14:paraId="42947AD6" w14:textId="0C87AF43" w:rsidR="00462FB8" w:rsidRDefault="00462FB8" w:rsidP="00462FB8">
      <w:pPr>
        <w:pStyle w:val="ListBullet"/>
        <w:rPr>
          <w:lang w:val="en-US"/>
        </w:rPr>
      </w:pPr>
      <w:r>
        <w:rPr>
          <w:lang w:val="en-US"/>
        </w:rPr>
        <w:t>Age between 18 and 75 years old;</w:t>
      </w:r>
    </w:p>
    <w:p w14:paraId="0E4BE640" w14:textId="4C7D3B1F" w:rsidR="00462FB8" w:rsidRPr="00462FB8" w:rsidRDefault="00462FB8" w:rsidP="00462FB8">
      <w:pPr>
        <w:pStyle w:val="ListBullet"/>
        <w:rPr>
          <w:rFonts w:eastAsia="TimesNewRoman" w:cs="TimesNewRoman"/>
          <w:lang w:val="en-US"/>
        </w:rPr>
      </w:pPr>
      <w:r>
        <w:rPr>
          <w:rFonts w:eastAsia="TimesNewRoman" w:cs="TimesNewRoman"/>
          <w:lang w:val="en-US"/>
        </w:rPr>
        <w:t>A</w:t>
      </w:r>
      <w:r w:rsidRPr="006C6256">
        <w:rPr>
          <w:rFonts w:eastAsia="TimesNewRoman" w:cs="TimesNewRoman"/>
          <w:lang w:val="en-US"/>
        </w:rPr>
        <w:t xml:space="preserve"> diagnosis of </w:t>
      </w:r>
      <w:r>
        <w:rPr>
          <w:rFonts w:eastAsia="TimesNewRoman" w:cs="TimesNewRoman"/>
          <w:lang w:val="en-US"/>
        </w:rPr>
        <w:t>atopic dermatitis</w:t>
      </w:r>
      <w:r w:rsidRPr="006C6256">
        <w:rPr>
          <w:rFonts w:eastAsia="TimesNewRoman" w:cs="TimesNewRoman"/>
          <w:lang w:val="en-US"/>
        </w:rPr>
        <w:t xml:space="preserve"> confirmed by a dermatologist (according to the Hanifin and Rajka criteria)</w:t>
      </w:r>
      <w:r>
        <w:rPr>
          <w:rFonts w:eastAsia="TimesNewRoman" w:cs="TimesNewRoman"/>
          <w:lang w:val="en-US"/>
        </w:rPr>
        <w:t>,</w:t>
      </w:r>
      <w:r w:rsidRPr="00462FB8">
        <w:rPr>
          <w:rFonts w:eastAsia="TimesNewRoman" w:cs="TimesNewRoman"/>
          <w:vertAlign w:val="superscript"/>
          <w:lang w:val="en-US"/>
        </w:rPr>
        <w:fldChar w:fldCharType="begin"/>
      </w:r>
      <w:r w:rsidRPr="00462FB8">
        <w:rPr>
          <w:rFonts w:eastAsia="TimesNewRoman" w:cs="TimesNewRoman"/>
          <w:vertAlign w:val="superscript"/>
          <w:lang w:val="en-US"/>
        </w:rPr>
        <w:instrText xml:space="preserve"> NOTEREF _Ref120700524 </w:instrText>
      </w:r>
      <w:r>
        <w:rPr>
          <w:rFonts w:eastAsia="TimesNewRoman" w:cs="TimesNewRoman"/>
          <w:vertAlign w:val="superscript"/>
          <w:lang w:val="en-US"/>
        </w:rPr>
        <w:instrText xml:space="preserve"> \* MERGEFORMAT </w:instrText>
      </w:r>
      <w:r w:rsidRPr="00462FB8">
        <w:rPr>
          <w:rFonts w:eastAsia="TimesNewRoman" w:cs="TimesNewRoman"/>
          <w:vertAlign w:val="superscript"/>
          <w:lang w:val="en-US"/>
        </w:rPr>
        <w:fldChar w:fldCharType="separate"/>
      </w:r>
      <w:r w:rsidR="00B51532">
        <w:rPr>
          <w:rFonts w:eastAsia="TimesNewRoman" w:cs="TimesNewRoman"/>
          <w:vertAlign w:val="superscript"/>
          <w:lang w:val="en-US"/>
        </w:rPr>
        <w:t>1</w:t>
      </w:r>
      <w:r w:rsidRPr="00462FB8">
        <w:rPr>
          <w:rFonts w:eastAsia="TimesNewRoman" w:cs="TimesNewRoman"/>
          <w:vertAlign w:val="superscript"/>
          <w:lang w:val="en-US"/>
        </w:rPr>
        <w:fldChar w:fldCharType="end"/>
      </w:r>
      <w:r>
        <w:rPr>
          <w:rFonts w:eastAsia="TimesNewRoman" w:cs="TimesNewRoman"/>
          <w:lang w:val="en-US"/>
        </w:rPr>
        <w:t xml:space="preserve"> (see </w:t>
      </w:r>
      <w:r>
        <w:rPr>
          <w:rFonts w:eastAsia="TimesNewRoman" w:cs="TimesNewRoman"/>
          <w:lang w:val="en-US"/>
        </w:rPr>
        <w:fldChar w:fldCharType="begin"/>
      </w:r>
      <w:r>
        <w:rPr>
          <w:rFonts w:eastAsia="TimesNewRoman" w:cs="TimesNewRoman"/>
          <w:lang w:val="en-US"/>
        </w:rPr>
        <w:instrText xml:space="preserve"> REF _Ref120615213 </w:instrText>
      </w:r>
      <w:r>
        <w:rPr>
          <w:rFonts w:eastAsia="TimesNewRoman" w:cs="TimesNewRoman"/>
          <w:lang w:val="en-US"/>
        </w:rPr>
        <w:fldChar w:fldCharType="separate"/>
      </w:r>
      <w:r w:rsidR="00B51532">
        <w:t xml:space="preserve">Table </w:t>
      </w:r>
      <w:r w:rsidR="00B51532">
        <w:rPr>
          <w:noProof/>
        </w:rPr>
        <w:t>1</w:t>
      </w:r>
      <w:r>
        <w:rPr>
          <w:rFonts w:eastAsia="TimesNewRoman" w:cs="TimesNewRoman"/>
          <w:lang w:val="en-US"/>
        </w:rPr>
        <w:fldChar w:fldCharType="end"/>
      </w:r>
      <w:r>
        <w:rPr>
          <w:rFonts w:eastAsia="TimesNewRoman" w:cs="TimesNewRoman"/>
          <w:lang w:val="en-US"/>
        </w:rPr>
        <w:t>);</w:t>
      </w:r>
      <w:r w:rsidRPr="006C6256">
        <w:rPr>
          <w:rFonts w:eastAsia="TimesNewRoman" w:cs="TimesNewRoman"/>
          <w:lang w:val="en-US"/>
        </w:rPr>
        <w:t xml:space="preserve"> </w:t>
      </w:r>
    </w:p>
    <w:p w14:paraId="1C27BA51" w14:textId="444B4BA6" w:rsidR="00462FB8" w:rsidRPr="00462FB8" w:rsidRDefault="00462FB8" w:rsidP="00462FB8">
      <w:pPr>
        <w:pStyle w:val="ListBullet"/>
        <w:rPr>
          <w:rFonts w:eastAsia="TimesNewRoman" w:cs="TimesNewRoman"/>
          <w:lang w:val="en-US"/>
        </w:rPr>
      </w:pPr>
      <w:r w:rsidRPr="006C6256">
        <w:rPr>
          <w:rFonts w:eastAsia="TimesNewRoman" w:cs="TimesNewRoman"/>
          <w:lang w:val="en-US"/>
        </w:rPr>
        <w:t>Had onset of symptoms of at least 1 year prior to Baseline, and moderate or severe disease defined by an EASI ≥ 16, body surface area (BSA) ≥ 10% and an Investigator's Global Assessment (IGA) score ≥ 3;</w:t>
      </w:r>
    </w:p>
    <w:p w14:paraId="59736C77" w14:textId="1AC5C13E" w:rsidR="00462FB8" w:rsidRPr="00462FB8" w:rsidRDefault="00462FB8" w:rsidP="00462FB8">
      <w:pPr>
        <w:pStyle w:val="ListBullet"/>
        <w:rPr>
          <w:rFonts w:eastAsia="TimesNewRoman" w:cs="TimesNewRoman"/>
          <w:lang w:val="en-US"/>
        </w:rPr>
      </w:pPr>
      <w:r w:rsidRPr="006C6256">
        <w:rPr>
          <w:rFonts w:eastAsia="TimesNewRoman" w:cs="TimesNewRoman"/>
          <w:lang w:val="en-US"/>
        </w:rPr>
        <w:t xml:space="preserve">Subjects were required to have had an inadequate response to treatment with topical </w:t>
      </w:r>
      <w:r>
        <w:rPr>
          <w:rFonts w:eastAsia="TimesNewRoman" w:cs="TimesNewRoman"/>
          <w:lang w:val="en-US"/>
        </w:rPr>
        <w:t xml:space="preserve">corticosteroids, topical calcineurin inhibitors, </w:t>
      </w:r>
      <w:r w:rsidRPr="006C6256">
        <w:rPr>
          <w:rFonts w:eastAsia="TimesNewRoman" w:cs="TimesNewRoman"/>
          <w:lang w:val="en-US"/>
        </w:rPr>
        <w:t>or were permitted to enroll if topical treatments were medically inadvisable (</w:t>
      </w:r>
      <w:r>
        <w:rPr>
          <w:rFonts w:eastAsia="TimesNewRoman" w:cs="TimesNewRoman"/>
          <w:lang w:val="en-US"/>
        </w:rPr>
        <w:t>for example,</w:t>
      </w:r>
      <w:r w:rsidRPr="006C6256">
        <w:rPr>
          <w:rFonts w:eastAsia="TimesNewRoman" w:cs="TimesNewRoman"/>
          <w:lang w:val="en-US"/>
        </w:rPr>
        <w:t xml:space="preserve"> because of important side effects or safety risks);</w:t>
      </w:r>
    </w:p>
    <w:p w14:paraId="0DDAB18E" w14:textId="427F263C" w:rsidR="00462FB8" w:rsidRPr="00462FB8" w:rsidRDefault="00462FB8" w:rsidP="00462FB8">
      <w:pPr>
        <w:pStyle w:val="ListBullet"/>
        <w:rPr>
          <w:rFonts w:eastAsia="TimesNewRoman" w:cs="TimesNewRoman"/>
          <w:lang w:val="en-US"/>
        </w:rPr>
      </w:pPr>
      <w:r w:rsidRPr="006C6256">
        <w:rPr>
          <w:rFonts w:eastAsia="TimesNewRoman" w:cs="TimesNewRoman"/>
          <w:lang w:val="en-US"/>
        </w:rPr>
        <w:t>Subjects were also required to use an additive-free, bland emollient twice daily for at least 7 days prior to Baseline.</w:t>
      </w:r>
    </w:p>
    <w:p w14:paraId="54C9C8EB" w14:textId="35B0810C" w:rsidR="00462FB8" w:rsidRDefault="00462FB8" w:rsidP="00462FB8">
      <w:pPr>
        <w:pStyle w:val="Heading5"/>
        <w:rPr>
          <w:rFonts w:eastAsia="TimesNewRoman"/>
          <w:lang w:val="en-US"/>
        </w:rPr>
      </w:pPr>
      <w:r>
        <w:rPr>
          <w:rFonts w:eastAsia="TimesNewRoman"/>
          <w:lang w:val="en-US"/>
        </w:rPr>
        <w:t>Exclusion criteria</w:t>
      </w:r>
    </w:p>
    <w:p w14:paraId="19DA3E06" w14:textId="76F94B47" w:rsidR="00462FB8" w:rsidRPr="00462FB8" w:rsidRDefault="00462FB8" w:rsidP="00462FB8">
      <w:r w:rsidRPr="00462FB8">
        <w:t>Exclusion criteria were:</w:t>
      </w:r>
    </w:p>
    <w:p w14:paraId="247F8417" w14:textId="4A122BB4" w:rsidR="00462FB8" w:rsidRPr="00462FB8" w:rsidRDefault="00462FB8" w:rsidP="00462FB8">
      <w:pPr>
        <w:pStyle w:val="ListBullet"/>
        <w:rPr>
          <w:lang w:val="en-US"/>
        </w:rPr>
      </w:pPr>
      <w:r>
        <w:rPr>
          <w:lang w:val="en-US"/>
        </w:rPr>
        <w:t>P</w:t>
      </w:r>
      <w:r w:rsidRPr="00037DC7">
        <w:rPr>
          <w:lang w:val="en-US"/>
        </w:rPr>
        <w:t>rior exposure to an</w:t>
      </w:r>
      <w:r>
        <w:rPr>
          <w:lang w:val="en-US"/>
        </w:rPr>
        <w:t>y Janus kinase (JAK) inhibitor;</w:t>
      </w:r>
    </w:p>
    <w:p w14:paraId="2056D851" w14:textId="7E6235CE" w:rsidR="00462FB8" w:rsidRPr="00462FB8" w:rsidRDefault="00462FB8" w:rsidP="00462FB8">
      <w:pPr>
        <w:pStyle w:val="ListBullet"/>
        <w:rPr>
          <w:lang w:val="en-US"/>
        </w:rPr>
      </w:pPr>
      <w:r w:rsidRPr="00037DC7">
        <w:rPr>
          <w:lang w:val="en-US"/>
        </w:rPr>
        <w:t xml:space="preserve">Treatment with </w:t>
      </w:r>
      <w:r>
        <w:rPr>
          <w:rFonts w:eastAsia="TimesNewRoman" w:cs="TimesNewRoman"/>
          <w:lang w:val="en-US"/>
        </w:rPr>
        <w:t>topical corticosteroids</w:t>
      </w:r>
      <w:r w:rsidRPr="00037DC7">
        <w:rPr>
          <w:lang w:val="en-US"/>
        </w:rPr>
        <w:t xml:space="preserve">, </w:t>
      </w:r>
      <w:r>
        <w:rPr>
          <w:rFonts w:eastAsia="TimesNewRoman" w:cs="TimesNewRoman"/>
          <w:lang w:val="en-US"/>
        </w:rPr>
        <w:t>topical calcineurin inhibitors</w:t>
      </w:r>
      <w:r w:rsidRPr="00037DC7">
        <w:rPr>
          <w:lang w:val="en-US"/>
        </w:rPr>
        <w:t xml:space="preserve">, prescription moisturisers or moisturisers containing additives such as ceramide, hyaluronic acid, urea, or filaggrin within 10 days prior to Baseline; </w:t>
      </w:r>
    </w:p>
    <w:p w14:paraId="50247D1C" w14:textId="4683A820" w:rsidR="00462FB8" w:rsidRPr="00462FB8" w:rsidRDefault="00462FB8" w:rsidP="00462FB8">
      <w:pPr>
        <w:pStyle w:val="ListBullet"/>
        <w:rPr>
          <w:lang w:val="en-US"/>
        </w:rPr>
      </w:pPr>
      <w:r w:rsidRPr="00037DC7">
        <w:rPr>
          <w:lang w:val="en-US"/>
        </w:rPr>
        <w:t xml:space="preserve">Any prior exposure to dupilumab or exposure to systemic therapies for </w:t>
      </w:r>
      <w:r w:rsidR="00DD6D4D">
        <w:rPr>
          <w:lang w:val="en-US"/>
        </w:rPr>
        <w:t>atopic dermatitis</w:t>
      </w:r>
      <w:r w:rsidR="00DD6D4D" w:rsidRPr="00037DC7">
        <w:rPr>
          <w:lang w:val="en-US"/>
        </w:rPr>
        <w:t xml:space="preserve"> </w:t>
      </w:r>
      <w:r w:rsidRPr="00037DC7">
        <w:rPr>
          <w:lang w:val="en-US"/>
        </w:rPr>
        <w:t>including corticosteroids, methotrexate, cyclosporine, azathioprine, phosphodiesterase type 4 (PDE4)-inhibitors and mycophenolate mofetil within 4</w:t>
      </w:r>
      <w:r w:rsidR="00DD6D4D">
        <w:rPr>
          <w:lang w:val="en-US"/>
        </w:rPr>
        <w:t> </w:t>
      </w:r>
      <w:r w:rsidRPr="00037DC7">
        <w:rPr>
          <w:lang w:val="en-US"/>
        </w:rPr>
        <w:t>weeks prior to Baseline</w:t>
      </w:r>
      <w:r>
        <w:rPr>
          <w:lang w:val="en-US"/>
        </w:rPr>
        <w:t>;</w:t>
      </w:r>
    </w:p>
    <w:p w14:paraId="22E08306" w14:textId="77777777" w:rsidR="00462FB8" w:rsidRPr="00037DC7" w:rsidRDefault="00462FB8" w:rsidP="00462FB8">
      <w:pPr>
        <w:pStyle w:val="ListBullet"/>
        <w:rPr>
          <w:u w:val="single"/>
          <w:lang w:val="en-US"/>
        </w:rPr>
      </w:pPr>
      <w:r w:rsidRPr="00037DC7">
        <w:rPr>
          <w:lang w:val="en-US"/>
        </w:rPr>
        <w:t>Abnormal laboratory values that met the following criteria at screening:</w:t>
      </w:r>
    </w:p>
    <w:p w14:paraId="1A0F4D95" w14:textId="77777777" w:rsidR="00462FB8" w:rsidRPr="00037DC7" w:rsidRDefault="00462FB8" w:rsidP="00462FB8">
      <w:pPr>
        <w:pStyle w:val="ListBullet2"/>
        <w:rPr>
          <w:lang w:val="en-US"/>
        </w:rPr>
      </w:pPr>
      <w:r w:rsidRPr="00037DC7">
        <w:rPr>
          <w:lang w:val="en-US"/>
        </w:rPr>
        <w:t>serum aspartate transaminase (AST) &gt; 2 × upper limit of normal (ULN);</w:t>
      </w:r>
    </w:p>
    <w:p w14:paraId="581FFCC8" w14:textId="43D5A479" w:rsidR="00462FB8" w:rsidRPr="00037DC7" w:rsidRDefault="00462FB8" w:rsidP="00462FB8">
      <w:pPr>
        <w:pStyle w:val="ListBullet2"/>
        <w:rPr>
          <w:u w:val="single"/>
          <w:lang w:val="en-US"/>
        </w:rPr>
      </w:pPr>
      <w:r w:rsidRPr="00037DC7">
        <w:rPr>
          <w:lang w:val="en-US"/>
        </w:rPr>
        <w:t>serum alanine transaminase (ALT) &gt; 2 × ULN;</w:t>
      </w:r>
    </w:p>
    <w:p w14:paraId="5E317293" w14:textId="76138F6B" w:rsidR="00462FB8" w:rsidRPr="00037DC7" w:rsidRDefault="00462FB8" w:rsidP="00462FB8">
      <w:pPr>
        <w:pStyle w:val="ListBullet2"/>
        <w:rPr>
          <w:u w:val="single"/>
          <w:lang w:val="en-US"/>
        </w:rPr>
      </w:pPr>
      <w:r w:rsidRPr="00037DC7">
        <w:rPr>
          <w:lang w:val="en-US"/>
        </w:rPr>
        <w:t>estimated glomerular filtration rate by simplified 4-variable Modification of Diet in Renal Disease formula &lt; 40 mL/min/1.73 m</w:t>
      </w:r>
      <w:r w:rsidRPr="00037DC7">
        <w:rPr>
          <w:vertAlign w:val="superscript"/>
          <w:lang w:val="en-US"/>
        </w:rPr>
        <w:t>2</w:t>
      </w:r>
      <w:r w:rsidRPr="00037DC7">
        <w:rPr>
          <w:lang w:val="en-US"/>
        </w:rPr>
        <w:t>;</w:t>
      </w:r>
    </w:p>
    <w:p w14:paraId="2A055D27" w14:textId="6771F76D" w:rsidR="00462FB8" w:rsidRPr="00037DC7" w:rsidRDefault="00462FB8" w:rsidP="00462FB8">
      <w:pPr>
        <w:pStyle w:val="ListBullet2"/>
        <w:rPr>
          <w:u w:val="single"/>
          <w:lang w:val="en-US"/>
        </w:rPr>
      </w:pPr>
      <w:r w:rsidRPr="00037DC7">
        <w:rPr>
          <w:lang w:val="en-US"/>
        </w:rPr>
        <w:t>total white blood cell count &lt; 2,500/μL;</w:t>
      </w:r>
    </w:p>
    <w:p w14:paraId="2AD35C4A" w14:textId="77777777" w:rsidR="00462FB8" w:rsidRPr="00037DC7" w:rsidRDefault="00462FB8" w:rsidP="00462FB8">
      <w:pPr>
        <w:pStyle w:val="ListBullet2"/>
        <w:rPr>
          <w:u w:val="single"/>
          <w:lang w:val="en-US"/>
        </w:rPr>
      </w:pPr>
      <w:r w:rsidRPr="00037DC7">
        <w:rPr>
          <w:lang w:val="en-US"/>
        </w:rPr>
        <w:t xml:space="preserve">absolute neutrophil count &lt; 1,500/μL; </w:t>
      </w:r>
    </w:p>
    <w:p w14:paraId="0988426D" w14:textId="77777777" w:rsidR="00462FB8" w:rsidRPr="00037DC7" w:rsidRDefault="00462FB8" w:rsidP="00462FB8">
      <w:pPr>
        <w:pStyle w:val="ListBullet2"/>
        <w:rPr>
          <w:u w:val="single"/>
          <w:lang w:val="en-US"/>
        </w:rPr>
      </w:pPr>
      <w:r w:rsidRPr="00037DC7">
        <w:rPr>
          <w:lang w:val="en-US"/>
        </w:rPr>
        <w:t xml:space="preserve">platelet count &lt; 100,000/μL; </w:t>
      </w:r>
    </w:p>
    <w:p w14:paraId="4B690446" w14:textId="77777777" w:rsidR="00462FB8" w:rsidRPr="00037DC7" w:rsidRDefault="00462FB8" w:rsidP="00462FB8">
      <w:pPr>
        <w:pStyle w:val="ListBullet2"/>
        <w:rPr>
          <w:u w:val="single"/>
          <w:lang w:val="en-US"/>
        </w:rPr>
      </w:pPr>
      <w:r w:rsidRPr="00037DC7">
        <w:rPr>
          <w:lang w:val="en-US"/>
        </w:rPr>
        <w:t xml:space="preserve">absolute lymphocyte count &lt; 800/μL; </w:t>
      </w:r>
    </w:p>
    <w:p w14:paraId="21209C0B" w14:textId="0B6E4D15" w:rsidR="00462FB8" w:rsidRPr="00D4606E" w:rsidRDefault="00462FB8" w:rsidP="00D4606E">
      <w:pPr>
        <w:pStyle w:val="ListBullet2"/>
        <w:rPr>
          <w:u w:val="single"/>
          <w:lang w:val="en-US"/>
        </w:rPr>
      </w:pPr>
      <w:r w:rsidRPr="00037DC7">
        <w:rPr>
          <w:lang w:val="en-US"/>
        </w:rPr>
        <w:t>haemoglobin &lt; 10 g/dL.</w:t>
      </w:r>
    </w:p>
    <w:p w14:paraId="7B0F2636" w14:textId="4EE0F01C" w:rsidR="00462FB8" w:rsidRPr="00090F59" w:rsidRDefault="00462FB8" w:rsidP="00D4606E">
      <w:pPr>
        <w:pStyle w:val="Heading5"/>
        <w:rPr>
          <w:lang w:val="en-US"/>
        </w:rPr>
      </w:pPr>
      <w:r w:rsidRPr="00090F59">
        <w:rPr>
          <w:lang w:val="en-US"/>
        </w:rPr>
        <w:t>Study treatments</w:t>
      </w:r>
    </w:p>
    <w:p w14:paraId="0F39EC1E" w14:textId="62264B1A" w:rsidR="00462FB8" w:rsidRDefault="00462FB8" w:rsidP="00462FB8">
      <w:pPr>
        <w:spacing w:line="240" w:lineRule="auto"/>
        <w:rPr>
          <w:lang w:val="en-US"/>
        </w:rPr>
      </w:pPr>
      <w:r w:rsidRPr="00090F59">
        <w:rPr>
          <w:lang w:val="en-US"/>
        </w:rPr>
        <w:t>Subjects who met eligibility criteria were to be randomised in a 1:1:1:1 ratio to one of the four treatment groups</w:t>
      </w:r>
      <w:r w:rsidR="00D4606E">
        <w:rPr>
          <w:lang w:val="en-US"/>
        </w:rPr>
        <w:t xml:space="preserve"> from Day 1 to Week 16 (Period 1)</w:t>
      </w:r>
      <w:r>
        <w:rPr>
          <w:lang w:val="en-US"/>
        </w:rPr>
        <w:t xml:space="preserve">: </w:t>
      </w:r>
    </w:p>
    <w:p w14:paraId="3C23F02C" w14:textId="1E839264" w:rsidR="00462FB8" w:rsidRPr="00090F59" w:rsidRDefault="00462FB8" w:rsidP="00D4606E">
      <w:pPr>
        <w:pStyle w:val="ListBullet"/>
        <w:rPr>
          <w:lang w:val="en-US"/>
        </w:rPr>
      </w:pPr>
      <w:r w:rsidRPr="00090F59">
        <w:rPr>
          <w:lang w:val="en-US"/>
        </w:rPr>
        <w:t>Group 1</w:t>
      </w:r>
      <w:r>
        <w:rPr>
          <w:lang w:val="en-US"/>
        </w:rPr>
        <w:t xml:space="preserve"> </w:t>
      </w:r>
      <w:r w:rsidRPr="00090F59">
        <w:rPr>
          <w:lang w:val="en-US"/>
        </w:rPr>
        <w:t>=</w:t>
      </w:r>
      <w:r>
        <w:rPr>
          <w:lang w:val="en-US"/>
        </w:rPr>
        <w:t xml:space="preserve"> </w:t>
      </w:r>
      <w:r w:rsidR="00D4606E">
        <w:rPr>
          <w:lang w:val="en-US"/>
        </w:rPr>
        <w:t>upadacitinib</w:t>
      </w:r>
      <w:r w:rsidRPr="00090F59">
        <w:rPr>
          <w:lang w:val="en-US"/>
        </w:rPr>
        <w:t xml:space="preserve"> 7.5</w:t>
      </w:r>
      <w:r w:rsidR="00D4606E">
        <w:rPr>
          <w:lang w:val="en-US"/>
        </w:rPr>
        <w:t xml:space="preserve"> </w:t>
      </w:r>
      <w:r w:rsidRPr="00090F59">
        <w:rPr>
          <w:lang w:val="en-US"/>
        </w:rPr>
        <w:t>mg</w:t>
      </w:r>
      <w:r>
        <w:rPr>
          <w:lang w:val="en-US"/>
        </w:rPr>
        <w:t xml:space="preserve"> </w:t>
      </w:r>
      <w:r w:rsidR="00D4606E">
        <w:rPr>
          <w:lang w:val="en-US"/>
        </w:rPr>
        <w:t>once daily</w:t>
      </w:r>
      <w:r w:rsidRPr="00090F59">
        <w:rPr>
          <w:lang w:val="en-US"/>
        </w:rPr>
        <w:t>;</w:t>
      </w:r>
    </w:p>
    <w:p w14:paraId="49C1A771" w14:textId="4D1DE023" w:rsidR="00462FB8" w:rsidRPr="00090F59" w:rsidRDefault="00462FB8" w:rsidP="00D4606E">
      <w:pPr>
        <w:pStyle w:val="ListBullet"/>
        <w:rPr>
          <w:lang w:val="en-US"/>
        </w:rPr>
      </w:pPr>
      <w:r w:rsidRPr="00090F59">
        <w:rPr>
          <w:lang w:val="en-US"/>
        </w:rPr>
        <w:lastRenderedPageBreak/>
        <w:t>Group 2</w:t>
      </w:r>
      <w:r>
        <w:rPr>
          <w:lang w:val="en-US"/>
        </w:rPr>
        <w:t xml:space="preserve"> </w:t>
      </w:r>
      <w:r w:rsidRPr="00090F59">
        <w:rPr>
          <w:lang w:val="en-US"/>
        </w:rPr>
        <w:t xml:space="preserve">= </w:t>
      </w:r>
      <w:r w:rsidR="00D4606E">
        <w:rPr>
          <w:lang w:val="en-US"/>
        </w:rPr>
        <w:t>upadacitinib</w:t>
      </w:r>
      <w:r w:rsidR="00D4606E" w:rsidRPr="00090F59">
        <w:rPr>
          <w:lang w:val="en-US"/>
        </w:rPr>
        <w:t xml:space="preserve"> </w:t>
      </w:r>
      <w:r w:rsidRPr="00090F59">
        <w:rPr>
          <w:lang w:val="en-US"/>
        </w:rPr>
        <w:t>15</w:t>
      </w:r>
      <w:r w:rsidR="00D4606E">
        <w:rPr>
          <w:lang w:val="en-US"/>
        </w:rPr>
        <w:t xml:space="preserve"> </w:t>
      </w:r>
      <w:r w:rsidRPr="00090F59">
        <w:rPr>
          <w:lang w:val="en-US"/>
        </w:rPr>
        <w:t>mg</w:t>
      </w:r>
      <w:r w:rsidRPr="00765A57">
        <w:rPr>
          <w:lang w:val="en-US"/>
        </w:rPr>
        <w:t xml:space="preserve"> </w:t>
      </w:r>
      <w:r w:rsidR="00D4606E">
        <w:rPr>
          <w:lang w:val="en-US"/>
        </w:rPr>
        <w:t>once daily</w:t>
      </w:r>
      <w:r w:rsidRPr="00090F59">
        <w:rPr>
          <w:lang w:val="en-US"/>
        </w:rPr>
        <w:t>;</w:t>
      </w:r>
    </w:p>
    <w:p w14:paraId="254183A0" w14:textId="4600DD02" w:rsidR="00462FB8" w:rsidRPr="00090F59" w:rsidRDefault="00462FB8" w:rsidP="00D4606E">
      <w:pPr>
        <w:pStyle w:val="ListBullet"/>
        <w:rPr>
          <w:lang w:val="en-US"/>
        </w:rPr>
      </w:pPr>
      <w:r w:rsidRPr="00090F59">
        <w:rPr>
          <w:lang w:val="en-US"/>
        </w:rPr>
        <w:t xml:space="preserve">Group 3 = </w:t>
      </w:r>
      <w:r w:rsidR="00D4606E">
        <w:rPr>
          <w:lang w:val="en-US"/>
        </w:rPr>
        <w:t>upadacitinib</w:t>
      </w:r>
      <w:r w:rsidR="00D4606E" w:rsidRPr="00090F59">
        <w:rPr>
          <w:lang w:val="en-US"/>
        </w:rPr>
        <w:t xml:space="preserve"> </w:t>
      </w:r>
      <w:r w:rsidRPr="00090F59">
        <w:rPr>
          <w:lang w:val="en-US"/>
        </w:rPr>
        <w:t>30</w:t>
      </w:r>
      <w:r w:rsidR="00D4606E">
        <w:rPr>
          <w:lang w:val="en-US"/>
        </w:rPr>
        <w:t xml:space="preserve"> </w:t>
      </w:r>
      <w:r w:rsidRPr="00090F59">
        <w:rPr>
          <w:lang w:val="en-US"/>
        </w:rPr>
        <w:t>mg</w:t>
      </w:r>
      <w:r w:rsidRPr="00765A57">
        <w:rPr>
          <w:lang w:val="en-US"/>
        </w:rPr>
        <w:t xml:space="preserve"> </w:t>
      </w:r>
      <w:r w:rsidR="00D4606E">
        <w:rPr>
          <w:lang w:val="en-US"/>
        </w:rPr>
        <w:t>once daily</w:t>
      </w:r>
      <w:r w:rsidRPr="00090F59">
        <w:rPr>
          <w:lang w:val="en-US"/>
        </w:rPr>
        <w:t>;</w:t>
      </w:r>
    </w:p>
    <w:p w14:paraId="5D636857" w14:textId="1A2DFEAC" w:rsidR="00462FB8" w:rsidRPr="00090F59" w:rsidRDefault="00D4606E" w:rsidP="00D4606E">
      <w:pPr>
        <w:pStyle w:val="ListBullet"/>
        <w:rPr>
          <w:lang w:val="en-US"/>
        </w:rPr>
      </w:pPr>
      <w:r>
        <w:rPr>
          <w:lang w:val="en-US"/>
        </w:rPr>
        <w:t>Group 4 = p</w:t>
      </w:r>
      <w:r w:rsidR="00462FB8" w:rsidRPr="00090F59">
        <w:rPr>
          <w:lang w:val="en-US"/>
        </w:rPr>
        <w:t>lacebo</w:t>
      </w:r>
      <w:r w:rsidR="00462FB8" w:rsidRPr="00765A57">
        <w:rPr>
          <w:lang w:val="en-US"/>
        </w:rPr>
        <w:t xml:space="preserve"> </w:t>
      </w:r>
      <w:r>
        <w:rPr>
          <w:lang w:val="en-US"/>
        </w:rPr>
        <w:t>once daily</w:t>
      </w:r>
      <w:r w:rsidR="00462FB8">
        <w:rPr>
          <w:lang w:val="en-US"/>
        </w:rPr>
        <w:t>.</w:t>
      </w:r>
    </w:p>
    <w:p w14:paraId="1C8469A3" w14:textId="6E6B71C7" w:rsidR="00462FB8" w:rsidRPr="008E0C7C" w:rsidRDefault="00462FB8" w:rsidP="00462FB8">
      <w:pPr>
        <w:spacing w:line="240" w:lineRule="auto"/>
        <w:rPr>
          <w:lang w:val="en-US"/>
        </w:rPr>
      </w:pPr>
      <w:r w:rsidRPr="008E0C7C">
        <w:rPr>
          <w:lang w:val="en-US"/>
        </w:rPr>
        <w:t>Subjects w</w:t>
      </w:r>
      <w:r w:rsidR="00D4606E">
        <w:rPr>
          <w:lang w:val="en-US"/>
        </w:rPr>
        <w:t>ho completed Period 1 per group</w:t>
      </w:r>
      <w:r w:rsidRPr="008E0C7C">
        <w:rPr>
          <w:lang w:val="en-US"/>
        </w:rPr>
        <w:t xml:space="preserve"> were re-randomised at Week 16 in a 1:1 ratio to either continue the active trea</w:t>
      </w:r>
      <w:r w:rsidR="00D4606E">
        <w:rPr>
          <w:lang w:val="en-US"/>
        </w:rPr>
        <w:t>tment</w:t>
      </w:r>
      <w:r w:rsidR="00B51532">
        <w:rPr>
          <w:lang w:val="en-US"/>
        </w:rPr>
        <w:t xml:space="preserve"> </w:t>
      </w:r>
      <w:r w:rsidR="00D4606E">
        <w:rPr>
          <w:lang w:val="en-US"/>
        </w:rPr>
        <w:t xml:space="preserve">for that group or enter placebo (Period 2, </w:t>
      </w:r>
      <w:r w:rsidRPr="008E0C7C">
        <w:rPr>
          <w:lang w:val="en-US"/>
        </w:rPr>
        <w:t>Week 16</w:t>
      </w:r>
      <w:r w:rsidR="00D4606E">
        <w:rPr>
          <w:lang w:val="en-US"/>
        </w:rPr>
        <w:t>; thereafter; a 72 –week double blind</w:t>
      </w:r>
      <w:r w:rsidRPr="008E0C7C">
        <w:rPr>
          <w:lang w:val="en-US"/>
        </w:rPr>
        <w:t>, placebo c</w:t>
      </w:r>
      <w:r w:rsidR="00D4606E">
        <w:rPr>
          <w:lang w:val="en-US"/>
        </w:rPr>
        <w:t>ontrolled treatment period):</w:t>
      </w:r>
    </w:p>
    <w:p w14:paraId="5A652A92" w14:textId="0DAC50CF" w:rsidR="00D4606E" w:rsidRPr="00090F59" w:rsidRDefault="00D4606E" w:rsidP="00D4606E">
      <w:pPr>
        <w:pStyle w:val="ListBullet"/>
        <w:numPr>
          <w:ilvl w:val="0"/>
          <w:numId w:val="1"/>
        </w:numPr>
        <w:rPr>
          <w:lang w:val="en-US"/>
        </w:rPr>
      </w:pPr>
      <w:r w:rsidRPr="00090F59">
        <w:rPr>
          <w:lang w:val="en-US"/>
        </w:rPr>
        <w:t>Group 1</w:t>
      </w:r>
      <w:r>
        <w:rPr>
          <w:lang w:val="en-US"/>
        </w:rPr>
        <w:t xml:space="preserve"> </w:t>
      </w:r>
      <w:r w:rsidRPr="00090F59">
        <w:rPr>
          <w:lang w:val="en-US"/>
        </w:rPr>
        <w:t>=</w:t>
      </w:r>
      <w:r>
        <w:rPr>
          <w:lang w:val="en-US"/>
        </w:rPr>
        <w:t xml:space="preserve"> upadacitinib</w:t>
      </w:r>
      <w:r w:rsidRPr="00090F59">
        <w:rPr>
          <w:lang w:val="en-US"/>
        </w:rPr>
        <w:t xml:space="preserve"> 7.5</w:t>
      </w:r>
      <w:r>
        <w:rPr>
          <w:lang w:val="en-US"/>
        </w:rPr>
        <w:t xml:space="preserve"> </w:t>
      </w:r>
      <w:r w:rsidRPr="00090F59">
        <w:rPr>
          <w:lang w:val="en-US"/>
        </w:rPr>
        <w:t>mg</w:t>
      </w:r>
      <w:r>
        <w:rPr>
          <w:lang w:val="en-US"/>
        </w:rPr>
        <w:t xml:space="preserve"> or placebo once daily</w:t>
      </w:r>
      <w:r w:rsidRPr="00090F59">
        <w:rPr>
          <w:lang w:val="en-US"/>
        </w:rPr>
        <w:t>;</w:t>
      </w:r>
    </w:p>
    <w:p w14:paraId="761EFDA0" w14:textId="7DC47D99" w:rsidR="00D4606E" w:rsidRPr="00090F59" w:rsidRDefault="00D4606E" w:rsidP="00D4606E">
      <w:pPr>
        <w:pStyle w:val="ListBullet"/>
        <w:numPr>
          <w:ilvl w:val="0"/>
          <w:numId w:val="1"/>
        </w:numPr>
        <w:rPr>
          <w:lang w:val="en-US"/>
        </w:rPr>
      </w:pPr>
      <w:r w:rsidRPr="00090F59">
        <w:rPr>
          <w:lang w:val="en-US"/>
        </w:rPr>
        <w:t>Group 2</w:t>
      </w:r>
      <w:r>
        <w:rPr>
          <w:lang w:val="en-US"/>
        </w:rPr>
        <w:t xml:space="preserve"> </w:t>
      </w:r>
      <w:r w:rsidRPr="00090F59">
        <w:rPr>
          <w:lang w:val="en-US"/>
        </w:rPr>
        <w:t xml:space="preserve">= </w:t>
      </w:r>
      <w:r>
        <w:rPr>
          <w:lang w:val="en-US"/>
        </w:rPr>
        <w:t>upadacitinib</w:t>
      </w:r>
      <w:r w:rsidRPr="00090F59">
        <w:rPr>
          <w:lang w:val="en-US"/>
        </w:rPr>
        <w:t xml:space="preserve"> 15</w:t>
      </w:r>
      <w:r>
        <w:rPr>
          <w:lang w:val="en-US"/>
        </w:rPr>
        <w:t xml:space="preserve"> </w:t>
      </w:r>
      <w:r w:rsidRPr="00090F59">
        <w:rPr>
          <w:lang w:val="en-US"/>
        </w:rPr>
        <w:t>mg</w:t>
      </w:r>
      <w:r w:rsidRPr="00765A57">
        <w:rPr>
          <w:lang w:val="en-US"/>
        </w:rPr>
        <w:t xml:space="preserve"> </w:t>
      </w:r>
      <w:r>
        <w:rPr>
          <w:lang w:val="en-US"/>
        </w:rPr>
        <w:t>or placebo once daily</w:t>
      </w:r>
      <w:r w:rsidRPr="00090F59">
        <w:rPr>
          <w:lang w:val="en-US"/>
        </w:rPr>
        <w:t>;</w:t>
      </w:r>
    </w:p>
    <w:p w14:paraId="1DF4D41F" w14:textId="167487AC" w:rsidR="00D4606E" w:rsidRPr="00090F59" w:rsidRDefault="00D4606E" w:rsidP="00D4606E">
      <w:pPr>
        <w:pStyle w:val="ListBullet"/>
        <w:numPr>
          <w:ilvl w:val="0"/>
          <w:numId w:val="1"/>
        </w:numPr>
        <w:rPr>
          <w:lang w:val="en-US"/>
        </w:rPr>
      </w:pPr>
      <w:r w:rsidRPr="00090F59">
        <w:rPr>
          <w:lang w:val="en-US"/>
        </w:rPr>
        <w:t xml:space="preserve">Group 3 = </w:t>
      </w:r>
      <w:r>
        <w:rPr>
          <w:lang w:val="en-US"/>
        </w:rPr>
        <w:t>upadacitinib</w:t>
      </w:r>
      <w:r w:rsidRPr="00090F59">
        <w:rPr>
          <w:lang w:val="en-US"/>
        </w:rPr>
        <w:t xml:space="preserve"> 30</w:t>
      </w:r>
      <w:r>
        <w:rPr>
          <w:lang w:val="en-US"/>
        </w:rPr>
        <w:t xml:space="preserve"> </w:t>
      </w:r>
      <w:r w:rsidRPr="00090F59">
        <w:rPr>
          <w:lang w:val="en-US"/>
        </w:rPr>
        <w:t>mg</w:t>
      </w:r>
      <w:r>
        <w:rPr>
          <w:lang w:val="en-US"/>
        </w:rPr>
        <w:t xml:space="preserve"> or placebo</w:t>
      </w:r>
      <w:r w:rsidRPr="00765A57">
        <w:rPr>
          <w:lang w:val="en-US"/>
        </w:rPr>
        <w:t xml:space="preserve"> </w:t>
      </w:r>
      <w:r>
        <w:rPr>
          <w:lang w:val="en-US"/>
        </w:rPr>
        <w:t>once daily</w:t>
      </w:r>
      <w:r w:rsidRPr="00090F59">
        <w:rPr>
          <w:lang w:val="en-US"/>
        </w:rPr>
        <w:t>;</w:t>
      </w:r>
    </w:p>
    <w:p w14:paraId="7878683A" w14:textId="718FB970" w:rsidR="00462FB8" w:rsidRPr="00D4606E" w:rsidRDefault="00D4606E" w:rsidP="00D4606E">
      <w:pPr>
        <w:pStyle w:val="ListBullet"/>
        <w:numPr>
          <w:ilvl w:val="0"/>
          <w:numId w:val="1"/>
        </w:numPr>
        <w:rPr>
          <w:lang w:val="en-US"/>
        </w:rPr>
      </w:pPr>
      <w:r>
        <w:rPr>
          <w:lang w:val="en-US"/>
        </w:rPr>
        <w:t>Group 4 = p</w:t>
      </w:r>
      <w:r w:rsidRPr="00090F59">
        <w:rPr>
          <w:lang w:val="en-US"/>
        </w:rPr>
        <w:t>lacebo</w:t>
      </w:r>
      <w:r w:rsidRPr="00765A57">
        <w:rPr>
          <w:lang w:val="en-US"/>
        </w:rPr>
        <w:t xml:space="preserve"> </w:t>
      </w:r>
      <w:r>
        <w:rPr>
          <w:lang w:val="en-US"/>
        </w:rPr>
        <w:t>once daily or placebo.</w:t>
      </w:r>
    </w:p>
    <w:p w14:paraId="3E4370BB" w14:textId="31C9FD4B" w:rsidR="00462FB8" w:rsidRPr="008E0C7C" w:rsidRDefault="00462FB8" w:rsidP="00462FB8">
      <w:pPr>
        <w:spacing w:line="240" w:lineRule="auto"/>
        <w:rPr>
          <w:lang w:val="en-US"/>
        </w:rPr>
      </w:pPr>
      <w:r w:rsidRPr="008E0C7C">
        <w:rPr>
          <w:lang w:val="en-US"/>
        </w:rPr>
        <w:t>For Period 1, the randomisation was stratified by geographic region (US</w:t>
      </w:r>
      <w:r w:rsidR="00D4606E">
        <w:rPr>
          <w:lang w:val="en-US"/>
        </w:rPr>
        <w:t>A/Puerto Rico/Canada, EU/Australia</w:t>
      </w:r>
      <w:r w:rsidRPr="008E0C7C">
        <w:rPr>
          <w:lang w:val="en-US"/>
        </w:rPr>
        <w:t>, and Japan)</w:t>
      </w:r>
      <w:r w:rsidR="00DD6D4D">
        <w:rPr>
          <w:lang w:val="en-US"/>
        </w:rPr>
        <w:t>.</w:t>
      </w:r>
    </w:p>
    <w:p w14:paraId="3C4892EC" w14:textId="2D06E69C" w:rsidR="00462FB8" w:rsidRPr="008E0C7C" w:rsidRDefault="00462FB8" w:rsidP="00462FB8">
      <w:pPr>
        <w:spacing w:line="240" w:lineRule="auto"/>
        <w:rPr>
          <w:lang w:val="en-US"/>
        </w:rPr>
      </w:pPr>
      <w:r w:rsidRPr="008E0C7C">
        <w:rPr>
          <w:lang w:val="en-US"/>
        </w:rPr>
        <w:t>For Period 2, the re-randomisation was stratified by geographic region as above and</w:t>
      </w:r>
      <w:r>
        <w:rPr>
          <w:lang w:val="en-US"/>
        </w:rPr>
        <w:t>,</w:t>
      </w:r>
      <w:r w:rsidR="00D4606E">
        <w:rPr>
          <w:lang w:val="en-US"/>
        </w:rPr>
        <w:t xml:space="preserve"> EASI </w:t>
      </w:r>
      <w:r w:rsidRPr="008E0C7C">
        <w:rPr>
          <w:lang w:val="en-US"/>
        </w:rPr>
        <w:t>75 response at Week 1</w:t>
      </w:r>
      <w:r w:rsidR="00DD6D4D">
        <w:rPr>
          <w:lang w:val="en-US"/>
        </w:rPr>
        <w:t>.</w:t>
      </w:r>
    </w:p>
    <w:p w14:paraId="47392B2B" w14:textId="64493952" w:rsidR="00462FB8" w:rsidRPr="001E215C" w:rsidRDefault="00462FB8" w:rsidP="00462FB8">
      <w:pPr>
        <w:spacing w:line="240" w:lineRule="auto"/>
        <w:rPr>
          <w:lang w:val="en-US"/>
        </w:rPr>
      </w:pPr>
      <w:r w:rsidRPr="008E0C7C">
        <w:rPr>
          <w:lang w:val="en-US"/>
        </w:rPr>
        <w:t xml:space="preserve">Study drug was to be taken orally </w:t>
      </w:r>
      <w:r w:rsidR="00D4606E">
        <w:rPr>
          <w:lang w:val="en-US"/>
        </w:rPr>
        <w:t>once daily</w:t>
      </w:r>
      <w:r w:rsidRPr="001E215C">
        <w:rPr>
          <w:lang w:val="en-US"/>
        </w:rPr>
        <w:t xml:space="preserve"> (with or without food), beginning on Day 1 (Baseline), and was to be taken at </w:t>
      </w:r>
      <w:r w:rsidRPr="00DE5ADB">
        <w:rPr>
          <w:lang w:val="en-US"/>
        </w:rPr>
        <w:t>approximately the same time each day</w:t>
      </w:r>
      <w:r w:rsidR="00DD6D4D">
        <w:rPr>
          <w:lang w:val="en-US"/>
        </w:rPr>
        <w:t>.</w:t>
      </w:r>
    </w:p>
    <w:p w14:paraId="7739FCBD" w14:textId="6828E729" w:rsidR="00462FB8" w:rsidRPr="008E0C7C" w:rsidRDefault="00462FB8" w:rsidP="00462FB8">
      <w:pPr>
        <w:spacing w:line="240" w:lineRule="auto"/>
        <w:rPr>
          <w:lang w:val="en-US"/>
        </w:rPr>
      </w:pPr>
      <w:r w:rsidRPr="008E0C7C">
        <w:rPr>
          <w:lang w:val="en-US"/>
        </w:rPr>
        <w:t xml:space="preserve">In Period 1, discontinuation from study drug was mandatory for any subject with an EASI score worsening of </w:t>
      </w:r>
      <w:r w:rsidRPr="008E0C7C">
        <w:rPr>
          <w:u w:val="single"/>
          <w:lang w:val="en-US"/>
        </w:rPr>
        <w:t>&gt;</w:t>
      </w:r>
      <w:r w:rsidR="00D4606E">
        <w:rPr>
          <w:lang w:val="en-US"/>
        </w:rPr>
        <w:t>25% compared with their b</w:t>
      </w:r>
      <w:r w:rsidRPr="008E0C7C">
        <w:rPr>
          <w:lang w:val="en-US"/>
        </w:rPr>
        <w:t>aseline EASI score at any 2 consecutive scheduled study visits from Week 4 to Week 1</w:t>
      </w:r>
      <w:r w:rsidR="00DD6D4D">
        <w:rPr>
          <w:lang w:val="en-US"/>
        </w:rPr>
        <w:t>.</w:t>
      </w:r>
    </w:p>
    <w:p w14:paraId="06A1E2FD" w14:textId="04391113" w:rsidR="00462FB8" w:rsidRPr="008E0C7C" w:rsidRDefault="00462FB8" w:rsidP="00462FB8">
      <w:pPr>
        <w:spacing w:line="240" w:lineRule="auto"/>
        <w:rPr>
          <w:lang w:val="en-US"/>
        </w:rPr>
      </w:pPr>
      <w:r w:rsidRPr="008E0C7C">
        <w:rPr>
          <w:lang w:val="en-US"/>
        </w:rPr>
        <w:t xml:space="preserve">In Period </w:t>
      </w:r>
      <w:r w:rsidR="00D4606E">
        <w:rPr>
          <w:lang w:val="en-US"/>
        </w:rPr>
        <w:t>2, blinded rescue therapy with u</w:t>
      </w:r>
      <w:r w:rsidRPr="008E0C7C">
        <w:rPr>
          <w:lang w:val="en-US"/>
        </w:rPr>
        <w:t xml:space="preserve">padacitinib 30 mg </w:t>
      </w:r>
      <w:r w:rsidR="00D4606E">
        <w:rPr>
          <w:lang w:val="en-US"/>
        </w:rPr>
        <w:t>once daily</w:t>
      </w:r>
      <w:r w:rsidRPr="008E0C7C">
        <w:rPr>
          <w:lang w:val="en-US"/>
        </w:rPr>
        <w:t xml:space="preserve"> was provided after the first instance of a &lt; EASI 50 response starting at the </w:t>
      </w:r>
      <w:r w:rsidR="00D4606E">
        <w:rPr>
          <w:lang w:val="en-US"/>
        </w:rPr>
        <w:t>Week 20 visit (4 weeks after re</w:t>
      </w:r>
      <w:r w:rsidR="00D4606E">
        <w:rPr>
          <w:lang w:val="en-US"/>
        </w:rPr>
        <w:noBreakHyphen/>
      </w:r>
      <w:r w:rsidRPr="008E0C7C">
        <w:rPr>
          <w:lang w:val="en-US"/>
        </w:rPr>
        <w:t>randomisation into Period 2).Subjects receiving re</w:t>
      </w:r>
      <w:r w:rsidR="00D4606E">
        <w:rPr>
          <w:lang w:val="en-US"/>
        </w:rPr>
        <w:t>scue therapy were continued on u</w:t>
      </w:r>
      <w:r w:rsidRPr="008E0C7C">
        <w:rPr>
          <w:lang w:val="en-US"/>
        </w:rPr>
        <w:t xml:space="preserve">padacitinib 30 mg </w:t>
      </w:r>
      <w:r w:rsidR="00D4606E">
        <w:rPr>
          <w:lang w:val="en-US"/>
        </w:rPr>
        <w:t>once daily</w:t>
      </w:r>
      <w:r w:rsidRPr="008E0C7C">
        <w:rPr>
          <w:lang w:val="en-US"/>
        </w:rPr>
        <w:t xml:space="preserve"> for the remainder of the stud</w:t>
      </w:r>
      <w:r w:rsidR="00DD6D4D">
        <w:rPr>
          <w:lang w:val="en-US"/>
        </w:rPr>
        <w:t>y.</w:t>
      </w:r>
    </w:p>
    <w:p w14:paraId="557F311F" w14:textId="2486CC38" w:rsidR="00462FB8" w:rsidRDefault="00462FB8" w:rsidP="00462FB8">
      <w:pPr>
        <w:spacing w:line="240" w:lineRule="auto"/>
        <w:rPr>
          <w:lang w:val="en-US"/>
        </w:rPr>
      </w:pPr>
      <w:r w:rsidRPr="008E0C7C">
        <w:rPr>
          <w:lang w:val="en-US"/>
        </w:rPr>
        <w:t>During P</w:t>
      </w:r>
      <w:r w:rsidR="00D4606E">
        <w:rPr>
          <w:lang w:val="en-US"/>
        </w:rPr>
        <w:t>eriod 2, concomitant class III</w:t>
      </w:r>
      <w:r w:rsidR="00B51532">
        <w:rPr>
          <w:lang w:val="en-US"/>
        </w:rPr>
        <w:t xml:space="preserve"> </w:t>
      </w:r>
      <w:r w:rsidR="00D4606E">
        <w:rPr>
          <w:lang w:val="en-US"/>
        </w:rPr>
        <w:t xml:space="preserve">to </w:t>
      </w:r>
      <w:r w:rsidRPr="008E0C7C">
        <w:rPr>
          <w:lang w:val="en-US"/>
        </w:rPr>
        <w:t xml:space="preserve">IV, medium potency topical corticosteroid treatment was permitted starting at Week 24 after a second instance of &lt; EASI 50 response beginning from Week 20. For subjects who receive </w:t>
      </w:r>
      <w:r w:rsidR="00D4606E">
        <w:rPr>
          <w:rFonts w:eastAsia="TimesNewRoman" w:cs="TimesNewRoman"/>
          <w:lang w:val="en-US"/>
        </w:rPr>
        <w:t xml:space="preserve">topical corticosteroids </w:t>
      </w:r>
      <w:r w:rsidRPr="008E0C7C">
        <w:rPr>
          <w:lang w:val="en-US"/>
        </w:rPr>
        <w:t>rescue therapy, an additional visit was required 4 weeks later. Discontinuation from study drug was mandatory for subjects with &lt; EASI 5</w:t>
      </w:r>
      <w:r w:rsidR="00D4606E">
        <w:rPr>
          <w:lang w:val="en-US"/>
        </w:rPr>
        <w:t>0 response compared with their b</w:t>
      </w:r>
      <w:r w:rsidRPr="008E0C7C">
        <w:rPr>
          <w:lang w:val="en-US"/>
        </w:rPr>
        <w:t>aseline EASI score 4 weeks following rescue with topical corticosteroi</w:t>
      </w:r>
      <w:r w:rsidR="00D4606E">
        <w:rPr>
          <w:lang w:val="en-US"/>
        </w:rPr>
        <w:t>ds or at any visit thereafter.</w:t>
      </w:r>
    </w:p>
    <w:p w14:paraId="206D11D3" w14:textId="0825EFFA" w:rsidR="00462FB8" w:rsidRDefault="00D4606E" w:rsidP="00D4606E">
      <w:pPr>
        <w:pStyle w:val="Heading5"/>
      </w:pPr>
      <w:r>
        <w:t>Efficacy parameters/endpoints</w:t>
      </w:r>
    </w:p>
    <w:p w14:paraId="3273F80D" w14:textId="7A043D7F" w:rsidR="00B31D61" w:rsidRPr="00B31D61" w:rsidRDefault="00B31D61" w:rsidP="00B31D61">
      <w:r>
        <w:t xml:space="preserve">See Section: </w:t>
      </w:r>
      <w:r w:rsidRPr="00B31D61">
        <w:rPr>
          <w:i/>
        </w:rPr>
        <w:fldChar w:fldCharType="begin"/>
      </w:r>
      <w:r w:rsidRPr="00B31D61">
        <w:rPr>
          <w:i/>
        </w:rPr>
        <w:instrText xml:space="preserve"> REF _Ref125651610 \h </w:instrText>
      </w:r>
      <w:r>
        <w:rPr>
          <w:i/>
        </w:rPr>
        <w:instrText xml:space="preserve"> \* MERGEFORMAT </w:instrText>
      </w:r>
      <w:r w:rsidRPr="00B31D61">
        <w:rPr>
          <w:i/>
        </w:rPr>
      </w:r>
      <w:r w:rsidRPr="00B31D61">
        <w:rPr>
          <w:i/>
        </w:rPr>
        <w:fldChar w:fldCharType="separate"/>
      </w:r>
      <w:r w:rsidR="00B51532" w:rsidRPr="00B51532">
        <w:rPr>
          <w:i/>
        </w:rPr>
        <w:t>Scoring systems used in the clinical studies</w:t>
      </w:r>
      <w:r w:rsidRPr="00B31D61">
        <w:rPr>
          <w:i/>
        </w:rPr>
        <w:fldChar w:fldCharType="end"/>
      </w:r>
      <w:r>
        <w:t xml:space="preserve"> for details of these scoring systems/outcome measures.</w:t>
      </w:r>
    </w:p>
    <w:p w14:paraId="1351A233" w14:textId="7C7D90C1" w:rsidR="00462FB8" w:rsidRPr="00D267F9" w:rsidRDefault="00462FB8" w:rsidP="00462FB8">
      <w:pPr>
        <w:spacing w:line="240" w:lineRule="auto"/>
        <w:rPr>
          <w:lang w:val="en-US"/>
        </w:rPr>
      </w:pPr>
      <w:r w:rsidRPr="00D4606E">
        <w:rPr>
          <w:i/>
          <w:lang w:val="en-US"/>
        </w:rPr>
        <w:t>P</w:t>
      </w:r>
      <w:r w:rsidR="00D4606E">
        <w:rPr>
          <w:i/>
          <w:lang w:val="en-US"/>
        </w:rPr>
        <w:t>rimary:</w:t>
      </w:r>
      <w:r w:rsidR="00B51532">
        <w:rPr>
          <w:i/>
          <w:lang w:val="en-US"/>
        </w:rPr>
        <w:t xml:space="preserve"> </w:t>
      </w:r>
      <w:r w:rsidR="00D4606E">
        <w:rPr>
          <w:lang w:val="en-US"/>
        </w:rPr>
        <w:t>T</w:t>
      </w:r>
      <w:r w:rsidRPr="00D267F9">
        <w:rPr>
          <w:lang w:val="en-US"/>
        </w:rPr>
        <w:t>he mean (%) change from Baseline (Day 1) in EASI score at Week 16.</w:t>
      </w:r>
    </w:p>
    <w:p w14:paraId="5FEA2801" w14:textId="77777777" w:rsidR="00D4606E" w:rsidRDefault="00462FB8" w:rsidP="00D4606E">
      <w:pPr>
        <w:rPr>
          <w:i/>
        </w:rPr>
      </w:pPr>
      <w:r w:rsidRPr="00D4606E">
        <w:rPr>
          <w:i/>
        </w:rPr>
        <w:t>Secondary:</w:t>
      </w:r>
    </w:p>
    <w:p w14:paraId="28704BC6" w14:textId="77777777" w:rsidR="00D4606E" w:rsidRPr="00D4606E" w:rsidRDefault="00D4606E" w:rsidP="00D4606E">
      <w:pPr>
        <w:pStyle w:val="ListBullet"/>
        <w:rPr>
          <w:i/>
        </w:rPr>
      </w:pPr>
      <w:r>
        <w:t xml:space="preserve">The </w:t>
      </w:r>
      <w:r>
        <w:rPr>
          <w:lang w:val="en-US"/>
        </w:rPr>
        <w:t>p</w:t>
      </w:r>
      <w:r w:rsidR="00462FB8" w:rsidRPr="00D267F9">
        <w:rPr>
          <w:lang w:val="en-US"/>
        </w:rPr>
        <w:t>roportion of subjects achieving an EASI 75 response, defined as at least a 75% reduction in</w:t>
      </w:r>
      <w:r w:rsidR="00462FB8" w:rsidRPr="00D4606E">
        <w:t xml:space="preserve"> EASI score, at Week 16 relative to the Baseline (Day 1);</w:t>
      </w:r>
    </w:p>
    <w:p w14:paraId="7D2612E2" w14:textId="77777777" w:rsidR="00332C95" w:rsidRPr="00332C95" w:rsidRDefault="00462FB8" w:rsidP="00332C95">
      <w:pPr>
        <w:pStyle w:val="ListBullet"/>
        <w:rPr>
          <w:i/>
        </w:rPr>
      </w:pPr>
      <w:r w:rsidRPr="00D4606E">
        <w:rPr>
          <w:lang w:val="en-US"/>
        </w:rPr>
        <w:t>Proportion of subjects achieving an Investigator Global Assessm</w:t>
      </w:r>
      <w:r w:rsidR="00332C95">
        <w:rPr>
          <w:lang w:val="en-US"/>
        </w:rPr>
        <w:t>ent (IGA) of 0 or 1</w:t>
      </w:r>
      <w:r w:rsidR="00D4606E">
        <w:rPr>
          <w:lang w:val="en-US"/>
        </w:rPr>
        <w:t xml:space="preserve"> at Week </w:t>
      </w:r>
      <w:r w:rsidRPr="00D4606E">
        <w:rPr>
          <w:lang w:val="en-US"/>
        </w:rPr>
        <w:t>16;</w:t>
      </w:r>
    </w:p>
    <w:p w14:paraId="7C80D6FE" w14:textId="77777777" w:rsidR="00332C95" w:rsidRPr="00332C95" w:rsidRDefault="00462FB8" w:rsidP="00332C95">
      <w:pPr>
        <w:pStyle w:val="ListBullet"/>
        <w:rPr>
          <w:i/>
        </w:rPr>
      </w:pPr>
      <w:r w:rsidRPr="00332C95">
        <w:rPr>
          <w:lang w:val="en-US"/>
        </w:rPr>
        <w:t>Percent change from Baseline to Weeks 2, 8 and 16 in Pruritus Numerical Rating Scale (NRS);</w:t>
      </w:r>
    </w:p>
    <w:p w14:paraId="4DB79BDE" w14:textId="77777777" w:rsidR="00332C95" w:rsidRPr="00332C95" w:rsidRDefault="00462FB8" w:rsidP="00332C95">
      <w:pPr>
        <w:pStyle w:val="ListBullet"/>
        <w:rPr>
          <w:i/>
        </w:rPr>
      </w:pPr>
      <w:r w:rsidRPr="00332C95">
        <w:rPr>
          <w:lang w:val="en-US"/>
        </w:rPr>
        <w:t>Percent change in EASI score from Baseline at Week 8;</w:t>
      </w:r>
    </w:p>
    <w:p w14:paraId="16881732" w14:textId="38F30AAD" w:rsidR="00462FB8" w:rsidRPr="00332C95" w:rsidRDefault="00462FB8" w:rsidP="00332C95">
      <w:pPr>
        <w:pStyle w:val="ListBullet"/>
        <w:rPr>
          <w:i/>
        </w:rPr>
      </w:pPr>
      <w:r w:rsidRPr="00332C95">
        <w:rPr>
          <w:lang w:val="en-US"/>
        </w:rPr>
        <w:t xml:space="preserve">Percent change in Scoring Atopic Dermatitis (SCORAD) score </w:t>
      </w:r>
      <w:r w:rsidR="00332C95">
        <w:rPr>
          <w:lang w:val="en-US"/>
        </w:rPr>
        <w:t>from Baseline at Weeks 8 and 16;</w:t>
      </w:r>
    </w:p>
    <w:p w14:paraId="43A4A09A" w14:textId="04034DAA" w:rsidR="00462FB8" w:rsidRPr="00332C95" w:rsidRDefault="00462FB8" w:rsidP="00332C95">
      <w:pPr>
        <w:pStyle w:val="ListBullet"/>
        <w:rPr>
          <w:lang w:val="en-US"/>
        </w:rPr>
      </w:pPr>
      <w:r w:rsidRPr="00D267F9">
        <w:rPr>
          <w:lang w:val="en-US"/>
        </w:rPr>
        <w:lastRenderedPageBreak/>
        <w:t>Proportion of subjects achieving EASI 50/75/90 response at Weeks 8 and 16;</w:t>
      </w:r>
    </w:p>
    <w:p w14:paraId="55628BB0" w14:textId="5403ECA3" w:rsidR="00462FB8" w:rsidRPr="00D267F9" w:rsidRDefault="00462FB8" w:rsidP="00332C95">
      <w:pPr>
        <w:pStyle w:val="ListBullet"/>
        <w:rPr>
          <w:lang w:val="en-US"/>
        </w:rPr>
      </w:pPr>
      <w:r w:rsidRPr="00D267F9">
        <w:rPr>
          <w:lang w:val="en-US"/>
        </w:rPr>
        <w:t>Proportion of subjects achieving SCORAD 50/75</w:t>
      </w:r>
      <w:r w:rsidR="00332C95">
        <w:rPr>
          <w:lang w:val="en-US"/>
        </w:rPr>
        <w:t>/90 response at Weeks 8 and 16;</w:t>
      </w:r>
    </w:p>
    <w:p w14:paraId="4B403791" w14:textId="6B757C73" w:rsidR="00462FB8" w:rsidRPr="00332C95" w:rsidRDefault="00462FB8" w:rsidP="00332C95">
      <w:pPr>
        <w:pStyle w:val="ListBullet"/>
        <w:rPr>
          <w:lang w:val="en-US"/>
        </w:rPr>
      </w:pPr>
      <w:r w:rsidRPr="00D267F9">
        <w:rPr>
          <w:lang w:val="en-US"/>
        </w:rPr>
        <w:t>Proportion of subjects with Dermatology Life Quality Index (DLQI) = "0" or "1" at Weeks 8 and</w:t>
      </w:r>
      <w:r w:rsidR="00332C95">
        <w:rPr>
          <w:lang w:val="en-US"/>
        </w:rPr>
        <w:t xml:space="preserve"> </w:t>
      </w:r>
      <w:r w:rsidRPr="00332C95">
        <w:rPr>
          <w:lang w:val="en-US"/>
        </w:rPr>
        <w:t>16;</w:t>
      </w:r>
    </w:p>
    <w:p w14:paraId="219CF662" w14:textId="79A008F4" w:rsidR="00462FB8" w:rsidRPr="00332C95" w:rsidRDefault="00462FB8" w:rsidP="00332C95">
      <w:pPr>
        <w:pStyle w:val="ListBullet"/>
        <w:rPr>
          <w:lang w:val="en-US"/>
        </w:rPr>
      </w:pPr>
      <w:r w:rsidRPr="00D267F9">
        <w:rPr>
          <w:lang w:val="en-US"/>
        </w:rPr>
        <w:t>Change from Baseline in DLQI at Weeks 8 and 16;</w:t>
      </w:r>
    </w:p>
    <w:p w14:paraId="5786CBCB" w14:textId="7D58E243" w:rsidR="00462FB8" w:rsidRPr="00332C95" w:rsidRDefault="00462FB8" w:rsidP="00332C95">
      <w:pPr>
        <w:pStyle w:val="ListBullet"/>
        <w:rPr>
          <w:lang w:val="en-US"/>
        </w:rPr>
      </w:pPr>
      <w:r w:rsidRPr="00D267F9">
        <w:rPr>
          <w:lang w:val="en-US"/>
        </w:rPr>
        <w:t>Change and percent change from Week 16 (re-randomisation) in EASI score at all Period 2 visits;</w:t>
      </w:r>
    </w:p>
    <w:p w14:paraId="7FE31570" w14:textId="08220874" w:rsidR="00462FB8" w:rsidRPr="00332C95" w:rsidRDefault="00462FB8" w:rsidP="00332C95">
      <w:pPr>
        <w:pStyle w:val="ListBullet"/>
        <w:rPr>
          <w:lang w:val="en-US"/>
        </w:rPr>
      </w:pPr>
      <w:r w:rsidRPr="00D267F9">
        <w:rPr>
          <w:lang w:val="en-US"/>
        </w:rPr>
        <w:t xml:space="preserve">Time to loss of EASI 50 response relative to Baseline among those who were re-randomised as </w:t>
      </w:r>
      <w:r w:rsidR="00332C95">
        <w:rPr>
          <w:lang w:val="en-US"/>
        </w:rPr>
        <w:t xml:space="preserve">EASI </w:t>
      </w:r>
      <w:r w:rsidRPr="00332C95">
        <w:rPr>
          <w:lang w:val="en-US"/>
        </w:rPr>
        <w:t>75 responders at Week 16;</w:t>
      </w:r>
    </w:p>
    <w:p w14:paraId="1A944C21" w14:textId="66409969" w:rsidR="00462FB8" w:rsidRPr="00332C95" w:rsidRDefault="00462FB8" w:rsidP="00332C95">
      <w:pPr>
        <w:pStyle w:val="ListBullet"/>
        <w:rPr>
          <w:lang w:val="en-US"/>
        </w:rPr>
      </w:pPr>
      <w:r w:rsidRPr="00D267F9">
        <w:rPr>
          <w:lang w:val="en-US"/>
        </w:rPr>
        <w:t xml:space="preserve">Summary of EASI 75 at all visits in Period 2 among those who were re-randomised as EASI 75 </w:t>
      </w:r>
      <w:r w:rsidR="00332C95">
        <w:rPr>
          <w:lang w:val="en-US"/>
        </w:rPr>
        <w:t>non-</w:t>
      </w:r>
      <w:r w:rsidRPr="00332C95">
        <w:rPr>
          <w:lang w:val="en-US"/>
        </w:rPr>
        <w:t xml:space="preserve">responders at Week 16. </w:t>
      </w:r>
    </w:p>
    <w:p w14:paraId="0A53F95C" w14:textId="27BF81C5" w:rsidR="00462FB8" w:rsidRPr="00332C95" w:rsidRDefault="00332C95" w:rsidP="00332C95">
      <w:pPr>
        <w:rPr>
          <w:i/>
        </w:rPr>
      </w:pPr>
      <w:r>
        <w:rPr>
          <w:i/>
        </w:rPr>
        <w:t>Exploratory:</w:t>
      </w:r>
    </w:p>
    <w:p w14:paraId="43C058D0" w14:textId="56962D70" w:rsidR="00462FB8" w:rsidRPr="00332C95" w:rsidRDefault="00462FB8" w:rsidP="00332C95">
      <w:pPr>
        <w:pStyle w:val="ListBullet"/>
        <w:rPr>
          <w:lang w:val="en-US"/>
        </w:rPr>
      </w:pPr>
      <w:r w:rsidRPr="00D033D4">
        <w:rPr>
          <w:lang w:val="en-US"/>
        </w:rPr>
        <w:t>Time to EASI 50/75/90 and IGA "0" or "1" response in Period 1;</w:t>
      </w:r>
    </w:p>
    <w:p w14:paraId="5E9E6109" w14:textId="160954A7" w:rsidR="00462FB8" w:rsidRPr="00332C95" w:rsidRDefault="00462FB8" w:rsidP="00332C95">
      <w:pPr>
        <w:pStyle w:val="ListBullet"/>
        <w:rPr>
          <w:lang w:val="en-US"/>
        </w:rPr>
      </w:pPr>
      <w:r w:rsidRPr="00D033D4">
        <w:rPr>
          <w:lang w:val="en-US"/>
        </w:rPr>
        <w:t>Proportion of subjects achieving EASI 50/75</w:t>
      </w:r>
      <w:r w:rsidR="00332C95">
        <w:rPr>
          <w:lang w:val="en-US"/>
        </w:rPr>
        <w:t>/90/100 response at all visits;</w:t>
      </w:r>
    </w:p>
    <w:p w14:paraId="247494CF" w14:textId="541374B9" w:rsidR="00462FB8" w:rsidRPr="00332C95" w:rsidRDefault="00462FB8" w:rsidP="00332C95">
      <w:pPr>
        <w:pStyle w:val="ListBullet"/>
        <w:rPr>
          <w:lang w:val="en-US"/>
        </w:rPr>
      </w:pPr>
      <w:r w:rsidRPr="00D033D4">
        <w:rPr>
          <w:lang w:val="en-US"/>
        </w:rPr>
        <w:t>Proportion of subjects achieving SCORAD 5</w:t>
      </w:r>
      <w:r w:rsidR="00332C95">
        <w:rPr>
          <w:lang w:val="en-US"/>
        </w:rPr>
        <w:t>0/75/90 response at all visits;</w:t>
      </w:r>
    </w:p>
    <w:p w14:paraId="155B3C8E" w14:textId="28EDE0EE" w:rsidR="00462FB8" w:rsidRPr="00332C95" w:rsidRDefault="00462FB8" w:rsidP="00332C95">
      <w:pPr>
        <w:pStyle w:val="ListBullet"/>
        <w:rPr>
          <w:lang w:val="en-US"/>
        </w:rPr>
      </w:pPr>
      <w:r w:rsidRPr="00D033D4">
        <w:rPr>
          <w:lang w:val="en-US"/>
        </w:rPr>
        <w:t xml:space="preserve">Change from Baseline to Week 16 in Patient </w:t>
      </w:r>
      <w:r w:rsidR="00332C95">
        <w:rPr>
          <w:lang w:val="en-US"/>
        </w:rPr>
        <w:t>Oriented Eczema Measure (POEM);</w:t>
      </w:r>
    </w:p>
    <w:p w14:paraId="67D0A8E0" w14:textId="50B5697C" w:rsidR="00462FB8" w:rsidRPr="00332C95" w:rsidRDefault="00462FB8" w:rsidP="00332C95">
      <w:pPr>
        <w:pStyle w:val="ListBullet"/>
        <w:rPr>
          <w:lang w:val="en-US"/>
        </w:rPr>
      </w:pPr>
      <w:r w:rsidRPr="00D033D4">
        <w:rPr>
          <w:lang w:val="en-US"/>
        </w:rPr>
        <w:t>Change from Baseline to Week 16 in Medical Ou</w:t>
      </w:r>
      <w:r w:rsidR="00332C95">
        <w:rPr>
          <w:lang w:val="en-US"/>
        </w:rPr>
        <w:t>tcomes Study (MOS) Sleep Scale;</w:t>
      </w:r>
    </w:p>
    <w:p w14:paraId="49D1A70F" w14:textId="4A82FE82" w:rsidR="00462FB8" w:rsidRPr="00332C95" w:rsidRDefault="00462FB8" w:rsidP="00332C95">
      <w:pPr>
        <w:pStyle w:val="ListBullet"/>
        <w:rPr>
          <w:lang w:val="en-US"/>
        </w:rPr>
      </w:pPr>
      <w:r w:rsidRPr="00D033D4">
        <w:rPr>
          <w:lang w:val="en-US"/>
        </w:rPr>
        <w:t>Change from Baseline to Week 16 in</w:t>
      </w:r>
      <w:r w:rsidR="00332C95">
        <w:rPr>
          <w:lang w:val="en-US"/>
        </w:rPr>
        <w:t xml:space="preserve"> Asthma Symptoms Questionnaire;</w:t>
      </w:r>
    </w:p>
    <w:p w14:paraId="06D1BE4C" w14:textId="0AF59479" w:rsidR="00462FB8" w:rsidRPr="00332C95" w:rsidRDefault="00462FB8" w:rsidP="00332C95">
      <w:pPr>
        <w:pStyle w:val="ListBullet"/>
        <w:rPr>
          <w:lang w:val="en-US"/>
        </w:rPr>
      </w:pPr>
      <w:r w:rsidRPr="00D033D4">
        <w:rPr>
          <w:lang w:val="en-US"/>
        </w:rPr>
        <w:t>Change from Baseline to Week 16 in Daytim</w:t>
      </w:r>
      <w:r w:rsidR="00332C95">
        <w:rPr>
          <w:lang w:val="en-US"/>
        </w:rPr>
        <w:t>e Nasal Symptoms Questionnaire;</w:t>
      </w:r>
    </w:p>
    <w:p w14:paraId="377E1764" w14:textId="4F453B48" w:rsidR="00462FB8" w:rsidRPr="00B90BBD" w:rsidRDefault="00462FB8" w:rsidP="00332C95">
      <w:pPr>
        <w:pStyle w:val="ListBullet"/>
        <w:rPr>
          <w:lang w:val="en-US"/>
        </w:rPr>
      </w:pPr>
      <w:r w:rsidRPr="00D033D4">
        <w:rPr>
          <w:lang w:val="en-US"/>
        </w:rPr>
        <w:t xml:space="preserve">Change from Baseline in total sleep time </w:t>
      </w:r>
      <w:r w:rsidR="00C06C6F">
        <w:rPr>
          <w:lang w:val="en-US"/>
        </w:rPr>
        <w:t xml:space="preserve">(TST) </w:t>
      </w:r>
      <w:r w:rsidRPr="00D033D4">
        <w:rPr>
          <w:lang w:val="en-US"/>
        </w:rPr>
        <w:t xml:space="preserve">per night (TST min), </w:t>
      </w:r>
      <w:r w:rsidR="00C06C6F" w:rsidRPr="00D033D4">
        <w:rPr>
          <w:lang w:val="en-US"/>
        </w:rPr>
        <w:t>sleep efficiency percentage</w:t>
      </w:r>
      <w:r w:rsidR="00C06C6F">
        <w:rPr>
          <w:lang w:val="en-US"/>
        </w:rPr>
        <w:t xml:space="preserve"> (%</w:t>
      </w:r>
      <w:r w:rsidR="00C06C6F" w:rsidRPr="00D033D4">
        <w:rPr>
          <w:lang w:val="en-US"/>
        </w:rPr>
        <w:t xml:space="preserve">), wake after sleep onset </w:t>
      </w:r>
      <w:r w:rsidRPr="00D033D4">
        <w:rPr>
          <w:lang w:val="en-US"/>
        </w:rPr>
        <w:t>(WASO), number of scratching events per hour, mean activity during rest (sleep) periods as measured by actigraphy</w:t>
      </w:r>
      <w:r>
        <w:rPr>
          <w:lang w:val="en-US"/>
        </w:rPr>
        <w:t>.</w:t>
      </w:r>
      <w:r w:rsidRPr="00B90BBD">
        <w:rPr>
          <w:lang w:val="en-US"/>
        </w:rPr>
        <w:t xml:space="preserve"> </w:t>
      </w:r>
    </w:p>
    <w:p w14:paraId="7B54307D" w14:textId="015A4F98" w:rsidR="00462FB8" w:rsidRDefault="00462FB8" w:rsidP="00462FB8">
      <w:pPr>
        <w:spacing w:line="240" w:lineRule="auto"/>
        <w:rPr>
          <w:lang w:eastAsia="ja-JP"/>
        </w:rPr>
      </w:pPr>
      <w:r w:rsidRPr="00B90BBD">
        <w:rPr>
          <w:lang w:val="en-US"/>
        </w:rPr>
        <w:t>The primary and secondary endpoints were also evaluated at all scheduled visits through Week 88</w:t>
      </w:r>
      <w:r w:rsidR="00332C95">
        <w:rPr>
          <w:lang w:val="en-US"/>
        </w:rPr>
        <w:t xml:space="preserve"> (</w:t>
      </w:r>
      <w:r>
        <w:rPr>
          <w:lang w:val="en-US"/>
        </w:rPr>
        <w:t>Period 1</w:t>
      </w:r>
      <w:r w:rsidR="00332C95">
        <w:rPr>
          <w:lang w:val="en-US"/>
        </w:rPr>
        <w:t xml:space="preserve"> </w:t>
      </w:r>
      <w:r>
        <w:rPr>
          <w:lang w:val="en-US"/>
        </w:rPr>
        <w:t>=</w:t>
      </w:r>
      <w:r w:rsidR="00332C95">
        <w:rPr>
          <w:lang w:val="en-US"/>
        </w:rPr>
        <w:t xml:space="preserve"> </w:t>
      </w:r>
      <w:r>
        <w:rPr>
          <w:lang w:val="en-US"/>
        </w:rPr>
        <w:t>16 Weeks and Period 2</w:t>
      </w:r>
      <w:r w:rsidR="00332C95">
        <w:rPr>
          <w:lang w:val="en-US"/>
        </w:rPr>
        <w:t xml:space="preserve"> </w:t>
      </w:r>
      <w:r>
        <w:rPr>
          <w:lang w:val="en-US"/>
        </w:rPr>
        <w:t>=</w:t>
      </w:r>
      <w:r w:rsidR="00332C95">
        <w:rPr>
          <w:lang w:val="en-US"/>
        </w:rPr>
        <w:t xml:space="preserve"> 72 Weeks)</w:t>
      </w:r>
      <w:r w:rsidRPr="00B90BBD">
        <w:rPr>
          <w:lang w:val="en-US"/>
        </w:rPr>
        <w:t>.</w:t>
      </w:r>
    </w:p>
    <w:p w14:paraId="67D53174" w14:textId="5078EAC3" w:rsidR="00462FB8" w:rsidRPr="00703AB9" w:rsidRDefault="00462FB8" w:rsidP="00332C95">
      <w:pPr>
        <w:pStyle w:val="Heading5"/>
        <w:rPr>
          <w:lang w:val="en-US"/>
        </w:rPr>
      </w:pPr>
      <w:r w:rsidRPr="00703AB9">
        <w:rPr>
          <w:lang w:eastAsia="ja-JP"/>
        </w:rPr>
        <w:t>Participant flow</w:t>
      </w:r>
      <w:r w:rsidR="00332C95">
        <w:rPr>
          <w:lang w:eastAsia="ja-JP"/>
        </w:rPr>
        <w:t xml:space="preserve"> and protocol deviations</w:t>
      </w:r>
    </w:p>
    <w:p w14:paraId="78D72DB1" w14:textId="31B525A9" w:rsidR="00462FB8" w:rsidRPr="003B6773" w:rsidRDefault="00462FB8" w:rsidP="00462FB8">
      <w:pPr>
        <w:spacing w:line="240" w:lineRule="auto"/>
        <w:rPr>
          <w:lang w:val="en-US"/>
        </w:rPr>
      </w:pPr>
      <w:r w:rsidRPr="003B6773">
        <w:rPr>
          <w:lang w:val="en-US"/>
        </w:rPr>
        <w:t>A total of 167 subjects were randomised. Of the 167 randomised subjects, 166</w:t>
      </w:r>
      <w:r w:rsidR="00332C95">
        <w:rPr>
          <w:lang w:val="en-US"/>
        </w:rPr>
        <w:t xml:space="preserve"> subjects received study drug (one</w:t>
      </w:r>
      <w:r w:rsidRPr="003B6773">
        <w:rPr>
          <w:lang w:val="en-US"/>
        </w:rPr>
        <w:t xml:space="preserve"> subject in the placebo group was randomised but did not receive drug). </w:t>
      </w:r>
    </w:p>
    <w:p w14:paraId="7200D77C" w14:textId="211C8AB5" w:rsidR="00462FB8" w:rsidRPr="003B6773" w:rsidRDefault="00462FB8" w:rsidP="00462FB8">
      <w:pPr>
        <w:spacing w:line="240" w:lineRule="auto"/>
        <w:rPr>
          <w:lang w:val="en-US"/>
        </w:rPr>
      </w:pPr>
      <w:r w:rsidRPr="003B6773">
        <w:rPr>
          <w:lang w:val="en-US"/>
        </w:rPr>
        <w:t>A total of 126 subjects (75.4%) completed study drug tr</w:t>
      </w:r>
      <w:r w:rsidR="00332C95">
        <w:rPr>
          <w:lang w:val="en-US"/>
        </w:rPr>
        <w:t>eatment through Week 16 (Period </w:t>
      </w:r>
      <w:r w:rsidRPr="003B6773">
        <w:rPr>
          <w:lang w:val="en-US"/>
        </w:rPr>
        <w:t>1).130 subjects (77.8%) completed study participation through Period 1, with lack of efficacy being most common reason for study drug discontinuation in Period 1, especially in placebo group</w:t>
      </w:r>
      <w:r w:rsidRPr="003B6773">
        <w:rPr>
          <w:b/>
          <w:lang w:val="en-US"/>
        </w:rPr>
        <w:t>.</w:t>
      </w:r>
      <w:r w:rsidRPr="003B6773">
        <w:rPr>
          <w:lang w:val="en-US"/>
        </w:rPr>
        <w:t xml:space="preserve"> </w:t>
      </w:r>
    </w:p>
    <w:p w14:paraId="25579760" w14:textId="77777777" w:rsidR="00462FB8" w:rsidRPr="003B6773" w:rsidRDefault="00462FB8" w:rsidP="00462FB8">
      <w:pPr>
        <w:spacing w:line="240" w:lineRule="auto"/>
        <w:rPr>
          <w:lang w:val="en-US"/>
        </w:rPr>
      </w:pPr>
      <w:r w:rsidRPr="003B6773">
        <w:rPr>
          <w:lang w:val="en-US"/>
        </w:rPr>
        <w:t>Overall, 126 subjects (75.4%) were re-randomised into Period 2 and all received study treatment.</w:t>
      </w:r>
    </w:p>
    <w:p w14:paraId="2C5703EF" w14:textId="4B0DEDC6" w:rsidR="00462FB8" w:rsidRPr="003B6773" w:rsidRDefault="00C06C6F" w:rsidP="00462FB8">
      <w:pPr>
        <w:spacing w:line="240" w:lineRule="auto"/>
        <w:rPr>
          <w:u w:val="single"/>
          <w:lang w:eastAsia="ja-JP"/>
        </w:rPr>
      </w:pPr>
      <w:r>
        <w:rPr>
          <w:lang w:val="en-US"/>
        </w:rPr>
        <w:t>Eighty-one (</w:t>
      </w:r>
      <w:r w:rsidR="00462FB8" w:rsidRPr="003B6773">
        <w:rPr>
          <w:lang w:val="en-US"/>
        </w:rPr>
        <w:t>81</w:t>
      </w:r>
      <w:r>
        <w:rPr>
          <w:lang w:val="en-US"/>
        </w:rPr>
        <w:t>)</w:t>
      </w:r>
      <w:r w:rsidR="00462FB8" w:rsidRPr="003B6773">
        <w:rPr>
          <w:lang w:val="en-US"/>
        </w:rPr>
        <w:t xml:space="preserve"> subjects (64.3%) received rescue with</w:t>
      </w:r>
      <w:r w:rsidR="005D7175">
        <w:rPr>
          <w:lang w:val="en-US"/>
        </w:rPr>
        <w:t xml:space="preserve"> upadacitinib</w:t>
      </w:r>
      <w:r w:rsidR="00462FB8" w:rsidRPr="003B6773">
        <w:rPr>
          <w:lang w:val="en-US"/>
        </w:rPr>
        <w:t xml:space="preserve"> 30 mg treatment.</w:t>
      </w:r>
      <w:r w:rsidR="00B51532">
        <w:rPr>
          <w:lang w:val="en-US"/>
        </w:rPr>
        <w:t xml:space="preserve"> </w:t>
      </w:r>
      <w:r w:rsidR="00462FB8" w:rsidRPr="003B6773">
        <w:rPr>
          <w:lang w:val="en-US"/>
        </w:rPr>
        <w:t>85 subjects (67.5%) completed study drug. 41 subjects (32.5%) subjects discontinued study drug in Period 2 (mainly due to lack of efficacy)</w:t>
      </w:r>
      <w:r w:rsidR="00462FB8" w:rsidRPr="003B6773">
        <w:rPr>
          <w:b/>
          <w:lang w:val="en-US"/>
        </w:rPr>
        <w:t>.</w:t>
      </w:r>
      <w:r w:rsidR="00462FB8" w:rsidRPr="003B6773">
        <w:rPr>
          <w:lang w:val="en-US"/>
        </w:rPr>
        <w:t xml:space="preserve"> </w:t>
      </w:r>
    </w:p>
    <w:p w14:paraId="213EBB4C" w14:textId="30B68943" w:rsidR="00462FB8" w:rsidRDefault="00462FB8" w:rsidP="00462FB8">
      <w:pPr>
        <w:spacing w:line="240" w:lineRule="auto"/>
        <w:rPr>
          <w:b/>
          <w:lang w:eastAsia="ja-JP"/>
        </w:rPr>
      </w:pPr>
      <w:r w:rsidRPr="003B6773">
        <w:rPr>
          <w:lang w:eastAsia="ja-JP"/>
        </w:rPr>
        <w:t>Overall, 18.6% (31/167) of the subjects reported protocol violations wit</w:t>
      </w:r>
      <w:r w:rsidR="00332C95">
        <w:rPr>
          <w:lang w:eastAsia="ja-JP"/>
        </w:rPr>
        <w:t>h slightly higher incidence in u</w:t>
      </w:r>
      <w:r w:rsidRPr="003B6773">
        <w:rPr>
          <w:lang w:eastAsia="ja-JP"/>
        </w:rPr>
        <w:t>padacitinib groups (19%, 19% and 23.8% in 7.5</w:t>
      </w:r>
      <w:r w:rsidR="00332C95">
        <w:rPr>
          <w:lang w:eastAsia="ja-JP"/>
        </w:rPr>
        <w:t xml:space="preserve"> </w:t>
      </w:r>
      <w:r w:rsidRPr="003B6773">
        <w:rPr>
          <w:lang w:eastAsia="ja-JP"/>
        </w:rPr>
        <w:t>mg, 15</w:t>
      </w:r>
      <w:r w:rsidR="00332C95">
        <w:rPr>
          <w:lang w:eastAsia="ja-JP"/>
        </w:rPr>
        <w:t xml:space="preserve"> </w:t>
      </w:r>
      <w:r w:rsidRPr="003B6773">
        <w:rPr>
          <w:lang w:eastAsia="ja-JP"/>
        </w:rPr>
        <w:t>mg and 30</w:t>
      </w:r>
      <w:r w:rsidR="00332C95">
        <w:rPr>
          <w:lang w:eastAsia="ja-JP"/>
        </w:rPr>
        <w:t xml:space="preserve"> </w:t>
      </w:r>
      <w:r w:rsidRPr="003B6773">
        <w:rPr>
          <w:lang w:eastAsia="ja-JP"/>
        </w:rPr>
        <w:t>mg groups, respectively) compared with placebo (12.2%). The most common protocol deviations were related to subjects receiving excluded or prohibited concomitant treatments</w:t>
      </w:r>
      <w:r w:rsidRPr="003B6773">
        <w:rPr>
          <w:b/>
          <w:lang w:eastAsia="ja-JP"/>
        </w:rPr>
        <w:t xml:space="preserve">. </w:t>
      </w:r>
    </w:p>
    <w:p w14:paraId="7EA4136B" w14:textId="7A4D91FC" w:rsidR="00462FB8" w:rsidRDefault="00332C95" w:rsidP="00332C95">
      <w:pPr>
        <w:pStyle w:val="Heading5"/>
        <w:rPr>
          <w:lang w:eastAsia="ja-JP"/>
        </w:rPr>
      </w:pPr>
      <w:r>
        <w:rPr>
          <w:lang w:eastAsia="ja-JP"/>
        </w:rPr>
        <w:lastRenderedPageBreak/>
        <w:t>Statistical methods and s</w:t>
      </w:r>
      <w:r w:rsidR="00462FB8" w:rsidRPr="00593962">
        <w:rPr>
          <w:lang w:eastAsia="ja-JP"/>
        </w:rPr>
        <w:t>ample size</w:t>
      </w:r>
      <w:r w:rsidR="00462FB8" w:rsidRPr="00753D0B">
        <w:rPr>
          <w:lang w:eastAsia="ja-JP"/>
        </w:rPr>
        <w:t xml:space="preserve"> </w:t>
      </w:r>
    </w:p>
    <w:p w14:paraId="7789F4A4" w14:textId="1B5926BA" w:rsidR="00462FB8" w:rsidRDefault="00462FB8" w:rsidP="00462FB8">
      <w:pPr>
        <w:spacing w:line="240" w:lineRule="auto"/>
        <w:rPr>
          <w:lang w:val="en-US"/>
        </w:rPr>
      </w:pPr>
      <w:r w:rsidRPr="00753D0B">
        <w:rPr>
          <w:lang w:val="en-US"/>
        </w:rPr>
        <w:t xml:space="preserve">Approximately 160 subjects were planned to be randomised to </w:t>
      </w:r>
      <w:r w:rsidR="00C06C6F">
        <w:rPr>
          <w:lang w:val="en-US"/>
        </w:rPr>
        <w:t xml:space="preserve">one of </w:t>
      </w:r>
      <w:r w:rsidRPr="00753D0B">
        <w:rPr>
          <w:lang w:val="en-US"/>
        </w:rPr>
        <w:t>three</w:t>
      </w:r>
      <w:r w:rsidR="005D7175">
        <w:rPr>
          <w:lang w:val="en-US"/>
        </w:rPr>
        <w:t xml:space="preserve"> upadacitinib</w:t>
      </w:r>
      <w:r w:rsidRPr="00753D0B">
        <w:rPr>
          <w:lang w:val="en-US"/>
        </w:rPr>
        <w:t xml:space="preserve"> treatment groups </w:t>
      </w:r>
      <w:r w:rsidR="00C06C6F">
        <w:rPr>
          <w:lang w:val="en-US"/>
        </w:rPr>
        <w:t>or to receive</w:t>
      </w:r>
      <w:r w:rsidR="00C06C6F" w:rsidRPr="00753D0B">
        <w:rPr>
          <w:lang w:val="en-US"/>
        </w:rPr>
        <w:t xml:space="preserve"> </w:t>
      </w:r>
      <w:r w:rsidRPr="00753D0B">
        <w:rPr>
          <w:lang w:val="en-US"/>
        </w:rPr>
        <w:t xml:space="preserve">placebo in a ratio of 1:1:1:1. </w:t>
      </w:r>
    </w:p>
    <w:p w14:paraId="027B32B0" w14:textId="77777777" w:rsidR="00462FB8" w:rsidRDefault="00462FB8" w:rsidP="00462FB8">
      <w:pPr>
        <w:spacing w:line="240" w:lineRule="auto"/>
        <w:rPr>
          <w:lang w:val="en-US"/>
        </w:rPr>
      </w:pPr>
      <w:r w:rsidRPr="00753D0B">
        <w:rPr>
          <w:lang w:val="en-US"/>
        </w:rPr>
        <w:t xml:space="preserve">The sample size for this study was based on the percent change in EASI from Baseline at Week 16. </w:t>
      </w:r>
    </w:p>
    <w:p w14:paraId="4B544E32" w14:textId="77777777" w:rsidR="00462FB8" w:rsidRDefault="00462FB8" w:rsidP="00462FB8">
      <w:pPr>
        <w:spacing w:line="240" w:lineRule="auto"/>
        <w:rPr>
          <w:lang w:val="en-US"/>
        </w:rPr>
      </w:pPr>
      <w:r w:rsidRPr="00753D0B">
        <w:rPr>
          <w:lang w:val="en-US"/>
        </w:rPr>
        <w:t>Assum</w:t>
      </w:r>
      <w:r>
        <w:rPr>
          <w:lang w:val="en-US"/>
        </w:rPr>
        <w:t>ptions for the sample size:</w:t>
      </w:r>
    </w:p>
    <w:p w14:paraId="7C48C036" w14:textId="77777777" w:rsidR="00462FB8" w:rsidRDefault="00462FB8" w:rsidP="00332C95">
      <w:pPr>
        <w:pStyle w:val="ListBullet"/>
        <w:rPr>
          <w:lang w:val="en-US"/>
        </w:rPr>
      </w:pPr>
      <w:r w:rsidRPr="00BD6A3B">
        <w:rPr>
          <w:lang w:val="en-US"/>
        </w:rPr>
        <w:t>a percent change in EASI from Baseline at Week 16 of 35, 45, 60, and 70 in the placebo, 7.5 mg, 15 mg, and 30 mg arms, respectively</w:t>
      </w:r>
      <w:r>
        <w:rPr>
          <w:lang w:val="en-US"/>
        </w:rPr>
        <w:t>;</w:t>
      </w:r>
    </w:p>
    <w:p w14:paraId="1B63E464" w14:textId="1891D925" w:rsidR="00462FB8" w:rsidRPr="00332C95" w:rsidRDefault="00462FB8" w:rsidP="00332C95">
      <w:pPr>
        <w:pStyle w:val="ListBullet"/>
        <w:rPr>
          <w:lang w:val="en-US"/>
        </w:rPr>
      </w:pPr>
      <w:r w:rsidRPr="00BD6A3B">
        <w:rPr>
          <w:lang w:val="en-US"/>
        </w:rPr>
        <w:t>standard deviation of 40 and a maximum efficacy of 80</w:t>
      </w:r>
      <w:r>
        <w:rPr>
          <w:lang w:val="en-US"/>
        </w:rPr>
        <w:t>.</w:t>
      </w:r>
    </w:p>
    <w:p w14:paraId="6D7D616D" w14:textId="1DDCFEC8" w:rsidR="00462FB8" w:rsidRDefault="00462FB8" w:rsidP="00462FB8">
      <w:pPr>
        <w:spacing w:after="0" w:line="240" w:lineRule="auto"/>
        <w:rPr>
          <w:lang w:val="en-US"/>
        </w:rPr>
      </w:pPr>
      <w:r>
        <w:rPr>
          <w:lang w:val="en-US"/>
        </w:rPr>
        <w:t>Given the above, it was assessed that a</w:t>
      </w:r>
      <w:r w:rsidRPr="00426A07">
        <w:rPr>
          <w:lang w:val="en-US"/>
        </w:rPr>
        <w:t xml:space="preserve"> sample size of 40 subjects per treatment group was sufficient to</w:t>
      </w:r>
      <w:r w:rsidR="00332C95">
        <w:rPr>
          <w:lang w:val="en-US"/>
        </w:rPr>
        <w:t>:</w:t>
      </w:r>
    </w:p>
    <w:p w14:paraId="7E0F9079" w14:textId="77777777" w:rsidR="00462FB8" w:rsidRPr="00426A07" w:rsidRDefault="00462FB8" w:rsidP="00332C95">
      <w:pPr>
        <w:pStyle w:val="ListBullet"/>
        <w:rPr>
          <w:lang w:val="en-US"/>
        </w:rPr>
      </w:pPr>
      <w:r w:rsidRPr="00426A07">
        <w:rPr>
          <w:lang w:val="en-US"/>
        </w:rPr>
        <w:t>test for the presence of a dose response signal;</w:t>
      </w:r>
    </w:p>
    <w:p w14:paraId="36267828" w14:textId="5C08FB1C" w:rsidR="00462FB8" w:rsidRPr="00426A07" w:rsidRDefault="00462FB8" w:rsidP="00332C95">
      <w:pPr>
        <w:pStyle w:val="ListBullet"/>
        <w:rPr>
          <w:lang w:val="en-US"/>
        </w:rPr>
      </w:pPr>
      <w:r w:rsidRPr="00426A07">
        <w:rPr>
          <w:lang w:val="en-US"/>
        </w:rPr>
        <w:t>select the best dose response model for the observed data out of a pre-specified set of candidate models and, estimate target doses of interest (</w:t>
      </w:r>
      <w:r w:rsidR="00332C95">
        <w:rPr>
          <w:lang w:val="en-US"/>
        </w:rPr>
        <w:t>for example</w:t>
      </w:r>
      <w:r w:rsidRPr="00426A07">
        <w:rPr>
          <w:lang w:val="en-US"/>
        </w:rPr>
        <w:t xml:space="preserve">, the minimum effective dose) using Multiple comparison procedure and modeling approach. </w:t>
      </w:r>
    </w:p>
    <w:p w14:paraId="7CDC564B" w14:textId="462F71E8" w:rsidR="00462FB8" w:rsidRDefault="00462FB8" w:rsidP="00462FB8">
      <w:pPr>
        <w:spacing w:line="240" w:lineRule="auto"/>
        <w:rPr>
          <w:lang w:val="en-US"/>
        </w:rPr>
      </w:pPr>
      <w:r w:rsidRPr="00BD6A3B">
        <w:rPr>
          <w:lang w:val="en-US"/>
        </w:rPr>
        <w:t>Th</w:t>
      </w:r>
      <w:r>
        <w:rPr>
          <w:lang w:val="en-US"/>
        </w:rPr>
        <w:t xml:space="preserve">e above </w:t>
      </w:r>
      <w:r w:rsidRPr="00BD6A3B">
        <w:rPr>
          <w:lang w:val="en-US"/>
        </w:rPr>
        <w:t>approach provided 99% average power to detect a dose effect at 5% level of significance (one-sided) with the linear, Emax</w:t>
      </w:r>
      <w:r w:rsidR="00CA216E">
        <w:rPr>
          <w:lang w:val="en-US"/>
        </w:rPr>
        <w:t>;</w:t>
      </w:r>
      <w:r w:rsidR="00CA216E">
        <w:rPr>
          <w:rStyle w:val="FootnoteReference"/>
          <w:lang w:val="en-US"/>
        </w:rPr>
        <w:footnoteReference w:id="62"/>
      </w:r>
      <w:r w:rsidRPr="00BD6A3B">
        <w:rPr>
          <w:lang w:val="en-US"/>
        </w:rPr>
        <w:t xml:space="preserve"> exponential, logistic and sigEmax models pre-specified</w:t>
      </w:r>
      <w:r>
        <w:rPr>
          <w:lang w:val="en-US"/>
        </w:rPr>
        <w:t xml:space="preserve">, </w:t>
      </w:r>
      <w:r w:rsidRPr="00BD6A3B">
        <w:rPr>
          <w:lang w:val="en-US"/>
        </w:rPr>
        <w:t>as likely candidates to characteri</w:t>
      </w:r>
      <w:r>
        <w:rPr>
          <w:lang w:val="en-US"/>
        </w:rPr>
        <w:t>s</w:t>
      </w:r>
      <w:r w:rsidRPr="00BD6A3B">
        <w:rPr>
          <w:lang w:val="en-US"/>
        </w:rPr>
        <w:t>e the dose-response for</w:t>
      </w:r>
      <w:r w:rsidR="005D7175">
        <w:rPr>
          <w:lang w:val="en-US"/>
        </w:rPr>
        <w:t xml:space="preserve"> upadacitinib</w:t>
      </w:r>
      <w:r w:rsidRPr="00BD6A3B">
        <w:rPr>
          <w:lang w:val="en-US"/>
        </w:rPr>
        <w:t xml:space="preserve"> for the percent change in EASI.</w:t>
      </w:r>
    </w:p>
    <w:p w14:paraId="2BE76B31" w14:textId="1C6902D7" w:rsidR="00462FB8" w:rsidRPr="00BD6A3B" w:rsidRDefault="00462FB8" w:rsidP="00462FB8">
      <w:pPr>
        <w:spacing w:line="240" w:lineRule="auto"/>
        <w:rPr>
          <w:lang w:val="en-US"/>
        </w:rPr>
      </w:pPr>
      <w:r w:rsidRPr="00BD6A3B">
        <w:rPr>
          <w:lang w:val="en-US"/>
        </w:rPr>
        <w:t xml:space="preserve">A sample of size 40 per group provided 97% power to detect a significant difference between 30 mg </w:t>
      </w:r>
      <w:r w:rsidR="00332C95">
        <w:rPr>
          <w:lang w:val="en-US"/>
        </w:rPr>
        <w:t>once daily</w:t>
      </w:r>
      <w:r w:rsidRPr="00BD6A3B">
        <w:rPr>
          <w:lang w:val="en-US"/>
        </w:rPr>
        <w:t xml:space="preserve"> and placebo, and 78% power to detect a significant difference between 15 mg </w:t>
      </w:r>
      <w:r w:rsidR="00332C95">
        <w:rPr>
          <w:lang w:val="en-US"/>
        </w:rPr>
        <w:t>once daily</w:t>
      </w:r>
      <w:r w:rsidRPr="00BD6A3B">
        <w:rPr>
          <w:lang w:val="en-US"/>
        </w:rPr>
        <w:t xml:space="preserve"> and placebo at two-sided level of significance of 5.0%. </w:t>
      </w:r>
    </w:p>
    <w:p w14:paraId="6807F8A9" w14:textId="2BE1FE75" w:rsidR="00462FB8" w:rsidRPr="00753D0B" w:rsidRDefault="00462FB8" w:rsidP="00462FB8">
      <w:pPr>
        <w:spacing w:line="240" w:lineRule="auto"/>
        <w:rPr>
          <w:rFonts w:eastAsia="TimesNewRoman" w:cs="TimesNewRoman"/>
          <w:lang w:val="en-US"/>
        </w:rPr>
      </w:pPr>
      <w:r w:rsidRPr="00753D0B">
        <w:rPr>
          <w:rFonts w:eastAsia="TimesNewRoman" w:cs="TimesNewRoman"/>
          <w:lang w:val="en-US"/>
        </w:rPr>
        <w:t xml:space="preserve">Efficacy analyses </w:t>
      </w:r>
      <w:r w:rsidR="00C06C6F">
        <w:rPr>
          <w:rFonts w:eastAsia="TimesNewRoman" w:cs="TimesNewRoman"/>
          <w:lang w:val="en-US"/>
        </w:rPr>
        <w:t>were</w:t>
      </w:r>
      <w:r w:rsidR="00C06C6F" w:rsidRPr="00753D0B">
        <w:rPr>
          <w:rFonts w:eastAsia="TimesNewRoman" w:cs="TimesNewRoman"/>
          <w:lang w:val="en-US"/>
        </w:rPr>
        <w:t xml:space="preserve"> </w:t>
      </w:r>
      <w:r w:rsidR="00C06C6F">
        <w:rPr>
          <w:rFonts w:eastAsia="TimesNewRoman" w:cs="TimesNewRoman"/>
          <w:lang w:val="en-US"/>
        </w:rPr>
        <w:t>performed</w:t>
      </w:r>
      <w:r w:rsidRPr="00753D0B">
        <w:rPr>
          <w:rFonts w:eastAsia="TimesNewRoman" w:cs="TimesNewRoman"/>
          <w:lang w:val="en-US"/>
        </w:rPr>
        <w:t xml:space="preserve"> </w:t>
      </w:r>
      <w:r w:rsidR="00C06C6F">
        <w:rPr>
          <w:rFonts w:eastAsia="TimesNewRoman" w:cs="TimesNewRoman"/>
          <w:lang w:val="en-US"/>
        </w:rPr>
        <w:t>on</w:t>
      </w:r>
      <w:r w:rsidRPr="00753D0B">
        <w:rPr>
          <w:rFonts w:eastAsia="TimesNewRoman" w:cs="TimesNewRoman"/>
          <w:lang w:val="en-US"/>
        </w:rPr>
        <w:t xml:space="preserve"> </w:t>
      </w:r>
      <w:r w:rsidR="00CA216E">
        <w:rPr>
          <w:rFonts w:eastAsia="TimesNewRoman" w:cs="TimesNewRoman"/>
          <w:lang w:val="en-US"/>
        </w:rPr>
        <w:t>the intent</w:t>
      </w:r>
      <w:r w:rsidR="00C06C6F">
        <w:rPr>
          <w:rFonts w:eastAsia="TimesNewRoman" w:cs="TimesNewRoman"/>
          <w:lang w:val="en-US"/>
        </w:rPr>
        <w:t>ion</w:t>
      </w:r>
      <w:r w:rsidR="00CA216E">
        <w:rPr>
          <w:rFonts w:eastAsia="TimesNewRoman" w:cs="TimesNewRoman"/>
          <w:lang w:val="en-US"/>
        </w:rPr>
        <w:t>-to-treat (ITT) populations (</w:t>
      </w:r>
      <w:r w:rsidRPr="00753D0B">
        <w:rPr>
          <w:rFonts w:eastAsia="TimesNewRoman" w:cs="TimesNewRoman"/>
          <w:lang w:val="en-US"/>
        </w:rPr>
        <w:t xml:space="preserve">ITT_1 and ITT_2 </w:t>
      </w:r>
      <w:r w:rsidR="00CA216E">
        <w:rPr>
          <w:rFonts w:eastAsia="TimesNewRoman" w:cs="TimesNewRoman"/>
          <w:lang w:val="en-US"/>
        </w:rPr>
        <w:t xml:space="preserve">populations) </w:t>
      </w:r>
      <w:r w:rsidRPr="00753D0B">
        <w:rPr>
          <w:rFonts w:eastAsia="TimesNewRoman" w:cs="TimesNewRoman"/>
          <w:lang w:val="en-US"/>
        </w:rPr>
        <w:t xml:space="preserve">for Periods 1 and 2, respectively. Pairwise comparisons of each </w:t>
      </w:r>
      <w:r w:rsidR="00332C95">
        <w:rPr>
          <w:rFonts w:eastAsia="TimesNewRoman" w:cs="TimesNewRoman"/>
          <w:lang w:val="en-US"/>
        </w:rPr>
        <w:t>u</w:t>
      </w:r>
      <w:r w:rsidRPr="00753D0B">
        <w:rPr>
          <w:rFonts w:eastAsia="TimesNewRoman" w:cs="TimesNewRoman"/>
          <w:lang w:val="en-US"/>
        </w:rPr>
        <w:t xml:space="preserve">padacitinib treatment group versus placebo was performed in Period 1 and descriptive summaries provided for all treatment groups in Period 2. </w:t>
      </w:r>
    </w:p>
    <w:p w14:paraId="14DB5EA3" w14:textId="2646279C" w:rsidR="00462FB8" w:rsidRPr="00753D0B" w:rsidRDefault="00462FB8" w:rsidP="00462FB8">
      <w:pPr>
        <w:spacing w:line="240" w:lineRule="auto"/>
        <w:rPr>
          <w:rFonts w:eastAsia="TimesNewRoman" w:cs="TimesNewRoman"/>
          <w:lang w:val="en-US"/>
        </w:rPr>
      </w:pPr>
      <w:r w:rsidRPr="00753D0B">
        <w:rPr>
          <w:rFonts w:eastAsia="TimesNewRoman" w:cs="TimesNewRoman"/>
          <w:lang w:val="en-US"/>
        </w:rPr>
        <w:t xml:space="preserve">For binary variables, frequencies and percentages were reported for each treatment group. Pairwise comparison of each </w:t>
      </w:r>
      <w:r w:rsidR="00332C95">
        <w:rPr>
          <w:rFonts w:eastAsia="TimesNewRoman" w:cs="TimesNewRoman"/>
          <w:lang w:val="en-US"/>
        </w:rPr>
        <w:t>u</w:t>
      </w:r>
      <w:r w:rsidRPr="00753D0B">
        <w:rPr>
          <w:rFonts w:eastAsia="TimesNewRoman" w:cs="TimesNewRoman"/>
          <w:lang w:val="en-US"/>
        </w:rPr>
        <w:t>padacitinib group and placebo was performed using the Cochran Mantel-Haenszel test</w:t>
      </w:r>
      <w:r>
        <w:rPr>
          <w:rFonts w:eastAsia="TimesNewRoman" w:cs="TimesNewRoman"/>
          <w:lang w:val="en-US"/>
        </w:rPr>
        <w:t>,</w:t>
      </w:r>
      <w:r w:rsidRPr="00753D0B">
        <w:rPr>
          <w:rFonts w:eastAsia="TimesNewRoman" w:cs="TimesNewRoman"/>
          <w:lang w:val="en-US"/>
        </w:rPr>
        <w:t xml:space="preserve"> adjusting for stratification factors. </w:t>
      </w:r>
    </w:p>
    <w:p w14:paraId="3ECA54A1" w14:textId="77777777" w:rsidR="00462FB8" w:rsidRPr="00753D0B" w:rsidRDefault="00462FB8" w:rsidP="00462FB8">
      <w:pPr>
        <w:spacing w:line="240" w:lineRule="auto"/>
        <w:rPr>
          <w:rFonts w:eastAsia="TimesNewRoman" w:cs="TimesNewRoman"/>
          <w:lang w:val="en-US"/>
        </w:rPr>
      </w:pPr>
      <w:r w:rsidRPr="00753D0B">
        <w:rPr>
          <w:rFonts w:eastAsia="TimesNewRoman" w:cs="TimesNewRoman"/>
          <w:lang w:val="en-US"/>
        </w:rPr>
        <w:t xml:space="preserve">For continuous variables, the model based mean and standard error were provided (baseline and visit means </w:t>
      </w:r>
      <w:r>
        <w:rPr>
          <w:rFonts w:eastAsia="TimesNewRoman" w:cs="TimesNewRoman"/>
          <w:lang w:val="en-US"/>
        </w:rPr>
        <w:t xml:space="preserve">were </w:t>
      </w:r>
      <w:r w:rsidRPr="00753D0B">
        <w:rPr>
          <w:rFonts w:eastAsia="TimesNewRoman" w:cs="TimesNewRoman"/>
          <w:lang w:val="en-US"/>
        </w:rPr>
        <w:t xml:space="preserve">also </w:t>
      </w:r>
      <w:r>
        <w:rPr>
          <w:rFonts w:eastAsia="TimesNewRoman" w:cs="TimesNewRoman"/>
          <w:lang w:val="en-US"/>
        </w:rPr>
        <w:t xml:space="preserve">to </w:t>
      </w:r>
      <w:r w:rsidRPr="00753D0B">
        <w:rPr>
          <w:rFonts w:eastAsia="TimesNewRoman" w:cs="TimesNewRoman"/>
          <w:lang w:val="en-US"/>
        </w:rPr>
        <w:t xml:space="preserve">be presented for each treatment group); treatment groups were compared using the analysis of covariance (ANCOVA) model with treatment group and stratification factors as fixed effects, and the corresponding baseline value as covariates. </w:t>
      </w:r>
    </w:p>
    <w:p w14:paraId="731D6DEA" w14:textId="4186774C" w:rsidR="00462FB8" w:rsidRPr="00753D0B" w:rsidRDefault="00462FB8" w:rsidP="00462FB8">
      <w:pPr>
        <w:spacing w:line="240" w:lineRule="auto"/>
        <w:rPr>
          <w:rFonts w:eastAsia="TimesNewRoman" w:cs="TimesNewRoman"/>
          <w:lang w:val="en-US"/>
        </w:rPr>
      </w:pPr>
      <w:r w:rsidRPr="00753D0B">
        <w:rPr>
          <w:rFonts w:eastAsia="TimesNewRoman" w:cs="TimesNewRoman"/>
          <w:lang w:val="en-US"/>
        </w:rPr>
        <w:t xml:space="preserve">Time to </w:t>
      </w:r>
      <w:r w:rsidR="00332C95">
        <w:rPr>
          <w:rFonts w:eastAsia="TimesNewRoman" w:cs="TimesNewRoman"/>
          <w:lang w:val="en-US"/>
        </w:rPr>
        <w:t>EASI 50/75/90 response and IGA 0 or 1</w:t>
      </w:r>
      <w:r w:rsidRPr="00753D0B">
        <w:rPr>
          <w:rFonts w:eastAsia="TimesNewRoman" w:cs="TimesNewRoman"/>
          <w:lang w:val="en-US"/>
        </w:rPr>
        <w:t xml:space="preserve"> response </w:t>
      </w:r>
      <w:r w:rsidR="00C06C6F">
        <w:rPr>
          <w:rFonts w:eastAsia="TimesNewRoman" w:cs="TimesNewRoman"/>
          <w:lang w:val="en-US"/>
        </w:rPr>
        <w:t>were</w:t>
      </w:r>
      <w:r w:rsidR="00C06C6F" w:rsidRPr="00753D0B">
        <w:rPr>
          <w:rFonts w:eastAsia="TimesNewRoman" w:cs="TimesNewRoman"/>
          <w:lang w:val="en-US"/>
        </w:rPr>
        <w:t xml:space="preserve"> </w:t>
      </w:r>
      <w:r w:rsidRPr="00753D0B">
        <w:rPr>
          <w:rFonts w:eastAsia="TimesNewRoman" w:cs="TimesNewRoman"/>
          <w:lang w:val="en-US"/>
        </w:rPr>
        <w:t>evaluated for Period 1. Time to loss of EASI 50 response among those who were re-randomised as EASI 75 responders at Week 16</w:t>
      </w:r>
      <w:r w:rsidR="00332C95">
        <w:rPr>
          <w:rFonts w:eastAsia="TimesNewRoman" w:cs="TimesNewRoman"/>
          <w:lang w:val="en-US"/>
        </w:rPr>
        <w:t xml:space="preserve"> (or </w:t>
      </w:r>
      <w:r>
        <w:rPr>
          <w:rFonts w:eastAsia="TimesNewRoman" w:cs="TimesNewRoman"/>
          <w:lang w:val="en-US"/>
        </w:rPr>
        <w:t>to placebo)</w:t>
      </w:r>
      <w:r w:rsidRPr="00753D0B">
        <w:rPr>
          <w:rFonts w:eastAsia="TimesNewRoman" w:cs="TimesNewRoman"/>
          <w:lang w:val="en-US"/>
        </w:rPr>
        <w:t xml:space="preserve"> </w:t>
      </w:r>
      <w:r w:rsidR="00C06C6F">
        <w:rPr>
          <w:rFonts w:eastAsia="TimesNewRoman" w:cs="TimesNewRoman"/>
          <w:lang w:val="en-US"/>
        </w:rPr>
        <w:t>were</w:t>
      </w:r>
      <w:r w:rsidR="00C06C6F" w:rsidRPr="00753D0B">
        <w:rPr>
          <w:rFonts w:eastAsia="TimesNewRoman" w:cs="TimesNewRoman"/>
          <w:lang w:val="en-US"/>
        </w:rPr>
        <w:t xml:space="preserve"> </w:t>
      </w:r>
      <w:r w:rsidRPr="00753D0B">
        <w:rPr>
          <w:rFonts w:eastAsia="TimesNewRoman" w:cs="TimesNewRoman"/>
          <w:lang w:val="en-US"/>
        </w:rPr>
        <w:t>evaluated for Period 2. Time t</w:t>
      </w:r>
      <w:r w:rsidR="00332C95">
        <w:rPr>
          <w:rFonts w:eastAsia="TimesNewRoman" w:cs="TimesNewRoman"/>
          <w:lang w:val="en-US"/>
        </w:rPr>
        <w:t xml:space="preserve">o event variables </w:t>
      </w:r>
      <w:r w:rsidR="00C06C6F">
        <w:rPr>
          <w:rFonts w:eastAsia="TimesNewRoman" w:cs="TimesNewRoman"/>
          <w:lang w:val="en-US"/>
        </w:rPr>
        <w:t xml:space="preserve">were </w:t>
      </w:r>
      <w:r w:rsidR="00332C95">
        <w:rPr>
          <w:rFonts w:eastAsia="TimesNewRoman" w:cs="TimesNewRoman"/>
          <w:lang w:val="en-US"/>
        </w:rPr>
        <w:t>analys</w:t>
      </w:r>
      <w:r w:rsidRPr="00753D0B">
        <w:rPr>
          <w:rFonts w:eastAsia="TimesNewRoman" w:cs="TimesNewRoman"/>
          <w:lang w:val="en-US"/>
        </w:rPr>
        <w:t>ed by stratified log-rank test adjusting for stratification factors.</w:t>
      </w:r>
    </w:p>
    <w:p w14:paraId="5D6896B4" w14:textId="3E443C2A" w:rsidR="00462FB8" w:rsidRPr="00027F82" w:rsidRDefault="00462FB8" w:rsidP="00027F82">
      <w:pPr>
        <w:spacing w:line="240" w:lineRule="auto"/>
        <w:rPr>
          <w:rFonts w:eastAsia="TimesNewRoman" w:cs="TimesNewRoman"/>
          <w:color w:val="000000"/>
          <w:lang w:val="en-US"/>
        </w:rPr>
      </w:pPr>
      <w:r w:rsidRPr="00753D0B">
        <w:rPr>
          <w:rFonts w:eastAsia="TimesNewRoman" w:cs="TimesNewRoman"/>
          <w:color w:val="000000"/>
          <w:lang w:val="en-US"/>
        </w:rPr>
        <w:t xml:space="preserve">The dose-response relationship among the 3 </w:t>
      </w:r>
      <w:r w:rsidR="00332C95">
        <w:rPr>
          <w:rFonts w:eastAsia="TimesNewRoman" w:cs="TimesNewRoman"/>
          <w:color w:val="000000"/>
          <w:lang w:val="en-US"/>
        </w:rPr>
        <w:t>u</w:t>
      </w:r>
      <w:r w:rsidRPr="00753D0B">
        <w:rPr>
          <w:rFonts w:eastAsia="TimesNewRoman" w:cs="TimesNewRoman"/>
          <w:color w:val="000000"/>
          <w:lang w:val="en-US"/>
        </w:rPr>
        <w:t>padacitinib dose groups and</w:t>
      </w:r>
      <w:r>
        <w:rPr>
          <w:rFonts w:eastAsia="TimesNewRoman" w:cs="TimesNewRoman"/>
          <w:color w:val="000000"/>
          <w:lang w:val="en-US"/>
        </w:rPr>
        <w:t>,</w:t>
      </w:r>
      <w:r w:rsidRPr="00753D0B">
        <w:rPr>
          <w:rFonts w:eastAsia="TimesNewRoman" w:cs="TimesNewRoman"/>
          <w:color w:val="000000"/>
          <w:lang w:val="en-US"/>
        </w:rPr>
        <w:t xml:space="preserve"> the placebo were characterised for the primary efficacy endpoint percent change from Baseline in EASI score at Week 16 and two secondary endpoints of EASI 75 and IGA 0/1 at Week 16</w:t>
      </w:r>
      <w:r>
        <w:rPr>
          <w:rFonts w:eastAsia="TimesNewRoman" w:cs="TimesNewRoman"/>
          <w:color w:val="000000"/>
          <w:lang w:val="en-US"/>
        </w:rPr>
        <w:t xml:space="preserve">. Characterisation used </w:t>
      </w:r>
      <w:r w:rsidRPr="00753D0B">
        <w:rPr>
          <w:rFonts w:eastAsia="TimesNewRoman" w:cs="TimesNewRoman"/>
          <w:color w:val="000000"/>
          <w:lang w:val="en-US"/>
        </w:rPr>
        <w:t>the</w:t>
      </w:r>
      <w:r w:rsidR="00332C95">
        <w:rPr>
          <w:rFonts w:eastAsia="TimesNewRoman" w:cs="TimesNewRoman"/>
          <w:color w:val="000000"/>
          <w:lang w:val="en-US"/>
        </w:rPr>
        <w:t xml:space="preserve"> multiple comparison procedure</w:t>
      </w:r>
      <w:r w:rsidR="00027F82">
        <w:rPr>
          <w:rFonts w:eastAsia="TimesNewRoman" w:cs="TimesNewRoman"/>
          <w:color w:val="000000"/>
          <w:lang w:val="en-US"/>
        </w:rPr>
        <w:t xml:space="preserve"> modeling </w:t>
      </w:r>
      <w:r w:rsidR="00332C95">
        <w:rPr>
          <w:rFonts w:eastAsia="TimesNewRoman" w:cs="TimesNewRoman"/>
          <w:color w:val="000000"/>
          <w:lang w:val="en-US"/>
        </w:rPr>
        <w:t>method (</w:t>
      </w:r>
      <w:r w:rsidRPr="00753D0B">
        <w:rPr>
          <w:rFonts w:eastAsia="TimesNewRoman" w:cs="TimesNewRoman"/>
          <w:color w:val="000000"/>
          <w:lang w:val="en-US"/>
        </w:rPr>
        <w:t xml:space="preserve">response based on the </w:t>
      </w:r>
      <w:r w:rsidR="00332C95">
        <w:rPr>
          <w:rFonts w:eastAsia="TimesNewRoman" w:cs="TimesNewRoman"/>
          <w:color w:val="000000"/>
          <w:lang w:val="en-US"/>
        </w:rPr>
        <w:t>last observation carried forward imputation was used)</w:t>
      </w:r>
      <w:r w:rsidR="00027F82">
        <w:rPr>
          <w:rFonts w:eastAsia="TimesNewRoman" w:cs="TimesNewRoman"/>
          <w:color w:val="000000"/>
          <w:lang w:val="en-US"/>
        </w:rPr>
        <w:t>.</w:t>
      </w:r>
      <w:r w:rsidR="00027F82">
        <w:rPr>
          <w:rStyle w:val="FootnoteReference"/>
          <w:rFonts w:eastAsia="TimesNewRoman" w:cs="TimesNewRoman"/>
          <w:color w:val="000000"/>
          <w:lang w:val="en-US"/>
        </w:rPr>
        <w:footnoteReference w:id="63"/>
      </w:r>
    </w:p>
    <w:p w14:paraId="5D58AC76" w14:textId="3EAE8910" w:rsidR="00462FB8" w:rsidRPr="00027F82" w:rsidRDefault="00027F82" w:rsidP="00027F82">
      <w:pPr>
        <w:rPr>
          <w:color w:val="000000"/>
          <w:lang w:val="en-US"/>
        </w:rPr>
      </w:pPr>
      <w:r>
        <w:rPr>
          <w:lang w:val="en-US"/>
        </w:rPr>
        <w:lastRenderedPageBreak/>
        <w:t>The clinical evaluation noted that f</w:t>
      </w:r>
      <w:r w:rsidR="00462FB8" w:rsidRPr="00753D0B">
        <w:rPr>
          <w:lang w:val="en-US"/>
        </w:rPr>
        <w:t>or efficacy related analyses, if there were multiple measurements for a particular parameter collected on the same day for the same subject, the most conservative measurement indicating the worst disease status was used in the analyses. Imputation of missing data for the efficacy analyses was also clearly specified</w:t>
      </w:r>
      <w:r w:rsidR="00462FB8">
        <w:rPr>
          <w:lang w:val="en-US"/>
        </w:rPr>
        <w:t xml:space="preserve">. The latter </w:t>
      </w:r>
      <w:r w:rsidR="00462FB8" w:rsidRPr="00753D0B">
        <w:rPr>
          <w:lang w:val="en-US"/>
        </w:rPr>
        <w:t>enabled a conservative evaluation of results.</w:t>
      </w:r>
    </w:p>
    <w:p w14:paraId="2DDD13FE" w14:textId="64601FBD" w:rsidR="00462FB8" w:rsidRPr="00B2114D" w:rsidRDefault="00462FB8" w:rsidP="00027F82">
      <w:pPr>
        <w:pStyle w:val="Heading5"/>
        <w:rPr>
          <w:lang w:val="en-US"/>
        </w:rPr>
      </w:pPr>
      <w:r w:rsidRPr="00B2114D">
        <w:rPr>
          <w:lang w:eastAsia="ja-JP"/>
        </w:rPr>
        <w:t>B</w:t>
      </w:r>
      <w:r w:rsidR="00027F82">
        <w:rPr>
          <w:lang w:eastAsia="ja-JP"/>
        </w:rPr>
        <w:t>aseline data</w:t>
      </w:r>
    </w:p>
    <w:p w14:paraId="1554CB0C" w14:textId="48CD0001" w:rsidR="00462FB8" w:rsidRDefault="00462FB8" w:rsidP="00462FB8">
      <w:pPr>
        <w:spacing w:line="240" w:lineRule="auto"/>
        <w:rPr>
          <w:lang w:val="en-US"/>
        </w:rPr>
      </w:pPr>
      <w:r w:rsidRPr="00B2114D">
        <w:rPr>
          <w:lang w:val="en-US"/>
        </w:rPr>
        <w:t xml:space="preserve">The majority of subjects in Period 1 and Period 2 were male, and were &lt; 40 years of age with a </w:t>
      </w:r>
      <w:r w:rsidR="00027F82">
        <w:rPr>
          <w:lang w:val="en-US"/>
        </w:rPr>
        <w:t>body mass index</w:t>
      </w:r>
      <w:r w:rsidRPr="00B2114D">
        <w:rPr>
          <w:lang w:val="en-US"/>
        </w:rPr>
        <w:t xml:space="preserve"> </w:t>
      </w:r>
      <w:r w:rsidRPr="00B2114D">
        <w:rPr>
          <w:u w:val="single"/>
          <w:lang w:val="en-US"/>
        </w:rPr>
        <w:t>&gt;</w:t>
      </w:r>
      <w:r w:rsidRPr="00B2114D">
        <w:rPr>
          <w:lang w:val="en-US"/>
        </w:rPr>
        <w:t xml:space="preserve"> 25 kg/m</w:t>
      </w:r>
      <w:r w:rsidRPr="00B2114D">
        <w:rPr>
          <w:vertAlign w:val="superscript"/>
          <w:lang w:val="en-US"/>
        </w:rPr>
        <w:t>2</w:t>
      </w:r>
      <w:r w:rsidRPr="00B2114D">
        <w:rPr>
          <w:lang w:val="en-US"/>
        </w:rPr>
        <w:t>.</w:t>
      </w:r>
    </w:p>
    <w:p w14:paraId="70FE41AE" w14:textId="08AB0AF6" w:rsidR="00462FB8" w:rsidRDefault="00C06C6F" w:rsidP="00462FB8">
      <w:pPr>
        <w:spacing w:line="240" w:lineRule="auto"/>
        <w:rPr>
          <w:b/>
          <w:color w:val="000000"/>
          <w:lang w:val="en-US"/>
        </w:rPr>
      </w:pPr>
      <w:r>
        <w:rPr>
          <w:color w:val="000000"/>
          <w:lang w:val="en-US"/>
        </w:rPr>
        <w:t>The d</w:t>
      </w:r>
      <w:r w:rsidR="00462FB8" w:rsidRPr="00B2114D">
        <w:rPr>
          <w:color w:val="000000"/>
          <w:lang w:val="en-US"/>
        </w:rPr>
        <w:t>emographic characteristics were generally balanced across the treatment groups in Period 1</w:t>
      </w:r>
      <w:r w:rsidR="00462FB8">
        <w:rPr>
          <w:color w:val="000000"/>
          <w:lang w:val="en-US"/>
        </w:rPr>
        <w:t>, as per</w:t>
      </w:r>
      <w:r w:rsidR="00B31D61">
        <w:rPr>
          <w:color w:val="000000"/>
          <w:lang w:val="en-US"/>
        </w:rPr>
        <w:t xml:space="preserve"> </w:t>
      </w:r>
      <w:r w:rsidR="00B31D61">
        <w:rPr>
          <w:color w:val="000000"/>
          <w:lang w:val="en-US"/>
        </w:rPr>
        <w:fldChar w:fldCharType="begin"/>
      </w:r>
      <w:r w:rsidR="00B31D61">
        <w:rPr>
          <w:color w:val="000000"/>
          <w:lang w:val="en-US"/>
        </w:rPr>
        <w:instrText xml:space="preserve"> REF _Ref126051940 \h </w:instrText>
      </w:r>
      <w:r w:rsidR="00B31D61">
        <w:rPr>
          <w:color w:val="000000"/>
          <w:lang w:val="en-US"/>
        </w:rPr>
      </w:r>
      <w:r w:rsidR="00B31D61">
        <w:rPr>
          <w:color w:val="000000"/>
          <w:lang w:val="en-US"/>
        </w:rPr>
        <w:fldChar w:fldCharType="separate"/>
      </w:r>
      <w:r w:rsidR="00B51532">
        <w:t xml:space="preserve">Table </w:t>
      </w:r>
      <w:r w:rsidR="00B51532">
        <w:rPr>
          <w:noProof/>
        </w:rPr>
        <w:t>34</w:t>
      </w:r>
      <w:r w:rsidR="00B31D61">
        <w:rPr>
          <w:color w:val="000000"/>
          <w:lang w:val="en-US"/>
        </w:rPr>
        <w:fldChar w:fldCharType="end"/>
      </w:r>
      <w:r w:rsidR="00B31D61">
        <w:rPr>
          <w:color w:val="000000"/>
          <w:lang w:val="en-US"/>
        </w:rPr>
        <w:t>, below.</w:t>
      </w:r>
    </w:p>
    <w:p w14:paraId="419A1A03" w14:textId="2B1C5361" w:rsidR="00027F82" w:rsidRDefault="00027F82" w:rsidP="00027F82">
      <w:pPr>
        <w:pStyle w:val="Tabletitle0"/>
      </w:pPr>
      <w:bookmarkStart w:id="134" w:name="_Ref126051940"/>
      <w:r>
        <w:t xml:space="preserve">Table </w:t>
      </w:r>
      <w:fldSimple w:instr=" SEQ Table \* ARABIC ">
        <w:r w:rsidR="00B51532">
          <w:rPr>
            <w:noProof/>
          </w:rPr>
          <w:t>34</w:t>
        </w:r>
      </w:fldSimple>
      <w:bookmarkEnd w:id="134"/>
      <w:r>
        <w:t>: Study M16-048 Demographic characteristics and baseline data (Period 1)</w:t>
      </w:r>
    </w:p>
    <w:p w14:paraId="652AA47F" w14:textId="77777777" w:rsidR="00462FB8" w:rsidRDefault="00462FB8" w:rsidP="00462FB8">
      <w:pPr>
        <w:spacing w:line="240" w:lineRule="auto"/>
        <w:rPr>
          <w:b/>
          <w:color w:val="000000"/>
          <w:lang w:val="en-US"/>
        </w:rPr>
      </w:pPr>
      <w:r w:rsidRPr="00AC0FB2">
        <w:rPr>
          <w:rFonts w:ascii="Calibri" w:hAnsi="Calibri" w:cs="Calibri"/>
          <w:noProof/>
          <w:sz w:val="20"/>
          <w:szCs w:val="20"/>
          <w:lang w:val="en-GB" w:eastAsia="en-GB"/>
        </w:rPr>
        <w:drawing>
          <wp:inline distT="0" distB="0" distL="0" distR="0" wp14:anchorId="5114F4E1" wp14:editId="08AA119A">
            <wp:extent cx="5288162" cy="2515897"/>
            <wp:effectExtent l="0" t="0" r="8255" b="0"/>
            <wp:docPr id="254" name="Picture 254" descr="Study M16-048 Demographic characteristics and baseline data (Peri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Study M16-048 Demographic characteristics and baseline data (Period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33734" cy="2537579"/>
                    </a:xfrm>
                    <a:prstGeom prst="rect">
                      <a:avLst/>
                    </a:prstGeom>
                    <a:noFill/>
                    <a:ln>
                      <a:noFill/>
                    </a:ln>
                  </pic:spPr>
                </pic:pic>
              </a:graphicData>
            </a:graphic>
          </wp:inline>
        </w:drawing>
      </w:r>
    </w:p>
    <w:p w14:paraId="2FF598BE" w14:textId="77777777" w:rsidR="00462FB8" w:rsidRDefault="00462FB8" w:rsidP="00462FB8">
      <w:pPr>
        <w:spacing w:line="240" w:lineRule="auto"/>
        <w:rPr>
          <w:b/>
          <w:color w:val="000000"/>
          <w:lang w:val="en-US"/>
        </w:rPr>
      </w:pPr>
      <w:r w:rsidRPr="00AC0FB2">
        <w:rPr>
          <w:rFonts w:ascii="Calibri" w:hAnsi="Calibri" w:cs="Calibri"/>
          <w:noProof/>
          <w:sz w:val="20"/>
          <w:szCs w:val="20"/>
          <w:lang w:val="en-GB" w:eastAsia="en-GB"/>
        </w:rPr>
        <w:drawing>
          <wp:inline distT="0" distB="0" distL="0" distR="0" wp14:anchorId="11D50452" wp14:editId="2D04129B">
            <wp:extent cx="5414839" cy="2339296"/>
            <wp:effectExtent l="0" t="0" r="0" b="4445"/>
            <wp:docPr id="255" name="Picture 255" descr="Study M16-048 Demographic characteristics and baseline data (Peri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tudy M16-048 Demographic characteristics and baseline data (Period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79731" cy="2410532"/>
                    </a:xfrm>
                    <a:prstGeom prst="rect">
                      <a:avLst/>
                    </a:prstGeom>
                    <a:noFill/>
                    <a:ln>
                      <a:noFill/>
                    </a:ln>
                  </pic:spPr>
                </pic:pic>
              </a:graphicData>
            </a:graphic>
          </wp:inline>
        </w:drawing>
      </w:r>
    </w:p>
    <w:p w14:paraId="7CCDAD6D" w14:textId="1E54A9FC" w:rsidR="00462FB8" w:rsidRPr="00027F82" w:rsidRDefault="00462FB8" w:rsidP="00462FB8">
      <w:pPr>
        <w:spacing w:line="240" w:lineRule="auto"/>
        <w:rPr>
          <w:b/>
          <w:color w:val="000000"/>
          <w:lang w:val="en-US"/>
        </w:rPr>
      </w:pPr>
      <w:r w:rsidRPr="00AC0FB2">
        <w:rPr>
          <w:rFonts w:ascii="Calibri" w:hAnsi="Calibri" w:cs="Calibri"/>
          <w:noProof/>
          <w:sz w:val="20"/>
          <w:szCs w:val="20"/>
          <w:lang w:val="en-GB" w:eastAsia="en-GB"/>
        </w:rPr>
        <w:drawing>
          <wp:inline distT="0" distB="0" distL="0" distR="0" wp14:anchorId="6A238168" wp14:editId="196E2BCF">
            <wp:extent cx="5287645" cy="883037"/>
            <wp:effectExtent l="0" t="0" r="0" b="0"/>
            <wp:docPr id="176" name="Picture 176" descr="Study M16-048 Demographic characteristics and baseline data (Peri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Study M16-048 Demographic characteristics and baseline data (Period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57019" cy="911322"/>
                    </a:xfrm>
                    <a:prstGeom prst="rect">
                      <a:avLst/>
                    </a:prstGeom>
                    <a:noFill/>
                    <a:ln>
                      <a:noFill/>
                    </a:ln>
                  </pic:spPr>
                </pic:pic>
              </a:graphicData>
            </a:graphic>
          </wp:inline>
        </w:drawing>
      </w:r>
    </w:p>
    <w:p w14:paraId="798337A3" w14:textId="5CBE4C25" w:rsidR="00462FB8" w:rsidRDefault="00462FB8" w:rsidP="00462FB8">
      <w:pPr>
        <w:spacing w:line="240" w:lineRule="auto"/>
        <w:rPr>
          <w:color w:val="000000"/>
          <w:lang w:val="en-US"/>
        </w:rPr>
      </w:pPr>
      <w:r>
        <w:rPr>
          <w:color w:val="000000"/>
          <w:lang w:val="en-US"/>
        </w:rPr>
        <w:t xml:space="preserve">There were </w:t>
      </w:r>
      <w:r w:rsidRPr="00B2114D">
        <w:rPr>
          <w:color w:val="000000"/>
          <w:lang w:val="en-US"/>
        </w:rPr>
        <w:t>some numerical imbalances observed in Period 2 (likely due to small sample size in each treatment group)</w:t>
      </w:r>
      <w:r w:rsidR="00027F82">
        <w:rPr>
          <w:color w:val="000000"/>
          <w:lang w:val="en-US"/>
        </w:rPr>
        <w:t xml:space="preserve">, as per </w:t>
      </w:r>
      <w:r w:rsidR="00B31D61">
        <w:rPr>
          <w:color w:val="000000"/>
          <w:lang w:val="en-US"/>
        </w:rPr>
        <w:fldChar w:fldCharType="begin"/>
      </w:r>
      <w:r w:rsidR="00B31D61">
        <w:rPr>
          <w:color w:val="000000"/>
          <w:lang w:val="en-US"/>
        </w:rPr>
        <w:instrText xml:space="preserve"> REF _Ref126052024 \h </w:instrText>
      </w:r>
      <w:r w:rsidR="00B31D61">
        <w:rPr>
          <w:color w:val="000000"/>
          <w:lang w:val="en-US"/>
        </w:rPr>
      </w:r>
      <w:r w:rsidR="00B31D61">
        <w:rPr>
          <w:color w:val="000000"/>
          <w:lang w:val="en-US"/>
        </w:rPr>
        <w:fldChar w:fldCharType="separate"/>
      </w:r>
      <w:r w:rsidR="00B51532">
        <w:t xml:space="preserve">Table </w:t>
      </w:r>
      <w:r w:rsidR="00B51532">
        <w:rPr>
          <w:noProof/>
        </w:rPr>
        <w:t>35</w:t>
      </w:r>
      <w:r w:rsidR="00B31D61">
        <w:rPr>
          <w:color w:val="000000"/>
          <w:lang w:val="en-US"/>
        </w:rPr>
        <w:fldChar w:fldCharType="end"/>
      </w:r>
      <w:r w:rsidR="00B31D61">
        <w:rPr>
          <w:color w:val="000000"/>
          <w:lang w:val="en-US"/>
        </w:rPr>
        <w:t xml:space="preserve"> below</w:t>
      </w:r>
      <w:r w:rsidR="00027F82">
        <w:rPr>
          <w:color w:val="000000"/>
          <w:lang w:val="en-US"/>
        </w:rPr>
        <w:t>.</w:t>
      </w:r>
    </w:p>
    <w:p w14:paraId="3AAC2318" w14:textId="62BB6B4B" w:rsidR="00027F82" w:rsidRDefault="00027F82" w:rsidP="00027F82">
      <w:pPr>
        <w:pStyle w:val="Tabletitle0"/>
        <w:rPr>
          <w:color w:val="000000"/>
          <w:lang w:val="en-US"/>
        </w:rPr>
      </w:pPr>
      <w:bookmarkStart w:id="135" w:name="_Ref126052024"/>
      <w:r>
        <w:lastRenderedPageBreak/>
        <w:t xml:space="preserve">Table </w:t>
      </w:r>
      <w:fldSimple w:instr=" SEQ Table \* ARABIC ">
        <w:r w:rsidR="00B51532">
          <w:rPr>
            <w:noProof/>
          </w:rPr>
          <w:t>35</w:t>
        </w:r>
      </w:fldSimple>
      <w:bookmarkEnd w:id="135"/>
      <w:r>
        <w:t>: Study M16-048 Demographic characteristics and baseline data (Period 2)</w:t>
      </w:r>
    </w:p>
    <w:p w14:paraId="39FA70F6" w14:textId="77777777" w:rsidR="00462FB8" w:rsidRDefault="00462FB8" w:rsidP="00462FB8">
      <w:pPr>
        <w:spacing w:line="240" w:lineRule="auto"/>
        <w:rPr>
          <w:color w:val="000000"/>
          <w:lang w:val="en-US"/>
        </w:rPr>
      </w:pPr>
      <w:r w:rsidRPr="00AC0FB2">
        <w:rPr>
          <w:rFonts w:ascii="Calibri" w:hAnsi="Calibri" w:cs="Calibri"/>
          <w:noProof/>
          <w:sz w:val="20"/>
          <w:szCs w:val="20"/>
          <w:lang w:val="en-GB" w:eastAsia="en-GB"/>
        </w:rPr>
        <w:drawing>
          <wp:inline distT="0" distB="0" distL="0" distR="0" wp14:anchorId="7A4967D3" wp14:editId="15BD72F4">
            <wp:extent cx="5316279" cy="2333046"/>
            <wp:effectExtent l="0" t="0" r="0" b="0"/>
            <wp:docPr id="184" name="Picture 184" descr="Study M16-048 Demographic characteristics and baseline data (Perio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Study M16-048 Demographic characteristics and baseline data (Period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58117" cy="2351406"/>
                    </a:xfrm>
                    <a:prstGeom prst="rect">
                      <a:avLst/>
                    </a:prstGeom>
                    <a:noFill/>
                    <a:ln>
                      <a:noFill/>
                    </a:ln>
                  </pic:spPr>
                </pic:pic>
              </a:graphicData>
            </a:graphic>
          </wp:inline>
        </w:drawing>
      </w:r>
    </w:p>
    <w:p w14:paraId="57CC53E0" w14:textId="77777777" w:rsidR="00462FB8" w:rsidRDefault="00462FB8" w:rsidP="00462FB8">
      <w:pPr>
        <w:spacing w:line="240" w:lineRule="auto"/>
        <w:rPr>
          <w:color w:val="000000"/>
          <w:lang w:val="en-US"/>
        </w:rPr>
      </w:pPr>
      <w:r w:rsidRPr="00AC0FB2">
        <w:rPr>
          <w:rFonts w:ascii="Calibri" w:hAnsi="Calibri" w:cs="Calibri"/>
          <w:noProof/>
          <w:sz w:val="20"/>
          <w:szCs w:val="20"/>
          <w:lang w:val="en-GB" w:eastAsia="en-GB"/>
        </w:rPr>
        <w:drawing>
          <wp:inline distT="0" distB="0" distL="0" distR="0" wp14:anchorId="25E5FAEE" wp14:editId="59245EB1">
            <wp:extent cx="5317162" cy="1957099"/>
            <wp:effectExtent l="0" t="0" r="0" b="5080"/>
            <wp:docPr id="203" name="Picture 203" descr="Study M16-048 Demographic characteristics and baseline data (Perio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Study M16-048 Demographic characteristics and baseline data (Period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23458" cy="1996224"/>
                    </a:xfrm>
                    <a:prstGeom prst="rect">
                      <a:avLst/>
                    </a:prstGeom>
                    <a:noFill/>
                    <a:ln>
                      <a:noFill/>
                    </a:ln>
                  </pic:spPr>
                </pic:pic>
              </a:graphicData>
            </a:graphic>
          </wp:inline>
        </w:drawing>
      </w:r>
    </w:p>
    <w:p w14:paraId="54BA8F4A" w14:textId="77777777" w:rsidR="00462FB8" w:rsidRDefault="00462FB8" w:rsidP="00462FB8">
      <w:pPr>
        <w:spacing w:line="240" w:lineRule="auto"/>
        <w:rPr>
          <w:color w:val="000000"/>
          <w:lang w:val="en-US"/>
        </w:rPr>
      </w:pPr>
      <w:r w:rsidRPr="00AC0FB2">
        <w:rPr>
          <w:rFonts w:ascii="Calibri" w:hAnsi="Calibri" w:cs="Calibri"/>
          <w:noProof/>
          <w:sz w:val="20"/>
          <w:szCs w:val="20"/>
          <w:lang w:val="en-GB" w:eastAsia="en-GB"/>
        </w:rPr>
        <w:drawing>
          <wp:inline distT="0" distB="0" distL="0" distR="0" wp14:anchorId="3E62B171" wp14:editId="4B3791DE">
            <wp:extent cx="5316220" cy="1413197"/>
            <wp:effectExtent l="0" t="0" r="0" b="0"/>
            <wp:docPr id="256" name="Picture 256" descr="Study M16-048 Demographic characteristics and baseline data (Perio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Study M16-048 Demographic characteristics and baseline data (Period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97284" cy="1434746"/>
                    </a:xfrm>
                    <a:prstGeom prst="rect">
                      <a:avLst/>
                    </a:prstGeom>
                    <a:noFill/>
                    <a:ln>
                      <a:noFill/>
                    </a:ln>
                  </pic:spPr>
                </pic:pic>
              </a:graphicData>
            </a:graphic>
          </wp:inline>
        </w:drawing>
      </w:r>
      <w:r>
        <w:rPr>
          <w:color w:val="000000"/>
          <w:lang w:val="en-US"/>
        </w:rPr>
        <w:t xml:space="preserve"> </w:t>
      </w:r>
    </w:p>
    <w:p w14:paraId="7792D352" w14:textId="0A4100CC" w:rsidR="00462FB8" w:rsidRPr="00027F82" w:rsidRDefault="00C06C6F" w:rsidP="00462FB8">
      <w:pPr>
        <w:spacing w:line="240" w:lineRule="auto"/>
        <w:rPr>
          <w:b/>
          <w:color w:val="000000"/>
          <w:lang w:val="en-US"/>
        </w:rPr>
      </w:pPr>
      <w:r>
        <w:rPr>
          <w:lang w:val="en-US"/>
        </w:rPr>
        <w:t>The b</w:t>
      </w:r>
      <w:r w:rsidR="00462FB8" w:rsidRPr="00761639">
        <w:rPr>
          <w:lang w:val="en-US"/>
        </w:rPr>
        <w:t>aseline disease characteristics were generally balanced across the</w:t>
      </w:r>
      <w:r w:rsidR="005D7175">
        <w:rPr>
          <w:lang w:val="en-US"/>
        </w:rPr>
        <w:t xml:space="preserve"> upadacitinib</w:t>
      </w:r>
      <w:r w:rsidR="00462FB8" w:rsidRPr="00761639">
        <w:rPr>
          <w:lang w:val="en-US"/>
        </w:rPr>
        <w:t xml:space="preserve"> and placebo groups in Period 1 and between those subjects who were re-randomised to the</w:t>
      </w:r>
      <w:r w:rsidR="005D7175">
        <w:rPr>
          <w:lang w:val="en-US"/>
        </w:rPr>
        <w:t xml:space="preserve"> upadacitinib</w:t>
      </w:r>
      <w:r w:rsidR="00462FB8" w:rsidRPr="00761639">
        <w:rPr>
          <w:lang w:val="en-US"/>
        </w:rPr>
        <w:t xml:space="preserve"> and placebo groups in Period 2. Overall, the most common medical/surgical history by body system was immune system disorders (58.1%; </w:t>
      </w:r>
      <w:r w:rsidR="00027F82">
        <w:rPr>
          <w:lang w:val="en-US"/>
        </w:rPr>
        <w:t xml:space="preserve">of which seasonal allergy, 20.4%; and multiple allergies, </w:t>
      </w:r>
      <w:r w:rsidR="00462FB8" w:rsidRPr="00761639">
        <w:rPr>
          <w:lang w:val="en-US"/>
        </w:rPr>
        <w:t xml:space="preserve">16.8%), followed by respiratory, thoracic and mediastinal disorders (44.9%) with similar incidences across all treatment groups. </w:t>
      </w:r>
      <w:r w:rsidR="00462FB8" w:rsidRPr="00DE5ADB">
        <w:rPr>
          <w:lang w:val="en-US"/>
        </w:rPr>
        <w:t>There were few subjects with latent TB at screening or prior to entering the study across the treatment groups (2.4%, 4.8%, 0%, and 0%</w:t>
      </w:r>
      <w:r w:rsidR="00027F82">
        <w:rPr>
          <w:lang w:val="en-US"/>
        </w:rPr>
        <w:t xml:space="preserve"> in upadacitinib 30 mg, upadacitinib 15 mg, u</w:t>
      </w:r>
      <w:r w:rsidR="00462FB8" w:rsidRPr="00DE5ADB">
        <w:rPr>
          <w:lang w:val="en-US"/>
        </w:rPr>
        <w:t>padacitinib 7.5 mg, and placebo groups, respectively). All subjects with latent TB received prophylaxis prior to or during the study.</w:t>
      </w:r>
    </w:p>
    <w:p w14:paraId="56C1D6C4" w14:textId="6AE0D080" w:rsidR="00462FB8" w:rsidRPr="0082581F" w:rsidRDefault="00462FB8" w:rsidP="00462FB8">
      <w:pPr>
        <w:spacing w:line="240" w:lineRule="auto"/>
        <w:rPr>
          <w:lang w:val="en-US"/>
        </w:rPr>
      </w:pPr>
      <w:r w:rsidRPr="0082581F">
        <w:rPr>
          <w:lang w:val="en-US"/>
        </w:rPr>
        <w:t xml:space="preserve">Subjects had been diagnosed with </w:t>
      </w:r>
      <w:r w:rsidR="00B31D61">
        <w:rPr>
          <w:lang w:val="en-US"/>
        </w:rPr>
        <w:t>atopic dermatitis</w:t>
      </w:r>
      <w:r w:rsidRPr="0082581F">
        <w:rPr>
          <w:lang w:val="en-US"/>
        </w:rPr>
        <w:t xml:space="preserve"> f</w:t>
      </w:r>
      <w:r w:rsidR="00B31D61">
        <w:rPr>
          <w:lang w:val="en-US"/>
        </w:rPr>
        <w:t>or a mean of approximately 26.0 </w:t>
      </w:r>
      <w:r w:rsidRPr="0082581F">
        <w:rPr>
          <w:lang w:val="en-US"/>
        </w:rPr>
        <w:t>years.</w:t>
      </w:r>
    </w:p>
    <w:p w14:paraId="0188237D" w14:textId="03D3A60F" w:rsidR="00462FB8" w:rsidRPr="00B31D61" w:rsidRDefault="00027F82" w:rsidP="00B31D61">
      <w:pPr>
        <w:rPr>
          <w:b/>
          <w:lang w:val="en-US"/>
        </w:rPr>
      </w:pPr>
      <w:r>
        <w:rPr>
          <w:lang w:val="en-US"/>
        </w:rPr>
        <w:t xml:space="preserve">The clinical evaluation noted </w:t>
      </w:r>
      <w:r w:rsidR="00462FB8" w:rsidRPr="0082581F">
        <w:rPr>
          <w:lang w:val="en-US"/>
        </w:rPr>
        <w:t xml:space="preserve">that in Period 1, there were more subjects with severe eczema in terms of IGA in the placebo and </w:t>
      </w:r>
      <w:r>
        <w:rPr>
          <w:lang w:val="en-US"/>
        </w:rPr>
        <w:t xml:space="preserve">upadacitinib </w:t>
      </w:r>
      <w:r w:rsidR="005D7175">
        <w:rPr>
          <w:lang w:val="en-US"/>
        </w:rPr>
        <w:t>15 mg</w:t>
      </w:r>
      <w:r>
        <w:rPr>
          <w:lang w:val="en-US"/>
        </w:rPr>
        <w:t xml:space="preserve"> groups (55 to </w:t>
      </w:r>
      <w:r w:rsidR="00462FB8" w:rsidRPr="0082581F">
        <w:rPr>
          <w:lang w:val="en-US"/>
        </w:rPr>
        <w:t xml:space="preserve">56%) compared to the </w:t>
      </w:r>
      <w:r>
        <w:rPr>
          <w:lang w:val="en-US"/>
        </w:rPr>
        <w:t xml:space="preserve">upadacitinib </w:t>
      </w:r>
      <w:r w:rsidR="00462FB8" w:rsidRPr="0082581F">
        <w:rPr>
          <w:lang w:val="en-US"/>
        </w:rPr>
        <w:t xml:space="preserve">7.5 </w:t>
      </w:r>
      <w:r>
        <w:rPr>
          <w:lang w:val="en-US"/>
        </w:rPr>
        <w:t xml:space="preserve">mg </w:t>
      </w:r>
      <w:r w:rsidR="00462FB8" w:rsidRPr="0082581F">
        <w:rPr>
          <w:lang w:val="en-US"/>
        </w:rPr>
        <w:t xml:space="preserve">and </w:t>
      </w:r>
      <w:r>
        <w:rPr>
          <w:lang w:val="en-US"/>
        </w:rPr>
        <w:t xml:space="preserve">upadacitinib 30 mg groups (26 to </w:t>
      </w:r>
      <w:r w:rsidR="00462FB8" w:rsidRPr="0082581F">
        <w:rPr>
          <w:lang w:val="en-US"/>
        </w:rPr>
        <w:t>31%)</w:t>
      </w:r>
      <w:r w:rsidR="00B31D61">
        <w:rPr>
          <w:b/>
          <w:lang w:val="en-US"/>
        </w:rPr>
        <w:t>.</w:t>
      </w:r>
    </w:p>
    <w:p w14:paraId="5EC61D1E" w14:textId="75B33F19" w:rsidR="00462FB8" w:rsidRDefault="00027F82" w:rsidP="00462FB8">
      <w:pPr>
        <w:spacing w:line="240" w:lineRule="auto"/>
        <w:rPr>
          <w:lang w:val="en-US"/>
        </w:rPr>
      </w:pPr>
      <w:r>
        <w:rPr>
          <w:rFonts w:eastAsia="TimesNewRoman" w:cs="TimesNewRoman"/>
          <w:lang w:val="en-US"/>
        </w:rPr>
        <w:lastRenderedPageBreak/>
        <w:t xml:space="preserve">Topical corticosteroids </w:t>
      </w:r>
      <w:r w:rsidR="00462FB8" w:rsidRPr="00F14DA2">
        <w:rPr>
          <w:lang w:val="en-US"/>
        </w:rPr>
        <w:t xml:space="preserve">were the most frequently reported prior medication; Eucerin (46%) </w:t>
      </w:r>
      <w:r w:rsidR="00B31D61">
        <w:rPr>
          <w:lang w:val="en-US"/>
        </w:rPr>
        <w:t>(an e</w:t>
      </w:r>
      <w:r w:rsidR="00B31D61" w:rsidRPr="00B31D61">
        <w:rPr>
          <w:lang w:val="en-US"/>
        </w:rPr>
        <w:t>mollient</w:t>
      </w:r>
      <w:r w:rsidR="00B31D61">
        <w:rPr>
          <w:lang w:val="en-US"/>
        </w:rPr>
        <w:t xml:space="preserve">) </w:t>
      </w:r>
      <w:r w:rsidR="00462FB8" w:rsidRPr="00F14DA2">
        <w:rPr>
          <w:lang w:val="en-US"/>
        </w:rPr>
        <w:t xml:space="preserve">and betamethasone (32%) were used most frequently across treatment groups, with some imbalances in terms of prior use in </w:t>
      </w:r>
      <w:r>
        <w:rPr>
          <w:lang w:val="en-US"/>
        </w:rPr>
        <w:t>upadacitinib and placebo groups.</w:t>
      </w:r>
    </w:p>
    <w:p w14:paraId="78DD9E1B" w14:textId="77777777" w:rsidR="00027F82" w:rsidRDefault="00027F82" w:rsidP="00027F82">
      <w:pPr>
        <w:spacing w:line="240" w:lineRule="auto"/>
        <w:rPr>
          <w:lang w:val="en-US"/>
        </w:rPr>
      </w:pPr>
      <w:r>
        <w:rPr>
          <w:lang w:val="en-US"/>
        </w:rPr>
        <w:t>The clinical evaluation noted that t</w:t>
      </w:r>
      <w:r w:rsidR="00462FB8" w:rsidRPr="001869FC">
        <w:rPr>
          <w:lang w:val="en-US"/>
        </w:rPr>
        <w:t xml:space="preserve">he following statement in the </w:t>
      </w:r>
      <w:r>
        <w:rPr>
          <w:lang w:val="en-US"/>
        </w:rPr>
        <w:t>clinical study report</w:t>
      </w:r>
      <w:r w:rsidR="00462FB8" w:rsidRPr="001869FC">
        <w:rPr>
          <w:lang w:val="en-US"/>
        </w:rPr>
        <w:t xml:space="preserve"> is incorre</w:t>
      </w:r>
      <w:r>
        <w:rPr>
          <w:lang w:val="en-US"/>
        </w:rPr>
        <w:t>ct:</w:t>
      </w:r>
    </w:p>
    <w:p w14:paraId="568F895C" w14:textId="749A0112" w:rsidR="00462FB8" w:rsidRPr="001869FC" w:rsidRDefault="00462FB8" w:rsidP="00027F82">
      <w:pPr>
        <w:spacing w:line="240" w:lineRule="auto"/>
        <w:ind w:left="720"/>
        <w:rPr>
          <w:lang w:val="en-US"/>
        </w:rPr>
      </w:pPr>
      <w:r w:rsidRPr="001869FC">
        <w:rPr>
          <w:lang w:val="en-US"/>
        </w:rPr>
        <w:t xml:space="preserve">Eucerin was the most frequently reported prior </w:t>
      </w:r>
      <w:r w:rsidR="00027F82">
        <w:rPr>
          <w:lang w:val="en-US"/>
        </w:rPr>
        <w:t>medication for subjects in the u</w:t>
      </w:r>
      <w:r w:rsidRPr="001869FC">
        <w:rPr>
          <w:lang w:val="en-US"/>
        </w:rPr>
        <w:t>padacitinib 15 mg, 30 mg, and placebo groups</w:t>
      </w:r>
      <w:r>
        <w:rPr>
          <w:lang w:val="en-US"/>
        </w:rPr>
        <w:t>.</w:t>
      </w:r>
      <w:r w:rsidRPr="001869FC">
        <w:rPr>
          <w:lang w:val="en-US"/>
        </w:rPr>
        <w:t xml:space="preserve"> Betamethasone was the most frequently reported prior </w:t>
      </w:r>
      <w:r w:rsidR="00027F82">
        <w:rPr>
          <w:lang w:val="en-US"/>
        </w:rPr>
        <w:t>medication for subjects in the upadacitinib 7.5 mg group’</w:t>
      </w:r>
      <w:r w:rsidRPr="001869FC">
        <w:rPr>
          <w:lang w:val="en-US"/>
        </w:rPr>
        <w:t>;</w:t>
      </w:r>
    </w:p>
    <w:p w14:paraId="0FCD4CFF" w14:textId="4E5D3421" w:rsidR="00462FB8" w:rsidRPr="00027F82" w:rsidRDefault="00462FB8" w:rsidP="00027F82">
      <w:pPr>
        <w:rPr>
          <w:rFonts w:asciiTheme="minorHAnsi" w:eastAsia="TimesNewRoman" w:hAnsiTheme="minorHAnsi"/>
          <w:lang w:val="en-US"/>
        </w:rPr>
      </w:pPr>
      <w:r w:rsidRPr="001869FC">
        <w:rPr>
          <w:rFonts w:eastAsia="TimesNewRoman"/>
          <w:lang w:val="en-US"/>
        </w:rPr>
        <w:t>It is noted, that p</w:t>
      </w:r>
      <w:r w:rsidRPr="001869FC">
        <w:rPr>
          <w:lang w:val="en-US"/>
        </w:rPr>
        <w:t>rior use of Eucerin</w:t>
      </w:r>
      <w:r w:rsidR="006A7245">
        <w:rPr>
          <w:lang w:val="en-US"/>
        </w:rPr>
        <w:t xml:space="preserve"> (a lanolin, water </w:t>
      </w:r>
      <w:r w:rsidR="00027F82">
        <w:rPr>
          <w:lang w:val="en-US"/>
        </w:rPr>
        <w:t>and oil</w:t>
      </w:r>
      <w:r w:rsidR="006A7245">
        <w:rPr>
          <w:lang w:val="en-US"/>
        </w:rPr>
        <w:t xml:space="preserve"> (petrolatum) based e</w:t>
      </w:r>
      <w:r w:rsidR="006A7245" w:rsidRPr="006A7245">
        <w:rPr>
          <w:lang w:val="en-US"/>
        </w:rPr>
        <w:t>mollient</w:t>
      </w:r>
      <w:r w:rsidR="00027F82">
        <w:rPr>
          <w:lang w:val="en-US"/>
        </w:rPr>
        <w:t>)</w:t>
      </w:r>
      <w:r w:rsidRPr="001869FC">
        <w:rPr>
          <w:lang w:val="en-US"/>
        </w:rPr>
        <w:t xml:space="preserve"> was more frequent in the </w:t>
      </w:r>
      <w:r w:rsidR="00027F82">
        <w:rPr>
          <w:lang w:val="en-US"/>
        </w:rPr>
        <w:t xml:space="preserve">upadacitinib </w:t>
      </w:r>
      <w:r w:rsidRPr="001869FC">
        <w:rPr>
          <w:lang w:val="en-US"/>
        </w:rPr>
        <w:t xml:space="preserve">15 </w:t>
      </w:r>
      <w:r w:rsidR="00027F82">
        <w:rPr>
          <w:lang w:val="en-US"/>
        </w:rPr>
        <w:t xml:space="preserve">mg </w:t>
      </w:r>
      <w:r w:rsidRPr="001869FC">
        <w:rPr>
          <w:lang w:val="en-US"/>
        </w:rPr>
        <w:t xml:space="preserve">and </w:t>
      </w:r>
      <w:r w:rsidR="00027F82">
        <w:rPr>
          <w:lang w:val="en-US"/>
        </w:rPr>
        <w:t xml:space="preserve">upadacitinib </w:t>
      </w:r>
      <w:r w:rsidRPr="001869FC">
        <w:rPr>
          <w:lang w:val="en-US"/>
        </w:rPr>
        <w:t>30</w:t>
      </w:r>
      <w:r w:rsidR="00027F82">
        <w:rPr>
          <w:lang w:val="en-US"/>
        </w:rPr>
        <w:t xml:space="preserve"> mg groups (52 to </w:t>
      </w:r>
      <w:r w:rsidRPr="001869FC">
        <w:rPr>
          <w:lang w:val="en-US"/>
        </w:rPr>
        <w:t xml:space="preserve">55%) compared to the placebo and </w:t>
      </w:r>
      <w:r w:rsidR="00027F82">
        <w:rPr>
          <w:lang w:val="en-US"/>
        </w:rPr>
        <w:t xml:space="preserve">upadacitinib </w:t>
      </w:r>
      <w:r w:rsidRPr="001869FC">
        <w:rPr>
          <w:lang w:val="en-US"/>
        </w:rPr>
        <w:t>7.5</w:t>
      </w:r>
      <w:r w:rsidR="00027F82">
        <w:rPr>
          <w:lang w:val="en-US"/>
        </w:rPr>
        <w:t xml:space="preserve"> mg groups (38 to </w:t>
      </w:r>
      <w:r w:rsidRPr="001869FC">
        <w:rPr>
          <w:lang w:val="en-US"/>
        </w:rPr>
        <w:t>39%). Prior use of betamethasone was slightly lower in the p</w:t>
      </w:r>
      <w:r w:rsidR="00027F82">
        <w:rPr>
          <w:lang w:val="en-US"/>
        </w:rPr>
        <w:t>lacebo (24.4%) compared to the u</w:t>
      </w:r>
      <w:r w:rsidRPr="001869FC">
        <w:rPr>
          <w:lang w:val="en-US"/>
        </w:rPr>
        <w:t xml:space="preserve">padacitinib groups (31%, 35.7% and 38.1% in </w:t>
      </w:r>
      <w:r w:rsidR="00027F82">
        <w:rPr>
          <w:lang w:val="en-US"/>
        </w:rPr>
        <w:t xml:space="preserve">upadacitinib </w:t>
      </w:r>
      <w:r w:rsidRPr="001869FC">
        <w:rPr>
          <w:lang w:val="en-US"/>
        </w:rPr>
        <w:t>7.5</w:t>
      </w:r>
      <w:r w:rsidR="00027F82">
        <w:rPr>
          <w:lang w:val="en-US"/>
        </w:rPr>
        <w:t xml:space="preserve"> mg, </w:t>
      </w:r>
      <w:r w:rsidRPr="001869FC">
        <w:rPr>
          <w:lang w:val="en-US"/>
        </w:rPr>
        <w:t xml:space="preserve">15 </w:t>
      </w:r>
      <w:r w:rsidR="00027F82">
        <w:rPr>
          <w:lang w:val="en-US"/>
        </w:rPr>
        <w:t xml:space="preserve">mg and </w:t>
      </w:r>
      <w:r w:rsidRPr="001869FC">
        <w:rPr>
          <w:lang w:val="en-US"/>
        </w:rPr>
        <w:t xml:space="preserve">30 </w:t>
      </w:r>
      <w:r w:rsidR="00027F82">
        <w:rPr>
          <w:lang w:val="en-US"/>
        </w:rPr>
        <w:t xml:space="preserve">mg </w:t>
      </w:r>
      <w:r w:rsidRPr="001869FC">
        <w:rPr>
          <w:lang w:val="en-US"/>
        </w:rPr>
        <w:t xml:space="preserve">groups, respectively). </w:t>
      </w:r>
    </w:p>
    <w:p w14:paraId="16E33462" w14:textId="0512FB97" w:rsidR="00462FB8" w:rsidRPr="00DD232A" w:rsidRDefault="00462FB8" w:rsidP="00462FB8">
      <w:pPr>
        <w:spacing w:line="240" w:lineRule="auto"/>
        <w:rPr>
          <w:lang w:val="en-US"/>
        </w:rPr>
      </w:pPr>
      <w:r w:rsidRPr="00DD232A">
        <w:rPr>
          <w:lang w:val="en-US"/>
        </w:rPr>
        <w:t xml:space="preserve">Approximately 94% of the subjects in the study reported use of concomitant medications during the study. The use of the most frequent concomitant medication (Eucerin) was higher in the </w:t>
      </w:r>
      <w:r w:rsidR="00027F82">
        <w:rPr>
          <w:lang w:val="en-US"/>
        </w:rPr>
        <w:t xml:space="preserve">upadacitinib </w:t>
      </w:r>
      <w:r w:rsidRPr="00DD232A">
        <w:rPr>
          <w:lang w:val="en-US"/>
        </w:rPr>
        <w:t>15</w:t>
      </w:r>
      <w:r w:rsidR="00027F82">
        <w:rPr>
          <w:lang w:val="en-US"/>
        </w:rPr>
        <w:t xml:space="preserve"> mg and </w:t>
      </w:r>
      <w:r w:rsidRPr="00DD232A">
        <w:rPr>
          <w:lang w:val="en-US"/>
        </w:rPr>
        <w:t xml:space="preserve">30 </w:t>
      </w:r>
      <w:r w:rsidR="00027F82">
        <w:rPr>
          <w:lang w:val="en-US"/>
        </w:rPr>
        <w:t xml:space="preserve">mg </w:t>
      </w:r>
      <w:r w:rsidRPr="00DD232A">
        <w:rPr>
          <w:lang w:val="en-US"/>
        </w:rPr>
        <w:t xml:space="preserve">groups (36.6%, 35.7%, 47.6% and 52.4% in placebo, </w:t>
      </w:r>
      <w:r w:rsidR="00027F82">
        <w:rPr>
          <w:lang w:val="en-US"/>
        </w:rPr>
        <w:t xml:space="preserve">upadacitinib </w:t>
      </w:r>
      <w:r w:rsidRPr="00DD232A">
        <w:rPr>
          <w:lang w:val="en-US"/>
        </w:rPr>
        <w:t>7.5</w:t>
      </w:r>
      <w:r w:rsidR="00027F82">
        <w:rPr>
          <w:lang w:val="en-US"/>
        </w:rPr>
        <w:t xml:space="preserve"> mg, </w:t>
      </w:r>
      <w:r w:rsidRPr="00DD232A">
        <w:rPr>
          <w:lang w:val="en-US"/>
        </w:rPr>
        <w:t xml:space="preserve">15 </w:t>
      </w:r>
      <w:r w:rsidR="00027F82">
        <w:rPr>
          <w:lang w:val="en-US"/>
        </w:rPr>
        <w:t xml:space="preserve">mg and </w:t>
      </w:r>
      <w:r w:rsidR="005D7175">
        <w:rPr>
          <w:lang w:val="en-US"/>
        </w:rPr>
        <w:t>30 mg</w:t>
      </w:r>
      <w:r w:rsidRPr="00DD232A">
        <w:rPr>
          <w:lang w:val="en-US"/>
        </w:rPr>
        <w:t xml:space="preserve"> groups, respectively). </w:t>
      </w:r>
    </w:p>
    <w:p w14:paraId="255D4249" w14:textId="77777777" w:rsidR="00462FB8" w:rsidRPr="00DD232A" w:rsidRDefault="00462FB8" w:rsidP="00462FB8">
      <w:pPr>
        <w:spacing w:line="240" w:lineRule="auto"/>
        <w:rPr>
          <w:lang w:val="en-US"/>
        </w:rPr>
      </w:pPr>
      <w:r w:rsidRPr="00DD232A">
        <w:rPr>
          <w:lang w:val="en-US"/>
        </w:rPr>
        <w:t xml:space="preserve">There were some numerical imbalances in terms of concomitant use of other commonly used drugs such as antihistamines (cetirizine, diphenhydramine, hydroxyzine) as well. </w:t>
      </w:r>
    </w:p>
    <w:p w14:paraId="22EF3204" w14:textId="742EE69D" w:rsidR="00462FB8" w:rsidRPr="00027F82" w:rsidRDefault="00027F82" w:rsidP="00027F82">
      <w:r w:rsidRPr="006A7245">
        <w:t xml:space="preserve">The clinical evaluation </w:t>
      </w:r>
      <w:r w:rsidR="00462FB8" w:rsidRPr="006A7245">
        <w:t xml:space="preserve">noted that the </w:t>
      </w:r>
      <w:r w:rsidR="006A7245">
        <w:t>clinical study report</w:t>
      </w:r>
      <w:r w:rsidR="00462FB8" w:rsidRPr="006A7245">
        <w:t xml:space="preserve"> mentions that 43% of concomitant medications were ‘not coded’. </w:t>
      </w:r>
      <w:r w:rsidR="006A7245">
        <w:t>As part of the submission evaluation, the sponsor was</w:t>
      </w:r>
      <w:r w:rsidR="00462FB8" w:rsidRPr="006A7245">
        <w:t xml:space="preserve"> requested to c</w:t>
      </w:r>
      <w:r w:rsidR="00C908F4" w:rsidRPr="006A7245">
        <w:t>larify what ‘not coded’</w:t>
      </w:r>
      <w:r w:rsidR="00462FB8" w:rsidRPr="006A7245">
        <w:t xml:space="preserve"> means and also to provide table of concomitant medications by therapeutic class of drugs used.</w:t>
      </w:r>
      <w:r w:rsidR="00462FB8" w:rsidRPr="00027F82">
        <w:t xml:space="preserve"> </w:t>
      </w:r>
    </w:p>
    <w:p w14:paraId="3EF0B882" w14:textId="1FF44B73" w:rsidR="00462FB8" w:rsidRPr="00DD232A" w:rsidRDefault="00462FB8" w:rsidP="00462FB8">
      <w:pPr>
        <w:spacing w:line="240" w:lineRule="auto"/>
        <w:rPr>
          <w:lang w:val="en-US"/>
        </w:rPr>
      </w:pPr>
      <w:r w:rsidRPr="00DD232A">
        <w:rPr>
          <w:lang w:val="en-US"/>
        </w:rPr>
        <w:t xml:space="preserve">Mean treatment compliance in Period 1 was 162.95% 96.01%, 96.56%, and 98.27% in placebo, </w:t>
      </w:r>
      <w:r w:rsidR="00C908F4">
        <w:rPr>
          <w:lang w:val="en-US"/>
        </w:rPr>
        <w:t xml:space="preserve">upadacitinib </w:t>
      </w:r>
      <w:r w:rsidRPr="00DD232A">
        <w:rPr>
          <w:lang w:val="en-US"/>
        </w:rPr>
        <w:t>7.5</w:t>
      </w:r>
      <w:r w:rsidR="00C908F4">
        <w:rPr>
          <w:lang w:val="en-US"/>
        </w:rPr>
        <w:t xml:space="preserve"> mg, </w:t>
      </w:r>
      <w:r w:rsidRPr="00DD232A">
        <w:rPr>
          <w:lang w:val="en-US"/>
        </w:rPr>
        <w:t>15</w:t>
      </w:r>
      <w:r w:rsidR="00C908F4">
        <w:rPr>
          <w:lang w:val="en-US"/>
        </w:rPr>
        <w:t xml:space="preserve"> mg and</w:t>
      </w:r>
      <w:r w:rsidRPr="00DD232A">
        <w:rPr>
          <w:lang w:val="en-US"/>
        </w:rPr>
        <w:t xml:space="preserve"> 30</w:t>
      </w:r>
      <w:r w:rsidR="00C908F4">
        <w:rPr>
          <w:lang w:val="en-US"/>
        </w:rPr>
        <w:t xml:space="preserve"> </w:t>
      </w:r>
      <w:r w:rsidRPr="00DD232A">
        <w:rPr>
          <w:lang w:val="en-US"/>
        </w:rPr>
        <w:t xml:space="preserve">mg groups, respectively. Mean compliance rate greater than 100% was due to subjects in the placebo group who were prematurely discontinued from study drug and did not return any pills back from the last dispensed drug kit. The median treatment compliance in Period 1 was 98.34%, 100%, 98.2%, and 99.55%, respectively. </w:t>
      </w:r>
    </w:p>
    <w:p w14:paraId="2D9AF2F8" w14:textId="4886BC4B" w:rsidR="00462FB8" w:rsidRPr="00C908F4" w:rsidRDefault="00462FB8" w:rsidP="00C908F4">
      <w:pPr>
        <w:spacing w:line="240" w:lineRule="auto"/>
        <w:rPr>
          <w:lang w:val="en-US"/>
        </w:rPr>
      </w:pPr>
      <w:r w:rsidRPr="00DD232A">
        <w:rPr>
          <w:lang w:val="en-US"/>
        </w:rPr>
        <w:t xml:space="preserve">Among re-randomised subjects in Period 2, mean treatment compliance ranged from 96.62% to 106.25% while the median treatment compliance </w:t>
      </w:r>
      <w:r w:rsidR="00C908F4">
        <w:rPr>
          <w:lang w:val="en-US"/>
        </w:rPr>
        <w:t>ranged from 96.81% to 100.00%.</w:t>
      </w:r>
    </w:p>
    <w:p w14:paraId="6D672DA5" w14:textId="63A4C5F7" w:rsidR="00462FB8" w:rsidRPr="00C908F4" w:rsidRDefault="00C908F4" w:rsidP="00C908F4">
      <w:pPr>
        <w:rPr>
          <w:lang w:val="en-US"/>
        </w:rPr>
      </w:pPr>
      <w:r>
        <w:rPr>
          <w:lang w:val="en-US"/>
        </w:rPr>
        <w:t>The clinical evaluation noted that c</w:t>
      </w:r>
      <w:r w:rsidR="00462FB8" w:rsidRPr="00DD232A">
        <w:rPr>
          <w:lang w:val="en-US"/>
        </w:rPr>
        <w:t>ompliance in Period 1 was calculated as the number of tablets taken divided by the number of tablets planned to be taken by the subject during the double-blind treatment period of the study. Compliance in Period 2 was calculated up to the date prior to the first dose of rescue. Based on a daily dose of one tablet for the study drug, treatment compliance was calculated as: number of tablets taken divided by the duration of treatment, multiplied by 100%.</w:t>
      </w:r>
    </w:p>
    <w:p w14:paraId="33E3C38A" w14:textId="3E622066" w:rsidR="00462FB8" w:rsidRPr="004061E9" w:rsidRDefault="00C908F4" w:rsidP="00C908F4">
      <w:pPr>
        <w:pStyle w:val="Heading5"/>
        <w:rPr>
          <w:lang w:eastAsia="ja-JP"/>
        </w:rPr>
      </w:pPr>
      <w:r>
        <w:rPr>
          <w:lang w:eastAsia="ja-JP"/>
        </w:rPr>
        <w:t>Results for the efficacy outcomes</w:t>
      </w:r>
    </w:p>
    <w:p w14:paraId="43D1627E" w14:textId="315BFE25" w:rsidR="00462FB8" w:rsidRPr="004061E9" w:rsidRDefault="00C908F4" w:rsidP="00C908F4">
      <w:pPr>
        <w:pStyle w:val="Heading6"/>
        <w:rPr>
          <w:lang w:eastAsia="ja-JP"/>
        </w:rPr>
      </w:pPr>
      <w:r>
        <w:rPr>
          <w:lang w:eastAsia="ja-JP"/>
        </w:rPr>
        <w:t>Primary endpoint</w:t>
      </w:r>
    </w:p>
    <w:p w14:paraId="200A643E" w14:textId="06F1D05C" w:rsidR="00462FB8" w:rsidRDefault="00462FB8" w:rsidP="00C908F4">
      <w:r w:rsidRPr="004061E9">
        <w:t>The primary endpoint (percent change from Baseline in EASI score at Week 16</w:t>
      </w:r>
      <w:r w:rsidRPr="00CA699F">
        <w:t>) showed statistically significantly higher and dose-dependent mean percentage improvem</w:t>
      </w:r>
      <w:r w:rsidR="00C908F4">
        <w:t>ent from Baseline in EASI with u</w:t>
      </w:r>
      <w:r w:rsidRPr="00CA699F">
        <w:t xml:space="preserve">padacitinib (7.5 mg, 15 mg, and 30 mg) compared to placebo (23%, 39%, 62% and 74% in placebo, </w:t>
      </w:r>
      <w:r w:rsidR="00C908F4">
        <w:rPr>
          <w:lang w:val="en-US"/>
        </w:rPr>
        <w:t xml:space="preserve">upadacitinib </w:t>
      </w:r>
      <w:r w:rsidRPr="00CA699F">
        <w:t>7.5</w:t>
      </w:r>
      <w:r w:rsidR="00C908F4">
        <w:t xml:space="preserve"> mg, </w:t>
      </w:r>
      <w:r w:rsidRPr="00CA699F">
        <w:t>15</w:t>
      </w:r>
      <w:r w:rsidR="00C908F4">
        <w:t xml:space="preserve"> mg</w:t>
      </w:r>
      <w:r w:rsidRPr="00CA699F">
        <w:t xml:space="preserve"> and 30</w:t>
      </w:r>
      <w:r w:rsidR="00C908F4">
        <w:t xml:space="preserve"> </w:t>
      </w:r>
      <w:r w:rsidRPr="00CA699F">
        <w:t>mg groups, respectively).</w:t>
      </w:r>
    </w:p>
    <w:p w14:paraId="05D2FAEB" w14:textId="27806678" w:rsidR="00C908F4" w:rsidRPr="00C908F4" w:rsidRDefault="00C908F4" w:rsidP="00C908F4">
      <w:pPr>
        <w:pStyle w:val="Tabletitle0"/>
        <w:rPr>
          <w:color w:val="0E03ED"/>
        </w:rPr>
      </w:pPr>
      <w:r>
        <w:lastRenderedPageBreak/>
        <w:t xml:space="preserve">Table </w:t>
      </w:r>
      <w:fldSimple w:instr=" SEQ Table \* ARABIC ">
        <w:r w:rsidR="00B51532">
          <w:rPr>
            <w:noProof/>
          </w:rPr>
          <w:t>36</w:t>
        </w:r>
      </w:fldSimple>
      <w:r>
        <w:t xml:space="preserve">: Study M16-048 Results for the primary endpoint, </w:t>
      </w:r>
      <w:r w:rsidRPr="004061E9">
        <w:t>percent change from Baseline in EASI score at Week 16</w:t>
      </w:r>
      <w:r>
        <w:t xml:space="preserve"> (</w:t>
      </w:r>
      <w:r w:rsidR="006A7245">
        <w:t>last observation carried forward, ITT</w:t>
      </w:r>
      <w:r>
        <w:t xml:space="preserve"> population, Period 1)</w:t>
      </w:r>
    </w:p>
    <w:p w14:paraId="49B457FE" w14:textId="422ACFCD" w:rsidR="00462FB8" w:rsidRDefault="00462FB8" w:rsidP="00C908F4">
      <w:r w:rsidRPr="00C908F4">
        <w:rPr>
          <w:noProof/>
          <w:lang w:val="en-GB" w:eastAsia="en-GB"/>
        </w:rPr>
        <w:drawing>
          <wp:inline distT="0" distB="0" distL="0" distR="0" wp14:anchorId="467084CC" wp14:editId="126AC7FE">
            <wp:extent cx="5436781" cy="1338646"/>
            <wp:effectExtent l="0" t="0" r="0" b="0"/>
            <wp:docPr id="272" name="Picture 272" descr="Study M16-048 Results for the primary endpoint, percent change from Baseline in EASI score at Week 16 (last observation carried forward, ITT population, Peri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Study M16-048 Results for the primary endpoint, percent change from Baseline in EASI score at Week 16 (last observation carried forward, ITT population, Period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2613" cy="1347468"/>
                    </a:xfrm>
                    <a:prstGeom prst="rect">
                      <a:avLst/>
                    </a:prstGeom>
                    <a:noFill/>
                    <a:ln>
                      <a:noFill/>
                    </a:ln>
                  </pic:spPr>
                </pic:pic>
              </a:graphicData>
            </a:graphic>
          </wp:inline>
        </w:drawing>
      </w:r>
    </w:p>
    <w:p w14:paraId="7F72B606" w14:textId="62293D6B" w:rsidR="00AE1823" w:rsidRDefault="00AE1823" w:rsidP="00AE1823">
      <w:pPr>
        <w:pStyle w:val="TableDescription"/>
      </w:pPr>
      <w:r>
        <w:t>Abbreviations: CI = confidence intervals; EASI = Eczema Area and Severity Index response; ITT = intention to treat; LOCF = last observation carried forward; NRI</w:t>
      </w:r>
      <w:r>
        <w:noBreakHyphen/>
        <w:t>C = Nonresponder Imputation incorporating Multiple Imputation (MI) to handle missing data due to COVID-19; QD = once daily; UPA = upadacitinib.</w:t>
      </w:r>
    </w:p>
    <w:p w14:paraId="78F40620" w14:textId="2EDA5CB2" w:rsidR="00462FB8" w:rsidRPr="00C908F4" w:rsidRDefault="00C908F4" w:rsidP="00C908F4">
      <w:pPr>
        <w:pStyle w:val="Tabletitle0"/>
        <w:rPr>
          <w:color w:val="0E03ED"/>
        </w:rPr>
      </w:pPr>
      <w:r>
        <w:t xml:space="preserve">Table </w:t>
      </w:r>
      <w:fldSimple w:instr=" SEQ Table \* ARABIC ">
        <w:r w:rsidR="00B51532">
          <w:rPr>
            <w:noProof/>
          </w:rPr>
          <w:t>37</w:t>
        </w:r>
      </w:fldSimple>
      <w:r>
        <w:t xml:space="preserve">: Study M16-048 Results for the primary endpoint, </w:t>
      </w:r>
      <w:r w:rsidRPr="004061E9">
        <w:t>percent change from Baseline in EASI score at Week 16</w:t>
      </w:r>
      <w:r w:rsidR="00AE1823">
        <w:t xml:space="preserve"> (observed case analysis, ITT</w:t>
      </w:r>
      <w:r>
        <w:t xml:space="preserve"> population, Period 1)</w:t>
      </w:r>
    </w:p>
    <w:p w14:paraId="7075160B" w14:textId="77777777" w:rsidR="00AE1823" w:rsidRDefault="00462FB8" w:rsidP="00462FB8">
      <w:r w:rsidRPr="00C908F4">
        <w:rPr>
          <w:noProof/>
          <w:lang w:val="en-GB" w:eastAsia="en-GB"/>
        </w:rPr>
        <w:drawing>
          <wp:inline distT="0" distB="0" distL="0" distR="0" wp14:anchorId="494E2BCF" wp14:editId="387A6C22">
            <wp:extent cx="5521842" cy="1552440"/>
            <wp:effectExtent l="0" t="0" r="3175" b="0"/>
            <wp:docPr id="273" name="Picture 273" descr="Study M16-048 Results for the primary endpoint, percent change from Baseline in EASI score at Week 16 (observed case analysis, ITT population, Peri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Study M16-048 Results for the primary endpoint, percent change from Baseline in EASI score at Week 16 (observed case analysis, ITT population, Period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60955" cy="1563437"/>
                    </a:xfrm>
                    <a:prstGeom prst="rect">
                      <a:avLst/>
                    </a:prstGeom>
                    <a:noFill/>
                    <a:ln>
                      <a:noFill/>
                    </a:ln>
                  </pic:spPr>
                </pic:pic>
              </a:graphicData>
            </a:graphic>
          </wp:inline>
        </w:drawing>
      </w:r>
    </w:p>
    <w:p w14:paraId="073BA548" w14:textId="60FFE479" w:rsidR="00AE1823" w:rsidRDefault="00AE1823" w:rsidP="00AE1823">
      <w:pPr>
        <w:pStyle w:val="TableDescription"/>
      </w:pPr>
      <w:r>
        <w:t>Abbreviations: CI = confidence intervals; EASI = Eczema Area and Severity Index response; ITT = intention to treat; NRI</w:t>
      </w:r>
      <w:r>
        <w:noBreakHyphen/>
        <w:t>C = Nonresponder Imputation incorporating Multiple Imputation (MI) to handle missing data due to COVID-19; QD = once daily; UPA = upadacitinib.</w:t>
      </w:r>
    </w:p>
    <w:p w14:paraId="44F39BF8" w14:textId="01EB0004" w:rsidR="00462FB8" w:rsidRPr="00AE1823" w:rsidRDefault="00C908F4" w:rsidP="00AE1823">
      <w:r>
        <w:t>The clinical evaluation</w:t>
      </w:r>
      <w:r w:rsidR="00462FB8" w:rsidRPr="00C908F4">
        <w:t xml:space="preserve"> noted that although the </w:t>
      </w:r>
      <w:r w:rsidR="00AE1823">
        <w:t>last observation carried forward (</w:t>
      </w:r>
      <w:r w:rsidR="00462FB8" w:rsidRPr="00C908F4">
        <w:t>LOCF</w:t>
      </w:r>
      <w:r w:rsidR="00AE1823">
        <w:t>)</w:t>
      </w:r>
      <w:r w:rsidR="00462FB8" w:rsidRPr="00C908F4">
        <w:t xml:space="preserve"> analysis showed statistically significant improvement </w:t>
      </w:r>
      <w:r>
        <w:t>for all u</w:t>
      </w:r>
      <w:r w:rsidR="00462FB8" w:rsidRPr="00C908F4">
        <w:t>padacitinib doses, the observed case analysis did not show</w:t>
      </w:r>
      <w:r>
        <w:t xml:space="preserve"> statistical significant </w:t>
      </w:r>
      <w:r w:rsidR="00462FB8" w:rsidRPr="00C908F4">
        <w:t xml:space="preserve">improvement for the </w:t>
      </w:r>
      <w:r>
        <w:rPr>
          <w:lang w:val="en-US"/>
        </w:rPr>
        <w:t xml:space="preserve">upadacitinib </w:t>
      </w:r>
      <w:r>
        <w:t>7.</w:t>
      </w:r>
      <w:r w:rsidR="008B4C65">
        <w:t>5 mg</w:t>
      </w:r>
      <w:r>
        <w:t xml:space="preserve"> dose. </w:t>
      </w:r>
    </w:p>
    <w:p w14:paraId="50B34F43" w14:textId="2D0A73F1" w:rsidR="00462FB8" w:rsidRPr="00EC4160" w:rsidRDefault="00C908F4" w:rsidP="00C908F4">
      <w:pPr>
        <w:pStyle w:val="Heading6"/>
        <w:rPr>
          <w:lang w:eastAsia="ja-JP"/>
        </w:rPr>
      </w:pPr>
      <w:r>
        <w:rPr>
          <w:lang w:eastAsia="ja-JP"/>
        </w:rPr>
        <w:t xml:space="preserve">Secondary and </w:t>
      </w:r>
      <w:r w:rsidRPr="00EC4160">
        <w:rPr>
          <w:lang w:val="en-US"/>
        </w:rPr>
        <w:t>exploratory</w:t>
      </w:r>
      <w:r>
        <w:rPr>
          <w:lang w:val="en-US"/>
        </w:rPr>
        <w:t xml:space="preserve"> endpoints</w:t>
      </w:r>
    </w:p>
    <w:p w14:paraId="06B1D8E3" w14:textId="53B86C6D" w:rsidR="00462FB8" w:rsidRPr="00C908F4" w:rsidRDefault="00462FB8" w:rsidP="00C908F4">
      <w:r w:rsidRPr="00C908F4">
        <w:t>Clinically meaningful and highly statistically significant dose-dependent improvements were observed for all k</w:t>
      </w:r>
      <w:r w:rsidR="00C908F4">
        <w:t>ey secondary endpoints</w:t>
      </w:r>
      <w:r w:rsidR="00B51532">
        <w:t xml:space="preserve"> </w:t>
      </w:r>
      <w:r w:rsidR="00C908F4">
        <w:t xml:space="preserve">in all upadacitinib dose </w:t>
      </w:r>
      <w:r w:rsidRPr="00C908F4">
        <w:t>groups (7.5 mg, 15</w:t>
      </w:r>
      <w:r w:rsidR="00C908F4">
        <w:t> </w:t>
      </w:r>
      <w:r w:rsidRPr="00C908F4">
        <w:t>mg and 30</w:t>
      </w:r>
      <w:r w:rsidR="00C908F4">
        <w:t xml:space="preserve"> </w:t>
      </w:r>
      <w:r w:rsidRPr="00C908F4">
        <w:t>mg) compared with the placeb</w:t>
      </w:r>
      <w:r w:rsidR="00AE1823">
        <w:t>o group, as per the table below.</w:t>
      </w:r>
    </w:p>
    <w:p w14:paraId="6FDA3854" w14:textId="32262F1B" w:rsidR="00462FB8" w:rsidRDefault="00C908F4" w:rsidP="00C908F4">
      <w:pPr>
        <w:pStyle w:val="Tabletitle0"/>
        <w:rPr>
          <w:lang w:eastAsia="ja-JP"/>
        </w:rPr>
      </w:pPr>
      <w:bookmarkStart w:id="136" w:name="_Toc72321326"/>
      <w:r>
        <w:lastRenderedPageBreak/>
        <w:t xml:space="preserve">Table </w:t>
      </w:r>
      <w:fldSimple w:instr=" SEQ Table \* ARABIC ">
        <w:r w:rsidR="00B51532">
          <w:rPr>
            <w:noProof/>
          </w:rPr>
          <w:t>38</w:t>
        </w:r>
      </w:fldSimple>
      <w:r>
        <w:t xml:space="preserve">: Study M16-048 </w:t>
      </w:r>
      <w:r w:rsidR="00462FB8">
        <w:rPr>
          <w:lang w:eastAsia="ja-JP"/>
        </w:rPr>
        <w:t>Summary of key s</w:t>
      </w:r>
      <w:r w:rsidR="00AE1823">
        <w:rPr>
          <w:lang w:eastAsia="ja-JP"/>
        </w:rPr>
        <w:t>econdary endpoint results (ITT p</w:t>
      </w:r>
      <w:r w:rsidR="00462FB8">
        <w:rPr>
          <w:lang w:eastAsia="ja-JP"/>
        </w:rPr>
        <w:t>opulation)</w:t>
      </w:r>
      <w:bookmarkEnd w:id="136"/>
    </w:p>
    <w:p w14:paraId="21AFF3BE" w14:textId="77777777" w:rsidR="00462FB8" w:rsidRPr="00AA468B" w:rsidRDefault="00462FB8" w:rsidP="00C908F4">
      <w:pPr>
        <w:rPr>
          <w:lang w:eastAsia="ja-JP"/>
        </w:rPr>
      </w:pPr>
      <w:r w:rsidRPr="00C908F4">
        <w:rPr>
          <w:noProof/>
          <w:lang w:val="en-GB" w:eastAsia="en-GB"/>
        </w:rPr>
        <w:drawing>
          <wp:inline distT="0" distB="0" distL="0" distR="0" wp14:anchorId="56BB515B" wp14:editId="011621F7">
            <wp:extent cx="5134408" cy="5096540"/>
            <wp:effectExtent l="0" t="0" r="9525" b="8890"/>
            <wp:docPr id="70" name="Picture 70" descr="Study M16-048 Summary of key secondary endpoint resul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tudy M16-048 Summary of key secondary endpoint results (ITT populati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53069" cy="5115063"/>
                    </a:xfrm>
                    <a:prstGeom prst="rect">
                      <a:avLst/>
                    </a:prstGeom>
                    <a:noFill/>
                    <a:ln>
                      <a:noFill/>
                    </a:ln>
                  </pic:spPr>
                </pic:pic>
              </a:graphicData>
            </a:graphic>
          </wp:inline>
        </w:drawing>
      </w:r>
    </w:p>
    <w:p w14:paraId="0C4A76B7" w14:textId="67FEE6F8" w:rsidR="00462FB8" w:rsidRDefault="00BC4222" w:rsidP="00C908F4">
      <w:pPr>
        <w:rPr>
          <w:lang w:val="en-US"/>
        </w:rPr>
      </w:pPr>
      <w:r>
        <w:rPr>
          <w:lang w:val="en-US"/>
        </w:rPr>
        <w:t>The clinical evaluation noted</w:t>
      </w:r>
      <w:r w:rsidR="00C908F4">
        <w:rPr>
          <w:lang w:val="en-US"/>
        </w:rPr>
        <w:t xml:space="preserve"> that the m</w:t>
      </w:r>
      <w:r w:rsidR="00462FB8" w:rsidRPr="00EC4160">
        <w:rPr>
          <w:lang w:val="en-US"/>
        </w:rPr>
        <w:t>ajority of the endpoints showed numerically greater improvements with the 30</w:t>
      </w:r>
      <w:r w:rsidR="00C908F4">
        <w:rPr>
          <w:lang w:val="en-US"/>
        </w:rPr>
        <w:t xml:space="preserve"> </w:t>
      </w:r>
      <w:r w:rsidR="00462FB8" w:rsidRPr="00EC4160">
        <w:rPr>
          <w:lang w:val="en-US"/>
        </w:rPr>
        <w:t>mg dose compared to the 15</w:t>
      </w:r>
      <w:r w:rsidR="00C908F4">
        <w:rPr>
          <w:lang w:val="en-US"/>
        </w:rPr>
        <w:t xml:space="preserve"> </w:t>
      </w:r>
      <w:r w:rsidR="00462FB8" w:rsidRPr="00EC4160">
        <w:rPr>
          <w:lang w:val="en-US"/>
        </w:rPr>
        <w:t>mg dose with exception of improvement in pruritus score (6%, 24%, 59% and 53% in placebo,</w:t>
      </w:r>
      <w:r w:rsidR="00462FB8">
        <w:rPr>
          <w:lang w:val="en-US"/>
        </w:rPr>
        <w:t xml:space="preserve"> </w:t>
      </w:r>
      <w:r w:rsidR="00C908F4">
        <w:rPr>
          <w:lang w:val="en-US"/>
        </w:rPr>
        <w:t>u</w:t>
      </w:r>
      <w:r w:rsidR="00462FB8" w:rsidRPr="00EC4160">
        <w:rPr>
          <w:lang w:val="en-US"/>
        </w:rPr>
        <w:t>padacitinib 7.5</w:t>
      </w:r>
      <w:r>
        <w:rPr>
          <w:lang w:val="en-US"/>
        </w:rPr>
        <w:t xml:space="preserve"> </w:t>
      </w:r>
      <w:r w:rsidR="00462FB8" w:rsidRPr="00EC4160">
        <w:rPr>
          <w:lang w:val="en-US"/>
        </w:rPr>
        <w:t>mg, 15</w:t>
      </w:r>
      <w:r>
        <w:rPr>
          <w:lang w:val="en-US"/>
        </w:rPr>
        <w:t xml:space="preserve"> </w:t>
      </w:r>
      <w:r w:rsidR="00462FB8" w:rsidRPr="00EC4160">
        <w:rPr>
          <w:lang w:val="en-US"/>
        </w:rPr>
        <w:t>mg and 30</w:t>
      </w:r>
      <w:r>
        <w:rPr>
          <w:lang w:val="en-US"/>
        </w:rPr>
        <w:t xml:space="preserve"> </w:t>
      </w:r>
      <w:r w:rsidR="00462FB8" w:rsidRPr="00EC4160">
        <w:rPr>
          <w:lang w:val="en-US"/>
        </w:rPr>
        <w:t>mg groups, respectively).</w:t>
      </w:r>
    </w:p>
    <w:p w14:paraId="5B6248C8" w14:textId="4B4541E8" w:rsidR="00462FB8" w:rsidRPr="00BC4222" w:rsidRDefault="00462FB8" w:rsidP="00BC4222">
      <w:pPr>
        <w:rPr>
          <w:lang w:val="en-US"/>
        </w:rPr>
      </w:pPr>
      <w:r w:rsidRPr="00BC4222">
        <w:rPr>
          <w:color w:val="000000"/>
          <w:lang w:val="en-US"/>
        </w:rPr>
        <w:t xml:space="preserve">In Period 2 a statistically significant difference was </w:t>
      </w:r>
      <w:r w:rsidRPr="00BC4222">
        <w:rPr>
          <w:lang w:val="en-US"/>
        </w:rPr>
        <w:t>observed following</w:t>
      </w:r>
      <w:r w:rsidR="005D7175">
        <w:rPr>
          <w:lang w:val="en-US"/>
        </w:rPr>
        <w:t xml:space="preserve"> upadacitinib</w:t>
      </w:r>
      <w:r w:rsidRPr="00BC4222">
        <w:rPr>
          <w:lang w:val="en-US"/>
        </w:rPr>
        <w:t xml:space="preserve"> treatment in the percent change from Week 16 (re-randomisation) of EASI score at</w:t>
      </w:r>
      <w:r w:rsidR="00BC4222">
        <w:rPr>
          <w:lang w:val="en-US"/>
        </w:rPr>
        <w:t xml:space="preserve"> all visits except Week 40 for upadacitinib 30 mg/u</w:t>
      </w:r>
      <w:r w:rsidRPr="00BC4222">
        <w:rPr>
          <w:lang w:val="en-US"/>
        </w:rPr>
        <w:t>padacitinib 30 mg compared to</w:t>
      </w:r>
      <w:r w:rsidR="00BC4222">
        <w:rPr>
          <w:lang w:val="en-US"/>
        </w:rPr>
        <w:t xml:space="preserve"> upadacitinib 30 mg/placebo.</w:t>
      </w:r>
      <w:r w:rsidRPr="00BC4222">
        <w:rPr>
          <w:rFonts w:eastAsia="TimesNewRoman" w:cs="TimesNewRoman"/>
          <w:lang w:val="en-US"/>
        </w:rPr>
        <w:t xml:space="preserve"> </w:t>
      </w:r>
    </w:p>
    <w:p w14:paraId="648EFB64" w14:textId="6394461B" w:rsidR="00462FB8" w:rsidRPr="00083822" w:rsidRDefault="00462FB8" w:rsidP="00BC4222">
      <w:pPr>
        <w:rPr>
          <w:lang w:val="en-US"/>
        </w:rPr>
      </w:pPr>
      <w:r w:rsidRPr="00CA699F">
        <w:rPr>
          <w:lang w:val="en-US"/>
        </w:rPr>
        <w:t xml:space="preserve">In Period 2, for </w:t>
      </w:r>
      <w:r w:rsidRPr="00BC4222">
        <w:t>the</w:t>
      </w:r>
      <w:r w:rsidR="005D7175">
        <w:rPr>
          <w:lang w:val="en-US"/>
        </w:rPr>
        <w:t xml:space="preserve"> upadacitinib</w:t>
      </w:r>
      <w:r w:rsidRPr="00CA699F">
        <w:rPr>
          <w:lang w:val="en-US"/>
        </w:rPr>
        <w:t xml:space="preserve"> 30 mg and 15 mg doses, point estimates indicated better response rates for continued treatment versus withdrawal of treatment, with statistically significant differences observed at Week 32 in the achievement of EASI 75 response, and a 4-point reduction in pruritus NRS. Loss of EASI 50 occurred sooner and more frequently in the withdrawal groups. Switching from placebo to</w:t>
      </w:r>
      <w:r w:rsidR="005D7175">
        <w:rPr>
          <w:lang w:val="en-US"/>
        </w:rPr>
        <w:t xml:space="preserve"> upadacitinib</w:t>
      </w:r>
      <w:r w:rsidRPr="00CA699F">
        <w:rPr>
          <w:lang w:val="en-US"/>
        </w:rPr>
        <w:t xml:space="preserve"> 30 mg confirmed efficacy results that was observed with</w:t>
      </w:r>
      <w:r w:rsidR="005D7175">
        <w:rPr>
          <w:lang w:val="en-US"/>
        </w:rPr>
        <w:t xml:space="preserve"> upadacitinib</w:t>
      </w:r>
      <w:r w:rsidRPr="00CA699F">
        <w:rPr>
          <w:lang w:val="en-US"/>
        </w:rPr>
        <w:t xml:space="preserve"> 30 mg in Period 1. For subjects who were on</w:t>
      </w:r>
      <w:r w:rsidR="005D7175">
        <w:rPr>
          <w:lang w:val="en-US"/>
        </w:rPr>
        <w:t xml:space="preserve"> upadacitinib</w:t>
      </w:r>
      <w:r w:rsidRPr="00083822">
        <w:rPr>
          <w:lang w:val="en-US"/>
        </w:rPr>
        <w:t xml:space="preserve"> 7.5 mg, 15 mg, or 30 mg from Baseline through Week 88, efficacy response was either maintained or further improved. </w:t>
      </w:r>
    </w:p>
    <w:p w14:paraId="6414F446" w14:textId="78A01418" w:rsidR="00462FB8" w:rsidRPr="00BC4222" w:rsidRDefault="00BC4222" w:rsidP="00BC4222">
      <w:r>
        <w:t xml:space="preserve">The clinical evaluation noted that </w:t>
      </w:r>
      <w:r>
        <w:rPr>
          <w:lang w:val="en-US"/>
        </w:rPr>
        <w:t>u</w:t>
      </w:r>
      <w:r w:rsidR="00462FB8" w:rsidRPr="00CA699F">
        <w:rPr>
          <w:lang w:val="en-US"/>
        </w:rPr>
        <w:t xml:space="preserve">padacitinib 30 mg demonstrated the best efficacy over time in all key efficacy variables across Period 1 and Period 2. </w:t>
      </w:r>
      <w:r w:rsidR="00462FB8" w:rsidRPr="003878E9">
        <w:rPr>
          <w:lang w:val="en-US"/>
        </w:rPr>
        <w:t xml:space="preserve">However, interpretation </w:t>
      </w:r>
      <w:r w:rsidR="00462FB8" w:rsidRPr="003878E9">
        <w:rPr>
          <w:lang w:val="en-US"/>
        </w:rPr>
        <w:lastRenderedPageBreak/>
        <w:t>may have been confounded by imbalance in distribution of patients with severe eczema at baseline</w:t>
      </w:r>
      <w:r>
        <w:rPr>
          <w:lang w:val="en-US"/>
        </w:rPr>
        <w:t xml:space="preserve"> (</w:t>
      </w:r>
      <w:r w:rsidR="00462FB8" w:rsidRPr="003878E9">
        <w:rPr>
          <w:lang w:val="en-US"/>
        </w:rPr>
        <w:t xml:space="preserve">there were more subjects with severe eczema in terms of IGA in the placebo and </w:t>
      </w:r>
      <w:r>
        <w:rPr>
          <w:lang w:val="en-US"/>
        </w:rPr>
        <w:t xml:space="preserve">upadacitinib </w:t>
      </w:r>
      <w:r w:rsidR="00462FB8" w:rsidRPr="003878E9">
        <w:rPr>
          <w:lang w:val="en-US"/>
        </w:rPr>
        <w:t>15</w:t>
      </w:r>
      <w:r>
        <w:rPr>
          <w:lang w:val="en-US"/>
        </w:rPr>
        <w:t xml:space="preserve"> mg groups (55 to </w:t>
      </w:r>
      <w:r w:rsidR="00462FB8" w:rsidRPr="003878E9">
        <w:rPr>
          <w:lang w:val="en-US"/>
        </w:rPr>
        <w:t xml:space="preserve">56%) compared to the </w:t>
      </w:r>
      <w:r>
        <w:rPr>
          <w:lang w:val="en-US"/>
        </w:rPr>
        <w:t xml:space="preserve">upadacitinib </w:t>
      </w:r>
      <w:r w:rsidR="00462FB8" w:rsidRPr="003878E9">
        <w:rPr>
          <w:lang w:val="en-US"/>
        </w:rPr>
        <w:t xml:space="preserve">7.5 </w:t>
      </w:r>
      <w:r>
        <w:rPr>
          <w:lang w:val="en-US"/>
        </w:rPr>
        <w:t>mg and</w:t>
      </w:r>
      <w:r w:rsidR="00462FB8" w:rsidRPr="003878E9">
        <w:rPr>
          <w:lang w:val="en-US"/>
        </w:rPr>
        <w:t xml:space="preserve"> 30</w:t>
      </w:r>
      <w:r>
        <w:rPr>
          <w:lang w:val="en-US"/>
        </w:rPr>
        <w:t xml:space="preserve"> mg groups (26 to 31%))</w:t>
      </w:r>
      <w:r w:rsidR="00462FB8" w:rsidRPr="003878E9">
        <w:rPr>
          <w:lang w:val="en-US"/>
        </w:rPr>
        <w:t xml:space="preserve">. </w:t>
      </w:r>
    </w:p>
    <w:p w14:paraId="543405E6" w14:textId="0CAFCBB5" w:rsidR="00462FB8" w:rsidRPr="00BC4222" w:rsidRDefault="00462FB8" w:rsidP="00BC4222">
      <w:pPr>
        <w:rPr>
          <w:lang w:eastAsia="ja-JP"/>
        </w:rPr>
      </w:pPr>
      <w:r w:rsidRPr="002F6061">
        <w:rPr>
          <w:lang w:val="en-US"/>
        </w:rPr>
        <w:t xml:space="preserve">The number of subjects who were re-randomised as EASI 75 non-responders at Week 16 </w:t>
      </w:r>
      <w:r w:rsidRPr="00BC4222">
        <w:t>(time</w:t>
      </w:r>
      <w:r w:rsidR="00AE1823">
        <w:t xml:space="preserve"> of entry into Period 2) and (</w:t>
      </w:r>
      <w:r w:rsidRPr="00BC4222">
        <w:t xml:space="preserve">later) achieved an EASI 75 response was small among the </w:t>
      </w:r>
      <w:r w:rsidR="00BC4222">
        <w:t>treatment groups.</w:t>
      </w:r>
    </w:p>
    <w:p w14:paraId="65FD5A5B" w14:textId="2A7A80D7" w:rsidR="00462FB8" w:rsidRPr="00BC4222" w:rsidRDefault="00462FB8" w:rsidP="00BC4222">
      <w:r w:rsidRPr="00BC4222">
        <w:t>Lack of EASI-75 response in subje</w:t>
      </w:r>
      <w:r w:rsidR="00BC4222">
        <w:t>cts who were non-responders at W</w:t>
      </w:r>
      <w:r w:rsidRPr="00BC4222">
        <w:t>eek 16 suggests that continuing treatment beyond 16 weeks in</w:t>
      </w:r>
      <w:r w:rsidR="00BC4222">
        <w:t xml:space="preserve"> non-responders is unlikely to provide any benefit. </w:t>
      </w:r>
    </w:p>
    <w:p w14:paraId="2CC4037B" w14:textId="53AD757C" w:rsidR="00462FB8" w:rsidRPr="00BC4222" w:rsidRDefault="00462FB8" w:rsidP="00BC4222">
      <w:r w:rsidRPr="00BC4222">
        <w:t>A general reduction of scratching events p</w:t>
      </w:r>
      <w:r w:rsidR="00BC4222">
        <w:t>er hour was observed following u</w:t>
      </w:r>
      <w:r w:rsidRPr="00BC4222">
        <w:t>padacitinib treatment (30 mg, 15 mg, and 7.5 mg) compared to placebo in Period 1. Significant improvement was observed following all</w:t>
      </w:r>
      <w:r w:rsidR="005D7175">
        <w:t xml:space="preserve"> upadacitinib</w:t>
      </w:r>
      <w:r w:rsidRPr="00BC4222">
        <w:t xml:space="preserve"> groups (30 mg, 15 mg, and 7.5 mg) compared to placebo during Weeks 1 through 4 </w:t>
      </w:r>
      <w:r w:rsidR="00BC4222">
        <w:t>and through Week 16, following u</w:t>
      </w:r>
      <w:r w:rsidRPr="00BC4222">
        <w:t>padacitinib 30 mg compared to placebo</w:t>
      </w:r>
      <w:r w:rsidR="00BC4222">
        <w:t>.</w:t>
      </w:r>
    </w:p>
    <w:p w14:paraId="2F9C93C6" w14:textId="1C3A9F7B" w:rsidR="00462FB8" w:rsidRPr="00BC4222" w:rsidRDefault="00462FB8" w:rsidP="00BC4222">
      <w:r w:rsidRPr="00BC4222">
        <w:t>No significant improvement was observed following any</w:t>
      </w:r>
      <w:r w:rsidR="005D7175">
        <w:t xml:space="preserve"> upadacitinib</w:t>
      </w:r>
      <w:r w:rsidRPr="00BC4222">
        <w:t xml:space="preserve"> treatment compared to placebo for total sleep time per night (</w:t>
      </w:r>
      <w:r w:rsidR="00AE1823">
        <w:t>TST; minimum value)</w:t>
      </w:r>
      <w:r w:rsidRPr="00BC4222">
        <w:t xml:space="preserve"> </w:t>
      </w:r>
      <w:r w:rsidR="00AE1823">
        <w:t>or wake after sleep onset (WASO)</w:t>
      </w:r>
      <w:r w:rsidR="00BC4222">
        <w:t>, with the exception of u</w:t>
      </w:r>
      <w:r w:rsidRPr="00BC4222">
        <w:t xml:space="preserve">padacitinib 30 mg at </w:t>
      </w:r>
      <w:r w:rsidR="00BC4222">
        <w:t>Weeks 5, 6, and 11 for TST and Weeks 2 to 4 and W</w:t>
      </w:r>
      <w:r w:rsidRPr="00BC4222">
        <w:t>eek 9 for WASO</w:t>
      </w:r>
      <w:r w:rsidR="00BC4222">
        <w:t>.</w:t>
      </w:r>
    </w:p>
    <w:p w14:paraId="0AF017DA" w14:textId="4CC8C6CE" w:rsidR="00462FB8" w:rsidRDefault="00462FB8" w:rsidP="00BC4222">
      <w:r w:rsidRPr="00BC4222">
        <w:t>No deterioration or improvement in asthma or nasal symptoms were observed as reflected in the Asthma Symptoms Questionnaire and the Nasal Symptoms Questionnaire at Weeks 16 and 40 compared to Baseline.</w:t>
      </w:r>
    </w:p>
    <w:p w14:paraId="4D7FB463" w14:textId="14EB18F3" w:rsidR="00BC4222" w:rsidRPr="00BC4222" w:rsidRDefault="00BC4222" w:rsidP="00BC4222">
      <w:pPr>
        <w:pStyle w:val="Heading4"/>
      </w:pPr>
      <w:r>
        <w:t>Study M17-377 (supportive study)</w:t>
      </w:r>
    </w:p>
    <w:bookmarkEnd w:id="132"/>
    <w:p w14:paraId="336B4A86" w14:textId="29077CCB" w:rsidR="00462FB8" w:rsidRPr="00BC4222" w:rsidRDefault="00BC4222" w:rsidP="00BC4222">
      <w:r>
        <w:t xml:space="preserve">Study </w:t>
      </w:r>
      <w:r w:rsidR="00462FB8" w:rsidRPr="00BC4222">
        <w:t>M17-377</w:t>
      </w:r>
      <w:bookmarkEnd w:id="133"/>
      <w:r>
        <w:t xml:space="preserve"> was a</w:t>
      </w:r>
      <w:r w:rsidR="00462FB8" w:rsidRPr="00BC4222">
        <w:t xml:space="preserve"> </w:t>
      </w:r>
      <w:r>
        <w:t>Phase III</w:t>
      </w:r>
      <w:r w:rsidR="00462FB8" w:rsidRPr="00BC4222">
        <w:t xml:space="preserve">, randomised, double-blind, multicentre study that evaluated </w:t>
      </w:r>
      <w:r>
        <w:t>u</w:t>
      </w:r>
      <w:r w:rsidR="00462FB8" w:rsidRPr="00BC4222">
        <w:t xml:space="preserve">padacitinib combined with </w:t>
      </w:r>
      <w:r>
        <w:rPr>
          <w:rFonts w:eastAsia="TimesNewRoman" w:cs="TimesNewRoman"/>
          <w:lang w:val="en-US"/>
        </w:rPr>
        <w:t xml:space="preserve">topical corticosteroids </w:t>
      </w:r>
      <w:r w:rsidR="00462FB8" w:rsidRPr="00BC4222">
        <w:t xml:space="preserve">in adolescent and adult subjects in Japan, with moderate to severe </w:t>
      </w:r>
      <w:r>
        <w:t>atopic dermatitis</w:t>
      </w:r>
      <w:r w:rsidR="00462FB8" w:rsidRPr="00BC4222">
        <w:t xml:space="preserve"> who were candidates for systemic therapy.</w:t>
      </w:r>
      <w:r w:rsidR="00462FB8" w:rsidRPr="00CA508B">
        <w:rPr>
          <w:lang w:val="en-US"/>
        </w:rPr>
        <w:t xml:space="preserve"> </w:t>
      </w:r>
    </w:p>
    <w:p w14:paraId="74F4CFDA" w14:textId="043FFE79" w:rsidR="00462FB8" w:rsidRDefault="00462FB8" w:rsidP="00BC4222">
      <w:r w:rsidRPr="00FE2A03">
        <w:rPr>
          <w:lang w:val="en-US"/>
        </w:rPr>
        <w:t>The study design included</w:t>
      </w:r>
      <w:r w:rsidR="004440A2">
        <w:rPr>
          <w:lang w:val="en-US"/>
        </w:rPr>
        <w:t xml:space="preserve"> </w:t>
      </w:r>
      <w:r w:rsidRPr="00BC4222">
        <w:t>a 35-day screening period;</w:t>
      </w:r>
      <w:r w:rsidR="004440A2">
        <w:rPr>
          <w:lang w:val="en-US"/>
        </w:rPr>
        <w:t xml:space="preserve"> </w:t>
      </w:r>
      <w:r w:rsidRPr="00BC4222">
        <w:t xml:space="preserve">a 16-week </w:t>
      </w:r>
      <w:r w:rsidR="004440A2">
        <w:t>double blind</w:t>
      </w:r>
      <w:r w:rsidRPr="00BC4222">
        <w:t xml:space="preserve"> t</w:t>
      </w:r>
      <w:r w:rsidR="004440A2">
        <w:t>reatment p</w:t>
      </w:r>
      <w:r w:rsidRPr="00BC4222">
        <w:t>eriod;</w:t>
      </w:r>
      <w:r w:rsidR="004440A2">
        <w:rPr>
          <w:lang w:val="en-US"/>
        </w:rPr>
        <w:t xml:space="preserve"> </w:t>
      </w:r>
      <w:r w:rsidRPr="00BC4222">
        <w:t xml:space="preserve">a 36-week </w:t>
      </w:r>
      <w:r w:rsidR="004440A2">
        <w:t>blinded expansion p</w:t>
      </w:r>
      <w:r w:rsidRPr="00BC4222">
        <w:t>eriod (Week 16 to 52);</w:t>
      </w:r>
      <w:r w:rsidR="004440A2">
        <w:rPr>
          <w:lang w:val="en-US"/>
        </w:rPr>
        <w:t xml:space="preserve"> </w:t>
      </w:r>
      <w:r w:rsidR="004440A2">
        <w:t>an o</w:t>
      </w:r>
      <w:r w:rsidRPr="00BC4222">
        <w:t>pen</w:t>
      </w:r>
      <w:r w:rsidR="004440A2">
        <w:t xml:space="preserve">-label </w:t>
      </w:r>
      <w:r w:rsidRPr="00BC4222">
        <w:t>long-term extension (Week 52 to Week 136) or permanent withdrawal of the marketing application;</w:t>
      </w:r>
      <w:r w:rsidR="004440A2">
        <w:rPr>
          <w:lang w:val="en-US"/>
        </w:rPr>
        <w:t xml:space="preserve"> </w:t>
      </w:r>
      <w:r w:rsidR="00AE1823">
        <w:t>a 30-day follow-u</w:t>
      </w:r>
      <w:r w:rsidR="004440A2">
        <w:t>p Visit.</w:t>
      </w:r>
    </w:p>
    <w:p w14:paraId="22163124" w14:textId="25675A85" w:rsidR="004440A2" w:rsidRPr="004440A2" w:rsidRDefault="004440A2" w:rsidP="004440A2">
      <w:pPr>
        <w:pStyle w:val="Heading5"/>
        <w:rPr>
          <w:lang w:val="en-US"/>
        </w:rPr>
      </w:pPr>
      <w:r>
        <w:t>Primary objective</w:t>
      </w:r>
    </w:p>
    <w:p w14:paraId="135EB347" w14:textId="77777777" w:rsidR="004440A2" w:rsidRDefault="004440A2" w:rsidP="004440A2">
      <w:r>
        <w:t>The primary objective was:</w:t>
      </w:r>
    </w:p>
    <w:p w14:paraId="63EAA08D" w14:textId="45A7CEAA" w:rsidR="00462FB8" w:rsidRPr="004440A2" w:rsidRDefault="003B6180" w:rsidP="004440A2">
      <w:pPr>
        <w:pStyle w:val="ListBullet"/>
      </w:pPr>
      <w:r>
        <w:rPr>
          <w:lang w:val="en-US"/>
        </w:rPr>
        <w:t>To assess the safety of u</w:t>
      </w:r>
      <w:r w:rsidR="00462FB8" w:rsidRPr="007B1270">
        <w:rPr>
          <w:lang w:val="en-US"/>
        </w:rPr>
        <w:t xml:space="preserve">padacitinib combined with </w:t>
      </w:r>
      <w:r w:rsidR="004440A2">
        <w:rPr>
          <w:rFonts w:eastAsia="TimesNewRoman" w:cs="TimesNewRoman"/>
          <w:lang w:val="en-US"/>
        </w:rPr>
        <w:t xml:space="preserve">topical corticosteroids </w:t>
      </w:r>
      <w:r w:rsidR="00462FB8" w:rsidRPr="007B1270">
        <w:rPr>
          <w:lang w:val="en-US"/>
        </w:rPr>
        <w:t xml:space="preserve">in adolescent and adult subjects in Japan with moderate to severe </w:t>
      </w:r>
      <w:r w:rsidR="004440A2">
        <w:rPr>
          <w:lang w:val="en-US"/>
        </w:rPr>
        <w:t>atopic dermatitis</w:t>
      </w:r>
      <w:r w:rsidR="00462FB8" w:rsidRPr="007B1270">
        <w:rPr>
          <w:lang w:val="en-US"/>
        </w:rPr>
        <w:t xml:space="preserve"> who are candidates for systemic therapy.</w:t>
      </w:r>
    </w:p>
    <w:p w14:paraId="3B1E3117" w14:textId="3DD1B2D0" w:rsidR="00462FB8" w:rsidRPr="007B1270" w:rsidRDefault="00462FB8" w:rsidP="004440A2">
      <w:pPr>
        <w:pStyle w:val="Heading5"/>
        <w:rPr>
          <w:lang w:eastAsia="ja-JP"/>
        </w:rPr>
      </w:pPr>
      <w:r w:rsidRPr="007B1270">
        <w:rPr>
          <w:lang w:val="en-US"/>
        </w:rPr>
        <w:t>Inclusion criteria</w:t>
      </w:r>
    </w:p>
    <w:p w14:paraId="104E2077" w14:textId="2BC12534" w:rsidR="00462FB8" w:rsidRDefault="00462FB8" w:rsidP="00A94913">
      <w:pPr>
        <w:pStyle w:val="ListParagraph"/>
        <w:numPr>
          <w:ilvl w:val="0"/>
          <w:numId w:val="18"/>
        </w:numPr>
        <w:spacing w:line="240" w:lineRule="auto"/>
        <w:ind w:left="284" w:hanging="284"/>
        <w:rPr>
          <w:sz w:val="22"/>
          <w:szCs w:val="22"/>
          <w:lang w:val="en-US"/>
        </w:rPr>
      </w:pPr>
      <w:r w:rsidRPr="007B1270">
        <w:rPr>
          <w:sz w:val="22"/>
          <w:szCs w:val="22"/>
          <w:lang w:val="en-US"/>
        </w:rPr>
        <w:t xml:space="preserve">Eligible subjects must have had a documented history of inadequate response to treatment with topical </w:t>
      </w:r>
      <w:r w:rsidR="004440A2">
        <w:rPr>
          <w:sz w:val="22"/>
          <w:szCs w:val="22"/>
          <w:lang w:val="en-US"/>
        </w:rPr>
        <w:t>atopic dermatitis</w:t>
      </w:r>
      <w:r w:rsidRPr="007B1270">
        <w:rPr>
          <w:sz w:val="22"/>
          <w:szCs w:val="22"/>
          <w:lang w:val="en-US"/>
        </w:rPr>
        <w:t xml:space="preserve"> treatments or documented systemic treatment for </w:t>
      </w:r>
      <w:r w:rsidR="004440A2">
        <w:rPr>
          <w:sz w:val="22"/>
          <w:szCs w:val="22"/>
          <w:lang w:val="en-US"/>
        </w:rPr>
        <w:t>atopic dermatitis within 6 months prior to the baseline v</w:t>
      </w:r>
      <w:r w:rsidRPr="007B1270">
        <w:rPr>
          <w:sz w:val="22"/>
          <w:szCs w:val="22"/>
          <w:lang w:val="en-US"/>
        </w:rPr>
        <w:t>isit</w:t>
      </w:r>
      <w:r>
        <w:rPr>
          <w:sz w:val="22"/>
          <w:szCs w:val="22"/>
          <w:lang w:val="en-US"/>
        </w:rPr>
        <w:t>;</w:t>
      </w:r>
    </w:p>
    <w:p w14:paraId="2040384B" w14:textId="77777777" w:rsidR="00462FB8" w:rsidRPr="00F517C8" w:rsidRDefault="00462FB8" w:rsidP="00462FB8">
      <w:pPr>
        <w:spacing w:line="240" w:lineRule="auto"/>
        <w:rPr>
          <w:b/>
          <w:lang w:val="en-US"/>
        </w:rPr>
      </w:pPr>
      <w:r w:rsidRPr="00F517C8">
        <w:rPr>
          <w:b/>
          <w:lang w:val="en-US"/>
        </w:rPr>
        <w:t>Study treatments</w:t>
      </w:r>
    </w:p>
    <w:p w14:paraId="4AFA5E5D" w14:textId="77777777" w:rsidR="001060F6" w:rsidRDefault="00462FB8" w:rsidP="001060F6">
      <w:pPr>
        <w:rPr>
          <w:lang w:val="en-US"/>
        </w:rPr>
      </w:pPr>
      <w:r w:rsidRPr="00F517C8">
        <w:rPr>
          <w:lang w:val="en-US"/>
        </w:rPr>
        <w:t xml:space="preserve">Subjects who met eligibility criteria were randomised in a 1:1:1 ratio to receive, in combination with </w:t>
      </w:r>
      <w:r w:rsidR="00FC200F">
        <w:rPr>
          <w:rFonts w:eastAsia="TimesNewRoman" w:cs="TimesNewRoman"/>
          <w:lang w:val="en-US"/>
        </w:rPr>
        <w:t>topical corticosteroids</w:t>
      </w:r>
      <w:r w:rsidR="00FC200F">
        <w:rPr>
          <w:lang w:val="en-US"/>
        </w:rPr>
        <w:t>, daily oral doses of upadacitinib 15 mg, u</w:t>
      </w:r>
      <w:r w:rsidRPr="00F517C8">
        <w:rPr>
          <w:lang w:val="en-US"/>
        </w:rPr>
        <w:t>padacitinib 30 mg, or placebo</w:t>
      </w:r>
      <w:r>
        <w:rPr>
          <w:lang w:val="en-US"/>
        </w:rPr>
        <w:t xml:space="preserve"> until Week 16</w:t>
      </w:r>
      <w:r w:rsidRPr="00F517C8">
        <w:rPr>
          <w:lang w:val="en-US"/>
        </w:rPr>
        <w:t xml:space="preserve">. </w:t>
      </w:r>
    </w:p>
    <w:p w14:paraId="4E6B994F" w14:textId="61C7D9C6" w:rsidR="00462FB8" w:rsidRPr="001060F6" w:rsidRDefault="00462FB8" w:rsidP="001060F6">
      <w:pPr>
        <w:rPr>
          <w:lang w:val="en-US"/>
        </w:rPr>
      </w:pPr>
      <w:r w:rsidRPr="00F13E36">
        <w:rPr>
          <w:lang w:val="en-US"/>
        </w:rPr>
        <w:t xml:space="preserve">At the end of Week 16, subjects in the placebo group were re-randomised in a 1:1 ratio to receive daily oral doses </w:t>
      </w:r>
      <w:r>
        <w:rPr>
          <w:lang w:val="en-US"/>
        </w:rPr>
        <w:t xml:space="preserve">either </w:t>
      </w:r>
      <w:r w:rsidRPr="00F13E36">
        <w:rPr>
          <w:lang w:val="en-US"/>
        </w:rPr>
        <w:t xml:space="preserve">of </w:t>
      </w:r>
      <w:r w:rsidR="00FC200F">
        <w:rPr>
          <w:lang w:val="en-US"/>
        </w:rPr>
        <w:t>u</w:t>
      </w:r>
      <w:r w:rsidRPr="00F13E36">
        <w:rPr>
          <w:lang w:val="en-US"/>
        </w:rPr>
        <w:t xml:space="preserve">padacitinib 15 mg </w:t>
      </w:r>
      <w:r w:rsidR="00FC200F">
        <w:rPr>
          <w:lang w:val="en-US"/>
        </w:rPr>
        <w:t>or of u</w:t>
      </w:r>
      <w:r>
        <w:rPr>
          <w:lang w:val="en-US"/>
        </w:rPr>
        <w:t>padacitinib</w:t>
      </w:r>
      <w:r w:rsidRPr="00F13E36">
        <w:rPr>
          <w:lang w:val="en-US"/>
        </w:rPr>
        <w:t xml:space="preserve"> 30 mg</w:t>
      </w:r>
      <w:r>
        <w:rPr>
          <w:lang w:val="en-US"/>
        </w:rPr>
        <w:t xml:space="preserve"> </w:t>
      </w:r>
    </w:p>
    <w:p w14:paraId="10E55A39" w14:textId="34F395DB" w:rsidR="00462FB8" w:rsidRDefault="00462FB8" w:rsidP="001060F6">
      <w:pPr>
        <w:rPr>
          <w:lang w:val="en-US"/>
        </w:rPr>
      </w:pPr>
      <w:r w:rsidRPr="00F13E36">
        <w:rPr>
          <w:lang w:val="en-US"/>
        </w:rPr>
        <w:lastRenderedPageBreak/>
        <w:t xml:space="preserve">Subjects originally in the </w:t>
      </w:r>
      <w:r w:rsidR="00FC200F">
        <w:rPr>
          <w:lang w:val="en-US"/>
        </w:rPr>
        <w:t>u</w:t>
      </w:r>
      <w:r w:rsidRPr="00F13E36">
        <w:rPr>
          <w:lang w:val="en-US"/>
        </w:rPr>
        <w:t xml:space="preserve">padacitinib 15 mg </w:t>
      </w:r>
      <w:r w:rsidR="00FC200F">
        <w:rPr>
          <w:lang w:val="en-US"/>
        </w:rPr>
        <w:t>once daily</w:t>
      </w:r>
      <w:r w:rsidRPr="00F13E36">
        <w:rPr>
          <w:lang w:val="en-US"/>
        </w:rPr>
        <w:t xml:space="preserve"> and </w:t>
      </w:r>
      <w:r w:rsidR="00FC200F">
        <w:rPr>
          <w:lang w:val="en-US"/>
        </w:rPr>
        <w:t>u</w:t>
      </w:r>
      <w:r w:rsidRPr="00F13E36">
        <w:rPr>
          <w:lang w:val="en-US"/>
        </w:rPr>
        <w:t xml:space="preserve">padacitinib 30 mg </w:t>
      </w:r>
      <w:r w:rsidR="00FC200F">
        <w:rPr>
          <w:lang w:val="en-US"/>
        </w:rPr>
        <w:t>once daily</w:t>
      </w:r>
      <w:r w:rsidRPr="00F13E36">
        <w:rPr>
          <w:lang w:val="en-US"/>
        </w:rPr>
        <w:t xml:space="preserve"> groups continued their treatment into the long-term extension period up to Week 136.</w:t>
      </w:r>
    </w:p>
    <w:p w14:paraId="49C2ED1C" w14:textId="4CAC9EFA" w:rsidR="00462FB8" w:rsidRPr="00022234" w:rsidRDefault="00462FB8" w:rsidP="00FC200F">
      <w:pPr>
        <w:pStyle w:val="Heading6"/>
        <w:rPr>
          <w:lang w:val="en-US"/>
        </w:rPr>
      </w:pPr>
      <w:r w:rsidRPr="00022234">
        <w:rPr>
          <w:lang w:val="en-US"/>
        </w:rPr>
        <w:t>Req</w:t>
      </w:r>
      <w:r w:rsidR="00FC200F">
        <w:rPr>
          <w:lang w:val="en-US"/>
        </w:rPr>
        <w:t>uired concomitant medications</w:t>
      </w:r>
    </w:p>
    <w:p w14:paraId="65C81D5A" w14:textId="73038457" w:rsidR="00462FB8" w:rsidRPr="00FC200F" w:rsidRDefault="00FC200F" w:rsidP="00FC200F">
      <w:r>
        <w:t>A</w:t>
      </w:r>
      <w:r w:rsidR="00462FB8" w:rsidRPr="00FC200F">
        <w:t xml:space="preserve"> </w:t>
      </w:r>
      <w:r>
        <w:rPr>
          <w:rFonts w:eastAsia="TimesNewRoman" w:cs="TimesNewRoman"/>
          <w:lang w:val="en-US"/>
        </w:rPr>
        <w:t xml:space="preserve">topical corticosteroid </w:t>
      </w:r>
      <w:r w:rsidR="00462FB8" w:rsidRPr="00FC200F">
        <w:t>regimen in combination with study drug was mandatory until Week 16</w:t>
      </w:r>
      <w:r>
        <w:t>. A</w:t>
      </w:r>
      <w:r w:rsidR="00462FB8" w:rsidRPr="00FC200F">
        <w:t xml:space="preserve">fter Week 16, the use of any concomitant topical medication for </w:t>
      </w:r>
      <w:r w:rsidR="00AE1823">
        <w:t xml:space="preserve">atopic dermatitis could be </w:t>
      </w:r>
      <w:r>
        <w:t xml:space="preserve">administered per </w:t>
      </w:r>
      <w:r w:rsidR="00462FB8" w:rsidRPr="00FC200F">
        <w:t>investigator’s discretion and was no longer req</w:t>
      </w:r>
      <w:r>
        <w:t>uired.</w:t>
      </w:r>
    </w:p>
    <w:p w14:paraId="2809B06A" w14:textId="20034623" w:rsidR="00462FB8" w:rsidRPr="00FC200F" w:rsidRDefault="00462FB8" w:rsidP="00FC200F">
      <w:pPr>
        <w:pStyle w:val="Heading6"/>
      </w:pPr>
      <w:r w:rsidRPr="00022234">
        <w:t>R</w:t>
      </w:r>
      <w:r w:rsidR="00FC200F">
        <w:t>escue therapy</w:t>
      </w:r>
    </w:p>
    <w:p w14:paraId="1E519C7F" w14:textId="38B69739" w:rsidR="00462FB8" w:rsidRPr="00FC200F" w:rsidRDefault="00FC200F" w:rsidP="00FC200F">
      <w:r>
        <w:t>H</w:t>
      </w:r>
      <w:r w:rsidR="00462FB8" w:rsidRPr="00FC200F">
        <w:t xml:space="preserve">igh potency </w:t>
      </w:r>
      <w:r>
        <w:rPr>
          <w:rFonts w:eastAsia="TimesNewRoman" w:cs="TimesNewRoman"/>
          <w:lang w:val="en-US"/>
        </w:rPr>
        <w:t xml:space="preserve">topical corticosteroids </w:t>
      </w:r>
      <w:r>
        <w:t>were</w:t>
      </w:r>
      <w:r w:rsidR="00462FB8" w:rsidRPr="00FC200F">
        <w:t xml:space="preserve"> not considered as</w:t>
      </w:r>
      <w:r w:rsidR="00AE1823">
        <w:t xml:space="preserve"> rescue treatment after Week </w:t>
      </w:r>
      <w:r>
        <w:t>16. A</w:t>
      </w:r>
      <w:r w:rsidR="00462FB8" w:rsidRPr="00FC200F">
        <w:t xml:space="preserve">t Week 4 through Week 24, rescue treatment for </w:t>
      </w:r>
      <w:r w:rsidR="00AE1823">
        <w:t>atopic dermatitis</w:t>
      </w:r>
      <w:r w:rsidR="00462FB8" w:rsidRPr="00FC200F">
        <w:t xml:space="preserve"> may be provided at the discretion of</w:t>
      </w:r>
      <w:r w:rsidR="00B51532">
        <w:t xml:space="preserve"> </w:t>
      </w:r>
      <w:r w:rsidR="00462FB8" w:rsidRPr="00FC200F">
        <w:t>the investi</w:t>
      </w:r>
      <w:r>
        <w:t>gator if medically necessary (that is</w:t>
      </w:r>
      <w:r w:rsidR="00462FB8" w:rsidRPr="00FC200F">
        <w:t xml:space="preserve">, to control intolerable </w:t>
      </w:r>
      <w:r w:rsidR="00AE1823">
        <w:t>atopic dermatitis</w:t>
      </w:r>
      <w:r w:rsidR="00462FB8" w:rsidRPr="00FC200F">
        <w:t xml:space="preserve"> symptoms). The latter refers to</w:t>
      </w:r>
      <w:r w:rsidR="00B51532">
        <w:t xml:space="preserve"> </w:t>
      </w:r>
      <w:r w:rsidR="00462FB8" w:rsidRPr="00FC200F">
        <w:t>subjects with &lt; 50% reduction in EASI 50 response at any 2 consecutive scheduled visits</w:t>
      </w:r>
      <w:r>
        <w:t>. A</w:t>
      </w:r>
      <w:r w:rsidR="00462FB8" w:rsidRPr="00FC200F">
        <w:t>fter Week 24, systemic rescue treatment may be provided for subjects with &lt; EASI 50 response at any scheduled or unscheduled visit.</w:t>
      </w:r>
    </w:p>
    <w:p w14:paraId="1E731AC9" w14:textId="1ADCA640" w:rsidR="00462FB8" w:rsidRPr="00FC200F" w:rsidRDefault="00462FB8" w:rsidP="00FC200F">
      <w:pPr>
        <w:pStyle w:val="Heading5"/>
        <w:rPr>
          <w:lang w:val="en-US"/>
        </w:rPr>
      </w:pPr>
      <w:r w:rsidRPr="00F517C8">
        <w:rPr>
          <w:lang w:val="en-US"/>
        </w:rPr>
        <w:t>Randomisation</w:t>
      </w:r>
    </w:p>
    <w:p w14:paraId="075A813D" w14:textId="1F3BE4CA" w:rsidR="00462FB8" w:rsidRPr="00FC200F" w:rsidRDefault="00462FB8" w:rsidP="00FC200F">
      <w:r w:rsidRPr="00FC200F">
        <w:t xml:space="preserve">Randomisation </w:t>
      </w:r>
      <w:r w:rsidR="00FC200F">
        <w:t xml:space="preserve">was stratified by </w:t>
      </w:r>
      <w:r w:rsidRPr="00FC200F">
        <w:t>baseline disease severity (moderate validated Investigator Global Assessme</w:t>
      </w:r>
      <w:r w:rsidR="00FC200F">
        <w:t xml:space="preserve">nt scale for Atopic Dermatitis (vIGA-AD 3) versus severe vIGA-AD 4); and age (&lt; 18 years versus </w:t>
      </w:r>
      <w:r w:rsidRPr="00FC200F">
        <w:t>18 to 40</w:t>
      </w:r>
      <w:r w:rsidR="00FC200F">
        <w:t xml:space="preserve"> years versus</w:t>
      </w:r>
      <w:r w:rsidRPr="00FC200F">
        <w:t xml:space="preserve"> &gt; 40 years old). </w:t>
      </w:r>
    </w:p>
    <w:p w14:paraId="361CBC21" w14:textId="77777777" w:rsidR="00462FB8" w:rsidRDefault="00462FB8" w:rsidP="00462FB8">
      <w:pPr>
        <w:spacing w:line="240" w:lineRule="auto"/>
        <w:rPr>
          <w:lang w:val="en-US"/>
        </w:rPr>
      </w:pPr>
      <w:r>
        <w:rPr>
          <w:lang w:val="en-US"/>
        </w:rPr>
        <w:t xml:space="preserve">Re-randomisation was stratified </w:t>
      </w:r>
      <w:r w:rsidRPr="00F13E36">
        <w:rPr>
          <w:lang w:val="en-US"/>
        </w:rPr>
        <w:t xml:space="preserve">by 50% reduction in Eczema Area and Severity Index (EASI 50) responder (Yes/No) </w:t>
      </w:r>
      <w:r>
        <w:rPr>
          <w:lang w:val="en-US"/>
        </w:rPr>
        <w:t>plus the above stated parameters</w:t>
      </w:r>
      <w:r w:rsidRPr="00F13E36">
        <w:rPr>
          <w:lang w:val="en-US"/>
        </w:rPr>
        <w:t xml:space="preserve">. </w:t>
      </w:r>
    </w:p>
    <w:p w14:paraId="076A15F5" w14:textId="508DF048" w:rsidR="00462FB8" w:rsidRDefault="00FC200F" w:rsidP="00FC200F">
      <w:pPr>
        <w:pStyle w:val="Heading5"/>
        <w:rPr>
          <w:lang w:val="en-US"/>
        </w:rPr>
      </w:pPr>
      <w:r>
        <w:rPr>
          <w:lang w:val="en-US"/>
        </w:rPr>
        <w:t>Efficacy parameters and endpoints</w:t>
      </w:r>
    </w:p>
    <w:p w14:paraId="7047D27E" w14:textId="69D8603E" w:rsidR="00AE1823" w:rsidRPr="00AE1823" w:rsidRDefault="00AE1823" w:rsidP="00AE1823">
      <w:pPr>
        <w:rPr>
          <w:lang w:val="en-US"/>
        </w:rPr>
      </w:pPr>
      <w:r>
        <w:rPr>
          <w:lang w:val="en-US"/>
        </w:rPr>
        <w:t>See Section:</w:t>
      </w:r>
      <w:r w:rsidRPr="00AE1823">
        <w:rPr>
          <w:i/>
          <w:lang w:val="en-US"/>
        </w:rPr>
        <w:t xml:space="preserve"> </w:t>
      </w:r>
      <w:r w:rsidRPr="00AE1823">
        <w:rPr>
          <w:i/>
          <w:lang w:val="en-US"/>
        </w:rPr>
        <w:fldChar w:fldCharType="begin"/>
      </w:r>
      <w:r w:rsidRPr="00AE1823">
        <w:rPr>
          <w:i/>
          <w:lang w:val="en-US"/>
        </w:rPr>
        <w:instrText xml:space="preserve"> REF _Ref125651610 \h </w:instrText>
      </w:r>
      <w:r>
        <w:rPr>
          <w:i/>
          <w:lang w:val="en-US"/>
        </w:rPr>
        <w:instrText xml:space="preserve"> \* MERGEFORMAT </w:instrText>
      </w:r>
      <w:r w:rsidRPr="00AE1823">
        <w:rPr>
          <w:i/>
          <w:lang w:val="en-US"/>
        </w:rPr>
      </w:r>
      <w:r w:rsidRPr="00AE1823">
        <w:rPr>
          <w:i/>
          <w:lang w:val="en-US"/>
        </w:rPr>
        <w:fldChar w:fldCharType="separate"/>
      </w:r>
      <w:r w:rsidR="00B51532" w:rsidRPr="00B51532">
        <w:rPr>
          <w:i/>
        </w:rPr>
        <w:t>Scoring systems used in the clinical studies</w:t>
      </w:r>
      <w:r w:rsidRPr="00AE1823">
        <w:rPr>
          <w:i/>
          <w:lang w:val="en-US"/>
        </w:rPr>
        <w:fldChar w:fldCharType="end"/>
      </w:r>
      <w:r>
        <w:rPr>
          <w:i/>
          <w:lang w:val="en-US"/>
        </w:rPr>
        <w:t xml:space="preserve"> </w:t>
      </w:r>
      <w:r>
        <w:rPr>
          <w:lang w:val="en-US"/>
        </w:rPr>
        <w:t>for information on the scoring systems and measures used.</w:t>
      </w:r>
    </w:p>
    <w:p w14:paraId="0BD914ED" w14:textId="5143B855" w:rsidR="00462FB8" w:rsidRPr="00FC200F" w:rsidRDefault="00462FB8" w:rsidP="00FC200F">
      <w:r w:rsidRPr="00FC200F">
        <w:t>Exploratory</w:t>
      </w:r>
      <w:r w:rsidR="00FC200F" w:rsidRPr="00FC200F">
        <w:t xml:space="preserve"> endpoints</w:t>
      </w:r>
      <w:r w:rsidR="00FC200F">
        <w:t xml:space="preserve"> were:</w:t>
      </w:r>
    </w:p>
    <w:p w14:paraId="1F257DAD" w14:textId="782BE00A" w:rsidR="00462FB8" w:rsidRPr="00D179D7" w:rsidRDefault="00462FB8" w:rsidP="00FC200F">
      <w:pPr>
        <w:pStyle w:val="ListBullet"/>
        <w:rPr>
          <w:lang w:val="en-US"/>
        </w:rPr>
      </w:pPr>
      <w:r w:rsidRPr="00D179D7">
        <w:rPr>
          <w:lang w:val="en-US"/>
        </w:rPr>
        <w:t>Proportion of subjects achieving vIGA-AD 0 or 1 with at least 2 grades of</w:t>
      </w:r>
      <w:r w:rsidR="00FC200F">
        <w:rPr>
          <w:lang w:val="en-US"/>
        </w:rPr>
        <w:t xml:space="preserve"> reduction from </w:t>
      </w:r>
      <w:r w:rsidRPr="00D179D7">
        <w:rPr>
          <w:lang w:val="en-US"/>
        </w:rPr>
        <w:t>Baseline;</w:t>
      </w:r>
    </w:p>
    <w:p w14:paraId="7C53068C" w14:textId="2DE96112" w:rsidR="00462FB8" w:rsidRPr="00D179D7" w:rsidRDefault="00462FB8" w:rsidP="00FC200F">
      <w:pPr>
        <w:pStyle w:val="ListBullet"/>
        <w:rPr>
          <w:lang w:val="en-US"/>
        </w:rPr>
      </w:pPr>
      <w:r w:rsidRPr="00D179D7">
        <w:rPr>
          <w:lang w:val="en-US"/>
        </w:rPr>
        <w:t>Proportion of subjects achieving EASI 50/75/90) from Baseline;</w:t>
      </w:r>
    </w:p>
    <w:p w14:paraId="182F2B9D" w14:textId="7430C155" w:rsidR="00462FB8" w:rsidRPr="00D179D7" w:rsidRDefault="00462FB8" w:rsidP="00FC200F">
      <w:pPr>
        <w:pStyle w:val="ListBullet"/>
        <w:rPr>
          <w:lang w:val="en-US"/>
        </w:rPr>
      </w:pPr>
      <w:r w:rsidRPr="00D179D7">
        <w:rPr>
          <w:lang w:val="en-US"/>
        </w:rPr>
        <w:t>Change and percent change from Baseline in EASI;</w:t>
      </w:r>
    </w:p>
    <w:p w14:paraId="64A8D829" w14:textId="0936B886" w:rsidR="00462FB8" w:rsidRDefault="00462FB8" w:rsidP="00FC200F">
      <w:pPr>
        <w:pStyle w:val="ListBullet"/>
        <w:rPr>
          <w:lang w:val="en-US"/>
        </w:rPr>
      </w:pPr>
      <w:r w:rsidRPr="00D179D7">
        <w:rPr>
          <w:lang w:val="en-US"/>
        </w:rPr>
        <w:t xml:space="preserve">Proportion of subjects achieving an improvement (reduction) in worst pruritus Numerical </w:t>
      </w:r>
    </w:p>
    <w:p w14:paraId="3C798A97" w14:textId="43CB9BDD" w:rsidR="00462FB8" w:rsidRPr="00D179D7" w:rsidRDefault="00462FB8" w:rsidP="00FC200F">
      <w:pPr>
        <w:pStyle w:val="ListBullet"/>
        <w:rPr>
          <w:lang w:val="en-US"/>
        </w:rPr>
      </w:pPr>
      <w:r w:rsidRPr="00D179D7">
        <w:rPr>
          <w:lang w:val="en-US"/>
        </w:rPr>
        <w:t>Rating Scale (NRS) ≥ 4 from Baseline;</w:t>
      </w:r>
    </w:p>
    <w:p w14:paraId="67032F82" w14:textId="02A81CFD" w:rsidR="00462FB8" w:rsidRPr="00FC200F" w:rsidRDefault="00462FB8" w:rsidP="00FC200F">
      <w:pPr>
        <w:pStyle w:val="ListBullet"/>
        <w:rPr>
          <w:lang w:val="en-US"/>
        </w:rPr>
      </w:pPr>
      <w:r w:rsidRPr="00D179D7">
        <w:rPr>
          <w:lang w:val="en-US"/>
        </w:rPr>
        <w:t>Change and percent change from Baseline in worst pruritus NRS.</w:t>
      </w:r>
    </w:p>
    <w:p w14:paraId="00427302" w14:textId="0AE7CEF0" w:rsidR="00462FB8" w:rsidRPr="00776ECC" w:rsidRDefault="00462FB8" w:rsidP="00FC200F">
      <w:pPr>
        <w:pStyle w:val="Heading5"/>
        <w:rPr>
          <w:lang w:val="en-US"/>
        </w:rPr>
      </w:pPr>
      <w:r w:rsidRPr="00776ECC">
        <w:rPr>
          <w:lang w:val="en-US"/>
        </w:rPr>
        <w:t xml:space="preserve">Participants flow </w:t>
      </w:r>
      <w:r w:rsidR="00FC200F">
        <w:rPr>
          <w:lang w:val="en-US"/>
        </w:rPr>
        <w:t>and s</w:t>
      </w:r>
      <w:r>
        <w:rPr>
          <w:lang w:val="en-US"/>
        </w:rPr>
        <w:t>ample size</w:t>
      </w:r>
    </w:p>
    <w:p w14:paraId="1042D2F8" w14:textId="77777777" w:rsidR="00462FB8" w:rsidRPr="00776ECC" w:rsidRDefault="00462FB8" w:rsidP="00462FB8">
      <w:pPr>
        <w:autoSpaceDE w:val="0"/>
        <w:autoSpaceDN w:val="0"/>
        <w:adjustRightInd w:val="0"/>
        <w:spacing w:line="240" w:lineRule="auto"/>
        <w:rPr>
          <w:lang w:val="en-US"/>
        </w:rPr>
      </w:pPr>
      <w:r w:rsidRPr="00776ECC">
        <w:rPr>
          <w:lang w:val="en-US"/>
        </w:rPr>
        <w:t>Overall, 272 subjects were randomised and received study drug:</w:t>
      </w:r>
    </w:p>
    <w:p w14:paraId="6EA43342" w14:textId="1FB9818C" w:rsidR="00462FB8" w:rsidRPr="003D7DF7" w:rsidRDefault="00462FB8" w:rsidP="00C056B6">
      <w:pPr>
        <w:pStyle w:val="ListBullet"/>
      </w:pPr>
      <w:r w:rsidRPr="003D7DF7">
        <w:t>n</w:t>
      </w:r>
      <w:r w:rsidR="003D7DF7">
        <w:t xml:space="preserve"> </w:t>
      </w:r>
      <w:r w:rsidRPr="003D7DF7">
        <w:t>=</w:t>
      </w:r>
      <w:r w:rsidR="003D7DF7">
        <w:t xml:space="preserve"> </w:t>
      </w:r>
      <w:r w:rsidRPr="003D7DF7">
        <w:t xml:space="preserve">90 for placebo + </w:t>
      </w:r>
      <w:r w:rsidR="003D7DF7">
        <w:rPr>
          <w:rFonts w:eastAsia="TimesNewRoman" w:cs="TimesNewRoman"/>
          <w:lang w:val="en-US"/>
        </w:rPr>
        <w:t>topical corticosteroids</w:t>
      </w:r>
      <w:r w:rsidRPr="003D7DF7">
        <w:t>;</w:t>
      </w:r>
    </w:p>
    <w:p w14:paraId="2C4F57E8" w14:textId="19E4CE92" w:rsidR="00462FB8" w:rsidRPr="003D7DF7" w:rsidRDefault="003D7DF7" w:rsidP="00C056B6">
      <w:pPr>
        <w:pStyle w:val="ListBullet"/>
      </w:pPr>
      <w:r>
        <w:t xml:space="preserve">n = </w:t>
      </w:r>
      <w:r w:rsidR="00462FB8" w:rsidRPr="003D7DF7">
        <w:t>91</w:t>
      </w:r>
      <w:r>
        <w:t xml:space="preserve"> </w:t>
      </w:r>
      <w:r w:rsidR="00462FB8" w:rsidRPr="003D7DF7">
        <w:t xml:space="preserve">for </w:t>
      </w:r>
      <w:r>
        <w:rPr>
          <w:lang w:val="en-US"/>
        </w:rPr>
        <w:t xml:space="preserve">upadacitinib </w:t>
      </w:r>
      <w:r w:rsidR="00462FB8" w:rsidRPr="003D7DF7">
        <w:t>15</w:t>
      </w:r>
      <w:r>
        <w:t xml:space="preserve"> </w:t>
      </w:r>
      <w:r w:rsidR="00462FB8" w:rsidRPr="003D7DF7">
        <w:t xml:space="preserve">mg + </w:t>
      </w:r>
      <w:r>
        <w:rPr>
          <w:rFonts w:eastAsia="TimesNewRoman" w:cs="TimesNewRoman"/>
          <w:lang w:val="en-US"/>
        </w:rPr>
        <w:t>topical corticosteroids</w:t>
      </w:r>
      <w:r w:rsidR="00462FB8" w:rsidRPr="003D7DF7">
        <w:t>;</w:t>
      </w:r>
      <w:r w:rsidR="00B51532">
        <w:t xml:space="preserve"> </w:t>
      </w:r>
    </w:p>
    <w:p w14:paraId="7AEC1EBE" w14:textId="0FD0A8AD" w:rsidR="00462FB8" w:rsidRPr="003D7DF7" w:rsidRDefault="00462FB8" w:rsidP="00C056B6">
      <w:pPr>
        <w:pStyle w:val="ListBullet"/>
      </w:pPr>
      <w:r w:rsidRPr="003D7DF7">
        <w:t>n</w:t>
      </w:r>
      <w:r w:rsidR="003D7DF7">
        <w:t xml:space="preserve"> </w:t>
      </w:r>
      <w:r w:rsidRPr="003D7DF7">
        <w:t>= 91</w:t>
      </w:r>
      <w:r w:rsidR="003D7DF7">
        <w:t xml:space="preserve"> </w:t>
      </w:r>
      <w:r w:rsidRPr="003D7DF7">
        <w:t xml:space="preserve">for </w:t>
      </w:r>
      <w:r w:rsidR="003D7DF7">
        <w:rPr>
          <w:lang w:val="en-US"/>
        </w:rPr>
        <w:t xml:space="preserve">upadacitinib </w:t>
      </w:r>
      <w:r w:rsidRPr="003D7DF7">
        <w:t>30</w:t>
      </w:r>
      <w:r w:rsidR="003D7DF7">
        <w:t xml:space="preserve"> </w:t>
      </w:r>
      <w:r w:rsidRPr="003D7DF7">
        <w:t xml:space="preserve">mg + </w:t>
      </w:r>
      <w:r w:rsidR="003D7DF7">
        <w:rPr>
          <w:rFonts w:eastAsia="TimesNewRoman" w:cs="TimesNewRoman"/>
          <w:lang w:val="en-US"/>
        </w:rPr>
        <w:t>topical corticosteroids</w:t>
      </w:r>
      <w:r w:rsidRPr="003D7DF7">
        <w:t>;</w:t>
      </w:r>
      <w:r w:rsidR="00B51532">
        <w:t xml:space="preserve"> </w:t>
      </w:r>
    </w:p>
    <w:p w14:paraId="4F645975" w14:textId="2DFD1237" w:rsidR="00462FB8" w:rsidRPr="00776ECC" w:rsidRDefault="00462FB8" w:rsidP="00462FB8">
      <w:pPr>
        <w:autoSpaceDE w:val="0"/>
        <w:autoSpaceDN w:val="0"/>
        <w:adjustRightInd w:val="0"/>
        <w:spacing w:line="240" w:lineRule="auto"/>
        <w:rPr>
          <w:lang w:val="en-US"/>
        </w:rPr>
      </w:pPr>
      <w:r w:rsidRPr="00776ECC">
        <w:rPr>
          <w:lang w:val="en-US"/>
        </w:rPr>
        <w:t>264 subjects (97.1%) completed the study through Week 16 (</w:t>
      </w:r>
      <w:r w:rsidR="003D7DF7">
        <w:rPr>
          <w:lang w:val="en-US"/>
        </w:rPr>
        <w:t>double blinded p</w:t>
      </w:r>
      <w:r w:rsidRPr="00776ECC">
        <w:rPr>
          <w:lang w:val="en-US"/>
        </w:rPr>
        <w:t xml:space="preserve">eriod) and continued to the </w:t>
      </w:r>
      <w:r w:rsidR="003D7DF7">
        <w:rPr>
          <w:lang w:val="en-US"/>
        </w:rPr>
        <w:t>blinded extension/open-label p</w:t>
      </w:r>
      <w:r w:rsidRPr="00776ECC">
        <w:rPr>
          <w:lang w:val="en-US"/>
        </w:rPr>
        <w:t>eriods</w:t>
      </w:r>
      <w:r>
        <w:rPr>
          <w:lang w:val="en-US"/>
        </w:rPr>
        <w:t>.</w:t>
      </w:r>
    </w:p>
    <w:p w14:paraId="57C8AFD9" w14:textId="1BFA4950" w:rsidR="00462FB8" w:rsidRPr="00776ECC" w:rsidRDefault="00462FB8" w:rsidP="00462FB8">
      <w:pPr>
        <w:autoSpaceDE w:val="0"/>
        <w:autoSpaceDN w:val="0"/>
        <w:adjustRightInd w:val="0"/>
        <w:spacing w:line="240" w:lineRule="auto"/>
        <w:rPr>
          <w:lang w:val="en-US"/>
        </w:rPr>
      </w:pPr>
      <w:r w:rsidRPr="00776ECC">
        <w:rPr>
          <w:lang w:val="en-US"/>
        </w:rPr>
        <w:t xml:space="preserve">Six (6) and five (5) subjects discontinued the study during the </w:t>
      </w:r>
      <w:r w:rsidR="003D7DF7">
        <w:rPr>
          <w:lang w:val="en-US"/>
        </w:rPr>
        <w:t>double blinded</w:t>
      </w:r>
      <w:r w:rsidRPr="00776ECC">
        <w:rPr>
          <w:lang w:val="en-US"/>
        </w:rPr>
        <w:t xml:space="preserve"> and </w:t>
      </w:r>
      <w:r w:rsidR="003D7DF7">
        <w:rPr>
          <w:lang w:val="en-US"/>
        </w:rPr>
        <w:t xml:space="preserve">blinded extension/open-label </w:t>
      </w:r>
      <w:r w:rsidRPr="00776ECC">
        <w:rPr>
          <w:lang w:val="en-US"/>
        </w:rPr>
        <w:t>periods, respectively. The most frequent primary reason for study discontinuation was withdrawal by subject</w:t>
      </w:r>
      <w:r>
        <w:rPr>
          <w:lang w:val="en-US"/>
        </w:rPr>
        <w:t>s</w:t>
      </w:r>
      <w:r w:rsidRPr="00776ECC">
        <w:rPr>
          <w:lang w:val="en-US"/>
        </w:rPr>
        <w:t xml:space="preserve"> in both study periods.</w:t>
      </w:r>
    </w:p>
    <w:p w14:paraId="490F0993" w14:textId="77777777" w:rsidR="00462FB8" w:rsidRDefault="00462FB8" w:rsidP="00FC200F">
      <w:pPr>
        <w:pStyle w:val="Heading5"/>
        <w:rPr>
          <w:lang w:val="en-US"/>
        </w:rPr>
      </w:pPr>
      <w:r w:rsidRPr="00776ECC">
        <w:rPr>
          <w:lang w:val="en-US"/>
        </w:rPr>
        <w:lastRenderedPageBreak/>
        <w:t>Analysis of populations</w:t>
      </w:r>
    </w:p>
    <w:p w14:paraId="4D2244A4" w14:textId="32ECB5E3" w:rsidR="00462FB8" w:rsidRPr="003D7DF7" w:rsidRDefault="00462FB8" w:rsidP="003D7DF7">
      <w:r w:rsidRPr="003D7DF7">
        <w:t>The sample size was determined to meet regulatory requirements for safety exposure in Japan</w:t>
      </w:r>
      <w:r w:rsidR="003D7DF7">
        <w:t xml:space="preserve">. </w:t>
      </w:r>
      <w:r w:rsidRPr="003D7DF7">
        <w:t xml:space="preserve">The Intent-to-Treat (ITT) population, which includes all randomised subjects, was used for all efficacy analyses. </w:t>
      </w:r>
    </w:p>
    <w:p w14:paraId="087529A0" w14:textId="777DB5CC" w:rsidR="00462FB8" w:rsidRPr="003D7DF7" w:rsidRDefault="003D7DF7" w:rsidP="003D7DF7">
      <w:r w:rsidRPr="003D7DF7">
        <w:t>The clinical evaluation noted that subjects were analys</w:t>
      </w:r>
      <w:r w:rsidR="00462FB8" w:rsidRPr="003D7DF7">
        <w:t>ed ac</w:t>
      </w:r>
      <w:r>
        <w:t>cording to treatment as randomis</w:t>
      </w:r>
      <w:r w:rsidR="00462FB8" w:rsidRPr="003D7DF7">
        <w:t>ed, regardless of which</w:t>
      </w:r>
      <w:r w:rsidRPr="003D7DF7">
        <w:t xml:space="preserve"> </w:t>
      </w:r>
      <w:r w:rsidR="00462FB8" w:rsidRPr="003D7DF7">
        <w:t>treatment the subjects actually rece</w:t>
      </w:r>
      <w:r>
        <w:t>ived. Subjects who were randomis</w:t>
      </w:r>
      <w:r w:rsidR="00462FB8" w:rsidRPr="003D7DF7">
        <w:t xml:space="preserve">ed to placebo in </w:t>
      </w:r>
      <w:r w:rsidRPr="003D7DF7">
        <w:t>double blind</w:t>
      </w:r>
      <w:r w:rsidR="00462FB8" w:rsidRPr="003D7DF7">
        <w:t xml:space="preserve"> Period and did not continue into </w:t>
      </w:r>
      <w:r w:rsidRPr="003D7DF7">
        <w:t>blinded extension/open-label p</w:t>
      </w:r>
      <w:r w:rsidR="00462FB8" w:rsidRPr="003D7DF7">
        <w:t xml:space="preserve">eriods were automatically excluded from the analysis in </w:t>
      </w:r>
      <w:r w:rsidRPr="003D7DF7">
        <w:t>blinded extension/open-label p</w:t>
      </w:r>
      <w:r w:rsidR="00462FB8" w:rsidRPr="003D7DF7">
        <w:t>eriods.</w:t>
      </w:r>
    </w:p>
    <w:p w14:paraId="11CA95E7" w14:textId="77777777" w:rsidR="00462FB8" w:rsidRDefault="00462FB8" w:rsidP="003D7DF7">
      <w:pPr>
        <w:pStyle w:val="Heading5"/>
        <w:rPr>
          <w:lang w:val="en-US"/>
        </w:rPr>
      </w:pPr>
      <w:r>
        <w:rPr>
          <w:lang w:val="en-US"/>
        </w:rPr>
        <w:t>Baseline data</w:t>
      </w:r>
    </w:p>
    <w:p w14:paraId="331D8CFA" w14:textId="7C5D1AAC" w:rsidR="00462FB8" w:rsidRPr="00F061C9" w:rsidRDefault="00462FB8" w:rsidP="00462FB8">
      <w:pPr>
        <w:autoSpaceDE w:val="0"/>
        <w:autoSpaceDN w:val="0"/>
        <w:adjustRightInd w:val="0"/>
        <w:spacing w:line="240" w:lineRule="auto"/>
        <w:rPr>
          <w:rFonts w:eastAsia="TimesNewRoman" w:cs="TimesNewRoman"/>
          <w:color w:val="000000"/>
          <w:lang w:val="en-US"/>
        </w:rPr>
      </w:pPr>
      <w:r w:rsidRPr="00AA468B">
        <w:rPr>
          <w:rFonts w:eastAsia="TimesNewRoman" w:cs="TimesNewRoman"/>
          <w:color w:val="000000"/>
          <w:lang w:val="en-US"/>
        </w:rPr>
        <w:t>Demographic characteristics were generally balanced across the treatment groups</w:t>
      </w:r>
      <w:r w:rsidR="00AE1823">
        <w:rPr>
          <w:rFonts w:eastAsia="TimesNewRoman" w:cs="TimesNewRoman"/>
          <w:color w:val="000000"/>
          <w:lang w:val="en-US"/>
        </w:rPr>
        <w:t xml:space="preserve"> as shown below.</w:t>
      </w:r>
    </w:p>
    <w:p w14:paraId="2057B6DF" w14:textId="5B23CF50" w:rsidR="003D7DF7" w:rsidRDefault="003D7DF7" w:rsidP="003D7DF7">
      <w:pPr>
        <w:pStyle w:val="Tabletitle0"/>
      </w:pPr>
      <w:r>
        <w:t xml:space="preserve">Table </w:t>
      </w:r>
      <w:fldSimple w:instr=" SEQ Table \* ARABIC ">
        <w:r w:rsidR="00B51532">
          <w:rPr>
            <w:noProof/>
          </w:rPr>
          <w:t>39</w:t>
        </w:r>
      </w:fldSimple>
      <w:r>
        <w:t>: Study M17-377 Demographic characteristics and baseline data</w:t>
      </w:r>
    </w:p>
    <w:p w14:paraId="0FB63188" w14:textId="77777777" w:rsidR="00462FB8" w:rsidRDefault="00462FB8" w:rsidP="00462FB8">
      <w:pPr>
        <w:autoSpaceDE w:val="0"/>
        <w:autoSpaceDN w:val="0"/>
        <w:adjustRightInd w:val="0"/>
        <w:spacing w:line="240" w:lineRule="auto"/>
        <w:rPr>
          <w:rFonts w:eastAsia="TimesNewRoman" w:cs="TimesNewRoman"/>
          <w:color w:val="000000"/>
          <w:lang w:val="en-US"/>
        </w:rPr>
      </w:pPr>
      <w:r w:rsidRPr="00AC0FB2">
        <w:rPr>
          <w:rFonts w:ascii="Calibri" w:hAnsi="Calibri" w:cs="Calibri"/>
          <w:noProof/>
          <w:sz w:val="20"/>
          <w:szCs w:val="20"/>
          <w:lang w:val="en-GB" w:eastAsia="en-GB"/>
        </w:rPr>
        <w:drawing>
          <wp:inline distT="0" distB="0" distL="0" distR="0" wp14:anchorId="355AEB20" wp14:editId="5C6825E1">
            <wp:extent cx="4240042" cy="4373526"/>
            <wp:effectExtent l="0" t="0" r="8255" b="8255"/>
            <wp:docPr id="278" name="Picture 278" descr="Study M17-377 Demographic characteristics and baselin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Study M17-377 Demographic characteristics and baseline dat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58005" cy="4392054"/>
                    </a:xfrm>
                    <a:prstGeom prst="rect">
                      <a:avLst/>
                    </a:prstGeom>
                    <a:noFill/>
                    <a:ln>
                      <a:noFill/>
                    </a:ln>
                  </pic:spPr>
                </pic:pic>
              </a:graphicData>
            </a:graphic>
          </wp:inline>
        </w:drawing>
      </w:r>
    </w:p>
    <w:p w14:paraId="5B96F8A9" w14:textId="77777777" w:rsidR="00462FB8" w:rsidRDefault="00462FB8" w:rsidP="00462FB8">
      <w:pPr>
        <w:autoSpaceDE w:val="0"/>
        <w:autoSpaceDN w:val="0"/>
        <w:adjustRightInd w:val="0"/>
        <w:spacing w:line="240" w:lineRule="auto"/>
        <w:rPr>
          <w:rFonts w:eastAsia="TimesNewRoman" w:cs="TimesNewRoman"/>
          <w:color w:val="000000"/>
          <w:lang w:val="en-US"/>
        </w:rPr>
      </w:pPr>
      <w:r w:rsidRPr="00AC0FB2">
        <w:rPr>
          <w:rFonts w:ascii="Calibri" w:hAnsi="Calibri" w:cs="Calibri"/>
          <w:noProof/>
          <w:sz w:val="20"/>
          <w:szCs w:val="20"/>
          <w:lang w:val="en-GB" w:eastAsia="en-GB"/>
        </w:rPr>
        <w:drawing>
          <wp:inline distT="0" distB="0" distL="0" distR="0" wp14:anchorId="6488C1B3" wp14:editId="4CF5F498">
            <wp:extent cx="4217581" cy="653345"/>
            <wp:effectExtent l="0" t="0" r="0" b="0"/>
            <wp:docPr id="279" name="Picture 279" descr="Study M17-377 Demographic characteristics and baselin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Study M17-377 Demographic characteristics and baseline dat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11562" cy="667904"/>
                    </a:xfrm>
                    <a:prstGeom prst="rect">
                      <a:avLst/>
                    </a:prstGeom>
                    <a:noFill/>
                    <a:ln>
                      <a:noFill/>
                    </a:ln>
                  </pic:spPr>
                </pic:pic>
              </a:graphicData>
            </a:graphic>
          </wp:inline>
        </w:drawing>
      </w:r>
      <w:r w:rsidRPr="00AC0FB2">
        <w:rPr>
          <w:rFonts w:ascii="Calibri" w:hAnsi="Calibri" w:cs="Calibri"/>
          <w:noProof/>
          <w:sz w:val="20"/>
          <w:szCs w:val="20"/>
          <w:lang w:val="en-GB" w:eastAsia="en-GB"/>
        </w:rPr>
        <w:drawing>
          <wp:inline distT="0" distB="0" distL="0" distR="0" wp14:anchorId="423E0CD6" wp14:editId="528E1AEF">
            <wp:extent cx="4154930" cy="588335"/>
            <wp:effectExtent l="0" t="0" r="0" b="2540"/>
            <wp:docPr id="280" name="Picture 280" descr="Study M17-377 Demographic characteristics and baselin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Study M17-377 Demographic characteristics and baseline dat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36367" cy="599866"/>
                    </a:xfrm>
                    <a:prstGeom prst="rect">
                      <a:avLst/>
                    </a:prstGeom>
                    <a:noFill/>
                    <a:ln>
                      <a:noFill/>
                    </a:ln>
                  </pic:spPr>
                </pic:pic>
              </a:graphicData>
            </a:graphic>
          </wp:inline>
        </w:drawing>
      </w:r>
    </w:p>
    <w:p w14:paraId="094B8016" w14:textId="72F95AE2" w:rsidR="00462FB8" w:rsidRPr="0087676E" w:rsidRDefault="00462FB8" w:rsidP="00462FB8">
      <w:pPr>
        <w:autoSpaceDE w:val="0"/>
        <w:autoSpaceDN w:val="0"/>
        <w:adjustRightInd w:val="0"/>
        <w:spacing w:line="240" w:lineRule="auto"/>
        <w:rPr>
          <w:rFonts w:eastAsia="TimesNewRoman" w:cs="TimesNewRoman"/>
          <w:color w:val="000000"/>
          <w:lang w:val="en-US"/>
        </w:rPr>
      </w:pPr>
      <w:r w:rsidRPr="0087676E">
        <w:rPr>
          <w:rFonts w:eastAsia="TimesNewRoman" w:cs="TimesNewRoman"/>
          <w:color w:val="000000"/>
          <w:lang w:val="en-US"/>
        </w:rPr>
        <w:t xml:space="preserve">The majority of subjects were male and with a </w:t>
      </w:r>
      <w:r w:rsidR="00AE1823">
        <w:rPr>
          <w:rFonts w:eastAsia="TimesNewRoman" w:cs="TimesNewRoman"/>
          <w:color w:val="000000"/>
          <w:lang w:val="en-US"/>
        </w:rPr>
        <w:t>body mass index of less than</w:t>
      </w:r>
      <w:r w:rsidRPr="0087676E">
        <w:rPr>
          <w:rFonts w:eastAsia="TimesNewRoman" w:cs="TimesNewRoman"/>
          <w:color w:val="000000"/>
          <w:lang w:val="en-US"/>
        </w:rPr>
        <w:t xml:space="preserve"> 25</w:t>
      </w:r>
      <w:r w:rsidR="003D7DF7">
        <w:rPr>
          <w:rFonts w:eastAsia="TimesNewRoman" w:cs="TimesNewRoman"/>
          <w:color w:val="000000"/>
          <w:lang w:val="en-US"/>
        </w:rPr>
        <w:t xml:space="preserve"> </w:t>
      </w:r>
      <w:r w:rsidRPr="0087676E">
        <w:rPr>
          <w:rFonts w:eastAsia="TimesNewRoman" w:cs="TimesNewRoman"/>
          <w:color w:val="000000"/>
          <w:lang w:val="en-US"/>
        </w:rPr>
        <w:t>kg/m</w:t>
      </w:r>
      <w:r w:rsidRPr="0087676E">
        <w:rPr>
          <w:rFonts w:eastAsia="TimesNewRoman" w:cs="TimesNewRoman"/>
          <w:color w:val="000000"/>
          <w:vertAlign w:val="superscript"/>
          <w:lang w:val="en-US"/>
        </w:rPr>
        <w:t>2</w:t>
      </w:r>
      <w:r w:rsidRPr="0087676E">
        <w:rPr>
          <w:rFonts w:eastAsia="TimesNewRoman" w:cs="TimesNewRoman"/>
          <w:color w:val="000000"/>
          <w:lang w:val="en-US"/>
        </w:rPr>
        <w:t>. The median age of subjects was 36 years (50% aged 18 to &lt;</w:t>
      </w:r>
      <w:r w:rsidR="003D7DF7">
        <w:rPr>
          <w:rFonts w:eastAsia="TimesNewRoman" w:cs="TimesNewRoman"/>
          <w:color w:val="000000"/>
          <w:lang w:val="en-US"/>
        </w:rPr>
        <w:t xml:space="preserve"> 40 years and 40% were aged 40 to ≤ </w:t>
      </w:r>
      <w:r w:rsidRPr="0087676E">
        <w:rPr>
          <w:rFonts w:eastAsia="TimesNewRoman" w:cs="TimesNewRoman"/>
          <w:color w:val="000000"/>
          <w:lang w:val="en-US"/>
        </w:rPr>
        <w:t xml:space="preserve">65 years); 9.2% of overall ITT population were adolescents (median age 16 years). </w:t>
      </w:r>
    </w:p>
    <w:p w14:paraId="307D72A8" w14:textId="200714E4" w:rsidR="00462FB8" w:rsidRPr="0087676E" w:rsidRDefault="00462FB8" w:rsidP="00462FB8">
      <w:pPr>
        <w:autoSpaceDE w:val="0"/>
        <w:autoSpaceDN w:val="0"/>
        <w:adjustRightInd w:val="0"/>
        <w:spacing w:line="240" w:lineRule="auto"/>
        <w:rPr>
          <w:rFonts w:eastAsia="TimesNewRoman" w:cs="TimesNewRoman"/>
          <w:color w:val="000000"/>
          <w:lang w:val="en-US"/>
        </w:rPr>
      </w:pPr>
      <w:r w:rsidRPr="0087676E">
        <w:rPr>
          <w:rFonts w:eastAsia="TimesNewRoman" w:cs="TimesNewRoman"/>
          <w:color w:val="000000"/>
          <w:lang w:val="en-US"/>
        </w:rPr>
        <w:lastRenderedPageBreak/>
        <w:t>Baseline disease characteristics were generally balanced across the</w:t>
      </w:r>
      <w:r w:rsidR="003D7DF7">
        <w:rPr>
          <w:rFonts w:eastAsia="TimesNewRoman" w:cs="TimesNewRoman"/>
          <w:color w:val="000000"/>
          <w:lang w:val="en-US"/>
        </w:rPr>
        <w:t xml:space="preserve"> u</w:t>
      </w:r>
      <w:r w:rsidRPr="0087676E">
        <w:rPr>
          <w:rFonts w:eastAsia="TimesNewRoman" w:cs="TimesNewRoman"/>
          <w:color w:val="000000"/>
          <w:lang w:val="en-US"/>
        </w:rPr>
        <w:t>padacitinib and placebo groups. Baseline disease characteristics in adolescents were genera</w:t>
      </w:r>
      <w:r w:rsidR="003D7DF7">
        <w:rPr>
          <w:rFonts w:eastAsia="TimesNewRoman" w:cs="TimesNewRoman"/>
          <w:color w:val="000000"/>
          <w:lang w:val="en-US"/>
        </w:rPr>
        <w:t>lly similar to the overall ITT p</w:t>
      </w:r>
      <w:r w:rsidRPr="0087676E">
        <w:rPr>
          <w:rFonts w:eastAsia="TimesNewRoman" w:cs="TimesNewRoman"/>
          <w:color w:val="000000"/>
          <w:lang w:val="en-US"/>
        </w:rPr>
        <w:t>opulation.</w:t>
      </w:r>
    </w:p>
    <w:p w14:paraId="57A46661" w14:textId="4530B9C3" w:rsidR="00462FB8" w:rsidRPr="0087676E" w:rsidRDefault="00462FB8" w:rsidP="00462FB8">
      <w:pPr>
        <w:autoSpaceDE w:val="0"/>
        <w:autoSpaceDN w:val="0"/>
        <w:adjustRightInd w:val="0"/>
        <w:spacing w:line="240" w:lineRule="auto"/>
        <w:rPr>
          <w:rFonts w:eastAsia="TimesNewRoman" w:cs="TimesNewRoman"/>
          <w:color w:val="000000"/>
          <w:lang w:val="en-US"/>
        </w:rPr>
      </w:pPr>
      <w:r w:rsidRPr="0087676E">
        <w:rPr>
          <w:rFonts w:eastAsia="TimesNewRoman" w:cs="TimesNewRoman"/>
          <w:color w:val="000000"/>
          <w:lang w:val="en-US"/>
        </w:rPr>
        <w:t xml:space="preserve">Subjects had been diagnosed with </w:t>
      </w:r>
      <w:r w:rsidR="00AE1823">
        <w:rPr>
          <w:rFonts w:eastAsia="TimesNewRoman" w:cs="TimesNewRoman"/>
          <w:color w:val="000000"/>
          <w:lang w:val="en-US"/>
        </w:rPr>
        <w:t>atopic dermatitis</w:t>
      </w:r>
      <w:r w:rsidRPr="0087676E">
        <w:rPr>
          <w:rFonts w:eastAsia="TimesNewRoman" w:cs="TimesNewRoman"/>
          <w:color w:val="000000"/>
          <w:lang w:val="en-US"/>
        </w:rPr>
        <w:t xml:space="preserve"> for a mean of approximately 23.0 years, had a mean baseline EASI score of 34.91, a mean baseline vIGA-AD score of 3.5, and a mean worst pruritus NRS score (weekly rolling average) of 6.8. The mean duration of time since </w:t>
      </w:r>
      <w:r w:rsidR="00AE1823">
        <w:rPr>
          <w:rFonts w:eastAsia="TimesNewRoman" w:cs="TimesNewRoman"/>
          <w:color w:val="000000"/>
          <w:lang w:val="en-US"/>
        </w:rPr>
        <w:t>atopic dermatitis</w:t>
      </w:r>
      <w:r w:rsidRPr="0087676E">
        <w:rPr>
          <w:rFonts w:eastAsia="TimesNewRoman" w:cs="TimesNewRoman"/>
          <w:color w:val="000000"/>
          <w:lang w:val="en-US"/>
        </w:rPr>
        <w:t xml:space="preserve"> diagnosis in adolescents was 10.65 years for adolescents.</w:t>
      </w:r>
    </w:p>
    <w:p w14:paraId="58F87ECA" w14:textId="09C2A008" w:rsidR="00462FB8" w:rsidRPr="00DE662C" w:rsidRDefault="00462FB8" w:rsidP="00462FB8">
      <w:pPr>
        <w:autoSpaceDE w:val="0"/>
        <w:autoSpaceDN w:val="0"/>
        <w:adjustRightInd w:val="0"/>
        <w:spacing w:line="240" w:lineRule="auto"/>
        <w:rPr>
          <w:rFonts w:eastAsia="TimesNewRoman" w:cs="TimesNewRoman"/>
          <w:lang w:val="en-US"/>
        </w:rPr>
      </w:pPr>
      <w:r w:rsidRPr="00DE662C">
        <w:rPr>
          <w:rFonts w:eastAsia="TimesNewRoman" w:cs="TimesNewRoman"/>
          <w:lang w:val="en-US"/>
        </w:rPr>
        <w:t xml:space="preserve">All enrolled subjects had inadequate response to previous treatment with topical </w:t>
      </w:r>
      <w:r w:rsidR="00AE1823">
        <w:rPr>
          <w:rFonts w:eastAsia="TimesNewRoman" w:cs="TimesNewRoman"/>
          <w:lang w:val="en-US"/>
        </w:rPr>
        <w:t>atopic dermatitis</w:t>
      </w:r>
      <w:r w:rsidRPr="00DE662C">
        <w:rPr>
          <w:rFonts w:eastAsia="TimesNewRoman" w:cs="TimesNewRoman"/>
          <w:lang w:val="en-US"/>
        </w:rPr>
        <w:t xml:space="preserve"> treatments. </w:t>
      </w:r>
    </w:p>
    <w:p w14:paraId="5024E645" w14:textId="1D6DF227" w:rsidR="00462FB8" w:rsidRPr="0087676E" w:rsidRDefault="00462FB8" w:rsidP="00462FB8">
      <w:pPr>
        <w:autoSpaceDE w:val="0"/>
        <w:autoSpaceDN w:val="0"/>
        <w:adjustRightInd w:val="0"/>
        <w:spacing w:line="240" w:lineRule="auto"/>
        <w:rPr>
          <w:rFonts w:eastAsia="TimesNewRoman" w:cs="TimesNewRoman"/>
          <w:lang w:val="en-US"/>
        </w:rPr>
      </w:pPr>
      <w:r w:rsidRPr="0087676E">
        <w:rPr>
          <w:rFonts w:eastAsia="TimesNewRoman" w:cs="TimesNewRoman"/>
          <w:lang w:val="en-US"/>
        </w:rPr>
        <w:t>White/soft paraffin (85.7%) followed by betamethasone (79.8%) were the most frequently reported prior medi</w:t>
      </w:r>
      <w:r w:rsidR="00AE1823">
        <w:rPr>
          <w:rFonts w:eastAsia="TimesNewRoman" w:cs="TimesNewRoman"/>
          <w:lang w:val="en-US"/>
        </w:rPr>
        <w:t>cation for subjects in the ITT p</w:t>
      </w:r>
      <w:r w:rsidRPr="0087676E">
        <w:rPr>
          <w:rFonts w:eastAsia="TimesNewRoman" w:cs="TimesNewRoman"/>
          <w:lang w:val="en-US"/>
        </w:rPr>
        <w:t xml:space="preserve">opulation. </w:t>
      </w:r>
    </w:p>
    <w:p w14:paraId="32A2CB92" w14:textId="238C23F6" w:rsidR="00462FB8" w:rsidRPr="00DE662C" w:rsidRDefault="00462FB8" w:rsidP="00462FB8">
      <w:pPr>
        <w:autoSpaceDE w:val="0"/>
        <w:autoSpaceDN w:val="0"/>
        <w:adjustRightInd w:val="0"/>
        <w:spacing w:line="240" w:lineRule="auto"/>
        <w:rPr>
          <w:rFonts w:eastAsia="TimesNewRoman" w:cs="TimesNewRoman"/>
          <w:lang w:val="en-US"/>
        </w:rPr>
      </w:pPr>
      <w:r w:rsidRPr="00DE662C">
        <w:rPr>
          <w:rFonts w:eastAsia="TimesNewRoman" w:cs="TimesNewRoman"/>
          <w:lang w:val="en-US"/>
        </w:rPr>
        <w:t xml:space="preserve">All subjects in the study reported use of concomitant medications during the study in both the </w:t>
      </w:r>
      <w:r w:rsidR="003D7DF7">
        <w:rPr>
          <w:rFonts w:eastAsia="TimesNewRoman" w:cs="TimesNewRoman"/>
          <w:lang w:val="en-US"/>
        </w:rPr>
        <w:t>double blinded</w:t>
      </w:r>
      <w:r w:rsidRPr="00DE662C">
        <w:rPr>
          <w:rFonts w:eastAsia="TimesNewRoman" w:cs="TimesNewRoman"/>
          <w:lang w:val="en-US"/>
        </w:rPr>
        <w:t xml:space="preserve"> and </w:t>
      </w:r>
      <w:r w:rsidR="003D7DF7">
        <w:rPr>
          <w:lang w:val="en-US"/>
        </w:rPr>
        <w:t xml:space="preserve">blinded extension/open-label </w:t>
      </w:r>
      <w:r w:rsidR="003D7DF7">
        <w:rPr>
          <w:rFonts w:eastAsia="TimesNewRoman" w:cs="TimesNewRoman"/>
          <w:lang w:val="en-US"/>
        </w:rPr>
        <w:t>periods; topical corticosteroids</w:t>
      </w:r>
      <w:r w:rsidRPr="00DE662C">
        <w:rPr>
          <w:rFonts w:eastAsia="TimesNewRoman" w:cs="TimesNewRoman"/>
          <w:lang w:val="en-US"/>
        </w:rPr>
        <w:t xml:space="preserve"> (prednisolone, mometasone) was used most commonly followed by antihistamines and moisturisers). Almost 50% </w:t>
      </w:r>
      <w:r w:rsidR="0012437B">
        <w:rPr>
          <w:rFonts w:eastAsia="TimesNewRoman" w:cs="TimesNewRoman"/>
          <w:lang w:val="en-US"/>
        </w:rPr>
        <w:t xml:space="preserve">of subjects overall were using </w:t>
      </w:r>
      <w:r w:rsidRPr="00DE662C">
        <w:rPr>
          <w:rFonts w:eastAsia="TimesNewRoman" w:cs="TimesNewRoman"/>
          <w:lang w:val="en-US"/>
        </w:rPr>
        <w:t>product</w:t>
      </w:r>
      <w:r w:rsidR="0012437B">
        <w:rPr>
          <w:rFonts w:eastAsia="TimesNewRoman" w:cs="TimesNewRoman"/>
          <w:lang w:val="en-US"/>
        </w:rPr>
        <w:t>s containing heparinoid in this Japanese study.</w:t>
      </w:r>
    </w:p>
    <w:p w14:paraId="2A686619" w14:textId="6A0087AE" w:rsidR="00462FB8" w:rsidRPr="0087676E" w:rsidRDefault="00462FB8" w:rsidP="00462FB8">
      <w:pPr>
        <w:spacing w:line="240" w:lineRule="auto"/>
        <w:rPr>
          <w:lang w:val="en-US"/>
        </w:rPr>
      </w:pPr>
      <w:r w:rsidRPr="0087676E">
        <w:rPr>
          <w:lang w:val="en-US"/>
        </w:rPr>
        <w:t xml:space="preserve">In the </w:t>
      </w:r>
      <w:r w:rsidR="0012437B">
        <w:rPr>
          <w:lang w:val="en-US"/>
        </w:rPr>
        <w:t>double blind</w:t>
      </w:r>
      <w:r w:rsidRPr="0087676E">
        <w:rPr>
          <w:lang w:val="en-US"/>
        </w:rPr>
        <w:t xml:space="preserve"> period, mean treatment compliance was 97.76%, and 98.04%, and 97.16% in the placebo, </w:t>
      </w:r>
      <w:r w:rsidR="0012437B">
        <w:rPr>
          <w:lang w:val="en-US"/>
        </w:rPr>
        <w:t xml:space="preserve">upadacitinib </w:t>
      </w:r>
      <w:r w:rsidRPr="0087676E">
        <w:rPr>
          <w:lang w:val="en-US"/>
        </w:rPr>
        <w:t xml:space="preserve">15 </w:t>
      </w:r>
      <w:r w:rsidR="0012437B">
        <w:rPr>
          <w:lang w:val="en-US"/>
        </w:rPr>
        <w:t xml:space="preserve">mg and </w:t>
      </w:r>
      <w:r w:rsidRPr="0087676E">
        <w:rPr>
          <w:lang w:val="en-US"/>
        </w:rPr>
        <w:t>30</w:t>
      </w:r>
      <w:r w:rsidR="0012437B">
        <w:rPr>
          <w:lang w:val="en-US"/>
        </w:rPr>
        <w:t xml:space="preserve"> mg</w:t>
      </w:r>
      <w:r w:rsidRPr="0087676E">
        <w:rPr>
          <w:lang w:val="en-US"/>
        </w:rPr>
        <w:t xml:space="preserve"> groups, respectively and median treatment compliance was &gt;</w:t>
      </w:r>
      <w:r w:rsidR="0012437B">
        <w:rPr>
          <w:lang w:val="en-US"/>
        </w:rPr>
        <w:t xml:space="preserve"> </w:t>
      </w:r>
      <w:r w:rsidRPr="0087676E">
        <w:rPr>
          <w:lang w:val="en-US"/>
        </w:rPr>
        <w:t xml:space="preserve">99% in all treatment groups. In the </w:t>
      </w:r>
      <w:r w:rsidR="0012437B">
        <w:rPr>
          <w:lang w:val="en-US"/>
        </w:rPr>
        <w:t xml:space="preserve">blinded extension/open-label </w:t>
      </w:r>
      <w:r w:rsidRPr="0087676E">
        <w:rPr>
          <w:lang w:val="en-US"/>
        </w:rPr>
        <w:t xml:space="preserve">period, mean treatment </w:t>
      </w:r>
      <w:r w:rsidR="0012437B">
        <w:rPr>
          <w:lang w:val="en-US"/>
        </w:rPr>
        <w:t>compliance ranged from 77.41% (p</w:t>
      </w:r>
      <w:r w:rsidRPr="0087676E">
        <w:rPr>
          <w:lang w:val="en-US"/>
        </w:rPr>
        <w:t>lacebo/</w:t>
      </w:r>
      <w:r w:rsidR="0012437B">
        <w:rPr>
          <w:lang w:val="en-US"/>
        </w:rPr>
        <w:t>upadacitinib 15 </w:t>
      </w:r>
      <w:r w:rsidRPr="0087676E">
        <w:rPr>
          <w:lang w:val="en-US"/>
        </w:rPr>
        <w:t xml:space="preserve">mg </w:t>
      </w:r>
      <w:r w:rsidR="0012437B">
        <w:rPr>
          <w:lang w:val="en-US"/>
        </w:rPr>
        <w:t>once daily</w:t>
      </w:r>
      <w:r w:rsidRPr="0087676E">
        <w:rPr>
          <w:lang w:val="en-US"/>
        </w:rPr>
        <w:t xml:space="preserve"> group) to 81.16% (</w:t>
      </w:r>
      <w:r w:rsidR="0012437B">
        <w:rPr>
          <w:lang w:val="en-US"/>
        </w:rPr>
        <w:t xml:space="preserve">upadacitinib </w:t>
      </w:r>
      <w:r w:rsidRPr="0087676E">
        <w:rPr>
          <w:lang w:val="en-US"/>
        </w:rPr>
        <w:t xml:space="preserve">15 mg </w:t>
      </w:r>
      <w:r w:rsidR="0012437B">
        <w:rPr>
          <w:lang w:val="en-US"/>
        </w:rPr>
        <w:t>once daily/</w:t>
      </w:r>
      <w:r w:rsidR="0012437B" w:rsidRPr="0012437B">
        <w:rPr>
          <w:lang w:val="en-US"/>
        </w:rPr>
        <w:t xml:space="preserve"> </w:t>
      </w:r>
      <w:r w:rsidR="0012437B">
        <w:rPr>
          <w:lang w:val="en-US"/>
        </w:rPr>
        <w:t>upadacitinib</w:t>
      </w:r>
      <w:r w:rsidRPr="0087676E">
        <w:rPr>
          <w:lang w:val="en-US"/>
        </w:rPr>
        <w:t xml:space="preserve"> 15 mg </w:t>
      </w:r>
      <w:r w:rsidR="0012437B">
        <w:rPr>
          <w:lang w:val="en-US"/>
        </w:rPr>
        <w:t>once daily</w:t>
      </w:r>
      <w:r w:rsidRPr="0087676E">
        <w:rPr>
          <w:lang w:val="en-US"/>
        </w:rPr>
        <w:t xml:space="preserve"> group); median treatment compliance ranged from 76.62% to 83.50%. </w:t>
      </w:r>
    </w:p>
    <w:p w14:paraId="0221A08E" w14:textId="1A6E3135" w:rsidR="00462FB8" w:rsidRPr="00E67C14" w:rsidRDefault="0012437B" w:rsidP="0012437B">
      <w:pPr>
        <w:pStyle w:val="Heading5"/>
        <w:rPr>
          <w:rFonts w:eastAsia="TimesNewRoman" w:cs="TimesNewRoman"/>
          <w:color w:val="FF0000"/>
          <w:lang w:val="en-US"/>
        </w:rPr>
      </w:pPr>
      <w:r>
        <w:t xml:space="preserve">Major protocol violations and </w:t>
      </w:r>
      <w:r w:rsidR="00462FB8" w:rsidRPr="00E67C14">
        <w:t>deviations</w:t>
      </w:r>
    </w:p>
    <w:p w14:paraId="632FAF77" w14:textId="4DFFC379" w:rsidR="00462FB8" w:rsidRPr="0012437B" w:rsidRDefault="00462FB8" w:rsidP="0012437B">
      <w:r w:rsidRPr="0012437B">
        <w:t xml:space="preserve">The overall incidence of protocol deviations was 16.2% (44/272) and similar across treatment groups (16.7%, 17.6% and 14.3% in the placebo, </w:t>
      </w:r>
      <w:r w:rsidR="0012437B">
        <w:rPr>
          <w:lang w:val="en-US"/>
        </w:rPr>
        <w:t xml:space="preserve">upadacitinib </w:t>
      </w:r>
      <w:r w:rsidRPr="0012437B">
        <w:t xml:space="preserve">15 </w:t>
      </w:r>
      <w:r w:rsidR="0012437B">
        <w:t xml:space="preserve">mg </w:t>
      </w:r>
      <w:r w:rsidRPr="0012437B">
        <w:t>and 30</w:t>
      </w:r>
      <w:r w:rsidR="0012437B">
        <w:t xml:space="preserve"> mg</w:t>
      </w:r>
      <w:r w:rsidRPr="0012437B">
        <w:t xml:space="preserve"> groups, respectively). The most frequently reported protocol deviations were related to compliance issues and subject receiving ex</w:t>
      </w:r>
      <w:r w:rsidR="0012437B">
        <w:t>cluded concomitant medications.</w:t>
      </w:r>
    </w:p>
    <w:p w14:paraId="21FD92E1" w14:textId="447AA5B5" w:rsidR="00462FB8" w:rsidRDefault="0012437B" w:rsidP="0012437B">
      <w:pPr>
        <w:pStyle w:val="Heading5"/>
        <w:rPr>
          <w:rFonts w:eastAsia="TimesNewRoman"/>
          <w:lang w:val="en-US"/>
        </w:rPr>
      </w:pPr>
      <w:r>
        <w:rPr>
          <w:rFonts w:eastAsia="TimesNewRoman"/>
          <w:lang w:val="en-US"/>
        </w:rPr>
        <w:t>Results for the efficacy</w:t>
      </w:r>
      <w:r w:rsidR="00462FB8">
        <w:rPr>
          <w:rFonts w:eastAsia="TimesNewRoman"/>
          <w:lang w:val="en-US"/>
        </w:rPr>
        <w:t xml:space="preserve"> </w:t>
      </w:r>
      <w:r>
        <w:rPr>
          <w:rFonts w:eastAsia="TimesNewRoman"/>
          <w:lang w:val="en-US"/>
        </w:rPr>
        <w:t>endpoints</w:t>
      </w:r>
    </w:p>
    <w:p w14:paraId="3033EDAB" w14:textId="45A43A7E" w:rsidR="0012437B" w:rsidRPr="0012437B" w:rsidRDefault="0012437B" w:rsidP="0012437B">
      <w:pPr>
        <w:rPr>
          <w:lang w:val="en-US"/>
        </w:rPr>
      </w:pPr>
      <w:r>
        <w:rPr>
          <w:lang w:val="en-US"/>
        </w:rPr>
        <w:t>The efficacy endpoints in Study M17-377 were all exploratory endpoints.</w:t>
      </w:r>
    </w:p>
    <w:p w14:paraId="17F8766A" w14:textId="5428416B" w:rsidR="00462FB8" w:rsidRPr="0012437B" w:rsidRDefault="00462FB8" w:rsidP="0012437B">
      <w:r w:rsidRPr="0012437B">
        <w:t>At Week 16, a statistically significantly higher percentage of subjects in both of the</w:t>
      </w:r>
      <w:r w:rsidR="005D7175">
        <w:t xml:space="preserve"> upadacitinib</w:t>
      </w:r>
      <w:r w:rsidRPr="0012437B">
        <w:t xml:space="preserve"> groups had clear or almost clear skin with at least 2 grades of reduction compared to the placebo group, and these improvements w</w:t>
      </w:r>
      <w:r w:rsidR="0012437B">
        <w:t>ere maintained through Week </w:t>
      </w:r>
      <w:r w:rsidRPr="0012437B">
        <w:t>24. Similar results were observed for EASI 50/ 75 /90 response rates and improvement (reduction) in Worst Pruritus NRS</w:t>
      </w:r>
      <w:r w:rsidR="00AE1823">
        <w:t xml:space="preserve"> </w:t>
      </w:r>
      <w:r w:rsidRPr="0012437B">
        <w:t>&gt;</w:t>
      </w:r>
      <w:r w:rsidR="00AE1823">
        <w:t xml:space="preserve"> </w:t>
      </w:r>
      <w:r w:rsidRPr="0012437B">
        <w:t>4 from baseline for subjects with worst Pruritus NRS &gt;</w:t>
      </w:r>
      <w:r w:rsidR="0012437B">
        <w:t xml:space="preserve"> 4 at B</w:t>
      </w:r>
      <w:r w:rsidRPr="0012437B">
        <w:t xml:space="preserve">aseline, as per </w:t>
      </w:r>
      <w:r w:rsidR="00AE1823">
        <w:fldChar w:fldCharType="begin"/>
      </w:r>
      <w:r w:rsidR="00AE1823">
        <w:instrText xml:space="preserve"> REF _Ref126053539 \h </w:instrText>
      </w:r>
      <w:r w:rsidR="00AE1823">
        <w:fldChar w:fldCharType="separate"/>
      </w:r>
      <w:r w:rsidR="00B51532">
        <w:t xml:space="preserve">Table </w:t>
      </w:r>
      <w:r w:rsidR="00B51532">
        <w:rPr>
          <w:noProof/>
        </w:rPr>
        <w:t>40</w:t>
      </w:r>
      <w:r w:rsidR="00AE1823">
        <w:fldChar w:fldCharType="end"/>
      </w:r>
      <w:r w:rsidR="00AE1823">
        <w:t>, below.</w:t>
      </w:r>
    </w:p>
    <w:p w14:paraId="31E38E96" w14:textId="77777777" w:rsidR="00462FB8" w:rsidRPr="0012437B" w:rsidRDefault="00462FB8" w:rsidP="0012437B"/>
    <w:p w14:paraId="4EB480EB" w14:textId="77777777" w:rsidR="00462FB8" w:rsidRDefault="00462FB8" w:rsidP="00462FB8">
      <w:pPr>
        <w:autoSpaceDE w:val="0"/>
        <w:autoSpaceDN w:val="0"/>
        <w:adjustRightInd w:val="0"/>
        <w:spacing w:line="240" w:lineRule="auto"/>
        <w:rPr>
          <w:rFonts w:eastAsia="TimesNewRoman" w:cs="TimesNewRoman"/>
          <w:b/>
          <w:color w:val="000000"/>
          <w:lang w:val="en-US"/>
        </w:rPr>
      </w:pPr>
    </w:p>
    <w:p w14:paraId="7DC29781" w14:textId="282B2FBB" w:rsidR="00462FB8" w:rsidRPr="0012437B" w:rsidRDefault="0012437B" w:rsidP="0012437B">
      <w:pPr>
        <w:pStyle w:val="Tabletitle0"/>
        <w:rPr>
          <w:lang w:val="en-US"/>
        </w:rPr>
      </w:pPr>
      <w:bookmarkStart w:id="137" w:name="_Ref126053539"/>
      <w:r>
        <w:lastRenderedPageBreak/>
        <w:t xml:space="preserve">Table </w:t>
      </w:r>
      <w:fldSimple w:instr=" SEQ Table \* ARABIC ">
        <w:r w:rsidR="00B51532">
          <w:rPr>
            <w:noProof/>
          </w:rPr>
          <w:t>40</w:t>
        </w:r>
      </w:fldSimple>
      <w:bookmarkEnd w:id="137"/>
      <w:r>
        <w:t xml:space="preserve">: Study M17-377 </w:t>
      </w:r>
      <w:r w:rsidRPr="003F08B8">
        <w:rPr>
          <w:lang w:val="en-US"/>
        </w:rPr>
        <w:t>Summary of Exploratory Effi</w:t>
      </w:r>
      <w:r w:rsidR="00AE1823">
        <w:rPr>
          <w:lang w:val="en-US"/>
        </w:rPr>
        <w:t>cacy Variables at Week 16 (ITT p</w:t>
      </w:r>
      <w:r w:rsidRPr="003F08B8">
        <w:rPr>
          <w:lang w:val="en-US"/>
        </w:rPr>
        <w:t>opulation)</w:t>
      </w:r>
    </w:p>
    <w:p w14:paraId="2D3B226E" w14:textId="77777777" w:rsidR="00462FB8" w:rsidRPr="00AA468B" w:rsidRDefault="00462FB8" w:rsidP="00462FB8">
      <w:pPr>
        <w:autoSpaceDE w:val="0"/>
        <w:autoSpaceDN w:val="0"/>
        <w:adjustRightInd w:val="0"/>
        <w:spacing w:line="240" w:lineRule="auto"/>
        <w:rPr>
          <w:rFonts w:eastAsia="TimesNewRoman" w:cs="TimesNewRoman"/>
          <w:color w:val="000000"/>
          <w:lang w:val="en-US"/>
        </w:rPr>
      </w:pPr>
      <w:r w:rsidRPr="00AA468B">
        <w:rPr>
          <w:rFonts w:eastAsia="TimesNewRoman" w:cs="TimesNewRoman"/>
          <w:noProof/>
          <w:color w:val="000000"/>
          <w:lang w:val="en-GB" w:eastAsia="en-GB"/>
        </w:rPr>
        <w:drawing>
          <wp:inline distT="0" distB="0" distL="0" distR="0" wp14:anchorId="6AB07363" wp14:editId="7E617FB3">
            <wp:extent cx="5130090" cy="4217582"/>
            <wp:effectExtent l="0" t="0" r="0" b="0"/>
            <wp:docPr id="74" name="Picture 74" descr="Study M17-377 Summary of Exploratory Efficacy Variables at Week 16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tudy M17-377 Summary of Exploratory Efficacy Variables at Week 16 (ITT populatio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46687" cy="4231227"/>
                    </a:xfrm>
                    <a:prstGeom prst="rect">
                      <a:avLst/>
                    </a:prstGeom>
                    <a:noFill/>
                    <a:ln>
                      <a:noFill/>
                    </a:ln>
                  </pic:spPr>
                </pic:pic>
              </a:graphicData>
            </a:graphic>
          </wp:inline>
        </w:drawing>
      </w:r>
    </w:p>
    <w:p w14:paraId="50A4A576" w14:textId="4E934AA2" w:rsidR="00462FB8" w:rsidRPr="0012437B" w:rsidRDefault="0012437B" w:rsidP="0012437B">
      <w:r>
        <w:t>The efficacy results in the u</w:t>
      </w:r>
      <w:r w:rsidR="00462FB8" w:rsidRPr="0012437B">
        <w:t xml:space="preserve">padacitinib 30 mg group were </w:t>
      </w:r>
      <w:r>
        <w:t>numerically higher than in the u</w:t>
      </w:r>
      <w:r w:rsidR="00462FB8" w:rsidRPr="0012437B">
        <w:t>padacitinib 15 mg group. Improvements in efficacy m</w:t>
      </w:r>
      <w:r>
        <w:t>easures were observed from Week </w:t>
      </w:r>
      <w:r w:rsidR="00462FB8" w:rsidRPr="0012437B">
        <w:t xml:space="preserve">4 and, maintained throughout the </w:t>
      </w:r>
      <w:r>
        <w:t>double blind</w:t>
      </w:r>
      <w:r w:rsidR="00462FB8" w:rsidRPr="0012437B">
        <w:t xml:space="preserve"> period (up to Week 16);</w:t>
      </w:r>
    </w:p>
    <w:p w14:paraId="75EAD8EB" w14:textId="3CE1B649" w:rsidR="00462FB8" w:rsidRPr="0012437B" w:rsidRDefault="0012437B" w:rsidP="0012437B">
      <w:r>
        <w:t>In adolescents, both u</w:t>
      </w:r>
      <w:r w:rsidR="00462FB8" w:rsidRPr="0012437B">
        <w:t xml:space="preserve">padacitinib 15 mg and 30 mg showed numerically higher efficacy than placebo for all exploratory efficacy variables. </w:t>
      </w:r>
    </w:p>
    <w:p w14:paraId="7A28F070" w14:textId="17AEE9ED" w:rsidR="00462FB8" w:rsidRPr="0012437B" w:rsidRDefault="0012437B" w:rsidP="0012437B">
      <w:r>
        <w:t xml:space="preserve">The clinical evaluation noted that </w:t>
      </w:r>
      <w:r>
        <w:rPr>
          <w:lang w:val="en-US"/>
        </w:rPr>
        <w:t>e</w:t>
      </w:r>
      <w:r w:rsidR="00462FB8" w:rsidRPr="006A1731">
        <w:rPr>
          <w:lang w:val="en-US"/>
        </w:rPr>
        <w:t xml:space="preserve">xploratory efficacy analyses during the placebo-controlled period showed that upadacitinib 15 mg and 30 mg had higher response rates than placebo including EASI 75, achievement of vIGA-AD score 0 or 1, and reduction of worst pruritus NRS ≥ 4, which were maintained up to the cutoff date (Week 24). </w:t>
      </w:r>
    </w:p>
    <w:p w14:paraId="0F9D01BC" w14:textId="2EB4ACAC" w:rsidR="00462FB8" w:rsidRPr="00F0654F" w:rsidRDefault="00A90D29" w:rsidP="0012437B">
      <w:pPr>
        <w:pStyle w:val="Heading4"/>
        <w:rPr>
          <w:i/>
        </w:rPr>
      </w:pPr>
      <w:bookmarkStart w:id="138" w:name="_Toc26209890"/>
      <w:bookmarkStart w:id="139" w:name="_Toc31895306"/>
      <w:bookmarkStart w:id="140" w:name="_Toc49270066"/>
      <w:r>
        <w:t xml:space="preserve">Analyses performed across </w:t>
      </w:r>
      <w:r w:rsidR="00462FB8" w:rsidRPr="007010FA">
        <w:t xml:space="preserve">trials: pooled </w:t>
      </w:r>
      <w:r>
        <w:t xml:space="preserve">efficacy </w:t>
      </w:r>
      <w:r w:rsidR="00462FB8" w:rsidRPr="007010FA">
        <w:t>and meta-analyses</w:t>
      </w:r>
      <w:bookmarkEnd w:id="138"/>
      <w:bookmarkEnd w:id="139"/>
      <w:bookmarkEnd w:id="140"/>
    </w:p>
    <w:p w14:paraId="15584551" w14:textId="5E85B29E" w:rsidR="00462FB8" w:rsidRPr="00F42F68" w:rsidRDefault="00462FB8" w:rsidP="00F42F68">
      <w:r w:rsidRPr="00F42F68">
        <w:t xml:space="preserve">An integrated analysis of efficacy was conducted </w:t>
      </w:r>
      <w:r w:rsidR="00F42F68" w:rsidRPr="00F42F68">
        <w:t xml:space="preserve">for the 2 </w:t>
      </w:r>
      <w:r w:rsidRPr="00F42F68">
        <w:t>monotherapy studies (</w:t>
      </w:r>
      <w:r w:rsidR="00F42F68" w:rsidRPr="00F42F68">
        <w:t>Studies </w:t>
      </w:r>
      <w:r w:rsidRPr="00F42F68">
        <w:t>M16-045 and M18-891</w:t>
      </w:r>
      <w:r w:rsidR="00F42F68" w:rsidRPr="00F42F68">
        <w:t xml:space="preserve">, discussed individually </w:t>
      </w:r>
      <w:r w:rsidR="00AE1823">
        <w:t xml:space="preserve">under Sections: </w:t>
      </w:r>
      <w:r w:rsidR="00AE1823">
        <w:fldChar w:fldCharType="begin"/>
      </w:r>
      <w:r w:rsidR="00AE1823">
        <w:instrText xml:space="preserve"> REF _Ref126053616 \h  \* MERGEFORMAT </w:instrText>
      </w:r>
      <w:r w:rsidR="00AE1823">
        <w:fldChar w:fldCharType="separate"/>
      </w:r>
      <w:r w:rsidR="00B51532" w:rsidRPr="00B51532">
        <w:rPr>
          <w:i/>
        </w:rPr>
        <w:t>Study M16-045</w:t>
      </w:r>
      <w:r w:rsidR="00B51532">
        <w:t xml:space="preserve"> (monotherapy)</w:t>
      </w:r>
      <w:r w:rsidR="00AE1823">
        <w:fldChar w:fldCharType="end"/>
      </w:r>
      <w:r w:rsidR="00AE1823">
        <w:t xml:space="preserve"> and </w:t>
      </w:r>
      <w:r w:rsidR="00AE1823" w:rsidRPr="00AE1823">
        <w:rPr>
          <w:i/>
        </w:rPr>
        <w:fldChar w:fldCharType="begin"/>
      </w:r>
      <w:r w:rsidR="00AE1823" w:rsidRPr="00AE1823">
        <w:rPr>
          <w:i/>
        </w:rPr>
        <w:instrText xml:space="preserve"> REF _Ref126053624 \h </w:instrText>
      </w:r>
      <w:r w:rsidR="00AE1823">
        <w:rPr>
          <w:i/>
        </w:rPr>
        <w:instrText xml:space="preserve"> \* MERGEFORMAT </w:instrText>
      </w:r>
      <w:r w:rsidR="00AE1823" w:rsidRPr="00AE1823">
        <w:rPr>
          <w:i/>
        </w:rPr>
      </w:r>
      <w:r w:rsidR="00AE1823" w:rsidRPr="00AE1823">
        <w:rPr>
          <w:i/>
        </w:rPr>
        <w:fldChar w:fldCharType="separate"/>
      </w:r>
      <w:r w:rsidR="00B51532" w:rsidRPr="00B51532">
        <w:rPr>
          <w:i/>
        </w:rPr>
        <w:t>Study M18-891</w:t>
      </w:r>
      <w:r w:rsidR="00B51532">
        <w:t xml:space="preserve"> (monotherapy)</w:t>
      </w:r>
      <w:r w:rsidR="00AE1823" w:rsidRPr="00AE1823">
        <w:rPr>
          <w:i/>
        </w:rPr>
        <w:fldChar w:fldCharType="end"/>
      </w:r>
      <w:r w:rsidR="00AE1823">
        <w:rPr>
          <w:i/>
        </w:rPr>
        <w:t xml:space="preserve">, </w:t>
      </w:r>
      <w:r w:rsidR="00AE1823">
        <w:t>above</w:t>
      </w:r>
      <w:r w:rsidRPr="00F42F68">
        <w:t xml:space="preserve">), given their design similarities. The integration relates to the efficacy outcome from the randomised </w:t>
      </w:r>
      <w:r w:rsidR="00F42F68">
        <w:t>double blind</w:t>
      </w:r>
      <w:r w:rsidRPr="00F42F68">
        <w:t xml:space="preserve"> period in the two studies at Week 16.</w:t>
      </w:r>
    </w:p>
    <w:p w14:paraId="7667FADB" w14:textId="1C583802" w:rsidR="00462FB8" w:rsidRPr="007010FA" w:rsidRDefault="00462FB8" w:rsidP="00462FB8">
      <w:pPr>
        <w:spacing w:line="240" w:lineRule="auto"/>
        <w:rPr>
          <w:rFonts w:eastAsia="TimesNewRoman" w:cs="Calibri"/>
          <w:lang w:val="en-US"/>
        </w:rPr>
      </w:pPr>
      <w:r w:rsidRPr="007010FA">
        <w:rPr>
          <w:lang w:val="en-US"/>
        </w:rPr>
        <w:t xml:space="preserve">From the </w:t>
      </w:r>
      <w:r w:rsidRPr="007010FA">
        <w:rPr>
          <w:rFonts w:eastAsia="TimesNewRoman" w:cs="Calibri"/>
          <w:lang w:val="en-US"/>
        </w:rPr>
        <w:t xml:space="preserve">Integrated Summary of Efficacy (ISE), the </w:t>
      </w:r>
      <w:r w:rsidR="00F42F68">
        <w:rPr>
          <w:rFonts w:eastAsia="TimesNewRoman" w:cs="Calibri"/>
          <w:lang w:val="en-US"/>
        </w:rPr>
        <w:t>clinical evaluation noted</w:t>
      </w:r>
      <w:r w:rsidRPr="007010FA">
        <w:rPr>
          <w:rFonts w:eastAsia="TimesNewRoman" w:cs="Calibri"/>
          <w:lang w:val="en-US"/>
        </w:rPr>
        <w:t xml:space="preserve"> that there was:</w:t>
      </w:r>
    </w:p>
    <w:p w14:paraId="0E0F99E0" w14:textId="37D179B9" w:rsidR="00462FB8" w:rsidRPr="00F42F68" w:rsidRDefault="00F42F68" w:rsidP="00F42F68">
      <w:pPr>
        <w:pStyle w:val="ListBullet"/>
      </w:pPr>
      <w:r>
        <w:t xml:space="preserve">a </w:t>
      </w:r>
      <w:r w:rsidR="00462FB8" w:rsidRPr="00F42F68">
        <w:t>statistically and clinically</w:t>
      </w:r>
      <w:r>
        <w:t xml:space="preserve"> significant improvements with upadacitinib 30 mg and u</w:t>
      </w:r>
      <w:r w:rsidR="00462FB8" w:rsidRPr="00F42F68">
        <w:t>padacitinib 15 mg as monotherapy compared to placebo in the co-primary endpoints of vIGA-AD 0/1 and EASI 75 at Wee</w:t>
      </w:r>
      <w:r>
        <w:t xml:space="preserve">k 16, as per the table below. </w:t>
      </w:r>
      <w:r w:rsidR="00462FB8" w:rsidRPr="00F42F68">
        <w:t>This was supported by the sensiti</w:t>
      </w:r>
      <w:r w:rsidR="00172311">
        <w:t>vity analyses (NRI-</w:t>
      </w:r>
      <w:r>
        <w:t>C, multiple imputation, and tipping p</w:t>
      </w:r>
      <w:r w:rsidR="00172311">
        <w:t xml:space="preserve">oint), see </w:t>
      </w:r>
      <w:r w:rsidR="00172311">
        <w:fldChar w:fldCharType="begin"/>
      </w:r>
      <w:r w:rsidR="00172311">
        <w:instrText xml:space="preserve"> REF _Ref126053903 \h </w:instrText>
      </w:r>
      <w:r w:rsidR="00172311">
        <w:fldChar w:fldCharType="separate"/>
      </w:r>
      <w:r w:rsidR="00B51532">
        <w:t xml:space="preserve">Table </w:t>
      </w:r>
      <w:r w:rsidR="00B51532">
        <w:rPr>
          <w:noProof/>
        </w:rPr>
        <w:t>41</w:t>
      </w:r>
      <w:r w:rsidR="00172311">
        <w:fldChar w:fldCharType="end"/>
      </w:r>
      <w:r w:rsidR="00172311">
        <w:t xml:space="preserve"> (below).</w:t>
      </w:r>
      <w:r w:rsidR="00462FB8" w:rsidRPr="00F42F68">
        <w:t xml:space="preserve"> </w:t>
      </w:r>
    </w:p>
    <w:p w14:paraId="3134FD93" w14:textId="6D4A8996" w:rsidR="00F42F68" w:rsidRPr="00F42F68" w:rsidRDefault="00F42F68" w:rsidP="00F42F68">
      <w:pPr>
        <w:pStyle w:val="Tabletitle0"/>
        <w:rPr>
          <w:color w:val="1308E8"/>
          <w:u w:val="single"/>
          <w:lang w:val="en-US"/>
        </w:rPr>
      </w:pPr>
      <w:bookmarkStart w:id="141" w:name="_Ref126053903"/>
      <w:r>
        <w:lastRenderedPageBreak/>
        <w:t xml:space="preserve">Table </w:t>
      </w:r>
      <w:fldSimple w:instr=" SEQ Table \* ARABIC ">
        <w:r w:rsidR="00B51532">
          <w:rPr>
            <w:noProof/>
          </w:rPr>
          <w:t>41</w:t>
        </w:r>
      </w:fldSimple>
      <w:bookmarkEnd w:id="141"/>
      <w:r>
        <w:t xml:space="preserve">: </w:t>
      </w:r>
      <w:r w:rsidR="00172311">
        <w:t xml:space="preserve">Integrated monotherapy Studies M16-045 and M18-891; </w:t>
      </w:r>
      <w:r w:rsidRPr="00593F41">
        <w:t xml:space="preserve">Primary efficacy results </w:t>
      </w:r>
      <w:r w:rsidR="00172311">
        <w:t>at W</w:t>
      </w:r>
      <w:r w:rsidRPr="00593F41">
        <w:t>eek 16 (NRI-C, all subjects)</w:t>
      </w:r>
    </w:p>
    <w:p w14:paraId="2D11D589" w14:textId="454CF128" w:rsidR="00462FB8" w:rsidRDefault="00462FB8" w:rsidP="00F42F68">
      <w:pPr>
        <w:rPr>
          <w:b/>
          <w:color w:val="1308E8"/>
          <w:u w:val="single"/>
          <w:lang w:val="en-US"/>
        </w:rPr>
      </w:pPr>
      <w:r w:rsidRPr="00F42F68">
        <w:rPr>
          <w:noProof/>
          <w:lang w:val="en-GB" w:eastAsia="en-GB"/>
        </w:rPr>
        <w:drawing>
          <wp:inline distT="0" distB="0" distL="0" distR="0" wp14:anchorId="676EC574" wp14:editId="7BFE5E23">
            <wp:extent cx="5443869" cy="2007838"/>
            <wp:effectExtent l="0" t="0" r="4445" b="0"/>
            <wp:docPr id="76" name="Picture 76" descr="Integrated monotherapy Studies M16-045 and M18-891; Primary efficacy results at Week 16 (NRI-C, all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ntegrated monotherapy Studies M16-045 and M18-891; Primary efficacy results at Week 16 (NRI-C, all subject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5294" cy="2023117"/>
                    </a:xfrm>
                    <a:prstGeom prst="rect">
                      <a:avLst/>
                    </a:prstGeom>
                    <a:noFill/>
                    <a:ln>
                      <a:noFill/>
                    </a:ln>
                  </pic:spPr>
                </pic:pic>
              </a:graphicData>
            </a:graphic>
          </wp:inline>
        </w:drawing>
      </w:r>
    </w:p>
    <w:p w14:paraId="33CC6C44" w14:textId="5D37AB51" w:rsidR="00172311" w:rsidRPr="00172311" w:rsidRDefault="00172311" w:rsidP="00172311">
      <w:pPr>
        <w:pStyle w:val="TableDescription"/>
      </w:pPr>
      <w:r>
        <w:t>Abbreviations: CI = confidence intervals; EASI 75 = Eczema Area and Severity Index 75 response; ITT = intention to treat; NRI</w:t>
      </w:r>
      <w:r>
        <w:noBreakHyphen/>
        <w:t>C = Nonresponder Imputation incorporating Multiple Imputation (MI) to handle missing data due to COVID-19; QD = once daily; UPA = upadacitinib; vIGA-AD = validated investigator’s global assessment.</w:t>
      </w:r>
    </w:p>
    <w:p w14:paraId="0A6AA4CF" w14:textId="00CEE013" w:rsidR="00462FB8" w:rsidRPr="002400AC" w:rsidRDefault="00A90D29" w:rsidP="00A90D29">
      <w:pPr>
        <w:rPr>
          <w:b/>
          <w:u w:val="single"/>
          <w:lang w:val="en-US"/>
        </w:rPr>
      </w:pPr>
      <w:r>
        <w:rPr>
          <w:lang w:val="en-US"/>
        </w:rPr>
        <w:t>S</w:t>
      </w:r>
      <w:r w:rsidR="00462FB8" w:rsidRPr="00184A1E">
        <w:rPr>
          <w:lang w:val="en-US"/>
        </w:rPr>
        <w:t xml:space="preserve">kin clearance and disease activity based on vIGA-AD 0/1 and EASI 75, showed significantly </w:t>
      </w:r>
      <w:r>
        <w:rPr>
          <w:lang w:val="en-US"/>
        </w:rPr>
        <w:t>greater improvements with both u</w:t>
      </w:r>
      <w:r w:rsidR="00462FB8" w:rsidRPr="00184A1E">
        <w:rPr>
          <w:lang w:val="en-US"/>
        </w:rPr>
        <w:t>padacitinib 30</w:t>
      </w:r>
      <w:r>
        <w:rPr>
          <w:lang w:val="en-US"/>
        </w:rPr>
        <w:t xml:space="preserve"> </w:t>
      </w:r>
      <w:r w:rsidR="00462FB8" w:rsidRPr="00184A1E">
        <w:rPr>
          <w:lang w:val="en-US"/>
        </w:rPr>
        <w:t>mg and 15</w:t>
      </w:r>
      <w:r>
        <w:rPr>
          <w:lang w:val="en-US"/>
        </w:rPr>
        <w:t xml:space="preserve"> mg compared with placebo at Week 16. The u</w:t>
      </w:r>
      <w:r w:rsidR="00462FB8" w:rsidRPr="00184A1E">
        <w:rPr>
          <w:lang w:val="en-US"/>
        </w:rPr>
        <w:t>padacitinib 30 mg group showed consistently higher response</w:t>
      </w:r>
      <w:r>
        <w:rPr>
          <w:lang w:val="en-US"/>
        </w:rPr>
        <w:t xml:space="preserve"> rates (&gt; 10%) compared to the u</w:t>
      </w:r>
      <w:r w:rsidR="00462FB8" w:rsidRPr="00184A1E">
        <w:rPr>
          <w:lang w:val="en-US"/>
        </w:rPr>
        <w:t>padacitinib 15 mg group with non-overlapping</w:t>
      </w:r>
      <w:r w:rsidR="00B51532">
        <w:rPr>
          <w:lang w:val="en-US"/>
        </w:rPr>
        <w:t xml:space="preserve"> </w:t>
      </w:r>
      <w:r w:rsidR="00462FB8" w:rsidRPr="00184A1E">
        <w:rPr>
          <w:lang w:val="en-US"/>
        </w:rPr>
        <w:t>95% confid</w:t>
      </w:r>
      <w:r>
        <w:rPr>
          <w:lang w:val="en-US"/>
        </w:rPr>
        <w:t>ence intervals between the two u</w:t>
      </w:r>
      <w:r w:rsidR="00462FB8" w:rsidRPr="00184A1E">
        <w:rPr>
          <w:lang w:val="en-US"/>
        </w:rPr>
        <w:t>padacitinib doses</w:t>
      </w:r>
      <w:r w:rsidR="00462FB8" w:rsidRPr="002400AC">
        <w:rPr>
          <w:lang w:val="en-US"/>
        </w:rPr>
        <w:t>. Furthermore</w:t>
      </w:r>
      <w:r>
        <w:rPr>
          <w:lang w:val="en-US"/>
        </w:rPr>
        <w:t>, u</w:t>
      </w:r>
      <w:r w:rsidR="00462FB8" w:rsidRPr="002400AC">
        <w:rPr>
          <w:lang w:val="en-US"/>
        </w:rPr>
        <w:t xml:space="preserve">padacitinib-treated patients demonstrated rapid onset of action with significant </w:t>
      </w:r>
      <w:r>
        <w:rPr>
          <w:lang w:val="en-US"/>
        </w:rPr>
        <w:t>improvements over placebo from W</w:t>
      </w:r>
      <w:r w:rsidR="00462FB8" w:rsidRPr="002400AC">
        <w:rPr>
          <w:lang w:val="en-US"/>
        </w:rPr>
        <w:t xml:space="preserve">eek 2, which were then maintained </w:t>
      </w:r>
      <w:r>
        <w:rPr>
          <w:lang w:val="en-US"/>
        </w:rPr>
        <w:t>until W</w:t>
      </w:r>
      <w:r w:rsidR="00462FB8" w:rsidRPr="002400AC">
        <w:rPr>
          <w:lang w:val="en-US"/>
        </w:rPr>
        <w:t>e</w:t>
      </w:r>
      <w:r>
        <w:rPr>
          <w:lang w:val="en-US"/>
        </w:rPr>
        <w:t xml:space="preserve">ek 16, as </w:t>
      </w:r>
      <w:r w:rsidR="00172311">
        <w:rPr>
          <w:lang w:val="en-US"/>
        </w:rPr>
        <w:t xml:space="preserve">shown in the figures </w:t>
      </w:r>
      <w:r>
        <w:rPr>
          <w:lang w:val="en-US"/>
        </w:rPr>
        <w:t>below.</w:t>
      </w:r>
    </w:p>
    <w:p w14:paraId="320F2F86" w14:textId="48BB2B06" w:rsidR="006E0DAA" w:rsidRPr="006E0DAA" w:rsidRDefault="006E0DAA" w:rsidP="006E0DAA">
      <w:pPr>
        <w:pStyle w:val="FigureTitle"/>
        <w:rPr>
          <w:lang w:val="en-US"/>
        </w:rPr>
      </w:pPr>
      <w:r>
        <w:t xml:space="preserve">Figure </w:t>
      </w:r>
      <w:fldSimple w:instr=" SEQ Figure \* ARABIC ">
        <w:r w:rsidR="00B51532">
          <w:rPr>
            <w:noProof/>
          </w:rPr>
          <w:t>35</w:t>
        </w:r>
      </w:fldSimple>
      <w:r>
        <w:t xml:space="preserve">: </w:t>
      </w:r>
      <w:r w:rsidR="00172311">
        <w:t xml:space="preserve">Integrated monotherapy Studies M16-045 and M18-891; </w:t>
      </w:r>
      <w:r w:rsidRPr="00D570EC">
        <w:rPr>
          <w:lang w:val="en-US"/>
        </w:rPr>
        <w:t>Subjects who achieved vIGA-AD 0/1 through Week 16</w:t>
      </w:r>
      <w:r w:rsidR="00172311">
        <w:rPr>
          <w:lang w:val="en-US"/>
        </w:rPr>
        <w:t xml:space="preserve"> (</w:t>
      </w:r>
      <w:r w:rsidRPr="00D570EC">
        <w:rPr>
          <w:lang w:val="en-US"/>
        </w:rPr>
        <w:t>placebo-controlled population, NRI-C)</w:t>
      </w:r>
    </w:p>
    <w:p w14:paraId="2F1EF5E0" w14:textId="38EABA62" w:rsidR="00462FB8" w:rsidRDefault="00462FB8" w:rsidP="00A90D29">
      <w:pPr>
        <w:rPr>
          <w:b/>
          <w:color w:val="1308E8"/>
          <w:u w:val="single"/>
          <w:lang w:val="en-US"/>
        </w:rPr>
      </w:pPr>
      <w:r w:rsidRPr="00A90D29">
        <w:rPr>
          <w:noProof/>
          <w:lang w:val="en-GB" w:eastAsia="en-GB"/>
        </w:rPr>
        <w:drawing>
          <wp:inline distT="0" distB="0" distL="0" distR="0" wp14:anchorId="6ABE853D" wp14:editId="2DFAB0EA">
            <wp:extent cx="5534950" cy="2736112"/>
            <wp:effectExtent l="0" t="0" r="0" b="7620"/>
            <wp:docPr id="79" name="Picture 79" descr="Integrated monotherapy Studies M16-045 and M18-891; Subjects who achieved vIGA-AD 0/1 through Week 16 (placebo-controlled population, N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ntegrated monotherapy Studies M16-045 and M18-891; Subjects who achieved vIGA-AD 0/1 through Week 16 (placebo-controlled population, NRI-C)"/>
                    <pic:cNvPicPr>
                      <a:picLocks noChangeAspect="1" noChangeArrowheads="1"/>
                    </pic:cNvPicPr>
                  </pic:nvPicPr>
                  <pic:blipFill rotWithShape="1">
                    <a:blip r:embed="rId86">
                      <a:extLst>
                        <a:ext uri="{28A0092B-C50C-407E-A947-70E740481C1C}">
                          <a14:useLocalDpi xmlns:a14="http://schemas.microsoft.com/office/drawing/2010/main" val="0"/>
                        </a:ext>
                      </a:extLst>
                    </a:blip>
                    <a:srcRect l="1854" t="2976" r="1536" b="3364"/>
                    <a:stretch/>
                  </pic:blipFill>
                  <pic:spPr bwMode="auto">
                    <a:xfrm>
                      <a:off x="0" y="0"/>
                      <a:ext cx="5545615" cy="2741384"/>
                    </a:xfrm>
                    <a:prstGeom prst="rect">
                      <a:avLst/>
                    </a:prstGeom>
                    <a:noFill/>
                    <a:ln>
                      <a:noFill/>
                    </a:ln>
                    <a:extLst>
                      <a:ext uri="{53640926-AAD7-44D8-BBD7-CCE9431645EC}">
                        <a14:shadowObscured xmlns:a14="http://schemas.microsoft.com/office/drawing/2010/main"/>
                      </a:ext>
                    </a:extLst>
                  </pic:spPr>
                </pic:pic>
              </a:graphicData>
            </a:graphic>
          </wp:inline>
        </w:drawing>
      </w:r>
    </w:p>
    <w:p w14:paraId="1FFD10F4" w14:textId="201504F3" w:rsidR="00172311" w:rsidRPr="00172311" w:rsidRDefault="00172311" w:rsidP="00C056B6">
      <w:pPr>
        <w:pStyle w:val="FigureDescription"/>
      </w:pPr>
      <w:r>
        <w:t>Abbreviations: CI = confidence intervals; ITT = intention to treat; NRI</w:t>
      </w:r>
      <w:r>
        <w:noBreakHyphen/>
        <w:t>C = Nonresponder Imputation incorporating Multiple Imputation (MI) to handle missing data due to COVID-19; QD = once daily; UPA = upadacitinib; vIGA-AD = validated investigator’s global assessment.</w:t>
      </w:r>
    </w:p>
    <w:p w14:paraId="46F11DF1" w14:textId="75EAFB73" w:rsidR="00462FB8" w:rsidRPr="006E0DAA" w:rsidRDefault="006E0DAA" w:rsidP="006E0DAA">
      <w:pPr>
        <w:pStyle w:val="FigureTitle"/>
        <w:rPr>
          <w:lang w:val="en-US"/>
        </w:rPr>
      </w:pPr>
      <w:r>
        <w:lastRenderedPageBreak/>
        <w:t xml:space="preserve">Figure </w:t>
      </w:r>
      <w:fldSimple w:instr=" SEQ Figure \* ARABIC ">
        <w:r w:rsidR="00B51532">
          <w:rPr>
            <w:noProof/>
          </w:rPr>
          <w:t>36</w:t>
        </w:r>
      </w:fldSimple>
      <w:r>
        <w:t xml:space="preserve">: </w:t>
      </w:r>
      <w:r w:rsidR="00172311" w:rsidRPr="00172311">
        <w:t xml:space="preserve">Integrated monotherapy Studies M16-045 and M18-891; </w:t>
      </w:r>
      <w:r w:rsidRPr="00D570EC">
        <w:rPr>
          <w:lang w:val="en-US"/>
        </w:rPr>
        <w:t xml:space="preserve">Subjects who achieved </w:t>
      </w:r>
      <w:r>
        <w:rPr>
          <w:lang w:val="en-US"/>
        </w:rPr>
        <w:t>EASI 75</w:t>
      </w:r>
      <w:r w:rsidRPr="00D570EC">
        <w:rPr>
          <w:lang w:val="en-US"/>
        </w:rPr>
        <w:t xml:space="preserve"> through Week 16 (placebo-controlled population, NRI-C)</w:t>
      </w:r>
    </w:p>
    <w:p w14:paraId="2B1679F3" w14:textId="5C29C94E" w:rsidR="00462FB8" w:rsidRDefault="00462FB8" w:rsidP="006E0DAA">
      <w:pPr>
        <w:rPr>
          <w:b/>
          <w:color w:val="1308E8"/>
          <w:u w:val="single"/>
          <w:lang w:val="en-US"/>
        </w:rPr>
      </w:pPr>
      <w:r w:rsidRPr="006E0DAA">
        <w:rPr>
          <w:noProof/>
          <w:lang w:val="en-GB" w:eastAsia="en-GB"/>
        </w:rPr>
        <w:drawing>
          <wp:inline distT="0" distB="0" distL="0" distR="0" wp14:anchorId="6D0630CF" wp14:editId="00567102">
            <wp:extent cx="5571460" cy="2879743"/>
            <wp:effectExtent l="0" t="0" r="0" b="0"/>
            <wp:docPr id="81" name="Picture 81" descr="Integrated monotherapy Studies M16-045 and M18-891; Subjects who achieved EASI 75 through Week 16 (placebo-controlled population, N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Integrated monotherapy Studies M16-045 and M18-891; Subjects who achieved EASI 75 through Week 16 (placebo-controlled population, NRI-C)"/>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86657" cy="2887598"/>
                    </a:xfrm>
                    <a:prstGeom prst="rect">
                      <a:avLst/>
                    </a:prstGeom>
                    <a:noFill/>
                    <a:ln>
                      <a:noFill/>
                    </a:ln>
                  </pic:spPr>
                </pic:pic>
              </a:graphicData>
            </a:graphic>
          </wp:inline>
        </w:drawing>
      </w:r>
    </w:p>
    <w:p w14:paraId="4A1CAE92" w14:textId="357ACDEF" w:rsidR="00172311" w:rsidRPr="00172311" w:rsidRDefault="00172311" w:rsidP="00172311">
      <w:pPr>
        <w:pStyle w:val="TableDescription"/>
      </w:pPr>
      <w:r>
        <w:t>Abbreviations: CI = confidence intervals; EASI = Eczema Area and Severity Index response; ITT = intention to treat; NRI</w:t>
      </w:r>
      <w:r>
        <w:noBreakHyphen/>
        <w:t>C = Nonresponder Imputation incorporating Multiple Imputation (MI) to handle missing data due to COVID-19; QD = once daily; UPA = upadacitinib.</w:t>
      </w:r>
    </w:p>
    <w:p w14:paraId="6725E88C" w14:textId="282263D5" w:rsidR="00462FB8" w:rsidRPr="006E0DAA" w:rsidRDefault="00462FB8" w:rsidP="006E0DAA">
      <w:r w:rsidRPr="006E0DAA">
        <w:t>Similar favourable results were observed in adolescents following treatment</w:t>
      </w:r>
      <w:r w:rsidR="006E0DAA">
        <w:t xml:space="preserve"> with u</w:t>
      </w:r>
      <w:r w:rsidRPr="006E0DAA">
        <w:t xml:space="preserve">padacitinib 30 mg </w:t>
      </w:r>
      <w:r w:rsidR="006E0DAA">
        <w:t>and 15 mg compared with placebo.</w:t>
      </w:r>
    </w:p>
    <w:p w14:paraId="18DDF1DB" w14:textId="5D0D2DBF" w:rsidR="006E0DAA" w:rsidRDefault="00462FB8" w:rsidP="006E0DAA">
      <w:r w:rsidRPr="006E0DAA">
        <w:t>Fewer s</w:t>
      </w:r>
      <w:r w:rsidR="006E0DAA">
        <w:t>ubjects experienced a flare on u</w:t>
      </w:r>
      <w:r w:rsidRPr="006E0DAA">
        <w:t>padacitinib 30 m</w:t>
      </w:r>
      <w:r w:rsidR="006E0DAA">
        <w:t xml:space="preserve">g </w:t>
      </w:r>
      <w:r w:rsidR="00782F8C">
        <w:t>once daily</w:t>
      </w:r>
      <w:r w:rsidR="006E0DAA">
        <w:t xml:space="preserve"> (0.7%) and upadacitinib 15 </w:t>
      </w:r>
      <w:r w:rsidRPr="006E0DAA">
        <w:t xml:space="preserve">mg </w:t>
      </w:r>
      <w:r w:rsidR="006E0DAA">
        <w:t>once daily</w:t>
      </w:r>
      <w:r w:rsidRPr="006E0DAA">
        <w:t xml:space="preserve"> (1.6%) than placebo (24.9%) in the overall subject population with a similar trend seen in adolescents.</w:t>
      </w:r>
    </w:p>
    <w:p w14:paraId="705239D7" w14:textId="2353932D" w:rsidR="00462FB8" w:rsidRDefault="00462FB8" w:rsidP="006E0DAA">
      <w:r w:rsidRPr="006E0DAA">
        <w:t xml:space="preserve">Compared with placebo, both upadacitinib </w:t>
      </w:r>
      <w:r w:rsidR="005D7175">
        <w:t>30 mg</w:t>
      </w:r>
      <w:r w:rsidRPr="006E0DAA">
        <w:t xml:space="preserve"> and </w:t>
      </w:r>
      <w:r w:rsidR="005D7175">
        <w:t>15 mg</w:t>
      </w:r>
      <w:r w:rsidRPr="006E0DAA">
        <w:t xml:space="preserve"> demonstrated significantly greater itch reduction (based on improvement in Worst Pruritus NRS ≥ 4 at Week 16) with higher response rates in the </w:t>
      </w:r>
      <w:r w:rsidR="005D7175">
        <w:t>30 mg</w:t>
      </w:r>
      <w:r w:rsidRPr="006E0DAA">
        <w:t xml:space="preserve"> dose group (compared to the </w:t>
      </w:r>
      <w:r w:rsidR="005D7175">
        <w:t>15 mg</w:t>
      </w:r>
      <w:r w:rsidRPr="006E0DAA">
        <w:t xml:space="preserve"> dose), as per the figure below.</w:t>
      </w:r>
    </w:p>
    <w:p w14:paraId="43FE605E" w14:textId="58E1004F" w:rsidR="00172311" w:rsidRPr="006E0DAA" w:rsidRDefault="00172311" w:rsidP="00172311">
      <w:pPr>
        <w:spacing w:before="0" w:after="200" w:line="0" w:lineRule="auto"/>
      </w:pPr>
      <w:r>
        <w:br w:type="page"/>
      </w:r>
    </w:p>
    <w:p w14:paraId="4917A315" w14:textId="7A1C1EEF" w:rsidR="00462FB8" w:rsidRPr="006E0DAA" w:rsidRDefault="006E0DAA" w:rsidP="006E0DAA">
      <w:pPr>
        <w:pStyle w:val="FigureTitle"/>
      </w:pPr>
      <w:r w:rsidRPr="006E0DAA">
        <w:lastRenderedPageBreak/>
        <w:t xml:space="preserve">Figure </w:t>
      </w:r>
      <w:fldSimple w:instr=" SEQ Figure \* ARABIC ">
        <w:r w:rsidR="00B51532">
          <w:rPr>
            <w:noProof/>
          </w:rPr>
          <w:t>37</w:t>
        </w:r>
      </w:fldSimple>
      <w:r w:rsidRPr="006E0DAA">
        <w:t xml:space="preserve">: </w:t>
      </w:r>
      <w:r w:rsidR="00172311" w:rsidRPr="00172311">
        <w:t xml:space="preserve">Integrated monotherapy Studies M16-045 and M18-891; </w:t>
      </w:r>
      <w:r w:rsidRPr="006E0DAA">
        <w:t xml:space="preserve">Subjects who achieved worst pruritus NRS &gt; 4 through Week 16 </w:t>
      </w:r>
      <w:r w:rsidR="00172311">
        <w:t>(</w:t>
      </w:r>
      <w:r w:rsidRPr="006E0DAA">
        <w:t>placebo-controlled population, NRI-C)</w:t>
      </w:r>
    </w:p>
    <w:p w14:paraId="42CE355A" w14:textId="308CDA23" w:rsidR="00462FB8" w:rsidRDefault="00462FB8" w:rsidP="006E0DAA">
      <w:pPr>
        <w:rPr>
          <w:b/>
          <w:color w:val="1308E8"/>
          <w:u w:val="single"/>
          <w:lang w:val="en-US"/>
        </w:rPr>
      </w:pPr>
      <w:r w:rsidRPr="006E0DAA">
        <w:rPr>
          <w:noProof/>
          <w:lang w:val="en-GB" w:eastAsia="en-GB"/>
        </w:rPr>
        <w:drawing>
          <wp:inline distT="0" distB="0" distL="0" distR="0" wp14:anchorId="7DA2680E" wp14:editId="68F9EE12">
            <wp:extent cx="5441581" cy="2546800"/>
            <wp:effectExtent l="0" t="0" r="6985" b="6350"/>
            <wp:docPr id="83" name="Picture 83" descr="Integrated monotherapy Studies M16-045 and M18-891; Subjects who achieved worst pruritus NRS &gt; 4 through Week 16 (placebo-controlled population, N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Integrated monotherapy Studies M16-045 and M18-891; Subjects who achieved worst pruritus NRS &gt; 4 through Week 16 (placebo-controlled population, NRI-C)"/>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0468" cy="2565000"/>
                    </a:xfrm>
                    <a:prstGeom prst="rect">
                      <a:avLst/>
                    </a:prstGeom>
                    <a:noFill/>
                    <a:ln>
                      <a:noFill/>
                    </a:ln>
                  </pic:spPr>
                </pic:pic>
              </a:graphicData>
            </a:graphic>
          </wp:inline>
        </w:drawing>
      </w:r>
    </w:p>
    <w:p w14:paraId="26993AAC" w14:textId="236AE756" w:rsidR="00172311" w:rsidRPr="00172311" w:rsidRDefault="00172311" w:rsidP="00C056B6">
      <w:pPr>
        <w:pStyle w:val="FigureDescription"/>
      </w:pPr>
      <w:r>
        <w:t>Abbreviations: CI = confidence intervals; ITT = intention to treat; NRI</w:t>
      </w:r>
      <w:r>
        <w:noBreakHyphen/>
        <w:t>C = Nonresponder Imputation incorporating Multiple Imputation (MI) to handle missing data due to COVID-19; NRS = numerical rating scale; QD = once daily; UPA = upadacitinib.</w:t>
      </w:r>
    </w:p>
    <w:p w14:paraId="1A9B9C21" w14:textId="47EA1391" w:rsidR="00462FB8" w:rsidRPr="006E0DAA" w:rsidRDefault="00462FB8" w:rsidP="006E0DAA">
      <w:r w:rsidRPr="00184A1E">
        <w:rPr>
          <w:lang w:val="en-US"/>
        </w:rPr>
        <w:t xml:space="preserve">Adolescents demonstrated similarly favorable </w:t>
      </w:r>
      <w:r w:rsidR="006E0DAA">
        <w:rPr>
          <w:lang w:val="en-US"/>
        </w:rPr>
        <w:t>results on itch reduction with u</w:t>
      </w:r>
      <w:r w:rsidRPr="00184A1E">
        <w:rPr>
          <w:lang w:val="en-US"/>
        </w:rPr>
        <w:t>padacitinib 30 mg and 15 mg com</w:t>
      </w:r>
      <w:r w:rsidR="006E0DAA">
        <w:rPr>
          <w:lang w:val="en-US"/>
        </w:rPr>
        <w:t>pared with placebo.</w:t>
      </w:r>
    </w:p>
    <w:p w14:paraId="5EC17009" w14:textId="245A2D27" w:rsidR="00462FB8" w:rsidRPr="00184A1E" w:rsidRDefault="006E0DAA" w:rsidP="006E0DAA">
      <w:pPr>
        <w:rPr>
          <w:lang w:val="en-US"/>
        </w:rPr>
      </w:pPr>
      <w:r>
        <w:rPr>
          <w:lang w:val="en-US"/>
        </w:rPr>
        <w:t>Subjects on u</w:t>
      </w:r>
      <w:r w:rsidR="00462FB8" w:rsidRPr="00184A1E">
        <w:rPr>
          <w:lang w:val="en-US"/>
        </w:rPr>
        <w:t xml:space="preserve">padacitinib (30 mg and 15 mg </w:t>
      </w:r>
      <w:r>
        <w:rPr>
          <w:lang w:val="en-US"/>
        </w:rPr>
        <w:t>once daily</w:t>
      </w:r>
      <w:r w:rsidR="00462FB8" w:rsidRPr="00184A1E">
        <w:rPr>
          <w:lang w:val="en-US"/>
        </w:rPr>
        <w:t xml:space="preserve">) also achieved clinically meaningful improvement in </w:t>
      </w:r>
      <w:r>
        <w:rPr>
          <w:lang w:val="en-US"/>
        </w:rPr>
        <w:t>patient reported outcomes</w:t>
      </w:r>
      <w:r w:rsidR="00462FB8" w:rsidRPr="00184A1E">
        <w:rPr>
          <w:lang w:val="en-US"/>
        </w:rPr>
        <w:t xml:space="preserve"> in both adults and adolescents. Among subjects with a HADS-A ≥ 8 or HADS-D ≥ 8 at Baseline, a gre</w:t>
      </w:r>
      <w:r>
        <w:rPr>
          <w:lang w:val="en-US"/>
        </w:rPr>
        <w:t>ater proportion of subjects on u</w:t>
      </w:r>
      <w:r w:rsidR="00462FB8" w:rsidRPr="00184A1E">
        <w:rPr>
          <w:lang w:val="en-US"/>
        </w:rPr>
        <w:t>padacitinib (30 mg and 15 mg</w:t>
      </w:r>
      <w:r>
        <w:rPr>
          <w:lang w:val="en-US"/>
        </w:rPr>
        <w:t xml:space="preserve"> once daily</w:t>
      </w:r>
      <w:r w:rsidR="00462FB8" w:rsidRPr="00184A1E">
        <w:rPr>
          <w:lang w:val="en-US"/>
        </w:rPr>
        <w:t xml:space="preserve">) achieved HADS scores within the normal range on both subscales at Week 12 and Week 16 compared to subjects on placebo (nominal </w:t>
      </w:r>
      <w:r>
        <w:t>p &lt; </w:t>
      </w:r>
      <w:r w:rsidR="00462FB8" w:rsidRPr="006E0DAA">
        <w:t>0.001) with similar results observed in adolescents. Greater proportions of subjects (both</w:t>
      </w:r>
      <w:r w:rsidR="00462FB8" w:rsidRPr="00184A1E">
        <w:rPr>
          <w:lang w:val="en-US"/>
        </w:rPr>
        <w:t xml:space="preserve"> </w:t>
      </w:r>
      <w:r w:rsidR="00462FB8" w:rsidRPr="00184A1E">
        <w:rPr>
          <w:u w:val="single"/>
          <w:lang w:val="en-US"/>
        </w:rPr>
        <w:t>&gt;</w:t>
      </w:r>
      <w:r w:rsidR="00462FB8" w:rsidRPr="00184A1E">
        <w:rPr>
          <w:lang w:val="en-US"/>
        </w:rPr>
        <w:t xml:space="preserve"> 16 years and &lt; 16 years) showed improvement in DLQI outcome measures (reduction ≥ 4, DLQI 0/1) at each post-baseline visit in the </w:t>
      </w:r>
      <w:r>
        <w:rPr>
          <w:lang w:val="en-US"/>
        </w:rPr>
        <w:t>double blind p</w:t>
      </w:r>
      <w:r w:rsidR="00462FB8" w:rsidRPr="00184A1E">
        <w:rPr>
          <w:lang w:val="en-US"/>
        </w:rPr>
        <w:t>eriod (Week 8 and Week 16) compared to placebo (</w:t>
      </w:r>
      <w:r w:rsidR="00462FB8" w:rsidRPr="006E0DAA">
        <w:t xml:space="preserve">nominal </w:t>
      </w:r>
      <w:r>
        <w:t>p</w:t>
      </w:r>
      <w:r w:rsidR="00462FB8" w:rsidRPr="006E0DAA">
        <w:t xml:space="preserve"> &lt; 0.001).</w:t>
      </w:r>
    </w:p>
    <w:p w14:paraId="3DF3DF23" w14:textId="5B4C4A31" w:rsidR="00462FB8" w:rsidRPr="006E0DAA" w:rsidRDefault="00462FB8" w:rsidP="006E0DAA">
      <w:r w:rsidRPr="006E0DAA">
        <w:t xml:space="preserve">An integrated analysis of efficacy was also conducted, based on observed cases </w:t>
      </w:r>
      <w:r w:rsidR="00172311">
        <w:t>for the two</w:t>
      </w:r>
      <w:r w:rsidR="006E0DAA">
        <w:t> </w:t>
      </w:r>
      <w:r w:rsidRPr="006E0DAA">
        <w:t xml:space="preserve">monotherapy studies </w:t>
      </w:r>
      <w:r w:rsidR="006E0DAA">
        <w:t xml:space="preserve">(Studies </w:t>
      </w:r>
      <w:r w:rsidRPr="006E0DAA">
        <w:t xml:space="preserve">M16-045 and M18-891) this time, on the efficacy outcome from the long-term randomised </w:t>
      </w:r>
      <w:r w:rsidR="006E0DAA">
        <w:t>blinded extension</w:t>
      </w:r>
      <w:r w:rsidRPr="006E0DAA">
        <w:t xml:space="preserve"> period, up to Week 52. Additional (</w:t>
      </w:r>
      <w:r w:rsidRPr="006E0DAA">
        <w:rPr>
          <w:i/>
        </w:rPr>
        <w:t>post-hoc</w:t>
      </w:r>
      <w:r w:rsidR="006E0DAA">
        <w:t>) analyses were requested from t</w:t>
      </w:r>
      <w:r w:rsidRPr="006E0DAA">
        <w:t xml:space="preserve">he Swedish Medical Products Agency for long-term analysis in the </w:t>
      </w:r>
      <w:r w:rsidR="006E0DAA">
        <w:t>integrated summary of efficacy</w:t>
      </w:r>
      <w:r w:rsidRPr="006E0DAA">
        <w:t xml:space="preserve"> for EASI 75, vIGA-AD 0/1 and improvement in Worst Pruritus NRS ≥ 4 using </w:t>
      </w:r>
      <w:r w:rsidR="006E0DAA">
        <w:t>multiple imputation.</w:t>
      </w:r>
    </w:p>
    <w:p w14:paraId="324D9DA7" w14:textId="4DFE35A2" w:rsidR="00462FB8" w:rsidRPr="006E0DAA" w:rsidRDefault="00462FB8" w:rsidP="006E0DAA">
      <w:r w:rsidRPr="006E0DAA">
        <w:t xml:space="preserve">It is noted, </w:t>
      </w:r>
      <w:r w:rsidR="006E0DAA">
        <w:t xml:space="preserve">that the blinded extension </w:t>
      </w:r>
      <w:r w:rsidRPr="006E0DAA">
        <w:t>period was scheduled for 136 weeks.</w:t>
      </w:r>
    </w:p>
    <w:p w14:paraId="66A5F066" w14:textId="2FEC25E3" w:rsidR="00462FB8" w:rsidRPr="006E0DAA" w:rsidRDefault="00462FB8" w:rsidP="006E0DAA">
      <w:r w:rsidRPr="006E0DAA">
        <w:t xml:space="preserve">From the above analyses, the </w:t>
      </w:r>
      <w:r w:rsidR="006E0DAA">
        <w:t xml:space="preserve">clinical evaluation </w:t>
      </w:r>
      <w:r w:rsidRPr="006E0DAA">
        <w:t>stated that:</w:t>
      </w:r>
    </w:p>
    <w:p w14:paraId="4EC9EBE2" w14:textId="2E2B60D2" w:rsidR="00462FB8" w:rsidRPr="006E0DAA" w:rsidRDefault="006E0DAA" w:rsidP="006E0DAA">
      <w:pPr>
        <w:pStyle w:val="ListBullet"/>
      </w:pPr>
      <w:r>
        <w:t>T</w:t>
      </w:r>
      <w:r w:rsidR="00462FB8" w:rsidRPr="006E0DAA">
        <w:t>he mean duration of exposur</w:t>
      </w:r>
      <w:r>
        <w:t>e at the cut-off date was 250.1 to</w:t>
      </w:r>
      <w:r w:rsidR="00462FB8" w:rsidRPr="006E0DAA">
        <w:t xml:space="preserve"> 251.9 days (</w:t>
      </w:r>
      <w:r>
        <w:t>SD 109.52 to</w:t>
      </w:r>
      <w:r w:rsidR="00462FB8" w:rsidRPr="006E0DAA">
        <w:t xml:space="preserve"> 113.10) for subjects originally randomised to</w:t>
      </w:r>
      <w:r w:rsidR="005D7175">
        <w:t xml:space="preserve"> upadacitinib</w:t>
      </w:r>
      <w:r>
        <w:t xml:space="preserve"> and who remained on upadacitinib; and 153.4 to 155.5 days (SD 101.21 to</w:t>
      </w:r>
      <w:r w:rsidR="00462FB8" w:rsidRPr="006E0DAA">
        <w:t xml:space="preserve"> 104.67) for subjects originally randomised to plac</w:t>
      </w:r>
      <w:r>
        <w:t>ebo and who switched to u</w:t>
      </w:r>
      <w:r w:rsidR="00462FB8" w:rsidRPr="006E0DAA">
        <w:t>padac</w:t>
      </w:r>
      <w:r>
        <w:t>itinib (30 mg or 15 mg) at Week 16. There were 223 subjects on u</w:t>
      </w:r>
      <w:r w:rsidR="00462FB8" w:rsidRPr="006E0DAA">
        <w:t>padacitinib including 17 subjects who began the study on placebo at Week 52. Similar long-term exposure was observed in adol</w:t>
      </w:r>
      <w:r>
        <w:t>escents with 36 adolescents on u</w:t>
      </w:r>
      <w:r w:rsidR="00462FB8" w:rsidRPr="006E0DAA">
        <w:t>padacitinib treatment at the Week 52 visit</w:t>
      </w:r>
      <w:r>
        <w:t>.</w:t>
      </w:r>
    </w:p>
    <w:p w14:paraId="336B2DCB" w14:textId="2A26D88E" w:rsidR="00462FB8" w:rsidRPr="006E0DAA" w:rsidRDefault="006E0DAA" w:rsidP="006E0DAA">
      <w:pPr>
        <w:pStyle w:val="ListBullet"/>
      </w:pPr>
      <w:r>
        <w:t>I</w:t>
      </w:r>
      <w:r w:rsidR="00462FB8" w:rsidRPr="006E0DAA">
        <w:t xml:space="preserve">n the </w:t>
      </w:r>
      <w:r w:rsidR="00172311">
        <w:t>observed case</w:t>
      </w:r>
      <w:r w:rsidR="00462FB8" w:rsidRPr="006E0DAA">
        <w:t xml:space="preserve"> analysis, among subjects who were initially randomi</w:t>
      </w:r>
      <w:r>
        <w:t>sed to placebo and switched to u</w:t>
      </w:r>
      <w:r w:rsidR="00462FB8" w:rsidRPr="006E0DAA">
        <w:t>padacitinib at Week 16, the proportio</w:t>
      </w:r>
      <w:r>
        <w:t>n of subjects who achieved vIGA</w:t>
      </w:r>
      <w:r>
        <w:noBreakHyphen/>
      </w:r>
      <w:r w:rsidR="00462FB8" w:rsidRPr="006E0DAA">
        <w:t xml:space="preserve">AD 0/1 by the next scheduled visit was similar to the response rates in </w:t>
      </w:r>
      <w:r w:rsidR="00462FB8" w:rsidRPr="006E0DAA">
        <w:lastRenderedPageBreak/>
        <w:t xml:space="preserve">those subjects initially randomised to upadacitinib. Among subjects who were initially randomised to upadacitinib and continued on upadacitinib, the proportion of subjects who achieved vIGA-AD 0/1 was maintained at similar response rates beyond Week 16 with the upadacitinib 30 mg group achieving higher rates than upadacitinib 15 mg through Week 52, as per the </w:t>
      </w:r>
      <w:r w:rsidR="00172311">
        <w:t>figure below.</w:t>
      </w:r>
    </w:p>
    <w:p w14:paraId="23BF8427" w14:textId="02414928" w:rsidR="00462FB8" w:rsidRPr="00A85AAB" w:rsidRDefault="00A85AAB" w:rsidP="00A85AAB">
      <w:pPr>
        <w:pStyle w:val="FigureTitle"/>
      </w:pPr>
      <w:r>
        <w:t xml:space="preserve">Figure </w:t>
      </w:r>
      <w:fldSimple w:instr=" SEQ Figure \* ARABIC ">
        <w:r w:rsidR="00B51532">
          <w:rPr>
            <w:noProof/>
          </w:rPr>
          <w:t>38</w:t>
        </w:r>
      </w:fldSimple>
      <w:r>
        <w:t xml:space="preserve">: </w:t>
      </w:r>
      <w:r w:rsidR="00172311">
        <w:t xml:space="preserve">Integrated monotherapy Studies M16-045 and M18-891; </w:t>
      </w:r>
      <w:r w:rsidR="00462FB8" w:rsidRPr="00A85AAB">
        <w:t>Subjects</w:t>
      </w:r>
      <w:r w:rsidR="00172311">
        <w:t xml:space="preserve"> achieving vIGA-AD 0/1 through W</w:t>
      </w:r>
      <w:r w:rsidR="00462FB8" w:rsidRPr="00A85AAB">
        <w:t>eek 52 (</w:t>
      </w:r>
      <w:r>
        <w:t xml:space="preserve">long-term upadacitinib population, </w:t>
      </w:r>
      <w:r w:rsidR="00172311">
        <w:t xml:space="preserve">observed case </w:t>
      </w:r>
      <w:r w:rsidR="00021004">
        <w:t>analysis</w:t>
      </w:r>
      <w:r>
        <w:t>)</w:t>
      </w:r>
    </w:p>
    <w:p w14:paraId="4A1FFB10" w14:textId="47FBC391" w:rsidR="00021004" w:rsidRDefault="00462FB8" w:rsidP="00A85AAB">
      <w:pPr>
        <w:spacing w:line="240" w:lineRule="auto"/>
        <w:rPr>
          <w:rFonts w:eastAsia="TimesNewRoman" w:cs="Calibri"/>
          <w:lang w:val="en-US"/>
        </w:rPr>
      </w:pPr>
      <w:r w:rsidRPr="00AA468B">
        <w:rPr>
          <w:noProof/>
          <w:lang w:val="en-GB" w:eastAsia="en-GB"/>
        </w:rPr>
        <w:drawing>
          <wp:inline distT="0" distB="0" distL="0" distR="0" wp14:anchorId="51A6B96B" wp14:editId="54ECC482">
            <wp:extent cx="5497586" cy="2849525"/>
            <wp:effectExtent l="0" t="0" r="8255" b="8255"/>
            <wp:docPr id="85" name="Picture 85" descr="Integrated monotherapy Studies M16-045 and M18-891; Subjects achieving vIGA-AD 0/1 through Week 52 (long-term upadacitinib population, observed cas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Integrated monotherapy Studies M16-045 and M18-891; Subjects achieving vIGA-AD 0/1 through Week 52 (long-term upadacitinib population, observed case analysis)"/>
                    <pic:cNvPicPr>
                      <a:picLocks noChangeAspect="1" noChangeArrowheads="1"/>
                    </pic:cNvPicPr>
                  </pic:nvPicPr>
                  <pic:blipFill rotWithShape="1">
                    <a:blip r:embed="rId89">
                      <a:extLst>
                        <a:ext uri="{28A0092B-C50C-407E-A947-70E740481C1C}">
                          <a14:useLocalDpi xmlns:a14="http://schemas.microsoft.com/office/drawing/2010/main" val="0"/>
                        </a:ext>
                      </a:extLst>
                    </a:blip>
                    <a:srcRect l="2706" r="1338"/>
                    <a:stretch/>
                  </pic:blipFill>
                  <pic:spPr bwMode="auto">
                    <a:xfrm>
                      <a:off x="0" y="0"/>
                      <a:ext cx="5553578" cy="2878547"/>
                    </a:xfrm>
                    <a:prstGeom prst="rect">
                      <a:avLst/>
                    </a:prstGeom>
                    <a:noFill/>
                    <a:ln>
                      <a:noFill/>
                    </a:ln>
                    <a:extLst>
                      <a:ext uri="{53640926-AAD7-44D8-BBD7-CCE9431645EC}">
                        <a14:shadowObscured xmlns:a14="http://schemas.microsoft.com/office/drawing/2010/main"/>
                      </a:ext>
                    </a:extLst>
                  </pic:spPr>
                </pic:pic>
              </a:graphicData>
            </a:graphic>
          </wp:inline>
        </w:drawing>
      </w:r>
    </w:p>
    <w:p w14:paraId="208A5A6F" w14:textId="3928B834" w:rsidR="00021004" w:rsidRPr="00021004" w:rsidRDefault="00021004" w:rsidP="00021004">
      <w:pPr>
        <w:pStyle w:val="TableDescription"/>
      </w:pPr>
      <w:r>
        <w:t>Abbreviations: CI = confidence intervals; ITT = intention to treat; NRI</w:t>
      </w:r>
      <w:r>
        <w:noBreakHyphen/>
        <w:t>C = Nonresponder Imputation incorporating Multiple Imputation (MI) to handle missing data due to COVID-19; QD = once daily; UPA = upadacitinib; vIGA-AD = validated investigator’s global assessment.</w:t>
      </w:r>
    </w:p>
    <w:p w14:paraId="5F91AA5A" w14:textId="7CD61AC2" w:rsidR="00462FB8" w:rsidRDefault="00A85AAB" w:rsidP="00A85AAB">
      <w:pPr>
        <w:spacing w:line="240" w:lineRule="auto"/>
        <w:rPr>
          <w:lang w:val="en-US"/>
        </w:rPr>
      </w:pPr>
      <w:r>
        <w:rPr>
          <w:rFonts w:eastAsia="TimesNewRoman" w:cs="Calibri"/>
          <w:lang w:val="en-US"/>
        </w:rPr>
        <w:t>S</w:t>
      </w:r>
      <w:r w:rsidR="00462FB8" w:rsidRPr="00892D13">
        <w:rPr>
          <w:lang w:val="en-US"/>
        </w:rPr>
        <w:t xml:space="preserve">imilar patterns of improvements were observed following </w:t>
      </w:r>
      <w:r w:rsidR="00172311">
        <w:rPr>
          <w:lang w:val="en-US"/>
        </w:rPr>
        <w:t>observed case</w:t>
      </w:r>
      <w:r w:rsidR="00462FB8" w:rsidRPr="00892D13">
        <w:rPr>
          <w:lang w:val="en-US"/>
        </w:rPr>
        <w:t xml:space="preserve"> analysis for EASI</w:t>
      </w:r>
      <w:r>
        <w:rPr>
          <w:lang w:val="en-US"/>
        </w:rPr>
        <w:t xml:space="preserve"> </w:t>
      </w:r>
      <w:r w:rsidR="00462FB8" w:rsidRPr="00892D13">
        <w:rPr>
          <w:lang w:val="en-US"/>
        </w:rPr>
        <w:t>75</w:t>
      </w:r>
      <w:r>
        <w:rPr>
          <w:lang w:val="en-US"/>
        </w:rPr>
        <w:t xml:space="preserve"> and EASI 100 </w:t>
      </w:r>
      <w:r w:rsidR="00462FB8" w:rsidRPr="00892D13">
        <w:rPr>
          <w:lang w:val="en-US"/>
        </w:rPr>
        <w:t xml:space="preserve">as per the </w:t>
      </w:r>
      <w:r>
        <w:rPr>
          <w:lang w:val="en-US"/>
        </w:rPr>
        <w:t>figures below.</w:t>
      </w:r>
    </w:p>
    <w:p w14:paraId="701A6705" w14:textId="1DB840E0" w:rsidR="00021004" w:rsidRPr="00021004" w:rsidRDefault="00021004" w:rsidP="00021004">
      <w:pPr>
        <w:spacing w:before="0" w:after="200" w:line="0" w:lineRule="auto"/>
        <w:rPr>
          <w:lang w:val="en-US"/>
        </w:rPr>
      </w:pPr>
      <w:r>
        <w:rPr>
          <w:lang w:val="en-US"/>
        </w:rPr>
        <w:br w:type="page"/>
      </w:r>
    </w:p>
    <w:p w14:paraId="1300BA22" w14:textId="1949906F" w:rsidR="00462FB8" w:rsidRPr="00A85AAB" w:rsidRDefault="00A85AAB" w:rsidP="00A85AAB">
      <w:pPr>
        <w:pStyle w:val="FigureTitle"/>
      </w:pPr>
      <w:r>
        <w:lastRenderedPageBreak/>
        <w:t xml:space="preserve">Figure </w:t>
      </w:r>
      <w:fldSimple w:instr=" SEQ Figure \* ARABIC ">
        <w:r w:rsidR="00B51532">
          <w:rPr>
            <w:noProof/>
          </w:rPr>
          <w:t>39</w:t>
        </w:r>
      </w:fldSimple>
      <w:r>
        <w:t xml:space="preserve">: </w:t>
      </w:r>
      <w:r w:rsidR="00021004">
        <w:t xml:space="preserve">Integrated monotherapy Studies M16-045 and M18-891; </w:t>
      </w:r>
      <w:r w:rsidRPr="00A85AAB">
        <w:t xml:space="preserve">Subjects achieving </w:t>
      </w:r>
      <w:r>
        <w:t>EASI 75 through W</w:t>
      </w:r>
      <w:r w:rsidRPr="00A85AAB">
        <w:t>eek 52 (</w:t>
      </w:r>
      <w:r>
        <w:t xml:space="preserve">long-term upadacitinib population, </w:t>
      </w:r>
      <w:r w:rsidR="00021004">
        <w:t>observed case analysis</w:t>
      </w:r>
      <w:r>
        <w:t>)</w:t>
      </w:r>
    </w:p>
    <w:p w14:paraId="1DF16E64" w14:textId="0064864D" w:rsidR="00462FB8" w:rsidRDefault="00462FB8" w:rsidP="00A85AAB">
      <w:pPr>
        <w:rPr>
          <w:lang w:val="en-US"/>
        </w:rPr>
      </w:pPr>
      <w:r w:rsidRPr="00A85AAB">
        <w:rPr>
          <w:noProof/>
          <w:lang w:val="en-GB" w:eastAsia="en-GB"/>
        </w:rPr>
        <w:drawing>
          <wp:inline distT="0" distB="0" distL="0" distR="0" wp14:anchorId="78860916" wp14:editId="01478186">
            <wp:extent cx="5479969" cy="2597150"/>
            <wp:effectExtent l="0" t="0" r="6985" b="0"/>
            <wp:docPr id="296" name="Picture 296" descr="Integrated monotherapy Studies M16-045 and M18-891; Subjects achieving EASI 75 through Week 52 (long-term upadacitinib population, observed cas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Integrated monotherapy Studies M16-045 and M18-891; Subjects achieving EASI 75 through Week 52 (long-term upadacitinib population, observed case analysis)"/>
                    <pic:cNvPicPr>
                      <a:picLocks noChangeAspect="1" noChangeArrowheads="1"/>
                    </pic:cNvPicPr>
                  </pic:nvPicPr>
                  <pic:blipFill rotWithShape="1">
                    <a:blip r:embed="rId90">
                      <a:extLst>
                        <a:ext uri="{28A0092B-C50C-407E-A947-70E740481C1C}">
                          <a14:useLocalDpi xmlns:a14="http://schemas.microsoft.com/office/drawing/2010/main" val="0"/>
                        </a:ext>
                      </a:extLst>
                    </a:blip>
                    <a:srcRect l="1654"/>
                    <a:stretch/>
                  </pic:blipFill>
                  <pic:spPr bwMode="auto">
                    <a:xfrm>
                      <a:off x="0" y="0"/>
                      <a:ext cx="5525566" cy="2618760"/>
                    </a:xfrm>
                    <a:prstGeom prst="rect">
                      <a:avLst/>
                    </a:prstGeom>
                    <a:noFill/>
                    <a:ln>
                      <a:noFill/>
                    </a:ln>
                    <a:extLst>
                      <a:ext uri="{53640926-AAD7-44D8-BBD7-CCE9431645EC}">
                        <a14:shadowObscured xmlns:a14="http://schemas.microsoft.com/office/drawing/2010/main"/>
                      </a:ext>
                    </a:extLst>
                  </pic:spPr>
                </pic:pic>
              </a:graphicData>
            </a:graphic>
          </wp:inline>
        </w:drawing>
      </w:r>
    </w:p>
    <w:p w14:paraId="2B80DA5E" w14:textId="33D64591" w:rsidR="00021004" w:rsidRPr="00021004" w:rsidRDefault="00021004" w:rsidP="00D93E1E">
      <w:pPr>
        <w:pStyle w:val="FigureDescription"/>
      </w:pPr>
      <w:r>
        <w:t>Abbreviations: CI = confidence intervals; EASI 75 = Eczema Area and Severity Index 75 response; ITT = intention to treat; NRI</w:t>
      </w:r>
      <w:r>
        <w:noBreakHyphen/>
        <w:t>C = Nonresponder Imputation incorporating Multiple Imputation (MI) to handle missing data due to COVID-19; QD = once daily; UPA = upadacitinib.</w:t>
      </w:r>
    </w:p>
    <w:p w14:paraId="1AF09CE6" w14:textId="52E49062" w:rsidR="00A85AAB" w:rsidRPr="00A85AAB" w:rsidRDefault="00A85AAB" w:rsidP="00A85AAB">
      <w:pPr>
        <w:pStyle w:val="FigureTitle"/>
      </w:pPr>
      <w:r>
        <w:t xml:space="preserve">Figure </w:t>
      </w:r>
      <w:fldSimple w:instr=" SEQ Figure \* ARABIC ">
        <w:r w:rsidR="00B51532">
          <w:rPr>
            <w:noProof/>
          </w:rPr>
          <w:t>40</w:t>
        </w:r>
      </w:fldSimple>
      <w:r>
        <w:t xml:space="preserve">: </w:t>
      </w:r>
      <w:r w:rsidR="00021004">
        <w:t xml:space="preserve">Integrated monotherapy Studies M16-045 and M18-891; </w:t>
      </w:r>
      <w:r w:rsidRPr="00A85AAB">
        <w:t xml:space="preserve">Subjects achieving </w:t>
      </w:r>
      <w:r>
        <w:t>EASI 100 through W</w:t>
      </w:r>
      <w:r w:rsidRPr="00A85AAB">
        <w:t>eek 52 (</w:t>
      </w:r>
      <w:r>
        <w:t xml:space="preserve">long-term upadacitinib population, </w:t>
      </w:r>
      <w:r w:rsidR="00021004">
        <w:t>observed case analysis</w:t>
      </w:r>
      <w:r>
        <w:t>)</w:t>
      </w:r>
    </w:p>
    <w:p w14:paraId="6C7C2152" w14:textId="18CDC774" w:rsidR="00462FB8" w:rsidRDefault="00462FB8" w:rsidP="007B4B80">
      <w:pPr>
        <w:rPr>
          <w:lang w:val="en-US"/>
        </w:rPr>
      </w:pPr>
      <w:r w:rsidRPr="007B4B80">
        <w:rPr>
          <w:noProof/>
          <w:lang w:val="en-GB" w:eastAsia="en-GB"/>
        </w:rPr>
        <w:drawing>
          <wp:inline distT="0" distB="0" distL="0" distR="0" wp14:anchorId="27C5615D" wp14:editId="02DD9E3A">
            <wp:extent cx="5612886" cy="3168503"/>
            <wp:effectExtent l="0" t="0" r="6985" b="0"/>
            <wp:docPr id="298" name="Picture 298" descr="Integrated monotherapy Studies M16-045 and M18-891; Subjects achieving EASI 100 through Week 52 (long-term upadacitinib population, observed cas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Integrated monotherapy Studies M16-045 and M18-891; Subjects achieving EASI 100 through Week 52 (long-term upadacitinib population, observed case analysi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46786" cy="3187640"/>
                    </a:xfrm>
                    <a:prstGeom prst="rect">
                      <a:avLst/>
                    </a:prstGeom>
                    <a:noFill/>
                    <a:ln>
                      <a:noFill/>
                    </a:ln>
                  </pic:spPr>
                </pic:pic>
              </a:graphicData>
            </a:graphic>
          </wp:inline>
        </w:drawing>
      </w:r>
    </w:p>
    <w:p w14:paraId="2969735A" w14:textId="2AB2F0EB" w:rsidR="00021004" w:rsidRPr="00021004" w:rsidRDefault="00021004" w:rsidP="00D93E1E">
      <w:pPr>
        <w:pStyle w:val="FigureDescription"/>
      </w:pPr>
      <w:r>
        <w:t>Abbreviations: CI = confidence intervals; EASI 100 = Eczema Area and Severity Index 100 response; ITT = intention to treat; NRI</w:t>
      </w:r>
      <w:r>
        <w:noBreakHyphen/>
        <w:t>C = Nonresponder Imputation incorporating Multiple Imputation (MI) to handle missing data due to COVID-19; QD = once daily; UPA = upadacitinib.</w:t>
      </w:r>
    </w:p>
    <w:p w14:paraId="753C73BF" w14:textId="269F401C" w:rsidR="00462FB8" w:rsidRPr="007B4B80" w:rsidRDefault="007B4B80" w:rsidP="007B4B80">
      <w:r>
        <w:t>S</w:t>
      </w:r>
      <w:r w:rsidR="00462FB8" w:rsidRPr="007B4B80">
        <w:t xml:space="preserve">imilar results were observed in the </w:t>
      </w:r>
      <w:r>
        <w:t>multiple imputation</w:t>
      </w:r>
      <w:r w:rsidR="00462FB8" w:rsidRPr="007B4B80">
        <w:t xml:space="preserve"> analysis of v</w:t>
      </w:r>
      <w:r>
        <w:t>IGA-AD 0/1, EASI 75 and EASI 100.</w:t>
      </w:r>
    </w:p>
    <w:p w14:paraId="64DF682B" w14:textId="70189DC4" w:rsidR="00462FB8" w:rsidRPr="007B4B80" w:rsidRDefault="007B4B80" w:rsidP="007B4B80">
      <w:r>
        <w:t>In the integrated summary of efficacy</w:t>
      </w:r>
      <w:r w:rsidR="00462FB8" w:rsidRPr="007B4B80">
        <w:t>, flares (defined by an increase in EASI by ≥ 6.6 from Baseline for subjects with EASI ≤ 65.4 at Baseline) were reported for ≤ 3 sub</w:t>
      </w:r>
      <w:r>
        <w:t xml:space="preserve">jects (1.1%) </w:t>
      </w:r>
      <w:r>
        <w:lastRenderedPageBreak/>
        <w:t>per visit in each u</w:t>
      </w:r>
      <w:r w:rsidR="00462FB8" w:rsidRPr="007B4B80">
        <w:t xml:space="preserve">padacitinib group (30 mg and 15 mg </w:t>
      </w:r>
      <w:r>
        <w:t>once daily</w:t>
      </w:r>
      <w:r w:rsidR="00462FB8" w:rsidRPr="007B4B80">
        <w:t>) after Week 16 and through Week 52 among subjects who were originally randomised</w:t>
      </w:r>
      <w:r>
        <w:t xml:space="preserve"> to upadacitinib and continued u</w:t>
      </w:r>
      <w:r w:rsidR="00462FB8" w:rsidRPr="007B4B80">
        <w:t>padacitinib. Loss of response after Week 16 (defined as loss of at least 50% of the Week 16 EASI response and a vIGA-AD score of 2 or higher, among those who achieved vIGA-AD 0/1 and EASI 75 at Week 16)</w:t>
      </w:r>
      <w:r>
        <w:t xml:space="preserve"> </w:t>
      </w:r>
      <w:r w:rsidR="00462FB8" w:rsidRPr="007B4B80">
        <w:t>was experienced by 12 subjects (2.2% on 30 mg and 2.8% on 15 mg) at any visit after Week 16 and through Week 52, among subjects who were originally randomised to</w:t>
      </w:r>
      <w:r w:rsidR="005D7175">
        <w:t xml:space="preserve"> upadacitinib</w:t>
      </w:r>
      <w:r>
        <w:t xml:space="preserve"> and continued on u</w:t>
      </w:r>
      <w:r w:rsidR="00462FB8" w:rsidRPr="007B4B80">
        <w:t>padacitinib</w:t>
      </w:r>
      <w:r>
        <w:t>.</w:t>
      </w:r>
    </w:p>
    <w:p w14:paraId="69AC1C73" w14:textId="289B6F56" w:rsidR="00462FB8" w:rsidRPr="007B4B80" w:rsidRDefault="007B4B80" w:rsidP="007B4B80">
      <w:r>
        <w:t>T</w:t>
      </w:r>
      <w:r w:rsidR="00462FB8" w:rsidRPr="007B4B80">
        <w:t xml:space="preserve">he proportions of subjects who achieved SCORAD 50/75/90 continued to be similar from the end of the </w:t>
      </w:r>
      <w:r>
        <w:t>double blind p</w:t>
      </w:r>
      <w:r w:rsidR="00462FB8" w:rsidRPr="007B4B80">
        <w:t>eriod to Week 52 with higher response rates observed in the 30</w:t>
      </w:r>
      <w:r>
        <w:t> </w:t>
      </w:r>
      <w:r w:rsidR="00462FB8" w:rsidRPr="007B4B80">
        <w:t>mg group compared to 15</w:t>
      </w:r>
      <w:r>
        <w:t xml:space="preserve"> </w:t>
      </w:r>
      <w:r w:rsidR="00462FB8" w:rsidRPr="007B4B80">
        <w:t>mg;</w:t>
      </w:r>
    </w:p>
    <w:p w14:paraId="76C9A04F" w14:textId="1D9BAD95" w:rsidR="00462FB8" w:rsidRDefault="007B4B80" w:rsidP="007B4B80">
      <w:r>
        <w:t>I</w:t>
      </w:r>
      <w:r w:rsidR="00462FB8" w:rsidRPr="007B4B80">
        <w:t xml:space="preserve">n the </w:t>
      </w:r>
      <w:r w:rsidR="0035051D">
        <w:t>observed case</w:t>
      </w:r>
      <w:r w:rsidR="00462FB8" w:rsidRPr="007B4B80">
        <w:t xml:space="preserve"> analysis, among subjects who were initially randomi</w:t>
      </w:r>
      <w:r>
        <w:t>sed to placebo and switched to u</w:t>
      </w:r>
      <w:r w:rsidR="00462FB8" w:rsidRPr="007B4B80">
        <w:t>padacitinib at Week 16, the proportion who had an improvement (reduction) in Worst Pruritus ≥ 4 by the next scheduled visit was similar to the response rates in those su</w:t>
      </w:r>
      <w:r>
        <w:t>bjects initially randomised to u</w:t>
      </w:r>
      <w:r w:rsidR="00462FB8" w:rsidRPr="007B4B80">
        <w:t>padacitinib. Among subjects who were initially randomised to</w:t>
      </w:r>
      <w:r w:rsidR="005D7175">
        <w:t xml:space="preserve"> upadacitinib</w:t>
      </w:r>
      <w:r>
        <w:t xml:space="preserve"> and continued on u</w:t>
      </w:r>
      <w:r w:rsidR="00462FB8" w:rsidRPr="007B4B80">
        <w:t xml:space="preserve">padacitinib, the proportion of subjects who achieved improvement (reduction) in Worst Pruritus NRS maintained similar response </w:t>
      </w:r>
      <w:r>
        <w:t>rates beyond Week 16, with the u</w:t>
      </w:r>
      <w:r w:rsidR="00462FB8" w:rsidRPr="007B4B80">
        <w:t>padacitinib 30 mg gro</w:t>
      </w:r>
      <w:r>
        <w:t>up achieving higher rates than u</w:t>
      </w:r>
      <w:r w:rsidR="00462FB8" w:rsidRPr="007B4B80">
        <w:t xml:space="preserve">padacitinib 15 mg through </w:t>
      </w:r>
      <w:r>
        <w:t>Week 52, (see following figure).</w:t>
      </w:r>
    </w:p>
    <w:p w14:paraId="6C586382" w14:textId="7030005F" w:rsidR="00F25FF0" w:rsidRPr="007B4B80" w:rsidRDefault="00F25FF0" w:rsidP="00F25FF0">
      <w:pPr>
        <w:pStyle w:val="FigureTitle"/>
      </w:pPr>
      <w:r>
        <w:t xml:space="preserve">Figure </w:t>
      </w:r>
      <w:fldSimple w:instr=" SEQ Figure \* ARABIC ">
        <w:r w:rsidR="00B51532">
          <w:rPr>
            <w:noProof/>
          </w:rPr>
          <w:t>41</w:t>
        </w:r>
      </w:fldSimple>
      <w:r>
        <w:t xml:space="preserve">: </w:t>
      </w:r>
      <w:r w:rsidR="0035051D">
        <w:t xml:space="preserve">Integrated monotherapy Studies M16-045 and M18-891; </w:t>
      </w:r>
      <w:r>
        <w:t xml:space="preserve">Subjects achieving Worst Pruritus NRS through Week 52 (long-term upadacitinib population, </w:t>
      </w:r>
      <w:r w:rsidR="0035051D">
        <w:t>observed case</w:t>
      </w:r>
      <w:r>
        <w:t xml:space="preserve"> analysis)</w:t>
      </w:r>
    </w:p>
    <w:p w14:paraId="3017FE19" w14:textId="602D9EE5" w:rsidR="00462FB8" w:rsidRDefault="00462FB8" w:rsidP="00F25FF0">
      <w:pPr>
        <w:rPr>
          <w:rFonts w:eastAsia="TimesNewRoman" w:cs="TimesNewRoman"/>
          <w:b/>
          <w:lang w:val="en-US"/>
        </w:rPr>
      </w:pPr>
      <w:r w:rsidRPr="00F25FF0">
        <w:rPr>
          <w:noProof/>
          <w:lang w:val="en-GB" w:eastAsia="en-GB"/>
        </w:rPr>
        <w:drawing>
          <wp:inline distT="0" distB="0" distL="0" distR="0" wp14:anchorId="3DD92A7B" wp14:editId="680B4C7C">
            <wp:extent cx="5461206" cy="2750289"/>
            <wp:effectExtent l="0" t="0" r="6350" b="0"/>
            <wp:docPr id="224" name="Picture 224" descr="Integrated monotherapy Studies M16-045 and M18-891; Subjects achieving Worst Pruritus NRS through Week 52 (long-term upadacitinib population, observed cas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Integrated monotherapy Studies M16-045 and M18-891; Subjects achieving Worst Pruritus NRS through Week 52 (long-term upadacitinib population, observed case analysis)"/>
                    <pic:cNvPicPr>
                      <a:picLocks noChangeAspect="1" noChangeArrowheads="1"/>
                    </pic:cNvPicPr>
                  </pic:nvPicPr>
                  <pic:blipFill rotWithShape="1">
                    <a:blip r:embed="rId92">
                      <a:extLst>
                        <a:ext uri="{28A0092B-C50C-407E-A947-70E740481C1C}">
                          <a14:useLocalDpi xmlns:a14="http://schemas.microsoft.com/office/drawing/2010/main" val="0"/>
                        </a:ext>
                      </a:extLst>
                    </a:blip>
                    <a:srcRect l="3324" r="1399"/>
                    <a:stretch/>
                  </pic:blipFill>
                  <pic:spPr bwMode="auto">
                    <a:xfrm>
                      <a:off x="0" y="0"/>
                      <a:ext cx="5509416" cy="2774568"/>
                    </a:xfrm>
                    <a:prstGeom prst="rect">
                      <a:avLst/>
                    </a:prstGeom>
                    <a:noFill/>
                    <a:ln>
                      <a:noFill/>
                    </a:ln>
                    <a:extLst>
                      <a:ext uri="{53640926-AAD7-44D8-BBD7-CCE9431645EC}">
                        <a14:shadowObscured xmlns:a14="http://schemas.microsoft.com/office/drawing/2010/main"/>
                      </a:ext>
                    </a:extLst>
                  </pic:spPr>
                </pic:pic>
              </a:graphicData>
            </a:graphic>
          </wp:inline>
        </w:drawing>
      </w:r>
    </w:p>
    <w:p w14:paraId="51358E55" w14:textId="02552E12" w:rsidR="0035051D" w:rsidRPr="0035051D" w:rsidRDefault="0035051D" w:rsidP="00D93E1E">
      <w:pPr>
        <w:pStyle w:val="FigureDescription"/>
      </w:pPr>
      <w:r>
        <w:t>Abbreviations: CI = confidence intervals; ITT = intention to treat; LOCF = last observation carried forward; NRI</w:t>
      </w:r>
      <w:r>
        <w:noBreakHyphen/>
        <w:t>C = Nonresponder Imputation incorporating Multiple Imputation (MI) to handle missing data due to COVID-19; NRS = numerical rating scale; QD = once daily; UPA = upadacitinib.</w:t>
      </w:r>
    </w:p>
    <w:p w14:paraId="7ED30377" w14:textId="288FB14C" w:rsidR="00462FB8" w:rsidRPr="00F25FF0" w:rsidRDefault="00F25FF0" w:rsidP="00F25FF0">
      <w:r>
        <w:t>S</w:t>
      </w:r>
      <w:r w:rsidR="00462FB8" w:rsidRPr="00F25FF0">
        <w:t>imilar improvements were observed until Week 52 for ADerm-</w:t>
      </w:r>
      <w:r w:rsidR="00CA216E">
        <w:t>SS</w:t>
      </w:r>
      <w:r w:rsidR="00CA216E" w:rsidRPr="00F25FF0">
        <w:t xml:space="preserve"> </w:t>
      </w:r>
      <w:r w:rsidR="00462FB8" w:rsidRPr="00F25FF0">
        <w:t xml:space="preserve">score and </w:t>
      </w:r>
      <w:r w:rsidR="00CA216E">
        <w:t>ADerm-IS</w:t>
      </w:r>
      <w:r w:rsidR="00CA216E" w:rsidRPr="00F25FF0">
        <w:t xml:space="preserve"> </w:t>
      </w:r>
      <w:r w:rsidR="00462FB8" w:rsidRPr="00F25FF0">
        <w:t>scores. Among subjects, who were initially randomis</w:t>
      </w:r>
      <w:r>
        <w:t>ed to placebo, and switched to u</w:t>
      </w:r>
      <w:r w:rsidR="00462FB8" w:rsidRPr="00F25FF0">
        <w:t xml:space="preserve">padacitinib (30 mg </w:t>
      </w:r>
      <w:r w:rsidR="00782F8C">
        <w:t>once daily</w:t>
      </w:r>
      <w:r w:rsidR="00462FB8" w:rsidRPr="00F25FF0">
        <w:t xml:space="preserve"> or 15 mg </w:t>
      </w:r>
      <w:r w:rsidR="00782F8C">
        <w:t>once daily</w:t>
      </w:r>
      <w:r w:rsidR="00462FB8" w:rsidRPr="00F25FF0">
        <w:t>) at Week 16, the proportion achieving HADS-A &lt; 8 and HADS-D &lt; 8 at their next evaluation (Week 32) exceeded 50% in both</w:t>
      </w:r>
      <w:r w:rsidR="005D7175">
        <w:t xml:space="preserve"> upadacitinib</w:t>
      </w:r>
      <w:r w:rsidR="00462FB8" w:rsidRPr="00F25FF0">
        <w:t xml:space="preserve"> treatment groups. However, very few subjects reached the Week 52 visit with a HADS evaluation to determine durability of response. Among subjects wh</w:t>
      </w:r>
      <w:r>
        <w:t>o were initially randomised to u</w:t>
      </w:r>
      <w:r w:rsidR="00462FB8" w:rsidRPr="00F25FF0">
        <w:t>padacitinib, beyond Week 16 and through Week 52, the proportion of subjects who achieved HADS-A &lt; 8</w:t>
      </w:r>
      <w:r>
        <w:t xml:space="preserve"> and HADS-D &lt; 8 were maintained.</w:t>
      </w:r>
    </w:p>
    <w:p w14:paraId="20F7268B" w14:textId="14D8594B" w:rsidR="00462FB8" w:rsidRPr="00F25FF0" w:rsidRDefault="00F25FF0" w:rsidP="00F25FF0">
      <w:r>
        <w:t>A</w:t>
      </w:r>
      <w:r w:rsidR="00462FB8" w:rsidRPr="00F25FF0">
        <w:t xml:space="preserve">mong subjects who were initially randomised to placebo and switched to upadacitinib (30 mg or 15 mg </w:t>
      </w:r>
      <w:r>
        <w:t>once daily</w:t>
      </w:r>
      <w:r w:rsidR="00462FB8" w:rsidRPr="00F25FF0">
        <w:t xml:space="preserve">) at Week 16, the proportions achieving an improvement </w:t>
      </w:r>
      <w:r w:rsidR="00462FB8" w:rsidRPr="00F25FF0">
        <w:lastRenderedPageBreak/>
        <w:t>(reduction) in DLQI ≥ 4 and DLQI score 0/1 at the next evaluation (8 weeks later) was similar to the response rates, in those subjects who were initially randomised to</w:t>
      </w:r>
      <w:r w:rsidR="005D7175">
        <w:t xml:space="preserve"> upadacitinib</w:t>
      </w:r>
      <w:r w:rsidR="00462FB8" w:rsidRPr="00F25FF0">
        <w:t>. Improvements were maintained through Week 52. Among subjects wh</w:t>
      </w:r>
      <w:r>
        <w:t>o were initially randomised to u</w:t>
      </w:r>
      <w:r w:rsidR="00462FB8" w:rsidRPr="00F25FF0">
        <w:t>padacitinib, beyond Week 16 and through Week 52, the proportions of subjects who achieved an improvement (reduction) in DLQI ≥ 4 and DLQI score 0/1 continued</w:t>
      </w:r>
      <w:r>
        <w:t xml:space="preserve"> to improve or were maintained.</w:t>
      </w:r>
    </w:p>
    <w:p w14:paraId="24CCB463" w14:textId="28EAF28D" w:rsidR="00462FB8" w:rsidRPr="00462CC8" w:rsidRDefault="0063769A" w:rsidP="00462CC8">
      <w:pPr>
        <w:pStyle w:val="Heading4"/>
        <w:rPr>
          <w:i/>
        </w:rPr>
      </w:pPr>
      <w:r>
        <w:rPr>
          <w:lang w:val="en-US"/>
        </w:rPr>
        <w:t>Conclusions on efficacy from the clinical evaluation</w:t>
      </w:r>
    </w:p>
    <w:p w14:paraId="60562894" w14:textId="3C35A2C6" w:rsidR="00462FB8" w:rsidRPr="00462CC8" w:rsidRDefault="00462FB8" w:rsidP="00462CC8">
      <w:r w:rsidRPr="00462CC8">
        <w:t>The main e</w:t>
      </w:r>
      <w:r w:rsidR="00462CC8">
        <w:t>vidence to support efficacy of u</w:t>
      </w:r>
      <w:r w:rsidRPr="00462CC8">
        <w:t>padacitinib (15</w:t>
      </w:r>
      <w:r w:rsidR="00462CC8">
        <w:t xml:space="preserve"> </w:t>
      </w:r>
      <w:r w:rsidRPr="00462CC8">
        <w:t>mg and 30</w:t>
      </w:r>
      <w:r w:rsidR="00462CC8">
        <w:t xml:space="preserve"> mg once daily</w:t>
      </w:r>
      <w:r w:rsidRPr="00462CC8">
        <w:t>) for treatment of adults and adolescents 12 years and older with moderate to severe atopic dermatitis, who are candidates for systemic therapy was provided by thre</w:t>
      </w:r>
      <w:r w:rsidR="00462CC8">
        <w:t>e well-conducted pivotal Phase III, multicent</w:t>
      </w:r>
      <w:r w:rsidRPr="00462CC8">
        <w:t>r</w:t>
      </w:r>
      <w:r w:rsidR="00462CC8">
        <w:t>e</w:t>
      </w:r>
      <w:r w:rsidRPr="00462CC8">
        <w:t>, randomised, double-blind, placebo-controlled studies involving 2240 adults and 344 adolescents</w:t>
      </w:r>
      <w:r w:rsidR="00462CC8">
        <w:t>.</w:t>
      </w:r>
    </w:p>
    <w:p w14:paraId="645F960C" w14:textId="2697CBEE" w:rsidR="00462FB8" w:rsidRPr="00462CC8" w:rsidRDefault="00462FB8" w:rsidP="00462CC8">
      <w:r w:rsidRPr="00462CC8">
        <w:t xml:space="preserve">Two of these </w:t>
      </w:r>
      <w:r w:rsidR="00462CC8">
        <w:t>studies evaluated the proposed u</w:t>
      </w:r>
      <w:r w:rsidRPr="00462CC8">
        <w:t xml:space="preserve">padacitinib 30 mg </w:t>
      </w:r>
      <w:r w:rsidR="00462CC8">
        <w:t xml:space="preserve">and </w:t>
      </w:r>
      <w:r w:rsidRPr="00462CC8">
        <w:t>15 mg doses as monotherapy (Studies M16-045 and M18-891) a</w:t>
      </w:r>
      <w:r w:rsidR="00462CC8">
        <w:t>nd one pivotal study (Study M16-047) evaluated u</w:t>
      </w:r>
      <w:r w:rsidRPr="00462CC8">
        <w:t xml:space="preserve">padacitinib 30 mg and 15 mg in combination with </w:t>
      </w:r>
      <w:r w:rsidR="00462CC8">
        <w:t>topical corticosteroids.</w:t>
      </w:r>
    </w:p>
    <w:p w14:paraId="30A01311" w14:textId="53F18CA6" w:rsidR="00462FB8" w:rsidRPr="00462CC8" w:rsidRDefault="00462FB8" w:rsidP="00462CC8">
      <w:pPr>
        <w:rPr>
          <w:lang w:val="en-US"/>
        </w:rPr>
      </w:pPr>
      <w:r w:rsidRPr="00761B41">
        <w:rPr>
          <w:lang w:val="en-US"/>
        </w:rPr>
        <w:t xml:space="preserve">The proposed extended release tablet formulation of </w:t>
      </w:r>
      <w:r w:rsidR="00462CC8">
        <w:rPr>
          <w:lang w:val="en-US"/>
        </w:rPr>
        <w:t>u</w:t>
      </w:r>
      <w:r w:rsidRPr="00761B41">
        <w:rPr>
          <w:lang w:val="en-US"/>
        </w:rPr>
        <w:t>padacitinib was evalua</w:t>
      </w:r>
      <w:r w:rsidR="00462CC8">
        <w:rPr>
          <w:lang w:val="en-US"/>
        </w:rPr>
        <w:t>ted in all three pivotal Phase III</w:t>
      </w:r>
      <w:r w:rsidRPr="00761B41">
        <w:rPr>
          <w:lang w:val="en-US"/>
        </w:rPr>
        <w:t xml:space="preserve"> studies. Selection of the proposed marketing</w:t>
      </w:r>
      <w:r w:rsidR="00462CC8">
        <w:rPr>
          <w:lang w:val="en-US"/>
        </w:rPr>
        <w:t xml:space="preserve"> dose (and doses used in Phase III</w:t>
      </w:r>
      <w:r w:rsidRPr="00761B41">
        <w:rPr>
          <w:lang w:val="en-US"/>
        </w:rPr>
        <w:t xml:space="preserve"> studies) was mainly based on</w:t>
      </w:r>
      <w:r w:rsidR="00462CC8">
        <w:rPr>
          <w:lang w:val="en-US"/>
        </w:rPr>
        <w:t xml:space="preserve"> results observed in the Phase IIb S</w:t>
      </w:r>
      <w:r w:rsidRPr="00761B41">
        <w:rPr>
          <w:lang w:val="en-US"/>
        </w:rPr>
        <w:t>tudy M16-048</w:t>
      </w:r>
      <w:r w:rsidR="00462CC8">
        <w:rPr>
          <w:lang w:val="en-US"/>
        </w:rPr>
        <w:t>. The Phase III S</w:t>
      </w:r>
      <w:r w:rsidRPr="00761B41">
        <w:rPr>
          <w:lang w:val="en-US"/>
        </w:rPr>
        <w:t>tudy M17-377 was primarily c</w:t>
      </w:r>
      <w:r w:rsidR="00462CC8">
        <w:rPr>
          <w:lang w:val="en-US"/>
        </w:rPr>
        <w:t>onducted to evaluate safety of u</w:t>
      </w:r>
      <w:r w:rsidRPr="00761B41">
        <w:rPr>
          <w:lang w:val="en-US"/>
        </w:rPr>
        <w:t>padacitinib (30</w:t>
      </w:r>
      <w:r w:rsidR="00462CC8">
        <w:rPr>
          <w:lang w:val="en-US"/>
        </w:rPr>
        <w:t xml:space="preserve"> </w:t>
      </w:r>
      <w:r w:rsidRPr="00761B41">
        <w:rPr>
          <w:lang w:val="en-US"/>
        </w:rPr>
        <w:t>mg and 15</w:t>
      </w:r>
      <w:r w:rsidR="00462CC8">
        <w:rPr>
          <w:lang w:val="en-US"/>
        </w:rPr>
        <w:t xml:space="preserve"> </w:t>
      </w:r>
      <w:r w:rsidRPr="00761B41">
        <w:rPr>
          <w:lang w:val="en-US"/>
        </w:rPr>
        <w:t xml:space="preserve">mg </w:t>
      </w:r>
      <w:r w:rsidR="00462CC8">
        <w:rPr>
          <w:lang w:val="en-US"/>
        </w:rPr>
        <w:t>once daily</w:t>
      </w:r>
      <w:r w:rsidRPr="00761B41">
        <w:rPr>
          <w:lang w:val="en-US"/>
        </w:rPr>
        <w:t>) in Japanese patients. It provided supportive evidence of efficacy, which was evalua</w:t>
      </w:r>
      <w:r w:rsidR="00462CC8">
        <w:rPr>
          <w:lang w:val="en-US"/>
        </w:rPr>
        <w:t>ted using exploratory endpoints.</w:t>
      </w:r>
    </w:p>
    <w:p w14:paraId="080842FA" w14:textId="1490AAD4" w:rsidR="00462FB8" w:rsidRPr="005D05A6" w:rsidRDefault="00462FB8" w:rsidP="00462CC8">
      <w:pPr>
        <w:rPr>
          <w:lang w:val="en-US"/>
        </w:rPr>
      </w:pPr>
      <w:r w:rsidRPr="00761B41">
        <w:rPr>
          <w:lang w:val="en-US"/>
        </w:rPr>
        <w:t>Patients enrol</w:t>
      </w:r>
      <w:r w:rsidR="00462CC8">
        <w:rPr>
          <w:lang w:val="en-US"/>
        </w:rPr>
        <w:t>led in the three pivotal Phase III</w:t>
      </w:r>
      <w:r w:rsidRPr="00761B41">
        <w:rPr>
          <w:lang w:val="en-US"/>
        </w:rPr>
        <w:t xml:space="preserve"> studies were representative of the</w:t>
      </w:r>
      <w:r w:rsidR="00462CC8">
        <w:rPr>
          <w:lang w:val="en-US"/>
        </w:rPr>
        <w:t xml:space="preserve"> target patient population for u</w:t>
      </w:r>
      <w:r w:rsidRPr="00761B41">
        <w:rPr>
          <w:lang w:val="en-US"/>
        </w:rPr>
        <w:t xml:space="preserve">padacitinib and had active disease </w:t>
      </w:r>
      <w:r w:rsidRPr="00462CC8">
        <w:t>characterised</w:t>
      </w:r>
      <w:r w:rsidRPr="00761B41">
        <w:rPr>
          <w:lang w:val="en-US"/>
        </w:rPr>
        <w:t xml:space="preserve"> by a vIGA-AD score of 3 or 4 (moderate or severe) and mean EASI and Worst Pruritus NRS consistent with moderate to severe </w:t>
      </w:r>
      <w:r w:rsidR="00462CC8">
        <w:rPr>
          <w:lang w:val="en-US"/>
        </w:rPr>
        <w:t>atopic dermatitis</w:t>
      </w:r>
      <w:r w:rsidRPr="00761B41">
        <w:rPr>
          <w:lang w:val="en-US"/>
        </w:rPr>
        <w:t xml:space="preserve">. Adequate number of adolescents were evaluated with 344 adolescents included in the three pivotal studies. </w:t>
      </w:r>
      <w:r w:rsidR="00462CC8">
        <w:rPr>
          <w:lang w:val="en-US"/>
        </w:rPr>
        <w:t>However, adolescents (12 to 17 years) weighing under</w:t>
      </w:r>
      <w:r w:rsidRPr="005D05A6">
        <w:rPr>
          <w:lang w:val="en-US"/>
        </w:rPr>
        <w:t xml:space="preserve"> 40</w:t>
      </w:r>
      <w:r w:rsidR="00462CC8">
        <w:rPr>
          <w:lang w:val="en-US"/>
        </w:rPr>
        <w:t xml:space="preserve"> </w:t>
      </w:r>
      <w:r w:rsidRPr="005D05A6">
        <w:rPr>
          <w:lang w:val="en-US"/>
        </w:rPr>
        <w:t xml:space="preserve">kg were excluded from the studies </w:t>
      </w:r>
      <w:r w:rsidR="00462CC8">
        <w:rPr>
          <w:lang w:val="en-US"/>
        </w:rPr>
        <w:t>as were subjects aged over 75 years.</w:t>
      </w:r>
    </w:p>
    <w:p w14:paraId="6ADBE181" w14:textId="58E8115C" w:rsidR="00462FB8" w:rsidRPr="00766A38" w:rsidRDefault="00462FB8" w:rsidP="00766A38">
      <w:r w:rsidRPr="00766A38">
        <w:t>The efficacy endpoints used in the clinical studies are acceptable, validated and have been used for evaluation and approval of other s</w:t>
      </w:r>
      <w:r w:rsidR="00766A38">
        <w:t>ystemic immunomodulatory drug (dupilumab) for treatment of atopic dermatitis</w:t>
      </w:r>
      <w:r w:rsidR="0035051D">
        <w:t xml:space="preserve">; (see Section: </w:t>
      </w:r>
      <w:r w:rsidR="0035051D" w:rsidRPr="0035051D">
        <w:rPr>
          <w:i/>
        </w:rPr>
        <w:fldChar w:fldCharType="begin"/>
      </w:r>
      <w:r w:rsidR="0035051D" w:rsidRPr="0035051D">
        <w:rPr>
          <w:i/>
        </w:rPr>
        <w:instrText xml:space="preserve"> REF _Ref125651610 \h </w:instrText>
      </w:r>
      <w:r w:rsidR="0035051D">
        <w:rPr>
          <w:i/>
        </w:rPr>
        <w:instrText xml:space="preserve"> \* MERGEFORMAT </w:instrText>
      </w:r>
      <w:r w:rsidR="0035051D" w:rsidRPr="0035051D">
        <w:rPr>
          <w:i/>
        </w:rPr>
      </w:r>
      <w:r w:rsidR="0035051D" w:rsidRPr="0035051D">
        <w:rPr>
          <w:i/>
        </w:rPr>
        <w:fldChar w:fldCharType="separate"/>
      </w:r>
      <w:r w:rsidR="00B51532" w:rsidRPr="00B51532">
        <w:rPr>
          <w:i/>
        </w:rPr>
        <w:t>Scoring systems used in the clinical studies</w:t>
      </w:r>
      <w:r w:rsidR="0035051D" w:rsidRPr="0035051D">
        <w:rPr>
          <w:i/>
        </w:rPr>
        <w:fldChar w:fldCharType="end"/>
      </w:r>
      <w:r w:rsidR="0035051D">
        <w:t xml:space="preserve"> for further information)</w:t>
      </w:r>
      <w:r w:rsidR="00766A38">
        <w:t>:</w:t>
      </w:r>
    </w:p>
    <w:p w14:paraId="10670F85" w14:textId="0A0BA8A4" w:rsidR="00462FB8" w:rsidRPr="00761B41" w:rsidRDefault="0035051D" w:rsidP="00766A38">
      <w:pPr>
        <w:pStyle w:val="ListBullet"/>
      </w:pPr>
      <w:r>
        <w:t>Investigator’s Global Assessment (</w:t>
      </w:r>
      <w:r w:rsidR="00462FB8" w:rsidRPr="00761B41">
        <w:t>IGA</w:t>
      </w:r>
      <w:r>
        <w:t>)</w:t>
      </w:r>
      <w:r w:rsidR="00462FB8" w:rsidRPr="00761B41">
        <w:t xml:space="preserve"> reflects </w:t>
      </w:r>
      <w:r w:rsidR="00433A0D">
        <w:t xml:space="preserve">the </w:t>
      </w:r>
      <w:r w:rsidR="00462FB8" w:rsidRPr="00761B41">
        <w:t>physician’s overall assessment</w:t>
      </w:r>
      <w:r w:rsidR="00433A0D">
        <w:t xml:space="preserve">. The Validated Investigator Global Assessment scale for Atopic Dermatitis (vIGA-AD) gives a </w:t>
      </w:r>
      <w:r w:rsidR="00462FB8" w:rsidRPr="00761B41">
        <w:t>whole b</w:t>
      </w:r>
      <w:r w:rsidR="00433A0D">
        <w:t>ody average</w:t>
      </w:r>
      <w:r w:rsidR="00766A38">
        <w:t xml:space="preserve"> of </w:t>
      </w:r>
      <w:r>
        <w:t>atopic dermatitis</w:t>
      </w:r>
      <w:r w:rsidR="00766A38">
        <w:t xml:space="preserve"> skin lesions.</w:t>
      </w:r>
    </w:p>
    <w:p w14:paraId="5CCB2C51" w14:textId="681E0113" w:rsidR="00462FB8" w:rsidRPr="00761B41" w:rsidRDefault="0035051D" w:rsidP="00766A38">
      <w:pPr>
        <w:pStyle w:val="ListBullet"/>
      </w:pPr>
      <w:r>
        <w:t>Eczema Area and Severity Index (</w:t>
      </w:r>
      <w:r w:rsidR="00462FB8" w:rsidRPr="00761B41">
        <w:t>EASI</w:t>
      </w:r>
      <w:r>
        <w:t>)</w:t>
      </w:r>
      <w:r w:rsidR="00462FB8" w:rsidRPr="00761B41">
        <w:t xml:space="preserve"> is a </w:t>
      </w:r>
      <w:r w:rsidR="00766A38">
        <w:t xml:space="preserve">composite score (ranging from 0 to </w:t>
      </w:r>
      <w:r w:rsidR="00462FB8" w:rsidRPr="00761B41">
        <w:t xml:space="preserve">72) based on the extent and severity of the </w:t>
      </w:r>
      <w:r>
        <w:t>atopic dermatitis</w:t>
      </w:r>
      <w:r w:rsidR="00462FB8" w:rsidRPr="00761B41">
        <w:t xml:space="preserve"> lesions assessed systematically for erythema, induration/papulation/</w:t>
      </w:r>
      <w:r w:rsidR="00766A38">
        <w:t>o</w:t>
      </w:r>
      <w:r w:rsidR="00462FB8" w:rsidRPr="00761B41">
        <w:t>edema, excoriation, and lichenifica</w:t>
      </w:r>
      <w:r w:rsidR="00766A38">
        <w:t>tion for each anatomical region.</w:t>
      </w:r>
    </w:p>
    <w:p w14:paraId="797018CE" w14:textId="0441761F" w:rsidR="00462FB8" w:rsidRPr="00761B41" w:rsidRDefault="00462FB8" w:rsidP="00766A38">
      <w:pPr>
        <w:pStyle w:val="ListBullet"/>
      </w:pPr>
      <w:r w:rsidRPr="00761B41">
        <w:t xml:space="preserve">The pruritus </w:t>
      </w:r>
      <w:r w:rsidR="0035051D">
        <w:t>numerical rating scale (</w:t>
      </w:r>
      <w:r w:rsidRPr="00761B41">
        <w:t>NRS</w:t>
      </w:r>
      <w:r w:rsidR="0035051D">
        <w:t>)</w:t>
      </w:r>
      <w:r w:rsidRPr="00761B41">
        <w:t xml:space="preserve"> is a patient-reported measure which assesses maximum itch intensity in the previous 24-ho</w:t>
      </w:r>
      <w:r w:rsidR="0035051D">
        <w:t>urs using a 0-10-point scale (0 </w:t>
      </w:r>
      <w:r w:rsidRPr="00761B41">
        <w:t>= no itc</w:t>
      </w:r>
      <w:r w:rsidR="00766A38">
        <w:t>h; 10 = worst itch imaginable).</w:t>
      </w:r>
    </w:p>
    <w:p w14:paraId="5C74A0ED" w14:textId="690CF29F" w:rsidR="00462FB8" w:rsidRPr="00761B41" w:rsidRDefault="0035051D" w:rsidP="0035051D">
      <w:pPr>
        <w:pStyle w:val="ListBullet"/>
      </w:pPr>
      <w:r>
        <w:t xml:space="preserve">The </w:t>
      </w:r>
      <w:r w:rsidR="00462FB8" w:rsidRPr="00761B41">
        <w:t>SCORAD</w:t>
      </w:r>
      <w:r>
        <w:t xml:space="preserve"> index (</w:t>
      </w:r>
      <w:r w:rsidRPr="0035051D">
        <w:t>Severity scoring of atopic dermatitis</w:t>
      </w:r>
      <w:r>
        <w:t>)</w:t>
      </w:r>
      <w:r w:rsidR="00462FB8" w:rsidRPr="00761B41">
        <w:t xml:space="preserve"> is used to assess extent and severity of </w:t>
      </w:r>
      <w:r w:rsidR="00766A38">
        <w:t>atopic dermatitis</w:t>
      </w:r>
      <w:r w:rsidR="00462FB8" w:rsidRPr="00761B41">
        <w:t xml:space="preserve"> signs and includes two visual analogue scale</w:t>
      </w:r>
      <w:r w:rsidR="00766A38">
        <w:t>s for symptoms (itch and sleep).</w:t>
      </w:r>
    </w:p>
    <w:p w14:paraId="014E9B50" w14:textId="526449EC" w:rsidR="00462FB8" w:rsidRPr="00761B41" w:rsidRDefault="00462FB8" w:rsidP="0035051D">
      <w:pPr>
        <w:pStyle w:val="ListBullet"/>
      </w:pPr>
      <w:r w:rsidRPr="00761B41">
        <w:t xml:space="preserve">The </w:t>
      </w:r>
      <w:r w:rsidR="0035051D" w:rsidRPr="0035051D">
        <w:t>Patient Oriented Eczema Measure</w:t>
      </w:r>
      <w:r w:rsidR="0035051D">
        <w:t xml:space="preserve"> (</w:t>
      </w:r>
      <w:r w:rsidRPr="00761B41">
        <w:t>POEM</w:t>
      </w:r>
      <w:r w:rsidR="0035051D">
        <w:t>)</w:t>
      </w:r>
      <w:r w:rsidRPr="00761B41">
        <w:t xml:space="preserve"> evaluates frequency of </w:t>
      </w:r>
      <w:r w:rsidR="00766A38">
        <w:t>topic dermatitis</w:t>
      </w:r>
      <w:r w:rsidRPr="00761B41">
        <w:t xml:space="preserve"> symptoms (including itch) and the impact of </w:t>
      </w:r>
      <w:r w:rsidR="00766A38">
        <w:t>atopic dermatitis on sleep (score ranging from 0 to 28).</w:t>
      </w:r>
    </w:p>
    <w:p w14:paraId="3FA8FF2A" w14:textId="2845AE96" w:rsidR="00462FB8" w:rsidRPr="00761B41" w:rsidRDefault="00462FB8" w:rsidP="0035051D">
      <w:pPr>
        <w:pStyle w:val="ListBullet"/>
      </w:pPr>
      <w:r w:rsidRPr="00761B41">
        <w:lastRenderedPageBreak/>
        <w:t xml:space="preserve">The </w:t>
      </w:r>
      <w:r w:rsidR="0035051D" w:rsidRPr="0035051D">
        <w:t>Dermatology Life Quality Index</w:t>
      </w:r>
      <w:r w:rsidR="0035051D">
        <w:t xml:space="preserve"> (</w:t>
      </w:r>
      <w:r w:rsidRPr="00761B41">
        <w:t>DLQI</w:t>
      </w:r>
      <w:r w:rsidR="0035051D">
        <w:t>)</w:t>
      </w:r>
      <w:r w:rsidRPr="00761B41">
        <w:t xml:space="preserve"> evaluates the health-related quality of life in dermatological</w:t>
      </w:r>
      <w:r w:rsidR="00766A38">
        <w:t xml:space="preserve"> patients (score ranging from 0 to 30).</w:t>
      </w:r>
    </w:p>
    <w:p w14:paraId="5151C374" w14:textId="24BA1F33" w:rsidR="00462FB8" w:rsidRPr="00761B41" w:rsidRDefault="00462FB8" w:rsidP="00433A0D">
      <w:pPr>
        <w:pStyle w:val="ListBullet"/>
      </w:pPr>
      <w:r w:rsidRPr="00761B41">
        <w:t xml:space="preserve">The </w:t>
      </w:r>
      <w:r w:rsidR="00433A0D" w:rsidRPr="00433A0D">
        <w:t>Hospital Anxiety and Depression Scale (HADS)</w:t>
      </w:r>
      <w:r w:rsidRPr="00761B41">
        <w:t xml:space="preserve"> measures anxiety and depression sympt</w:t>
      </w:r>
      <w:r w:rsidR="0035051D">
        <w:t>oms (total score ranging from 0 to </w:t>
      </w:r>
      <w:r w:rsidR="00766A38">
        <w:t>42).</w:t>
      </w:r>
    </w:p>
    <w:p w14:paraId="4D834FCA" w14:textId="0EB021F7" w:rsidR="0035051D" w:rsidRDefault="00462FB8" w:rsidP="00433A0D">
      <w:pPr>
        <w:pStyle w:val="ListBullet"/>
      </w:pPr>
      <w:r w:rsidRPr="00761B41">
        <w:t xml:space="preserve">The </w:t>
      </w:r>
      <w:r w:rsidR="00433A0D" w:rsidRPr="00433A0D">
        <w:t>Atopic Dermatitis Symptom Scale</w:t>
      </w:r>
      <w:r w:rsidR="00433A0D">
        <w:t xml:space="preserve"> (ADerm-ss) symptom scale </w:t>
      </w:r>
      <w:r w:rsidRPr="00761B41">
        <w:t xml:space="preserve">and </w:t>
      </w:r>
      <w:r w:rsidR="00433A0D">
        <w:t>Impact Scale (</w:t>
      </w:r>
      <w:r w:rsidRPr="00761B41">
        <w:t>Aderm-IS</w:t>
      </w:r>
      <w:r w:rsidR="00433A0D">
        <w:t>)</w:t>
      </w:r>
      <w:r w:rsidRPr="00761B41">
        <w:t xml:space="preserve"> were develop</w:t>
      </w:r>
      <w:r w:rsidR="00433A0D">
        <w:t>ed and validated by the sponsor</w:t>
      </w:r>
      <w:r w:rsidRPr="00761B41">
        <w:t xml:space="preserve"> and are n</w:t>
      </w:r>
      <w:r w:rsidR="0035051D">
        <w:t>ot globally accepted endpoints.</w:t>
      </w:r>
    </w:p>
    <w:p w14:paraId="48C40C3C" w14:textId="3152C16D" w:rsidR="00462FB8" w:rsidRPr="0035051D" w:rsidRDefault="00462FB8" w:rsidP="0035051D">
      <w:pPr>
        <w:pStyle w:val="ListBullet"/>
        <w:numPr>
          <w:ilvl w:val="0"/>
          <w:numId w:val="0"/>
        </w:numPr>
        <w:ind w:left="360"/>
        <w:rPr>
          <w:vertAlign w:val="superscript"/>
        </w:rPr>
      </w:pPr>
      <w:r w:rsidRPr="00761B41">
        <w:t>However, results observed for these sponsor-developed endpoints were consistent with more widely accepted endpoints such as SCORAD, POEM, DLQI and the pruritus/i</w:t>
      </w:r>
      <w:r w:rsidR="0035051D">
        <w:t>tch numeric rating scale (NRS)</w:t>
      </w:r>
      <w:r w:rsidR="00766A38">
        <w:t>.</w:t>
      </w:r>
      <w:r w:rsidR="00766A38">
        <w:rPr>
          <w:rStyle w:val="FootnoteReference"/>
        </w:rPr>
        <w:footnoteReference w:id="64"/>
      </w:r>
      <w:r w:rsidR="0035051D">
        <w:rPr>
          <w:vertAlign w:val="superscript"/>
        </w:rPr>
        <w:t>,</w:t>
      </w:r>
      <w:r w:rsidR="0035051D">
        <w:rPr>
          <w:rStyle w:val="FootnoteReference"/>
        </w:rPr>
        <w:footnoteReference w:id="65"/>
      </w:r>
    </w:p>
    <w:p w14:paraId="2416447F" w14:textId="77777777" w:rsidR="00462FB8" w:rsidRPr="00761B41" w:rsidRDefault="00462FB8" w:rsidP="00766A38">
      <w:pPr>
        <w:rPr>
          <w:lang w:val="en-US"/>
        </w:rPr>
      </w:pPr>
      <w:r w:rsidRPr="00761B41">
        <w:rPr>
          <w:lang w:val="en-US"/>
        </w:rPr>
        <w:t>Statistical methods used for analysis of efficacy endpoints were acceptable. Handling of missing data was clearly stated and sensitivity analyses were performed to assess the impact of missing data and the robustness of the conclusion;</w:t>
      </w:r>
    </w:p>
    <w:p w14:paraId="7C5F1367" w14:textId="0142ADD2" w:rsidR="00462FB8" w:rsidRDefault="00462FB8" w:rsidP="00462FB8">
      <w:pPr>
        <w:rPr>
          <w:lang w:val="en-US"/>
        </w:rPr>
      </w:pPr>
      <w:r w:rsidRPr="00761B41">
        <w:rPr>
          <w:lang w:val="en-US"/>
        </w:rPr>
        <w:t>Robust evidence was provided showing statistically and clinically</w:t>
      </w:r>
      <w:r w:rsidR="00766A38">
        <w:rPr>
          <w:lang w:val="en-US"/>
        </w:rPr>
        <w:t xml:space="preserve"> significant improvements with upadacitinib 30 mg and u</w:t>
      </w:r>
      <w:r w:rsidRPr="00761B41">
        <w:rPr>
          <w:lang w:val="en-US"/>
        </w:rPr>
        <w:t>padacitinib 15 mg as monotherapy compared to placebo in the co-primary endpoints of vIGA-AD 0/1 and EASI 75 at Week 16 in 1783 patients (including 228 adolescents) with moderate to severe AD. In addition, each of multiplicity-controlled secondary endpoin</w:t>
      </w:r>
      <w:r w:rsidR="00D83E26">
        <w:rPr>
          <w:lang w:val="en-US"/>
        </w:rPr>
        <w:t>ts demonstrated superiority of u</w:t>
      </w:r>
      <w:r w:rsidRPr="00761B41">
        <w:rPr>
          <w:lang w:val="en-US"/>
        </w:rPr>
        <w:t xml:space="preserve">padacitinib 30 mg and 15 mg </w:t>
      </w:r>
      <w:r w:rsidR="00D83E26">
        <w:rPr>
          <w:lang w:val="en-US"/>
        </w:rPr>
        <w:t>versus</w:t>
      </w:r>
      <w:r w:rsidRPr="00761B41">
        <w:rPr>
          <w:lang w:val="en-US"/>
        </w:rPr>
        <w:t xml:space="preserve"> placebo with clinically relevant improvements</w:t>
      </w:r>
      <w:r w:rsidR="00D83E26">
        <w:rPr>
          <w:lang w:val="en-US"/>
        </w:rPr>
        <w:t xml:space="preserve"> (see </w:t>
      </w:r>
      <w:r w:rsidR="00D83E26">
        <w:rPr>
          <w:lang w:val="en-US"/>
        </w:rPr>
        <w:fldChar w:fldCharType="begin"/>
      </w:r>
      <w:r w:rsidR="00D83E26">
        <w:rPr>
          <w:lang w:val="en-US"/>
        </w:rPr>
        <w:instrText xml:space="preserve"> REF _Ref120809655 \h </w:instrText>
      </w:r>
      <w:r w:rsidR="00D83E26">
        <w:rPr>
          <w:lang w:val="en-US"/>
        </w:rPr>
      </w:r>
      <w:r w:rsidR="00D83E26">
        <w:rPr>
          <w:lang w:val="en-US"/>
        </w:rPr>
        <w:fldChar w:fldCharType="separate"/>
      </w:r>
      <w:r w:rsidR="00B51532">
        <w:t xml:space="preserve">Figure </w:t>
      </w:r>
      <w:r w:rsidR="00B51532">
        <w:rPr>
          <w:noProof/>
        </w:rPr>
        <w:t>42</w:t>
      </w:r>
      <w:r w:rsidR="00D83E26">
        <w:rPr>
          <w:lang w:val="en-US"/>
        </w:rPr>
        <w:fldChar w:fldCharType="end"/>
      </w:r>
      <w:r w:rsidRPr="00761B41">
        <w:rPr>
          <w:lang w:val="en-US"/>
        </w:rPr>
        <w:t xml:space="preserve">) in itch, </w:t>
      </w:r>
      <w:r w:rsidR="00D83E26">
        <w:rPr>
          <w:lang w:val="en-US"/>
        </w:rPr>
        <w:t>atopic dermatitis</w:t>
      </w:r>
      <w:r w:rsidRPr="00761B41">
        <w:rPr>
          <w:lang w:val="en-US"/>
        </w:rPr>
        <w:t xml:space="preserve"> symptoms, impact on all aspects of life (sleep, </w:t>
      </w:r>
      <w:r w:rsidR="00D83E26">
        <w:rPr>
          <w:lang w:val="en-US"/>
        </w:rPr>
        <w:t>atopic dermatitis</w:t>
      </w:r>
      <w:r w:rsidRPr="00761B41">
        <w:rPr>
          <w:lang w:val="en-US"/>
        </w:rPr>
        <w:t xml:space="preserve"> symptoms, </w:t>
      </w:r>
      <w:r w:rsidR="00D83E26">
        <w:rPr>
          <w:lang w:val="en-US"/>
        </w:rPr>
        <w:t>quality of life</w:t>
      </w:r>
      <w:r w:rsidRPr="00761B41">
        <w:rPr>
          <w:lang w:val="en-US"/>
        </w:rPr>
        <w:t xml:space="preserve">, HADS, DLQI, patient perceptions of treatment,). </w:t>
      </w:r>
      <w:r w:rsidRPr="002400AC">
        <w:rPr>
          <w:lang w:val="en-US"/>
        </w:rPr>
        <w:t xml:space="preserve">Numerically better </w:t>
      </w:r>
      <w:r w:rsidR="00D83E26">
        <w:rPr>
          <w:lang w:val="en-US"/>
        </w:rPr>
        <w:t>outcomes were observed for the u</w:t>
      </w:r>
      <w:r w:rsidRPr="002400AC">
        <w:rPr>
          <w:lang w:val="en-US"/>
        </w:rPr>
        <w:t>padacitinib 30 mg group than the</w:t>
      </w:r>
      <w:r w:rsidR="005D7175">
        <w:rPr>
          <w:lang w:val="en-US"/>
        </w:rPr>
        <w:t xml:space="preserve"> upadacitinib</w:t>
      </w:r>
      <w:r w:rsidRPr="002400AC">
        <w:rPr>
          <w:lang w:val="en-US"/>
        </w:rPr>
        <w:t xml:space="preserve"> 15 mg group across the co-primary and key secondary endpoints.</w:t>
      </w:r>
    </w:p>
    <w:p w14:paraId="212B7AF5" w14:textId="42854070" w:rsidR="0063769A" w:rsidRPr="00D83E26" w:rsidRDefault="0063769A" w:rsidP="00462FB8">
      <w:pPr>
        <w:rPr>
          <w:lang w:val="en-US"/>
        </w:rPr>
      </w:pPr>
      <w:r>
        <w:rPr>
          <w:lang w:val="en-US"/>
        </w:rPr>
        <w:fldChar w:fldCharType="begin"/>
      </w:r>
      <w:r>
        <w:rPr>
          <w:lang w:val="en-US"/>
        </w:rPr>
        <w:instrText xml:space="preserve"> REF _Ref125545162 \h </w:instrText>
      </w:r>
      <w:r>
        <w:rPr>
          <w:lang w:val="en-US"/>
        </w:rPr>
      </w:r>
      <w:r>
        <w:rPr>
          <w:lang w:val="en-US"/>
        </w:rPr>
        <w:fldChar w:fldCharType="separate"/>
      </w:r>
      <w:r w:rsidR="00B51532">
        <w:t xml:space="preserve">Figure </w:t>
      </w:r>
      <w:r w:rsidR="00B51532">
        <w:rPr>
          <w:noProof/>
        </w:rPr>
        <w:t>43</w:t>
      </w:r>
      <w:r>
        <w:rPr>
          <w:lang w:val="en-US"/>
        </w:rPr>
        <w:fldChar w:fldCharType="end"/>
      </w:r>
      <w:r>
        <w:rPr>
          <w:lang w:val="en-US"/>
        </w:rPr>
        <w:t>, shown below, summarises the co-primary and key secondary endpoints from the Phase III monotherapy studies (Studies M18-891 and M16-045) for this submission.</w:t>
      </w:r>
    </w:p>
    <w:p w14:paraId="03584215" w14:textId="0B43F530" w:rsidR="00766A38" w:rsidRPr="00D83E26" w:rsidRDefault="00766A38" w:rsidP="00D83E26">
      <w:pPr>
        <w:pStyle w:val="FigureTitle"/>
      </w:pPr>
      <w:bookmarkStart w:id="142" w:name="_Ref120809655"/>
      <w:r>
        <w:lastRenderedPageBreak/>
        <w:t xml:space="preserve">Figure </w:t>
      </w:r>
      <w:fldSimple w:instr=" SEQ Figure \* ARABIC ">
        <w:r w:rsidR="00B51532">
          <w:rPr>
            <w:noProof/>
          </w:rPr>
          <w:t>42</w:t>
        </w:r>
      </w:fldSimple>
      <w:bookmarkEnd w:id="142"/>
      <w:r>
        <w:t xml:space="preserve">: </w:t>
      </w:r>
      <w:r w:rsidR="00433A0D">
        <w:t>Integrated monotherapy Studies M16-045 and M18-891; e</w:t>
      </w:r>
      <w:r w:rsidR="00D83E26">
        <w:t>fficacy of u</w:t>
      </w:r>
      <w:r w:rsidRPr="00761B41">
        <w:t>padacitinib 30</w:t>
      </w:r>
      <w:r w:rsidR="00D83E26">
        <w:t xml:space="preserve"> </w:t>
      </w:r>
      <w:r w:rsidRPr="00761B41">
        <w:t>mg and 15</w:t>
      </w:r>
      <w:r w:rsidR="00D83E26">
        <w:t xml:space="preserve"> </w:t>
      </w:r>
      <w:r w:rsidRPr="00761B41">
        <w:t xml:space="preserve">mg across </w:t>
      </w:r>
      <w:r w:rsidR="00D83E26">
        <w:t>atopic dermatitis (NRI</w:t>
      </w:r>
      <w:r w:rsidR="00D83E26">
        <w:noBreakHyphen/>
        <w:t>C)</w:t>
      </w:r>
    </w:p>
    <w:p w14:paraId="318044DB" w14:textId="40F106EC" w:rsidR="00462FB8" w:rsidRDefault="00462FB8" w:rsidP="00D83E26">
      <w:r w:rsidRPr="00D83E26">
        <w:rPr>
          <w:noProof/>
          <w:lang w:val="en-GB" w:eastAsia="en-GB"/>
        </w:rPr>
        <w:drawing>
          <wp:inline distT="0" distB="0" distL="0" distR="0" wp14:anchorId="52CEF291" wp14:editId="159ED421">
            <wp:extent cx="5393150" cy="3077154"/>
            <wp:effectExtent l="0" t="0" r="0" b="9525"/>
            <wp:docPr id="382" name="Picture 382" descr="Integrated monotherapy Studies M16-045 and M18-891; efficacy of upadacitinib 30 mg and 15 mg across atopic dermatitis (NRI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Integrated monotherapy Studies M16-045 and M18-891; efficacy of upadacitinib 30 mg and 15 mg across atopic dermatitis (NRI C)"/>
                    <pic:cNvPicPr>
                      <a:picLocks noChangeAspect="1" noChangeArrowheads="1"/>
                    </pic:cNvPicPr>
                  </pic:nvPicPr>
                  <pic:blipFill rotWithShape="1">
                    <a:blip r:embed="rId93">
                      <a:extLst>
                        <a:ext uri="{28A0092B-C50C-407E-A947-70E740481C1C}">
                          <a14:useLocalDpi xmlns:a14="http://schemas.microsoft.com/office/drawing/2010/main" val="0"/>
                        </a:ext>
                      </a:extLst>
                    </a:blip>
                    <a:srcRect l="3735" r="2423" b="6811"/>
                    <a:stretch/>
                  </pic:blipFill>
                  <pic:spPr bwMode="auto">
                    <a:xfrm>
                      <a:off x="0" y="0"/>
                      <a:ext cx="5442556" cy="3105343"/>
                    </a:xfrm>
                    <a:prstGeom prst="rect">
                      <a:avLst/>
                    </a:prstGeom>
                    <a:noFill/>
                    <a:ln>
                      <a:noFill/>
                    </a:ln>
                    <a:extLst>
                      <a:ext uri="{53640926-AAD7-44D8-BBD7-CCE9431645EC}">
                        <a14:shadowObscured xmlns:a14="http://schemas.microsoft.com/office/drawing/2010/main"/>
                      </a:ext>
                    </a:extLst>
                  </pic:spPr>
                </pic:pic>
              </a:graphicData>
            </a:graphic>
          </wp:inline>
        </w:drawing>
      </w:r>
    </w:p>
    <w:p w14:paraId="79A363EC" w14:textId="4F6EC389" w:rsidR="0063769A" w:rsidRPr="0063769A" w:rsidRDefault="0063769A" w:rsidP="0063769A">
      <w:pPr>
        <w:pStyle w:val="FigureDescription"/>
      </w:pPr>
      <w:r w:rsidRPr="0063769A">
        <w:t>Abbreviations: ADerm-IS = Atopic Dermatitis Impact Scale; ADerm-SS = Atopic Dermatitis Symptom Scale; DLQI = Dermatology Life Quality Index; EASI = Eczema Area and Severity Index; HADS = Hospital Anxiety and Depression Scale; PBO = placebo; POEM = Patient Oriented Eczema Measure; SCORAD = Severity scoring of atopic dermatitis; UPA = upadacitinib.</w:t>
      </w:r>
    </w:p>
    <w:p w14:paraId="2AE5D473" w14:textId="2EAB3804" w:rsidR="00D83E26" w:rsidRDefault="00D83E26" w:rsidP="00D83E26">
      <w:pPr>
        <w:rPr>
          <w:lang w:val="en-US"/>
        </w:rPr>
      </w:pPr>
      <w:r>
        <w:rPr>
          <w:lang w:val="en-US"/>
        </w:rPr>
        <w:t>Study M16-047 was a pivotal Phase III</w:t>
      </w:r>
      <w:r w:rsidR="00462FB8" w:rsidRPr="0088196B">
        <w:rPr>
          <w:lang w:val="en-US"/>
        </w:rPr>
        <w:t xml:space="preserve">, double-blind 16-week placebo-controlled study which evaluated the efficacy of combination therapy with </w:t>
      </w:r>
      <w:r>
        <w:rPr>
          <w:lang w:val="en-US"/>
        </w:rPr>
        <w:t>topical corticosteroids</w:t>
      </w:r>
      <w:r w:rsidR="00462FB8" w:rsidRPr="0088196B">
        <w:rPr>
          <w:lang w:val="en-US"/>
        </w:rPr>
        <w:t xml:space="preserve"> and upadacitinib (</w:t>
      </w:r>
      <w:r w:rsidR="005D7175">
        <w:rPr>
          <w:lang w:val="en-US"/>
        </w:rPr>
        <w:t>15 mg</w:t>
      </w:r>
      <w:r w:rsidR="00462FB8" w:rsidRPr="0088196B">
        <w:rPr>
          <w:lang w:val="en-US"/>
        </w:rPr>
        <w:t xml:space="preserve"> and </w:t>
      </w:r>
      <w:r w:rsidR="005D7175">
        <w:rPr>
          <w:lang w:val="en-US"/>
        </w:rPr>
        <w:t>30 mg</w:t>
      </w:r>
      <w:r w:rsidR="00462FB8" w:rsidRPr="0088196B">
        <w:rPr>
          <w:lang w:val="en-US"/>
        </w:rPr>
        <w:t>) compared to placebo</w:t>
      </w:r>
      <w:r>
        <w:rPr>
          <w:lang w:val="en-US"/>
        </w:rPr>
        <w:t xml:space="preserve"> in 901 patients (including 116 </w:t>
      </w:r>
      <w:r w:rsidR="00462FB8" w:rsidRPr="0088196B">
        <w:rPr>
          <w:lang w:val="en-US"/>
        </w:rPr>
        <w:t xml:space="preserve">adolescents) with moderate to severe </w:t>
      </w:r>
      <w:r>
        <w:rPr>
          <w:lang w:val="en-US"/>
        </w:rPr>
        <w:t>atopic dermatitis.</w:t>
      </w:r>
    </w:p>
    <w:p w14:paraId="20DE65EB" w14:textId="1E39CFCE" w:rsidR="00462FB8" w:rsidRPr="0088196B" w:rsidRDefault="00462FB8" w:rsidP="00D83E26">
      <w:pPr>
        <w:rPr>
          <w:lang w:val="en-US"/>
        </w:rPr>
      </w:pPr>
      <w:r w:rsidRPr="0088196B">
        <w:rPr>
          <w:lang w:val="en-US"/>
        </w:rPr>
        <w:t>Results showed:</w:t>
      </w:r>
    </w:p>
    <w:p w14:paraId="0EF8B27A" w14:textId="3825DDD2" w:rsidR="00462FB8" w:rsidRPr="00D83E26" w:rsidRDefault="00462FB8" w:rsidP="00D83E26">
      <w:pPr>
        <w:pStyle w:val="ListBullet"/>
      </w:pPr>
      <w:r w:rsidRPr="00D83E26">
        <w:t>robust, consistent, clinically and statistically relevant improvemen</w:t>
      </w:r>
      <w:r w:rsidR="00D83E26">
        <w:t>ts in the co-primary endpoints (</w:t>
      </w:r>
      <w:r w:rsidRPr="00D83E26">
        <w:t>proportion of subjects who achieved EASI 75 and the proportion of subjects who achieved vIGA-AD Score of 0/1 (clear or almost clear) with at leas</w:t>
      </w:r>
      <w:r w:rsidR="00D83E26">
        <w:t>t 2 grade reductions at Week 16)</w:t>
      </w:r>
      <w:r w:rsidRPr="00D83E26">
        <w:t xml:space="preserve"> following treatment with</w:t>
      </w:r>
      <w:r w:rsidR="005D7175">
        <w:t xml:space="preserve"> upadacitinib</w:t>
      </w:r>
      <w:r w:rsidRPr="00D83E26">
        <w:t xml:space="preserve"> </w:t>
      </w:r>
      <w:r w:rsidR="005D7175">
        <w:t>15 mg</w:t>
      </w:r>
      <w:r w:rsidR="00D83E26">
        <w:t xml:space="preserve"> and </w:t>
      </w:r>
      <w:r w:rsidR="005D7175">
        <w:t>30 mg</w:t>
      </w:r>
      <w:r w:rsidR="00D83E26">
        <w:t xml:space="preserve"> compared with placebo.</w:t>
      </w:r>
    </w:p>
    <w:p w14:paraId="75E3BE72" w14:textId="77777777" w:rsidR="00462FB8" w:rsidRPr="00D83E26" w:rsidRDefault="00462FB8" w:rsidP="00D83E26">
      <w:pPr>
        <w:pStyle w:val="ListBullet"/>
      </w:pPr>
      <w:r w:rsidRPr="00D83E26">
        <w:t xml:space="preserve">these results were supported by significant improvements in key secondary endpoints of multiple skin clearance measures and response thresholds to pruritus. </w:t>
      </w:r>
    </w:p>
    <w:p w14:paraId="3D0E0A3C" w14:textId="3FA6B60A" w:rsidR="00462FB8" w:rsidRPr="00D83E26" w:rsidRDefault="00D83E26" w:rsidP="00D83E26">
      <w:pPr>
        <w:pStyle w:val="ListBullet"/>
      </w:pPr>
      <w:r>
        <w:t>u</w:t>
      </w:r>
      <w:r w:rsidR="00462FB8" w:rsidRPr="00D83E26">
        <w:t xml:space="preserve">padacitinib (30 and 15 mg) plus </w:t>
      </w:r>
      <w:r>
        <w:t>topical corticosteroids</w:t>
      </w:r>
      <w:r w:rsidR="00462FB8" w:rsidRPr="00D83E26">
        <w:t xml:space="preserve"> significantly reduced itch compared with placebo plus </w:t>
      </w:r>
      <w:r>
        <w:t>topical co</w:t>
      </w:r>
      <w:r w:rsidR="00411397">
        <w:t>rticosteroids</w:t>
      </w:r>
      <w:r w:rsidR="00462FB8" w:rsidRPr="00D83E26">
        <w:t xml:space="preserve"> with a greater proportion of subject</w:t>
      </w:r>
      <w:r w:rsidR="00411397">
        <w:t>s on u</w:t>
      </w:r>
      <w:r w:rsidR="00462FB8" w:rsidRPr="00D83E26">
        <w:t>padacitinib achieving a reduction in Wo</w:t>
      </w:r>
      <w:r>
        <w:t>rst Pruritus NRS ≥ 4 at Week 16.</w:t>
      </w:r>
    </w:p>
    <w:p w14:paraId="5EAB6C26" w14:textId="1C0FEA9E" w:rsidR="00462FB8" w:rsidRPr="00D83E26" w:rsidRDefault="00D83E26" w:rsidP="00D83E26">
      <w:pPr>
        <w:pStyle w:val="ListBullet"/>
      </w:pPr>
      <w:r>
        <w:t>u</w:t>
      </w:r>
      <w:r w:rsidR="00462FB8" w:rsidRPr="00D83E26">
        <w:t xml:space="preserve">padacitinib (30 and 15 mg) plus </w:t>
      </w:r>
      <w:r w:rsidR="00411397">
        <w:t>topical corticosteroids</w:t>
      </w:r>
      <w:r w:rsidR="00411397" w:rsidRPr="00D83E26">
        <w:t xml:space="preserve"> </w:t>
      </w:r>
      <w:r w:rsidR="00462FB8" w:rsidRPr="00D83E26">
        <w:t xml:space="preserve">demonstrated rapid onset of action with significantly higher EASI 75 responses as early as Week 2 and a reduction in Worst Pruritus NRS ≥ 4 as early as Week 1 compared to placebo plus </w:t>
      </w:r>
      <w:r w:rsidR="00411397">
        <w:t>topical corticosteroids.</w:t>
      </w:r>
    </w:p>
    <w:p w14:paraId="7160CB2A" w14:textId="19C86182" w:rsidR="00462FB8" w:rsidRPr="00D83E26" w:rsidRDefault="00411397" w:rsidP="00D83E26">
      <w:pPr>
        <w:pStyle w:val="ListBullet"/>
      </w:pPr>
      <w:r>
        <w:t>u</w:t>
      </w:r>
      <w:r w:rsidR="00462FB8" w:rsidRPr="00D83E26">
        <w:t xml:space="preserve">padacitinib (30 and 15 mg) plus </w:t>
      </w:r>
      <w:r>
        <w:t>topical corticosteroids</w:t>
      </w:r>
      <w:r w:rsidRPr="00D83E26">
        <w:t xml:space="preserve"> </w:t>
      </w:r>
      <w:r w:rsidR="00462FB8" w:rsidRPr="00D83E26">
        <w:t xml:space="preserve">had more </w:t>
      </w:r>
      <w:r>
        <w:t>topical corticosteroids</w:t>
      </w:r>
      <w:r w:rsidRPr="00D83E26">
        <w:t xml:space="preserve"> </w:t>
      </w:r>
      <w:r w:rsidR="00462FB8" w:rsidRPr="00D83E26">
        <w:t xml:space="preserve">free days with an EASI 75 response and an earlier discontinuation of all </w:t>
      </w:r>
      <w:r>
        <w:t>topical corticosteroids</w:t>
      </w:r>
      <w:r w:rsidRPr="00D83E26">
        <w:t xml:space="preserve"> </w:t>
      </w:r>
      <w:r w:rsidR="00462FB8" w:rsidRPr="00D83E26">
        <w:t xml:space="preserve">with an EASI 75 response than placebo plus </w:t>
      </w:r>
      <w:r>
        <w:t>topical corticosteroids</w:t>
      </w:r>
      <w:r w:rsidRPr="00D83E26">
        <w:t xml:space="preserve"> </w:t>
      </w:r>
      <w:r>
        <w:t>at Week 16.</w:t>
      </w:r>
    </w:p>
    <w:p w14:paraId="295EF089" w14:textId="13B5A4DA" w:rsidR="00462FB8" w:rsidRPr="00D83E26" w:rsidRDefault="00411397" w:rsidP="00D83E26">
      <w:pPr>
        <w:pStyle w:val="ListBullet"/>
      </w:pPr>
      <w:r>
        <w:lastRenderedPageBreak/>
        <w:t>furthermore, u</w:t>
      </w:r>
      <w:r w:rsidR="00462FB8" w:rsidRPr="00D83E26">
        <w:t xml:space="preserve">padacitinib was also associated with significant improvements in sleep disturbance, impact of </w:t>
      </w:r>
      <w:r>
        <w:t>atopic dermatitis</w:t>
      </w:r>
      <w:r w:rsidR="00462FB8" w:rsidRPr="00D83E26">
        <w:t xml:space="preserve">, health-related </w:t>
      </w:r>
      <w:r>
        <w:t>quality of life</w:t>
      </w:r>
      <w:r w:rsidR="00462FB8" w:rsidRPr="00D83E26">
        <w:t xml:space="preserve">, self-assessment of disease parameters. </w:t>
      </w:r>
    </w:p>
    <w:p w14:paraId="0D0EA33A" w14:textId="7887C1CC" w:rsidR="00462FB8" w:rsidRPr="00411397" w:rsidRDefault="00411397" w:rsidP="00411397">
      <w:pPr>
        <w:pStyle w:val="ListBullet"/>
      </w:pPr>
      <w:r>
        <w:t>w</w:t>
      </w:r>
      <w:r w:rsidR="00462FB8" w:rsidRPr="00D83E26">
        <w:t>hile both doses of</w:t>
      </w:r>
      <w:r w:rsidR="005D7175">
        <w:t xml:space="preserve"> upadacitinib</w:t>
      </w:r>
      <w:r w:rsidR="00462FB8" w:rsidRPr="00D83E26">
        <w:t xml:space="preserve"> (30 m</w:t>
      </w:r>
      <w:r>
        <w:t>g and 15 mg) were efficacious, upadacitinib 30 </w:t>
      </w:r>
      <w:r w:rsidR="00462FB8" w:rsidRPr="00D83E26">
        <w:t xml:space="preserve">mg plus </w:t>
      </w:r>
      <w:r>
        <w:t>topical corticosteroids</w:t>
      </w:r>
      <w:r w:rsidRPr="00D83E26">
        <w:t xml:space="preserve"> </w:t>
      </w:r>
      <w:r w:rsidR="00462FB8" w:rsidRPr="00D83E26">
        <w:t>provided numerically gr</w:t>
      </w:r>
      <w:r>
        <w:t>eater benefit to subjects than u</w:t>
      </w:r>
      <w:r w:rsidR="00462FB8" w:rsidRPr="00D83E26">
        <w:t xml:space="preserve">padacitinib 15 mg plus </w:t>
      </w:r>
      <w:r>
        <w:t>topical corticosteroids</w:t>
      </w:r>
      <w:r w:rsidRPr="00D83E26">
        <w:t xml:space="preserve"> </w:t>
      </w:r>
      <w:r w:rsidR="00462FB8" w:rsidRPr="00D83E26">
        <w:t>across the endpoints tested. Consistent efficacy was demonstrated for ad</w:t>
      </w:r>
      <w:r>
        <w:t>olescents across all endpoints.</w:t>
      </w:r>
    </w:p>
    <w:p w14:paraId="0598A3A4" w14:textId="5A5803E1" w:rsidR="00462FB8" w:rsidRPr="0088196B" w:rsidRDefault="00462FB8" w:rsidP="00823047">
      <w:pPr>
        <w:rPr>
          <w:lang w:val="en-US"/>
        </w:rPr>
      </w:pPr>
      <w:r w:rsidRPr="0088196B">
        <w:rPr>
          <w:lang w:val="en-US"/>
        </w:rPr>
        <w:t>Subgroup analyses were conducted for the co-primary endpoints vIGA-AD 0/1 an</w:t>
      </w:r>
      <w:r w:rsidR="00823047">
        <w:rPr>
          <w:lang w:val="en-US"/>
        </w:rPr>
        <w:t>d EASI </w:t>
      </w:r>
      <w:r w:rsidRPr="0088196B">
        <w:rPr>
          <w:lang w:val="en-US"/>
        </w:rPr>
        <w:t>75 at Week 1</w:t>
      </w:r>
      <w:r w:rsidR="00823047">
        <w:rPr>
          <w:lang w:val="en-US"/>
        </w:rPr>
        <w:t>6 in each of the pivotal Phase III studies.</w:t>
      </w:r>
    </w:p>
    <w:p w14:paraId="4BCA8D90" w14:textId="1907C758" w:rsidR="00462FB8" w:rsidRPr="00823047" w:rsidRDefault="00462FB8" w:rsidP="00823047">
      <w:r w:rsidRPr="00823047">
        <w:t>Over</w:t>
      </w:r>
      <w:r w:rsidR="00823047">
        <w:t>all, efficacy of both doses of u</w:t>
      </w:r>
      <w:r w:rsidRPr="00823047">
        <w:t>padacitinib 30</w:t>
      </w:r>
      <w:r w:rsidR="00823047">
        <w:t xml:space="preserve"> </w:t>
      </w:r>
      <w:r w:rsidRPr="00823047">
        <w:t>mg and 15</w:t>
      </w:r>
      <w:r w:rsidR="00823047">
        <w:t xml:space="preserve"> </w:t>
      </w:r>
      <w:r w:rsidRPr="00823047">
        <w:t xml:space="preserve">mg </w:t>
      </w:r>
      <w:r w:rsidR="00823047">
        <w:t>once daily</w:t>
      </w:r>
      <w:r w:rsidRPr="00823047">
        <w:t xml:space="preserve"> compared with placebo was demonstrated across all subgroups by age, gender, BMI, race, weight, geographic region, Bas</w:t>
      </w:r>
      <w:r w:rsidR="00823047">
        <w:t>eline vIGA-AD, Baseline EASI, high sensitivity-C-reactive protein</w:t>
      </w:r>
      <w:r w:rsidRPr="00823047">
        <w:t xml:space="preserve">, previous systemic therapy, intolerance to at least one prior </w:t>
      </w:r>
      <w:r w:rsidR="00823047">
        <w:t>topical corticosteroids/topical calcineurin inhibitors</w:t>
      </w:r>
      <w:r w:rsidRPr="00823047">
        <w:t xml:space="preserve">, inadequate response to at least one topical treatment. </w:t>
      </w:r>
    </w:p>
    <w:p w14:paraId="54437B3B" w14:textId="0FED4499" w:rsidR="00462FB8" w:rsidRPr="00823047" w:rsidRDefault="00462FB8" w:rsidP="00823047">
      <w:r w:rsidRPr="00823047">
        <w:t xml:space="preserve">A </w:t>
      </w:r>
      <w:r w:rsidRPr="00823047">
        <w:rPr>
          <w:i/>
        </w:rPr>
        <w:t>post-hoc</w:t>
      </w:r>
      <w:r w:rsidRPr="00823047">
        <w:t xml:space="preserve"> analysis was performed to evalua</w:t>
      </w:r>
      <w:r w:rsidR="00823047">
        <w:t>te overall treatment effect of upadacitinib 30 </w:t>
      </w:r>
      <w:r w:rsidRPr="00823047">
        <w:t xml:space="preserve">mg </w:t>
      </w:r>
      <w:r w:rsidR="00823047">
        <w:t>once daily versus 15 mg once daily over the double blind p</w:t>
      </w:r>
      <w:r w:rsidRPr="00823047">
        <w:t>erio</w:t>
      </w:r>
      <w:r w:rsidR="00823047">
        <w:t>d in each of the pivotal Phase III</w:t>
      </w:r>
      <w:r w:rsidRPr="00823047">
        <w:t xml:space="preserve"> studies (</w:t>
      </w:r>
      <w:r w:rsidR="00823047">
        <w:t xml:space="preserve">Studies </w:t>
      </w:r>
      <w:r w:rsidRPr="00823047">
        <w:t xml:space="preserve">M16-045, M18-891, and M16-047), on the co-primary endpoints: EASI 75 and vIGA-AD 0/1. The following information was provided in the </w:t>
      </w:r>
      <w:r w:rsidR="00823047">
        <w:t xml:space="preserve">sponsor’s </w:t>
      </w:r>
      <w:r w:rsidRPr="00823047">
        <w:t>clinical summary of efficacy</w:t>
      </w:r>
      <w:r w:rsidR="00823047">
        <w:t>:</w:t>
      </w:r>
    </w:p>
    <w:p w14:paraId="3BDB7BD9" w14:textId="4C2DE780" w:rsidR="00462FB8" w:rsidRPr="00823047" w:rsidRDefault="00462FB8" w:rsidP="00823047">
      <w:pPr>
        <w:ind w:left="720"/>
      </w:pPr>
      <w:r w:rsidRPr="00823047">
        <w:t xml:space="preserve">Superiority of </w:t>
      </w:r>
      <w:r w:rsidR="00823047">
        <w:t>u</w:t>
      </w:r>
      <w:r w:rsidRPr="00823047">
        <w:t>padacitinib 30 mg compared to</w:t>
      </w:r>
      <w:r w:rsidR="005D7175">
        <w:t xml:space="preserve"> upadacitinib</w:t>
      </w:r>
      <w:r w:rsidRPr="00823047">
        <w:t xml:space="preserve"> 15 mg (nominal </w:t>
      </w:r>
      <w:r w:rsidR="00823047">
        <w:t>p &lt; </w:t>
      </w:r>
      <w:r w:rsidRPr="00823047">
        <w:t>0.001) for both EASI 75 and vIGA-AD 0/1 was demonstrated in all 3</w:t>
      </w:r>
      <w:r w:rsidR="00823047">
        <w:t xml:space="preserve"> pivotal studies. In addition, u</w:t>
      </w:r>
      <w:r w:rsidRPr="00823047">
        <w:t>padacitinib 30 mg independently contributed a beneficial</w:t>
      </w:r>
      <w:r w:rsidR="00823047">
        <w:t xml:space="preserve"> treatment effect over that of u</w:t>
      </w:r>
      <w:r w:rsidRPr="00823047">
        <w:t>padacitinib 15 mg on EASI 75 starting from Week 2 for Study M16-045, and at all post baseline vis</w:t>
      </w:r>
      <w:r w:rsidR="00823047">
        <w:t>its for Studies M18-891 and M16</w:t>
      </w:r>
      <w:r w:rsidR="00823047">
        <w:noBreakHyphen/>
      </w:r>
      <w:r w:rsidRPr="00823047">
        <w:t xml:space="preserve">047 (nominal </w:t>
      </w:r>
      <w:r w:rsidR="00823047">
        <w:t>p</w:t>
      </w:r>
      <w:r w:rsidRPr="00823047">
        <w:t xml:space="preserve"> &lt; 0.05). Similar results were a</w:t>
      </w:r>
      <w:r w:rsidR="00823047">
        <w:t>lso shown on vIGA-AD 0/1, with u</w:t>
      </w:r>
      <w:r w:rsidRPr="00823047">
        <w:t>padacitinib 30 mg independently contributing a beneficial treatment effect over that of upadacitinib 15 mg starting from Week 4 for</w:t>
      </w:r>
      <w:r w:rsidR="00823047">
        <w:t xml:space="preserve"> Study M16-045, and at all post-</w:t>
      </w:r>
      <w:r w:rsidRPr="00823047">
        <w:t xml:space="preserve">baseline visits for Studies M18-891 and M16-047 (nominal </w:t>
      </w:r>
      <w:r w:rsidR="00823047">
        <w:t>p</w:t>
      </w:r>
      <w:r w:rsidRPr="00823047">
        <w:t xml:space="preserve"> </w:t>
      </w:r>
      <w:r w:rsidR="00823047">
        <w:t>&lt; 0.05).</w:t>
      </w:r>
      <w:r w:rsidRPr="00823047">
        <w:t xml:space="preserve"> </w:t>
      </w:r>
    </w:p>
    <w:p w14:paraId="6E2AFF82" w14:textId="42E9C922" w:rsidR="00462FB8" w:rsidRPr="00823047" w:rsidRDefault="00462FB8" w:rsidP="00823047">
      <w:r w:rsidRPr="00823047">
        <w:t>Long-term efficacy was demonstrated in 1542 subjects (1319 adults and 223 adolescents) who received at least 24 weeks and 344 subjects (290 adults and 54 adolescents) who received at least 1 year of</w:t>
      </w:r>
      <w:r w:rsidR="005D7175">
        <w:t xml:space="preserve"> upadacitinib</w:t>
      </w:r>
      <w:r w:rsidRPr="00823047">
        <w:t xml:space="preserve"> treatment (30 mg or 15 mg </w:t>
      </w:r>
      <w:r w:rsidR="00823047">
        <w:t>once daily</w:t>
      </w:r>
      <w:r w:rsidRPr="00823047">
        <w:t>):</w:t>
      </w:r>
    </w:p>
    <w:p w14:paraId="0299099A" w14:textId="32A4598E" w:rsidR="00462FB8" w:rsidRPr="002553F4" w:rsidRDefault="00823047" w:rsidP="00823047">
      <w:pPr>
        <w:pStyle w:val="ListBullet"/>
        <w:rPr>
          <w:lang w:val="en-US"/>
        </w:rPr>
      </w:pPr>
      <w:r>
        <w:rPr>
          <w:lang w:val="en-US"/>
        </w:rPr>
        <w:t>S</w:t>
      </w:r>
      <w:r w:rsidR="00462FB8" w:rsidRPr="0088196B">
        <w:rPr>
          <w:lang w:val="en-US"/>
        </w:rPr>
        <w:t>ignificant improvements (in IGA-AD 0/1, EASI75 and Worst Pruritus NRS ≥ 4</w:t>
      </w:r>
      <w:r w:rsidR="00462FB8" w:rsidRPr="002553F4">
        <w:rPr>
          <w:lang w:val="en-US"/>
        </w:rPr>
        <w:t>) were observed in those who were initially randomi</w:t>
      </w:r>
      <w:r>
        <w:rPr>
          <w:lang w:val="en-US"/>
        </w:rPr>
        <w:t>sed to placebo and switched to u</w:t>
      </w:r>
      <w:r w:rsidR="00462FB8" w:rsidRPr="002553F4">
        <w:rPr>
          <w:lang w:val="en-US"/>
        </w:rPr>
        <w:t>padacitinib at Week 16, as well as among those who were</w:t>
      </w:r>
      <w:r>
        <w:rPr>
          <w:lang w:val="en-US"/>
        </w:rPr>
        <w:t xml:space="preserve"> initially randomized to u</w:t>
      </w:r>
      <w:r w:rsidR="00462FB8" w:rsidRPr="002553F4">
        <w:rPr>
          <w:lang w:val="en-US"/>
        </w:rPr>
        <w:t>padacitini</w:t>
      </w:r>
      <w:r>
        <w:rPr>
          <w:lang w:val="en-US"/>
        </w:rPr>
        <w:t>b and continued on</w:t>
      </w:r>
      <w:r w:rsidR="005D7175">
        <w:rPr>
          <w:lang w:val="en-US"/>
        </w:rPr>
        <w:t xml:space="preserve"> upadacitinib</w:t>
      </w:r>
      <w:r>
        <w:rPr>
          <w:lang w:val="en-US"/>
        </w:rPr>
        <w:t>.</w:t>
      </w:r>
    </w:p>
    <w:p w14:paraId="05228983" w14:textId="2C970F69" w:rsidR="00462FB8" w:rsidRPr="00823047" w:rsidRDefault="00782F8C" w:rsidP="00823047">
      <w:pPr>
        <w:pStyle w:val="ListBullet"/>
        <w:rPr>
          <w:lang w:val="en-US"/>
        </w:rPr>
      </w:pPr>
      <w:r>
        <w:rPr>
          <w:color w:val="1D01EF"/>
          <w:lang w:val="en-US"/>
        </w:rPr>
        <w:t>upadacitinib</w:t>
      </w:r>
      <w:r w:rsidR="00462FB8" w:rsidRPr="0088196B">
        <w:rPr>
          <w:lang w:val="en-US"/>
        </w:rPr>
        <w:t xml:space="preserve"> 30 mg group demonstrated greater resp</w:t>
      </w:r>
      <w:r w:rsidR="00823047">
        <w:rPr>
          <w:lang w:val="en-US"/>
        </w:rPr>
        <w:t>onse rates than upadacitinib 15 </w:t>
      </w:r>
      <w:r w:rsidR="00462FB8" w:rsidRPr="0088196B">
        <w:rPr>
          <w:lang w:val="en-US"/>
        </w:rPr>
        <w:t>mg through Week 52 in terms of vIGA-AD 0/1, EAS</w:t>
      </w:r>
      <w:r w:rsidR="00823047">
        <w:rPr>
          <w:lang w:val="en-US"/>
        </w:rPr>
        <w:t>I75, EASI 100 and reduction in Worst P</w:t>
      </w:r>
      <w:r w:rsidR="00462FB8" w:rsidRPr="0088196B">
        <w:rPr>
          <w:lang w:val="en-US"/>
        </w:rPr>
        <w:t xml:space="preserve">ruritus NRS </w:t>
      </w:r>
      <w:r w:rsidR="00462FB8" w:rsidRPr="0088196B">
        <w:rPr>
          <w:u w:val="single"/>
          <w:lang w:val="en-US"/>
        </w:rPr>
        <w:t>&gt;</w:t>
      </w:r>
      <w:r w:rsidR="00823047">
        <w:rPr>
          <w:lang w:val="en-US"/>
        </w:rPr>
        <w:t xml:space="preserve"> 4.</w:t>
      </w:r>
    </w:p>
    <w:p w14:paraId="0369506D" w14:textId="312D39A2" w:rsidR="00462FB8" w:rsidRPr="00823047" w:rsidRDefault="00462FB8" w:rsidP="00823047">
      <w:pPr>
        <w:rPr>
          <w:rFonts w:ascii="TimesNewRoman,Bold" w:eastAsia="TimesNewRoman,Bold" w:cs="TimesNewRoman,Bold"/>
          <w:bCs/>
          <w:lang w:val="en-US"/>
        </w:rPr>
      </w:pPr>
      <w:r w:rsidRPr="007123D6">
        <w:rPr>
          <w:lang w:val="en-US"/>
        </w:rPr>
        <w:t>Overall, there is adequate e</w:t>
      </w:r>
      <w:r w:rsidR="00823047">
        <w:rPr>
          <w:lang w:val="en-US"/>
        </w:rPr>
        <w:t>vidence to support efficacy of u</w:t>
      </w:r>
      <w:r w:rsidRPr="007123D6">
        <w:rPr>
          <w:lang w:val="en-US"/>
        </w:rPr>
        <w:t xml:space="preserve">padacitinib </w:t>
      </w:r>
      <w:r w:rsidR="005D7175">
        <w:rPr>
          <w:lang w:val="en-US"/>
        </w:rPr>
        <w:t>15 mg</w:t>
      </w:r>
      <w:r w:rsidRPr="007123D6">
        <w:rPr>
          <w:lang w:val="en-US"/>
        </w:rPr>
        <w:t xml:space="preserve"> and </w:t>
      </w:r>
      <w:r w:rsidR="005D7175">
        <w:rPr>
          <w:lang w:val="en-US"/>
        </w:rPr>
        <w:t>30 mg</w:t>
      </w:r>
      <w:r w:rsidRPr="007123D6">
        <w:rPr>
          <w:lang w:val="en-US"/>
        </w:rPr>
        <w:t xml:space="preserve"> </w:t>
      </w:r>
      <w:r w:rsidR="00823047">
        <w:rPr>
          <w:lang w:val="en-US"/>
        </w:rPr>
        <w:t>once daily</w:t>
      </w:r>
      <w:r w:rsidRPr="007123D6">
        <w:rPr>
          <w:lang w:val="en-US"/>
        </w:rPr>
        <w:t xml:space="preserve"> in adults and adolescents (weighing &gt; 40kg) when used as monotherapy or in combination with </w:t>
      </w:r>
      <w:r w:rsidR="00823047">
        <w:t xml:space="preserve">topical corticosteroids </w:t>
      </w:r>
      <w:r w:rsidRPr="007123D6">
        <w:rPr>
          <w:lang w:val="en-US"/>
        </w:rPr>
        <w:t xml:space="preserve">in patients with moderate to severe </w:t>
      </w:r>
      <w:r w:rsidR="00823047">
        <w:rPr>
          <w:lang w:val="en-US"/>
        </w:rPr>
        <w:t>atopic dermatitis</w:t>
      </w:r>
      <w:r w:rsidRPr="007123D6">
        <w:rPr>
          <w:lang w:val="en-US"/>
        </w:rPr>
        <w:t xml:space="preserve"> who are </w:t>
      </w:r>
      <w:r w:rsidR="00823047">
        <w:rPr>
          <w:lang w:val="en-US"/>
        </w:rPr>
        <w:t>candidates for systemic therapy.</w:t>
      </w:r>
    </w:p>
    <w:p w14:paraId="689A9A45" w14:textId="39437A59" w:rsidR="00AE6E33" w:rsidRPr="0063769A" w:rsidRDefault="00462FB8" w:rsidP="00E62B8D">
      <w:pPr>
        <w:rPr>
          <w:rFonts w:eastAsia="TimesNewRoman" w:cs="TimesNewRoman"/>
          <w:lang w:val="en-US"/>
        </w:rPr>
      </w:pPr>
      <w:r w:rsidRPr="00823047">
        <w:t>Topical</w:t>
      </w:r>
      <w:r w:rsidRPr="0088196B">
        <w:rPr>
          <w:lang w:val="en-US"/>
        </w:rPr>
        <w:t xml:space="preserve"> calcineurin inhibitors were allowed for use in the</w:t>
      </w:r>
      <w:r w:rsidR="00823047">
        <w:rPr>
          <w:lang w:val="en-US"/>
        </w:rPr>
        <w:t xml:space="preserve"> monotherapy studies after Week </w:t>
      </w:r>
      <w:r w:rsidRPr="0088196B">
        <w:rPr>
          <w:lang w:val="en-US"/>
        </w:rPr>
        <w:t>16 and at any time in the combination Study M16-047 for areas of thin skin (face, neck, intertriginous and genital areas) or for areas where medium potency topical corticosteroids were considered unsafe (</w:t>
      </w:r>
      <w:r w:rsidR="00823047">
        <w:rPr>
          <w:lang w:val="en-US"/>
        </w:rPr>
        <w:t>for example,</w:t>
      </w:r>
      <w:r w:rsidRPr="0088196B">
        <w:rPr>
          <w:lang w:val="en-US"/>
        </w:rPr>
        <w:t xml:space="preserve"> </w:t>
      </w:r>
      <w:r w:rsidRPr="007123D6">
        <w:rPr>
          <w:lang w:val="en-US"/>
        </w:rPr>
        <w:t>areas of skin</w:t>
      </w:r>
      <w:r w:rsidR="00823047">
        <w:rPr>
          <w:lang w:val="en-US"/>
        </w:rPr>
        <w:t xml:space="preserve"> atrophy). In all global Phase III</w:t>
      </w:r>
      <w:r w:rsidRPr="007123D6">
        <w:rPr>
          <w:lang w:val="en-US"/>
        </w:rPr>
        <w:t xml:space="preserve"> studies, </w:t>
      </w:r>
      <w:r w:rsidR="00823047">
        <w:rPr>
          <w:lang w:val="en-US"/>
        </w:rPr>
        <w:t>topical calcineurin inhibitors</w:t>
      </w:r>
      <w:r w:rsidRPr="007123D6">
        <w:rPr>
          <w:lang w:val="en-US"/>
        </w:rPr>
        <w:t xml:space="preserve"> were allowed to be used as rescue medication.</w:t>
      </w:r>
      <w:r w:rsidR="00B51532">
        <w:rPr>
          <w:lang w:val="en-US"/>
        </w:rPr>
        <w:t xml:space="preserve"> </w:t>
      </w:r>
      <w:r w:rsidRPr="007123D6">
        <w:rPr>
          <w:rFonts w:eastAsia="TimesNewRoman" w:cs="TimesNewRoman"/>
          <w:lang w:val="en-US"/>
        </w:rPr>
        <w:t>It is noted, that adolescents weighing &lt; 40kg and subjects aged &gt; 75 years were not evaluated in the submitted studies</w:t>
      </w:r>
      <w:r w:rsidR="00823047">
        <w:rPr>
          <w:rFonts w:eastAsia="TimesNewRoman" w:cs="TimesNewRoman"/>
          <w:lang w:val="en-US"/>
        </w:rPr>
        <w:t>.</w:t>
      </w:r>
    </w:p>
    <w:p w14:paraId="269C3DB1" w14:textId="77777777" w:rsidR="008F4EBB" w:rsidRPr="008F4EBB" w:rsidRDefault="008F4EBB" w:rsidP="008F4EBB">
      <w:pPr>
        <w:pStyle w:val="Heading4"/>
      </w:pPr>
      <w:r>
        <w:lastRenderedPageBreak/>
        <w:t>Safety</w:t>
      </w:r>
    </w:p>
    <w:p w14:paraId="43218D76" w14:textId="6E5952AF" w:rsidR="00F55C17" w:rsidRDefault="00F55C17" w:rsidP="00F55C17">
      <w:pPr>
        <w:pStyle w:val="Heading5"/>
      </w:pPr>
      <w:r>
        <w:t>Exposure</w:t>
      </w:r>
    </w:p>
    <w:p w14:paraId="7D94E1BC" w14:textId="52AB91D6" w:rsidR="00A90D29" w:rsidRPr="00596053" w:rsidRDefault="00F55C17" w:rsidP="00F55C17">
      <w:pPr>
        <w:rPr>
          <w:lang w:eastAsia="ja-JP"/>
        </w:rPr>
      </w:pPr>
      <w:r w:rsidRPr="00596053">
        <w:t xml:space="preserve">Overall, 906, 899 and </w:t>
      </w:r>
      <w:r>
        <w:t>902 subjects were treated with u</w:t>
      </w:r>
      <w:r w:rsidRPr="00596053">
        <w:t>padacitinib 30</w:t>
      </w:r>
      <w:r>
        <w:t xml:space="preserve"> </w:t>
      </w:r>
      <w:r w:rsidRPr="00596053">
        <w:t>mg, 15</w:t>
      </w:r>
      <w:r>
        <w:t xml:space="preserve"> </w:t>
      </w:r>
      <w:r w:rsidR="0063769A">
        <w:t>mg and placebo</w:t>
      </w:r>
      <w:r w:rsidRPr="00596053">
        <w:t xml:space="preserve"> respectively with similar mean exposure across treatment groups. These included 114, 114 and 115 adolescents</w:t>
      </w:r>
      <w:r w:rsidRPr="00596053">
        <w:rPr>
          <w:b/>
        </w:rPr>
        <w:t xml:space="preserve"> </w:t>
      </w:r>
      <w:r w:rsidRPr="00596053">
        <w:t xml:space="preserve">treated with upadacitinib </w:t>
      </w:r>
      <w:r w:rsidR="005D7175">
        <w:t>30 mg</w:t>
      </w:r>
      <w:r w:rsidRPr="00596053">
        <w:t xml:space="preserve">, </w:t>
      </w:r>
      <w:r w:rsidR="005D7175">
        <w:t>15 mg</w:t>
      </w:r>
      <w:r w:rsidRPr="00596053">
        <w:t xml:space="preserve"> and placebo, respectively. </w:t>
      </w:r>
      <w:r w:rsidRPr="00596053">
        <w:rPr>
          <w:rFonts w:eastAsia="TimesNewRoman" w:cs="TimesNewRoman"/>
          <w:lang w:val="en-US"/>
        </w:rPr>
        <w:t>Overall, 263 (21.2%) and 246 (19.9%) subjects had at least 12 months exposure to upadacitinib 30 mg or upadacitinib 15 mg, respectively. In adolescents, the respective numbers were 46 (27.7%) and 37 (22.2%), respectively. Exposure to proposed doses of upadacitinib (15</w:t>
      </w:r>
      <w:r>
        <w:rPr>
          <w:rFonts w:eastAsia="TimesNewRoman" w:cs="TimesNewRoman"/>
          <w:lang w:val="en-US"/>
        </w:rPr>
        <w:t xml:space="preserve"> </w:t>
      </w:r>
      <w:r w:rsidRPr="00596053">
        <w:rPr>
          <w:rFonts w:eastAsia="TimesNewRoman" w:cs="TimesNewRoman"/>
          <w:lang w:val="en-US"/>
        </w:rPr>
        <w:t>mg and 30</w:t>
      </w:r>
      <w:r>
        <w:rPr>
          <w:rFonts w:eastAsia="TimesNewRoman" w:cs="TimesNewRoman"/>
          <w:lang w:val="en-US"/>
        </w:rPr>
        <w:t xml:space="preserve"> </w:t>
      </w:r>
      <w:r w:rsidRPr="00596053">
        <w:rPr>
          <w:rFonts w:eastAsia="TimesNewRoman" w:cs="TimesNewRoman"/>
          <w:lang w:val="en-US"/>
        </w:rPr>
        <w:t xml:space="preserve">mg </w:t>
      </w:r>
      <w:r>
        <w:rPr>
          <w:rFonts w:eastAsia="TimesNewRoman" w:cs="TimesNewRoman"/>
          <w:lang w:val="en-US"/>
        </w:rPr>
        <w:t>once daily</w:t>
      </w:r>
      <w:r w:rsidRPr="00596053">
        <w:rPr>
          <w:rFonts w:eastAsia="TimesNewRoman" w:cs="TimesNewRoman"/>
          <w:lang w:val="en-US"/>
        </w:rPr>
        <w:t>) was adequate to enable assessment of safety in the proposed</w:t>
      </w:r>
      <w:r>
        <w:rPr>
          <w:rFonts w:eastAsia="TimesNewRoman" w:cs="TimesNewRoman"/>
          <w:lang w:val="en-US"/>
        </w:rPr>
        <w:t xml:space="preserve"> indication.</w:t>
      </w:r>
    </w:p>
    <w:p w14:paraId="53A4E30E" w14:textId="42118ADD" w:rsidR="00A90D29" w:rsidRPr="00F55C17" w:rsidRDefault="00F55C17" w:rsidP="00F55C17">
      <w:pPr>
        <w:pStyle w:val="Heading5"/>
      </w:pPr>
      <w:r>
        <w:t>Treatment-emergent adverse events</w:t>
      </w:r>
    </w:p>
    <w:p w14:paraId="77A7705E" w14:textId="18060118" w:rsidR="00A90D29" w:rsidRPr="002553F4" w:rsidRDefault="00A90D29" w:rsidP="00F55C17">
      <w:pPr>
        <w:rPr>
          <w:rFonts w:eastAsia="TimesNewRoman" w:cs="TimesNewRoman"/>
          <w:lang w:val="en-US"/>
        </w:rPr>
      </w:pPr>
      <w:r w:rsidRPr="002553F4">
        <w:t xml:space="preserve">Overall incidence of </w:t>
      </w:r>
      <w:r w:rsidR="00F55C17">
        <w:t>treatment-emergent adverse events (</w:t>
      </w:r>
      <w:r w:rsidRPr="002553F4">
        <w:t>TEAEs</w:t>
      </w:r>
      <w:r w:rsidR="00F55C17">
        <w:t>)</w:t>
      </w:r>
      <w:r w:rsidRPr="002553F4">
        <w:t xml:space="preserve"> was higher in the </w:t>
      </w:r>
      <w:r w:rsidR="00F55C17">
        <w:t>u</w:t>
      </w:r>
      <w:r w:rsidRPr="002553F4">
        <w:t xml:space="preserve">padacitinib groups compared with placebo (58.5%, 63.8% and 69.5% in placebo </w:t>
      </w:r>
      <w:r w:rsidR="00F55C17">
        <w:rPr>
          <w:lang w:val="en-US"/>
        </w:rPr>
        <w:t>upadacitinib</w:t>
      </w:r>
      <w:r w:rsidRPr="002553F4">
        <w:rPr>
          <w:lang w:val="en-US"/>
        </w:rPr>
        <w:t xml:space="preserve"> </w:t>
      </w:r>
      <w:r w:rsidR="005D7175">
        <w:rPr>
          <w:lang w:val="en-US"/>
        </w:rPr>
        <w:t>15 mg</w:t>
      </w:r>
      <w:r w:rsidRPr="002553F4">
        <w:rPr>
          <w:lang w:val="en-US"/>
        </w:rPr>
        <w:t xml:space="preserve"> and </w:t>
      </w:r>
      <w:r w:rsidR="00F55C17">
        <w:rPr>
          <w:lang w:val="en-US"/>
        </w:rPr>
        <w:t>upadacitinib</w:t>
      </w:r>
      <w:r w:rsidR="00F55C17" w:rsidRPr="002553F4">
        <w:rPr>
          <w:lang w:val="en-US"/>
        </w:rPr>
        <w:t xml:space="preserve"> </w:t>
      </w:r>
      <w:r w:rsidR="005D7175">
        <w:rPr>
          <w:lang w:val="en-US"/>
        </w:rPr>
        <w:t>30 mg</w:t>
      </w:r>
      <w:r w:rsidRPr="002553F4">
        <w:rPr>
          <w:lang w:val="en-US"/>
        </w:rPr>
        <w:t xml:space="preserve"> groups, respectively) with similar trend observed in adolescents (46.1%,</w:t>
      </w:r>
      <w:r w:rsidR="00F55C17">
        <w:rPr>
          <w:lang w:val="en-US"/>
        </w:rPr>
        <w:t xml:space="preserve"> 64.9% and 72.8%, respectively).</w:t>
      </w:r>
    </w:p>
    <w:p w14:paraId="15F5438E" w14:textId="036DC64E" w:rsidR="00A90D29" w:rsidRPr="002553F4" w:rsidRDefault="00A90D29" w:rsidP="00F55C17">
      <w:pPr>
        <w:rPr>
          <w:rFonts w:eastAsia="TimesNewRoman" w:cs="TimesNewRoman"/>
          <w:lang w:val="en-US"/>
        </w:rPr>
      </w:pPr>
      <w:r w:rsidRPr="008B4DE3">
        <w:rPr>
          <w:lang w:val="en-US"/>
        </w:rPr>
        <w:t xml:space="preserve">The most frequently reported TEAEs by </w:t>
      </w:r>
      <w:r w:rsidR="00F55C17">
        <w:rPr>
          <w:lang w:val="en-US"/>
        </w:rPr>
        <w:t>Preferred Term</w:t>
      </w:r>
      <w:r w:rsidRPr="008B4DE3">
        <w:rPr>
          <w:lang w:val="en-US"/>
        </w:rPr>
        <w:t xml:space="preserve"> (≥ 5</w:t>
      </w:r>
      <w:r w:rsidRPr="00EC2519">
        <w:rPr>
          <w:lang w:val="en-US"/>
        </w:rPr>
        <w:t>% o</w:t>
      </w:r>
      <w:r w:rsidR="00F55C17">
        <w:rPr>
          <w:lang w:val="en-US"/>
        </w:rPr>
        <w:t>f subjects) in u</w:t>
      </w:r>
      <w:r w:rsidRPr="00EC2519">
        <w:rPr>
          <w:lang w:val="en-US"/>
        </w:rPr>
        <w:t>padacitinib groups were acne, nasopharyngitis, upper respiratory tract infection</w:t>
      </w:r>
      <w:r w:rsidRPr="008B4DE3">
        <w:rPr>
          <w:lang w:val="en-US"/>
        </w:rPr>
        <w:t xml:space="preserve">, headache, blood </w:t>
      </w:r>
      <w:r w:rsidR="00F55C17" w:rsidRPr="00F55C17">
        <w:rPr>
          <w:rFonts w:eastAsia="TimesNewRoman" w:cs="TimesNewRoman"/>
          <w:lang w:val="en-US"/>
        </w:rPr>
        <w:t xml:space="preserve">blood creatine phosphokinase </w:t>
      </w:r>
      <w:r w:rsidRPr="008B4DE3">
        <w:rPr>
          <w:lang w:val="en-US"/>
        </w:rPr>
        <w:t xml:space="preserve">increased, </w:t>
      </w:r>
      <w:r w:rsidRPr="002553F4">
        <w:rPr>
          <w:lang w:val="en-US"/>
        </w:rPr>
        <w:t>and oral herpes all of which were r</w:t>
      </w:r>
      <w:r w:rsidR="00F55C17">
        <w:rPr>
          <w:lang w:val="en-US"/>
        </w:rPr>
        <w:t>eported more frequently in the u</w:t>
      </w:r>
      <w:r w:rsidRPr="002553F4">
        <w:rPr>
          <w:lang w:val="en-US"/>
        </w:rPr>
        <w:t xml:space="preserve">padacitinib groups compared with placebo; worsening of </w:t>
      </w:r>
      <w:r w:rsidR="00F55C17">
        <w:rPr>
          <w:lang w:val="en-US"/>
        </w:rPr>
        <w:t>atopic dermatitis</w:t>
      </w:r>
      <w:r w:rsidRPr="002553F4">
        <w:rPr>
          <w:lang w:val="en-US"/>
        </w:rPr>
        <w:t xml:space="preserve"> was the only </w:t>
      </w:r>
      <w:r w:rsidR="00F55C17">
        <w:rPr>
          <w:lang w:val="en-US"/>
        </w:rPr>
        <w:t>adverse event</w:t>
      </w:r>
      <w:r w:rsidRPr="002553F4">
        <w:rPr>
          <w:lang w:val="en-US"/>
        </w:rPr>
        <w:t xml:space="preserve"> reported more </w:t>
      </w:r>
      <w:r w:rsidR="00F55C17">
        <w:rPr>
          <w:lang w:val="en-US"/>
        </w:rPr>
        <w:t>frequently in the placebo group.</w:t>
      </w:r>
    </w:p>
    <w:p w14:paraId="01D9F56A" w14:textId="5EF17640" w:rsidR="00A90D29" w:rsidRPr="00F55C17" w:rsidRDefault="00F55C17" w:rsidP="00F55C17">
      <w:pPr>
        <w:rPr>
          <w:rFonts w:eastAsia="TimesNewRoman" w:cs="TimesNewRoman"/>
          <w:lang w:val="en-US"/>
        </w:rPr>
      </w:pPr>
      <w:r>
        <w:rPr>
          <w:lang w:val="en-US"/>
        </w:rPr>
        <w:t>The m</w:t>
      </w:r>
      <w:r w:rsidR="00A90D29" w:rsidRPr="00F55C17">
        <w:rPr>
          <w:lang w:val="en-US"/>
        </w:rPr>
        <w:t xml:space="preserve">ajority of the </w:t>
      </w:r>
      <w:r>
        <w:rPr>
          <w:lang w:val="en-US"/>
        </w:rPr>
        <w:t>adverse events</w:t>
      </w:r>
      <w:r w:rsidRPr="002553F4">
        <w:rPr>
          <w:lang w:val="en-US"/>
        </w:rPr>
        <w:t xml:space="preserve"> </w:t>
      </w:r>
      <w:r w:rsidR="00A90D29" w:rsidRPr="00F55C17">
        <w:rPr>
          <w:lang w:val="en-US"/>
        </w:rPr>
        <w:t xml:space="preserve">were mild to moderate in intensity. The incidence of severe </w:t>
      </w:r>
      <w:r>
        <w:rPr>
          <w:lang w:val="en-US"/>
        </w:rPr>
        <w:t>adverse events</w:t>
      </w:r>
      <w:r w:rsidRPr="002553F4">
        <w:rPr>
          <w:lang w:val="en-US"/>
        </w:rPr>
        <w:t xml:space="preserve"> </w:t>
      </w:r>
      <w:r w:rsidR="00A90D29" w:rsidRPr="00F55C17">
        <w:rPr>
          <w:lang w:val="en-US"/>
        </w:rPr>
        <w:t xml:space="preserve">was low and similar across treatment groups (4.8%, 4.8% and 4.6% </w:t>
      </w:r>
      <w:r w:rsidR="00A90D29" w:rsidRPr="00F55C17">
        <w:t xml:space="preserve">in placebo </w:t>
      </w:r>
      <w:r>
        <w:rPr>
          <w:lang w:val="en-US"/>
        </w:rPr>
        <w:t xml:space="preserve">upadacitinib </w:t>
      </w:r>
      <w:r w:rsidR="00A90D29" w:rsidRPr="00F55C17">
        <w:rPr>
          <w:lang w:val="en-US"/>
        </w:rPr>
        <w:t>15</w:t>
      </w:r>
      <w:r>
        <w:rPr>
          <w:lang w:val="en-US"/>
        </w:rPr>
        <w:t xml:space="preserve"> </w:t>
      </w:r>
      <w:r w:rsidR="00A90D29" w:rsidRPr="00F55C17">
        <w:rPr>
          <w:lang w:val="en-US"/>
        </w:rPr>
        <w:t xml:space="preserve">mg and </w:t>
      </w:r>
      <w:r>
        <w:rPr>
          <w:lang w:val="en-US"/>
        </w:rPr>
        <w:t xml:space="preserve">upadacitinib </w:t>
      </w:r>
      <w:r w:rsidR="00A90D29" w:rsidRPr="00F55C17">
        <w:rPr>
          <w:lang w:val="en-US"/>
        </w:rPr>
        <w:t>30</w:t>
      </w:r>
      <w:r>
        <w:rPr>
          <w:lang w:val="en-US"/>
        </w:rPr>
        <w:t xml:space="preserve"> </w:t>
      </w:r>
      <w:r w:rsidR="00A90D29" w:rsidRPr="00F55C17">
        <w:rPr>
          <w:lang w:val="en-US"/>
        </w:rPr>
        <w:t xml:space="preserve">mg groups, respectively). </w:t>
      </w:r>
      <w:r w:rsidR="00A90D29" w:rsidRPr="00F55C17">
        <w:rPr>
          <w:rFonts w:eastAsia="TimesNewRoman" w:cs="TimesNewRoman"/>
          <w:lang w:val="en-US"/>
        </w:rPr>
        <w:t xml:space="preserve">No severe </w:t>
      </w:r>
      <w:r>
        <w:rPr>
          <w:lang w:val="en-US"/>
        </w:rPr>
        <w:t>adverse event</w:t>
      </w:r>
      <w:r w:rsidRPr="002553F4">
        <w:rPr>
          <w:lang w:val="en-US"/>
        </w:rPr>
        <w:t xml:space="preserve"> </w:t>
      </w:r>
      <w:r w:rsidR="00A90D29" w:rsidRPr="00F55C17">
        <w:rPr>
          <w:rFonts w:eastAsia="TimesNewRoman" w:cs="TimesNewRoman"/>
          <w:lang w:val="en-US"/>
        </w:rPr>
        <w:t>was reported in more than 2 subjects in any group in this anal</w:t>
      </w:r>
      <w:r>
        <w:rPr>
          <w:rFonts w:eastAsia="TimesNewRoman" w:cs="TimesNewRoman"/>
          <w:lang w:val="en-US"/>
        </w:rPr>
        <w:t>ysis set. The</w:t>
      </w:r>
      <w:r w:rsidR="00B51532">
        <w:rPr>
          <w:rFonts w:eastAsia="TimesNewRoman" w:cs="TimesNewRoman"/>
          <w:lang w:val="en-US"/>
        </w:rPr>
        <w:t xml:space="preserve"> </w:t>
      </w:r>
      <w:r>
        <w:rPr>
          <w:rFonts w:eastAsia="TimesNewRoman" w:cs="TimesNewRoman"/>
          <w:lang w:val="en-US"/>
        </w:rPr>
        <w:t xml:space="preserve">exceptions were </w:t>
      </w:r>
      <w:r w:rsidR="00A90D29" w:rsidRPr="00F55C17">
        <w:rPr>
          <w:rFonts w:eastAsia="TimesNewRoman" w:cs="TimesNewRoman"/>
          <w:lang w:val="en-US"/>
        </w:rPr>
        <w:t xml:space="preserve">blood creatine phosphokinase increased (5 and 7 subjects in the </w:t>
      </w:r>
      <w:r>
        <w:rPr>
          <w:lang w:val="en-US"/>
        </w:rPr>
        <w:t xml:space="preserve">upadacitinib </w:t>
      </w:r>
      <w:r w:rsidR="00A90D29" w:rsidRPr="00F55C17">
        <w:rPr>
          <w:rFonts w:eastAsia="TimesNewRoman" w:cs="TimesNewRoman"/>
          <w:lang w:val="en-US"/>
        </w:rPr>
        <w:t>30</w:t>
      </w:r>
      <w:r>
        <w:rPr>
          <w:rFonts w:eastAsia="TimesNewRoman" w:cs="TimesNewRoman"/>
          <w:lang w:val="en-US"/>
        </w:rPr>
        <w:t xml:space="preserve"> </w:t>
      </w:r>
      <w:r w:rsidR="00A90D29" w:rsidRPr="00F55C17">
        <w:rPr>
          <w:rFonts w:eastAsia="TimesNewRoman" w:cs="TimesNewRoman"/>
          <w:lang w:val="en-US"/>
        </w:rPr>
        <w:t xml:space="preserve">mg and </w:t>
      </w:r>
      <w:r>
        <w:rPr>
          <w:lang w:val="en-US"/>
        </w:rPr>
        <w:t xml:space="preserve">upadacitinib </w:t>
      </w:r>
      <w:r w:rsidR="00A90D29" w:rsidRPr="00F55C17">
        <w:rPr>
          <w:rFonts w:eastAsia="TimesNewRoman" w:cs="TimesNewRoman"/>
          <w:lang w:val="en-US"/>
        </w:rPr>
        <w:t>15</w:t>
      </w:r>
      <w:r w:rsidR="00B51532">
        <w:rPr>
          <w:rFonts w:eastAsia="TimesNewRoman" w:cs="TimesNewRoman"/>
          <w:lang w:val="en-US"/>
        </w:rPr>
        <w:t xml:space="preserve"> </w:t>
      </w:r>
      <w:r w:rsidR="00A90D29" w:rsidRPr="00F55C17">
        <w:rPr>
          <w:rFonts w:eastAsia="TimesNewRoman" w:cs="TimesNewRoman"/>
          <w:lang w:val="en-US"/>
        </w:rPr>
        <w:t>mg groups, respectively), neutropenia (3 subjects in th</w:t>
      </w:r>
      <w:r>
        <w:rPr>
          <w:rFonts w:eastAsia="TimesNewRoman" w:cs="TimesNewRoman"/>
          <w:lang w:val="en-US"/>
        </w:rPr>
        <w:t>e u</w:t>
      </w:r>
      <w:r w:rsidR="00A90D29" w:rsidRPr="00F55C17">
        <w:rPr>
          <w:rFonts w:eastAsia="TimesNewRoman" w:cs="TimesNewRoman"/>
          <w:lang w:val="en-US"/>
        </w:rPr>
        <w:t>padacitinib 30 mg group), a</w:t>
      </w:r>
      <w:r>
        <w:rPr>
          <w:rFonts w:eastAsia="TimesNewRoman" w:cs="TimesNewRoman"/>
          <w:lang w:val="en-US"/>
        </w:rPr>
        <w:t>ppendicitis (3 subjects in the u</w:t>
      </w:r>
      <w:r w:rsidR="00A90D29" w:rsidRPr="00F55C17">
        <w:rPr>
          <w:rFonts w:eastAsia="TimesNewRoman" w:cs="TimesNewRoman"/>
          <w:lang w:val="en-US"/>
        </w:rPr>
        <w:t>padacitinib 15 mg group), dermat</w:t>
      </w:r>
      <w:r>
        <w:rPr>
          <w:rFonts w:eastAsia="TimesNewRoman" w:cs="TimesNewRoman"/>
          <w:lang w:val="en-US"/>
        </w:rPr>
        <w:t>itis atopic (7 subjects in the u</w:t>
      </w:r>
      <w:r w:rsidR="00A90D29" w:rsidRPr="00F55C17">
        <w:rPr>
          <w:rFonts w:eastAsia="TimesNewRoman" w:cs="TimesNewRoman"/>
          <w:lang w:val="en-US"/>
        </w:rPr>
        <w:t>padacitinib 15 mg group and 14</w:t>
      </w:r>
      <w:r>
        <w:rPr>
          <w:rFonts w:eastAsia="TimesNewRoman" w:cs="TimesNewRoman"/>
          <w:lang w:val="en-US"/>
        </w:rPr>
        <w:t xml:space="preserve"> subjects in the placebo group).</w:t>
      </w:r>
      <w:r w:rsidR="00A90D29" w:rsidRPr="00F55C17">
        <w:rPr>
          <w:rFonts w:eastAsia="TimesNewRoman" w:cs="TimesNewRoman"/>
          <w:lang w:val="en-US"/>
        </w:rPr>
        <w:t xml:space="preserve"> </w:t>
      </w:r>
    </w:p>
    <w:p w14:paraId="21A88D9F" w14:textId="01198E02" w:rsidR="00A90D29" w:rsidRPr="00F55C17" w:rsidRDefault="00A90D29" w:rsidP="00F55C17">
      <w:r w:rsidRPr="00F55C17">
        <w:t xml:space="preserve">In the long-term </w:t>
      </w:r>
      <w:r w:rsidR="00F55C17" w:rsidRPr="00F55C17">
        <w:t>upadacitinib Phase III atopic dermatitis analysis s</w:t>
      </w:r>
      <w:r w:rsidRPr="00F55C17">
        <w:t>et, compared with the 15</w:t>
      </w:r>
      <w:r w:rsidR="00F55C17" w:rsidRPr="00F55C17">
        <w:t xml:space="preserve"> mg u</w:t>
      </w:r>
      <w:r w:rsidRPr="00F55C17">
        <w:t>padacitinib group, the incide</w:t>
      </w:r>
      <w:r w:rsidR="00F55C17" w:rsidRPr="00F55C17">
        <w:t>nce of TEAEs was higher in the u</w:t>
      </w:r>
      <w:r w:rsidRPr="00F55C17">
        <w:t>padacitinib 30</w:t>
      </w:r>
      <w:r w:rsidR="00F55C17" w:rsidRPr="00F55C17">
        <w:t xml:space="preserve"> </w:t>
      </w:r>
      <w:r w:rsidRPr="00F55C17">
        <w:t>mg group (333.3 v</w:t>
      </w:r>
      <w:r w:rsidR="00F55C17" w:rsidRPr="00F55C17">
        <w:t>ersus 386.5 events/100 patient-years</w:t>
      </w:r>
      <w:r w:rsidRPr="00F55C17">
        <w:t>) compared with the 15</w:t>
      </w:r>
      <w:r w:rsidR="00F55C17" w:rsidRPr="00F55C17">
        <w:t xml:space="preserve"> mg u</w:t>
      </w:r>
      <w:r w:rsidRPr="00F55C17">
        <w:t xml:space="preserve">padacitinib group. Similar trend was observed in adolescents. </w:t>
      </w:r>
      <w:r w:rsidR="00F55C17" w:rsidRPr="00F55C17">
        <w:t>The common severe TEAEs (≥ 0.5 events/100 patient-years</w:t>
      </w:r>
      <w:r w:rsidRPr="00F55C17">
        <w:t xml:space="preserve">) which occurred at a higher exposure-adjusted event rate </w:t>
      </w:r>
      <w:r w:rsidR="00F55C17" w:rsidRPr="00F55C17">
        <w:t>in u</w:t>
      </w:r>
      <w:r w:rsidRPr="00F55C17">
        <w:t>p</w:t>
      </w:r>
      <w:r w:rsidR="00F55C17" w:rsidRPr="00F55C17">
        <w:t>adacitinib 30 mg compared with u</w:t>
      </w:r>
      <w:r w:rsidRPr="00F55C17">
        <w:t>padacitinib 15 mg were herpes zoster, blood creatine pho</w:t>
      </w:r>
      <w:r w:rsidR="00F55C17" w:rsidRPr="00F55C17">
        <w:t>sphokinase increased and asthma.</w:t>
      </w:r>
    </w:p>
    <w:p w14:paraId="5D505D79" w14:textId="166FB87B" w:rsidR="00A90D29" w:rsidRDefault="00A90D29" w:rsidP="00F55C17">
      <w:r w:rsidRPr="00F55C17">
        <w:t>The incidence of treatment-r</w:t>
      </w:r>
      <w:r w:rsidR="00F55C17">
        <w:t>elated TEAEs was higher in the u</w:t>
      </w:r>
      <w:r w:rsidRPr="00F55C17">
        <w:t xml:space="preserve">padacitinib groups compared with placebo (20.5%, 33.1% and 40.5% in placebo </w:t>
      </w:r>
      <w:r w:rsidR="00F55C17">
        <w:rPr>
          <w:lang w:val="en-US"/>
        </w:rPr>
        <w:t xml:space="preserve">upadacitinib </w:t>
      </w:r>
      <w:r w:rsidRPr="00F55C17">
        <w:t>15</w:t>
      </w:r>
      <w:r w:rsidR="00F55C17">
        <w:t xml:space="preserve"> </w:t>
      </w:r>
      <w:r w:rsidRPr="00F55C17">
        <w:t xml:space="preserve">mg and </w:t>
      </w:r>
      <w:r w:rsidR="00F55C17">
        <w:rPr>
          <w:lang w:val="en-US"/>
        </w:rPr>
        <w:t xml:space="preserve">upadacitinib </w:t>
      </w:r>
      <w:r w:rsidRPr="00F55C17">
        <w:t>30</w:t>
      </w:r>
      <w:r w:rsidR="00F55C17">
        <w:t xml:space="preserve"> </w:t>
      </w:r>
      <w:r w:rsidRPr="00F55C17">
        <w:t>mg groups, respectively) with similar trend observed in adolescents (12.2%, 30.7% and 35.1%, respectively)</w:t>
      </w:r>
      <w:r w:rsidR="00F55C17">
        <w:t>.</w:t>
      </w:r>
    </w:p>
    <w:p w14:paraId="57050AF1" w14:textId="46185ED2" w:rsidR="008F33A2" w:rsidRPr="00F55C17" w:rsidRDefault="008F33A2" w:rsidP="008F33A2">
      <w:pPr>
        <w:pStyle w:val="Heading5"/>
        <w:rPr>
          <w:rFonts w:eastAsia="TimesNewRoman"/>
        </w:rPr>
      </w:pPr>
      <w:r>
        <w:rPr>
          <w:rFonts w:eastAsia="TimesNewRoman"/>
        </w:rPr>
        <w:t>Treatment-related adverse events</w:t>
      </w:r>
    </w:p>
    <w:p w14:paraId="6F1EC9E3" w14:textId="239695AA" w:rsidR="00A90D29" w:rsidRPr="00F55C17" w:rsidRDefault="00A90D29" w:rsidP="00F55C17">
      <w:r w:rsidRPr="00F55C17">
        <w:t>The most common (&gt;</w:t>
      </w:r>
      <w:r w:rsidR="00F55C17">
        <w:t xml:space="preserve"> </w:t>
      </w:r>
      <w:r w:rsidRPr="00F55C17">
        <w:t xml:space="preserve">2% incidence) treatment-related </w:t>
      </w:r>
      <w:r w:rsidR="00F55C17">
        <w:t>adverse events</w:t>
      </w:r>
      <w:r w:rsidR="00E56461">
        <w:t xml:space="preserve"> in the u</w:t>
      </w:r>
      <w:r w:rsidRPr="00F55C17">
        <w:t xml:space="preserve">padacitinib groups were acne, </w:t>
      </w:r>
      <w:r w:rsidR="008F33A2">
        <w:rPr>
          <w:rFonts w:eastAsia="TimesNewRoman" w:cs="TimesNewRoman"/>
          <w:lang w:val="en-US"/>
        </w:rPr>
        <w:t xml:space="preserve">blood creatine phosphokinase </w:t>
      </w:r>
      <w:r w:rsidRPr="00F55C17">
        <w:t>increased, headache, nasopharyngitis, neutropenia, oral herpes, and upper respiratory tra</w:t>
      </w:r>
      <w:r w:rsidR="008F33A2">
        <w:t>ct infection. In the long-term upadacitinib Phase III atopic dermatitis</w:t>
      </w:r>
      <w:r w:rsidRPr="00F55C17">
        <w:t xml:space="preserve"> analysis set, acne, diarrhoea, herpes zoster, neutropenia, and oral herp</w:t>
      </w:r>
      <w:r w:rsidR="008F33A2">
        <w:t>es had higher rates in the u</w:t>
      </w:r>
      <w:r w:rsidRPr="00F55C17">
        <w:t>padaci</w:t>
      </w:r>
      <w:r w:rsidR="008F33A2">
        <w:t>tinib 30 mg group</w:t>
      </w:r>
      <w:r w:rsidR="00B51532">
        <w:t xml:space="preserve"> </w:t>
      </w:r>
      <w:r w:rsidR="008F33A2">
        <w:t>than in the upadacitinib 15 mg group.</w:t>
      </w:r>
    </w:p>
    <w:p w14:paraId="672FCDC2" w14:textId="4A1ADDC4" w:rsidR="00A90D29" w:rsidRPr="008F33A2" w:rsidRDefault="00A90D29" w:rsidP="008F33A2">
      <w:r w:rsidRPr="00F55C17">
        <w:t xml:space="preserve">New </w:t>
      </w:r>
      <w:r w:rsidR="008F33A2">
        <w:t>adverse drug reactions</w:t>
      </w:r>
      <w:r w:rsidRPr="00F55C17">
        <w:t xml:space="preserve"> identified in the </w:t>
      </w:r>
      <w:r w:rsidR="008F33A2">
        <w:t>atopic dermatitis</w:t>
      </w:r>
      <w:r w:rsidRPr="00F55C17">
        <w:t xml:space="preserve"> clinical program were folliculitis, influenza, anaemia, abdominal pain, fatigue, urti</w:t>
      </w:r>
      <w:r w:rsidR="008F33A2">
        <w:t>caria and headache.</w:t>
      </w:r>
    </w:p>
    <w:p w14:paraId="2FF5811E" w14:textId="08094002" w:rsidR="00A90D29" w:rsidRDefault="00A90D29" w:rsidP="008F33A2">
      <w:r w:rsidRPr="00E56461">
        <w:lastRenderedPageBreak/>
        <w:t xml:space="preserve">Furthermore, the frequency of a few existing </w:t>
      </w:r>
      <w:r w:rsidR="008F33A2" w:rsidRPr="00E56461">
        <w:t>adverse drug reactions</w:t>
      </w:r>
      <w:r w:rsidRPr="00E56461">
        <w:t xml:space="preserve"> was changed compared to what was observed in the </w:t>
      </w:r>
      <w:r w:rsidR="008F33A2" w:rsidRPr="00E56461">
        <w:t>rheumatoid arthritis</w:t>
      </w:r>
      <w:r w:rsidRPr="00E56461">
        <w:t xml:space="preserve"> clinical program: herpes simplex and herpes zoster </w:t>
      </w:r>
      <w:r w:rsidR="008F33A2" w:rsidRPr="00E56461">
        <w:t>were changed to common (</w:t>
      </w:r>
      <w:r w:rsidR="00CA216E">
        <w:t>≥</w:t>
      </w:r>
      <w:r w:rsidR="008F33A2" w:rsidRPr="00E56461">
        <w:t xml:space="preserve"> 1% to &lt;</w:t>
      </w:r>
      <w:r w:rsidRPr="00E56461">
        <w:t xml:space="preserve"> 10%) rather than uncommon (&lt; 1%). Acne was identified in the </w:t>
      </w:r>
      <w:r w:rsidR="008F33A2" w:rsidRPr="00E56461">
        <w:t>psoriatic arthritis</w:t>
      </w:r>
      <w:r w:rsidRPr="00E56461">
        <w:t xml:space="preserve"> clinical program at a common rate and meets the very common criteria (</w:t>
      </w:r>
      <w:r w:rsidR="00CA216E">
        <w:t>≥</w:t>
      </w:r>
      <w:r w:rsidR="008F33A2" w:rsidRPr="00362371">
        <w:t xml:space="preserve"> </w:t>
      </w:r>
      <w:r w:rsidRPr="00E56461">
        <w:t xml:space="preserve">10%) in the </w:t>
      </w:r>
      <w:r w:rsidR="008F33A2" w:rsidRPr="00E56461">
        <w:t>atopic dermatitis clinical program.</w:t>
      </w:r>
    </w:p>
    <w:p w14:paraId="4F862DCA" w14:textId="65E93629" w:rsidR="003C0D40" w:rsidRPr="00E56461" w:rsidRDefault="003C0D40">
      <w:r w:rsidRPr="00E56461">
        <w:t xml:space="preserve">Acne has been reported following administration of other JAK inhibitors although incidence of acne observed in the </w:t>
      </w:r>
      <w:r>
        <w:t>atopic dermatitis</w:t>
      </w:r>
      <w:r w:rsidRPr="00E56461">
        <w:t xml:space="preserve"> studies was much higher than that observed in the </w:t>
      </w:r>
      <w:r>
        <w:t>psoriasis</w:t>
      </w:r>
      <w:r w:rsidRPr="00E56461">
        <w:t xml:space="preserve"> or </w:t>
      </w:r>
      <w:r>
        <w:t>rheumatoid arthritis</w:t>
      </w:r>
      <w:r w:rsidRPr="00E56461">
        <w:t xml:space="preserve"> clinical studies. Overall, incidence of acne </w:t>
      </w:r>
      <w:r>
        <w:t>events was higher in u</w:t>
      </w:r>
      <w:r w:rsidRPr="00E56461">
        <w:t xml:space="preserve">padacitinib groups compared with placebo (2.2%, 10% and 15.8% in placebo, </w:t>
      </w:r>
      <w:r>
        <w:t>upadacitinib</w:t>
      </w:r>
      <w:r w:rsidRPr="00E56461">
        <w:t xml:space="preserve"> </w:t>
      </w:r>
      <w:r>
        <w:t>15 mg</w:t>
      </w:r>
      <w:r w:rsidRPr="00E56461">
        <w:t xml:space="preserve"> and </w:t>
      </w:r>
      <w:r>
        <w:t>upadacitinib</w:t>
      </w:r>
      <w:r w:rsidRPr="00E56461">
        <w:t xml:space="preserve"> </w:t>
      </w:r>
      <w:r>
        <w:t>30 mg</w:t>
      </w:r>
      <w:r w:rsidRPr="00E56461">
        <w:t xml:space="preserve"> groups, respectively) with similar trend observed in adolescents (0.9%, 14% an</w:t>
      </w:r>
      <w:r w:rsidRPr="00E56461">
        <w:rPr>
          <w:lang w:val="en-US"/>
        </w:rPr>
        <w:t>d 16.7%, respectively). No even</w:t>
      </w:r>
      <w:r>
        <w:rPr>
          <w:lang w:val="en-US"/>
        </w:rPr>
        <w:t>ts of acne were serious in the u</w:t>
      </w:r>
      <w:r w:rsidRPr="00E56461">
        <w:rPr>
          <w:lang w:val="en-US"/>
        </w:rPr>
        <w:t xml:space="preserve">padacitinib </w:t>
      </w:r>
      <w:r>
        <w:rPr>
          <w:lang w:val="en-US"/>
        </w:rPr>
        <w:t>treatment groups</w:t>
      </w:r>
      <w:r w:rsidRPr="00E56461">
        <w:rPr>
          <w:lang w:val="en-US"/>
        </w:rPr>
        <w:t xml:space="preserve"> and one (1) ev</w:t>
      </w:r>
      <w:r>
        <w:rPr>
          <w:lang w:val="en-US"/>
        </w:rPr>
        <w:t>ent was severe in a subject on u</w:t>
      </w:r>
      <w:r w:rsidRPr="00E56461">
        <w:rPr>
          <w:lang w:val="en-US"/>
        </w:rPr>
        <w:t>padacitinib 30 mg. Two (2) subjects discontinued study drug due to an AE of acne (1 each</w:t>
      </w:r>
      <w:r>
        <w:rPr>
          <w:lang w:val="en-US"/>
        </w:rPr>
        <w:t xml:space="preserve"> in 15 mg and 30 mg upadacitinib).</w:t>
      </w:r>
    </w:p>
    <w:p w14:paraId="7867161D" w14:textId="3BBA8F50" w:rsidR="00A90D29" w:rsidRPr="00E56461" w:rsidRDefault="008F33A2" w:rsidP="008F33A2">
      <w:pPr>
        <w:pStyle w:val="Heading5"/>
        <w:rPr>
          <w:rFonts w:eastAsia="TimesNewRoman"/>
        </w:rPr>
      </w:pPr>
      <w:r w:rsidRPr="00E56461">
        <w:t>Serious adverse events and deaths</w:t>
      </w:r>
    </w:p>
    <w:p w14:paraId="127AB969" w14:textId="39388839" w:rsidR="00A90D29" w:rsidRPr="00E56461" w:rsidRDefault="00A90D29" w:rsidP="008F33A2">
      <w:r w:rsidRPr="00E56461">
        <w:t>No deaths were</w:t>
      </w:r>
      <w:r w:rsidR="008F33A2" w:rsidRPr="00E56461">
        <w:t xml:space="preserve"> reported in the pivotal Phase III atopic dermatitis</w:t>
      </w:r>
      <w:r w:rsidRPr="00E56461">
        <w:t xml:space="preserve"> studies, but</w:t>
      </w:r>
      <w:r w:rsidR="008F33A2" w:rsidRPr="00E56461">
        <w:t xml:space="preserve"> 2 deaths were reported in the u</w:t>
      </w:r>
      <w:r w:rsidRPr="00E56461">
        <w:t>padacitinib 30</w:t>
      </w:r>
      <w:r w:rsidR="008F33A2" w:rsidRPr="00E56461">
        <w:t xml:space="preserve"> </w:t>
      </w:r>
      <w:r w:rsidRPr="00E56461">
        <w:t>mg group in the Phas</w:t>
      </w:r>
      <w:r w:rsidR="008F33A2" w:rsidRPr="00E56461">
        <w:t>e IIb dose-ranging Study M16</w:t>
      </w:r>
      <w:r w:rsidR="008F33A2" w:rsidRPr="00E56461">
        <w:noBreakHyphen/>
        <w:t>048.</w:t>
      </w:r>
    </w:p>
    <w:p w14:paraId="0927BABA" w14:textId="1D362B6B" w:rsidR="00A90D29" w:rsidRPr="00E56461" w:rsidRDefault="00A90D29" w:rsidP="008F33A2">
      <w:pPr>
        <w:rPr>
          <w:color w:val="000000"/>
        </w:rPr>
      </w:pPr>
      <w:r w:rsidRPr="00E56461">
        <w:t xml:space="preserve">The incidence of </w:t>
      </w:r>
      <w:r w:rsidR="008F33A2" w:rsidRPr="00E56461">
        <w:t>serious adverse events</w:t>
      </w:r>
      <w:r w:rsidRPr="00E56461">
        <w:t xml:space="preserve"> </w:t>
      </w:r>
      <w:r w:rsidR="008F33A2" w:rsidRPr="00E56461">
        <w:t>was similar in the u</w:t>
      </w:r>
      <w:r w:rsidRPr="00E56461">
        <w:t xml:space="preserve">padacitinib and placebo groups (2.9%, 2.1% and 2.1% in placebo </w:t>
      </w:r>
      <w:r w:rsidR="008F33A2" w:rsidRPr="00E56461">
        <w:t xml:space="preserve">upadacitinib </w:t>
      </w:r>
      <w:r w:rsidRPr="00E56461">
        <w:t>15</w:t>
      </w:r>
      <w:r w:rsidR="008F33A2" w:rsidRPr="00E56461">
        <w:t xml:space="preserve"> </w:t>
      </w:r>
      <w:r w:rsidRPr="00E56461">
        <w:t xml:space="preserve">mg and </w:t>
      </w:r>
      <w:r w:rsidR="008F33A2" w:rsidRPr="00E56461">
        <w:t xml:space="preserve">upadacitinib </w:t>
      </w:r>
      <w:r w:rsidRPr="00E56461">
        <w:t>30</w:t>
      </w:r>
      <w:r w:rsidR="008F33A2" w:rsidRPr="00E56461">
        <w:t xml:space="preserve"> mg groups, respectively). The m</w:t>
      </w:r>
      <w:r w:rsidRPr="00E56461">
        <w:t xml:space="preserve">ajority of </w:t>
      </w:r>
      <w:r w:rsidR="008F33A2" w:rsidRPr="00E56461">
        <w:t xml:space="preserve">serious adverse events (by </w:t>
      </w:r>
      <w:r w:rsidR="008F33A2" w:rsidRPr="008B1EE9">
        <w:t>MedDRA</w:t>
      </w:r>
      <w:r w:rsidR="008F33A2" w:rsidRPr="00E56461">
        <w:t xml:space="preserve"> Preferred Term</w:t>
      </w:r>
      <w:r w:rsidRPr="00E56461">
        <w:t>)</w:t>
      </w:r>
      <w:r w:rsidR="00C45A15">
        <w:rPr>
          <w:rStyle w:val="FootnoteReference"/>
        </w:rPr>
        <w:footnoteReference w:id="66"/>
      </w:r>
      <w:r w:rsidRPr="00E56461">
        <w:t xml:space="preserve"> were reported in one (1) subject per group, exce</w:t>
      </w:r>
      <w:r w:rsidR="008F33A2" w:rsidRPr="00E56461">
        <w:t>pt for anaphylactic reaction (2 </w:t>
      </w:r>
      <w:r w:rsidR="00E56461" w:rsidRPr="00E56461">
        <w:t>subjects in u</w:t>
      </w:r>
      <w:r w:rsidRPr="00E56461">
        <w:t xml:space="preserve">padacitinib 30 mg), appendicitis (3 </w:t>
      </w:r>
      <w:r w:rsidR="008F33A2" w:rsidRPr="00E56461">
        <w:t>subjects in upadacitinib 15 mg), retinal detachment (2 subjects in upadacitinib 15 mg), dermatitis atopic (6 subjects in place</w:t>
      </w:r>
      <w:r w:rsidR="00E56461" w:rsidRPr="00E56461">
        <w:t>bo), and dermatitis exfoliative, generalised;</w:t>
      </w:r>
      <w:r w:rsidR="008F33A2" w:rsidRPr="00E56461">
        <w:t xml:space="preserve"> and eczema (2 subjects in placebo).</w:t>
      </w:r>
    </w:p>
    <w:p w14:paraId="6989F3B0" w14:textId="3DF15F0A" w:rsidR="00E56461" w:rsidRDefault="00E56461" w:rsidP="00E56461">
      <w:r>
        <w:rPr>
          <w:rFonts w:eastAsia="TimesNewRoman" w:cs="TimesNewRoman"/>
        </w:rPr>
        <w:t>In the long-term u</w:t>
      </w:r>
      <w:r w:rsidR="00A90D29" w:rsidRPr="00E56461">
        <w:rPr>
          <w:rFonts w:eastAsia="TimesNewRoman" w:cs="TimesNewRoman"/>
        </w:rPr>
        <w:t xml:space="preserve">padacitinib </w:t>
      </w:r>
      <w:r>
        <w:rPr>
          <w:rFonts w:eastAsia="TimesNewRoman" w:cs="TimesNewRoman"/>
        </w:rPr>
        <w:t>atopic dermatitis</w:t>
      </w:r>
      <w:r w:rsidR="00A90D29" w:rsidRPr="00E56461">
        <w:rPr>
          <w:rFonts w:eastAsia="TimesNewRoman" w:cs="TimesNewRoman"/>
        </w:rPr>
        <w:t xml:space="preserve"> analysis set, </w:t>
      </w:r>
      <w:r>
        <w:t>serious adverse events</w:t>
      </w:r>
      <w:r w:rsidR="00A90D29" w:rsidRPr="00E56461">
        <w:t xml:space="preserve"> were sli</w:t>
      </w:r>
      <w:r>
        <w:t>ghtly more frequently reported (8.4 events/100 patient-years and 7.</w:t>
      </w:r>
      <w:r w:rsidRPr="00E56461">
        <w:t>1</w:t>
      </w:r>
      <w:r>
        <w:t> </w:t>
      </w:r>
      <w:r w:rsidRPr="00E56461">
        <w:t>events</w:t>
      </w:r>
      <w:r>
        <w:t>/100 patient-years</w:t>
      </w:r>
      <w:r w:rsidR="006149D9">
        <w:t>)</w:t>
      </w:r>
      <w:r>
        <w:t xml:space="preserve"> for the overall u</w:t>
      </w:r>
      <w:r w:rsidR="00A90D29" w:rsidRPr="00E56461">
        <w:t xml:space="preserve">padacitinib 30 mg </w:t>
      </w:r>
      <w:r>
        <w:t>and 15 mg groups, respectively.</w:t>
      </w:r>
    </w:p>
    <w:p w14:paraId="1634B464" w14:textId="26A51168" w:rsidR="003C0D40" w:rsidRPr="00E56461" w:rsidRDefault="00A90D29" w:rsidP="003C0D40">
      <w:r w:rsidRPr="00E56461">
        <w:t>The corresponding numbers fo</w:t>
      </w:r>
      <w:r w:rsidR="00E56461">
        <w:t>r adolescents were 5.6 and 4.9 events/100 patient</w:t>
      </w:r>
      <w:r w:rsidR="00E56461">
        <w:noBreakHyphen/>
        <w:t>years</w:t>
      </w:r>
      <w:r w:rsidRPr="00E56461">
        <w:t>, respectively</w:t>
      </w:r>
      <w:r w:rsidR="00E56461">
        <w:t>. Pneumonia (0.6 events/100 patient-years</w:t>
      </w:r>
      <w:r w:rsidRPr="00E56461">
        <w:t>) and derm</w:t>
      </w:r>
      <w:r w:rsidR="00E56461">
        <w:t>atitis atopic (worsening) (0.5 events/100 patient years</w:t>
      </w:r>
      <w:r w:rsidRPr="00E56461">
        <w:t>) were r</w:t>
      </w:r>
      <w:r w:rsidR="00E56461">
        <w:t>eported most frequently in the u</w:t>
      </w:r>
      <w:r w:rsidRPr="00E56461">
        <w:t xml:space="preserve">padacitinib 30 mg and </w:t>
      </w:r>
      <w:r w:rsidR="005D7175">
        <w:t>15 mg</w:t>
      </w:r>
      <w:r w:rsidRPr="00E56461">
        <w:t xml:space="preserve"> groups, respectively. Discontinuations due to AEs were reported more frequently</w:t>
      </w:r>
      <w:r w:rsidR="00E56461">
        <w:t xml:space="preserve"> in the placebo compared to the u</w:t>
      </w:r>
      <w:r w:rsidRPr="00E56461">
        <w:t xml:space="preserve">padacitinib groups mainly due to worsening of </w:t>
      </w:r>
      <w:r w:rsidR="00E56461">
        <w:t>atopic dermatitis.</w:t>
      </w:r>
    </w:p>
    <w:p w14:paraId="7EF91E11" w14:textId="253CC1F3" w:rsidR="003C0D40" w:rsidRPr="00E56461" w:rsidRDefault="003C0D40" w:rsidP="003C0D40">
      <w:pPr>
        <w:pStyle w:val="Heading5"/>
        <w:rPr>
          <w:rFonts w:eastAsia="TimesNewRoman"/>
        </w:rPr>
      </w:pPr>
      <w:r>
        <w:t>Adverse events of special interest</w:t>
      </w:r>
    </w:p>
    <w:p w14:paraId="55FD7927" w14:textId="6C40E92B" w:rsidR="00A90D29" w:rsidRPr="00025126" w:rsidRDefault="00A90D29" w:rsidP="00025126">
      <w:r w:rsidRPr="002553F4">
        <w:rPr>
          <w:lang w:val="en-US"/>
        </w:rPr>
        <w:t>Transient, asymptomatic transaminase elevations were observed in subjects treated with</w:t>
      </w:r>
      <w:r w:rsidR="005D7175">
        <w:rPr>
          <w:lang w:val="en-US"/>
        </w:rPr>
        <w:t xml:space="preserve"> upadacitinib</w:t>
      </w:r>
      <w:r w:rsidR="00025126">
        <w:rPr>
          <w:lang w:val="en-US"/>
        </w:rPr>
        <w:t xml:space="preserve"> and was similar between u</w:t>
      </w:r>
      <w:r w:rsidRPr="002553F4">
        <w:rPr>
          <w:lang w:val="en-US"/>
        </w:rPr>
        <w:t xml:space="preserve">padacitinib 30 mg and 15 mg. In both the </w:t>
      </w:r>
      <w:r w:rsidR="00025126">
        <w:rPr>
          <w:rFonts w:cs="TimesNewRoman,Bold"/>
          <w:bCs/>
          <w:lang w:val="en-US"/>
        </w:rPr>
        <w:t>placebo</w:t>
      </w:r>
      <w:r w:rsidR="00025126">
        <w:rPr>
          <w:rFonts w:cs="TimesNewRoman,Bold"/>
          <w:bCs/>
          <w:lang w:val="en-US"/>
        </w:rPr>
        <w:noBreakHyphen/>
      </w:r>
      <w:r w:rsidRPr="002553F4">
        <w:rPr>
          <w:rFonts w:cs="TimesNewRoman,Bold"/>
          <w:bCs/>
          <w:lang w:val="en-US"/>
        </w:rPr>
        <w:t xml:space="preserve">controlled </w:t>
      </w:r>
      <w:r w:rsidR="00025126">
        <w:rPr>
          <w:rFonts w:cs="TimesNewRoman,Bold"/>
          <w:bCs/>
          <w:lang w:val="en-US"/>
        </w:rPr>
        <w:t>atopic dermatitis a</w:t>
      </w:r>
      <w:r w:rsidRPr="002553F4">
        <w:rPr>
          <w:rFonts w:cs="TimesNewRoman,Bold"/>
          <w:bCs/>
          <w:lang w:val="en-US"/>
        </w:rPr>
        <w:t>na</w:t>
      </w:r>
      <w:r w:rsidR="00025126">
        <w:rPr>
          <w:rFonts w:cs="TimesNewRoman,Bold"/>
          <w:bCs/>
          <w:lang w:val="en-US"/>
        </w:rPr>
        <w:t>lysis s</w:t>
      </w:r>
      <w:r w:rsidRPr="002553F4">
        <w:rPr>
          <w:rFonts w:cs="TimesNewRoman,Bold"/>
          <w:bCs/>
          <w:lang w:val="en-US"/>
        </w:rPr>
        <w:t xml:space="preserve">et </w:t>
      </w:r>
      <w:r w:rsidRPr="002553F4">
        <w:rPr>
          <w:lang w:val="en-US"/>
        </w:rPr>
        <w:t xml:space="preserve">and </w:t>
      </w:r>
      <w:r w:rsidR="00025126" w:rsidRPr="002553F4">
        <w:rPr>
          <w:lang w:val="en-US"/>
        </w:rPr>
        <w:t xml:space="preserve">the </w:t>
      </w:r>
      <w:r w:rsidR="00025126">
        <w:rPr>
          <w:rFonts w:cs="TimesNewRoman,Bold"/>
          <w:bCs/>
          <w:lang w:val="en-US"/>
        </w:rPr>
        <w:t>long-term upadacitinib Phase III atopic dermatitis</w:t>
      </w:r>
      <w:r w:rsidR="00025126" w:rsidRPr="002553F4">
        <w:rPr>
          <w:rFonts w:cs="TimesNewRoman,Bold"/>
          <w:bCs/>
          <w:lang w:val="en-US"/>
        </w:rPr>
        <w:t xml:space="preserve"> analysis set</w:t>
      </w:r>
      <w:r w:rsidR="00025126" w:rsidRPr="002553F4">
        <w:rPr>
          <w:lang w:val="en-US"/>
        </w:rPr>
        <w:t>, th</w:t>
      </w:r>
      <w:r w:rsidRPr="002553F4">
        <w:rPr>
          <w:lang w:val="en-US"/>
        </w:rPr>
        <w:t xml:space="preserve">e percentages of subjects with </w:t>
      </w:r>
      <w:r w:rsidR="00025126">
        <w:rPr>
          <w:lang w:val="en-US"/>
        </w:rPr>
        <w:t>alanine transaminase (</w:t>
      </w:r>
      <w:r w:rsidRPr="002553F4">
        <w:rPr>
          <w:lang w:val="en-US"/>
        </w:rPr>
        <w:t>ALT</w:t>
      </w:r>
      <w:r w:rsidR="00025126">
        <w:rPr>
          <w:lang w:val="en-US"/>
        </w:rPr>
        <w:t>)</w:t>
      </w:r>
      <w:r w:rsidRPr="002553F4">
        <w:rPr>
          <w:lang w:val="en-US"/>
        </w:rPr>
        <w:t xml:space="preserve"> or </w:t>
      </w:r>
      <w:r w:rsidR="00025126">
        <w:rPr>
          <w:lang w:val="en-US"/>
        </w:rPr>
        <w:t>aspartate transaminase (</w:t>
      </w:r>
      <w:r w:rsidRPr="002553F4">
        <w:rPr>
          <w:lang w:val="en-US"/>
        </w:rPr>
        <w:t>AST</w:t>
      </w:r>
      <w:r w:rsidR="00025126">
        <w:rPr>
          <w:lang w:val="en-US"/>
        </w:rPr>
        <w:t>) ≥ 5 × upper limit of normal were less than 1% in both u</w:t>
      </w:r>
      <w:r w:rsidRPr="002553F4">
        <w:rPr>
          <w:lang w:val="en-US"/>
        </w:rPr>
        <w:t>padacitinib treatment groups. Transaminase elevations usually resolved or were resolving with study drug ongoing or temporary interrup</w:t>
      </w:r>
      <w:r w:rsidR="00025126">
        <w:rPr>
          <w:lang w:val="en-US"/>
        </w:rPr>
        <w:t xml:space="preserve">tion. No subjects treated with </w:t>
      </w:r>
      <w:r w:rsidR="00025126">
        <w:rPr>
          <w:lang w:val="en-US"/>
        </w:rPr>
        <w:lastRenderedPageBreak/>
        <w:t>u</w:t>
      </w:r>
      <w:r w:rsidRPr="002553F4">
        <w:rPr>
          <w:lang w:val="en-US"/>
        </w:rPr>
        <w:t xml:space="preserve">padacitinib in the </w:t>
      </w:r>
      <w:r w:rsidR="00025126">
        <w:rPr>
          <w:lang w:val="en-US"/>
        </w:rPr>
        <w:t>atopic dermatitis</w:t>
      </w:r>
      <w:r w:rsidRPr="002553F4">
        <w:rPr>
          <w:lang w:val="en-US"/>
        </w:rPr>
        <w:t xml:space="preserve"> clinical studies met criteria for Hy's Law</w:t>
      </w:r>
      <w:r w:rsidR="008B1EE9">
        <w:rPr>
          <w:lang w:val="en-US"/>
        </w:rPr>
        <w:t>;</w:t>
      </w:r>
      <w:r w:rsidR="008B1EE9">
        <w:rPr>
          <w:rStyle w:val="FootnoteReference"/>
          <w:lang w:val="en-US"/>
        </w:rPr>
        <w:footnoteReference w:id="67"/>
      </w:r>
      <w:r w:rsidRPr="002553F4">
        <w:rPr>
          <w:lang w:val="en-US"/>
        </w:rPr>
        <w:t xml:space="preserve"> and there were no re</w:t>
      </w:r>
      <w:r w:rsidR="00025126">
        <w:rPr>
          <w:lang w:val="en-US"/>
        </w:rPr>
        <w:t>ports of acute hepatic toxicity.</w:t>
      </w:r>
    </w:p>
    <w:p w14:paraId="0423BD94" w14:textId="6C70935C" w:rsidR="00A90D29" w:rsidRDefault="00A90D29" w:rsidP="00892332">
      <w:r w:rsidRPr="00025126">
        <w:rPr>
          <w:lang w:val="en-US"/>
        </w:rPr>
        <w:t xml:space="preserve">More subjects reported Grade 2 decrease in haemoglobin in the </w:t>
      </w:r>
      <w:r w:rsidR="0073427B" w:rsidRPr="00025126">
        <w:rPr>
          <w:lang w:val="en-US"/>
        </w:rPr>
        <w:t>upadacitinib</w:t>
      </w:r>
      <w:r w:rsidRPr="00025126">
        <w:rPr>
          <w:lang w:val="en-US"/>
        </w:rPr>
        <w:t xml:space="preserve"> </w:t>
      </w:r>
      <w:r w:rsidR="005D7175">
        <w:rPr>
          <w:lang w:val="en-US"/>
        </w:rPr>
        <w:t>30 mg</w:t>
      </w:r>
      <w:r w:rsidRPr="00025126">
        <w:rPr>
          <w:lang w:val="en-US"/>
        </w:rPr>
        <w:t xml:space="preserve"> group compared to one subject with a Grade 3 haemoglobin decrease. In the long term </w:t>
      </w:r>
      <w:r w:rsidR="00025126">
        <w:rPr>
          <w:lang w:val="en-US"/>
        </w:rPr>
        <w:t>atopic dermatitis</w:t>
      </w:r>
      <w:r w:rsidRPr="00025126">
        <w:rPr>
          <w:lang w:val="en-US"/>
        </w:rPr>
        <w:t xml:space="preserve"> analysis set, m</w:t>
      </w:r>
      <w:r w:rsidR="00025126">
        <w:rPr>
          <w:lang w:val="en-US"/>
        </w:rPr>
        <w:t>ean haemoglobin decrease (from B</w:t>
      </w:r>
      <w:r w:rsidRPr="00025126">
        <w:rPr>
          <w:lang w:val="en-US"/>
        </w:rPr>
        <w:t xml:space="preserve">aseline </w:t>
      </w:r>
      <w:r w:rsidR="00025126">
        <w:rPr>
          <w:lang w:val="en-US"/>
        </w:rPr>
        <w:t>to Week 52) was greater in the u</w:t>
      </w:r>
      <w:r w:rsidRPr="00025126">
        <w:rPr>
          <w:lang w:val="en-US"/>
        </w:rPr>
        <w:t>padacitinib 30 mg group compared wi</w:t>
      </w:r>
      <w:r w:rsidR="00025126">
        <w:rPr>
          <w:lang w:val="en-US"/>
        </w:rPr>
        <w:t>th the 15 mg group (–4.9 g/L versus</w:t>
      </w:r>
      <w:r w:rsidRPr="00025126">
        <w:rPr>
          <w:lang w:val="en-US"/>
        </w:rPr>
        <w:t xml:space="preserve"> –3.0 g/L, respectively).</w:t>
      </w:r>
      <w:r w:rsidR="00B51532">
        <w:rPr>
          <w:lang w:val="en-US"/>
        </w:rPr>
        <w:t xml:space="preserve"> </w:t>
      </w:r>
      <w:r w:rsidRPr="00025126">
        <w:rPr>
          <w:lang w:val="en-US"/>
        </w:rPr>
        <w:t xml:space="preserve">In the placebo-controlled </w:t>
      </w:r>
      <w:r w:rsidR="00025126">
        <w:rPr>
          <w:lang w:val="en-US"/>
        </w:rPr>
        <w:t>atopic dermatitis</w:t>
      </w:r>
      <w:r w:rsidRPr="00025126">
        <w:rPr>
          <w:lang w:val="en-US"/>
        </w:rPr>
        <w:t xml:space="preserve"> analysis set, </w:t>
      </w:r>
      <w:r w:rsidR="00892332">
        <w:rPr>
          <w:lang w:val="en-US"/>
        </w:rPr>
        <w:t>the incidence of more than</w:t>
      </w:r>
      <w:r w:rsidRPr="00025126">
        <w:rPr>
          <w:lang w:val="en-US"/>
        </w:rPr>
        <w:t xml:space="preserve"> Grade 3 decreases in neutrophils was higher in the </w:t>
      </w:r>
      <w:r w:rsidR="0073427B" w:rsidRPr="00025126">
        <w:rPr>
          <w:lang w:val="en-US"/>
        </w:rPr>
        <w:t>upadacitinib</w:t>
      </w:r>
      <w:r w:rsidRPr="00025126">
        <w:rPr>
          <w:lang w:val="en-US"/>
        </w:rPr>
        <w:t xml:space="preserve"> 30</w:t>
      </w:r>
      <w:r w:rsidR="00892332">
        <w:rPr>
          <w:lang w:val="en-US"/>
        </w:rPr>
        <w:t> </w:t>
      </w:r>
      <w:r w:rsidRPr="00025126">
        <w:rPr>
          <w:lang w:val="en-US"/>
        </w:rPr>
        <w:t xml:space="preserve">mg compared to the </w:t>
      </w:r>
      <w:r w:rsidR="0073427B" w:rsidRPr="00025126">
        <w:rPr>
          <w:lang w:val="en-US"/>
        </w:rPr>
        <w:t>upadacitinib</w:t>
      </w:r>
      <w:r w:rsidRPr="00025126">
        <w:rPr>
          <w:lang w:val="en-US"/>
        </w:rPr>
        <w:t xml:space="preserve"> 15</w:t>
      </w:r>
      <w:r w:rsidR="00892332">
        <w:rPr>
          <w:lang w:val="en-US"/>
        </w:rPr>
        <w:t> </w:t>
      </w:r>
      <w:r w:rsidRPr="00025126">
        <w:rPr>
          <w:lang w:val="en-US"/>
        </w:rPr>
        <w:t>mg group (1.3% v</w:t>
      </w:r>
      <w:r w:rsidR="00892332">
        <w:rPr>
          <w:lang w:val="en-US"/>
        </w:rPr>
        <w:t>ersu</w:t>
      </w:r>
      <w:r w:rsidRPr="00025126">
        <w:rPr>
          <w:lang w:val="en-US"/>
        </w:rPr>
        <w:t xml:space="preserve">s 0.4% and no reports in the placebo group). There were no reports of </w:t>
      </w:r>
      <w:r w:rsidRPr="00025126">
        <w:rPr>
          <w:u w:val="single"/>
          <w:lang w:val="en-US"/>
        </w:rPr>
        <w:t>&gt;</w:t>
      </w:r>
      <w:r w:rsidRPr="00025126">
        <w:rPr>
          <w:lang w:val="en-US"/>
        </w:rPr>
        <w:t xml:space="preserve"> Grade 4 decreases in neutrophils in any treatment group in the placebo-controlled analysis set, but there were 2 reports of Grade 4 neutropenia in the long-term </w:t>
      </w:r>
      <w:r w:rsidR="00892332">
        <w:rPr>
          <w:lang w:val="en-US"/>
        </w:rPr>
        <w:t>atopic dermatitis analysis set (both in the u</w:t>
      </w:r>
      <w:r w:rsidRPr="00025126">
        <w:rPr>
          <w:lang w:val="en-US"/>
        </w:rPr>
        <w:t>padacitinib 30</w:t>
      </w:r>
      <w:r w:rsidR="00892332">
        <w:rPr>
          <w:lang w:val="en-US"/>
        </w:rPr>
        <w:t> </w:t>
      </w:r>
      <w:r w:rsidRPr="00025126">
        <w:rPr>
          <w:lang w:val="en-US"/>
        </w:rPr>
        <w:t xml:space="preserve">mg group). There was a dose-related increase in the percentage of subjects with </w:t>
      </w:r>
      <w:r w:rsidR="00B865D6">
        <w:rPr>
          <w:lang w:val="en-US"/>
        </w:rPr>
        <w:t>treatment-emergent adverse events (</w:t>
      </w:r>
      <w:r w:rsidRPr="00025126">
        <w:rPr>
          <w:lang w:val="en-US"/>
        </w:rPr>
        <w:t>TEAEs</w:t>
      </w:r>
      <w:r w:rsidR="00B865D6">
        <w:rPr>
          <w:lang w:val="en-US"/>
        </w:rPr>
        <w:t>)</w:t>
      </w:r>
      <w:r w:rsidRPr="00025126">
        <w:rPr>
          <w:lang w:val="en-US"/>
        </w:rPr>
        <w:t xml:space="preserve"> of neutropenia (1.1%, 2.9% and 0.3% in the </w:t>
      </w:r>
      <w:r w:rsidR="0073427B" w:rsidRPr="00025126">
        <w:rPr>
          <w:lang w:val="en-US"/>
        </w:rPr>
        <w:t>upadacitinib</w:t>
      </w:r>
      <w:r w:rsidRPr="00025126">
        <w:rPr>
          <w:lang w:val="en-US"/>
        </w:rPr>
        <w:t xml:space="preserve"> 15</w:t>
      </w:r>
      <w:r w:rsidR="00892332">
        <w:rPr>
          <w:lang w:val="en-US"/>
        </w:rPr>
        <w:t xml:space="preserve"> </w:t>
      </w:r>
      <w:r w:rsidRPr="00025126">
        <w:rPr>
          <w:lang w:val="en-US"/>
        </w:rPr>
        <w:t xml:space="preserve">mg, </w:t>
      </w:r>
      <w:r w:rsidR="0073427B" w:rsidRPr="00025126">
        <w:rPr>
          <w:lang w:val="en-US"/>
        </w:rPr>
        <w:t>upadacitinib</w:t>
      </w:r>
      <w:r w:rsidRPr="00025126">
        <w:rPr>
          <w:lang w:val="en-US"/>
        </w:rPr>
        <w:t xml:space="preserve"> 30</w:t>
      </w:r>
      <w:r w:rsidR="00892332">
        <w:rPr>
          <w:lang w:val="en-US"/>
        </w:rPr>
        <w:t xml:space="preserve"> </w:t>
      </w:r>
      <w:r w:rsidRPr="00025126">
        <w:rPr>
          <w:lang w:val="en-US"/>
        </w:rPr>
        <w:t xml:space="preserve">mg and placebo groups, respectively) and 2 events of neutropenia (both in </w:t>
      </w:r>
      <w:r w:rsidR="0073427B" w:rsidRPr="00025126">
        <w:rPr>
          <w:lang w:val="en-US"/>
        </w:rPr>
        <w:t>upadacitinib</w:t>
      </w:r>
      <w:r w:rsidRPr="00025126">
        <w:rPr>
          <w:lang w:val="en-US"/>
        </w:rPr>
        <w:t xml:space="preserve"> 30</w:t>
      </w:r>
      <w:r w:rsidR="00892332">
        <w:rPr>
          <w:lang w:val="en-US"/>
        </w:rPr>
        <w:t xml:space="preserve"> </w:t>
      </w:r>
      <w:r w:rsidRPr="00025126">
        <w:rPr>
          <w:lang w:val="en-US"/>
        </w:rPr>
        <w:t xml:space="preserve">mg group) led to discontinuation of study drug although neither was associated with symptoms or infections. There were no clinically significant changes in lymphocyte or platelet counts. Similar changes in haematologic parameters were reported in the adolescents. </w:t>
      </w:r>
      <w:r w:rsidRPr="00025126">
        <w:t>There were no reports of agranulocytosis, aplastic anaemia or sev</w:t>
      </w:r>
      <w:r w:rsidR="0073427B" w:rsidRPr="00025126">
        <w:t>ere thrombocytopenia following u</w:t>
      </w:r>
      <w:r w:rsidRPr="00025126">
        <w:t xml:space="preserve">padacitinib treatment in the </w:t>
      </w:r>
      <w:r w:rsidR="0073427B" w:rsidRPr="00025126">
        <w:t>atopic dermatitis</w:t>
      </w:r>
      <w:r w:rsidR="00892332">
        <w:t xml:space="preserve"> clinical studies.</w:t>
      </w:r>
    </w:p>
    <w:p w14:paraId="6A2C8AEA" w14:textId="25999248" w:rsidR="00A90D29" w:rsidRPr="001613AF" w:rsidRDefault="00A90D29" w:rsidP="00892332">
      <w:pPr>
        <w:rPr>
          <w:rFonts w:eastAsia="TimesNewRoman" w:cs="TimesNewRoman"/>
          <w:lang w:val="en-US"/>
        </w:rPr>
      </w:pPr>
      <w:r w:rsidRPr="00892332">
        <w:t>Overall</w:t>
      </w:r>
      <w:r w:rsidRPr="001613AF">
        <w:t>, there were 3 reports of major adverse cardiovascular event</w:t>
      </w:r>
      <w:r w:rsidR="00892332">
        <w:t xml:space="preserve">s (MACE). One </w:t>
      </w:r>
      <w:r w:rsidRPr="001613AF">
        <w:t xml:space="preserve">in the </w:t>
      </w:r>
      <w:r w:rsidR="0073427B">
        <w:t>upadacitinib</w:t>
      </w:r>
      <w:r w:rsidRPr="001613AF">
        <w:t xml:space="preserve"> 30</w:t>
      </w:r>
      <w:r w:rsidR="00892332">
        <w:t xml:space="preserve"> </w:t>
      </w:r>
      <w:r w:rsidRPr="001613AF">
        <w:t>mg (</w:t>
      </w:r>
      <w:r w:rsidR="00B865D6">
        <w:t>cerebrovascular accident</w:t>
      </w:r>
      <w:r w:rsidRPr="001613AF">
        <w:t xml:space="preserve">) and 2 in the </w:t>
      </w:r>
      <w:r w:rsidR="0073427B">
        <w:t>upadacitinib</w:t>
      </w:r>
      <w:r w:rsidRPr="001613AF">
        <w:t xml:space="preserve"> 15</w:t>
      </w:r>
      <w:r w:rsidR="00B865D6">
        <w:t xml:space="preserve"> </w:t>
      </w:r>
      <w:r w:rsidRPr="001613AF">
        <w:t xml:space="preserve">mg group (ischaemic stroke and cerebellar haemorrhage) in the </w:t>
      </w:r>
      <w:r w:rsidR="00B865D6">
        <w:t>atopic dermatitis</w:t>
      </w:r>
      <w:r w:rsidRPr="001613AF">
        <w:t xml:space="preserve"> studies, but none of these were fatal and multiple </w:t>
      </w:r>
      <w:r w:rsidR="00B865D6">
        <w:t>cardiovascular</w:t>
      </w:r>
      <w:r w:rsidRPr="001613AF">
        <w:t xml:space="preserve"> risk factors were present in 2 of the 3 subjects. </w:t>
      </w:r>
      <w:r w:rsidRPr="001613AF">
        <w:rPr>
          <w:rFonts w:eastAsia="TimesNewRoman"/>
          <w:lang w:val="en-US"/>
        </w:rPr>
        <w:t xml:space="preserve">Although the demographics and proportion of subjects with </w:t>
      </w:r>
      <w:r w:rsidR="00B865D6">
        <w:rPr>
          <w:rFonts w:eastAsia="TimesNewRoman"/>
          <w:lang w:val="en-US"/>
        </w:rPr>
        <w:t>cardiovascular risk factors at B</w:t>
      </w:r>
      <w:r w:rsidRPr="001613AF">
        <w:rPr>
          <w:rFonts w:eastAsia="TimesNewRoman"/>
          <w:lang w:val="en-US"/>
        </w:rPr>
        <w:t xml:space="preserve">aseline were balanced among groups across the </w:t>
      </w:r>
      <w:r w:rsidR="00B865D6">
        <w:rPr>
          <w:rFonts w:eastAsia="TimesNewRoman" w:cs="TimesNewRoman,Bold"/>
          <w:bCs/>
          <w:lang w:val="en-US"/>
        </w:rPr>
        <w:t>placebo</w:t>
      </w:r>
      <w:r w:rsidRPr="001613AF">
        <w:rPr>
          <w:rFonts w:eastAsia="TimesNewRoman" w:cs="TimesNewRoman,Bold"/>
          <w:bCs/>
          <w:lang w:val="en-US"/>
        </w:rPr>
        <w:t xml:space="preserve">-controlled </w:t>
      </w:r>
      <w:r w:rsidR="00B865D6">
        <w:rPr>
          <w:rFonts w:eastAsia="TimesNewRoman" w:cs="TimesNewRoman,Bold"/>
          <w:bCs/>
          <w:lang w:val="en-US"/>
        </w:rPr>
        <w:t>atopic dermatitis analysis s</w:t>
      </w:r>
      <w:r w:rsidRPr="001613AF">
        <w:rPr>
          <w:rFonts w:eastAsia="TimesNewRoman" w:cs="TimesNewRoman,Bold"/>
          <w:bCs/>
          <w:lang w:val="en-US"/>
        </w:rPr>
        <w:t xml:space="preserve">et </w:t>
      </w:r>
      <w:r w:rsidRPr="001613AF">
        <w:rPr>
          <w:rFonts w:eastAsia="TimesNewRoman"/>
          <w:lang w:val="en-US"/>
        </w:rPr>
        <w:t xml:space="preserve">and </w:t>
      </w:r>
      <w:r w:rsidR="00B865D6">
        <w:rPr>
          <w:rFonts w:eastAsia="TimesNewRoman" w:cs="TimesNewRoman,Bold"/>
          <w:bCs/>
          <w:lang w:val="en-US"/>
        </w:rPr>
        <w:t>long-term upadacitinib Phase III</w:t>
      </w:r>
      <w:r w:rsidRPr="001613AF">
        <w:rPr>
          <w:rFonts w:eastAsia="TimesNewRoman" w:cs="TimesNewRoman,Bold"/>
          <w:bCs/>
          <w:lang w:val="en-US"/>
        </w:rPr>
        <w:t xml:space="preserve"> </w:t>
      </w:r>
      <w:r w:rsidR="00B865D6">
        <w:rPr>
          <w:rFonts w:eastAsia="TimesNewRoman" w:cs="TimesNewRoman,Bold"/>
          <w:bCs/>
          <w:lang w:val="en-US"/>
        </w:rPr>
        <w:t>atopic dermatitis</w:t>
      </w:r>
      <w:r w:rsidRPr="001613AF">
        <w:rPr>
          <w:rFonts w:eastAsia="TimesNewRoman" w:cs="TimesNewRoman,Bold"/>
          <w:bCs/>
          <w:lang w:val="en-US"/>
        </w:rPr>
        <w:t xml:space="preserve"> </w:t>
      </w:r>
      <w:r w:rsidR="00C45A15" w:rsidRPr="001613AF">
        <w:rPr>
          <w:rFonts w:eastAsia="TimesNewRoman" w:cs="TimesNewRoman,Bold"/>
          <w:bCs/>
          <w:lang w:val="en-US"/>
        </w:rPr>
        <w:t>analysis set</w:t>
      </w:r>
      <w:r w:rsidR="00C45A15" w:rsidRPr="001613AF">
        <w:rPr>
          <w:rFonts w:cs="TimesNewRoman,Bold"/>
          <w:bCs/>
          <w:lang w:val="en-US"/>
        </w:rPr>
        <w:t xml:space="preserve">, </w:t>
      </w:r>
      <w:r w:rsidRPr="001613AF">
        <w:rPr>
          <w:rFonts w:cs="TimesNewRoman,Bold"/>
          <w:bCs/>
          <w:lang w:val="en-US"/>
        </w:rPr>
        <w:t xml:space="preserve">the </w:t>
      </w:r>
      <w:r w:rsidRPr="001613AF">
        <w:rPr>
          <w:rFonts w:eastAsia="TimesNewRoman"/>
          <w:lang w:val="en-US"/>
        </w:rPr>
        <w:t xml:space="preserve">prevalence of </w:t>
      </w:r>
      <w:r w:rsidR="00C45A15">
        <w:rPr>
          <w:rFonts w:eastAsia="TimesNewRoman"/>
          <w:lang w:val="en-US"/>
        </w:rPr>
        <w:t>cardiovascular</w:t>
      </w:r>
      <w:r w:rsidRPr="001613AF">
        <w:rPr>
          <w:rFonts w:eastAsia="TimesNewRoman"/>
          <w:lang w:val="en-US"/>
        </w:rPr>
        <w:t xml:space="preserve"> risk factors such as hypertension and dyslipidemia was low. </w:t>
      </w:r>
      <w:r w:rsidRPr="001613AF">
        <w:rPr>
          <w:lang w:val="en-US"/>
        </w:rPr>
        <w:t xml:space="preserve">In the overall </w:t>
      </w:r>
      <w:r w:rsidR="00B865D6">
        <w:rPr>
          <w:lang w:val="en-US"/>
        </w:rPr>
        <w:t>atopic dermatitis</w:t>
      </w:r>
      <w:r w:rsidRPr="001613AF">
        <w:rPr>
          <w:lang w:val="en-US"/>
        </w:rPr>
        <w:t xml:space="preserve"> program, there was one (1) adjudicated </w:t>
      </w:r>
      <w:r w:rsidR="008B1EE9">
        <w:rPr>
          <w:lang w:val="en-US"/>
        </w:rPr>
        <w:t>venothrombotic</w:t>
      </w:r>
      <w:r w:rsidRPr="001613AF">
        <w:rPr>
          <w:lang w:val="en-US"/>
        </w:rPr>
        <w:t xml:space="preserve"> event</w:t>
      </w:r>
      <w:r w:rsidR="008B1EE9">
        <w:rPr>
          <w:lang w:val="en-US"/>
        </w:rPr>
        <w:t>s of pulmonary embolism</w:t>
      </w:r>
      <w:r w:rsidRPr="001613AF">
        <w:rPr>
          <w:lang w:val="en-US"/>
        </w:rPr>
        <w:t xml:space="preserve"> reported in a subject receiving</w:t>
      </w:r>
      <w:r w:rsidR="005D7175">
        <w:rPr>
          <w:lang w:val="en-US"/>
        </w:rPr>
        <w:t xml:space="preserve"> upadacitinib</w:t>
      </w:r>
      <w:r w:rsidRPr="001613AF">
        <w:rPr>
          <w:lang w:val="en-US"/>
        </w:rPr>
        <w:t xml:space="preserve"> 30 mg in the Phase </w:t>
      </w:r>
      <w:r w:rsidR="00DD6D4D">
        <w:rPr>
          <w:lang w:val="en-US"/>
        </w:rPr>
        <w:t>II</w:t>
      </w:r>
      <w:r w:rsidRPr="001613AF">
        <w:rPr>
          <w:lang w:val="en-US"/>
        </w:rPr>
        <w:t xml:space="preserve"> Study M16-048.</w:t>
      </w:r>
      <w:r w:rsidRPr="001613AF">
        <w:rPr>
          <w:rFonts w:eastAsia="TimesNewRoman" w:cs="TimesNewRoman"/>
          <w:lang w:val="en-US"/>
        </w:rPr>
        <w:t xml:space="preserve"> No adjudicated arterial thrombosis event occurred in subjects receiving</w:t>
      </w:r>
      <w:r w:rsidR="005D7175">
        <w:rPr>
          <w:rFonts w:eastAsia="TimesNewRoman" w:cs="TimesNewRoman"/>
          <w:lang w:val="en-US"/>
        </w:rPr>
        <w:t xml:space="preserve"> upadacitinib</w:t>
      </w:r>
      <w:r w:rsidRPr="001613AF">
        <w:rPr>
          <w:rFonts w:eastAsia="TimesNewRoman" w:cs="TimesNewRoman"/>
          <w:lang w:val="en-US"/>
        </w:rPr>
        <w:t xml:space="preserve"> through the data cutoff date;</w:t>
      </w:r>
    </w:p>
    <w:p w14:paraId="4F989692" w14:textId="52516E8B" w:rsidR="00A90D29" w:rsidRPr="002553F4" w:rsidRDefault="00A90D29" w:rsidP="00B87ED5">
      <w:pPr>
        <w:rPr>
          <w:rFonts w:cs="TimesNewRoman"/>
          <w:lang w:val="en-US"/>
        </w:rPr>
      </w:pPr>
      <w:r w:rsidRPr="002553F4">
        <w:t xml:space="preserve">In the </w:t>
      </w:r>
      <w:r w:rsidR="00B865D6">
        <w:t>placebo</w:t>
      </w:r>
      <w:r w:rsidRPr="002553F4">
        <w:t xml:space="preserve">-controlled </w:t>
      </w:r>
      <w:r w:rsidR="00B865D6">
        <w:t>atopic dermatitis</w:t>
      </w:r>
      <w:r w:rsidRPr="002553F4">
        <w:t xml:space="preserve"> analysis set, the incidence of serious infections was low and similar across the </w:t>
      </w:r>
      <w:r w:rsidR="0073427B">
        <w:t>upadacitinib</w:t>
      </w:r>
      <w:r w:rsidRPr="002553F4">
        <w:t xml:space="preserve"> </w:t>
      </w:r>
      <w:r w:rsidR="005D7175">
        <w:t>15 mg</w:t>
      </w:r>
      <w:r w:rsidRPr="002553F4">
        <w:t xml:space="preserve">, </w:t>
      </w:r>
      <w:r w:rsidR="0073427B">
        <w:t>upadacitinib</w:t>
      </w:r>
      <w:r w:rsidRPr="002553F4">
        <w:t xml:space="preserve"> </w:t>
      </w:r>
      <w:r w:rsidR="005D7175">
        <w:t>30 mg</w:t>
      </w:r>
      <w:r w:rsidRPr="002553F4">
        <w:t xml:space="preserve"> and placebo groups (0.8%, 0.4% and 0.6%, respectively). However, in the long-term</w:t>
      </w:r>
      <w:r w:rsidR="005D7175">
        <w:t xml:space="preserve"> upadacitinib</w:t>
      </w:r>
      <w:r w:rsidRPr="002553F4">
        <w:t xml:space="preserve"> </w:t>
      </w:r>
      <w:r w:rsidR="00B865D6">
        <w:t>atopic dermatitis</w:t>
      </w:r>
      <w:r w:rsidRPr="002553F4">
        <w:t xml:space="preserve"> analysis set, </w:t>
      </w:r>
      <w:r w:rsidRPr="002553F4">
        <w:rPr>
          <w:rFonts w:cs="TimesNewRoman"/>
          <w:lang w:val="en-US"/>
        </w:rPr>
        <w:t xml:space="preserve">the incidence of serious infections was higher in the </w:t>
      </w:r>
      <w:r w:rsidR="0073427B">
        <w:rPr>
          <w:rFonts w:cs="TimesNewRoman"/>
          <w:lang w:val="en-US"/>
        </w:rPr>
        <w:t>upadacitinib</w:t>
      </w:r>
      <w:r w:rsidRPr="002553F4">
        <w:rPr>
          <w:rFonts w:cs="TimesNewRoman"/>
          <w:lang w:val="en-US"/>
        </w:rPr>
        <w:t xml:space="preserve"> </w:t>
      </w:r>
      <w:r w:rsidR="005D7175">
        <w:rPr>
          <w:rFonts w:cs="TimesNewRoman"/>
          <w:lang w:val="en-US"/>
        </w:rPr>
        <w:t>30 mg</w:t>
      </w:r>
      <w:r w:rsidRPr="002553F4">
        <w:rPr>
          <w:rFonts w:cs="TimesNewRoman"/>
          <w:lang w:val="en-US"/>
        </w:rPr>
        <w:t xml:space="preserve"> group compared to the </w:t>
      </w:r>
      <w:r w:rsidR="0073427B">
        <w:rPr>
          <w:rFonts w:cs="TimesNewRoman"/>
          <w:lang w:val="en-US"/>
        </w:rPr>
        <w:t>upadacitinib</w:t>
      </w:r>
      <w:r w:rsidRPr="002553F4">
        <w:rPr>
          <w:rFonts w:cs="TimesNewRoman"/>
          <w:lang w:val="en-US"/>
        </w:rPr>
        <w:t xml:space="preserve"> </w:t>
      </w:r>
      <w:r w:rsidR="005D7175">
        <w:rPr>
          <w:rFonts w:cs="TimesNewRoman"/>
          <w:lang w:val="en-US"/>
        </w:rPr>
        <w:t>15 mg</w:t>
      </w:r>
      <w:r w:rsidRPr="002553F4">
        <w:rPr>
          <w:rFonts w:cs="TimesNewRoman"/>
          <w:lang w:val="en-US"/>
        </w:rPr>
        <w:t xml:space="preserve"> group (3.4 v</w:t>
      </w:r>
      <w:r w:rsidR="00C45A15">
        <w:rPr>
          <w:rFonts w:cs="TimesNewRoman"/>
          <w:lang w:val="en-US"/>
        </w:rPr>
        <w:t>ersus 2.4 </w:t>
      </w:r>
      <w:r w:rsidR="0073427B">
        <w:rPr>
          <w:rFonts w:cs="TimesNewRoman"/>
          <w:lang w:val="en-US"/>
        </w:rPr>
        <w:t>events/100 patient-years</w:t>
      </w:r>
      <w:r w:rsidRPr="002553F4">
        <w:rPr>
          <w:rFonts w:cs="TimesNewRoman"/>
          <w:lang w:val="en-US"/>
        </w:rPr>
        <w:t xml:space="preserve">) with more prominent dose-related incidence observed in adolescents (0.8 vs 5.6 </w:t>
      </w:r>
      <w:r w:rsidR="0073427B">
        <w:rPr>
          <w:rFonts w:cs="TimesNewRoman"/>
          <w:lang w:val="en-US"/>
        </w:rPr>
        <w:t>events/100 patient-years</w:t>
      </w:r>
      <w:r w:rsidRPr="002553F4">
        <w:rPr>
          <w:rFonts w:cs="TimesNewRoman"/>
          <w:lang w:val="en-US"/>
        </w:rPr>
        <w:t>). Pneumonia was report</w:t>
      </w:r>
      <w:r w:rsidR="005D7175">
        <w:rPr>
          <w:rFonts w:cs="TimesNewRoman"/>
          <w:lang w:val="en-US"/>
        </w:rPr>
        <w:t>ed most frequently.</w:t>
      </w:r>
    </w:p>
    <w:p w14:paraId="2CB7AFA3" w14:textId="176C34BE" w:rsidR="00A90D29" w:rsidRPr="002553F4" w:rsidRDefault="00A90D29" w:rsidP="00B865D6">
      <w:pPr>
        <w:rPr>
          <w:rFonts w:eastAsia="TimesNewRoman" w:cs="TimesNewRoman"/>
          <w:lang w:val="en-US"/>
        </w:rPr>
      </w:pPr>
      <w:r w:rsidRPr="002553F4">
        <w:rPr>
          <w:lang w:val="en-US"/>
        </w:rPr>
        <w:t xml:space="preserve">In the </w:t>
      </w:r>
      <w:r w:rsidR="00B865D6">
        <w:rPr>
          <w:rFonts w:cs="TimesNewRoman,Bold"/>
          <w:bCs/>
          <w:lang w:val="en-US"/>
        </w:rPr>
        <w:t>placebo</w:t>
      </w:r>
      <w:r w:rsidRPr="002553F4">
        <w:rPr>
          <w:rFonts w:cs="TimesNewRoman,Bold"/>
          <w:bCs/>
          <w:lang w:val="en-US"/>
        </w:rPr>
        <w:t xml:space="preserve">-controlled </w:t>
      </w:r>
      <w:r w:rsidR="00B865D6">
        <w:rPr>
          <w:rFonts w:cs="TimesNewRoman,Bold"/>
          <w:bCs/>
          <w:lang w:val="en-US"/>
        </w:rPr>
        <w:t>atopic dermatitis</w:t>
      </w:r>
      <w:r w:rsidRPr="002553F4">
        <w:rPr>
          <w:rFonts w:cs="TimesNewRoman,Bold"/>
          <w:bCs/>
          <w:lang w:val="en-US"/>
        </w:rPr>
        <w:t xml:space="preserve"> Analysis set</w:t>
      </w:r>
      <w:r w:rsidRPr="002553F4">
        <w:rPr>
          <w:lang w:val="en-US"/>
        </w:rPr>
        <w:t xml:space="preserve">, all the opportunistic infections excluding </w:t>
      </w:r>
      <w:r w:rsidR="00CA216E">
        <w:rPr>
          <w:lang w:val="en-US"/>
        </w:rPr>
        <w:t>tuberculosis (</w:t>
      </w:r>
      <w:r w:rsidRPr="002553F4">
        <w:rPr>
          <w:lang w:val="en-US"/>
        </w:rPr>
        <w:t>TB</w:t>
      </w:r>
      <w:r w:rsidR="00CA216E">
        <w:rPr>
          <w:lang w:val="en-US"/>
        </w:rPr>
        <w:t>)</w:t>
      </w:r>
      <w:r w:rsidRPr="002553F4">
        <w:rPr>
          <w:lang w:val="en-US"/>
        </w:rPr>
        <w:t xml:space="preserve"> and herpes zoster wer</w:t>
      </w:r>
      <w:r w:rsidR="00B865D6">
        <w:rPr>
          <w:lang w:val="en-US"/>
        </w:rPr>
        <w:t>e related to eczema herpeticum (</w:t>
      </w:r>
      <w:r w:rsidRPr="002553F4">
        <w:rPr>
          <w:lang w:val="en-US"/>
        </w:rPr>
        <w:t xml:space="preserve">disseminated viral infection in </w:t>
      </w:r>
      <w:r w:rsidR="00B865D6">
        <w:rPr>
          <w:lang w:val="en-US"/>
        </w:rPr>
        <w:t>atopic dermatitis)</w:t>
      </w:r>
      <w:r w:rsidRPr="002553F4">
        <w:rPr>
          <w:lang w:val="en-US"/>
        </w:rPr>
        <w:t>. The incidence of treatment-emergent eczema herpeticum was hi</w:t>
      </w:r>
      <w:r w:rsidR="00B865D6">
        <w:rPr>
          <w:lang w:val="en-US"/>
        </w:rPr>
        <w:t>gher in the u</w:t>
      </w:r>
      <w:r w:rsidRPr="002553F4">
        <w:rPr>
          <w:lang w:val="en-US"/>
        </w:rPr>
        <w:t xml:space="preserve">padacitinib groups compared with placebo (0.7%, 0.8% and 0.4% in the </w:t>
      </w:r>
      <w:r w:rsidR="0073427B">
        <w:t>upadacitinib</w:t>
      </w:r>
      <w:r w:rsidRPr="002553F4">
        <w:t xml:space="preserve"> 15</w:t>
      </w:r>
      <w:r w:rsidR="00B865D6">
        <w:t xml:space="preserve"> </w:t>
      </w:r>
      <w:r w:rsidRPr="002553F4">
        <w:t xml:space="preserve">mg, </w:t>
      </w:r>
      <w:r w:rsidR="0073427B">
        <w:t>upadacitinib</w:t>
      </w:r>
      <w:r w:rsidRPr="002553F4">
        <w:t xml:space="preserve"> 30</w:t>
      </w:r>
      <w:r w:rsidR="00B865D6">
        <w:t xml:space="preserve"> </w:t>
      </w:r>
      <w:r w:rsidRPr="002553F4">
        <w:t xml:space="preserve">mg and placebo groups, respectively). There was one (1) report of a </w:t>
      </w:r>
      <w:r w:rsidR="00B865D6">
        <w:t>serious adverse event</w:t>
      </w:r>
      <w:r w:rsidRPr="002553F4">
        <w:t xml:space="preserve"> of </w:t>
      </w:r>
      <w:r w:rsidRPr="002553F4">
        <w:rPr>
          <w:lang w:val="en-US"/>
        </w:rPr>
        <w:t xml:space="preserve">eczema herpeticum </w:t>
      </w:r>
      <w:r w:rsidRPr="002553F4">
        <w:rPr>
          <w:lang w:val="en-US"/>
        </w:rPr>
        <w:lastRenderedPageBreak/>
        <w:t xml:space="preserve">(considered treatment-related), but there were no deaths or discontinuations of study drug due to these events. No events of treatment-emergent opportunistic infections, excluding TB and herpes zoster, were reported in adolescent subjects. </w:t>
      </w:r>
      <w:r w:rsidRPr="002553F4">
        <w:rPr>
          <w:rFonts w:cs="TimesNewRoman"/>
          <w:lang w:val="en-US"/>
        </w:rPr>
        <w:t xml:space="preserve">In the </w:t>
      </w:r>
      <w:r w:rsidR="00B865D6">
        <w:rPr>
          <w:lang w:val="en-US"/>
        </w:rPr>
        <w:t>long-term u</w:t>
      </w:r>
      <w:r w:rsidR="008B1EE9">
        <w:rPr>
          <w:lang w:val="en-US"/>
        </w:rPr>
        <w:t>padacitinib Phase III</w:t>
      </w:r>
      <w:r w:rsidRPr="002553F4">
        <w:rPr>
          <w:lang w:val="en-US"/>
        </w:rPr>
        <w:t xml:space="preserve"> </w:t>
      </w:r>
      <w:r w:rsidR="00B865D6">
        <w:rPr>
          <w:lang w:val="en-US"/>
        </w:rPr>
        <w:t>atopic dermatitis a</w:t>
      </w:r>
      <w:r w:rsidR="00B87ED5">
        <w:rPr>
          <w:lang w:val="en-US"/>
        </w:rPr>
        <w:t>nalysis s</w:t>
      </w:r>
      <w:r w:rsidRPr="002553F4">
        <w:rPr>
          <w:lang w:val="en-US"/>
        </w:rPr>
        <w:t>et</w:t>
      </w:r>
      <w:r w:rsidRPr="002553F4">
        <w:rPr>
          <w:rFonts w:cs="TimesNewRoman"/>
          <w:lang w:val="en-US"/>
        </w:rPr>
        <w:t>, t</w:t>
      </w:r>
      <w:r w:rsidRPr="002553F4">
        <w:rPr>
          <w:rFonts w:eastAsia="TimesNewRoman" w:cs="TimesNewRoman"/>
          <w:lang w:val="en-US"/>
        </w:rPr>
        <w:t xml:space="preserve">he </w:t>
      </w:r>
      <w:r w:rsidR="00B87ED5">
        <w:rPr>
          <w:rFonts w:eastAsia="TimesNewRoman" w:cs="TimesNewRoman"/>
          <w:lang w:val="en-US"/>
        </w:rPr>
        <w:t xml:space="preserve">exposure-adjusted event rates </w:t>
      </w:r>
      <w:r w:rsidRPr="002553F4">
        <w:rPr>
          <w:rFonts w:eastAsia="TimesNewRoman" w:cs="TimesNewRoman"/>
          <w:lang w:val="en-US"/>
        </w:rPr>
        <w:t>of eczema herpeti</w:t>
      </w:r>
      <w:r w:rsidR="00B87ED5">
        <w:rPr>
          <w:rFonts w:eastAsia="TimesNewRoman" w:cs="TimesNewRoman"/>
          <w:lang w:val="en-US"/>
        </w:rPr>
        <w:t>cum were similar in the upadacitinib 30 mg (2.2 events/100 patient-years) and 15 mg groups (2.1 </w:t>
      </w:r>
      <w:r w:rsidR="005D7175">
        <w:rPr>
          <w:rFonts w:eastAsia="TimesNewRoman" w:cs="TimesNewRoman"/>
          <w:lang w:val="en-US"/>
        </w:rPr>
        <w:t>events</w:t>
      </w:r>
      <w:r w:rsidR="00B87ED5">
        <w:rPr>
          <w:rFonts w:eastAsia="TimesNewRoman" w:cs="TimesNewRoman"/>
          <w:lang w:val="en-US"/>
        </w:rPr>
        <w:t>/100 patient-years).</w:t>
      </w:r>
    </w:p>
    <w:p w14:paraId="486FA9B1" w14:textId="7AD21247" w:rsidR="00A90D29" w:rsidRPr="002553F4" w:rsidRDefault="00A90D29" w:rsidP="00B865D6">
      <w:pPr>
        <w:rPr>
          <w:lang w:val="en-US"/>
        </w:rPr>
      </w:pPr>
      <w:r w:rsidRPr="002553F4">
        <w:rPr>
          <w:lang w:val="en-US"/>
        </w:rPr>
        <w:t xml:space="preserve">In the </w:t>
      </w:r>
      <w:r w:rsidR="00B865D6">
        <w:rPr>
          <w:rFonts w:cs="TimesNewRoman,Bold"/>
          <w:bCs/>
          <w:lang w:val="en-US"/>
        </w:rPr>
        <w:t>placebo</w:t>
      </w:r>
      <w:r w:rsidRPr="002553F4">
        <w:rPr>
          <w:rFonts w:cs="TimesNewRoman,Bold"/>
          <w:bCs/>
          <w:lang w:val="en-US"/>
        </w:rPr>
        <w:t xml:space="preserve">-controlled </w:t>
      </w:r>
      <w:r w:rsidR="00B865D6">
        <w:rPr>
          <w:rFonts w:cs="TimesNewRoman,Bold"/>
          <w:bCs/>
          <w:lang w:val="en-US"/>
        </w:rPr>
        <w:t>atopic dermatitis a</w:t>
      </w:r>
      <w:r w:rsidRPr="002553F4">
        <w:rPr>
          <w:rFonts w:cs="TimesNewRoman,Bold"/>
          <w:bCs/>
          <w:lang w:val="en-US"/>
        </w:rPr>
        <w:t>nalysis set</w:t>
      </w:r>
      <w:r w:rsidRPr="002553F4">
        <w:rPr>
          <w:lang w:val="en-US"/>
        </w:rPr>
        <w:t>, the incidence of h</w:t>
      </w:r>
      <w:r w:rsidR="00B87ED5">
        <w:rPr>
          <w:lang w:val="en-US"/>
        </w:rPr>
        <w:t>erpes zoster was higher in the u</w:t>
      </w:r>
      <w:r w:rsidRPr="002553F4">
        <w:rPr>
          <w:lang w:val="en-US"/>
        </w:rPr>
        <w:t xml:space="preserve">padacitinib groups compared with placebo but no dose-related increase was observed (1.6%, 1.5% and 0.6% in the </w:t>
      </w:r>
      <w:r w:rsidR="0073427B">
        <w:t>upadacitinib</w:t>
      </w:r>
      <w:r w:rsidRPr="002553F4">
        <w:t xml:space="preserve"> 15</w:t>
      </w:r>
      <w:r w:rsidR="00B87ED5">
        <w:t xml:space="preserve"> </w:t>
      </w:r>
      <w:r w:rsidRPr="002553F4">
        <w:t xml:space="preserve">mg, </w:t>
      </w:r>
      <w:r w:rsidR="0073427B">
        <w:t>upadacitinib</w:t>
      </w:r>
      <w:r w:rsidRPr="002553F4">
        <w:t xml:space="preserve"> 30</w:t>
      </w:r>
      <w:r w:rsidR="00B87ED5">
        <w:t xml:space="preserve"> </w:t>
      </w:r>
      <w:r w:rsidRPr="002553F4">
        <w:t xml:space="preserve">mg and placebo groups, respectively). Most AEs of herpes zoster were mild or moderate in severity with no reports of </w:t>
      </w:r>
      <w:r w:rsidR="005D7175">
        <w:t>serious adverse events</w:t>
      </w:r>
      <w:r w:rsidRPr="002553F4">
        <w:t xml:space="preserve"> or discontinuations due to herpes zoster events. However, in the adolescents a higher incidence of herpes zoster was observed in the </w:t>
      </w:r>
      <w:r w:rsidR="0073427B">
        <w:t>upadacitinib</w:t>
      </w:r>
      <w:r w:rsidRPr="002553F4">
        <w:t xml:space="preserve"> </w:t>
      </w:r>
      <w:r w:rsidR="005D7175">
        <w:t>30 mg</w:t>
      </w:r>
      <w:r w:rsidR="00B865D6" w:rsidRPr="002553F4">
        <w:t xml:space="preserve"> compared to </w:t>
      </w:r>
      <w:r w:rsidR="00B865D6">
        <w:t>upadacitinib</w:t>
      </w:r>
      <w:r w:rsidR="00B865D6" w:rsidRPr="002553F4">
        <w:t xml:space="preserve"> 15</w:t>
      </w:r>
      <w:r w:rsidR="00B865D6">
        <w:t xml:space="preserve"> mg (2.6% versus</w:t>
      </w:r>
      <w:r w:rsidR="00B865D6" w:rsidRPr="002553F4">
        <w:t xml:space="preserve"> 0.9%) with no reports in the placebo group. </w:t>
      </w:r>
      <w:r w:rsidR="00B865D6">
        <w:rPr>
          <w:lang w:val="en-US"/>
        </w:rPr>
        <w:t>in the long-term upadacitinib Phase III</w:t>
      </w:r>
      <w:r w:rsidR="00B865D6" w:rsidRPr="002553F4">
        <w:rPr>
          <w:lang w:val="en-US"/>
        </w:rPr>
        <w:t xml:space="preserve"> </w:t>
      </w:r>
      <w:r w:rsidR="00B865D6">
        <w:rPr>
          <w:lang w:val="en-US"/>
        </w:rPr>
        <w:t>atopic dermatitis</w:t>
      </w:r>
      <w:r w:rsidR="00B865D6" w:rsidRPr="002553F4">
        <w:rPr>
          <w:lang w:val="en-US"/>
        </w:rPr>
        <w:t xml:space="preserve"> analysis set, the incidence of herpes zoster was higher </w:t>
      </w:r>
      <w:r w:rsidRPr="002553F4">
        <w:rPr>
          <w:lang w:val="en-US"/>
        </w:rPr>
        <w:t xml:space="preserve">in the </w:t>
      </w:r>
      <w:r w:rsidR="0073427B">
        <w:rPr>
          <w:lang w:val="en-US"/>
        </w:rPr>
        <w:t>upadacitinib</w:t>
      </w:r>
      <w:r w:rsidRPr="002553F4">
        <w:rPr>
          <w:lang w:val="en-US"/>
        </w:rPr>
        <w:t xml:space="preserve"> 30</w:t>
      </w:r>
      <w:r w:rsidR="00B865D6">
        <w:rPr>
          <w:lang w:val="en-US"/>
        </w:rPr>
        <w:t> </w:t>
      </w:r>
      <w:r w:rsidRPr="002553F4">
        <w:rPr>
          <w:lang w:val="en-US"/>
        </w:rPr>
        <w:t xml:space="preserve">mg compared to </w:t>
      </w:r>
      <w:r w:rsidR="0073427B">
        <w:rPr>
          <w:lang w:val="en-US"/>
        </w:rPr>
        <w:t>upadacitinib</w:t>
      </w:r>
      <w:r w:rsidRPr="002553F4">
        <w:rPr>
          <w:lang w:val="en-US"/>
        </w:rPr>
        <w:t xml:space="preserve"> 15</w:t>
      </w:r>
      <w:r w:rsidR="00B865D6">
        <w:rPr>
          <w:lang w:val="en-US"/>
        </w:rPr>
        <w:t> </w:t>
      </w:r>
      <w:r w:rsidRPr="002553F4">
        <w:rPr>
          <w:lang w:val="en-US"/>
        </w:rPr>
        <w:t>mg group with similar trends observed in the adolescents;</w:t>
      </w:r>
    </w:p>
    <w:p w14:paraId="35841999" w14:textId="7FC51095" w:rsidR="00A90D29" w:rsidRPr="002553F4" w:rsidRDefault="00A90D29" w:rsidP="00B865D6">
      <w:pPr>
        <w:rPr>
          <w:lang w:val="en-US"/>
        </w:rPr>
      </w:pPr>
      <w:r w:rsidRPr="002553F4">
        <w:rPr>
          <w:lang w:val="en-US"/>
        </w:rPr>
        <w:t xml:space="preserve">There was only one (1) active case of TB each in the </w:t>
      </w:r>
      <w:r w:rsidR="0073427B">
        <w:rPr>
          <w:lang w:val="en-US"/>
        </w:rPr>
        <w:t>upadacitinib</w:t>
      </w:r>
      <w:r w:rsidRPr="002553F4">
        <w:rPr>
          <w:lang w:val="en-US"/>
        </w:rPr>
        <w:t xml:space="preserve"> 30</w:t>
      </w:r>
      <w:r w:rsidR="00B865D6">
        <w:rPr>
          <w:lang w:val="en-US"/>
        </w:rPr>
        <w:t xml:space="preserve"> </w:t>
      </w:r>
      <w:r w:rsidRPr="002553F4">
        <w:rPr>
          <w:lang w:val="en-US"/>
        </w:rPr>
        <w:t>mg and 15</w:t>
      </w:r>
      <w:r w:rsidR="00B865D6">
        <w:rPr>
          <w:lang w:val="en-US"/>
        </w:rPr>
        <w:t xml:space="preserve"> </w:t>
      </w:r>
      <w:r w:rsidRPr="002553F4">
        <w:rPr>
          <w:lang w:val="en-US"/>
        </w:rPr>
        <w:t>mg group</w:t>
      </w:r>
      <w:r w:rsidR="00B865D6">
        <w:rPr>
          <w:lang w:val="en-US"/>
        </w:rPr>
        <w:t>s and no reports in adolescent subjects.</w:t>
      </w:r>
    </w:p>
    <w:p w14:paraId="77BEF952" w14:textId="1176D8AF" w:rsidR="00A90D29" w:rsidRPr="002553F4" w:rsidRDefault="00A90D29" w:rsidP="00B865D6">
      <w:pPr>
        <w:rPr>
          <w:lang w:val="en-US"/>
        </w:rPr>
      </w:pPr>
      <w:r w:rsidRPr="002553F4">
        <w:rPr>
          <w:lang w:val="en-US"/>
        </w:rPr>
        <w:t xml:space="preserve">In the </w:t>
      </w:r>
      <w:r w:rsidR="00B865D6">
        <w:rPr>
          <w:rFonts w:cs="TimesNewRoman,Bold"/>
          <w:bCs/>
          <w:lang w:val="en-US"/>
        </w:rPr>
        <w:t>placebo</w:t>
      </w:r>
      <w:r w:rsidRPr="002553F4">
        <w:rPr>
          <w:rFonts w:cs="TimesNewRoman,Bold"/>
          <w:bCs/>
          <w:lang w:val="en-US"/>
        </w:rPr>
        <w:t xml:space="preserve">-controlled </w:t>
      </w:r>
      <w:r w:rsidR="00B865D6" w:rsidRPr="002553F4">
        <w:rPr>
          <w:rFonts w:cs="TimesNewRoman,Bold"/>
          <w:bCs/>
          <w:lang w:val="en-US"/>
        </w:rPr>
        <w:t>analysis se</w:t>
      </w:r>
      <w:r w:rsidRPr="002553F4">
        <w:rPr>
          <w:rFonts w:cs="TimesNewRoman,Bold"/>
          <w:bCs/>
          <w:lang w:val="en-US"/>
        </w:rPr>
        <w:t>t</w:t>
      </w:r>
      <w:r w:rsidRPr="002553F4">
        <w:rPr>
          <w:lang w:val="en-US"/>
        </w:rPr>
        <w:t xml:space="preserve">, all malignancies excluding </w:t>
      </w:r>
      <w:r w:rsidRPr="002553F4">
        <w:rPr>
          <w:rFonts w:eastAsia="TimesNewRoman" w:cs="Calibri"/>
          <w:lang w:val="en-US"/>
        </w:rPr>
        <w:t xml:space="preserve">non-melanoma skin cancer </w:t>
      </w:r>
      <w:r w:rsidR="00B865D6">
        <w:rPr>
          <w:lang w:val="en-US"/>
        </w:rPr>
        <w:t>were reported in the u</w:t>
      </w:r>
      <w:r w:rsidRPr="002553F4">
        <w:rPr>
          <w:lang w:val="en-US"/>
        </w:rPr>
        <w:t xml:space="preserve">padacitinib 30 mg group (4 subjects, 0.4%); </w:t>
      </w:r>
      <w:r w:rsidR="00B865D6">
        <w:rPr>
          <w:lang w:val="en-US"/>
        </w:rPr>
        <w:t>non-melanoma skin cancer</w:t>
      </w:r>
      <w:r w:rsidRPr="002553F4">
        <w:rPr>
          <w:lang w:val="en-US"/>
        </w:rPr>
        <w:t xml:space="preserve"> was reported in 9.3%, 0.2% and 0% in the </w:t>
      </w:r>
      <w:r w:rsidR="0073427B">
        <w:t>upadacitinib</w:t>
      </w:r>
      <w:r w:rsidRPr="002553F4">
        <w:t xml:space="preserve"> 15</w:t>
      </w:r>
      <w:r w:rsidR="00B865D6">
        <w:t xml:space="preserve"> </w:t>
      </w:r>
      <w:r w:rsidRPr="002553F4">
        <w:t xml:space="preserve">mg, </w:t>
      </w:r>
      <w:r w:rsidR="0073427B">
        <w:t>upadacitinib</w:t>
      </w:r>
      <w:r w:rsidRPr="002553F4">
        <w:t xml:space="preserve"> 30</w:t>
      </w:r>
      <w:r w:rsidR="00B865D6">
        <w:t> </w:t>
      </w:r>
      <w:r w:rsidRPr="002553F4">
        <w:t xml:space="preserve">mg and placebo groups, respectively. </w:t>
      </w:r>
      <w:r w:rsidRPr="002553F4">
        <w:rPr>
          <w:lang w:val="en-US"/>
        </w:rPr>
        <w:t>In the l</w:t>
      </w:r>
      <w:r w:rsidR="00B865D6">
        <w:rPr>
          <w:rFonts w:cs="TimesNewRoman,Bold"/>
          <w:bCs/>
          <w:lang w:val="en-US"/>
        </w:rPr>
        <w:t>ong-term upadacitinib Phase III</w:t>
      </w:r>
      <w:r w:rsidRPr="002553F4">
        <w:rPr>
          <w:rFonts w:cs="TimesNewRoman,Bold"/>
          <w:bCs/>
          <w:lang w:val="en-US"/>
        </w:rPr>
        <w:t xml:space="preserve"> </w:t>
      </w:r>
      <w:r w:rsidR="00B865D6">
        <w:rPr>
          <w:rFonts w:cs="TimesNewRoman,Bold"/>
          <w:bCs/>
          <w:lang w:val="en-US"/>
        </w:rPr>
        <w:t>atopic dermatitis analysis s</w:t>
      </w:r>
      <w:r w:rsidRPr="002553F4">
        <w:rPr>
          <w:rFonts w:cs="TimesNewRoman,Bold"/>
          <w:bCs/>
          <w:lang w:val="en-US"/>
        </w:rPr>
        <w:t>et</w:t>
      </w:r>
      <w:r w:rsidRPr="002553F4">
        <w:rPr>
          <w:lang w:val="en-US"/>
        </w:rPr>
        <w:t xml:space="preserve">, the </w:t>
      </w:r>
      <w:r w:rsidRPr="002553F4">
        <w:rPr>
          <w:rFonts w:eastAsia="TimesNewRoman" w:cs="Calibri"/>
          <w:lang w:val="en-US"/>
        </w:rPr>
        <w:t>exposure-adjusted incidence rates</w:t>
      </w:r>
      <w:r w:rsidRPr="002553F4">
        <w:rPr>
          <w:lang w:val="en-US"/>
        </w:rPr>
        <w:t xml:space="preserve"> (EAIRs) of malignancy, excluding </w:t>
      </w:r>
      <w:r w:rsidR="00B865D6" w:rsidRPr="002553F4">
        <w:rPr>
          <w:rFonts w:eastAsia="TimesNewRoman" w:cs="Calibri"/>
          <w:lang w:val="en-US"/>
        </w:rPr>
        <w:t>non-melanoma skin cancer</w:t>
      </w:r>
      <w:r w:rsidR="00B865D6">
        <w:rPr>
          <w:lang w:val="en-US"/>
        </w:rPr>
        <w:t>, was 0.7 events/100 patient years in the u</w:t>
      </w:r>
      <w:r w:rsidRPr="002553F4">
        <w:rPr>
          <w:lang w:val="en-US"/>
        </w:rPr>
        <w:t xml:space="preserve">padacitinib 30 mg group; and there were no events of malignancy, excluding </w:t>
      </w:r>
      <w:r w:rsidR="005D7175">
        <w:rPr>
          <w:rFonts w:eastAsia="TimesNewRoman" w:cs="Calibri"/>
          <w:lang w:val="en-US"/>
        </w:rPr>
        <w:t>non-</w:t>
      </w:r>
      <w:r w:rsidR="00B865D6" w:rsidRPr="002553F4">
        <w:rPr>
          <w:rFonts w:eastAsia="TimesNewRoman" w:cs="Calibri"/>
          <w:lang w:val="en-US"/>
        </w:rPr>
        <w:t>melanoma skin cancer</w:t>
      </w:r>
      <w:r w:rsidR="00B865D6">
        <w:rPr>
          <w:lang w:val="en-US"/>
        </w:rPr>
        <w:t>, in the u</w:t>
      </w:r>
      <w:r w:rsidRPr="002553F4">
        <w:rPr>
          <w:lang w:val="en-US"/>
        </w:rPr>
        <w:t xml:space="preserve">padacitinib 15 mg group. The incidence of </w:t>
      </w:r>
      <w:r w:rsidR="00B865D6">
        <w:rPr>
          <w:rFonts w:eastAsia="TimesNewRoman" w:cs="Calibri"/>
          <w:lang w:val="en-US"/>
        </w:rPr>
        <w:t>non-melanoma skin cancer</w:t>
      </w:r>
      <w:r w:rsidR="00B865D6" w:rsidRPr="002553F4">
        <w:rPr>
          <w:lang w:val="en-US"/>
        </w:rPr>
        <w:t xml:space="preserve"> </w:t>
      </w:r>
      <w:r w:rsidRPr="002553F4">
        <w:rPr>
          <w:lang w:val="en-US"/>
        </w:rPr>
        <w:t xml:space="preserve">was similar in the </w:t>
      </w:r>
      <w:r w:rsidR="0073427B">
        <w:rPr>
          <w:lang w:val="en-US"/>
        </w:rPr>
        <w:t>upadacitinib</w:t>
      </w:r>
      <w:r w:rsidRPr="002553F4">
        <w:rPr>
          <w:lang w:val="en-US"/>
        </w:rPr>
        <w:t xml:space="preserve"> </w:t>
      </w:r>
      <w:r w:rsidR="005D7175">
        <w:rPr>
          <w:lang w:val="en-US"/>
        </w:rPr>
        <w:t>15 mg</w:t>
      </w:r>
      <w:r w:rsidRPr="002553F4">
        <w:rPr>
          <w:lang w:val="en-US"/>
        </w:rPr>
        <w:t xml:space="preserve"> (0.5 </w:t>
      </w:r>
      <w:r w:rsidR="0073427B">
        <w:rPr>
          <w:lang w:val="en-US"/>
        </w:rPr>
        <w:t>events/100 patient-years</w:t>
      </w:r>
      <w:r w:rsidRPr="002553F4">
        <w:rPr>
          <w:lang w:val="en-US"/>
        </w:rPr>
        <w:t xml:space="preserve">) and </w:t>
      </w:r>
      <w:r w:rsidR="0073427B">
        <w:rPr>
          <w:lang w:val="en-US"/>
        </w:rPr>
        <w:t>upadacitinib</w:t>
      </w:r>
      <w:r w:rsidRPr="002553F4">
        <w:rPr>
          <w:lang w:val="en-US"/>
        </w:rPr>
        <w:t xml:space="preserve"> </w:t>
      </w:r>
      <w:r w:rsidR="005D7175">
        <w:rPr>
          <w:lang w:val="en-US"/>
        </w:rPr>
        <w:t>30 mg</w:t>
      </w:r>
      <w:r w:rsidRPr="002553F4">
        <w:rPr>
          <w:lang w:val="en-US"/>
        </w:rPr>
        <w:t xml:space="preserve"> (0.3 </w:t>
      </w:r>
      <w:r w:rsidR="0073427B">
        <w:rPr>
          <w:lang w:val="en-US"/>
        </w:rPr>
        <w:t>events/100 patient-years</w:t>
      </w:r>
      <w:r w:rsidRPr="002553F4">
        <w:rPr>
          <w:lang w:val="en-US"/>
        </w:rPr>
        <w:t xml:space="preserve">) groups. There were no reports of </w:t>
      </w:r>
      <w:r w:rsidR="00B865D6">
        <w:rPr>
          <w:lang w:val="en-US"/>
        </w:rPr>
        <w:t>malignancies in the adolescents.</w:t>
      </w:r>
    </w:p>
    <w:p w14:paraId="71300837" w14:textId="0F8DA349" w:rsidR="0004308D" w:rsidRPr="00E56461" w:rsidRDefault="00A90D29" w:rsidP="00362371">
      <w:pPr>
        <w:autoSpaceDE w:val="0"/>
        <w:autoSpaceDN w:val="0"/>
        <w:adjustRightInd w:val="0"/>
      </w:pPr>
      <w:r w:rsidRPr="00B865D6">
        <w:rPr>
          <w:lang w:val="en-US"/>
        </w:rPr>
        <w:t xml:space="preserve">No treatment-emergent adjudicated </w:t>
      </w:r>
      <w:r w:rsidR="00B865D6">
        <w:rPr>
          <w:lang w:val="en-US"/>
        </w:rPr>
        <w:t>gastrointestinal</w:t>
      </w:r>
      <w:r w:rsidRPr="00B865D6">
        <w:rPr>
          <w:lang w:val="en-US"/>
        </w:rPr>
        <w:t xml:space="preserve"> perforations were reported in the upadacitinib </w:t>
      </w:r>
      <w:r w:rsidR="00B865D6" w:rsidRPr="00B865D6">
        <w:rPr>
          <w:lang w:val="en-US"/>
        </w:rPr>
        <w:t>atopic dermatitis</w:t>
      </w:r>
      <w:r w:rsidR="00B865D6">
        <w:rPr>
          <w:lang w:val="en-US"/>
        </w:rPr>
        <w:t xml:space="preserve"> clinical studies.</w:t>
      </w:r>
    </w:p>
    <w:p w14:paraId="5AB82236" w14:textId="19285478" w:rsidR="0004308D" w:rsidRPr="00E56461" w:rsidRDefault="0004308D" w:rsidP="0004308D">
      <w:pPr>
        <w:pStyle w:val="Heading5"/>
        <w:rPr>
          <w:rFonts w:eastAsia="TimesNewRoman"/>
        </w:rPr>
      </w:pPr>
      <w:r>
        <w:t>Other safety topics</w:t>
      </w:r>
    </w:p>
    <w:p w14:paraId="4032F5BC" w14:textId="77777777" w:rsidR="00B865D6" w:rsidRDefault="00B865D6" w:rsidP="00B865D6">
      <w:pPr>
        <w:rPr>
          <w:lang w:val="en-US"/>
        </w:rPr>
      </w:pPr>
      <w:r>
        <w:rPr>
          <w:lang w:val="en-US"/>
        </w:rPr>
        <w:t>Interpretation of effect of u</w:t>
      </w:r>
      <w:r w:rsidR="00A90D29" w:rsidRPr="00F2545C">
        <w:rPr>
          <w:lang w:val="en-US"/>
        </w:rPr>
        <w:t>padacitinib treatment on maturation and growth of adolescents was limited due to lack of adequate data on Tanner stage in majority of the adolescents in the placebo-cont</w:t>
      </w:r>
      <w:r>
        <w:rPr>
          <w:lang w:val="en-US"/>
        </w:rPr>
        <w:t>rolled and the long-term Phase III</w:t>
      </w:r>
      <w:r w:rsidR="00A90D29" w:rsidRPr="00F2545C">
        <w:rPr>
          <w:lang w:val="en-US"/>
        </w:rPr>
        <w:t xml:space="preserve"> </w:t>
      </w:r>
      <w:r>
        <w:rPr>
          <w:lang w:val="en-US"/>
        </w:rPr>
        <w:t>atopic dermatitis</w:t>
      </w:r>
      <w:r w:rsidR="00A90D29" w:rsidRPr="00F2545C">
        <w:rPr>
          <w:lang w:val="en-US"/>
        </w:rPr>
        <w:t xml:space="preserve"> analysis sets</w:t>
      </w:r>
      <w:r>
        <w:rPr>
          <w:lang w:val="en-US"/>
        </w:rPr>
        <w:t>.</w:t>
      </w:r>
    </w:p>
    <w:p w14:paraId="40E85A9D" w14:textId="587346B9" w:rsidR="00A90D29" w:rsidRPr="00B865D6" w:rsidRDefault="00A90D29" w:rsidP="00B865D6">
      <w:pPr>
        <w:rPr>
          <w:lang w:val="en-US"/>
        </w:rPr>
      </w:pPr>
      <w:r w:rsidRPr="00B865D6">
        <w:rPr>
          <w:lang w:val="en-US"/>
        </w:rPr>
        <w:t xml:space="preserve">Overall, race, age, sex, BMI, weight, </w:t>
      </w:r>
      <w:r w:rsidR="00B865D6">
        <w:rPr>
          <w:lang w:val="en-US"/>
        </w:rPr>
        <w:t xml:space="preserve">or </w:t>
      </w:r>
      <w:r w:rsidRPr="00B865D6">
        <w:rPr>
          <w:lang w:val="en-US"/>
        </w:rPr>
        <w:t xml:space="preserve">screening </w:t>
      </w:r>
      <w:r w:rsidR="00B865D6">
        <w:rPr>
          <w:lang w:val="en-US"/>
        </w:rPr>
        <w:t>estimated glomerular filtration rate (</w:t>
      </w:r>
      <w:r w:rsidRPr="00B865D6">
        <w:rPr>
          <w:lang w:val="en-US"/>
        </w:rPr>
        <w:t>eGFR</w:t>
      </w:r>
      <w:r w:rsidR="00B865D6">
        <w:rPr>
          <w:lang w:val="en-US"/>
        </w:rPr>
        <w:t>)</w:t>
      </w:r>
      <w:r w:rsidRPr="00B865D6">
        <w:rPr>
          <w:lang w:val="en-US"/>
        </w:rPr>
        <w:t xml:space="preserve"> did not have any significa</w:t>
      </w:r>
      <w:r w:rsidR="00B865D6">
        <w:rPr>
          <w:lang w:val="en-US"/>
        </w:rPr>
        <w:t>nt impact on safety profile of u</w:t>
      </w:r>
      <w:r w:rsidRPr="00B865D6">
        <w:rPr>
          <w:lang w:val="en-US"/>
        </w:rPr>
        <w:t xml:space="preserve">padacitinib in </w:t>
      </w:r>
      <w:r w:rsidR="00B865D6" w:rsidRPr="00B865D6">
        <w:rPr>
          <w:lang w:val="en-US"/>
        </w:rPr>
        <w:t>atopic dermatitis</w:t>
      </w:r>
      <w:r w:rsidRPr="00B865D6">
        <w:rPr>
          <w:lang w:val="en-US"/>
        </w:rPr>
        <w:t xml:space="preserve"> subjects, although interpretation was limited by smaller sample size in certain subgroups (non-</w:t>
      </w:r>
      <w:r w:rsidR="000E4896">
        <w:rPr>
          <w:lang w:val="en-US"/>
        </w:rPr>
        <w:t>W</w:t>
      </w:r>
      <w:r w:rsidRPr="00B865D6">
        <w:rPr>
          <w:lang w:val="en-US"/>
        </w:rPr>
        <w:t>hite</w:t>
      </w:r>
      <w:r w:rsidR="000E4896">
        <w:rPr>
          <w:lang w:val="en-US"/>
        </w:rPr>
        <w:t xml:space="preserve"> race populations</w:t>
      </w:r>
      <w:r w:rsidRPr="00B865D6">
        <w:rPr>
          <w:lang w:val="en-US"/>
        </w:rPr>
        <w:t xml:space="preserve">, </w:t>
      </w:r>
      <w:r w:rsidR="000E4896">
        <w:rPr>
          <w:lang w:val="en-US"/>
        </w:rPr>
        <w:t xml:space="preserve">those </w:t>
      </w:r>
      <w:r w:rsidRPr="00B865D6">
        <w:rPr>
          <w:lang w:val="en-US"/>
        </w:rPr>
        <w:t>age</w:t>
      </w:r>
      <w:r w:rsidR="000E4896">
        <w:rPr>
          <w:lang w:val="en-US"/>
        </w:rPr>
        <w:t>d</w:t>
      </w:r>
      <w:r w:rsidRPr="00B865D6">
        <w:rPr>
          <w:lang w:val="en-US"/>
        </w:rPr>
        <w:t xml:space="preserve"> &lt; 18</w:t>
      </w:r>
      <w:r w:rsidR="00B865D6">
        <w:rPr>
          <w:lang w:val="en-US"/>
        </w:rPr>
        <w:t xml:space="preserve"> </w:t>
      </w:r>
      <w:r w:rsidRPr="00B865D6">
        <w:rPr>
          <w:lang w:val="en-US"/>
        </w:rPr>
        <w:t xml:space="preserve">years, </w:t>
      </w:r>
      <w:r w:rsidR="000E4896">
        <w:rPr>
          <w:lang w:val="en-US"/>
        </w:rPr>
        <w:t xml:space="preserve">or </w:t>
      </w:r>
      <w:r w:rsidRPr="00B865D6">
        <w:rPr>
          <w:lang w:val="en-US"/>
        </w:rPr>
        <w:t>age</w:t>
      </w:r>
      <w:r w:rsidR="000E4896">
        <w:rPr>
          <w:lang w:val="en-US"/>
        </w:rPr>
        <w:t>d</w:t>
      </w:r>
      <w:r w:rsidRPr="00B865D6">
        <w:rPr>
          <w:lang w:val="en-US"/>
        </w:rPr>
        <w:t xml:space="preserve"> &gt; 65</w:t>
      </w:r>
      <w:r w:rsidR="00B865D6">
        <w:rPr>
          <w:lang w:val="en-US"/>
        </w:rPr>
        <w:t xml:space="preserve"> </w:t>
      </w:r>
      <w:r w:rsidRPr="00B865D6">
        <w:rPr>
          <w:lang w:val="en-US"/>
        </w:rPr>
        <w:t>years,</w:t>
      </w:r>
      <w:r w:rsidR="000E4896">
        <w:rPr>
          <w:lang w:val="en-US"/>
        </w:rPr>
        <w:t xml:space="preserve"> and those with</w:t>
      </w:r>
      <w:r w:rsidRPr="00B865D6">
        <w:rPr>
          <w:lang w:val="en-US"/>
        </w:rPr>
        <w:t xml:space="preserve"> </w:t>
      </w:r>
      <w:r w:rsidR="000E4896">
        <w:rPr>
          <w:lang w:val="en-US"/>
        </w:rPr>
        <w:t xml:space="preserve">a </w:t>
      </w:r>
      <w:r w:rsidR="00B865D6">
        <w:rPr>
          <w:rFonts w:eastAsia="TimesNewRoman" w:cs="TimesNewRoman"/>
          <w:lang w:val="en-US"/>
        </w:rPr>
        <w:t>screening eGFR ≥ 40 and &lt;</w:t>
      </w:r>
      <w:r w:rsidR="00B865D6">
        <w:t> </w:t>
      </w:r>
      <w:r w:rsidR="00B865D6">
        <w:rPr>
          <w:rFonts w:eastAsia="TimesNewRoman" w:cs="TimesNewRoman"/>
          <w:lang w:val="en-US"/>
        </w:rPr>
        <w:t>60 </w:t>
      </w:r>
      <w:r w:rsidRPr="00B865D6">
        <w:rPr>
          <w:rFonts w:eastAsia="TimesNewRoman" w:cs="TimesNewRoman"/>
          <w:lang w:val="en-US"/>
        </w:rPr>
        <w:t>mL/min/1.73 m</w:t>
      </w:r>
      <w:r w:rsidRPr="00B865D6">
        <w:rPr>
          <w:rFonts w:eastAsia="TimesNewRoman" w:cs="TimesNewRoman"/>
          <w:vertAlign w:val="superscript"/>
          <w:lang w:val="en-US"/>
        </w:rPr>
        <w:t>2</w:t>
      </w:r>
      <w:r w:rsidRPr="00B865D6">
        <w:rPr>
          <w:lang w:val="en-US"/>
        </w:rPr>
        <w:t>).</w:t>
      </w:r>
      <w:r w:rsidRPr="00B865D6">
        <w:rPr>
          <w:rFonts w:cs="TimesNewRoman"/>
          <w:lang w:val="en-US"/>
        </w:rPr>
        <w:t xml:space="preserve"> </w:t>
      </w:r>
      <w:r w:rsidRPr="00B865D6">
        <w:rPr>
          <w:rFonts w:eastAsia="TimesNewRoman" w:cs="TimesNewRoman"/>
          <w:lang w:val="en-US"/>
        </w:rPr>
        <w:t xml:space="preserve">Across the </w:t>
      </w:r>
      <w:r w:rsidR="00B865D6" w:rsidRPr="00B865D6">
        <w:rPr>
          <w:rFonts w:eastAsia="TimesNewRoman" w:cs="TimesNewRoman,Bold"/>
          <w:bCs/>
          <w:lang w:val="en-US"/>
        </w:rPr>
        <w:t>placebo</w:t>
      </w:r>
      <w:r w:rsidRPr="00B865D6">
        <w:rPr>
          <w:rFonts w:eastAsia="TimesNewRoman" w:cs="TimesNewRoman,Bold"/>
          <w:bCs/>
          <w:lang w:val="en-US"/>
        </w:rPr>
        <w:t xml:space="preserve">-controlled </w:t>
      </w:r>
      <w:r w:rsidR="00B865D6" w:rsidRPr="00B865D6">
        <w:rPr>
          <w:rFonts w:eastAsia="TimesNewRoman" w:cs="TimesNewRoman,Bold"/>
          <w:bCs/>
          <w:lang w:val="en-US"/>
        </w:rPr>
        <w:t>atopic dermatitis</w:t>
      </w:r>
      <w:r w:rsidRPr="00B865D6">
        <w:rPr>
          <w:rFonts w:eastAsia="TimesNewRoman" w:cs="TimesNewRoman,Bold"/>
          <w:bCs/>
          <w:lang w:val="en-US"/>
        </w:rPr>
        <w:t xml:space="preserve"> </w:t>
      </w:r>
      <w:r w:rsidR="00B865D6" w:rsidRPr="00B865D6">
        <w:rPr>
          <w:rFonts w:eastAsia="TimesNewRoman" w:cs="TimesNewRoman,Bold"/>
          <w:bCs/>
          <w:lang w:val="en-US"/>
        </w:rPr>
        <w:t xml:space="preserve">analysis set </w:t>
      </w:r>
      <w:r w:rsidR="00B865D6" w:rsidRPr="00B865D6">
        <w:rPr>
          <w:rFonts w:eastAsia="TimesNewRoman" w:cs="TimesNewRoman"/>
          <w:lang w:val="en-US"/>
        </w:rPr>
        <w:t>and the l</w:t>
      </w:r>
      <w:r w:rsidR="00B865D6" w:rsidRPr="00B865D6">
        <w:rPr>
          <w:rFonts w:eastAsia="TimesNewRoman" w:cs="TimesNewRoman,Bold"/>
          <w:bCs/>
          <w:lang w:val="en-US"/>
        </w:rPr>
        <w:t xml:space="preserve">ong-term upadacitinib </w:t>
      </w:r>
      <w:r w:rsidR="00B865D6">
        <w:rPr>
          <w:rFonts w:eastAsia="TimesNewRoman" w:cs="TimesNewRoman,Bold"/>
          <w:bCs/>
          <w:lang w:val="en-US"/>
        </w:rPr>
        <w:t>Phase III</w:t>
      </w:r>
      <w:r w:rsidRPr="00B865D6">
        <w:rPr>
          <w:rFonts w:eastAsia="TimesNewRoman" w:cs="TimesNewRoman,Bold"/>
          <w:bCs/>
          <w:lang w:val="en-US"/>
        </w:rPr>
        <w:t xml:space="preserve"> </w:t>
      </w:r>
      <w:r w:rsidR="00B865D6" w:rsidRPr="00B865D6">
        <w:rPr>
          <w:rFonts w:eastAsia="TimesNewRoman" w:cs="TimesNewRoman,Bold"/>
          <w:bCs/>
          <w:lang w:val="en-US"/>
        </w:rPr>
        <w:t>atopic dermatitis</w:t>
      </w:r>
      <w:r w:rsidRPr="00B865D6">
        <w:rPr>
          <w:rFonts w:eastAsia="TimesNewRoman" w:cs="TimesNewRoman,Bold"/>
          <w:bCs/>
          <w:lang w:val="en-US"/>
        </w:rPr>
        <w:t xml:space="preserve"> </w:t>
      </w:r>
      <w:r w:rsidR="00B865D6" w:rsidRPr="00B865D6">
        <w:rPr>
          <w:rFonts w:eastAsia="TimesNewRoman" w:cs="TimesNewRoman,Bold"/>
          <w:bCs/>
          <w:lang w:val="en-US"/>
        </w:rPr>
        <w:t xml:space="preserve">analysis set </w:t>
      </w:r>
      <w:r w:rsidR="00B865D6">
        <w:rPr>
          <w:rFonts w:eastAsia="TimesNewRoman" w:cs="TimesNewRoman"/>
          <w:lang w:val="en-US"/>
        </w:rPr>
        <w:t>and across the u</w:t>
      </w:r>
      <w:r w:rsidRPr="00B865D6">
        <w:rPr>
          <w:rFonts w:eastAsia="TimesNewRoman" w:cs="TimesNewRoman"/>
          <w:lang w:val="en-US"/>
        </w:rPr>
        <w:t xml:space="preserve">padacitinib treatment groups, the percentages of subjects with </w:t>
      </w:r>
      <w:r w:rsidR="005D7175">
        <w:rPr>
          <w:rFonts w:eastAsia="TimesNewRoman" w:cs="TimesNewRoman"/>
          <w:lang w:val="en-US"/>
        </w:rPr>
        <w:t>treatment-emergent adverse events (TEAEs)</w:t>
      </w:r>
      <w:r w:rsidRPr="00B865D6">
        <w:rPr>
          <w:rFonts w:eastAsia="TimesNewRoman" w:cs="TimesNewRoman"/>
          <w:lang w:val="en-US"/>
        </w:rPr>
        <w:t xml:space="preserve">, </w:t>
      </w:r>
      <w:r w:rsidR="00B865D6">
        <w:rPr>
          <w:rFonts w:eastAsia="TimesNewRoman" w:cs="TimesNewRoman"/>
          <w:lang w:val="en-US"/>
        </w:rPr>
        <w:t>serious adverse events</w:t>
      </w:r>
      <w:r w:rsidRPr="00B865D6">
        <w:rPr>
          <w:rFonts w:eastAsia="TimesNewRoman" w:cs="TimesNewRoman"/>
          <w:lang w:val="en-US"/>
        </w:rPr>
        <w:t>, severe TEAEs, and TEAEs leading to discontinuation were generally similar between the</w:t>
      </w:r>
      <w:r w:rsidR="005D7175">
        <w:rPr>
          <w:rFonts w:eastAsia="TimesNewRoman" w:cs="TimesNewRoman"/>
          <w:lang w:val="en-US"/>
        </w:rPr>
        <w:t xml:space="preserve"> upadacitinib</w:t>
      </w:r>
      <w:r w:rsidRPr="00B865D6">
        <w:rPr>
          <w:rFonts w:eastAsia="TimesNewRoman" w:cs="TimesNewRoman"/>
          <w:lang w:val="en-US"/>
        </w:rPr>
        <w:t xml:space="preserve"> monotherapy and</w:t>
      </w:r>
      <w:r w:rsidR="005D7175">
        <w:rPr>
          <w:rFonts w:eastAsia="TimesNewRoman" w:cs="TimesNewRoman"/>
          <w:lang w:val="en-US"/>
        </w:rPr>
        <w:t xml:space="preserve"> upadacitinib combination therapy subgroups.</w:t>
      </w:r>
    </w:p>
    <w:p w14:paraId="4232BA70" w14:textId="6F84DF97" w:rsidR="00AE6E33" w:rsidRPr="008B1EE9" w:rsidRDefault="005D7175" w:rsidP="00E62B8D">
      <w:pPr>
        <w:rPr>
          <w:color w:val="2808E8"/>
          <w:lang w:val="en-US"/>
        </w:rPr>
      </w:pPr>
      <w:r>
        <w:rPr>
          <w:lang w:val="en-US"/>
        </w:rPr>
        <w:t>Post-</w:t>
      </w:r>
      <w:r w:rsidR="00A90D29" w:rsidRPr="00F2545C">
        <w:rPr>
          <w:lang w:val="en-US"/>
        </w:rPr>
        <w:t xml:space="preserve">marketing data on currently approved </w:t>
      </w:r>
      <w:r>
        <w:rPr>
          <w:lang w:val="en-US"/>
        </w:rPr>
        <w:t>15 mg upadacitinib</w:t>
      </w:r>
      <w:r w:rsidR="00A90D29" w:rsidRPr="00F2545C">
        <w:rPr>
          <w:lang w:val="en-US"/>
        </w:rPr>
        <w:t xml:space="preserve"> dose did not reveal new safety concerns. However, integ</w:t>
      </w:r>
      <w:r>
        <w:rPr>
          <w:lang w:val="en-US"/>
        </w:rPr>
        <w:t>rated data from ongoing global rheumatoid arthritis</w:t>
      </w:r>
      <w:r w:rsidR="00A90D29" w:rsidRPr="00F2545C">
        <w:rPr>
          <w:lang w:val="en-US"/>
        </w:rPr>
        <w:t xml:space="preserve"> studies showed that event rate per 100 patient years for </w:t>
      </w:r>
      <w:r>
        <w:rPr>
          <w:lang w:val="en-US"/>
        </w:rPr>
        <w:t>serious adverse events</w:t>
      </w:r>
      <w:r w:rsidR="00A90D29" w:rsidRPr="00F2545C">
        <w:rPr>
          <w:lang w:val="en-US"/>
        </w:rPr>
        <w:t xml:space="preserve"> and </w:t>
      </w:r>
      <w:r w:rsidR="00A90D29" w:rsidRPr="00F2545C">
        <w:rPr>
          <w:lang w:val="en-US"/>
        </w:rPr>
        <w:lastRenderedPageBreak/>
        <w:t>TEAEs leading to discontinuation continued to be higher in the</w:t>
      </w:r>
      <w:r>
        <w:rPr>
          <w:lang w:val="en-US"/>
        </w:rPr>
        <w:t xml:space="preserve"> upadacitinib</w:t>
      </w:r>
      <w:r w:rsidR="00A90D29" w:rsidRPr="00F2545C">
        <w:rPr>
          <w:lang w:val="en-US"/>
        </w:rPr>
        <w:t xml:space="preserve"> 30 mg group compared to the 15 mg group. Hence, during the reporting interval of submitted </w:t>
      </w:r>
      <w:r>
        <w:rPr>
          <w:lang w:val="en-US"/>
        </w:rPr>
        <w:t>periodic safety update report</w:t>
      </w:r>
      <w:r w:rsidR="00A90D29" w:rsidRPr="00F2545C">
        <w:rPr>
          <w:lang w:val="en-US"/>
        </w:rPr>
        <w:t xml:space="preserve"> (</w:t>
      </w:r>
      <w:r>
        <w:rPr>
          <w:lang w:val="en-US"/>
        </w:rPr>
        <w:t xml:space="preserve">for the period of </w:t>
      </w:r>
      <w:r w:rsidR="00A90D29" w:rsidRPr="00F2545C">
        <w:rPr>
          <w:lang w:val="en-US"/>
        </w:rPr>
        <w:t>Feb</w:t>
      </w:r>
      <w:r>
        <w:rPr>
          <w:lang w:val="en-US"/>
        </w:rPr>
        <w:t xml:space="preserve">ruary to </w:t>
      </w:r>
      <w:r w:rsidR="00A90D29" w:rsidRPr="00F2545C">
        <w:rPr>
          <w:lang w:val="en-US"/>
        </w:rPr>
        <w:t>Aug</w:t>
      </w:r>
      <w:r>
        <w:rPr>
          <w:lang w:val="en-US"/>
        </w:rPr>
        <w:t>ust</w:t>
      </w:r>
      <w:r w:rsidR="00A90D29" w:rsidRPr="00F2545C">
        <w:rPr>
          <w:lang w:val="en-US"/>
        </w:rPr>
        <w:t xml:space="preserve"> 2020), the decision was made </w:t>
      </w:r>
      <w:r w:rsidR="00A90D29" w:rsidRPr="005D7175">
        <w:t xml:space="preserve">to amend the </w:t>
      </w:r>
      <w:r>
        <w:t>rheumatoid arthritis</w:t>
      </w:r>
      <w:r w:rsidR="00A90D29" w:rsidRPr="005D7175">
        <w:t xml:space="preserve"> studies to switch subjects from 30 mg </w:t>
      </w:r>
      <w:r>
        <w:t>once daily to 15 </w:t>
      </w:r>
      <w:r w:rsidR="00A90D29" w:rsidRPr="005D7175">
        <w:t xml:space="preserve">mg </w:t>
      </w:r>
      <w:r>
        <w:t>once daily</w:t>
      </w:r>
      <w:r w:rsidR="00A90D29" w:rsidRPr="005D7175">
        <w:t xml:space="preserve"> due to the 15 mg dose demonstrating the optimal benefit risk profile in patients with </w:t>
      </w:r>
      <w:r>
        <w:t>rheumatoid arthritis</w:t>
      </w:r>
      <w:r w:rsidR="00A90D29" w:rsidRPr="005D7175">
        <w:t xml:space="preserve"> and being an approved marketed dose for </w:t>
      </w:r>
      <w:r>
        <w:t>that indication.</w:t>
      </w:r>
    </w:p>
    <w:p w14:paraId="21463C10" w14:textId="7C67A945" w:rsidR="00456765" w:rsidRDefault="009A7761" w:rsidP="009A7761">
      <w:pPr>
        <w:pStyle w:val="Heading4"/>
      </w:pPr>
      <w:bookmarkStart w:id="143" w:name="_Toc314842514"/>
      <w:r>
        <w:t>Conclusions and r</w:t>
      </w:r>
      <w:r w:rsidR="007B6132" w:rsidRPr="007B6132">
        <w:t>ecommendation</w:t>
      </w:r>
      <w:r>
        <w:t xml:space="preserve"> </w:t>
      </w:r>
      <w:r w:rsidR="00C45A15">
        <w:t>of the clinical data from the clinical evaluation</w:t>
      </w:r>
    </w:p>
    <w:p w14:paraId="6885FC30" w14:textId="29E06CF1" w:rsidR="009A7761" w:rsidRDefault="009A7761" w:rsidP="009A7761">
      <w:pPr>
        <w:pStyle w:val="Heading5"/>
      </w:pPr>
      <w:bookmarkStart w:id="144" w:name="_Toc49270068"/>
      <w:r w:rsidRPr="0065368C">
        <w:t>Assessment of benefits</w:t>
      </w:r>
      <w:bookmarkEnd w:id="144"/>
    </w:p>
    <w:p w14:paraId="2B7C1EC3" w14:textId="26715573" w:rsidR="009A7761" w:rsidRDefault="009A7761" w:rsidP="009A7761">
      <w:r>
        <w:fldChar w:fldCharType="begin"/>
      </w:r>
      <w:r>
        <w:instrText xml:space="preserve"> REF _Ref125551879 \h </w:instrText>
      </w:r>
      <w:r>
        <w:fldChar w:fldCharType="separate"/>
      </w:r>
      <w:r w:rsidR="00B51532">
        <w:t xml:space="preserve">Table </w:t>
      </w:r>
      <w:r w:rsidR="00B51532">
        <w:rPr>
          <w:noProof/>
        </w:rPr>
        <w:t>42</w:t>
      </w:r>
      <w:r>
        <w:fldChar w:fldCharType="end"/>
      </w:r>
      <w:r>
        <w:t>, shown below, summarises the benefits found through the TGA’s clinical evaluation of the data submitted for the following proposed indication:</w:t>
      </w:r>
    </w:p>
    <w:p w14:paraId="37F5DABC" w14:textId="607FEE75" w:rsidR="009A7761" w:rsidRPr="009A7761" w:rsidRDefault="009A7761" w:rsidP="009A7761">
      <w:pPr>
        <w:ind w:left="720"/>
        <w:rPr>
          <w:i/>
        </w:rPr>
      </w:pPr>
      <w:r w:rsidRPr="009A7761">
        <w:rPr>
          <w:i/>
        </w:rPr>
        <w:t>Rinvoq is indicated for the treatment of adults and adolescents 12 years and ol</w:t>
      </w:r>
      <w:r>
        <w:rPr>
          <w:i/>
        </w:rPr>
        <w:t>der with</w:t>
      </w:r>
      <w:r w:rsidRPr="009A7761">
        <w:rPr>
          <w:i/>
        </w:rPr>
        <w:t xml:space="preserve"> moderate to severe atopic dermatitis who are candidates for systemic therapy.</w:t>
      </w:r>
    </w:p>
    <w:p w14:paraId="5F0DA0B7" w14:textId="5FB13A30" w:rsidR="009A7761" w:rsidRPr="009A7761" w:rsidRDefault="009A7761" w:rsidP="009A7761">
      <w:pPr>
        <w:pStyle w:val="Tabletitle0"/>
      </w:pPr>
      <w:bookmarkStart w:id="145" w:name="_Ref125551879"/>
      <w:r>
        <w:t xml:space="preserve">Table </w:t>
      </w:r>
      <w:fldSimple w:instr=" SEQ Table \* ARABIC ">
        <w:r w:rsidR="00B51532">
          <w:rPr>
            <w:noProof/>
          </w:rPr>
          <w:t>42</w:t>
        </w:r>
      </w:fldSimple>
      <w:bookmarkEnd w:id="145"/>
      <w:r>
        <w:t>: Assessment of benefits for the proposed indication</w:t>
      </w:r>
    </w:p>
    <w:tbl>
      <w:tblPr>
        <w:tblStyle w:val="TableTGAblue"/>
        <w:tblW w:w="8928" w:type="dxa"/>
        <w:tblLook w:val="04A0" w:firstRow="1" w:lastRow="0" w:firstColumn="1" w:lastColumn="0" w:noHBand="0" w:noVBand="1"/>
      </w:tblPr>
      <w:tblGrid>
        <w:gridCol w:w="4418"/>
        <w:gridCol w:w="4510"/>
      </w:tblGrid>
      <w:tr w:rsidR="009A7761" w:rsidRPr="008B4C65" w14:paraId="78F3A6A3" w14:textId="77777777" w:rsidTr="00C45A15">
        <w:trPr>
          <w:cnfStyle w:val="100000000000" w:firstRow="1" w:lastRow="0" w:firstColumn="0" w:lastColumn="0" w:oddVBand="0" w:evenVBand="0" w:oddHBand="0" w:evenHBand="0" w:firstRowFirstColumn="0" w:firstRowLastColumn="0" w:lastRowFirstColumn="0" w:lastRowLastColumn="0"/>
        </w:trPr>
        <w:tc>
          <w:tcPr>
            <w:tcW w:w="4418" w:type="dxa"/>
          </w:tcPr>
          <w:p w14:paraId="520663CF" w14:textId="77777777" w:rsidR="009A7761" w:rsidRPr="008B4C65" w:rsidRDefault="009A7761" w:rsidP="009A7761">
            <w:pPr>
              <w:ind w:left="0"/>
              <w:rPr>
                <w:sz w:val="20"/>
              </w:rPr>
            </w:pPr>
            <w:r w:rsidRPr="008B4C65">
              <w:rPr>
                <w:sz w:val="20"/>
              </w:rPr>
              <w:t>Benefits</w:t>
            </w:r>
          </w:p>
        </w:tc>
        <w:tc>
          <w:tcPr>
            <w:tcW w:w="4510" w:type="dxa"/>
          </w:tcPr>
          <w:p w14:paraId="5A2FDB0F" w14:textId="77777777" w:rsidR="009A7761" w:rsidRPr="008B4C65" w:rsidRDefault="009A7761" w:rsidP="009A7761">
            <w:pPr>
              <w:ind w:left="0"/>
              <w:rPr>
                <w:sz w:val="20"/>
              </w:rPr>
            </w:pPr>
            <w:r w:rsidRPr="008B4C65">
              <w:rPr>
                <w:sz w:val="20"/>
              </w:rPr>
              <w:t>Strengths and Uncertainties</w:t>
            </w:r>
          </w:p>
        </w:tc>
      </w:tr>
      <w:tr w:rsidR="009A7761" w:rsidRPr="008B4C65" w14:paraId="66970581" w14:textId="77777777" w:rsidTr="00C45A15">
        <w:tc>
          <w:tcPr>
            <w:tcW w:w="4418" w:type="dxa"/>
          </w:tcPr>
          <w:p w14:paraId="364CB367" w14:textId="276E19A6" w:rsidR="009A7761" w:rsidRPr="008B4C65" w:rsidRDefault="009A7761" w:rsidP="009A7761">
            <w:pPr>
              <w:ind w:left="0"/>
              <w:rPr>
                <w:sz w:val="20"/>
              </w:rPr>
            </w:pPr>
            <w:r w:rsidRPr="008B4C65">
              <w:rPr>
                <w:sz w:val="20"/>
              </w:rPr>
              <w:t xml:space="preserve">Robust evidence for statistically and clinically significant improvements with upadacitinib 30 mg and upadacitinib 15 mg as monotherapy compared to placebo in the co-primary endpoints of vIGA-AD </w:t>
            </w:r>
            <w:r w:rsidR="008B4C65" w:rsidRPr="008B4C65">
              <w:rPr>
                <w:sz w:val="20"/>
              </w:rPr>
              <w:t xml:space="preserve">score of 0 or </w:t>
            </w:r>
            <w:r w:rsidRPr="008B4C65">
              <w:rPr>
                <w:sz w:val="20"/>
              </w:rPr>
              <w:t xml:space="preserve">1 and EASI 75 </w:t>
            </w:r>
            <w:r w:rsidR="008B4C65" w:rsidRPr="008B4C65">
              <w:rPr>
                <w:sz w:val="20"/>
              </w:rPr>
              <w:t xml:space="preserve">response </w:t>
            </w:r>
            <w:r w:rsidRPr="008B4C65">
              <w:rPr>
                <w:sz w:val="20"/>
              </w:rPr>
              <w:t>at Week 16.</w:t>
            </w:r>
          </w:p>
          <w:p w14:paraId="378B3762" w14:textId="77777777" w:rsidR="009A7761" w:rsidRPr="008B4C65" w:rsidRDefault="009A7761" w:rsidP="009A7761">
            <w:pPr>
              <w:ind w:left="0"/>
              <w:rPr>
                <w:sz w:val="20"/>
              </w:rPr>
            </w:pPr>
            <w:r w:rsidRPr="008B4C65">
              <w:rPr>
                <w:sz w:val="20"/>
              </w:rPr>
              <w:t>These results were supported by significant improvements in key secondary endpoints of multiple skin clearance measures and response thresholds to pruritus.</w:t>
            </w:r>
          </w:p>
        </w:tc>
        <w:tc>
          <w:tcPr>
            <w:tcW w:w="4510" w:type="dxa"/>
          </w:tcPr>
          <w:p w14:paraId="72D87095" w14:textId="77777777" w:rsidR="009A7761" w:rsidRPr="008B4C65" w:rsidRDefault="009A7761" w:rsidP="009A7761">
            <w:pPr>
              <w:ind w:left="0"/>
              <w:rPr>
                <w:sz w:val="20"/>
              </w:rPr>
            </w:pPr>
            <w:r w:rsidRPr="008B4C65">
              <w:rPr>
                <w:sz w:val="20"/>
              </w:rPr>
              <w:t xml:space="preserve">Integrated monotherapy efficacy results: </w:t>
            </w:r>
          </w:p>
          <w:p w14:paraId="7463F6FE" w14:textId="54852BAC" w:rsidR="009A7761" w:rsidRPr="008B4C65" w:rsidRDefault="009A7761" w:rsidP="009A7761">
            <w:pPr>
              <w:pStyle w:val="ListBullet"/>
              <w:rPr>
                <w:sz w:val="20"/>
              </w:rPr>
            </w:pPr>
            <w:r w:rsidRPr="008B4C65">
              <w:rPr>
                <w:sz w:val="20"/>
              </w:rPr>
              <w:t>EASI 75 response rate: 14.8%, 64.9% and 76.3% in placebo, upadacitinib 15 mg and 3</w:t>
            </w:r>
            <w:r w:rsidR="008B4C65" w:rsidRPr="008B4C65">
              <w:rPr>
                <w:sz w:val="20"/>
              </w:rPr>
              <w:t>0 mg</w:t>
            </w:r>
            <w:r w:rsidRPr="008B4C65">
              <w:rPr>
                <w:sz w:val="20"/>
              </w:rPr>
              <w:t xml:space="preserve"> groups, respectively. </w:t>
            </w:r>
          </w:p>
          <w:p w14:paraId="3A0759A5" w14:textId="77777777" w:rsidR="009A7761" w:rsidRPr="008B4C65" w:rsidRDefault="009A7761" w:rsidP="009A7761">
            <w:pPr>
              <w:pStyle w:val="ListBullet"/>
              <w:rPr>
                <w:sz w:val="20"/>
              </w:rPr>
            </w:pPr>
            <w:r w:rsidRPr="008B4C65">
              <w:rPr>
                <w:sz w:val="20"/>
              </w:rPr>
              <w:t xml:space="preserve">IGA-AD 0/1 response rate: 10.9%, 39.6% and 58.6%, respectively. </w:t>
            </w:r>
          </w:p>
          <w:p w14:paraId="4706F405" w14:textId="77777777" w:rsidR="009A7761" w:rsidRPr="008B4C65" w:rsidRDefault="009A7761" w:rsidP="009A7761">
            <w:pPr>
              <w:pStyle w:val="ListBullet"/>
              <w:rPr>
                <w:sz w:val="20"/>
              </w:rPr>
            </w:pPr>
            <w:r w:rsidRPr="008B4C65">
              <w:rPr>
                <w:sz w:val="20"/>
              </w:rPr>
              <w:t xml:space="preserve">Worse pruritus NRS (&gt; 4 point improvement): 15.0%, 51.7% and 63.9 %, respectively. </w:t>
            </w:r>
          </w:p>
          <w:p w14:paraId="70CC3EED" w14:textId="78AD481C" w:rsidR="009A7761" w:rsidRPr="008B4C65" w:rsidRDefault="009A7761" w:rsidP="009A7761">
            <w:pPr>
              <w:pStyle w:val="ListBullet"/>
              <w:rPr>
                <w:sz w:val="20"/>
              </w:rPr>
            </w:pPr>
            <w:r w:rsidRPr="008B4C65">
              <w:rPr>
                <w:sz w:val="20"/>
              </w:rPr>
              <w:t>Few subjects experienced flare on</w:t>
            </w:r>
            <w:r w:rsidR="008B4C65" w:rsidRPr="008B4C65">
              <w:rPr>
                <w:sz w:val="20"/>
              </w:rPr>
              <w:t xml:space="preserve"> upadacitinib</w:t>
            </w:r>
            <w:r w:rsidRPr="008B4C65">
              <w:rPr>
                <w:sz w:val="20"/>
              </w:rPr>
              <w:t xml:space="preserve"> 3</w:t>
            </w:r>
            <w:r w:rsidR="008B4C65" w:rsidRPr="008B4C65">
              <w:rPr>
                <w:sz w:val="20"/>
              </w:rPr>
              <w:t>0 mg</w:t>
            </w:r>
            <w:r w:rsidRPr="008B4C65">
              <w:rPr>
                <w:sz w:val="20"/>
              </w:rPr>
              <w:t xml:space="preserve"> (0.7%) and</w:t>
            </w:r>
            <w:r w:rsidR="008B4C65" w:rsidRPr="008B4C65">
              <w:rPr>
                <w:sz w:val="20"/>
              </w:rPr>
              <w:t xml:space="preserve"> upadacitinib</w:t>
            </w:r>
            <w:r w:rsidRPr="008B4C65">
              <w:rPr>
                <w:sz w:val="20"/>
              </w:rPr>
              <w:t xml:space="preserve"> 1</w:t>
            </w:r>
            <w:r w:rsidR="008B4C65" w:rsidRPr="008B4C65">
              <w:rPr>
                <w:sz w:val="20"/>
              </w:rPr>
              <w:t>5 mg</w:t>
            </w:r>
            <w:r w:rsidRPr="008B4C65">
              <w:rPr>
                <w:sz w:val="20"/>
              </w:rPr>
              <w:t xml:space="preserve"> (1.6%) compared with placebo (24.9%). </w:t>
            </w:r>
          </w:p>
        </w:tc>
      </w:tr>
      <w:tr w:rsidR="009A7761" w:rsidRPr="008B4C65" w14:paraId="2228D2CA" w14:textId="77777777" w:rsidTr="00C45A15">
        <w:tc>
          <w:tcPr>
            <w:tcW w:w="4418" w:type="dxa"/>
          </w:tcPr>
          <w:p w14:paraId="4ABB05FF" w14:textId="41A8D435" w:rsidR="009A7761" w:rsidRPr="008B4C65" w:rsidRDefault="009A7761" w:rsidP="009A7761">
            <w:pPr>
              <w:ind w:left="0"/>
              <w:rPr>
                <w:sz w:val="20"/>
              </w:rPr>
            </w:pPr>
            <w:r w:rsidRPr="008B4C65">
              <w:rPr>
                <w:sz w:val="20"/>
              </w:rPr>
              <w:t xml:space="preserve">Efficacy of combination therapy with </w:t>
            </w:r>
            <w:r w:rsidR="008B4C65" w:rsidRPr="008B4C65">
              <w:rPr>
                <w:sz w:val="20"/>
              </w:rPr>
              <w:t>topical corticosteroids</w:t>
            </w:r>
            <w:r w:rsidRPr="008B4C65">
              <w:rPr>
                <w:sz w:val="20"/>
              </w:rPr>
              <w:t xml:space="preserve"> and upadacitinib (15</w:t>
            </w:r>
            <w:r w:rsidR="008B4C65" w:rsidRPr="008B4C65">
              <w:rPr>
                <w:sz w:val="20"/>
              </w:rPr>
              <w:t xml:space="preserve"> </w:t>
            </w:r>
            <w:r w:rsidRPr="008B4C65">
              <w:rPr>
                <w:sz w:val="20"/>
              </w:rPr>
              <w:t>mg and 30</w:t>
            </w:r>
            <w:r w:rsidR="008B4C65" w:rsidRPr="008B4C65">
              <w:rPr>
                <w:sz w:val="20"/>
              </w:rPr>
              <w:t xml:space="preserve"> </w:t>
            </w:r>
            <w:r w:rsidRPr="008B4C65">
              <w:rPr>
                <w:sz w:val="20"/>
              </w:rPr>
              <w:t>mg) compared to place</w:t>
            </w:r>
            <w:r w:rsidR="008B4C65" w:rsidRPr="008B4C65">
              <w:rPr>
                <w:sz w:val="20"/>
              </w:rPr>
              <w:t>bo in 901 patients (including adolescent subjects) with moderate-to-</w:t>
            </w:r>
            <w:r w:rsidRPr="008B4C65">
              <w:rPr>
                <w:sz w:val="20"/>
              </w:rPr>
              <w:t xml:space="preserve">severe </w:t>
            </w:r>
            <w:r w:rsidR="008B4C65" w:rsidRPr="008B4C65">
              <w:rPr>
                <w:sz w:val="20"/>
              </w:rPr>
              <w:t>atopic dermatitis</w:t>
            </w:r>
            <w:r w:rsidRPr="008B4C65">
              <w:rPr>
                <w:sz w:val="20"/>
              </w:rPr>
              <w:t xml:space="preserve">. </w:t>
            </w:r>
          </w:p>
          <w:p w14:paraId="03E1E334" w14:textId="77777777" w:rsidR="009A7761" w:rsidRPr="008B4C65" w:rsidRDefault="009A7761" w:rsidP="009A7761">
            <w:pPr>
              <w:ind w:left="0"/>
              <w:rPr>
                <w:sz w:val="20"/>
              </w:rPr>
            </w:pPr>
            <w:r w:rsidRPr="008B4C65">
              <w:rPr>
                <w:sz w:val="20"/>
              </w:rPr>
              <w:t>These results were supported by significant improvements in key secondary endpoints of multiple skin clearance measures and response thresholds to pruritus.</w:t>
            </w:r>
          </w:p>
        </w:tc>
        <w:tc>
          <w:tcPr>
            <w:tcW w:w="4510" w:type="dxa"/>
          </w:tcPr>
          <w:p w14:paraId="0BD5F405" w14:textId="64CADD4F" w:rsidR="009A7761" w:rsidRPr="008B4C65" w:rsidRDefault="009A7761" w:rsidP="009A7761">
            <w:pPr>
              <w:ind w:left="0"/>
              <w:rPr>
                <w:sz w:val="20"/>
              </w:rPr>
            </w:pPr>
            <w:r w:rsidRPr="008B4C65">
              <w:rPr>
                <w:sz w:val="20"/>
              </w:rPr>
              <w:t xml:space="preserve">EASI 75 response rate: 26.4%, 64.6% and 77.1% in placebo, </w:t>
            </w:r>
            <w:r w:rsidR="008B4C65" w:rsidRPr="008B4C65">
              <w:rPr>
                <w:sz w:val="20"/>
              </w:rPr>
              <w:t>upadacitinib</w:t>
            </w:r>
            <w:r w:rsidRPr="008B4C65">
              <w:rPr>
                <w:sz w:val="20"/>
              </w:rPr>
              <w:t xml:space="preserve"> 1</w:t>
            </w:r>
            <w:r w:rsidR="008B4C65" w:rsidRPr="008B4C65">
              <w:rPr>
                <w:sz w:val="20"/>
              </w:rPr>
              <w:t>5 mg</w:t>
            </w:r>
            <w:r w:rsidRPr="008B4C65">
              <w:rPr>
                <w:sz w:val="20"/>
              </w:rPr>
              <w:t xml:space="preserve"> and</w:t>
            </w:r>
            <w:r w:rsidR="008B4C65" w:rsidRPr="008B4C65">
              <w:rPr>
                <w:sz w:val="20"/>
              </w:rPr>
              <w:t xml:space="preserve"> upadacitinib</w:t>
            </w:r>
            <w:r w:rsidRPr="008B4C65">
              <w:rPr>
                <w:sz w:val="20"/>
              </w:rPr>
              <w:t xml:space="preserve"> 3</w:t>
            </w:r>
            <w:r w:rsidR="008B4C65" w:rsidRPr="008B4C65">
              <w:rPr>
                <w:sz w:val="20"/>
              </w:rPr>
              <w:t>0 mg</w:t>
            </w:r>
            <w:r w:rsidRPr="008B4C65">
              <w:rPr>
                <w:sz w:val="20"/>
              </w:rPr>
              <w:t xml:space="preserve"> groups, respectively. </w:t>
            </w:r>
          </w:p>
          <w:p w14:paraId="29FF2B26" w14:textId="77777777" w:rsidR="009A7761" w:rsidRPr="008B4C65" w:rsidRDefault="009A7761" w:rsidP="009A7761">
            <w:pPr>
              <w:ind w:left="0"/>
              <w:rPr>
                <w:sz w:val="20"/>
              </w:rPr>
            </w:pPr>
            <w:r w:rsidRPr="008B4C65">
              <w:rPr>
                <w:sz w:val="20"/>
              </w:rPr>
              <w:t xml:space="preserve">IGA-AD 0/1 response rate: 10.9%, 39.6% and 58.6%, respectively. </w:t>
            </w:r>
          </w:p>
          <w:p w14:paraId="3D2727A6" w14:textId="77777777" w:rsidR="009A7761" w:rsidRPr="008B4C65" w:rsidRDefault="009A7761" w:rsidP="009A7761">
            <w:pPr>
              <w:ind w:left="0"/>
              <w:rPr>
                <w:sz w:val="20"/>
              </w:rPr>
            </w:pPr>
            <w:r w:rsidRPr="008B4C65">
              <w:rPr>
                <w:sz w:val="20"/>
              </w:rPr>
              <w:t xml:space="preserve">Worse pruritus NRS (&gt; 4 point improvement): 15%, 51.7% and 63.9%, respectively. </w:t>
            </w:r>
          </w:p>
        </w:tc>
      </w:tr>
      <w:tr w:rsidR="009A7761" w:rsidRPr="008B4C65" w14:paraId="6574DBA5" w14:textId="77777777" w:rsidTr="00C45A15">
        <w:tc>
          <w:tcPr>
            <w:tcW w:w="4418" w:type="dxa"/>
          </w:tcPr>
          <w:p w14:paraId="132B4DCD" w14:textId="0D9542EA" w:rsidR="009A7761" w:rsidRPr="008B4C65" w:rsidRDefault="00C45A15" w:rsidP="00C45A15">
            <w:pPr>
              <w:ind w:left="0"/>
              <w:rPr>
                <w:sz w:val="20"/>
              </w:rPr>
            </w:pPr>
            <w:r>
              <w:rPr>
                <w:sz w:val="20"/>
              </w:rPr>
              <w:t>U</w:t>
            </w:r>
            <w:r w:rsidR="00782F8C">
              <w:rPr>
                <w:sz w:val="20"/>
              </w:rPr>
              <w:t>padacitinib</w:t>
            </w:r>
            <w:r w:rsidR="009A7761" w:rsidRPr="008B4C65">
              <w:rPr>
                <w:sz w:val="20"/>
              </w:rPr>
              <w:t xml:space="preserve"> was also associated with significant improvements in sleep disturbance, impact</w:t>
            </w:r>
            <w:r>
              <w:rPr>
                <w:sz w:val="20"/>
              </w:rPr>
              <w:t>s</w:t>
            </w:r>
            <w:r w:rsidR="009A7761" w:rsidRPr="008B4C65">
              <w:rPr>
                <w:sz w:val="20"/>
              </w:rPr>
              <w:t xml:space="preserve">, health-related </w:t>
            </w:r>
            <w:r w:rsidR="008B4C65">
              <w:rPr>
                <w:sz w:val="20"/>
              </w:rPr>
              <w:t>quality of life</w:t>
            </w:r>
            <w:r w:rsidR="009A7761" w:rsidRPr="008B4C65">
              <w:rPr>
                <w:sz w:val="20"/>
              </w:rPr>
              <w:t>, self-assessment of disease parameters.</w:t>
            </w:r>
          </w:p>
        </w:tc>
        <w:tc>
          <w:tcPr>
            <w:tcW w:w="4510" w:type="dxa"/>
          </w:tcPr>
          <w:p w14:paraId="7F5470B5" w14:textId="77777777" w:rsidR="009A7761" w:rsidRPr="008B4C65" w:rsidRDefault="009A7761" w:rsidP="009A7761">
            <w:pPr>
              <w:ind w:left="0"/>
              <w:rPr>
                <w:sz w:val="20"/>
              </w:rPr>
            </w:pPr>
          </w:p>
        </w:tc>
      </w:tr>
      <w:tr w:rsidR="009A7761" w:rsidRPr="008B4C65" w14:paraId="67A2FCE8" w14:textId="77777777" w:rsidTr="00C45A15">
        <w:trPr>
          <w:cantSplit/>
        </w:trPr>
        <w:tc>
          <w:tcPr>
            <w:tcW w:w="4418" w:type="dxa"/>
          </w:tcPr>
          <w:p w14:paraId="4F1B2793" w14:textId="7190D60D" w:rsidR="009A7761" w:rsidRPr="008B4C65" w:rsidRDefault="009A7761" w:rsidP="009A7761">
            <w:pPr>
              <w:ind w:left="0"/>
              <w:rPr>
                <w:sz w:val="20"/>
              </w:rPr>
            </w:pPr>
            <w:r w:rsidRPr="008B4C65">
              <w:rPr>
                <w:sz w:val="20"/>
              </w:rPr>
              <w:lastRenderedPageBreak/>
              <w:t>Numerically better outcomes were observed for the upadacitinib 30 mg group than the upadaci</w:t>
            </w:r>
            <w:r w:rsidR="008B4C65">
              <w:rPr>
                <w:sz w:val="20"/>
              </w:rPr>
              <w:t>tinib 15 mg group across the co</w:t>
            </w:r>
            <w:r w:rsidR="008B4C65">
              <w:rPr>
                <w:sz w:val="20"/>
              </w:rPr>
              <w:noBreakHyphen/>
            </w:r>
            <w:r w:rsidRPr="008B4C65">
              <w:rPr>
                <w:sz w:val="20"/>
              </w:rPr>
              <w:t>primary and key secondary endpoints in both monotherapy and combination studies.</w:t>
            </w:r>
          </w:p>
        </w:tc>
        <w:tc>
          <w:tcPr>
            <w:tcW w:w="4510" w:type="dxa"/>
          </w:tcPr>
          <w:p w14:paraId="5FCA1C0D" w14:textId="77777777" w:rsidR="009A7761" w:rsidRPr="008B4C65" w:rsidRDefault="009A7761" w:rsidP="009A7761">
            <w:pPr>
              <w:ind w:left="0"/>
              <w:rPr>
                <w:sz w:val="20"/>
              </w:rPr>
            </w:pPr>
            <w:r w:rsidRPr="008B4C65">
              <w:rPr>
                <w:sz w:val="20"/>
              </w:rPr>
              <w:t>Advantage of better outcomes with the higher 30 mg dose would have to be balanced against the risk of certain adverse events which occur at a higher incidence in the 30 mg group (Refer Section 9.2, below).</w:t>
            </w:r>
          </w:p>
        </w:tc>
      </w:tr>
      <w:tr w:rsidR="009A7761" w:rsidRPr="008B4C65" w14:paraId="0C86C240" w14:textId="77777777" w:rsidTr="00C45A15">
        <w:tc>
          <w:tcPr>
            <w:tcW w:w="4418" w:type="dxa"/>
          </w:tcPr>
          <w:p w14:paraId="72CD367B" w14:textId="77777777" w:rsidR="009A7761" w:rsidRPr="008B4C65" w:rsidRDefault="009A7761" w:rsidP="009A7761">
            <w:pPr>
              <w:ind w:left="0"/>
              <w:rPr>
                <w:sz w:val="20"/>
              </w:rPr>
            </w:pPr>
            <w:r w:rsidRPr="008B4C65">
              <w:rPr>
                <w:sz w:val="20"/>
              </w:rPr>
              <w:t xml:space="preserve">Consistent efficacy was demonstrated for adolescents across all endpoints. </w:t>
            </w:r>
          </w:p>
        </w:tc>
        <w:tc>
          <w:tcPr>
            <w:tcW w:w="4510" w:type="dxa"/>
          </w:tcPr>
          <w:p w14:paraId="45B00398" w14:textId="77777777" w:rsidR="009A7761" w:rsidRPr="008B4C65" w:rsidRDefault="009A7761" w:rsidP="009A7761">
            <w:pPr>
              <w:ind w:left="0"/>
              <w:rPr>
                <w:sz w:val="20"/>
              </w:rPr>
            </w:pPr>
          </w:p>
        </w:tc>
      </w:tr>
      <w:tr w:rsidR="009A7761" w:rsidRPr="008B4C65" w14:paraId="7D822777" w14:textId="77777777" w:rsidTr="00C45A15">
        <w:tc>
          <w:tcPr>
            <w:tcW w:w="4418" w:type="dxa"/>
          </w:tcPr>
          <w:p w14:paraId="28D6D789" w14:textId="77777777" w:rsidR="009A7761" w:rsidRPr="008B4C65" w:rsidRDefault="009A7761" w:rsidP="009A7761">
            <w:pPr>
              <w:ind w:left="0"/>
              <w:rPr>
                <w:sz w:val="20"/>
              </w:rPr>
            </w:pPr>
            <w:r w:rsidRPr="008B4C65">
              <w:rPr>
                <w:sz w:val="20"/>
              </w:rPr>
              <w:t>Rapid onset of action and evidence of long-term maintenance of efficacy up to 52 weeks.</w:t>
            </w:r>
          </w:p>
        </w:tc>
        <w:tc>
          <w:tcPr>
            <w:tcW w:w="4510" w:type="dxa"/>
          </w:tcPr>
          <w:p w14:paraId="551764C8" w14:textId="77777777" w:rsidR="009A7761" w:rsidRPr="008B4C65" w:rsidRDefault="009A7761" w:rsidP="009A7761">
            <w:pPr>
              <w:ind w:left="0"/>
              <w:rPr>
                <w:sz w:val="20"/>
              </w:rPr>
            </w:pPr>
          </w:p>
        </w:tc>
      </w:tr>
      <w:tr w:rsidR="009A7761" w:rsidRPr="008B4C65" w14:paraId="515B2696" w14:textId="77777777" w:rsidTr="00C45A15">
        <w:tc>
          <w:tcPr>
            <w:tcW w:w="4418" w:type="dxa"/>
          </w:tcPr>
          <w:p w14:paraId="05310622" w14:textId="77777777" w:rsidR="009A7761" w:rsidRPr="008B4C65" w:rsidRDefault="009A7761" w:rsidP="009A7761">
            <w:pPr>
              <w:ind w:left="0"/>
              <w:rPr>
                <w:sz w:val="20"/>
              </w:rPr>
            </w:pPr>
            <w:r w:rsidRPr="008B4C65">
              <w:rPr>
                <w:sz w:val="20"/>
              </w:rPr>
              <w:t>Single oral daily dosing.</w:t>
            </w:r>
          </w:p>
        </w:tc>
        <w:tc>
          <w:tcPr>
            <w:tcW w:w="4510" w:type="dxa"/>
          </w:tcPr>
          <w:p w14:paraId="44C4EA3E" w14:textId="77777777" w:rsidR="009A7761" w:rsidRPr="008B4C65" w:rsidRDefault="009A7761" w:rsidP="009A7761">
            <w:pPr>
              <w:ind w:left="0"/>
              <w:rPr>
                <w:sz w:val="20"/>
              </w:rPr>
            </w:pPr>
          </w:p>
        </w:tc>
      </w:tr>
    </w:tbl>
    <w:p w14:paraId="27799407" w14:textId="5BF3218B" w:rsidR="009A7761" w:rsidRPr="00146F9E" w:rsidRDefault="008B4C65" w:rsidP="008B4C65">
      <w:pPr>
        <w:pStyle w:val="Heading5"/>
      </w:pPr>
      <w:r>
        <w:t>Assessment of risks</w:t>
      </w:r>
    </w:p>
    <w:p w14:paraId="1B563BB8" w14:textId="691E7237" w:rsidR="008B4C65" w:rsidRDefault="008B4C65" w:rsidP="008B4C65">
      <w:r>
        <w:fldChar w:fldCharType="begin"/>
      </w:r>
      <w:r>
        <w:instrText xml:space="preserve"> REF _Ref125552338 \h </w:instrText>
      </w:r>
      <w:r>
        <w:fldChar w:fldCharType="separate"/>
      </w:r>
      <w:r w:rsidR="00B51532">
        <w:t xml:space="preserve">Table </w:t>
      </w:r>
      <w:r w:rsidR="00B51532">
        <w:rPr>
          <w:noProof/>
        </w:rPr>
        <w:t>43</w:t>
      </w:r>
      <w:r>
        <w:fldChar w:fldCharType="end"/>
      </w:r>
      <w:r>
        <w:t xml:space="preserve">, shown below, summarises the </w:t>
      </w:r>
      <w:r w:rsidR="00886809">
        <w:t xml:space="preserve">risks </w:t>
      </w:r>
      <w:r>
        <w:t>found through the TGA’s clinical evaluation of the data submitted for the following proposed indication:</w:t>
      </w:r>
    </w:p>
    <w:p w14:paraId="563DC91A" w14:textId="5B557F3C" w:rsidR="008B4C65" w:rsidRPr="009A7761" w:rsidRDefault="008B4C65" w:rsidP="008B4C65">
      <w:pPr>
        <w:ind w:left="720"/>
        <w:rPr>
          <w:i/>
        </w:rPr>
      </w:pPr>
      <w:r w:rsidRPr="009A7761">
        <w:rPr>
          <w:i/>
        </w:rPr>
        <w:t>Rinvoq is indicated f</w:t>
      </w:r>
      <w:r w:rsidR="00C45A15">
        <w:rPr>
          <w:i/>
        </w:rPr>
        <w:t>or the treatment of adults and adolescents</w:t>
      </w:r>
      <w:r w:rsidR="00B51532">
        <w:rPr>
          <w:i/>
        </w:rPr>
        <w:t xml:space="preserve"> </w:t>
      </w:r>
      <w:r w:rsidR="00C45A15">
        <w:rPr>
          <w:i/>
        </w:rPr>
        <w:t xml:space="preserve">12 </w:t>
      </w:r>
      <w:r w:rsidRPr="009A7761">
        <w:rPr>
          <w:i/>
        </w:rPr>
        <w:t>years and ol</w:t>
      </w:r>
      <w:r>
        <w:rPr>
          <w:i/>
        </w:rPr>
        <w:t>der with</w:t>
      </w:r>
      <w:r w:rsidRPr="009A7761">
        <w:rPr>
          <w:i/>
        </w:rPr>
        <w:t xml:space="preserve"> moderate to severe atopic dermatitis who are candidates for systemic therapy.</w:t>
      </w:r>
    </w:p>
    <w:p w14:paraId="7E3091BA" w14:textId="47BACF3B" w:rsidR="009A7761" w:rsidRPr="00146F9E" w:rsidRDefault="008B4C65" w:rsidP="008B4C65">
      <w:pPr>
        <w:pStyle w:val="Tabletitle0"/>
      </w:pPr>
      <w:bookmarkStart w:id="146" w:name="_Ref125552338"/>
      <w:r>
        <w:t xml:space="preserve">Table </w:t>
      </w:r>
      <w:fldSimple w:instr=" SEQ Table \* ARABIC ">
        <w:r w:rsidR="00B51532">
          <w:rPr>
            <w:noProof/>
          </w:rPr>
          <w:t>43</w:t>
        </w:r>
      </w:fldSimple>
      <w:bookmarkEnd w:id="146"/>
      <w:r>
        <w:t>: Assessment of risks for the proposed indication</w:t>
      </w:r>
    </w:p>
    <w:tbl>
      <w:tblPr>
        <w:tblStyle w:val="TableTGAblue"/>
        <w:tblW w:w="8928" w:type="dxa"/>
        <w:tblLook w:val="04A0" w:firstRow="1" w:lastRow="0" w:firstColumn="1" w:lastColumn="0" w:noHBand="0" w:noVBand="1"/>
      </w:tblPr>
      <w:tblGrid>
        <w:gridCol w:w="4360"/>
        <w:gridCol w:w="4568"/>
      </w:tblGrid>
      <w:tr w:rsidR="009A7761" w:rsidRPr="002A37FE" w14:paraId="1BF2ECAD" w14:textId="77777777" w:rsidTr="00C45A15">
        <w:trPr>
          <w:cnfStyle w:val="100000000000" w:firstRow="1" w:lastRow="0" w:firstColumn="0" w:lastColumn="0" w:oddVBand="0" w:evenVBand="0" w:oddHBand="0" w:evenHBand="0" w:firstRowFirstColumn="0" w:firstRowLastColumn="0" w:lastRowFirstColumn="0" w:lastRowLastColumn="0"/>
        </w:trPr>
        <w:tc>
          <w:tcPr>
            <w:tcW w:w="4360" w:type="dxa"/>
          </w:tcPr>
          <w:p w14:paraId="28538DD3" w14:textId="77777777" w:rsidR="009A7761" w:rsidRPr="008B4C65" w:rsidRDefault="009A7761" w:rsidP="008B4C65">
            <w:pPr>
              <w:ind w:left="0"/>
              <w:rPr>
                <w:sz w:val="20"/>
              </w:rPr>
            </w:pPr>
            <w:r w:rsidRPr="008B4C65">
              <w:rPr>
                <w:sz w:val="20"/>
              </w:rPr>
              <w:t>Risks</w:t>
            </w:r>
          </w:p>
        </w:tc>
        <w:tc>
          <w:tcPr>
            <w:tcW w:w="4568" w:type="dxa"/>
          </w:tcPr>
          <w:p w14:paraId="287497DE" w14:textId="77777777" w:rsidR="009A7761" w:rsidRPr="008B4C65" w:rsidRDefault="009A7761" w:rsidP="008B4C65">
            <w:pPr>
              <w:ind w:left="0"/>
              <w:rPr>
                <w:sz w:val="20"/>
              </w:rPr>
            </w:pPr>
            <w:r w:rsidRPr="008B4C65">
              <w:rPr>
                <w:sz w:val="20"/>
              </w:rPr>
              <w:t>Strengths and Uncertainties</w:t>
            </w:r>
          </w:p>
        </w:tc>
      </w:tr>
      <w:tr w:rsidR="009A7761" w:rsidRPr="002A37FE" w14:paraId="6CC36CA6" w14:textId="77777777" w:rsidTr="00C45A15">
        <w:tc>
          <w:tcPr>
            <w:tcW w:w="4360" w:type="dxa"/>
          </w:tcPr>
          <w:p w14:paraId="516E7832" w14:textId="4A2644FF" w:rsidR="009A7761" w:rsidRPr="008B4C65" w:rsidRDefault="009A7761" w:rsidP="008B4C65">
            <w:pPr>
              <w:ind w:left="0"/>
              <w:rPr>
                <w:sz w:val="20"/>
              </w:rPr>
            </w:pPr>
            <w:r w:rsidRPr="008B4C65">
              <w:rPr>
                <w:sz w:val="20"/>
              </w:rPr>
              <w:t xml:space="preserve">Acne, nasopharyngitis, upper respiratory tract infection, headache, blood </w:t>
            </w:r>
            <w:r w:rsidR="008B4C65">
              <w:rPr>
                <w:sz w:val="20"/>
              </w:rPr>
              <w:t>creatinine phosphokinase</w:t>
            </w:r>
            <w:r w:rsidRPr="008B4C65">
              <w:rPr>
                <w:sz w:val="20"/>
              </w:rPr>
              <w:t xml:space="preserve"> increased, and oral herpes all of which were reported more frequently in the upadacitinib groups compared with placebo.</w:t>
            </w:r>
          </w:p>
          <w:p w14:paraId="1605FDB8" w14:textId="6B2AF7F6" w:rsidR="009A7761" w:rsidRPr="008B4C65" w:rsidRDefault="009A7761" w:rsidP="008B4C65">
            <w:pPr>
              <w:ind w:left="0"/>
              <w:rPr>
                <w:sz w:val="20"/>
              </w:rPr>
            </w:pPr>
            <w:r w:rsidRPr="008B4C65">
              <w:rPr>
                <w:sz w:val="20"/>
              </w:rPr>
              <w:t>Compared to the</w:t>
            </w:r>
            <w:r w:rsidR="008B4C65" w:rsidRPr="008B4C65">
              <w:rPr>
                <w:sz w:val="20"/>
              </w:rPr>
              <w:t xml:space="preserve"> upadacitinib</w:t>
            </w:r>
            <w:r w:rsidRPr="008B4C65">
              <w:rPr>
                <w:sz w:val="20"/>
              </w:rPr>
              <w:t xml:space="preserve"> 15 mg group, the incidence of acne, herpes zoster and oral herpes was higher in the</w:t>
            </w:r>
            <w:r w:rsidR="008B4C65" w:rsidRPr="008B4C65">
              <w:rPr>
                <w:sz w:val="20"/>
              </w:rPr>
              <w:t xml:space="preserve"> upadacitinib</w:t>
            </w:r>
            <w:r w:rsidRPr="008B4C65">
              <w:rPr>
                <w:sz w:val="20"/>
              </w:rPr>
              <w:t xml:space="preserve"> 3</w:t>
            </w:r>
            <w:r w:rsidR="008B4C65" w:rsidRPr="008B4C65">
              <w:rPr>
                <w:sz w:val="20"/>
              </w:rPr>
              <w:t>0 mg</w:t>
            </w:r>
            <w:r w:rsidRPr="008B4C65">
              <w:rPr>
                <w:sz w:val="20"/>
              </w:rPr>
              <w:t xml:space="preserve"> group. </w:t>
            </w:r>
          </w:p>
        </w:tc>
        <w:tc>
          <w:tcPr>
            <w:tcW w:w="4568" w:type="dxa"/>
          </w:tcPr>
          <w:p w14:paraId="7EE3305D" w14:textId="1D88C9D7" w:rsidR="009A7761" w:rsidRPr="008B4C65" w:rsidRDefault="000E4896" w:rsidP="008B4C65">
            <w:pPr>
              <w:ind w:left="0"/>
              <w:rPr>
                <w:sz w:val="20"/>
              </w:rPr>
            </w:pPr>
            <w:r>
              <w:rPr>
                <w:sz w:val="20"/>
              </w:rPr>
              <w:t>The m</w:t>
            </w:r>
            <w:r w:rsidR="009A7761" w:rsidRPr="008B4C65">
              <w:rPr>
                <w:sz w:val="20"/>
              </w:rPr>
              <w:t xml:space="preserve">ajority of the </w:t>
            </w:r>
            <w:r w:rsidR="008B4C65">
              <w:rPr>
                <w:sz w:val="20"/>
              </w:rPr>
              <w:t>adverse events</w:t>
            </w:r>
            <w:r w:rsidR="009A7761" w:rsidRPr="008B4C65">
              <w:rPr>
                <w:sz w:val="20"/>
              </w:rPr>
              <w:t xml:space="preserve"> were mild to moderate in intensity. The incidence of severe </w:t>
            </w:r>
            <w:r w:rsidR="008B4C65">
              <w:rPr>
                <w:sz w:val="20"/>
              </w:rPr>
              <w:t>adverse events</w:t>
            </w:r>
            <w:r w:rsidR="008B4C65" w:rsidRPr="008B4C65">
              <w:rPr>
                <w:sz w:val="20"/>
              </w:rPr>
              <w:t xml:space="preserve"> </w:t>
            </w:r>
            <w:r w:rsidR="009A7761" w:rsidRPr="008B4C65">
              <w:rPr>
                <w:sz w:val="20"/>
              </w:rPr>
              <w:t>was low and similar across treatment groups (4.8%, 4.8% and 4.6% in placebo</w:t>
            </w:r>
            <w:r w:rsidR="008B4C65" w:rsidRPr="008B4C65">
              <w:rPr>
                <w:sz w:val="20"/>
              </w:rPr>
              <w:t xml:space="preserve"> upadacitinib</w:t>
            </w:r>
            <w:r w:rsidR="009A7761" w:rsidRPr="008B4C65">
              <w:rPr>
                <w:sz w:val="20"/>
              </w:rPr>
              <w:t xml:space="preserve"> 1</w:t>
            </w:r>
            <w:r w:rsidR="008B4C65" w:rsidRPr="008B4C65">
              <w:rPr>
                <w:sz w:val="20"/>
              </w:rPr>
              <w:t>5 mg</w:t>
            </w:r>
            <w:r w:rsidR="009A7761" w:rsidRPr="008B4C65">
              <w:rPr>
                <w:sz w:val="20"/>
              </w:rPr>
              <w:t xml:space="preserve"> and</w:t>
            </w:r>
            <w:r w:rsidR="008B4C65" w:rsidRPr="008B4C65">
              <w:rPr>
                <w:sz w:val="20"/>
              </w:rPr>
              <w:t xml:space="preserve"> upadacitinib</w:t>
            </w:r>
            <w:r w:rsidR="009A7761" w:rsidRPr="008B4C65">
              <w:rPr>
                <w:sz w:val="20"/>
              </w:rPr>
              <w:t xml:space="preserve"> 3</w:t>
            </w:r>
            <w:r w:rsidR="008B4C65" w:rsidRPr="008B4C65">
              <w:rPr>
                <w:sz w:val="20"/>
              </w:rPr>
              <w:t>0</w:t>
            </w:r>
            <w:r>
              <w:rPr>
                <w:sz w:val="20"/>
              </w:rPr>
              <w:t> </w:t>
            </w:r>
            <w:r w:rsidR="008B4C65" w:rsidRPr="008B4C65">
              <w:rPr>
                <w:sz w:val="20"/>
              </w:rPr>
              <w:t>mg</w:t>
            </w:r>
            <w:r w:rsidR="009A7761" w:rsidRPr="008B4C65">
              <w:rPr>
                <w:sz w:val="20"/>
              </w:rPr>
              <w:t xml:space="preserve"> groups, respectively). No severe </w:t>
            </w:r>
            <w:r w:rsidR="008B4C65">
              <w:rPr>
                <w:sz w:val="20"/>
              </w:rPr>
              <w:t>adverse events</w:t>
            </w:r>
            <w:r w:rsidR="008B4C65" w:rsidRPr="008B4C65">
              <w:rPr>
                <w:sz w:val="20"/>
              </w:rPr>
              <w:t xml:space="preserve"> </w:t>
            </w:r>
            <w:r w:rsidR="008B4C65">
              <w:rPr>
                <w:sz w:val="20"/>
              </w:rPr>
              <w:t>was reported in more than 2 </w:t>
            </w:r>
            <w:r w:rsidR="009A7761" w:rsidRPr="008B4C65">
              <w:rPr>
                <w:sz w:val="20"/>
              </w:rPr>
              <w:t>subjects in any group in this analysis set, with the exception of blood creatine phosphokinase increased (5</w:t>
            </w:r>
            <w:r>
              <w:rPr>
                <w:sz w:val="20"/>
              </w:rPr>
              <w:t> </w:t>
            </w:r>
            <w:r w:rsidR="009A7761" w:rsidRPr="008B4C65">
              <w:rPr>
                <w:sz w:val="20"/>
              </w:rPr>
              <w:t>and 7 subjects in the</w:t>
            </w:r>
            <w:r w:rsidR="008B4C65" w:rsidRPr="008B4C65">
              <w:rPr>
                <w:sz w:val="20"/>
              </w:rPr>
              <w:t xml:space="preserve"> upadacitinib</w:t>
            </w:r>
            <w:r w:rsidR="009A7761" w:rsidRPr="008B4C65">
              <w:rPr>
                <w:sz w:val="20"/>
              </w:rPr>
              <w:t xml:space="preserve"> 3</w:t>
            </w:r>
            <w:r w:rsidR="008B4C65" w:rsidRPr="008B4C65">
              <w:rPr>
                <w:sz w:val="20"/>
              </w:rPr>
              <w:t>0 mg</w:t>
            </w:r>
            <w:r w:rsidR="009A7761" w:rsidRPr="008B4C65">
              <w:rPr>
                <w:sz w:val="20"/>
              </w:rPr>
              <w:t xml:space="preserve"> and</w:t>
            </w:r>
            <w:r w:rsidR="008B4C65" w:rsidRPr="008B4C65">
              <w:rPr>
                <w:sz w:val="20"/>
              </w:rPr>
              <w:t xml:space="preserve"> upadacitinib</w:t>
            </w:r>
            <w:r w:rsidR="009A7761" w:rsidRPr="008B4C65">
              <w:rPr>
                <w:sz w:val="20"/>
              </w:rPr>
              <w:t xml:space="preserve"> 1</w:t>
            </w:r>
            <w:r w:rsidR="008B4C65">
              <w:rPr>
                <w:sz w:val="20"/>
              </w:rPr>
              <w:t>5 </w:t>
            </w:r>
            <w:r w:rsidR="008B4C65" w:rsidRPr="008B4C65">
              <w:rPr>
                <w:sz w:val="20"/>
              </w:rPr>
              <w:t>mg</w:t>
            </w:r>
            <w:r w:rsidR="009A7761" w:rsidRPr="008B4C65">
              <w:rPr>
                <w:sz w:val="20"/>
              </w:rPr>
              <w:t xml:space="preserve"> groups</w:t>
            </w:r>
            <w:r w:rsidR="008B4C65">
              <w:rPr>
                <w:sz w:val="20"/>
              </w:rPr>
              <w:t>, respectively), neutropenia (3 </w:t>
            </w:r>
            <w:r w:rsidR="009A7761" w:rsidRPr="008B4C65">
              <w:rPr>
                <w:sz w:val="20"/>
              </w:rPr>
              <w:t>subjects in the upadacitinib 30</w:t>
            </w:r>
            <w:r>
              <w:rPr>
                <w:sz w:val="20"/>
              </w:rPr>
              <w:t> </w:t>
            </w:r>
            <w:r w:rsidR="009A7761" w:rsidRPr="008B4C65">
              <w:rPr>
                <w:sz w:val="20"/>
              </w:rPr>
              <w:t xml:space="preserve">mg group), appendicitis (3 </w:t>
            </w:r>
            <w:r w:rsidR="008B4C65">
              <w:rPr>
                <w:sz w:val="20"/>
              </w:rPr>
              <w:t>subjects in the upadacitinib 15 </w:t>
            </w:r>
            <w:r w:rsidR="009A7761" w:rsidRPr="008B4C65">
              <w:rPr>
                <w:sz w:val="20"/>
              </w:rPr>
              <w:t>mg group), dermatitis atopic (7</w:t>
            </w:r>
            <w:r>
              <w:rPr>
                <w:sz w:val="20"/>
              </w:rPr>
              <w:t> </w:t>
            </w:r>
            <w:r w:rsidR="009A7761" w:rsidRPr="008B4C65">
              <w:rPr>
                <w:sz w:val="20"/>
              </w:rPr>
              <w:t>subjects in the upadacitinib 15 mg group and 14 subjects in the placebo group).</w:t>
            </w:r>
          </w:p>
        </w:tc>
      </w:tr>
      <w:tr w:rsidR="009A7761" w:rsidRPr="002A37FE" w14:paraId="3FE695AE" w14:textId="77777777" w:rsidTr="00C45A15">
        <w:trPr>
          <w:cantSplit/>
        </w:trPr>
        <w:tc>
          <w:tcPr>
            <w:tcW w:w="4360" w:type="dxa"/>
          </w:tcPr>
          <w:p w14:paraId="202C08BA" w14:textId="7931A809" w:rsidR="009A7761" w:rsidRPr="008B4C65" w:rsidRDefault="009A7761" w:rsidP="008B4C65">
            <w:pPr>
              <w:ind w:left="0"/>
              <w:rPr>
                <w:sz w:val="20"/>
              </w:rPr>
            </w:pPr>
            <w:r w:rsidRPr="008B4C65">
              <w:rPr>
                <w:sz w:val="20"/>
              </w:rPr>
              <w:t xml:space="preserve">Common severe </w:t>
            </w:r>
            <w:r w:rsidR="008B4C65">
              <w:rPr>
                <w:sz w:val="20"/>
              </w:rPr>
              <w:t>treatment-emergent adverse events (≥ 0.5 events/100 patient-years</w:t>
            </w:r>
            <w:r w:rsidRPr="008B4C65">
              <w:rPr>
                <w:sz w:val="20"/>
              </w:rPr>
              <w:t xml:space="preserve">) which occurred at a higher </w:t>
            </w:r>
            <w:r w:rsidR="008B4C65">
              <w:rPr>
                <w:sz w:val="20"/>
              </w:rPr>
              <w:t>exposure adjusted event rate</w:t>
            </w:r>
            <w:r w:rsidRPr="008B4C65">
              <w:rPr>
                <w:sz w:val="20"/>
              </w:rPr>
              <w:t xml:space="preserve"> in upadacitinib 30 mg compared with upadacitinib 15 mg were herpes zoster, blood creatine phosphokinase increased and asthma</w:t>
            </w:r>
            <w:r w:rsidR="008B4C65">
              <w:rPr>
                <w:sz w:val="20"/>
              </w:rPr>
              <w:t>.</w:t>
            </w:r>
          </w:p>
        </w:tc>
        <w:tc>
          <w:tcPr>
            <w:tcW w:w="4568" w:type="dxa"/>
          </w:tcPr>
          <w:p w14:paraId="54579B1D" w14:textId="77777777" w:rsidR="009A7761" w:rsidRPr="008B4C65" w:rsidRDefault="009A7761" w:rsidP="008B4C65">
            <w:pPr>
              <w:ind w:left="0"/>
              <w:rPr>
                <w:sz w:val="20"/>
              </w:rPr>
            </w:pPr>
          </w:p>
        </w:tc>
      </w:tr>
      <w:tr w:rsidR="009A7761" w:rsidRPr="002A37FE" w14:paraId="4AA9A96D" w14:textId="77777777" w:rsidTr="00C45A15">
        <w:trPr>
          <w:cantSplit/>
        </w:trPr>
        <w:tc>
          <w:tcPr>
            <w:tcW w:w="4360" w:type="dxa"/>
          </w:tcPr>
          <w:p w14:paraId="0C090E81" w14:textId="7ACC8E77" w:rsidR="009A7761" w:rsidRPr="008B4C65" w:rsidRDefault="009A7761" w:rsidP="008B4C65">
            <w:pPr>
              <w:ind w:left="0"/>
              <w:rPr>
                <w:sz w:val="20"/>
              </w:rPr>
            </w:pPr>
            <w:r w:rsidRPr="008B4C65">
              <w:rPr>
                <w:sz w:val="20"/>
              </w:rPr>
              <w:lastRenderedPageBreak/>
              <w:t xml:space="preserve">The incidence of treatment-related </w:t>
            </w:r>
            <w:r w:rsidR="008B4C65">
              <w:rPr>
                <w:sz w:val="20"/>
              </w:rPr>
              <w:t>treatment-emergent adverse events</w:t>
            </w:r>
            <w:r w:rsidRPr="008B4C65">
              <w:rPr>
                <w:sz w:val="20"/>
              </w:rPr>
              <w:t xml:space="preserve"> was higher in the upadacitinib groups compared with placebo (20.5%, 33.1% and 40.5% in placebo</w:t>
            </w:r>
            <w:r w:rsidR="008B4C65" w:rsidRPr="008B4C65">
              <w:rPr>
                <w:sz w:val="20"/>
              </w:rPr>
              <w:t xml:space="preserve"> upadacitinib</w:t>
            </w:r>
            <w:r w:rsidRPr="008B4C65">
              <w:rPr>
                <w:sz w:val="20"/>
              </w:rPr>
              <w:t xml:space="preserve"> 1</w:t>
            </w:r>
            <w:r w:rsidR="008B4C65" w:rsidRPr="008B4C65">
              <w:rPr>
                <w:sz w:val="20"/>
              </w:rPr>
              <w:t>5 mg</w:t>
            </w:r>
            <w:r w:rsidRPr="008B4C65">
              <w:rPr>
                <w:sz w:val="20"/>
              </w:rPr>
              <w:t xml:space="preserve"> and</w:t>
            </w:r>
            <w:r w:rsidR="008B4C65" w:rsidRPr="008B4C65">
              <w:rPr>
                <w:sz w:val="20"/>
              </w:rPr>
              <w:t xml:space="preserve"> upadacitinib</w:t>
            </w:r>
            <w:r w:rsidRPr="008B4C65">
              <w:rPr>
                <w:sz w:val="20"/>
              </w:rPr>
              <w:t xml:space="preserve"> 3</w:t>
            </w:r>
            <w:r w:rsidR="008B4C65" w:rsidRPr="008B4C65">
              <w:rPr>
                <w:sz w:val="20"/>
              </w:rPr>
              <w:t>0 mg</w:t>
            </w:r>
            <w:r w:rsidRPr="008B4C65">
              <w:rPr>
                <w:sz w:val="20"/>
              </w:rPr>
              <w:t xml:space="preserve"> groups, respectively) with similar trend observed in adolescents (12.2%, 30.7% and 35.1%, respectively). The most common (&gt;</w:t>
            </w:r>
            <w:r w:rsidR="008B4C65">
              <w:rPr>
                <w:sz w:val="20"/>
              </w:rPr>
              <w:t> </w:t>
            </w:r>
            <w:r w:rsidRPr="008B4C65">
              <w:rPr>
                <w:sz w:val="20"/>
              </w:rPr>
              <w:t xml:space="preserve">2% incidence) </w:t>
            </w:r>
            <w:r w:rsidR="008B4C65">
              <w:rPr>
                <w:sz w:val="20"/>
              </w:rPr>
              <w:t>treatment-emergent adverse events</w:t>
            </w:r>
            <w:r w:rsidR="008B4C65" w:rsidRPr="008B4C65">
              <w:rPr>
                <w:sz w:val="20"/>
              </w:rPr>
              <w:t xml:space="preserve"> </w:t>
            </w:r>
            <w:r w:rsidRPr="008B4C65">
              <w:rPr>
                <w:sz w:val="20"/>
              </w:rPr>
              <w:t>in the upadacitinib groups were acne, blood CPK increased, headache, nasopharyngitis, neutropenia, oral herpes, and upper respiratory tract infection.</w:t>
            </w:r>
          </w:p>
        </w:tc>
        <w:tc>
          <w:tcPr>
            <w:tcW w:w="4568" w:type="dxa"/>
          </w:tcPr>
          <w:p w14:paraId="527E199E" w14:textId="4E3ECCD0" w:rsidR="009A7761" w:rsidRPr="008B4C65" w:rsidRDefault="009A7761" w:rsidP="008B4C65">
            <w:pPr>
              <w:ind w:left="0"/>
              <w:rPr>
                <w:sz w:val="20"/>
              </w:rPr>
            </w:pPr>
            <w:r w:rsidRPr="008B4C65">
              <w:rPr>
                <w:sz w:val="20"/>
              </w:rPr>
              <w:t>In th</w:t>
            </w:r>
            <w:r w:rsidR="008B4C65">
              <w:rPr>
                <w:sz w:val="20"/>
              </w:rPr>
              <w:t>e long-term upadacitinib Phase III</w:t>
            </w:r>
            <w:r w:rsidRPr="008B4C65">
              <w:rPr>
                <w:sz w:val="20"/>
              </w:rPr>
              <w:t xml:space="preserve"> </w:t>
            </w:r>
            <w:r w:rsidR="008B4C65">
              <w:rPr>
                <w:sz w:val="20"/>
              </w:rPr>
              <w:t>adverse events</w:t>
            </w:r>
            <w:r w:rsidRPr="008B4C65">
              <w:rPr>
                <w:sz w:val="20"/>
              </w:rPr>
              <w:t xml:space="preserve"> analysis set, acne, diarrhoea, herpes zoster, neutropenia, blood creatine phosphokinase and oral herpes had higher rates in the upadacitinib 30 mg group </w:t>
            </w:r>
            <w:r w:rsidR="00F93A88">
              <w:rPr>
                <w:sz w:val="20"/>
              </w:rPr>
              <w:t xml:space="preserve">than </w:t>
            </w:r>
            <w:r w:rsidR="008B4C65">
              <w:rPr>
                <w:sz w:val="20"/>
              </w:rPr>
              <w:t>in the upadacitinib 15 </w:t>
            </w:r>
            <w:r w:rsidRPr="008B4C65">
              <w:rPr>
                <w:sz w:val="20"/>
              </w:rPr>
              <w:t>mg group.</w:t>
            </w:r>
          </w:p>
        </w:tc>
      </w:tr>
      <w:tr w:rsidR="009A7761" w:rsidRPr="002A37FE" w14:paraId="344B147B" w14:textId="77777777" w:rsidTr="00C45A15">
        <w:trPr>
          <w:cantSplit/>
        </w:trPr>
        <w:tc>
          <w:tcPr>
            <w:tcW w:w="4360" w:type="dxa"/>
          </w:tcPr>
          <w:p w14:paraId="69D58B12" w14:textId="35185738" w:rsidR="009A7761" w:rsidRPr="008B4C65" w:rsidRDefault="008B4C65" w:rsidP="008B4C65">
            <w:pPr>
              <w:ind w:left="0"/>
              <w:rPr>
                <w:sz w:val="20"/>
              </w:rPr>
            </w:pPr>
            <w:r>
              <w:rPr>
                <w:sz w:val="20"/>
              </w:rPr>
              <w:t>Risk of s</w:t>
            </w:r>
            <w:r w:rsidR="009A7761" w:rsidRPr="008B4C65">
              <w:rPr>
                <w:sz w:val="20"/>
              </w:rPr>
              <w:t xml:space="preserve">erious infections </w:t>
            </w:r>
          </w:p>
        </w:tc>
        <w:tc>
          <w:tcPr>
            <w:tcW w:w="4568" w:type="dxa"/>
          </w:tcPr>
          <w:p w14:paraId="40450E86" w14:textId="5A4435EF" w:rsidR="009A7761" w:rsidRPr="008B4C65" w:rsidRDefault="009A7761" w:rsidP="008B4C65">
            <w:pPr>
              <w:ind w:left="0"/>
              <w:rPr>
                <w:sz w:val="20"/>
              </w:rPr>
            </w:pPr>
            <w:r w:rsidRPr="008B4C65">
              <w:rPr>
                <w:sz w:val="20"/>
              </w:rPr>
              <w:t xml:space="preserve">In the </w:t>
            </w:r>
            <w:r w:rsidR="008B4C65">
              <w:rPr>
                <w:sz w:val="20"/>
              </w:rPr>
              <w:t>placebo</w:t>
            </w:r>
            <w:r w:rsidRPr="008B4C65">
              <w:rPr>
                <w:sz w:val="20"/>
              </w:rPr>
              <w:t xml:space="preserve">-controlled </w:t>
            </w:r>
            <w:r w:rsidR="008B4C65">
              <w:rPr>
                <w:sz w:val="20"/>
              </w:rPr>
              <w:t>atopic dermatitis</w:t>
            </w:r>
            <w:r w:rsidRPr="008B4C65">
              <w:rPr>
                <w:sz w:val="20"/>
              </w:rPr>
              <w:t xml:space="preserve"> analysis set, the incidence of serious infections was low and similar across the</w:t>
            </w:r>
            <w:r w:rsidR="008B4C65" w:rsidRPr="008B4C65">
              <w:rPr>
                <w:sz w:val="20"/>
              </w:rPr>
              <w:t xml:space="preserve"> upadacitinib</w:t>
            </w:r>
            <w:r w:rsidRPr="008B4C65">
              <w:rPr>
                <w:sz w:val="20"/>
              </w:rPr>
              <w:t xml:space="preserve"> 1</w:t>
            </w:r>
            <w:r w:rsidR="008B4C65" w:rsidRPr="008B4C65">
              <w:rPr>
                <w:sz w:val="20"/>
              </w:rPr>
              <w:t>5 mg</w:t>
            </w:r>
            <w:r w:rsidRPr="008B4C65">
              <w:rPr>
                <w:sz w:val="20"/>
              </w:rPr>
              <w:t>,</w:t>
            </w:r>
            <w:r w:rsidR="008B4C65" w:rsidRPr="008B4C65">
              <w:rPr>
                <w:sz w:val="20"/>
              </w:rPr>
              <w:t xml:space="preserve"> upadacitinib</w:t>
            </w:r>
            <w:r w:rsidRPr="008B4C65">
              <w:rPr>
                <w:sz w:val="20"/>
              </w:rPr>
              <w:t xml:space="preserve"> 3</w:t>
            </w:r>
            <w:r w:rsidR="008B4C65" w:rsidRPr="008B4C65">
              <w:rPr>
                <w:sz w:val="20"/>
              </w:rPr>
              <w:t>0 mg</w:t>
            </w:r>
            <w:r w:rsidRPr="008B4C65">
              <w:rPr>
                <w:sz w:val="20"/>
              </w:rPr>
              <w:t xml:space="preserve"> and placebo groups (0.8%, 0.4% and 0.6%, respectively). However, in the long-term upadacitinib </w:t>
            </w:r>
            <w:r w:rsidR="008B4C65">
              <w:rPr>
                <w:sz w:val="20"/>
              </w:rPr>
              <w:t>atopic dermatitis</w:t>
            </w:r>
            <w:r w:rsidRPr="008B4C65">
              <w:rPr>
                <w:sz w:val="20"/>
              </w:rPr>
              <w:t xml:space="preserve"> analysis set, it was higher in the</w:t>
            </w:r>
            <w:r w:rsidR="008B4C65" w:rsidRPr="008B4C65">
              <w:rPr>
                <w:sz w:val="20"/>
              </w:rPr>
              <w:t xml:space="preserve"> upadacitinib</w:t>
            </w:r>
            <w:r w:rsidRPr="008B4C65">
              <w:rPr>
                <w:sz w:val="20"/>
              </w:rPr>
              <w:t xml:space="preserve"> 3</w:t>
            </w:r>
            <w:r w:rsidR="008B4C65" w:rsidRPr="008B4C65">
              <w:rPr>
                <w:sz w:val="20"/>
              </w:rPr>
              <w:t>0 mg</w:t>
            </w:r>
            <w:r w:rsidRPr="008B4C65">
              <w:rPr>
                <w:sz w:val="20"/>
              </w:rPr>
              <w:t xml:space="preserve"> group compared to the</w:t>
            </w:r>
            <w:r w:rsidR="008B4C65" w:rsidRPr="008B4C65">
              <w:rPr>
                <w:sz w:val="20"/>
              </w:rPr>
              <w:t xml:space="preserve"> upadacitinib</w:t>
            </w:r>
            <w:r w:rsidRPr="008B4C65">
              <w:rPr>
                <w:sz w:val="20"/>
              </w:rPr>
              <w:t xml:space="preserve"> 1</w:t>
            </w:r>
            <w:r w:rsidR="008B4C65" w:rsidRPr="008B4C65">
              <w:rPr>
                <w:sz w:val="20"/>
              </w:rPr>
              <w:t>5 mg</w:t>
            </w:r>
            <w:r w:rsidRPr="008B4C65">
              <w:rPr>
                <w:sz w:val="20"/>
              </w:rPr>
              <w:t xml:space="preserve"> group (3.4 v</w:t>
            </w:r>
            <w:r w:rsidR="008B4C65">
              <w:rPr>
                <w:sz w:val="20"/>
              </w:rPr>
              <w:t>ersus 2.4 events/100 patient-years</w:t>
            </w:r>
            <w:r w:rsidRPr="008B4C65">
              <w:rPr>
                <w:sz w:val="20"/>
              </w:rPr>
              <w:t>) with more prominent dose-related incidence observed in adolescents (0.8 v</w:t>
            </w:r>
            <w:r w:rsidR="008B4C65">
              <w:rPr>
                <w:sz w:val="20"/>
              </w:rPr>
              <w:t>ersus 5.6 events/100 patient-years</w:t>
            </w:r>
            <w:r w:rsidRPr="008B4C65">
              <w:rPr>
                <w:sz w:val="20"/>
              </w:rPr>
              <w:t xml:space="preserve">). </w:t>
            </w:r>
          </w:p>
        </w:tc>
      </w:tr>
      <w:tr w:rsidR="009A7761" w:rsidRPr="002A37FE" w14:paraId="2B49F563" w14:textId="77777777" w:rsidTr="00C45A15">
        <w:tc>
          <w:tcPr>
            <w:tcW w:w="4360" w:type="dxa"/>
          </w:tcPr>
          <w:p w14:paraId="3F5D7871" w14:textId="5B8D6A32" w:rsidR="009A7761" w:rsidRPr="008B4C65" w:rsidRDefault="008B4C65" w:rsidP="008B4C65">
            <w:pPr>
              <w:ind w:left="0"/>
              <w:rPr>
                <w:sz w:val="20"/>
              </w:rPr>
            </w:pPr>
            <w:r>
              <w:rPr>
                <w:sz w:val="20"/>
              </w:rPr>
              <w:t>Risk of o</w:t>
            </w:r>
            <w:r w:rsidR="009A7761" w:rsidRPr="008B4C65">
              <w:rPr>
                <w:sz w:val="20"/>
              </w:rPr>
              <w:t>pportunistic infections.</w:t>
            </w:r>
          </w:p>
        </w:tc>
        <w:tc>
          <w:tcPr>
            <w:tcW w:w="4568" w:type="dxa"/>
          </w:tcPr>
          <w:p w14:paraId="7FE26502" w14:textId="05D5E61F" w:rsidR="009A7761" w:rsidRPr="008B4C65" w:rsidRDefault="009A7761" w:rsidP="008B4C65">
            <w:pPr>
              <w:ind w:left="0"/>
              <w:rPr>
                <w:sz w:val="20"/>
              </w:rPr>
            </w:pPr>
            <w:r w:rsidRPr="008B4C65">
              <w:rPr>
                <w:sz w:val="20"/>
              </w:rPr>
              <w:t>All the opportunistic infections excluding TB and herpes zoster were eczema herpeticum. The incidence of treatment-emergent eczema herpeticum was higher in the upadacitinib groups compared with placebo (0.7%, 0.8% and 0.4% in the</w:t>
            </w:r>
            <w:r w:rsidR="008B4C65" w:rsidRPr="008B4C65">
              <w:rPr>
                <w:sz w:val="20"/>
              </w:rPr>
              <w:t xml:space="preserve"> upadacitinib</w:t>
            </w:r>
            <w:r w:rsidRPr="008B4C65">
              <w:rPr>
                <w:sz w:val="20"/>
              </w:rPr>
              <w:t xml:space="preserve"> 1</w:t>
            </w:r>
            <w:r w:rsidR="008B4C65" w:rsidRPr="008B4C65">
              <w:rPr>
                <w:sz w:val="20"/>
              </w:rPr>
              <w:t>5 mg</w:t>
            </w:r>
            <w:r w:rsidRPr="008B4C65">
              <w:rPr>
                <w:sz w:val="20"/>
              </w:rPr>
              <w:t>,</w:t>
            </w:r>
            <w:r w:rsidR="008B4C65" w:rsidRPr="008B4C65">
              <w:rPr>
                <w:sz w:val="20"/>
              </w:rPr>
              <w:t xml:space="preserve"> upadacitinib</w:t>
            </w:r>
            <w:r w:rsidRPr="008B4C65">
              <w:rPr>
                <w:sz w:val="20"/>
              </w:rPr>
              <w:t xml:space="preserve"> 3</w:t>
            </w:r>
            <w:r w:rsidR="008B4C65" w:rsidRPr="008B4C65">
              <w:rPr>
                <w:sz w:val="20"/>
              </w:rPr>
              <w:t>0</w:t>
            </w:r>
            <w:r w:rsidR="000E4896">
              <w:rPr>
                <w:sz w:val="20"/>
              </w:rPr>
              <w:t> </w:t>
            </w:r>
            <w:r w:rsidR="008B4C65" w:rsidRPr="008B4C65">
              <w:rPr>
                <w:sz w:val="20"/>
              </w:rPr>
              <w:t>mg</w:t>
            </w:r>
            <w:r w:rsidRPr="008B4C65">
              <w:rPr>
                <w:sz w:val="20"/>
              </w:rPr>
              <w:t xml:space="preserve"> and placebo groups, respectively</w:t>
            </w:r>
          </w:p>
        </w:tc>
      </w:tr>
      <w:tr w:rsidR="009A7761" w:rsidRPr="002A37FE" w14:paraId="6675D406" w14:textId="77777777" w:rsidTr="00C45A15">
        <w:tc>
          <w:tcPr>
            <w:tcW w:w="4360" w:type="dxa"/>
          </w:tcPr>
          <w:p w14:paraId="4F57B3F3" w14:textId="07B7EE13" w:rsidR="009A7761" w:rsidRPr="008B4C65" w:rsidRDefault="0061307F" w:rsidP="008B4C65">
            <w:pPr>
              <w:ind w:left="0"/>
              <w:rPr>
                <w:sz w:val="20"/>
              </w:rPr>
            </w:pPr>
            <w:r>
              <w:rPr>
                <w:sz w:val="20"/>
              </w:rPr>
              <w:t>Risk of h</w:t>
            </w:r>
            <w:r w:rsidR="009A7761" w:rsidRPr="008B4C65">
              <w:rPr>
                <w:sz w:val="20"/>
              </w:rPr>
              <w:t>erpes zoster</w:t>
            </w:r>
            <w:r>
              <w:rPr>
                <w:sz w:val="20"/>
              </w:rPr>
              <w:t>.</w:t>
            </w:r>
          </w:p>
        </w:tc>
        <w:tc>
          <w:tcPr>
            <w:tcW w:w="4568" w:type="dxa"/>
          </w:tcPr>
          <w:p w14:paraId="729F5B13" w14:textId="79E9F3FF" w:rsidR="009A7761" w:rsidRPr="008B4C65" w:rsidRDefault="009A7761" w:rsidP="0061307F">
            <w:pPr>
              <w:ind w:left="0"/>
              <w:rPr>
                <w:sz w:val="20"/>
              </w:rPr>
            </w:pPr>
            <w:r w:rsidRPr="008B4C65">
              <w:rPr>
                <w:sz w:val="20"/>
              </w:rPr>
              <w:t xml:space="preserve">Incidence of herpes zoster: 0.6%, 1.6% and 1.5% in placebo-controlled safety dataset. </w:t>
            </w:r>
            <w:r w:rsidR="000E4896">
              <w:rPr>
                <w:sz w:val="20"/>
              </w:rPr>
              <w:t>The m</w:t>
            </w:r>
            <w:r w:rsidRPr="008B4C65">
              <w:rPr>
                <w:sz w:val="20"/>
              </w:rPr>
              <w:t xml:space="preserve">ajority of cases were mild or moderate with no </w:t>
            </w:r>
            <w:r w:rsidR="0061307F">
              <w:rPr>
                <w:sz w:val="20"/>
              </w:rPr>
              <w:t>serious adverse events</w:t>
            </w:r>
            <w:r w:rsidRPr="008B4C65">
              <w:rPr>
                <w:sz w:val="20"/>
              </w:rPr>
              <w:t xml:space="preserve"> or discontinuations due to herpes zoster events. Adequate precautions included in PI. </w:t>
            </w:r>
          </w:p>
        </w:tc>
      </w:tr>
      <w:tr w:rsidR="009A7761" w:rsidRPr="002A37FE" w14:paraId="00734FAE" w14:textId="77777777" w:rsidTr="00C45A15">
        <w:tc>
          <w:tcPr>
            <w:tcW w:w="4360" w:type="dxa"/>
          </w:tcPr>
          <w:p w14:paraId="5153C837" w14:textId="77777777" w:rsidR="009A7761" w:rsidRPr="008B4C65" w:rsidRDefault="009A7761" w:rsidP="008B4C65">
            <w:pPr>
              <w:ind w:left="0"/>
              <w:rPr>
                <w:sz w:val="20"/>
              </w:rPr>
            </w:pPr>
            <w:r w:rsidRPr="008B4C65">
              <w:rPr>
                <w:sz w:val="20"/>
              </w:rPr>
              <w:t>Malignancies.</w:t>
            </w:r>
          </w:p>
        </w:tc>
        <w:tc>
          <w:tcPr>
            <w:tcW w:w="4568" w:type="dxa"/>
          </w:tcPr>
          <w:p w14:paraId="1634BE40" w14:textId="35BB0C34" w:rsidR="00462328" w:rsidRPr="00462328" w:rsidRDefault="000E4896" w:rsidP="008B4C65">
            <w:pPr>
              <w:ind w:left="0"/>
              <w:rPr>
                <w:sz w:val="20"/>
                <w:lang w:val="en-US"/>
              </w:rPr>
            </w:pPr>
            <w:r>
              <w:rPr>
                <w:sz w:val="20"/>
              </w:rPr>
              <w:t>In t</w:t>
            </w:r>
            <w:r w:rsidR="00462328" w:rsidRPr="00462328">
              <w:rPr>
                <w:sz w:val="20"/>
                <w:lang w:val="en-US"/>
              </w:rPr>
              <w:t xml:space="preserve">he </w:t>
            </w:r>
            <w:r w:rsidR="00462328" w:rsidRPr="00462328">
              <w:rPr>
                <w:rFonts w:cs="TimesNewRoman,Bold"/>
                <w:bCs/>
                <w:sz w:val="20"/>
                <w:lang w:val="en-US"/>
              </w:rPr>
              <w:t>placebo-controlled analysis set</w:t>
            </w:r>
            <w:r w:rsidR="00462328" w:rsidRPr="00462328">
              <w:rPr>
                <w:sz w:val="20"/>
                <w:lang w:val="en-US"/>
              </w:rPr>
              <w:t xml:space="preserve">, all malignancies excluding </w:t>
            </w:r>
            <w:r w:rsidR="00462328" w:rsidRPr="00462328">
              <w:rPr>
                <w:rFonts w:eastAsia="TimesNewRoman" w:cs="Calibri"/>
                <w:sz w:val="20"/>
                <w:lang w:val="en-US"/>
              </w:rPr>
              <w:t xml:space="preserve">non-melanoma skin cancer </w:t>
            </w:r>
            <w:r w:rsidR="00462328" w:rsidRPr="00462328">
              <w:rPr>
                <w:sz w:val="20"/>
                <w:lang w:val="en-US"/>
              </w:rPr>
              <w:t xml:space="preserve">were reported in the upadacitinib 30 mg group (4 subjects, 0.4%); non-melanoma skin cancer was reported in 9.3%, 0.2% and 0% in the </w:t>
            </w:r>
            <w:r w:rsidR="00462328" w:rsidRPr="00462328">
              <w:rPr>
                <w:sz w:val="20"/>
              </w:rPr>
              <w:t xml:space="preserve">upadacitinib 15 mg, upadacitinib 30 mg and placebo groups, respectively. </w:t>
            </w:r>
            <w:r w:rsidR="00462328" w:rsidRPr="00462328">
              <w:rPr>
                <w:sz w:val="20"/>
                <w:lang w:val="en-US"/>
              </w:rPr>
              <w:t>In the l</w:t>
            </w:r>
            <w:r w:rsidR="00462328" w:rsidRPr="00462328">
              <w:rPr>
                <w:rFonts w:cs="TimesNewRoman,Bold"/>
                <w:bCs/>
                <w:sz w:val="20"/>
                <w:lang w:val="en-US"/>
              </w:rPr>
              <w:t>ong-term upadacitinib Phase III atopic dermatitis analysis set</w:t>
            </w:r>
            <w:r w:rsidR="00462328" w:rsidRPr="00462328">
              <w:rPr>
                <w:sz w:val="20"/>
                <w:lang w:val="en-US"/>
              </w:rPr>
              <w:t xml:space="preserve">, the </w:t>
            </w:r>
            <w:r w:rsidR="00462328" w:rsidRPr="00462328">
              <w:rPr>
                <w:rFonts w:eastAsia="TimesNewRoman" w:cs="Calibri"/>
                <w:sz w:val="20"/>
                <w:lang w:val="en-US"/>
              </w:rPr>
              <w:t>exposure-adjusted incidence rates</w:t>
            </w:r>
            <w:r w:rsidR="00462328" w:rsidRPr="00462328">
              <w:rPr>
                <w:sz w:val="20"/>
                <w:lang w:val="en-US"/>
              </w:rPr>
              <w:t xml:space="preserve"> (EAIRs) of malignancy, excluding </w:t>
            </w:r>
            <w:r w:rsidR="00462328" w:rsidRPr="00462328">
              <w:rPr>
                <w:rFonts w:eastAsia="TimesNewRoman" w:cs="Calibri"/>
                <w:sz w:val="20"/>
                <w:lang w:val="en-US"/>
              </w:rPr>
              <w:t>non-melanoma skin cancer</w:t>
            </w:r>
            <w:r w:rsidR="00462328" w:rsidRPr="00462328">
              <w:rPr>
                <w:sz w:val="20"/>
                <w:lang w:val="en-US"/>
              </w:rPr>
              <w:t xml:space="preserve">, was 0.7 events/100 patient years in the upadacitinib 30 mg group; and there were no events of malignancy, excluding </w:t>
            </w:r>
            <w:r w:rsidR="00462328" w:rsidRPr="00462328">
              <w:rPr>
                <w:rFonts w:eastAsia="TimesNewRoman" w:cs="Calibri"/>
                <w:sz w:val="20"/>
                <w:lang w:val="en-US"/>
              </w:rPr>
              <w:t xml:space="preserve">non-melanoma </w:t>
            </w:r>
            <w:r w:rsidR="00462328" w:rsidRPr="00462328">
              <w:rPr>
                <w:rFonts w:eastAsia="TimesNewRoman" w:cs="Calibri"/>
                <w:sz w:val="20"/>
                <w:lang w:val="en-US"/>
              </w:rPr>
              <w:lastRenderedPageBreak/>
              <w:t>skin cancer</w:t>
            </w:r>
            <w:r w:rsidR="00462328" w:rsidRPr="00462328">
              <w:rPr>
                <w:sz w:val="20"/>
                <w:lang w:val="en-US"/>
              </w:rPr>
              <w:t xml:space="preserve">, in the upadacitinib 15 mg group. The incidence of </w:t>
            </w:r>
            <w:r w:rsidR="00462328" w:rsidRPr="00462328">
              <w:rPr>
                <w:rFonts w:eastAsia="TimesNewRoman" w:cs="Calibri"/>
                <w:sz w:val="20"/>
                <w:lang w:val="en-US"/>
              </w:rPr>
              <w:t>non-melanoma skin cancer</w:t>
            </w:r>
            <w:r w:rsidR="00462328" w:rsidRPr="00462328">
              <w:rPr>
                <w:sz w:val="20"/>
                <w:lang w:val="en-US"/>
              </w:rPr>
              <w:t xml:space="preserve"> was similar in the upadacitinib 15 mg (0.5 events</w:t>
            </w:r>
            <w:r w:rsidR="00462328">
              <w:rPr>
                <w:sz w:val="20"/>
                <w:lang w:val="en-US"/>
              </w:rPr>
              <w:t xml:space="preserve"> </w:t>
            </w:r>
            <w:r w:rsidR="00462328" w:rsidRPr="00462328">
              <w:rPr>
                <w:sz w:val="20"/>
                <w:lang w:val="en-US"/>
              </w:rPr>
              <w:t>/</w:t>
            </w:r>
            <w:r w:rsidR="00462328">
              <w:rPr>
                <w:sz w:val="20"/>
                <w:lang w:val="en-US"/>
              </w:rPr>
              <w:t xml:space="preserve"> </w:t>
            </w:r>
            <w:r w:rsidR="00462328" w:rsidRPr="00462328">
              <w:rPr>
                <w:sz w:val="20"/>
                <w:lang w:val="en-US"/>
              </w:rPr>
              <w:t>100 patient-years) and upadacitinib 30 mg (0.3 events</w:t>
            </w:r>
            <w:r w:rsidR="00462328">
              <w:rPr>
                <w:sz w:val="20"/>
                <w:lang w:val="en-US"/>
              </w:rPr>
              <w:t xml:space="preserve"> </w:t>
            </w:r>
            <w:r w:rsidR="00462328" w:rsidRPr="00462328">
              <w:rPr>
                <w:sz w:val="20"/>
                <w:lang w:val="en-US"/>
              </w:rPr>
              <w:t>/</w:t>
            </w:r>
            <w:r w:rsidR="00462328">
              <w:rPr>
                <w:sz w:val="20"/>
                <w:lang w:val="en-US"/>
              </w:rPr>
              <w:t xml:space="preserve"> </w:t>
            </w:r>
            <w:r w:rsidR="00462328" w:rsidRPr="00462328">
              <w:rPr>
                <w:sz w:val="20"/>
                <w:lang w:val="en-US"/>
              </w:rPr>
              <w:t>100 patient-years) groups. There were no reports of malignancies in the adolescents.</w:t>
            </w:r>
          </w:p>
        </w:tc>
      </w:tr>
      <w:tr w:rsidR="009A7761" w:rsidRPr="002A37FE" w14:paraId="024FE9CA" w14:textId="77777777" w:rsidTr="00C45A15">
        <w:trPr>
          <w:cantSplit/>
        </w:trPr>
        <w:tc>
          <w:tcPr>
            <w:tcW w:w="4360" w:type="dxa"/>
          </w:tcPr>
          <w:p w14:paraId="62C4830D" w14:textId="69634A22" w:rsidR="009A7761" w:rsidRPr="008B4C65" w:rsidRDefault="0061307F" w:rsidP="008B4C65">
            <w:pPr>
              <w:ind w:left="0"/>
              <w:rPr>
                <w:sz w:val="20"/>
              </w:rPr>
            </w:pPr>
            <w:r>
              <w:rPr>
                <w:sz w:val="20"/>
              </w:rPr>
              <w:lastRenderedPageBreak/>
              <w:t>Anaemia, neutropenia, and l</w:t>
            </w:r>
            <w:r w:rsidR="009A7761" w:rsidRPr="008B4C65">
              <w:rPr>
                <w:sz w:val="20"/>
              </w:rPr>
              <w:t>ymphopenia.</w:t>
            </w:r>
          </w:p>
          <w:p w14:paraId="27E47672" w14:textId="7EEF04FD" w:rsidR="009A7761" w:rsidRPr="008B4C65" w:rsidRDefault="009A7761" w:rsidP="008B4C65">
            <w:pPr>
              <w:ind w:left="0"/>
              <w:rPr>
                <w:sz w:val="20"/>
              </w:rPr>
            </w:pPr>
            <w:r w:rsidRPr="008B4C65">
              <w:rPr>
                <w:sz w:val="20"/>
              </w:rPr>
              <w:t>Incidence of anaemia and neutropenia was higher in subjects treated with 3</w:t>
            </w:r>
            <w:r w:rsidR="008B4C65" w:rsidRPr="008B4C65">
              <w:rPr>
                <w:sz w:val="20"/>
              </w:rPr>
              <w:t>0 mg</w:t>
            </w:r>
            <w:r w:rsidRPr="008B4C65">
              <w:rPr>
                <w:sz w:val="20"/>
              </w:rPr>
              <w:t xml:space="preserve"> upadacitinib compared to the 1</w:t>
            </w:r>
            <w:r w:rsidR="008B4C65" w:rsidRPr="008B4C65">
              <w:rPr>
                <w:sz w:val="20"/>
              </w:rPr>
              <w:t>5 mg</w:t>
            </w:r>
            <w:r w:rsidRPr="008B4C65">
              <w:rPr>
                <w:sz w:val="20"/>
              </w:rPr>
              <w:t xml:space="preserve"> dose. </w:t>
            </w:r>
          </w:p>
        </w:tc>
        <w:tc>
          <w:tcPr>
            <w:tcW w:w="4568" w:type="dxa"/>
          </w:tcPr>
          <w:p w14:paraId="02A0C7DD" w14:textId="27F2C463" w:rsidR="009A7761" w:rsidRPr="008B4C65" w:rsidRDefault="009A7761" w:rsidP="008B4C65">
            <w:pPr>
              <w:ind w:left="0"/>
              <w:rPr>
                <w:sz w:val="20"/>
              </w:rPr>
            </w:pPr>
            <w:r w:rsidRPr="008B4C65">
              <w:rPr>
                <w:sz w:val="20"/>
              </w:rPr>
              <w:t>Two events of neutropenia led to discontinuation of study drug (both in upadacitinib 3</w:t>
            </w:r>
            <w:r w:rsidR="008B4C65" w:rsidRPr="008B4C65">
              <w:rPr>
                <w:sz w:val="20"/>
              </w:rPr>
              <w:t>0 mg</w:t>
            </w:r>
            <w:r w:rsidRPr="008B4C65">
              <w:rPr>
                <w:sz w:val="20"/>
              </w:rPr>
              <w:t xml:space="preserve"> group) but neither was associated with symptoms or infections. </w:t>
            </w:r>
          </w:p>
          <w:p w14:paraId="6D201198" w14:textId="3B4ED369" w:rsidR="009A7761" w:rsidRPr="008B4C65" w:rsidRDefault="009A7761" w:rsidP="0061307F">
            <w:pPr>
              <w:ind w:left="0"/>
              <w:rPr>
                <w:sz w:val="20"/>
              </w:rPr>
            </w:pPr>
            <w:r w:rsidRPr="008B4C65">
              <w:rPr>
                <w:sz w:val="20"/>
              </w:rPr>
              <w:t xml:space="preserve">Recommendation for dose interruption of upadacitinib if haemoglobin &lt; 8g/dL or </w:t>
            </w:r>
            <w:r w:rsidR="0061307F">
              <w:rPr>
                <w:sz w:val="20"/>
              </w:rPr>
              <w:t>absolute neutrophil count</w:t>
            </w:r>
            <w:r w:rsidRPr="008B4C65">
              <w:rPr>
                <w:sz w:val="20"/>
              </w:rPr>
              <w:t xml:space="preserve"> &lt;</w:t>
            </w:r>
            <w:r w:rsidR="0061307F">
              <w:rPr>
                <w:sz w:val="20"/>
              </w:rPr>
              <w:t xml:space="preserve"> </w:t>
            </w:r>
            <w:r w:rsidRPr="008B4C65">
              <w:rPr>
                <w:sz w:val="20"/>
              </w:rPr>
              <w:t>1000</w:t>
            </w:r>
            <w:r w:rsidR="0061307F">
              <w:rPr>
                <w:sz w:val="20"/>
              </w:rPr>
              <w:t xml:space="preserve"> </w:t>
            </w:r>
            <w:r w:rsidRPr="008B4C65">
              <w:rPr>
                <w:sz w:val="20"/>
              </w:rPr>
              <w:t>cells/mm</w:t>
            </w:r>
            <w:r w:rsidRPr="0061307F">
              <w:rPr>
                <w:sz w:val="20"/>
                <w:vertAlign w:val="superscript"/>
              </w:rPr>
              <w:t>3</w:t>
            </w:r>
            <w:r w:rsidRPr="008B4C65">
              <w:rPr>
                <w:sz w:val="20"/>
              </w:rPr>
              <w:t xml:space="preserve"> or ALC</w:t>
            </w:r>
            <w:r w:rsidR="000E4896">
              <w:rPr>
                <w:sz w:val="20"/>
              </w:rPr>
              <w:t> </w:t>
            </w:r>
            <w:r w:rsidRPr="008B4C65">
              <w:rPr>
                <w:sz w:val="20"/>
              </w:rPr>
              <w:t>&lt;</w:t>
            </w:r>
            <w:r w:rsidR="000E4896">
              <w:rPr>
                <w:sz w:val="20"/>
              </w:rPr>
              <w:t> </w:t>
            </w:r>
            <w:r w:rsidRPr="008B4C65">
              <w:rPr>
                <w:sz w:val="20"/>
              </w:rPr>
              <w:t>500cells/mm</w:t>
            </w:r>
            <w:r w:rsidRPr="0061307F">
              <w:rPr>
                <w:sz w:val="20"/>
                <w:vertAlign w:val="superscript"/>
              </w:rPr>
              <w:t>3</w:t>
            </w:r>
            <w:r w:rsidRPr="008B4C65">
              <w:rPr>
                <w:sz w:val="20"/>
              </w:rPr>
              <w:t xml:space="preserve">.) provided in the product </w:t>
            </w:r>
            <w:r w:rsidR="0061307F" w:rsidRPr="008B4C65">
              <w:rPr>
                <w:sz w:val="20"/>
              </w:rPr>
              <w:t>labelling</w:t>
            </w:r>
            <w:r w:rsidRPr="008B4C65">
              <w:rPr>
                <w:sz w:val="20"/>
              </w:rPr>
              <w:t xml:space="preserve">. In addition, anaemia is proposed as an adverse drug reaction for upadacitinib for the </w:t>
            </w:r>
            <w:r w:rsidR="0061307F">
              <w:rPr>
                <w:sz w:val="20"/>
              </w:rPr>
              <w:t>atopic dermatitis</w:t>
            </w:r>
            <w:r w:rsidRPr="008B4C65">
              <w:rPr>
                <w:sz w:val="20"/>
              </w:rPr>
              <w:t xml:space="preserve"> indication. </w:t>
            </w:r>
          </w:p>
        </w:tc>
      </w:tr>
      <w:tr w:rsidR="009A7761" w:rsidRPr="002A37FE" w14:paraId="47D1F85A" w14:textId="77777777" w:rsidTr="00C45A15">
        <w:tc>
          <w:tcPr>
            <w:tcW w:w="4360" w:type="dxa"/>
          </w:tcPr>
          <w:p w14:paraId="4EC88E46" w14:textId="55CB1E42" w:rsidR="009A7761" w:rsidRPr="008B4C65" w:rsidRDefault="009A7761" w:rsidP="0061307F">
            <w:pPr>
              <w:ind w:left="0"/>
              <w:rPr>
                <w:sz w:val="20"/>
              </w:rPr>
            </w:pPr>
            <w:r w:rsidRPr="008B4C65">
              <w:rPr>
                <w:sz w:val="20"/>
              </w:rPr>
              <w:t xml:space="preserve">Elevated </w:t>
            </w:r>
            <w:r w:rsidR="0061307F">
              <w:rPr>
                <w:sz w:val="20"/>
              </w:rPr>
              <w:t>creatine phosphokinase</w:t>
            </w:r>
          </w:p>
        </w:tc>
        <w:tc>
          <w:tcPr>
            <w:tcW w:w="4568" w:type="dxa"/>
          </w:tcPr>
          <w:p w14:paraId="7F06ED7E" w14:textId="3350A522" w:rsidR="009A7761" w:rsidRPr="008B4C65" w:rsidRDefault="0061307F" w:rsidP="0061307F">
            <w:pPr>
              <w:ind w:left="0"/>
              <w:rPr>
                <w:sz w:val="20"/>
              </w:rPr>
            </w:pPr>
            <w:r>
              <w:rPr>
                <w:sz w:val="20"/>
              </w:rPr>
              <w:t>Creatine phosphokinase</w:t>
            </w:r>
            <w:r w:rsidR="009A7761" w:rsidRPr="008B4C65">
              <w:rPr>
                <w:sz w:val="20"/>
              </w:rPr>
              <w:t xml:space="preserve"> changes following upadacitinib treatment were mostly mild or moderate in severity and have generally not been associated with confirmed rhabdomyolysis, renal failure or other </w:t>
            </w:r>
            <w:r>
              <w:rPr>
                <w:sz w:val="20"/>
              </w:rPr>
              <w:t>serious adverse events</w:t>
            </w:r>
            <w:r w:rsidR="009A7761" w:rsidRPr="008B4C65">
              <w:rPr>
                <w:sz w:val="20"/>
              </w:rPr>
              <w:t>.</w:t>
            </w:r>
          </w:p>
        </w:tc>
      </w:tr>
      <w:tr w:rsidR="009A7761" w:rsidRPr="002A37FE" w14:paraId="22FF58E3" w14:textId="77777777" w:rsidTr="00C45A15">
        <w:trPr>
          <w:cantSplit/>
        </w:trPr>
        <w:tc>
          <w:tcPr>
            <w:tcW w:w="4360" w:type="dxa"/>
          </w:tcPr>
          <w:p w14:paraId="5D317F04" w14:textId="1D08739F" w:rsidR="009A7761" w:rsidRPr="008B4C65" w:rsidRDefault="0061307F" w:rsidP="0061307F">
            <w:pPr>
              <w:ind w:left="0"/>
              <w:rPr>
                <w:sz w:val="20"/>
              </w:rPr>
            </w:pPr>
            <w:r>
              <w:rPr>
                <w:sz w:val="20"/>
              </w:rPr>
              <w:t>Acne:</w:t>
            </w:r>
            <w:r w:rsidR="009A7761" w:rsidRPr="008B4C65">
              <w:rPr>
                <w:sz w:val="20"/>
              </w:rPr>
              <w:t xml:space="preserve"> Incidence of acne </w:t>
            </w:r>
            <w:r>
              <w:rPr>
                <w:sz w:val="20"/>
              </w:rPr>
              <w:t>adverse events</w:t>
            </w:r>
            <w:r w:rsidR="009A7761" w:rsidRPr="008B4C65">
              <w:rPr>
                <w:sz w:val="20"/>
              </w:rPr>
              <w:t xml:space="preserve"> was higher in upadacitinib groups compared with placebo (2.2%, 10% and 15.8% in placebo,</w:t>
            </w:r>
            <w:r w:rsidR="008B4C65" w:rsidRPr="008B4C65">
              <w:rPr>
                <w:sz w:val="20"/>
              </w:rPr>
              <w:t xml:space="preserve"> upadacitinib</w:t>
            </w:r>
            <w:r w:rsidR="009A7761" w:rsidRPr="008B4C65">
              <w:rPr>
                <w:sz w:val="20"/>
              </w:rPr>
              <w:t xml:space="preserve"> 1</w:t>
            </w:r>
            <w:r w:rsidR="008B4C65" w:rsidRPr="008B4C65">
              <w:rPr>
                <w:sz w:val="20"/>
              </w:rPr>
              <w:t>5 mg</w:t>
            </w:r>
            <w:r w:rsidR="009A7761" w:rsidRPr="008B4C65">
              <w:rPr>
                <w:sz w:val="20"/>
              </w:rPr>
              <w:t xml:space="preserve"> and</w:t>
            </w:r>
            <w:r w:rsidR="008B4C65" w:rsidRPr="008B4C65">
              <w:rPr>
                <w:sz w:val="20"/>
              </w:rPr>
              <w:t xml:space="preserve"> upadacitinib</w:t>
            </w:r>
            <w:r w:rsidR="009A7761" w:rsidRPr="008B4C65">
              <w:rPr>
                <w:sz w:val="20"/>
              </w:rPr>
              <w:t xml:space="preserve"> 3</w:t>
            </w:r>
            <w:r w:rsidR="008B4C65" w:rsidRPr="008B4C65">
              <w:rPr>
                <w:sz w:val="20"/>
              </w:rPr>
              <w:t>0 mg</w:t>
            </w:r>
            <w:r w:rsidR="009A7761" w:rsidRPr="008B4C65">
              <w:rPr>
                <w:sz w:val="20"/>
              </w:rPr>
              <w:t xml:space="preserve"> groups, respectively) with similar trend observed in adolescents (0.9%, 14% and 16.7%, respectively).</w:t>
            </w:r>
          </w:p>
        </w:tc>
        <w:tc>
          <w:tcPr>
            <w:tcW w:w="4568" w:type="dxa"/>
          </w:tcPr>
          <w:p w14:paraId="4EE2B2FD" w14:textId="5A114034" w:rsidR="009A7761" w:rsidRPr="008B4C65" w:rsidRDefault="000E4896" w:rsidP="008B4C65">
            <w:pPr>
              <w:ind w:left="0"/>
              <w:rPr>
                <w:sz w:val="20"/>
              </w:rPr>
            </w:pPr>
            <w:r>
              <w:rPr>
                <w:sz w:val="20"/>
              </w:rPr>
              <w:t>A h</w:t>
            </w:r>
            <w:r w:rsidR="009A7761" w:rsidRPr="008B4C65">
              <w:rPr>
                <w:sz w:val="20"/>
              </w:rPr>
              <w:t>igher incidence in subjects treated with upadacitinib 3</w:t>
            </w:r>
            <w:r w:rsidR="008B4C65" w:rsidRPr="008B4C65">
              <w:rPr>
                <w:sz w:val="20"/>
              </w:rPr>
              <w:t>0 mg</w:t>
            </w:r>
            <w:r w:rsidR="009A7761" w:rsidRPr="008B4C65">
              <w:rPr>
                <w:sz w:val="20"/>
              </w:rPr>
              <w:t xml:space="preserve"> compared to 1</w:t>
            </w:r>
            <w:r w:rsidR="008B4C65" w:rsidRPr="008B4C65">
              <w:rPr>
                <w:sz w:val="20"/>
              </w:rPr>
              <w:t>5 mg</w:t>
            </w:r>
            <w:r w:rsidR="009A7761" w:rsidRPr="008B4C65">
              <w:rPr>
                <w:sz w:val="20"/>
              </w:rPr>
              <w:t xml:space="preserve">. </w:t>
            </w:r>
          </w:p>
          <w:p w14:paraId="69F97B62" w14:textId="3F0F1B47" w:rsidR="009A7761" w:rsidRPr="008B4C65" w:rsidRDefault="009A7761" w:rsidP="0061307F">
            <w:pPr>
              <w:ind w:left="0"/>
              <w:rPr>
                <w:sz w:val="20"/>
              </w:rPr>
            </w:pPr>
            <w:r w:rsidRPr="008B4C65">
              <w:rPr>
                <w:sz w:val="20"/>
              </w:rPr>
              <w:t xml:space="preserve">Incidence of acne observed in the </w:t>
            </w:r>
            <w:r w:rsidR="0061307F">
              <w:rPr>
                <w:sz w:val="20"/>
              </w:rPr>
              <w:t>atopic dermatitis</w:t>
            </w:r>
            <w:r w:rsidRPr="008B4C65">
              <w:rPr>
                <w:sz w:val="20"/>
              </w:rPr>
              <w:t xml:space="preserve"> studies was much higher than that observed in the </w:t>
            </w:r>
            <w:r w:rsidR="0061307F">
              <w:rPr>
                <w:sz w:val="20"/>
              </w:rPr>
              <w:t>psoriatic arthritis or rheumatoid arthritis</w:t>
            </w:r>
            <w:r w:rsidRPr="008B4C65">
              <w:rPr>
                <w:sz w:val="20"/>
              </w:rPr>
              <w:t xml:space="preserve"> clinical studies. It has been added to </w:t>
            </w:r>
            <w:r w:rsidR="0061307F">
              <w:rPr>
                <w:sz w:val="20"/>
              </w:rPr>
              <w:t>adverse drug reactions</w:t>
            </w:r>
            <w:r w:rsidRPr="008B4C65">
              <w:rPr>
                <w:sz w:val="20"/>
              </w:rPr>
              <w:t xml:space="preserve"> in</w:t>
            </w:r>
            <w:r w:rsidR="0061307F">
              <w:rPr>
                <w:sz w:val="20"/>
              </w:rPr>
              <w:t xml:space="preserve"> the</w:t>
            </w:r>
            <w:r w:rsidRPr="008B4C65">
              <w:rPr>
                <w:sz w:val="20"/>
              </w:rPr>
              <w:t xml:space="preserve"> draft PI. </w:t>
            </w:r>
          </w:p>
        </w:tc>
      </w:tr>
      <w:tr w:rsidR="009A7761" w:rsidRPr="002A37FE" w14:paraId="4E78459B" w14:textId="77777777" w:rsidTr="00C45A15">
        <w:trPr>
          <w:cantSplit/>
        </w:trPr>
        <w:tc>
          <w:tcPr>
            <w:tcW w:w="4360" w:type="dxa"/>
          </w:tcPr>
          <w:p w14:paraId="3901C0BA" w14:textId="2881FC50" w:rsidR="009A7761" w:rsidRPr="008B4C65" w:rsidRDefault="009A7761" w:rsidP="008B4C65">
            <w:pPr>
              <w:ind w:left="0"/>
              <w:rPr>
                <w:sz w:val="20"/>
              </w:rPr>
            </w:pPr>
            <w:r w:rsidRPr="008B4C65">
              <w:rPr>
                <w:sz w:val="20"/>
              </w:rPr>
              <w:t>Missing inform</w:t>
            </w:r>
            <w:r w:rsidR="0061307F">
              <w:rPr>
                <w:sz w:val="20"/>
              </w:rPr>
              <w:t>ation in adolescents weighing &lt; </w:t>
            </w:r>
            <w:r w:rsidRPr="008B4C65">
              <w:rPr>
                <w:sz w:val="20"/>
              </w:rPr>
              <w:t>40</w:t>
            </w:r>
            <w:r w:rsidR="0061307F">
              <w:rPr>
                <w:sz w:val="20"/>
              </w:rPr>
              <w:t> </w:t>
            </w:r>
            <w:r w:rsidRPr="008B4C65">
              <w:rPr>
                <w:sz w:val="20"/>
              </w:rPr>
              <w:t>kg, children aged &lt; 12 years and elderly patients &gt; 75 years.</w:t>
            </w:r>
          </w:p>
        </w:tc>
        <w:tc>
          <w:tcPr>
            <w:tcW w:w="4568" w:type="dxa"/>
          </w:tcPr>
          <w:p w14:paraId="134B6542" w14:textId="77777777" w:rsidR="009A7761" w:rsidRPr="008B4C65" w:rsidRDefault="009A7761" w:rsidP="008B4C65">
            <w:pPr>
              <w:ind w:left="0"/>
              <w:rPr>
                <w:sz w:val="20"/>
              </w:rPr>
            </w:pPr>
          </w:p>
        </w:tc>
      </w:tr>
    </w:tbl>
    <w:p w14:paraId="771320B9" w14:textId="633E04F5" w:rsidR="009A7761" w:rsidRDefault="009A7761" w:rsidP="0061307F">
      <w:pPr>
        <w:pStyle w:val="Heading5"/>
      </w:pPr>
      <w:bookmarkStart w:id="147" w:name="_Ref64448817"/>
      <w:bookmarkStart w:id="148" w:name="_Toc72321590"/>
      <w:r w:rsidRPr="00610262">
        <w:t>Assessment of benefit-risk balance</w:t>
      </w:r>
      <w:bookmarkEnd w:id="147"/>
      <w:bookmarkEnd w:id="148"/>
    </w:p>
    <w:p w14:paraId="0E515105" w14:textId="3A57F3F4" w:rsidR="0061307F" w:rsidRDefault="0061307F" w:rsidP="0061307F">
      <w:r>
        <w:t>The following summarises the benefit-risk balance found through the TGA’s clinical evaluation of the data submitted for the following proposed indication:</w:t>
      </w:r>
    </w:p>
    <w:p w14:paraId="5D5120B7" w14:textId="31ADC53E" w:rsidR="0061307F" w:rsidRPr="0061307F" w:rsidRDefault="0061307F" w:rsidP="0061307F">
      <w:pPr>
        <w:ind w:left="720"/>
      </w:pPr>
      <w:r w:rsidRPr="009A7761">
        <w:rPr>
          <w:i/>
        </w:rPr>
        <w:t>Rinvoq is indicated for the treatment of adults and adolescents 12 years and ol</w:t>
      </w:r>
      <w:r>
        <w:rPr>
          <w:i/>
        </w:rPr>
        <w:t>der with</w:t>
      </w:r>
      <w:r w:rsidRPr="009A7761">
        <w:rPr>
          <w:i/>
        </w:rPr>
        <w:t xml:space="preserve"> moderate to severe atopic dermatitis who are candidates for systemic therapy</w:t>
      </w:r>
    </w:p>
    <w:p w14:paraId="33DB5C1C" w14:textId="6C3A9684" w:rsidR="009A7761" w:rsidRDefault="00B67E63" w:rsidP="009A7761">
      <w:pPr>
        <w:autoSpaceDE w:val="0"/>
        <w:autoSpaceDN w:val="0"/>
        <w:adjustRightInd w:val="0"/>
        <w:rPr>
          <w:rFonts w:eastAsia="TimesNewRoman" w:cs="TimesNewRoman"/>
          <w:lang w:val="en-US"/>
        </w:rPr>
      </w:pPr>
      <w:r>
        <w:rPr>
          <w:rFonts w:eastAsia="TimesNewRoman" w:cs="TimesNewRoman"/>
          <w:lang w:val="en-US"/>
        </w:rPr>
        <w:t>U</w:t>
      </w:r>
      <w:r w:rsidR="00782F8C">
        <w:rPr>
          <w:rFonts w:eastAsia="TimesNewRoman" w:cs="TimesNewRoman"/>
          <w:lang w:val="en-US"/>
        </w:rPr>
        <w:t>padacitinib</w:t>
      </w:r>
      <w:r w:rsidR="009A7761" w:rsidRPr="00610262">
        <w:rPr>
          <w:rFonts w:eastAsia="TimesNewRoman" w:cs="TimesNewRoman"/>
          <w:lang w:val="en-US"/>
        </w:rPr>
        <w:t xml:space="preserve"> (</w:t>
      </w:r>
      <w:r w:rsidR="0061307F">
        <w:rPr>
          <w:rFonts w:eastAsia="TimesNewRoman" w:cs="TimesNewRoman"/>
          <w:lang w:val="en-US"/>
        </w:rPr>
        <w:t xml:space="preserve">drug development name </w:t>
      </w:r>
      <w:r w:rsidR="009A7761" w:rsidRPr="00610262">
        <w:rPr>
          <w:rFonts w:eastAsia="TimesNewRoman" w:cs="TimesNewRoman"/>
          <w:lang w:val="en-US"/>
        </w:rPr>
        <w:t xml:space="preserve">ABT-494, </w:t>
      </w:r>
      <w:r w:rsidR="0061307F">
        <w:rPr>
          <w:rFonts w:eastAsia="TimesNewRoman" w:cs="TimesNewRoman"/>
          <w:lang w:val="en-US"/>
        </w:rPr>
        <w:t xml:space="preserve">tradename </w:t>
      </w:r>
      <w:r w:rsidR="0061307F" w:rsidRPr="00610262">
        <w:rPr>
          <w:rFonts w:eastAsia="TimesNewRoman" w:cs="TimesNewRoman"/>
          <w:lang w:val="en-US"/>
        </w:rPr>
        <w:t>Rinvoq</w:t>
      </w:r>
      <w:r w:rsidR="009A7761" w:rsidRPr="00610262">
        <w:rPr>
          <w:rFonts w:eastAsia="TimesNewRoman" w:cs="TimesNewRoman"/>
          <w:lang w:val="en-US"/>
        </w:rPr>
        <w:t xml:space="preserve">) is a selective and reversible Janus kinase (JAK) inhibitor that was approved for rheumatoid arthritis in the </w:t>
      </w:r>
      <w:r w:rsidR="0061307F">
        <w:rPr>
          <w:rFonts w:eastAsia="TimesNewRoman" w:cs="TimesNewRoman"/>
          <w:lang w:val="en-US"/>
        </w:rPr>
        <w:t>USA</w:t>
      </w:r>
      <w:r w:rsidR="009A7761" w:rsidRPr="00610262">
        <w:rPr>
          <w:rFonts w:eastAsia="TimesNewRoman" w:cs="TimesNewRoman"/>
          <w:lang w:val="en-US"/>
        </w:rPr>
        <w:t xml:space="preserve"> and in the </w:t>
      </w:r>
      <w:r w:rsidR="0061307F">
        <w:rPr>
          <w:rFonts w:eastAsia="TimesNewRoman" w:cs="TimesNewRoman"/>
          <w:lang w:val="en-US"/>
        </w:rPr>
        <w:t>EU in 2019. I</w:t>
      </w:r>
      <w:r w:rsidR="009A7761" w:rsidRPr="00610262">
        <w:rPr>
          <w:rFonts w:eastAsia="TimesNewRoman" w:cs="TimesNewRoman"/>
          <w:lang w:val="en-US"/>
        </w:rPr>
        <w:t>t was also approved in Australia (in Jan</w:t>
      </w:r>
      <w:r w:rsidR="0061307F">
        <w:rPr>
          <w:rFonts w:eastAsia="TimesNewRoman" w:cs="TimesNewRoman"/>
          <w:lang w:val="en-US"/>
        </w:rPr>
        <w:t>uary 2020);</w:t>
      </w:r>
      <w:r w:rsidR="0061307F">
        <w:rPr>
          <w:rStyle w:val="FootnoteReference"/>
          <w:rFonts w:eastAsia="TimesNewRoman" w:cs="TimesNewRoman"/>
          <w:lang w:val="en-US"/>
        </w:rPr>
        <w:footnoteReference w:id="68"/>
      </w:r>
      <w:r w:rsidR="0061307F">
        <w:rPr>
          <w:rFonts w:eastAsia="TimesNewRoman" w:cs="TimesNewRoman"/>
          <w:vertAlign w:val="superscript"/>
          <w:lang w:val="en-US"/>
        </w:rPr>
        <w:t>,</w:t>
      </w:r>
      <w:r w:rsidR="0061307F">
        <w:rPr>
          <w:rStyle w:val="FootnoteReference"/>
          <w:rFonts w:eastAsia="TimesNewRoman" w:cs="TimesNewRoman"/>
          <w:lang w:val="en-US"/>
        </w:rPr>
        <w:footnoteReference w:id="69"/>
      </w:r>
      <w:r w:rsidR="0061307F">
        <w:rPr>
          <w:rFonts w:eastAsia="TimesNewRoman" w:cs="TimesNewRoman"/>
          <w:lang w:val="en-US"/>
        </w:rPr>
        <w:t xml:space="preserve"> h</w:t>
      </w:r>
      <w:r w:rsidR="009A7761" w:rsidRPr="00610262">
        <w:rPr>
          <w:rFonts w:eastAsia="TimesNewRoman" w:cs="TimesNewRoman"/>
          <w:lang w:val="en-US"/>
        </w:rPr>
        <w:t>owever, only the 1</w:t>
      </w:r>
      <w:r w:rsidR="008B4C65">
        <w:rPr>
          <w:rFonts w:eastAsia="TimesNewRoman" w:cs="TimesNewRoman"/>
          <w:lang w:val="en-US"/>
        </w:rPr>
        <w:t>5 mg</w:t>
      </w:r>
      <w:r w:rsidR="009A7761" w:rsidRPr="00610262">
        <w:rPr>
          <w:rFonts w:eastAsia="TimesNewRoman" w:cs="TimesNewRoman"/>
          <w:lang w:val="en-US"/>
        </w:rPr>
        <w:t xml:space="preserve"> dose is approved for the </w:t>
      </w:r>
      <w:r w:rsidR="0061307F">
        <w:rPr>
          <w:rFonts w:eastAsia="TimesNewRoman" w:cs="TimesNewRoman"/>
          <w:lang w:val="en-US"/>
        </w:rPr>
        <w:t>rheumatoid arthritis</w:t>
      </w:r>
      <w:r w:rsidR="009A7761" w:rsidRPr="00610262">
        <w:rPr>
          <w:rFonts w:eastAsia="TimesNewRoman" w:cs="TimesNewRoman"/>
          <w:lang w:val="en-US"/>
        </w:rPr>
        <w:t xml:space="preserve"> indication. </w:t>
      </w:r>
    </w:p>
    <w:p w14:paraId="42510940" w14:textId="45AB7358" w:rsidR="009A7761" w:rsidRDefault="009A7761" w:rsidP="009A7761">
      <w:pPr>
        <w:autoSpaceDE w:val="0"/>
        <w:autoSpaceDN w:val="0"/>
        <w:adjustRightInd w:val="0"/>
        <w:rPr>
          <w:rFonts w:eastAsia="TimesNewRoman" w:cs="TimesNewRoman"/>
          <w:lang w:val="en-US"/>
        </w:rPr>
      </w:pPr>
      <w:r w:rsidRPr="00610262">
        <w:lastRenderedPageBreak/>
        <w:t xml:space="preserve">The main evidence for efficacy and safety of </w:t>
      </w:r>
      <w:r w:rsidR="0061307F">
        <w:t>u</w:t>
      </w:r>
      <w:r w:rsidRPr="00610262">
        <w:t>padacitinib (1</w:t>
      </w:r>
      <w:r w:rsidR="008B4C65">
        <w:t>5 mg</w:t>
      </w:r>
      <w:r w:rsidRPr="00610262">
        <w:t xml:space="preserve"> and 3</w:t>
      </w:r>
      <w:r w:rsidR="008B4C65">
        <w:t>0 mg</w:t>
      </w:r>
      <w:r w:rsidRPr="00610262">
        <w:t xml:space="preserve"> </w:t>
      </w:r>
      <w:r w:rsidR="0061307F">
        <w:t>once daily</w:t>
      </w:r>
      <w:r w:rsidRPr="00610262">
        <w:t>) was provided by thre</w:t>
      </w:r>
      <w:r w:rsidR="0061307F">
        <w:t xml:space="preserve">e well-conducted pivotal Phase III studies (2 monotherapy and one study using a </w:t>
      </w:r>
      <w:r w:rsidRPr="00610262">
        <w:t xml:space="preserve">combination with </w:t>
      </w:r>
      <w:r w:rsidR="0061307F">
        <w:t>topical corticosteroids).</w:t>
      </w:r>
      <w:r w:rsidR="00B51532">
        <w:t xml:space="preserve"> </w:t>
      </w:r>
      <w:r w:rsidR="0061307F">
        <w:t>Overall, 906, 899 and 902 </w:t>
      </w:r>
      <w:r w:rsidRPr="00610262">
        <w:t xml:space="preserve">subjects were treated with </w:t>
      </w:r>
      <w:r w:rsidR="0061307F">
        <w:t>u</w:t>
      </w:r>
      <w:r w:rsidRPr="00610262">
        <w:t>padacitinib 3</w:t>
      </w:r>
      <w:r w:rsidR="008B4C65">
        <w:t>0 mg</w:t>
      </w:r>
      <w:r w:rsidRPr="00610262">
        <w:t>, 1</w:t>
      </w:r>
      <w:r w:rsidR="008B4C65">
        <w:t>5 mg</w:t>
      </w:r>
      <w:r w:rsidRPr="00610262">
        <w:t xml:space="preserve"> and placebo, respectively. </w:t>
      </w:r>
      <w:r w:rsidR="0061307F">
        <w:t>Adolescent subjects</w:t>
      </w:r>
      <w:r w:rsidRPr="00610262">
        <w:t xml:space="preserve"> were evaluated in all 3 studies (over</w:t>
      </w:r>
      <w:r w:rsidR="0061307F">
        <w:t xml:space="preserve">all 114, 114 and 115 adolescent subjects </w:t>
      </w:r>
      <w:r w:rsidRPr="00610262">
        <w:t>treated with upadacitinib 3</w:t>
      </w:r>
      <w:r w:rsidR="008B4C65">
        <w:t>0 mg</w:t>
      </w:r>
      <w:r w:rsidRPr="00610262">
        <w:t>, 1</w:t>
      </w:r>
      <w:r w:rsidR="008B4C65">
        <w:t>5 mg</w:t>
      </w:r>
      <w:r w:rsidRPr="00610262">
        <w:t xml:space="preserve"> and placebo, respectively). </w:t>
      </w:r>
      <w:r w:rsidR="0061307F">
        <w:rPr>
          <w:rFonts w:eastAsia="TimesNewRoman" w:cs="TimesNewRoman"/>
          <w:lang w:val="en-US"/>
        </w:rPr>
        <w:t>Overall, 263 </w:t>
      </w:r>
      <w:r w:rsidRPr="00610262">
        <w:rPr>
          <w:rFonts w:eastAsia="TimesNewRoman" w:cs="TimesNewRoman"/>
          <w:lang w:val="en-US"/>
        </w:rPr>
        <w:t xml:space="preserve">(21.2%) and 246 (19.9%) subjects had at least 12 months exposure to </w:t>
      </w:r>
      <w:r w:rsidR="0061307F">
        <w:rPr>
          <w:rFonts w:eastAsia="TimesNewRoman" w:cs="TimesNewRoman"/>
          <w:lang w:val="en-US"/>
        </w:rPr>
        <w:t>upadacitinib 30 </w:t>
      </w:r>
      <w:r w:rsidRPr="00610262">
        <w:rPr>
          <w:rFonts w:eastAsia="TimesNewRoman" w:cs="TimesNewRoman"/>
          <w:lang w:val="en-US"/>
        </w:rPr>
        <w:t xml:space="preserve">mg or </w:t>
      </w:r>
      <w:r w:rsidR="0061307F">
        <w:rPr>
          <w:rFonts w:eastAsia="TimesNewRoman" w:cs="TimesNewRoman"/>
          <w:lang w:val="en-US"/>
        </w:rPr>
        <w:t>15 mg, respectively (in adolescent subjects</w:t>
      </w:r>
      <w:r w:rsidRPr="00610262">
        <w:rPr>
          <w:rFonts w:eastAsia="TimesNewRoman" w:cs="TimesNewRoman"/>
          <w:lang w:val="en-US"/>
        </w:rPr>
        <w:t>, 46 (27.7</w:t>
      </w:r>
      <w:r w:rsidR="0061307F">
        <w:rPr>
          <w:rFonts w:eastAsia="TimesNewRoman" w:cs="TimesNewRoman"/>
          <w:lang w:val="en-US"/>
        </w:rPr>
        <w:t>%) and 37 (22.2%), respectively). Exposure to proposed doses of u</w:t>
      </w:r>
      <w:r w:rsidRPr="00610262">
        <w:rPr>
          <w:rFonts w:eastAsia="TimesNewRoman" w:cs="TimesNewRoman"/>
          <w:lang w:val="en-US"/>
        </w:rPr>
        <w:t>padacitinib (1</w:t>
      </w:r>
      <w:r w:rsidR="008B4C65">
        <w:rPr>
          <w:rFonts w:eastAsia="TimesNewRoman" w:cs="TimesNewRoman"/>
          <w:lang w:val="en-US"/>
        </w:rPr>
        <w:t>5 mg</w:t>
      </w:r>
      <w:r w:rsidRPr="00610262">
        <w:rPr>
          <w:rFonts w:eastAsia="TimesNewRoman" w:cs="TimesNewRoman"/>
          <w:lang w:val="en-US"/>
        </w:rPr>
        <w:t xml:space="preserve"> and 3</w:t>
      </w:r>
      <w:r w:rsidR="008B4C65">
        <w:rPr>
          <w:rFonts w:eastAsia="TimesNewRoman" w:cs="TimesNewRoman"/>
          <w:lang w:val="en-US"/>
        </w:rPr>
        <w:t>0 mg</w:t>
      </w:r>
      <w:r w:rsidRPr="00610262">
        <w:rPr>
          <w:rFonts w:eastAsia="TimesNewRoman" w:cs="TimesNewRoman"/>
          <w:lang w:val="en-US"/>
        </w:rPr>
        <w:t xml:space="preserve"> </w:t>
      </w:r>
      <w:r w:rsidR="0061307F">
        <w:rPr>
          <w:rFonts w:eastAsia="TimesNewRoman" w:cs="TimesNewRoman"/>
          <w:lang w:val="en-US"/>
        </w:rPr>
        <w:t>once daily</w:t>
      </w:r>
      <w:r w:rsidRPr="00610262">
        <w:rPr>
          <w:rFonts w:eastAsia="TimesNewRoman" w:cs="TimesNewRoman"/>
          <w:lang w:val="en-US"/>
        </w:rPr>
        <w:t xml:space="preserve">) was adequate to enable assessment of efficacy and safety in the proposed indication. </w:t>
      </w:r>
    </w:p>
    <w:p w14:paraId="62EC315F" w14:textId="0EA1511E" w:rsidR="009A7761" w:rsidRPr="00610262" w:rsidRDefault="009A7761" w:rsidP="009A7761">
      <w:pPr>
        <w:autoSpaceDE w:val="0"/>
        <w:autoSpaceDN w:val="0"/>
        <w:adjustRightInd w:val="0"/>
        <w:rPr>
          <w:rFonts w:eastAsia="TimesNewRoman" w:cs="TimesNewRoman"/>
          <w:lang w:val="en-US"/>
        </w:rPr>
      </w:pPr>
      <w:r w:rsidRPr="00610262">
        <w:rPr>
          <w:rFonts w:eastAsia="TimesNewRoman" w:cs="TimesNewRoman"/>
          <w:color w:val="000000"/>
          <w:lang w:val="en-US"/>
        </w:rPr>
        <w:t xml:space="preserve">Treatment with </w:t>
      </w:r>
      <w:r w:rsidR="0061307F">
        <w:rPr>
          <w:rFonts w:eastAsia="TimesNewRoman" w:cs="TimesNewRoman"/>
          <w:color w:val="000000"/>
          <w:lang w:val="en-US"/>
        </w:rPr>
        <w:t>u</w:t>
      </w:r>
      <w:r w:rsidRPr="00610262">
        <w:rPr>
          <w:rFonts w:eastAsia="TimesNewRoman" w:cs="TimesNewRoman"/>
          <w:color w:val="000000"/>
          <w:lang w:val="en-US"/>
        </w:rPr>
        <w:t xml:space="preserve">padacitinib 30 mg and upadacitinib 15 mg as monotherapy and in combination with </w:t>
      </w:r>
      <w:r w:rsidR="0061307F">
        <w:rPr>
          <w:rFonts w:eastAsia="TimesNewRoman" w:cs="TimesNewRoman"/>
          <w:color w:val="000000"/>
          <w:lang w:val="en-US"/>
        </w:rPr>
        <w:t>topical corticosteroids</w:t>
      </w:r>
      <w:r w:rsidRPr="00610262">
        <w:rPr>
          <w:rFonts w:eastAsia="TimesNewRoman" w:cs="TimesNewRoman"/>
          <w:color w:val="000000"/>
          <w:lang w:val="en-US"/>
        </w:rPr>
        <w:t xml:space="preserve"> demonstrated statistically and clinically significant improvements in the co-primary endpoints of vIGA-AD 0/1 and EASI 75 at Week 16 consistently in all 3 studies. In addition, each of multiplicity-controlled secondary endpoints demonstrated superiority of </w:t>
      </w:r>
      <w:r w:rsidR="0061307F">
        <w:rPr>
          <w:rFonts w:eastAsia="TimesNewRoman" w:cs="TimesNewRoman"/>
          <w:color w:val="000000"/>
          <w:lang w:val="en-US"/>
        </w:rPr>
        <w:t>u</w:t>
      </w:r>
      <w:r w:rsidRPr="00610262">
        <w:rPr>
          <w:rFonts w:eastAsia="TimesNewRoman" w:cs="TimesNewRoman"/>
          <w:color w:val="000000"/>
          <w:lang w:val="en-US"/>
        </w:rPr>
        <w:t xml:space="preserve">padacitinib 30 mg and 15 mg vs. placebo demonstrating clinically relevant improvements in itch, </w:t>
      </w:r>
      <w:r w:rsidR="0061307F">
        <w:rPr>
          <w:rFonts w:eastAsia="TimesNewRoman" w:cs="TimesNewRoman"/>
          <w:color w:val="000000"/>
          <w:lang w:val="en-US"/>
        </w:rPr>
        <w:t>atopic dermatitis</w:t>
      </w:r>
      <w:r w:rsidRPr="00610262">
        <w:rPr>
          <w:rFonts w:eastAsia="TimesNewRoman" w:cs="TimesNewRoman"/>
          <w:color w:val="000000"/>
          <w:lang w:val="en-US"/>
        </w:rPr>
        <w:t xml:space="preserve"> symptoms, impact on all aspects of life (sleep, </w:t>
      </w:r>
      <w:r w:rsidR="0061307F">
        <w:rPr>
          <w:rFonts w:eastAsia="TimesNewRoman" w:cs="TimesNewRoman"/>
          <w:color w:val="000000"/>
          <w:lang w:val="en-US"/>
        </w:rPr>
        <w:t>atopic dermatitis</w:t>
      </w:r>
      <w:r w:rsidRPr="00610262">
        <w:rPr>
          <w:rFonts w:eastAsia="TimesNewRoman" w:cs="TimesNewRoman"/>
          <w:color w:val="000000"/>
          <w:lang w:val="en-US"/>
        </w:rPr>
        <w:t xml:space="preserve"> symptoms, </w:t>
      </w:r>
      <w:r w:rsidR="0061307F">
        <w:rPr>
          <w:rFonts w:eastAsia="TimesNewRoman" w:cs="TimesNewRoman"/>
          <w:color w:val="000000"/>
          <w:lang w:val="en-US"/>
        </w:rPr>
        <w:t>quality of life</w:t>
      </w:r>
      <w:r w:rsidRPr="00610262">
        <w:rPr>
          <w:rFonts w:eastAsia="TimesNewRoman" w:cs="TimesNewRoman"/>
          <w:color w:val="000000"/>
          <w:lang w:val="en-US"/>
        </w:rPr>
        <w:t xml:space="preserve">, HADS, DLQI, patient perceptions of treatment,). </w:t>
      </w:r>
      <w:r w:rsidRPr="00610262">
        <w:rPr>
          <w:rFonts w:eastAsia="TimesNewRoman" w:cs="TimesNewRoman"/>
          <w:lang w:val="en-US"/>
        </w:rPr>
        <w:t xml:space="preserve">Furthermore, </w:t>
      </w:r>
      <w:r w:rsidR="00782F8C">
        <w:rPr>
          <w:rFonts w:eastAsia="TimesNewRoman" w:cs="TimesNewRoman"/>
          <w:lang w:val="en-US"/>
        </w:rPr>
        <w:t>upadacitinib</w:t>
      </w:r>
      <w:r w:rsidRPr="00610262">
        <w:rPr>
          <w:rFonts w:eastAsia="TimesNewRoman" w:cs="TimesNewRoman"/>
          <w:lang w:val="en-US"/>
        </w:rPr>
        <w:t xml:space="preserve"> was also associated with significant improvements in sleep disturbance, impact of </w:t>
      </w:r>
      <w:r w:rsidR="0061307F">
        <w:rPr>
          <w:rFonts w:eastAsia="TimesNewRoman" w:cs="TimesNewRoman"/>
          <w:lang w:val="en-US"/>
        </w:rPr>
        <w:t>atopic dermatitis</w:t>
      </w:r>
      <w:r w:rsidRPr="00610262">
        <w:rPr>
          <w:rFonts w:eastAsia="TimesNewRoman" w:cs="TimesNewRoman"/>
          <w:lang w:val="en-US"/>
        </w:rPr>
        <w:t xml:space="preserve">, health-related </w:t>
      </w:r>
      <w:r w:rsidR="0061307F">
        <w:rPr>
          <w:rFonts w:eastAsia="TimesNewRoman" w:cs="TimesNewRoman"/>
          <w:lang w:val="en-US"/>
        </w:rPr>
        <w:t>quality of life</w:t>
      </w:r>
      <w:r w:rsidRPr="00610262">
        <w:rPr>
          <w:rFonts w:eastAsia="TimesNewRoman" w:cs="TimesNewRoman"/>
          <w:lang w:val="en-US"/>
        </w:rPr>
        <w:t xml:space="preserve">, self-assessment of disease parameters. </w:t>
      </w:r>
    </w:p>
    <w:p w14:paraId="1A2EE36E" w14:textId="65A964CD" w:rsidR="009A7761" w:rsidRPr="0061307F" w:rsidRDefault="009A7761" w:rsidP="0061307F">
      <w:r w:rsidRPr="0061307F">
        <w:t xml:space="preserve">Comparison of predicted efficacy responses for EASI 90, IGA 0/1, and IGA 0 between </w:t>
      </w:r>
      <w:r w:rsidR="00782F8C">
        <w:t>upadacitinib</w:t>
      </w:r>
      <w:r w:rsidRPr="0061307F">
        <w:t xml:space="preserve"> monotherapy and combination with </w:t>
      </w:r>
      <w:r w:rsidR="00782F8C">
        <w:t>topical corticosteroids</w:t>
      </w:r>
      <w:r w:rsidRPr="0061307F">
        <w:t xml:space="preserve"> show consistent efficacy for both doses regardless of </w:t>
      </w:r>
      <w:r w:rsidR="00782F8C">
        <w:t>topical corticosteroids</w:t>
      </w:r>
      <w:r w:rsidRPr="0061307F">
        <w:t xml:space="preserve"> use. Although, the predicted placebo re</w:t>
      </w:r>
      <w:r w:rsidR="00782F8C">
        <w:t>sponse rates were higher by 5% to</w:t>
      </w:r>
      <w:r w:rsidRPr="0061307F">
        <w:t xml:space="preserve"> 7% when </w:t>
      </w:r>
      <w:r w:rsidR="00782F8C">
        <w:t>upadacitinib</w:t>
      </w:r>
      <w:r w:rsidRPr="0061307F">
        <w:t xml:space="preserve"> was administered with </w:t>
      </w:r>
      <w:r w:rsidR="00782F8C">
        <w:t>topical corticosteroids</w:t>
      </w:r>
      <w:r w:rsidRPr="0061307F">
        <w:t xml:space="preserve"> compared to monotherapy, this did not affect the predicted response rates for </w:t>
      </w:r>
      <w:r w:rsidR="00782F8C">
        <w:t>upadacitinib</w:t>
      </w:r>
      <w:r w:rsidRPr="0061307F">
        <w:t xml:space="preserve"> 15 mg and 30 mg doses.</w:t>
      </w:r>
      <w:r w:rsidR="00B51532">
        <w:t xml:space="preserve"> </w:t>
      </w:r>
      <w:r w:rsidRPr="0061307F">
        <w:t xml:space="preserve">While both doses of </w:t>
      </w:r>
      <w:r w:rsidR="00782F8C">
        <w:t>upadacitinib</w:t>
      </w:r>
      <w:r w:rsidRPr="0061307F">
        <w:t xml:space="preserve"> (30 mg and 15 mg) were efficacious, </w:t>
      </w:r>
      <w:r w:rsidR="00782F8C">
        <w:t>upadacitinib</w:t>
      </w:r>
      <w:r w:rsidRPr="0061307F">
        <w:t xml:space="preserve"> 30 mg plus </w:t>
      </w:r>
      <w:r w:rsidR="00782F8C">
        <w:t>topical corticosteroids</w:t>
      </w:r>
      <w:r w:rsidRPr="0061307F">
        <w:t xml:space="preserve"> provided numerically greater benefit to subjects than </w:t>
      </w:r>
      <w:r w:rsidR="00782F8C">
        <w:t>upadacitinib</w:t>
      </w:r>
      <w:r w:rsidRPr="0061307F">
        <w:t xml:space="preserve"> 15 mg plus </w:t>
      </w:r>
      <w:r w:rsidR="00782F8C">
        <w:t>topical corticosteroids</w:t>
      </w:r>
      <w:r w:rsidRPr="0061307F">
        <w:t xml:space="preserve"> across the endpoints tested. Consistent efficacy was demonstrated for adolescents across all endpoints. </w:t>
      </w:r>
    </w:p>
    <w:p w14:paraId="50755527" w14:textId="77777777" w:rsidR="00782F8C" w:rsidRDefault="009A7761" w:rsidP="00782F8C">
      <w:r w:rsidRPr="00782F8C">
        <w:t>There was adequate evidence to support long-term maintenance of efficacy with significant improvements observed in those who were initially randomised to placebo and switched to upadacitinib at Week 16, as well as among subjects who were initially randomised to upadacitinib and co</w:t>
      </w:r>
      <w:r w:rsidR="00782F8C" w:rsidRPr="00782F8C">
        <w:t>ntinued on upadacitinib beyond W</w:t>
      </w:r>
      <w:r w:rsidR="00782F8C">
        <w:t>eek 16.</w:t>
      </w:r>
    </w:p>
    <w:p w14:paraId="13D7A53E" w14:textId="7274A94C" w:rsidR="009A7761" w:rsidRPr="00782F8C" w:rsidRDefault="00782F8C" w:rsidP="00782F8C">
      <w:r>
        <w:t>The u</w:t>
      </w:r>
      <w:r w:rsidRPr="00782F8C">
        <w:t>padacitinib</w:t>
      </w:r>
      <w:r w:rsidR="009A7761" w:rsidRPr="00782F8C">
        <w:t xml:space="preserve"> 30 mg group demonstrated greater response rates than </w:t>
      </w:r>
      <w:r w:rsidRPr="00782F8C">
        <w:t>upadacitinib 15</w:t>
      </w:r>
      <w:r w:rsidR="000E4896">
        <w:t> </w:t>
      </w:r>
      <w:r w:rsidRPr="00782F8C">
        <w:t>mg through Week </w:t>
      </w:r>
      <w:r w:rsidR="009A7761" w:rsidRPr="00782F8C">
        <w:t>52 in terms of vIGA-AD 0/1, EASI75, EASI 100 and reduction in worst pruritus</w:t>
      </w:r>
      <w:r>
        <w:t xml:space="preserve"> NRS </w:t>
      </w:r>
      <w:r w:rsidR="009A7761" w:rsidRPr="00782F8C">
        <w:t>&gt;</w:t>
      </w:r>
      <w:r w:rsidRPr="00782F8C">
        <w:t xml:space="preserve"> 4.</w:t>
      </w:r>
    </w:p>
    <w:p w14:paraId="52EAEA6D" w14:textId="25F3FA27" w:rsidR="009A7761" w:rsidRPr="00610262" w:rsidRDefault="009A7761" w:rsidP="009A7761">
      <w:pPr>
        <w:autoSpaceDE w:val="0"/>
        <w:autoSpaceDN w:val="0"/>
        <w:adjustRightInd w:val="0"/>
        <w:rPr>
          <w:rFonts w:eastAsia="TimesNewRoman" w:cs="TimesNewRoman"/>
          <w:lang w:val="en-US"/>
        </w:rPr>
      </w:pPr>
      <w:r w:rsidRPr="00610262">
        <w:rPr>
          <w:rFonts w:eastAsia="TimesNewRoman" w:cs="TimesNewRoman"/>
          <w:lang w:val="en-US"/>
        </w:rPr>
        <w:t xml:space="preserve">Efficacy and safety of both doses of </w:t>
      </w:r>
      <w:r w:rsidR="00782F8C">
        <w:rPr>
          <w:rFonts w:eastAsia="TimesNewRoman" w:cs="TimesNewRoman"/>
          <w:lang w:val="en-US"/>
        </w:rPr>
        <w:t>upadacitinib</w:t>
      </w:r>
      <w:r w:rsidRPr="00610262">
        <w:rPr>
          <w:rFonts w:eastAsia="TimesNewRoman" w:cs="TimesNewRoman"/>
          <w:lang w:val="en-US"/>
        </w:rPr>
        <w:t xml:space="preserve"> 3</w:t>
      </w:r>
      <w:r w:rsidR="008B4C65">
        <w:rPr>
          <w:rFonts w:eastAsia="TimesNewRoman" w:cs="TimesNewRoman"/>
          <w:lang w:val="en-US"/>
        </w:rPr>
        <w:t>0 mg</w:t>
      </w:r>
      <w:r w:rsidRPr="00610262">
        <w:rPr>
          <w:rFonts w:eastAsia="TimesNewRoman" w:cs="TimesNewRoman"/>
          <w:lang w:val="en-US"/>
        </w:rPr>
        <w:t xml:space="preserve"> and 1</w:t>
      </w:r>
      <w:r w:rsidR="008B4C65">
        <w:rPr>
          <w:rFonts w:eastAsia="TimesNewRoman" w:cs="TimesNewRoman"/>
          <w:lang w:val="en-US"/>
        </w:rPr>
        <w:t>5 mg</w:t>
      </w:r>
      <w:r w:rsidRPr="00610262">
        <w:rPr>
          <w:rFonts w:eastAsia="TimesNewRoman" w:cs="TimesNewRoman"/>
          <w:lang w:val="en-US"/>
        </w:rPr>
        <w:t xml:space="preserve"> </w:t>
      </w:r>
      <w:r w:rsidR="00782F8C">
        <w:rPr>
          <w:rFonts w:eastAsia="TimesNewRoman" w:cs="TimesNewRoman"/>
          <w:lang w:val="en-US"/>
        </w:rPr>
        <w:t>once daily</w:t>
      </w:r>
      <w:r w:rsidRPr="00610262">
        <w:rPr>
          <w:rFonts w:eastAsia="TimesNewRoman" w:cs="TimesNewRoman"/>
          <w:lang w:val="en-US"/>
        </w:rPr>
        <w:t xml:space="preserve"> compared with placebo was demonstrated across all subgroups by age, gender, BMI, race, weight,</w:t>
      </w:r>
      <w:r w:rsidR="00782F8C">
        <w:rPr>
          <w:rFonts w:eastAsia="TimesNewRoman" w:cs="TimesNewRoman"/>
          <w:lang w:val="en-US"/>
        </w:rPr>
        <w:t xml:space="preserve"> geographic region, baseline vIGA-AD, b</w:t>
      </w:r>
      <w:r w:rsidRPr="00610262">
        <w:rPr>
          <w:rFonts w:eastAsia="TimesNewRoman" w:cs="TimesNewRoman"/>
          <w:lang w:val="en-US"/>
        </w:rPr>
        <w:t xml:space="preserve">aseline EASI, </w:t>
      </w:r>
      <w:r w:rsidR="00782F8C">
        <w:rPr>
          <w:rFonts w:eastAsia="TimesNewRoman" w:cs="TimesNewRoman"/>
          <w:lang w:val="en-US"/>
        </w:rPr>
        <w:t>high sensitivity C-reactive protein (</w:t>
      </w:r>
      <w:r w:rsidRPr="00610262">
        <w:rPr>
          <w:rFonts w:eastAsia="TimesNewRoman" w:cs="TimesNewRoman"/>
          <w:lang w:val="en-US"/>
        </w:rPr>
        <w:t>hsCRP</w:t>
      </w:r>
      <w:r w:rsidR="00782F8C">
        <w:rPr>
          <w:rFonts w:eastAsia="TimesNewRoman" w:cs="TimesNewRoman"/>
          <w:lang w:val="en-US"/>
        </w:rPr>
        <w:t>)</w:t>
      </w:r>
      <w:r w:rsidRPr="00610262">
        <w:rPr>
          <w:rFonts w:eastAsia="TimesNewRoman" w:cs="TimesNewRoman"/>
          <w:lang w:val="en-US"/>
        </w:rPr>
        <w:t xml:space="preserve">, previous systemic therapy, intolerance to at least one prior </w:t>
      </w:r>
      <w:r w:rsidR="00782F8C">
        <w:rPr>
          <w:rFonts w:eastAsia="TimesNewRoman" w:cs="TimesNewRoman"/>
          <w:lang w:val="en-US"/>
        </w:rPr>
        <w:t>topical corticosteroids</w:t>
      </w:r>
      <w:r w:rsidRPr="00610262">
        <w:rPr>
          <w:rFonts w:eastAsia="TimesNewRoman" w:cs="TimesNewRoman"/>
          <w:lang w:val="en-US"/>
        </w:rPr>
        <w:t>/</w:t>
      </w:r>
      <w:r w:rsidR="00782F8C">
        <w:rPr>
          <w:rFonts w:eastAsia="TimesNewRoman" w:cs="TimesNewRoman"/>
          <w:lang w:val="en-US"/>
        </w:rPr>
        <w:t>topical calcineurin inhibitors</w:t>
      </w:r>
      <w:r w:rsidRPr="00610262">
        <w:rPr>
          <w:rFonts w:eastAsia="TimesNewRoman" w:cs="TimesNewRoman"/>
          <w:lang w:val="en-US"/>
        </w:rPr>
        <w:t xml:space="preserve">, inadequate response to at least one topical treatment. However, there was lack of analysis of efficacy in subgroups based on concomitant use of </w:t>
      </w:r>
      <w:r w:rsidR="00782F8C">
        <w:rPr>
          <w:rFonts w:eastAsia="TimesNewRoman" w:cs="TimesNewRoman"/>
          <w:lang w:val="en-US"/>
        </w:rPr>
        <w:t>topical calcineurin inhibitors</w:t>
      </w:r>
      <w:r w:rsidRPr="00610262">
        <w:rPr>
          <w:rFonts w:eastAsia="TimesNewRoman" w:cs="TimesNewRoman"/>
          <w:lang w:val="en-US"/>
        </w:rPr>
        <w:t>, emollients and oral antihistamines. Subjects with prior exposure to du</w:t>
      </w:r>
      <w:r w:rsidR="00782F8C">
        <w:rPr>
          <w:rFonts w:eastAsia="TimesNewRoman" w:cs="TimesNewRoman"/>
          <w:lang w:val="en-US"/>
        </w:rPr>
        <w:t>pilumab were excluded from the Phase III</w:t>
      </w:r>
      <w:r w:rsidRPr="00610262">
        <w:rPr>
          <w:rFonts w:eastAsia="TimesNewRoman" w:cs="TimesNewRoman"/>
          <w:lang w:val="en-US"/>
        </w:rPr>
        <w:t xml:space="preserve"> studies. </w:t>
      </w:r>
    </w:p>
    <w:p w14:paraId="19304C90" w14:textId="008FB748" w:rsidR="009A7761" w:rsidRPr="00610262" w:rsidRDefault="009A7761" w:rsidP="009A7761">
      <w:pPr>
        <w:rPr>
          <w:rFonts w:eastAsia="TimesNewRoman" w:cs="TimesNewRoman"/>
          <w:lang w:val="en-US"/>
        </w:rPr>
      </w:pPr>
      <w:r w:rsidRPr="00610262">
        <w:rPr>
          <w:lang w:val="en-US"/>
        </w:rPr>
        <w:lastRenderedPageBreak/>
        <w:t>Treatment guidelines developed by the Japa</w:t>
      </w:r>
      <w:r w:rsidR="00AD420F">
        <w:rPr>
          <w:lang w:val="en-US"/>
        </w:rPr>
        <w:t>nese Dermatological Association;</w:t>
      </w:r>
      <w:r w:rsidR="00AD420F">
        <w:rPr>
          <w:rStyle w:val="FootnoteReference"/>
          <w:lang w:val="en-US"/>
        </w:rPr>
        <w:footnoteReference w:id="70"/>
      </w:r>
      <w:r w:rsidR="00927332">
        <w:rPr>
          <w:vertAlign w:val="superscript"/>
          <w:lang w:val="en-US"/>
        </w:rPr>
        <w:t>,</w:t>
      </w:r>
      <w:r w:rsidR="00AD420F">
        <w:rPr>
          <w:rStyle w:val="FootnoteReference"/>
          <w:lang w:val="en-US"/>
        </w:rPr>
        <w:footnoteReference w:id="71"/>
      </w:r>
      <w:r w:rsidRPr="00610262">
        <w:rPr>
          <w:lang w:val="en-US"/>
        </w:rPr>
        <w:t xml:space="preserve"> similar to the American Academy of Der</w:t>
      </w:r>
      <w:r w:rsidR="00AD420F">
        <w:rPr>
          <w:lang w:val="en-US"/>
        </w:rPr>
        <w:t>matology</w:t>
      </w:r>
      <w:r w:rsidR="00927332">
        <w:rPr>
          <w:lang w:val="en-US"/>
        </w:rPr>
        <w:t xml:space="preserve"> (AAD)</w:t>
      </w:r>
      <w:r w:rsidR="00AD420F">
        <w:rPr>
          <w:lang w:val="en-US"/>
        </w:rPr>
        <w:t>;</w:t>
      </w:r>
      <w:r w:rsidRPr="00610262">
        <w:rPr>
          <w:lang w:val="en-US"/>
        </w:rPr>
        <w:t xml:space="preserve"> recommend the use of systemic immunomodulatory agents for subjects in whom optimised topical regimens and/or phototherapy do not adequately control the signs and symptoms of disease. These guidelines recognise that insufficient data exist to firmly recommend optimal dosing, duration of therapy, and precise monitoring protocols for most systemic immunomodulating medications.</w:t>
      </w:r>
      <w:r w:rsidRPr="00610262">
        <w:rPr>
          <w:color w:val="100EFF"/>
          <w:lang w:val="en-US"/>
        </w:rPr>
        <w:t xml:space="preserve"> </w:t>
      </w:r>
      <w:r w:rsidRPr="00610262">
        <w:rPr>
          <w:lang w:val="en-US"/>
        </w:rPr>
        <w:t>Currently</w:t>
      </w:r>
      <w:r w:rsidRPr="00610262">
        <w:rPr>
          <w:color w:val="100EFF"/>
          <w:lang w:val="en-US"/>
        </w:rPr>
        <w:t xml:space="preserve"> </w:t>
      </w:r>
      <w:r w:rsidRPr="00610262">
        <w:rPr>
          <w:lang w:val="en-US"/>
        </w:rPr>
        <w:t xml:space="preserve">very few systemic agents are approved for </w:t>
      </w:r>
      <w:r w:rsidR="00927332">
        <w:rPr>
          <w:lang w:val="en-US"/>
        </w:rPr>
        <w:t>atopic dermatitis</w:t>
      </w:r>
      <w:r w:rsidRPr="00610262">
        <w:rPr>
          <w:lang w:val="en-US"/>
        </w:rPr>
        <w:t xml:space="preserve"> and, of those, cyclosporin A and oral prednisone are not suitable for long-term use. </w:t>
      </w:r>
      <w:r w:rsidR="00927332">
        <w:rPr>
          <w:rFonts w:eastAsia="TimesNewRoman" w:cs="TimesNewRoman"/>
          <w:lang w:val="en-US"/>
        </w:rPr>
        <w:t>Recently, d</w:t>
      </w:r>
      <w:r w:rsidRPr="00610262">
        <w:rPr>
          <w:rFonts w:eastAsia="TimesNewRoman" w:cs="TimesNewRoman"/>
          <w:lang w:val="en-US"/>
        </w:rPr>
        <w:t>upilumab, a monoclonal antibody that inhibits IL-4 and IL-13 signaling, has been approved in the US</w:t>
      </w:r>
      <w:r w:rsidR="00927332">
        <w:rPr>
          <w:rFonts w:eastAsia="TimesNewRoman" w:cs="TimesNewRoman"/>
          <w:lang w:val="en-US"/>
        </w:rPr>
        <w:t>A</w:t>
      </w:r>
      <w:r w:rsidRPr="00610262">
        <w:rPr>
          <w:rFonts w:eastAsia="TimesNewRoman" w:cs="TimesNewRoman"/>
          <w:lang w:val="en-US"/>
        </w:rPr>
        <w:t xml:space="preserve">, EU, Japan, Canada, and in Australia for the treatment of moderate to severe </w:t>
      </w:r>
      <w:r w:rsidR="00927332">
        <w:rPr>
          <w:rFonts w:eastAsia="TimesNewRoman" w:cs="TimesNewRoman"/>
          <w:lang w:val="en-US"/>
        </w:rPr>
        <w:t>atopic dermatitis</w:t>
      </w:r>
      <w:r w:rsidRPr="00610262">
        <w:rPr>
          <w:rFonts w:eastAsia="TimesNewRoman" w:cs="TimesNewRoman"/>
          <w:lang w:val="en-US"/>
        </w:rPr>
        <w:t xml:space="preserve"> in adults and p</w:t>
      </w:r>
      <w:r w:rsidR="00927332">
        <w:rPr>
          <w:rFonts w:eastAsia="TimesNewRoman" w:cs="TimesNewRoman"/>
          <w:lang w:val="en-US"/>
        </w:rPr>
        <w:t>aediatric patients over 6 </w:t>
      </w:r>
      <w:r w:rsidRPr="00610262">
        <w:rPr>
          <w:rFonts w:eastAsia="TimesNewRoman" w:cs="TimesNewRoman"/>
          <w:lang w:val="en-US"/>
        </w:rPr>
        <w:t>years of age.</w:t>
      </w:r>
      <w:r w:rsidR="00927332">
        <w:rPr>
          <w:rStyle w:val="FootnoteReference"/>
          <w:rFonts w:eastAsia="TimesNewRoman" w:cs="TimesNewRoman"/>
          <w:lang w:val="en-US"/>
        </w:rPr>
        <w:footnoteReference w:id="72"/>
      </w:r>
      <w:r w:rsidRPr="00610262">
        <w:rPr>
          <w:rFonts w:eastAsia="TimesNewRoman" w:cs="TimesNewRoman"/>
          <w:lang w:val="en-US"/>
        </w:rPr>
        <w:t xml:space="preserve"> However, dupilumab is associated with risks of ocular </w:t>
      </w:r>
      <w:r w:rsidR="00927332">
        <w:rPr>
          <w:rFonts w:eastAsia="TimesNewRoman" w:cs="TimesNewRoman"/>
          <w:lang w:val="en-US"/>
        </w:rPr>
        <w:t>adverse events</w:t>
      </w:r>
      <w:r w:rsidRPr="00610262">
        <w:rPr>
          <w:rFonts w:eastAsia="TimesNewRoman" w:cs="TimesNewRoman"/>
          <w:lang w:val="en-US"/>
        </w:rPr>
        <w:t xml:space="preserve"> (including conjunctivitis), protracted onset of action and need for subcutaneous administration (30</w:t>
      </w:r>
      <w:r w:rsidR="008B4C65">
        <w:rPr>
          <w:rFonts w:eastAsia="TimesNewRoman" w:cs="TimesNewRoman"/>
          <w:lang w:val="en-US"/>
        </w:rPr>
        <w:t>0 mg</w:t>
      </w:r>
      <w:r w:rsidRPr="00610262">
        <w:rPr>
          <w:rFonts w:eastAsia="TimesNewRoman" w:cs="TimesNewRoman"/>
          <w:lang w:val="en-US"/>
        </w:rPr>
        <w:t xml:space="preserve"> every 2 weeks).</w:t>
      </w:r>
    </w:p>
    <w:p w14:paraId="6CF5F88A" w14:textId="24770393" w:rsidR="009A7761" w:rsidRDefault="00927332" w:rsidP="009A7761">
      <w:pPr>
        <w:pStyle w:val="ListBullet"/>
        <w:numPr>
          <w:ilvl w:val="0"/>
          <w:numId w:val="0"/>
        </w:numPr>
        <w:rPr>
          <w:rFonts w:eastAsia="TimesNewRoman" w:cs="TimesNewRoman"/>
          <w:lang w:val="en-US"/>
        </w:rPr>
      </w:pPr>
      <w:r w:rsidRPr="00610262">
        <w:rPr>
          <w:rFonts w:eastAsia="TimesNewRoman" w:cs="TimesNewRoman"/>
          <w:lang w:val="en-US"/>
        </w:rPr>
        <w:t xml:space="preserve">Rinvoq </w:t>
      </w:r>
      <w:r w:rsidR="009A7761" w:rsidRPr="00610262">
        <w:rPr>
          <w:rFonts w:eastAsia="TimesNewRoman" w:cs="TimesNewRoman"/>
          <w:lang w:val="en-US"/>
        </w:rPr>
        <w:t>(</w:t>
      </w:r>
      <w:r w:rsidR="00782F8C">
        <w:rPr>
          <w:rFonts w:eastAsia="TimesNewRoman" w:cs="TimesNewRoman"/>
          <w:lang w:val="en-US"/>
        </w:rPr>
        <w:t>upadacitinib</w:t>
      </w:r>
      <w:r w:rsidR="009A7761" w:rsidRPr="00610262">
        <w:rPr>
          <w:rFonts w:eastAsia="TimesNewRoman" w:cs="TimesNewRoman"/>
          <w:lang w:val="en-US"/>
        </w:rPr>
        <w:t xml:space="preserve"> 1</w:t>
      </w:r>
      <w:r w:rsidR="008B4C65">
        <w:rPr>
          <w:rFonts w:eastAsia="TimesNewRoman" w:cs="TimesNewRoman"/>
          <w:lang w:val="en-US"/>
        </w:rPr>
        <w:t>5 mg</w:t>
      </w:r>
      <w:r w:rsidR="009A7761" w:rsidRPr="00610262">
        <w:rPr>
          <w:rFonts w:eastAsia="TimesNewRoman" w:cs="TimesNewRoman"/>
          <w:lang w:val="en-US"/>
        </w:rPr>
        <w:t xml:space="preserve"> and 3</w:t>
      </w:r>
      <w:r w:rsidR="008B4C65">
        <w:rPr>
          <w:rFonts w:eastAsia="TimesNewRoman" w:cs="TimesNewRoman"/>
          <w:lang w:val="en-US"/>
        </w:rPr>
        <w:t>0 mg</w:t>
      </w:r>
      <w:r w:rsidR="009A7761" w:rsidRPr="00610262">
        <w:rPr>
          <w:rFonts w:eastAsia="TimesNewRoman" w:cs="TimesNewRoman"/>
          <w:lang w:val="en-US"/>
        </w:rPr>
        <w:t xml:space="preserve"> </w:t>
      </w:r>
      <w:r w:rsidR="00782F8C">
        <w:rPr>
          <w:rFonts w:eastAsia="TimesNewRoman" w:cs="TimesNewRoman"/>
          <w:lang w:val="en-US"/>
        </w:rPr>
        <w:t>once daily</w:t>
      </w:r>
      <w:r w:rsidR="009A7761" w:rsidRPr="00610262">
        <w:rPr>
          <w:rFonts w:eastAsia="TimesNewRoman" w:cs="TimesNewRoman"/>
          <w:lang w:val="en-US"/>
        </w:rPr>
        <w:t xml:space="preserve">) provides a once daily oral treatment option for patients with moderate to severe </w:t>
      </w:r>
      <w:r>
        <w:rPr>
          <w:rFonts w:eastAsia="TimesNewRoman" w:cs="TimesNewRoman"/>
          <w:lang w:val="en-US"/>
        </w:rPr>
        <w:t>atopic dermatitis</w:t>
      </w:r>
      <w:r w:rsidR="009A7761" w:rsidRPr="00610262">
        <w:rPr>
          <w:lang w:val="en-US"/>
        </w:rPr>
        <w:t xml:space="preserve"> in whom optimised topical regimens and/or phototherapy do not adequately control the signs and symptoms of disease. It provides </w:t>
      </w:r>
      <w:r w:rsidR="009A7761" w:rsidRPr="00610262">
        <w:rPr>
          <w:rFonts w:eastAsia="TimesNewRoman" w:cs="TimesNewRoman"/>
          <w:lang w:val="en-US"/>
        </w:rPr>
        <w:t>rapid itch relief, clearance of skin lesions and appears to have a safety profile suitable for long-term use.</w:t>
      </w:r>
    </w:p>
    <w:p w14:paraId="334CCA3C" w14:textId="04D0DDA6" w:rsidR="009A7761" w:rsidRPr="00C5527E" w:rsidRDefault="009A7761" w:rsidP="009A7761">
      <w:pPr>
        <w:pStyle w:val="ListBullet"/>
        <w:numPr>
          <w:ilvl w:val="0"/>
          <w:numId w:val="0"/>
        </w:numPr>
      </w:pPr>
      <w:r w:rsidRPr="00C5527E">
        <w:rPr>
          <w:rFonts w:eastAsia="TimesNewRoman" w:cs="TimesNewRoman"/>
          <w:lang w:val="en-US"/>
        </w:rPr>
        <w:t xml:space="preserve">Overall, there is adequate evidence to support efficacy and safety of </w:t>
      </w:r>
      <w:r w:rsidR="00782F8C">
        <w:rPr>
          <w:rFonts w:eastAsia="TimesNewRoman" w:cs="TimesNewRoman"/>
          <w:lang w:val="en-US"/>
        </w:rPr>
        <w:t>upadacitinib</w:t>
      </w:r>
      <w:r w:rsidRPr="00C5527E">
        <w:rPr>
          <w:rFonts w:eastAsia="TimesNewRoman" w:cs="TimesNewRoman"/>
          <w:lang w:val="en-US"/>
        </w:rPr>
        <w:t xml:space="preserve"> in ad</w:t>
      </w:r>
      <w:r w:rsidR="00927332">
        <w:rPr>
          <w:rFonts w:eastAsia="TimesNewRoman" w:cs="TimesNewRoman"/>
          <w:lang w:val="en-US"/>
        </w:rPr>
        <w:t>ults and adolescents (weighing more than</w:t>
      </w:r>
      <w:r w:rsidRPr="00C5527E">
        <w:rPr>
          <w:rFonts w:eastAsia="TimesNewRoman" w:cs="TimesNewRoman"/>
          <w:lang w:val="en-US"/>
        </w:rPr>
        <w:t xml:space="preserve"> 40kg) when used as monotherapy or in combination with </w:t>
      </w:r>
      <w:r w:rsidR="00782F8C">
        <w:rPr>
          <w:rFonts w:eastAsia="TimesNewRoman" w:cs="TimesNewRoman"/>
          <w:lang w:val="en-US"/>
        </w:rPr>
        <w:t>topical corticosteroids</w:t>
      </w:r>
      <w:r w:rsidRPr="00C5527E">
        <w:rPr>
          <w:rFonts w:eastAsia="TimesNewRoman" w:cs="TimesNewRoman"/>
          <w:lang w:val="en-US"/>
        </w:rPr>
        <w:t xml:space="preserve"> in patients with moderate to severe </w:t>
      </w:r>
      <w:r w:rsidR="00927332">
        <w:rPr>
          <w:rFonts w:eastAsia="TimesNewRoman" w:cs="TimesNewRoman"/>
          <w:lang w:val="en-US"/>
        </w:rPr>
        <w:t>atopic dermatitis</w:t>
      </w:r>
      <w:r w:rsidRPr="00C5527E">
        <w:rPr>
          <w:rFonts w:eastAsia="TimesNewRoman" w:cs="TimesNewRoman"/>
          <w:lang w:val="en-US"/>
        </w:rPr>
        <w:t xml:space="preserve"> who are candidates for systemic therapy. However, there are some caveats with regards to efficacy of </w:t>
      </w:r>
      <w:r w:rsidR="00782F8C">
        <w:rPr>
          <w:rFonts w:eastAsia="TimesNewRoman" w:cs="TimesNewRoman"/>
          <w:lang w:val="en-US"/>
        </w:rPr>
        <w:t>upadacitinib</w:t>
      </w:r>
      <w:r w:rsidRPr="00C5527E">
        <w:rPr>
          <w:rFonts w:eastAsia="TimesNewRoman" w:cs="TimesNewRoman"/>
          <w:lang w:val="en-US"/>
        </w:rPr>
        <w:t xml:space="preserve"> in combination with </w:t>
      </w:r>
      <w:r w:rsidR="00927332">
        <w:rPr>
          <w:rFonts w:eastAsia="TimesNewRoman" w:cs="TimesNewRoman"/>
          <w:lang w:val="en-US"/>
        </w:rPr>
        <w:t>topical calcineurin inhibitors</w:t>
      </w:r>
      <w:r w:rsidRPr="00C5527E">
        <w:rPr>
          <w:rFonts w:eastAsia="TimesNewRoman" w:cs="TimesNewRoman"/>
          <w:lang w:val="en-US"/>
        </w:rPr>
        <w:t xml:space="preserve"> as these were not allowed in the monotherapy studies an</w:t>
      </w:r>
      <w:r w:rsidR="00927332">
        <w:rPr>
          <w:rFonts w:eastAsia="TimesNewRoman" w:cs="TimesNewRoman"/>
          <w:lang w:val="en-US"/>
        </w:rPr>
        <w:t>d their use in the combination S</w:t>
      </w:r>
      <w:r w:rsidRPr="00C5527E">
        <w:rPr>
          <w:rFonts w:eastAsia="TimesNewRoman" w:cs="TimesNewRoman"/>
          <w:lang w:val="en-US"/>
        </w:rPr>
        <w:t>tudy M16-047 was not specified. Furthermore, it is n</w:t>
      </w:r>
      <w:r w:rsidR="00927332">
        <w:rPr>
          <w:rFonts w:eastAsia="TimesNewRoman" w:cs="TimesNewRoman"/>
          <w:lang w:val="en-US"/>
        </w:rPr>
        <w:t>oted that adolescents weighing less than 40</w:t>
      </w:r>
      <w:r w:rsidR="00B67E63">
        <w:rPr>
          <w:rFonts w:eastAsia="TimesNewRoman" w:cs="TimesNewRoman"/>
          <w:lang w:val="en-US"/>
        </w:rPr>
        <w:t xml:space="preserve"> </w:t>
      </w:r>
      <w:r w:rsidR="00927332">
        <w:rPr>
          <w:rFonts w:eastAsia="TimesNewRoman" w:cs="TimesNewRoman"/>
          <w:lang w:val="en-US"/>
        </w:rPr>
        <w:t>kg and subjects aged over</w:t>
      </w:r>
      <w:r w:rsidRPr="00C5527E">
        <w:rPr>
          <w:rFonts w:eastAsia="TimesNewRoman" w:cs="TimesNewRoman"/>
          <w:lang w:val="en-US"/>
        </w:rPr>
        <w:t xml:space="preserve"> 75 years were not evaluated in the submitted studies.</w:t>
      </w:r>
    </w:p>
    <w:p w14:paraId="23F71C44" w14:textId="5BD3CD9B" w:rsidR="009A7761" w:rsidRPr="00927332" w:rsidRDefault="009A7761" w:rsidP="00927332">
      <w:r w:rsidRPr="00C5527E">
        <w:t>The higher 3</w:t>
      </w:r>
      <w:r w:rsidR="008B4C65">
        <w:t>0 mg</w:t>
      </w:r>
      <w:r w:rsidRPr="00C5527E">
        <w:t xml:space="preserve"> dose of </w:t>
      </w:r>
      <w:r w:rsidR="00782F8C">
        <w:t>upadacitinib</w:t>
      </w:r>
      <w:r w:rsidRPr="00C5527E">
        <w:t xml:space="preserve"> was associated with greater improvements in all primary and secondary efficacy outcomes compared to the 1</w:t>
      </w:r>
      <w:r w:rsidR="008B4C65">
        <w:t>5 mg</w:t>
      </w:r>
      <w:r w:rsidRPr="00C5527E">
        <w:t xml:space="preserve"> dose, but was also associated with an increased risk of acne, serious infections, herpes zoster, anaemia, neutropenia and </w:t>
      </w:r>
      <w:r w:rsidR="00927332">
        <w:t>creatine phosphokinase</w:t>
      </w:r>
      <w:r w:rsidRPr="00C5527E">
        <w:t xml:space="preserve"> increased. Furthermore, recent post-marketing data showed that sponsors have discontinued 3</w:t>
      </w:r>
      <w:r w:rsidR="008B4C65">
        <w:t>0 mg</w:t>
      </w:r>
      <w:r w:rsidRPr="00C5527E">
        <w:t xml:space="preserve"> dose in ongoing</w:t>
      </w:r>
      <w:r w:rsidR="00782F8C">
        <w:t xml:space="preserve"> rheumatoid arthritis</w:t>
      </w:r>
      <w:r w:rsidRPr="00C5527E">
        <w:t xml:space="preserve"> studies due to 15 mg </w:t>
      </w:r>
      <w:r w:rsidR="00782F8C">
        <w:t>once daily</w:t>
      </w:r>
      <w:r w:rsidRPr="00C5527E">
        <w:t xml:space="preserve"> being the approved dose for</w:t>
      </w:r>
      <w:r w:rsidR="00782F8C">
        <w:t xml:space="preserve"> rheumatoid arthritis</w:t>
      </w:r>
      <w:r w:rsidRPr="00C5527E">
        <w:t xml:space="preserve"> and the 30 mg dose not adding notable efficacy, whilst demonstrating increased incidence of </w:t>
      </w:r>
      <w:r w:rsidR="00927332">
        <w:t>adverse events</w:t>
      </w:r>
      <w:r w:rsidRPr="00C5527E">
        <w:t xml:space="preserve">, over the 15 mg </w:t>
      </w:r>
      <w:r w:rsidR="00782F8C">
        <w:t>once daily</w:t>
      </w:r>
      <w:r w:rsidRPr="00C5527E">
        <w:t xml:space="preserve"> dose in</w:t>
      </w:r>
      <w:r w:rsidR="00782F8C">
        <w:t xml:space="preserve"> rheumatoid arthritis</w:t>
      </w:r>
      <w:r w:rsidRPr="00C5527E">
        <w:t xml:space="preserve">. There is lack of data on effects on growth and development as majority of the adolescents had missing data on Tanner score. </w:t>
      </w:r>
      <w:r w:rsidRPr="00927332">
        <w:t>However, the sponsors have only proposed use of the lower 1</w:t>
      </w:r>
      <w:r w:rsidR="008B4C65" w:rsidRPr="00927332">
        <w:t>5 mg</w:t>
      </w:r>
      <w:r w:rsidRPr="00927332">
        <w:t xml:space="preserve"> </w:t>
      </w:r>
      <w:r w:rsidR="00782F8C" w:rsidRPr="00927332">
        <w:t>once daily</w:t>
      </w:r>
      <w:r w:rsidRPr="00927332">
        <w:t xml:space="preserve"> dose in adolescents, which is acceptable.</w:t>
      </w:r>
      <w:r w:rsidRPr="00C5527E">
        <w:t xml:space="preserve"> </w:t>
      </w:r>
      <w:r w:rsidRPr="00927332">
        <w:t>Hence, approval of the 3</w:t>
      </w:r>
      <w:r w:rsidR="008B4C65" w:rsidRPr="00927332">
        <w:t>0 mg</w:t>
      </w:r>
      <w:r w:rsidRPr="00927332">
        <w:t xml:space="preserve"> dose in adults should be conditional to results from ongoing long-term studies and post-marketing surveillance of the 3</w:t>
      </w:r>
      <w:r w:rsidR="008B4C65" w:rsidRPr="00927332">
        <w:t>0 mg</w:t>
      </w:r>
      <w:r w:rsidRPr="00927332">
        <w:t xml:space="preserve"> dose for proposed </w:t>
      </w:r>
      <w:r w:rsidR="00B67E63">
        <w:t>atopic dermatitis</w:t>
      </w:r>
      <w:r w:rsidRPr="00927332">
        <w:t xml:space="preserve"> indication.</w:t>
      </w:r>
    </w:p>
    <w:p w14:paraId="5A042695" w14:textId="6783A084" w:rsidR="009A7761" w:rsidRPr="00927332" w:rsidRDefault="009A7761" w:rsidP="00927332">
      <w:r w:rsidRPr="00927332">
        <w:t xml:space="preserve">Overall, the benefit risk balance of </w:t>
      </w:r>
      <w:r w:rsidR="00927332" w:rsidRPr="00927332">
        <w:t xml:space="preserve">Rinvoq </w:t>
      </w:r>
      <w:r w:rsidRPr="00927332">
        <w:t>(</w:t>
      </w:r>
      <w:r w:rsidR="00782F8C" w:rsidRPr="00927332">
        <w:t>upadacitinib</w:t>
      </w:r>
      <w:r w:rsidRPr="00927332">
        <w:t>) in the proposed use is favourable.</w:t>
      </w:r>
    </w:p>
    <w:p w14:paraId="6C48FFB6" w14:textId="05A16912" w:rsidR="009A7761" w:rsidRDefault="009A7761" w:rsidP="00A01427">
      <w:pPr>
        <w:pStyle w:val="Heading5"/>
      </w:pPr>
      <w:bookmarkStart w:id="149" w:name="_Toc49270070"/>
      <w:bookmarkStart w:id="150" w:name="_Toc30667977"/>
      <w:bookmarkStart w:id="151" w:name="_Toc72321591"/>
      <w:r w:rsidRPr="005332C7">
        <w:lastRenderedPageBreak/>
        <w:t>Recommendation regarding authorisation</w:t>
      </w:r>
      <w:bookmarkEnd w:id="149"/>
    </w:p>
    <w:bookmarkEnd w:id="150"/>
    <w:bookmarkEnd w:id="151"/>
    <w:p w14:paraId="58B5596F" w14:textId="3FB1CB02" w:rsidR="00A01427" w:rsidRPr="00A01427" w:rsidRDefault="000E4896" w:rsidP="00A01427">
      <w:r>
        <w:t>The clinical evaluation of this submission</w:t>
      </w:r>
      <w:r w:rsidR="00A01427" w:rsidRPr="00A01427">
        <w:t xml:space="preserve"> recommended that the application for marketing authorisation for Rinvoq be approved at for the following extension of indication:</w:t>
      </w:r>
    </w:p>
    <w:p w14:paraId="7CF3BC17" w14:textId="7B9C4D81" w:rsidR="009A7761" w:rsidRPr="00A01427" w:rsidRDefault="00A01427" w:rsidP="00A01427">
      <w:pPr>
        <w:ind w:left="720"/>
        <w:rPr>
          <w:i/>
        </w:rPr>
      </w:pPr>
      <w:r w:rsidRPr="00A01427">
        <w:rPr>
          <w:i/>
        </w:rPr>
        <w:t>Rinvoq is indicated for the treatment of adults and adolescents 12 years and older with moderate to severe atopic dermatitis who are candidates for systemic therapy.</w:t>
      </w:r>
    </w:p>
    <w:p w14:paraId="1E7AF46D" w14:textId="77777777" w:rsidR="008E7846" w:rsidRDefault="00386150" w:rsidP="007B6132">
      <w:pPr>
        <w:pStyle w:val="Heading3"/>
        <w:rPr>
          <w:lang w:eastAsia="en-AU"/>
        </w:rPr>
      </w:pPr>
      <w:bookmarkStart w:id="152" w:name="_Toc129093307"/>
      <w:r>
        <w:rPr>
          <w:lang w:eastAsia="en-AU"/>
        </w:rPr>
        <w:t>Risk m</w:t>
      </w:r>
      <w:r w:rsidR="008E7846">
        <w:rPr>
          <w:lang w:eastAsia="en-AU"/>
        </w:rPr>
        <w:t xml:space="preserve">anagement </w:t>
      </w:r>
      <w:r>
        <w:rPr>
          <w:lang w:eastAsia="en-AU"/>
        </w:rPr>
        <w:t>p</w:t>
      </w:r>
      <w:r w:rsidR="008E7846">
        <w:rPr>
          <w:lang w:eastAsia="en-AU"/>
        </w:rPr>
        <w:t>lan</w:t>
      </w:r>
      <w:bookmarkEnd w:id="143"/>
      <w:bookmarkEnd w:id="152"/>
    </w:p>
    <w:p w14:paraId="2C91A3EB" w14:textId="2E7CF406" w:rsidR="00A01427" w:rsidRDefault="00A01427" w:rsidP="00A01427">
      <w:bookmarkStart w:id="153" w:name="_Toc247691531"/>
      <w:bookmarkStart w:id="154" w:name="_Toc314842515"/>
      <w:bookmarkStart w:id="155" w:name="_Toc196046505"/>
      <w:bookmarkStart w:id="156" w:name="_Toc196046949"/>
      <w:r>
        <w:t>The sponsor applied to extend the indications of upadacitinib (Rinvoq) which is currently approved for treatment of moderate to severe</w:t>
      </w:r>
      <w:r w:rsidR="00600C4D">
        <w:t xml:space="preserve"> active rheumatoid arthritis </w:t>
      </w:r>
      <w:r>
        <w:t xml:space="preserve">in adult patients who have responded inadequately to, or who are intolerant to, one or more disease-modifying anti-rheumatic drugs (DMARDs). The recommended dose for </w:t>
      </w:r>
      <w:r w:rsidR="00600C4D">
        <w:t>rheumatoid arthritis</w:t>
      </w:r>
      <w:r>
        <w:t xml:space="preserve"> is one 15</w:t>
      </w:r>
      <w:r w:rsidR="00600C4D">
        <w:t xml:space="preserve"> </w:t>
      </w:r>
      <w:r>
        <w:t>mg tablet once daily. The current submission seeks to extend the indications to include treatment of adults and adolescents 12 years and older with moderate to severe atopic dermatitis who are candidates for systemic therapy. The proposed dosing regimen involves oral administration of one tablet (15</w:t>
      </w:r>
      <w:r w:rsidR="00600C4D">
        <w:t xml:space="preserve"> </w:t>
      </w:r>
      <w:r>
        <w:t>mg or 30</w:t>
      </w:r>
      <w:r w:rsidR="00600C4D">
        <w:t xml:space="preserve"> </w:t>
      </w:r>
      <w:r>
        <w:t>mg) once daily for adults or 15</w:t>
      </w:r>
      <w:r w:rsidR="00600C4D">
        <w:t xml:space="preserve"> </w:t>
      </w:r>
      <w:r>
        <w:t>mg once daily for adolescents weighing at least 40</w:t>
      </w:r>
      <w:r w:rsidR="00600C4D">
        <w:t xml:space="preserve"> </w:t>
      </w:r>
      <w:r>
        <w:t>kg.</w:t>
      </w:r>
    </w:p>
    <w:p w14:paraId="6A4A2E6F" w14:textId="209BF37A" w:rsidR="00A01427" w:rsidRDefault="00A01427" w:rsidP="00600C4D">
      <w:r>
        <w:t>The submission also seeks to register an additional strength of upadacitinib tablets (30</w:t>
      </w:r>
      <w:r w:rsidR="008B1EE9">
        <w:t> </w:t>
      </w:r>
      <w:r>
        <w:t xml:space="preserve">mg) to facilitate once-daily dosing in adult patients with </w:t>
      </w:r>
      <w:r w:rsidR="00600C4D">
        <w:t>atopic dermatitis</w:t>
      </w:r>
      <w:r>
        <w:t>.</w:t>
      </w:r>
    </w:p>
    <w:p w14:paraId="3AE43DC7" w14:textId="5DCC34D9" w:rsidR="00A01427" w:rsidRDefault="00A01427" w:rsidP="00A01427">
      <w:r>
        <w:t xml:space="preserve">The most recently evaluated core </w:t>
      </w:r>
      <w:r w:rsidR="00600C4D">
        <w:t>risk management plan (</w:t>
      </w:r>
      <w:r>
        <w:t>RMP</w:t>
      </w:r>
      <w:r w:rsidR="00600C4D">
        <w:t>)</w:t>
      </w:r>
      <w:r>
        <w:t xml:space="preserve"> was version 1.6 (date October 2019; </w:t>
      </w:r>
      <w:r w:rsidR="00600C4D">
        <w:t>data lock point (</w:t>
      </w:r>
      <w:r>
        <w:t>DLP</w:t>
      </w:r>
      <w:r w:rsidR="00600C4D">
        <w:t>)</w:t>
      </w:r>
      <w:r>
        <w:t xml:space="preserve"> 13 September 2018) and </w:t>
      </w:r>
      <w:r w:rsidR="00600C4D">
        <w:t>Australian-specific annex (</w:t>
      </w:r>
      <w:r>
        <w:t>ASA</w:t>
      </w:r>
      <w:r w:rsidR="00600C4D">
        <w:t>)</w:t>
      </w:r>
      <w:r>
        <w:t xml:space="preserve"> version 1.5 (dated January 2020). In support of the extended indications, the sponsor has submitted core RMP version 4.0 (date September 2020; DLP 23 July 2020) and ASA v</w:t>
      </w:r>
      <w:r w:rsidR="00600C4D">
        <w:t>ersion 3.0 (date October 2020).</w:t>
      </w:r>
    </w:p>
    <w:p w14:paraId="0584BB5F" w14:textId="5D16E843" w:rsidR="00A01427" w:rsidRDefault="00600C4D" w:rsidP="00A01427">
      <w:r>
        <w:t>At the fourth round of RMP evaluation the sponsor submitted Core/EU</w:t>
      </w:r>
      <w:r>
        <w:noBreakHyphen/>
      </w:r>
      <w:r w:rsidR="00A01427">
        <w:t>RMP version 4.3 (date June 2021; DLP 23 July 2020) and ASA version 5.0 (date July 2021).</w:t>
      </w:r>
    </w:p>
    <w:p w14:paraId="69BA41E4" w14:textId="09AC0C94" w:rsidR="0074163C" w:rsidRDefault="0074163C" w:rsidP="0074163C">
      <w:r>
        <w:t>The summary of safety concerns and their associated risk monitoring and mitigation strat</w:t>
      </w:r>
      <w:r w:rsidR="00B67E63">
        <w:t xml:space="preserve">egies are summarised in </w:t>
      </w:r>
      <w:r w:rsidR="00B67E63">
        <w:fldChar w:fldCharType="begin"/>
      </w:r>
      <w:r w:rsidR="00B67E63">
        <w:instrText xml:space="preserve"> REF _Ref97629131 \h </w:instrText>
      </w:r>
      <w:r w:rsidR="00B67E63">
        <w:fldChar w:fldCharType="separate"/>
      </w:r>
      <w:r w:rsidR="00B51532">
        <w:t xml:space="preserve">Table </w:t>
      </w:r>
      <w:r w:rsidR="00B51532">
        <w:rPr>
          <w:noProof/>
        </w:rPr>
        <w:t>44</w:t>
      </w:r>
      <w:r w:rsidR="00B67E63">
        <w:fldChar w:fldCharType="end"/>
      </w:r>
      <w:r>
        <w:t xml:space="preserve">. Further information regarding </w:t>
      </w:r>
      <w:r w:rsidR="00CC5044">
        <w:t>the TGA</w:t>
      </w:r>
      <w:r w:rsidR="00BF7063">
        <w:t>’</w:t>
      </w:r>
      <w:r w:rsidR="00CC5044">
        <w:t>s r</w:t>
      </w:r>
      <w:r>
        <w:t xml:space="preserve">isk management approach can be found in </w:t>
      </w:r>
      <w:hyperlink r:id="rId94" w:history="1">
        <w:r w:rsidRPr="0023444E">
          <w:rPr>
            <w:rStyle w:val="Hyperlink"/>
          </w:rPr>
          <w:t>risk management plans for medicines and biologicals</w:t>
        </w:r>
      </w:hyperlink>
      <w:r>
        <w:t xml:space="preserve"> and </w:t>
      </w:r>
      <w:hyperlink r:id="rId95" w:history="1">
        <w:r w:rsidRPr="0023444E">
          <w:rPr>
            <w:rStyle w:val="Hyperlink"/>
          </w:rPr>
          <w:t>the TGA's risk management approach</w:t>
        </w:r>
      </w:hyperlink>
      <w:r>
        <w:t>.</w:t>
      </w:r>
    </w:p>
    <w:p w14:paraId="297EC928" w14:textId="055C59A5" w:rsidR="0074163C" w:rsidRDefault="0074163C" w:rsidP="0074163C">
      <w:pPr>
        <w:pStyle w:val="TableTitle"/>
      </w:pPr>
      <w:bookmarkStart w:id="157" w:name="_Ref97629131"/>
      <w:r>
        <w:t xml:space="preserve">Table </w:t>
      </w:r>
      <w:fldSimple w:instr=" SEQ Table \* ARABIC ">
        <w:r w:rsidR="00B51532">
          <w:rPr>
            <w:noProof/>
          </w:rPr>
          <w:t>44</w:t>
        </w:r>
      </w:fldSimple>
      <w:bookmarkEnd w:id="157"/>
      <w:r>
        <w:t>: Summary of safety concerns</w:t>
      </w:r>
    </w:p>
    <w:tbl>
      <w:tblPr>
        <w:tblStyle w:val="TableTGAblue"/>
        <w:tblW w:w="8928" w:type="dxa"/>
        <w:tblLayout w:type="fixed"/>
        <w:tblLook w:val="04A0" w:firstRow="1" w:lastRow="0" w:firstColumn="1" w:lastColumn="0" w:noHBand="0" w:noVBand="1"/>
      </w:tblPr>
      <w:tblGrid>
        <w:gridCol w:w="1327"/>
        <w:gridCol w:w="3461"/>
        <w:gridCol w:w="900"/>
        <w:gridCol w:w="1170"/>
        <w:gridCol w:w="900"/>
        <w:gridCol w:w="1170"/>
      </w:tblGrid>
      <w:tr w:rsidR="00600C4D" w:rsidRPr="00600C4D" w14:paraId="56DDDDEC" w14:textId="77777777" w:rsidTr="00600C4D">
        <w:trPr>
          <w:cnfStyle w:val="100000000000" w:firstRow="1" w:lastRow="0" w:firstColumn="0" w:lastColumn="0" w:oddVBand="0" w:evenVBand="0" w:oddHBand="0" w:evenHBand="0" w:firstRowFirstColumn="0" w:firstRowLastColumn="0" w:lastRowFirstColumn="0" w:lastRowLastColumn="0"/>
          <w:trHeight w:val="131"/>
        </w:trPr>
        <w:tc>
          <w:tcPr>
            <w:tcW w:w="4788" w:type="dxa"/>
            <w:gridSpan w:val="2"/>
            <w:vMerge w:val="restart"/>
          </w:tcPr>
          <w:p w14:paraId="7EAABEBB" w14:textId="77777777" w:rsidR="00600C4D" w:rsidRPr="00600C4D" w:rsidRDefault="00600C4D" w:rsidP="00600C4D">
            <w:pPr>
              <w:pStyle w:val="Tabletext"/>
              <w:ind w:left="0" w:right="0"/>
              <w:rPr>
                <w:b w:val="0"/>
                <w:sz w:val="20"/>
                <w:szCs w:val="20"/>
              </w:rPr>
            </w:pPr>
            <w:r w:rsidRPr="00600C4D">
              <w:rPr>
                <w:sz w:val="20"/>
                <w:szCs w:val="20"/>
              </w:rPr>
              <w:t>Summary of safety concerns</w:t>
            </w:r>
          </w:p>
        </w:tc>
        <w:tc>
          <w:tcPr>
            <w:tcW w:w="2070" w:type="dxa"/>
            <w:gridSpan w:val="2"/>
          </w:tcPr>
          <w:p w14:paraId="77640A56" w14:textId="77777777" w:rsidR="00600C4D" w:rsidRPr="00600C4D" w:rsidRDefault="00600C4D" w:rsidP="00600C4D">
            <w:pPr>
              <w:pStyle w:val="Tabletext"/>
              <w:ind w:left="0" w:right="0"/>
              <w:rPr>
                <w:b w:val="0"/>
                <w:sz w:val="20"/>
                <w:szCs w:val="20"/>
              </w:rPr>
            </w:pPr>
            <w:r w:rsidRPr="00600C4D">
              <w:rPr>
                <w:sz w:val="20"/>
                <w:szCs w:val="20"/>
              </w:rPr>
              <w:t>Pharmacovigilance</w:t>
            </w:r>
          </w:p>
        </w:tc>
        <w:tc>
          <w:tcPr>
            <w:tcW w:w="2070" w:type="dxa"/>
            <w:gridSpan w:val="2"/>
          </w:tcPr>
          <w:p w14:paraId="53ED6F91" w14:textId="77777777" w:rsidR="00600C4D" w:rsidRPr="00600C4D" w:rsidRDefault="00600C4D" w:rsidP="00600C4D">
            <w:pPr>
              <w:pStyle w:val="Tabletext"/>
              <w:ind w:left="0" w:right="0"/>
              <w:rPr>
                <w:b w:val="0"/>
                <w:sz w:val="20"/>
                <w:szCs w:val="20"/>
              </w:rPr>
            </w:pPr>
            <w:r w:rsidRPr="00600C4D">
              <w:rPr>
                <w:sz w:val="20"/>
                <w:szCs w:val="20"/>
              </w:rPr>
              <w:t>Risk Minimisation</w:t>
            </w:r>
          </w:p>
        </w:tc>
      </w:tr>
      <w:tr w:rsidR="00600C4D" w:rsidRPr="00600C4D" w14:paraId="60CDD05D" w14:textId="77777777" w:rsidTr="00600C4D">
        <w:trPr>
          <w:trHeight w:val="150"/>
        </w:trPr>
        <w:tc>
          <w:tcPr>
            <w:tcW w:w="4788" w:type="dxa"/>
            <w:gridSpan w:val="2"/>
            <w:vMerge/>
          </w:tcPr>
          <w:p w14:paraId="1897952E" w14:textId="77777777" w:rsidR="00600C4D" w:rsidRPr="00600C4D" w:rsidRDefault="00600C4D" w:rsidP="00600C4D">
            <w:pPr>
              <w:pStyle w:val="Tabletext"/>
              <w:ind w:left="0" w:right="0"/>
              <w:rPr>
                <w:b/>
                <w:sz w:val="20"/>
                <w:szCs w:val="20"/>
              </w:rPr>
            </w:pPr>
          </w:p>
        </w:tc>
        <w:tc>
          <w:tcPr>
            <w:tcW w:w="900" w:type="dxa"/>
          </w:tcPr>
          <w:p w14:paraId="0A42D583" w14:textId="77777777" w:rsidR="00600C4D" w:rsidRPr="00600C4D" w:rsidRDefault="00600C4D" w:rsidP="00600C4D">
            <w:pPr>
              <w:pStyle w:val="Tabletext"/>
              <w:ind w:left="0" w:right="0"/>
              <w:rPr>
                <w:sz w:val="20"/>
                <w:szCs w:val="20"/>
              </w:rPr>
            </w:pPr>
            <w:r w:rsidRPr="00600C4D">
              <w:rPr>
                <w:sz w:val="20"/>
                <w:szCs w:val="20"/>
              </w:rPr>
              <w:t>Routine</w:t>
            </w:r>
          </w:p>
        </w:tc>
        <w:tc>
          <w:tcPr>
            <w:tcW w:w="1170" w:type="dxa"/>
          </w:tcPr>
          <w:p w14:paraId="4105C739" w14:textId="77777777" w:rsidR="00600C4D" w:rsidRPr="00600C4D" w:rsidRDefault="00600C4D" w:rsidP="00600C4D">
            <w:pPr>
              <w:pStyle w:val="Tabletext"/>
              <w:ind w:left="0" w:right="0"/>
              <w:rPr>
                <w:sz w:val="20"/>
                <w:szCs w:val="20"/>
              </w:rPr>
            </w:pPr>
            <w:r w:rsidRPr="00600C4D">
              <w:rPr>
                <w:sz w:val="20"/>
                <w:szCs w:val="20"/>
              </w:rPr>
              <w:t>Additional</w:t>
            </w:r>
          </w:p>
        </w:tc>
        <w:tc>
          <w:tcPr>
            <w:tcW w:w="900" w:type="dxa"/>
          </w:tcPr>
          <w:p w14:paraId="15B8BE3C" w14:textId="77777777" w:rsidR="00600C4D" w:rsidRPr="00600C4D" w:rsidRDefault="00600C4D" w:rsidP="00600C4D">
            <w:pPr>
              <w:pStyle w:val="Tabletext"/>
              <w:ind w:left="0" w:right="0"/>
              <w:rPr>
                <w:sz w:val="20"/>
                <w:szCs w:val="20"/>
              </w:rPr>
            </w:pPr>
            <w:r w:rsidRPr="00600C4D">
              <w:rPr>
                <w:sz w:val="20"/>
                <w:szCs w:val="20"/>
              </w:rPr>
              <w:t>Routine</w:t>
            </w:r>
          </w:p>
        </w:tc>
        <w:tc>
          <w:tcPr>
            <w:tcW w:w="1170" w:type="dxa"/>
          </w:tcPr>
          <w:p w14:paraId="6B66C62E" w14:textId="77777777" w:rsidR="00600C4D" w:rsidRPr="00600C4D" w:rsidRDefault="00600C4D" w:rsidP="00600C4D">
            <w:pPr>
              <w:pStyle w:val="Tabletext"/>
              <w:ind w:left="0" w:right="0"/>
              <w:rPr>
                <w:sz w:val="20"/>
                <w:szCs w:val="20"/>
              </w:rPr>
            </w:pPr>
            <w:r w:rsidRPr="00600C4D">
              <w:rPr>
                <w:sz w:val="20"/>
                <w:szCs w:val="20"/>
              </w:rPr>
              <w:t>Additional</w:t>
            </w:r>
          </w:p>
        </w:tc>
      </w:tr>
      <w:tr w:rsidR="00600C4D" w:rsidRPr="00600C4D" w14:paraId="40E8795F" w14:textId="77777777" w:rsidTr="00600C4D">
        <w:trPr>
          <w:trHeight w:val="137"/>
        </w:trPr>
        <w:tc>
          <w:tcPr>
            <w:tcW w:w="1327" w:type="dxa"/>
            <w:vMerge w:val="restart"/>
          </w:tcPr>
          <w:p w14:paraId="52BF7127" w14:textId="77777777" w:rsidR="00600C4D" w:rsidRPr="00600C4D" w:rsidRDefault="00600C4D" w:rsidP="00600C4D">
            <w:pPr>
              <w:pStyle w:val="Tabletext"/>
              <w:ind w:left="0" w:right="0"/>
              <w:rPr>
                <w:b/>
                <w:sz w:val="20"/>
                <w:szCs w:val="20"/>
              </w:rPr>
            </w:pPr>
            <w:r w:rsidRPr="00600C4D">
              <w:rPr>
                <w:b/>
                <w:sz w:val="20"/>
                <w:szCs w:val="20"/>
              </w:rPr>
              <w:t>Important identified risks</w:t>
            </w:r>
          </w:p>
        </w:tc>
        <w:tc>
          <w:tcPr>
            <w:tcW w:w="3461" w:type="dxa"/>
          </w:tcPr>
          <w:p w14:paraId="1564B831" w14:textId="77777777" w:rsidR="00600C4D" w:rsidRPr="00600C4D" w:rsidRDefault="00600C4D" w:rsidP="00600C4D">
            <w:pPr>
              <w:ind w:left="0" w:right="0"/>
              <w:rPr>
                <w:sz w:val="20"/>
                <w:szCs w:val="20"/>
              </w:rPr>
            </w:pPr>
            <w:r w:rsidRPr="00600C4D">
              <w:rPr>
                <w:sz w:val="20"/>
                <w:szCs w:val="20"/>
              </w:rPr>
              <w:t>Serious and opportunistic infections including TB</w:t>
            </w:r>
          </w:p>
        </w:tc>
        <w:tc>
          <w:tcPr>
            <w:tcW w:w="900" w:type="dxa"/>
          </w:tcPr>
          <w:p w14:paraId="53FAED2B"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rPr>
              <w:t>*</w:t>
            </w:r>
          </w:p>
        </w:tc>
        <w:tc>
          <w:tcPr>
            <w:tcW w:w="1170" w:type="dxa"/>
          </w:tcPr>
          <w:p w14:paraId="5C695B64"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sz w:val="20"/>
                <w:szCs w:val="20"/>
                <w:vertAlign w:val="superscript"/>
              </w:rPr>
              <w:t>†</w:t>
            </w:r>
          </w:p>
        </w:tc>
        <w:tc>
          <w:tcPr>
            <w:tcW w:w="900" w:type="dxa"/>
          </w:tcPr>
          <w:p w14:paraId="50E40430" w14:textId="77777777" w:rsidR="00600C4D" w:rsidRPr="00600C4D" w:rsidRDefault="00600C4D" w:rsidP="00600C4D">
            <w:pPr>
              <w:pStyle w:val="Tabletext"/>
              <w:ind w:left="0" w:right="0"/>
              <w:jc w:val="center"/>
              <w:rPr>
                <w:sz w:val="20"/>
                <w:szCs w:val="20"/>
              </w:rPr>
            </w:pPr>
            <w:r w:rsidRPr="00600C4D">
              <w:rPr>
                <w:sz w:val="20"/>
                <w:szCs w:val="20"/>
              </w:rPr>
              <w:sym w:font="Wingdings" w:char="F0FC"/>
            </w:r>
          </w:p>
        </w:tc>
        <w:tc>
          <w:tcPr>
            <w:tcW w:w="1170" w:type="dxa"/>
          </w:tcPr>
          <w:p w14:paraId="56817EC0"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rFonts w:asciiTheme="majorHAnsi" w:hAnsiTheme="majorHAnsi"/>
                <w:sz w:val="20"/>
                <w:szCs w:val="20"/>
                <w:vertAlign w:val="superscript"/>
              </w:rPr>
              <w:t>§</w:t>
            </w:r>
          </w:p>
        </w:tc>
      </w:tr>
      <w:tr w:rsidR="00600C4D" w:rsidRPr="00600C4D" w14:paraId="47046F7E" w14:textId="77777777" w:rsidTr="00600C4D">
        <w:trPr>
          <w:trHeight w:val="187"/>
        </w:trPr>
        <w:tc>
          <w:tcPr>
            <w:tcW w:w="1327" w:type="dxa"/>
            <w:vMerge/>
          </w:tcPr>
          <w:p w14:paraId="31850163" w14:textId="77777777" w:rsidR="00600C4D" w:rsidRPr="00600C4D" w:rsidRDefault="00600C4D" w:rsidP="00600C4D">
            <w:pPr>
              <w:pStyle w:val="Tabletext"/>
              <w:ind w:left="0" w:right="0"/>
              <w:rPr>
                <w:b/>
                <w:sz w:val="20"/>
                <w:szCs w:val="20"/>
              </w:rPr>
            </w:pPr>
          </w:p>
        </w:tc>
        <w:tc>
          <w:tcPr>
            <w:tcW w:w="3461" w:type="dxa"/>
          </w:tcPr>
          <w:p w14:paraId="5692FE91" w14:textId="77777777" w:rsidR="00600C4D" w:rsidRPr="00600C4D" w:rsidRDefault="00600C4D" w:rsidP="00600C4D">
            <w:pPr>
              <w:ind w:left="0" w:right="0"/>
              <w:rPr>
                <w:sz w:val="20"/>
                <w:szCs w:val="20"/>
              </w:rPr>
            </w:pPr>
            <w:r w:rsidRPr="00600C4D">
              <w:rPr>
                <w:sz w:val="20"/>
                <w:szCs w:val="20"/>
              </w:rPr>
              <w:t>Herpes zoster</w:t>
            </w:r>
          </w:p>
        </w:tc>
        <w:tc>
          <w:tcPr>
            <w:tcW w:w="900" w:type="dxa"/>
          </w:tcPr>
          <w:p w14:paraId="603CE514"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sz w:val="20"/>
                <w:szCs w:val="20"/>
              </w:rPr>
              <w:t>*</w:t>
            </w:r>
          </w:p>
        </w:tc>
        <w:tc>
          <w:tcPr>
            <w:tcW w:w="1170" w:type="dxa"/>
          </w:tcPr>
          <w:p w14:paraId="1B2D1965"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vertAlign w:val="superscript"/>
              </w:rPr>
              <w:t>†</w:t>
            </w:r>
          </w:p>
        </w:tc>
        <w:tc>
          <w:tcPr>
            <w:tcW w:w="900" w:type="dxa"/>
          </w:tcPr>
          <w:p w14:paraId="2C33E519"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5DE8CCC4"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rFonts w:asciiTheme="majorHAnsi" w:hAnsiTheme="majorHAnsi"/>
                <w:sz w:val="20"/>
                <w:szCs w:val="20"/>
                <w:vertAlign w:val="superscript"/>
              </w:rPr>
              <w:t>§</w:t>
            </w:r>
          </w:p>
        </w:tc>
      </w:tr>
      <w:tr w:rsidR="00600C4D" w:rsidRPr="00600C4D" w14:paraId="4CA6FE2A" w14:textId="77777777" w:rsidTr="00600C4D">
        <w:trPr>
          <w:trHeight w:val="159"/>
        </w:trPr>
        <w:tc>
          <w:tcPr>
            <w:tcW w:w="1327" w:type="dxa"/>
            <w:vMerge w:val="restart"/>
          </w:tcPr>
          <w:p w14:paraId="10360B05" w14:textId="77777777" w:rsidR="00600C4D" w:rsidRPr="00600C4D" w:rsidRDefault="00600C4D" w:rsidP="00600C4D">
            <w:pPr>
              <w:pStyle w:val="Tabletext"/>
              <w:ind w:left="0" w:right="0"/>
              <w:rPr>
                <w:b/>
                <w:sz w:val="20"/>
                <w:szCs w:val="20"/>
              </w:rPr>
            </w:pPr>
            <w:r w:rsidRPr="00600C4D">
              <w:rPr>
                <w:b/>
                <w:sz w:val="20"/>
                <w:szCs w:val="20"/>
              </w:rPr>
              <w:t>Important potential risks</w:t>
            </w:r>
          </w:p>
        </w:tc>
        <w:tc>
          <w:tcPr>
            <w:tcW w:w="3461" w:type="dxa"/>
          </w:tcPr>
          <w:p w14:paraId="045174EB" w14:textId="77777777" w:rsidR="00600C4D" w:rsidRPr="00600C4D" w:rsidRDefault="00600C4D" w:rsidP="00600C4D">
            <w:pPr>
              <w:ind w:left="0" w:right="0"/>
              <w:rPr>
                <w:sz w:val="20"/>
                <w:szCs w:val="20"/>
              </w:rPr>
            </w:pPr>
            <w:r w:rsidRPr="00600C4D">
              <w:rPr>
                <w:sz w:val="20"/>
                <w:szCs w:val="20"/>
              </w:rPr>
              <w:t xml:space="preserve">Malignancies </w:t>
            </w:r>
          </w:p>
        </w:tc>
        <w:tc>
          <w:tcPr>
            <w:tcW w:w="900" w:type="dxa"/>
          </w:tcPr>
          <w:p w14:paraId="43FF1464"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rPr>
              <w:t>*</w:t>
            </w:r>
          </w:p>
        </w:tc>
        <w:tc>
          <w:tcPr>
            <w:tcW w:w="1170" w:type="dxa"/>
          </w:tcPr>
          <w:p w14:paraId="2BBE22EF"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vertAlign w:val="superscript"/>
              </w:rPr>
              <w:t>†</w:t>
            </w:r>
          </w:p>
        </w:tc>
        <w:tc>
          <w:tcPr>
            <w:tcW w:w="900" w:type="dxa"/>
          </w:tcPr>
          <w:p w14:paraId="384F062A"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4AAC3CD8" w14:textId="77777777" w:rsidR="00600C4D" w:rsidRPr="00600C4D" w:rsidRDefault="00600C4D" w:rsidP="00600C4D">
            <w:pPr>
              <w:pStyle w:val="Tabletext"/>
              <w:ind w:left="0" w:right="0"/>
              <w:jc w:val="center"/>
              <w:rPr>
                <w:sz w:val="20"/>
                <w:szCs w:val="20"/>
                <w:vertAlign w:val="superscript"/>
              </w:rPr>
            </w:pPr>
            <w:r w:rsidRPr="00600C4D">
              <w:rPr>
                <w:sz w:val="20"/>
                <w:szCs w:val="20"/>
                <w:vertAlign w:val="superscript"/>
              </w:rPr>
              <w:t>-</w:t>
            </w:r>
          </w:p>
        </w:tc>
      </w:tr>
      <w:tr w:rsidR="00600C4D" w:rsidRPr="00600C4D" w14:paraId="71728530" w14:textId="77777777" w:rsidTr="00600C4D">
        <w:trPr>
          <w:trHeight w:val="122"/>
        </w:trPr>
        <w:tc>
          <w:tcPr>
            <w:tcW w:w="1327" w:type="dxa"/>
            <w:vMerge/>
          </w:tcPr>
          <w:p w14:paraId="3D7166FA" w14:textId="77777777" w:rsidR="00600C4D" w:rsidRPr="00600C4D" w:rsidRDefault="00600C4D" w:rsidP="00600C4D">
            <w:pPr>
              <w:pStyle w:val="Tabletext"/>
              <w:ind w:left="0" w:right="0"/>
              <w:rPr>
                <w:b/>
                <w:sz w:val="20"/>
                <w:szCs w:val="20"/>
              </w:rPr>
            </w:pPr>
          </w:p>
        </w:tc>
        <w:tc>
          <w:tcPr>
            <w:tcW w:w="3461" w:type="dxa"/>
          </w:tcPr>
          <w:p w14:paraId="428856DE" w14:textId="77777777" w:rsidR="00600C4D" w:rsidRPr="00600C4D" w:rsidRDefault="00600C4D" w:rsidP="00600C4D">
            <w:pPr>
              <w:ind w:left="0" w:right="0"/>
              <w:rPr>
                <w:sz w:val="20"/>
                <w:szCs w:val="20"/>
              </w:rPr>
            </w:pPr>
            <w:r w:rsidRPr="00600C4D">
              <w:rPr>
                <w:sz w:val="20"/>
                <w:szCs w:val="20"/>
              </w:rPr>
              <w:t>Major adverse cardiovascular event (MACE)</w:t>
            </w:r>
          </w:p>
        </w:tc>
        <w:tc>
          <w:tcPr>
            <w:tcW w:w="900" w:type="dxa"/>
          </w:tcPr>
          <w:p w14:paraId="03795885"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rPr>
              <w:t>*</w:t>
            </w:r>
          </w:p>
        </w:tc>
        <w:tc>
          <w:tcPr>
            <w:tcW w:w="1170" w:type="dxa"/>
          </w:tcPr>
          <w:p w14:paraId="61459FEF"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sz w:val="20"/>
                <w:szCs w:val="20"/>
                <w:vertAlign w:val="superscript"/>
              </w:rPr>
              <w:t>†</w:t>
            </w:r>
          </w:p>
        </w:tc>
        <w:tc>
          <w:tcPr>
            <w:tcW w:w="900" w:type="dxa"/>
          </w:tcPr>
          <w:p w14:paraId="471587D0"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2008174C"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rFonts w:asciiTheme="majorHAnsi" w:hAnsiTheme="majorHAnsi"/>
                <w:sz w:val="20"/>
                <w:szCs w:val="20"/>
                <w:vertAlign w:val="superscript"/>
              </w:rPr>
              <w:t>§</w:t>
            </w:r>
          </w:p>
        </w:tc>
      </w:tr>
      <w:tr w:rsidR="00600C4D" w:rsidRPr="00600C4D" w14:paraId="178BD583" w14:textId="77777777" w:rsidTr="00600C4D">
        <w:trPr>
          <w:trHeight w:val="122"/>
        </w:trPr>
        <w:tc>
          <w:tcPr>
            <w:tcW w:w="1327" w:type="dxa"/>
            <w:vMerge/>
          </w:tcPr>
          <w:p w14:paraId="516C86AF" w14:textId="77777777" w:rsidR="00600C4D" w:rsidRPr="00600C4D" w:rsidRDefault="00600C4D" w:rsidP="00600C4D">
            <w:pPr>
              <w:pStyle w:val="Tabletext"/>
              <w:ind w:left="0" w:right="0"/>
              <w:rPr>
                <w:b/>
                <w:sz w:val="20"/>
                <w:szCs w:val="20"/>
              </w:rPr>
            </w:pPr>
          </w:p>
        </w:tc>
        <w:tc>
          <w:tcPr>
            <w:tcW w:w="3461" w:type="dxa"/>
          </w:tcPr>
          <w:p w14:paraId="4B77D857" w14:textId="77777777" w:rsidR="00600C4D" w:rsidRPr="00600C4D" w:rsidRDefault="00600C4D" w:rsidP="00600C4D">
            <w:pPr>
              <w:ind w:left="0" w:right="0"/>
              <w:rPr>
                <w:sz w:val="20"/>
                <w:szCs w:val="20"/>
              </w:rPr>
            </w:pPr>
            <w:r w:rsidRPr="00600C4D">
              <w:rPr>
                <w:sz w:val="20"/>
                <w:szCs w:val="20"/>
              </w:rPr>
              <w:t>VTEs (deep venous thrombosis and pulmonary embolus)</w:t>
            </w:r>
          </w:p>
        </w:tc>
        <w:tc>
          <w:tcPr>
            <w:tcW w:w="900" w:type="dxa"/>
          </w:tcPr>
          <w:p w14:paraId="4FB3699B"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rPr>
              <w:t>*</w:t>
            </w:r>
          </w:p>
        </w:tc>
        <w:tc>
          <w:tcPr>
            <w:tcW w:w="1170" w:type="dxa"/>
          </w:tcPr>
          <w:p w14:paraId="30E73DA5"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sz w:val="20"/>
                <w:szCs w:val="20"/>
                <w:vertAlign w:val="superscript"/>
              </w:rPr>
              <w:t>†</w:t>
            </w:r>
          </w:p>
        </w:tc>
        <w:tc>
          <w:tcPr>
            <w:tcW w:w="900" w:type="dxa"/>
          </w:tcPr>
          <w:p w14:paraId="3234B0B8"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2A6C4B27"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rFonts w:asciiTheme="majorHAnsi" w:hAnsiTheme="majorHAnsi"/>
                <w:sz w:val="20"/>
                <w:szCs w:val="20"/>
                <w:vertAlign w:val="superscript"/>
              </w:rPr>
              <w:t>§</w:t>
            </w:r>
          </w:p>
        </w:tc>
      </w:tr>
      <w:tr w:rsidR="00600C4D" w:rsidRPr="00600C4D" w14:paraId="2F5489BD" w14:textId="77777777" w:rsidTr="00600C4D">
        <w:trPr>
          <w:trHeight w:val="122"/>
        </w:trPr>
        <w:tc>
          <w:tcPr>
            <w:tcW w:w="1327" w:type="dxa"/>
            <w:vMerge/>
          </w:tcPr>
          <w:p w14:paraId="6A8ABADC" w14:textId="77777777" w:rsidR="00600C4D" w:rsidRPr="00600C4D" w:rsidRDefault="00600C4D" w:rsidP="00600C4D">
            <w:pPr>
              <w:pStyle w:val="Tabletext"/>
              <w:ind w:left="0" w:right="0"/>
              <w:rPr>
                <w:b/>
                <w:sz w:val="20"/>
                <w:szCs w:val="20"/>
              </w:rPr>
            </w:pPr>
          </w:p>
        </w:tc>
        <w:tc>
          <w:tcPr>
            <w:tcW w:w="3461" w:type="dxa"/>
          </w:tcPr>
          <w:p w14:paraId="672F7392" w14:textId="77777777" w:rsidR="00600C4D" w:rsidRPr="00600C4D" w:rsidRDefault="00600C4D" w:rsidP="00600C4D">
            <w:pPr>
              <w:ind w:left="0" w:right="0"/>
              <w:rPr>
                <w:sz w:val="20"/>
                <w:szCs w:val="20"/>
              </w:rPr>
            </w:pPr>
            <w:r w:rsidRPr="00600C4D">
              <w:rPr>
                <w:sz w:val="20"/>
                <w:szCs w:val="20"/>
              </w:rPr>
              <w:t>Gastrointestinal perforation</w:t>
            </w:r>
          </w:p>
        </w:tc>
        <w:tc>
          <w:tcPr>
            <w:tcW w:w="900" w:type="dxa"/>
          </w:tcPr>
          <w:p w14:paraId="2271863A" w14:textId="77777777" w:rsidR="00600C4D" w:rsidRPr="00600C4D" w:rsidRDefault="00600C4D" w:rsidP="00600C4D">
            <w:pPr>
              <w:pStyle w:val="Tabletext"/>
              <w:ind w:left="0" w:right="0"/>
              <w:jc w:val="center"/>
              <w:rPr>
                <w:sz w:val="20"/>
                <w:szCs w:val="20"/>
              </w:rPr>
            </w:pPr>
            <w:r w:rsidRPr="00600C4D">
              <w:rPr>
                <w:sz w:val="20"/>
                <w:szCs w:val="20"/>
              </w:rPr>
              <w:sym w:font="Wingdings" w:char="F0FC"/>
            </w:r>
          </w:p>
        </w:tc>
        <w:tc>
          <w:tcPr>
            <w:tcW w:w="1170" w:type="dxa"/>
          </w:tcPr>
          <w:p w14:paraId="78371EE8"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vertAlign w:val="superscript"/>
              </w:rPr>
              <w:t>†</w:t>
            </w:r>
          </w:p>
        </w:tc>
        <w:tc>
          <w:tcPr>
            <w:tcW w:w="900" w:type="dxa"/>
          </w:tcPr>
          <w:p w14:paraId="75A9A131"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0799B8D5" w14:textId="77777777" w:rsidR="00600C4D" w:rsidRPr="00600C4D" w:rsidRDefault="00600C4D" w:rsidP="00600C4D">
            <w:pPr>
              <w:pStyle w:val="Tabletext"/>
              <w:ind w:left="0" w:right="0"/>
              <w:jc w:val="center"/>
              <w:rPr>
                <w:sz w:val="20"/>
                <w:szCs w:val="20"/>
                <w:vertAlign w:val="superscript"/>
              </w:rPr>
            </w:pPr>
            <w:r w:rsidRPr="00600C4D">
              <w:rPr>
                <w:sz w:val="20"/>
                <w:szCs w:val="20"/>
              </w:rPr>
              <w:t>-</w:t>
            </w:r>
          </w:p>
        </w:tc>
      </w:tr>
      <w:tr w:rsidR="00600C4D" w:rsidRPr="00600C4D" w14:paraId="3079BAFE" w14:textId="77777777" w:rsidTr="00600C4D">
        <w:trPr>
          <w:trHeight w:val="122"/>
        </w:trPr>
        <w:tc>
          <w:tcPr>
            <w:tcW w:w="1327" w:type="dxa"/>
            <w:vMerge/>
          </w:tcPr>
          <w:p w14:paraId="5934E0A4" w14:textId="77777777" w:rsidR="00600C4D" w:rsidRPr="00600C4D" w:rsidRDefault="00600C4D" w:rsidP="00600C4D">
            <w:pPr>
              <w:pStyle w:val="Tabletext"/>
              <w:ind w:left="0" w:right="0"/>
              <w:rPr>
                <w:b/>
                <w:sz w:val="20"/>
                <w:szCs w:val="20"/>
              </w:rPr>
            </w:pPr>
          </w:p>
        </w:tc>
        <w:tc>
          <w:tcPr>
            <w:tcW w:w="3461" w:type="dxa"/>
          </w:tcPr>
          <w:p w14:paraId="5C9ACA45" w14:textId="77777777" w:rsidR="00600C4D" w:rsidRPr="00600C4D" w:rsidRDefault="00600C4D" w:rsidP="00600C4D">
            <w:pPr>
              <w:ind w:left="0" w:right="0"/>
              <w:rPr>
                <w:sz w:val="20"/>
                <w:szCs w:val="20"/>
              </w:rPr>
            </w:pPr>
            <w:r w:rsidRPr="00600C4D">
              <w:rPr>
                <w:sz w:val="20"/>
                <w:szCs w:val="20"/>
              </w:rPr>
              <w:t>Drug-induced liver injury (DILI)</w:t>
            </w:r>
          </w:p>
        </w:tc>
        <w:tc>
          <w:tcPr>
            <w:tcW w:w="900" w:type="dxa"/>
          </w:tcPr>
          <w:p w14:paraId="394E98FA" w14:textId="77777777" w:rsidR="00600C4D" w:rsidRPr="00600C4D" w:rsidRDefault="00600C4D" w:rsidP="00600C4D">
            <w:pPr>
              <w:pStyle w:val="Tabletext"/>
              <w:ind w:left="0" w:right="0"/>
              <w:jc w:val="center"/>
              <w:rPr>
                <w:sz w:val="20"/>
                <w:szCs w:val="20"/>
              </w:rPr>
            </w:pPr>
            <w:r w:rsidRPr="00600C4D">
              <w:rPr>
                <w:sz w:val="20"/>
                <w:szCs w:val="20"/>
              </w:rPr>
              <w:sym w:font="Wingdings" w:char="F0FC"/>
            </w:r>
          </w:p>
        </w:tc>
        <w:tc>
          <w:tcPr>
            <w:tcW w:w="1170" w:type="dxa"/>
          </w:tcPr>
          <w:p w14:paraId="174F757B"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vertAlign w:val="superscript"/>
              </w:rPr>
              <w:t>†</w:t>
            </w:r>
          </w:p>
        </w:tc>
        <w:tc>
          <w:tcPr>
            <w:tcW w:w="900" w:type="dxa"/>
          </w:tcPr>
          <w:p w14:paraId="5E5AAE2C"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57D8BA8E" w14:textId="77777777" w:rsidR="00600C4D" w:rsidRPr="00600C4D" w:rsidRDefault="00600C4D" w:rsidP="00600C4D">
            <w:pPr>
              <w:pStyle w:val="Tabletext"/>
              <w:ind w:left="0" w:right="0"/>
              <w:jc w:val="center"/>
              <w:rPr>
                <w:sz w:val="20"/>
                <w:szCs w:val="20"/>
                <w:vertAlign w:val="superscript"/>
              </w:rPr>
            </w:pPr>
            <w:r w:rsidRPr="00600C4D">
              <w:rPr>
                <w:sz w:val="20"/>
                <w:szCs w:val="20"/>
              </w:rPr>
              <w:t>-</w:t>
            </w:r>
          </w:p>
        </w:tc>
      </w:tr>
      <w:tr w:rsidR="00600C4D" w:rsidRPr="00600C4D" w14:paraId="2AF9C195" w14:textId="77777777" w:rsidTr="00600C4D">
        <w:trPr>
          <w:trHeight w:val="112"/>
        </w:trPr>
        <w:tc>
          <w:tcPr>
            <w:tcW w:w="1327" w:type="dxa"/>
            <w:vMerge/>
          </w:tcPr>
          <w:p w14:paraId="49078135" w14:textId="77777777" w:rsidR="00600C4D" w:rsidRPr="00600C4D" w:rsidRDefault="00600C4D" w:rsidP="00600C4D">
            <w:pPr>
              <w:pStyle w:val="Tabletext"/>
              <w:ind w:left="0" w:right="0"/>
              <w:rPr>
                <w:b/>
                <w:sz w:val="20"/>
                <w:szCs w:val="20"/>
              </w:rPr>
            </w:pPr>
          </w:p>
        </w:tc>
        <w:tc>
          <w:tcPr>
            <w:tcW w:w="3461" w:type="dxa"/>
          </w:tcPr>
          <w:p w14:paraId="3FF4AD6A" w14:textId="77777777" w:rsidR="00600C4D" w:rsidRPr="00600C4D" w:rsidRDefault="00600C4D" w:rsidP="00600C4D">
            <w:pPr>
              <w:ind w:left="0" w:right="0"/>
              <w:rPr>
                <w:sz w:val="20"/>
                <w:szCs w:val="20"/>
              </w:rPr>
            </w:pPr>
            <w:r w:rsidRPr="00600C4D">
              <w:rPr>
                <w:sz w:val="20"/>
                <w:szCs w:val="20"/>
              </w:rPr>
              <w:t>Foetal malformation following exposure in utero</w:t>
            </w:r>
          </w:p>
        </w:tc>
        <w:tc>
          <w:tcPr>
            <w:tcW w:w="900" w:type="dxa"/>
          </w:tcPr>
          <w:p w14:paraId="28AD8936"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sz w:val="20"/>
                <w:szCs w:val="20"/>
              </w:rPr>
              <w:t>*</w:t>
            </w:r>
          </w:p>
        </w:tc>
        <w:tc>
          <w:tcPr>
            <w:tcW w:w="1170" w:type="dxa"/>
          </w:tcPr>
          <w:p w14:paraId="24759DF5"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sz w:val="20"/>
                <w:szCs w:val="20"/>
                <w:vertAlign w:val="superscript"/>
              </w:rPr>
              <w:t>†</w:t>
            </w:r>
          </w:p>
        </w:tc>
        <w:tc>
          <w:tcPr>
            <w:tcW w:w="900" w:type="dxa"/>
          </w:tcPr>
          <w:p w14:paraId="4F398277"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6C4EED7D"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rFonts w:asciiTheme="majorHAnsi" w:hAnsiTheme="majorHAnsi"/>
                <w:sz w:val="20"/>
                <w:szCs w:val="20"/>
                <w:vertAlign w:val="superscript"/>
              </w:rPr>
              <w:t>§</w:t>
            </w:r>
          </w:p>
        </w:tc>
      </w:tr>
      <w:tr w:rsidR="00600C4D" w:rsidRPr="00600C4D" w14:paraId="6E123EF8" w14:textId="77777777" w:rsidTr="00600C4D">
        <w:trPr>
          <w:trHeight w:val="178"/>
        </w:trPr>
        <w:tc>
          <w:tcPr>
            <w:tcW w:w="1327" w:type="dxa"/>
            <w:vMerge w:val="restart"/>
          </w:tcPr>
          <w:p w14:paraId="4A843DA1" w14:textId="77777777" w:rsidR="00600C4D" w:rsidRPr="00600C4D" w:rsidRDefault="00600C4D" w:rsidP="00600C4D">
            <w:pPr>
              <w:pStyle w:val="Tabletext"/>
              <w:ind w:left="0" w:right="0"/>
              <w:rPr>
                <w:b/>
                <w:sz w:val="20"/>
                <w:szCs w:val="20"/>
              </w:rPr>
            </w:pPr>
            <w:r w:rsidRPr="00600C4D">
              <w:rPr>
                <w:b/>
                <w:sz w:val="20"/>
                <w:szCs w:val="20"/>
              </w:rPr>
              <w:t>Missing information</w:t>
            </w:r>
          </w:p>
        </w:tc>
        <w:tc>
          <w:tcPr>
            <w:tcW w:w="3461" w:type="dxa"/>
          </w:tcPr>
          <w:p w14:paraId="4E3D34C9" w14:textId="77777777" w:rsidR="00600C4D" w:rsidRPr="00600C4D" w:rsidRDefault="00600C4D" w:rsidP="00600C4D">
            <w:pPr>
              <w:ind w:left="0" w:right="0"/>
              <w:rPr>
                <w:sz w:val="20"/>
                <w:szCs w:val="20"/>
              </w:rPr>
            </w:pPr>
            <w:r w:rsidRPr="00600C4D">
              <w:rPr>
                <w:sz w:val="20"/>
                <w:szCs w:val="20"/>
              </w:rPr>
              <w:t>Use in very elderly (≥ 75 years of age)</w:t>
            </w:r>
          </w:p>
        </w:tc>
        <w:tc>
          <w:tcPr>
            <w:tcW w:w="900" w:type="dxa"/>
          </w:tcPr>
          <w:p w14:paraId="1D1EE10F" w14:textId="77777777" w:rsidR="00600C4D" w:rsidRPr="00600C4D" w:rsidRDefault="00600C4D" w:rsidP="00600C4D">
            <w:pPr>
              <w:pStyle w:val="Tabletext"/>
              <w:ind w:left="0" w:right="0"/>
              <w:jc w:val="center"/>
              <w:rPr>
                <w:sz w:val="20"/>
                <w:szCs w:val="20"/>
              </w:rPr>
            </w:pPr>
            <w:r w:rsidRPr="00600C4D">
              <w:rPr>
                <w:sz w:val="20"/>
                <w:szCs w:val="20"/>
              </w:rPr>
              <w:sym w:font="Wingdings" w:char="F0FC"/>
            </w:r>
          </w:p>
        </w:tc>
        <w:tc>
          <w:tcPr>
            <w:tcW w:w="1170" w:type="dxa"/>
          </w:tcPr>
          <w:p w14:paraId="44ACAE5A"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vertAlign w:val="superscript"/>
              </w:rPr>
              <w:t>†</w:t>
            </w:r>
          </w:p>
        </w:tc>
        <w:tc>
          <w:tcPr>
            <w:tcW w:w="900" w:type="dxa"/>
          </w:tcPr>
          <w:p w14:paraId="2FA98B7D"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1658F741" w14:textId="77777777" w:rsidR="00600C4D" w:rsidRPr="00600C4D" w:rsidRDefault="00600C4D" w:rsidP="00600C4D">
            <w:pPr>
              <w:pStyle w:val="Tabletext"/>
              <w:ind w:left="0" w:right="0"/>
              <w:jc w:val="center"/>
              <w:rPr>
                <w:sz w:val="20"/>
                <w:szCs w:val="20"/>
                <w:vertAlign w:val="superscript"/>
              </w:rPr>
            </w:pPr>
            <w:r w:rsidRPr="00600C4D">
              <w:rPr>
                <w:sz w:val="20"/>
                <w:szCs w:val="20"/>
              </w:rPr>
              <w:t>-</w:t>
            </w:r>
          </w:p>
        </w:tc>
      </w:tr>
      <w:tr w:rsidR="00600C4D" w:rsidRPr="00600C4D" w14:paraId="2BC3A2BB" w14:textId="77777777" w:rsidTr="00600C4D">
        <w:trPr>
          <w:trHeight w:val="103"/>
        </w:trPr>
        <w:tc>
          <w:tcPr>
            <w:tcW w:w="1327" w:type="dxa"/>
            <w:vMerge/>
          </w:tcPr>
          <w:p w14:paraId="4D069F70" w14:textId="77777777" w:rsidR="00600C4D" w:rsidRPr="00600C4D" w:rsidRDefault="00600C4D" w:rsidP="00600C4D">
            <w:pPr>
              <w:pStyle w:val="Tabletext"/>
              <w:ind w:left="0" w:right="0"/>
              <w:rPr>
                <w:sz w:val="20"/>
                <w:szCs w:val="20"/>
              </w:rPr>
            </w:pPr>
          </w:p>
        </w:tc>
        <w:tc>
          <w:tcPr>
            <w:tcW w:w="3461" w:type="dxa"/>
          </w:tcPr>
          <w:p w14:paraId="121F6288" w14:textId="77777777" w:rsidR="00600C4D" w:rsidRPr="00600C4D" w:rsidRDefault="00600C4D" w:rsidP="00600C4D">
            <w:pPr>
              <w:ind w:left="0" w:right="0"/>
              <w:rPr>
                <w:sz w:val="20"/>
                <w:szCs w:val="20"/>
              </w:rPr>
            </w:pPr>
            <w:r w:rsidRPr="00600C4D">
              <w:rPr>
                <w:sz w:val="20"/>
                <w:szCs w:val="20"/>
              </w:rPr>
              <w:t>Effect on vaccination efficacy</w:t>
            </w:r>
          </w:p>
        </w:tc>
        <w:tc>
          <w:tcPr>
            <w:tcW w:w="900" w:type="dxa"/>
          </w:tcPr>
          <w:p w14:paraId="5913C2E3"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p>
        </w:tc>
        <w:tc>
          <w:tcPr>
            <w:tcW w:w="1170" w:type="dxa"/>
          </w:tcPr>
          <w:p w14:paraId="6628633E"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r w:rsidRPr="00600C4D">
              <w:rPr>
                <w:sz w:val="20"/>
                <w:szCs w:val="20"/>
                <w:vertAlign w:val="superscript"/>
              </w:rPr>
              <w:t>†</w:t>
            </w:r>
          </w:p>
        </w:tc>
        <w:tc>
          <w:tcPr>
            <w:tcW w:w="900" w:type="dxa"/>
          </w:tcPr>
          <w:p w14:paraId="36742721"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210DDC28" w14:textId="77777777" w:rsidR="00600C4D" w:rsidRPr="00600C4D" w:rsidRDefault="00600C4D" w:rsidP="00600C4D">
            <w:pPr>
              <w:pStyle w:val="Tabletext"/>
              <w:ind w:left="0" w:right="0"/>
              <w:jc w:val="center"/>
              <w:rPr>
                <w:sz w:val="20"/>
                <w:szCs w:val="20"/>
                <w:vertAlign w:val="superscript"/>
              </w:rPr>
            </w:pPr>
            <w:r w:rsidRPr="00600C4D">
              <w:rPr>
                <w:sz w:val="20"/>
                <w:szCs w:val="20"/>
              </w:rPr>
              <w:t>-</w:t>
            </w:r>
          </w:p>
        </w:tc>
      </w:tr>
      <w:tr w:rsidR="00600C4D" w:rsidRPr="00600C4D" w14:paraId="1A9A4FBA" w14:textId="77777777" w:rsidTr="00600C4D">
        <w:trPr>
          <w:trHeight w:val="103"/>
        </w:trPr>
        <w:tc>
          <w:tcPr>
            <w:tcW w:w="1327" w:type="dxa"/>
            <w:vMerge/>
          </w:tcPr>
          <w:p w14:paraId="0B469C41" w14:textId="77777777" w:rsidR="00600C4D" w:rsidRPr="00600C4D" w:rsidRDefault="00600C4D" w:rsidP="00600C4D">
            <w:pPr>
              <w:pStyle w:val="Tabletext"/>
              <w:ind w:left="0" w:right="0"/>
              <w:rPr>
                <w:sz w:val="20"/>
                <w:szCs w:val="20"/>
              </w:rPr>
            </w:pPr>
          </w:p>
        </w:tc>
        <w:tc>
          <w:tcPr>
            <w:tcW w:w="3461" w:type="dxa"/>
          </w:tcPr>
          <w:p w14:paraId="2EE5258F" w14:textId="77777777" w:rsidR="00600C4D" w:rsidRPr="00600C4D" w:rsidRDefault="00600C4D" w:rsidP="00600C4D">
            <w:pPr>
              <w:ind w:left="0" w:right="0"/>
              <w:rPr>
                <w:sz w:val="20"/>
                <w:szCs w:val="20"/>
              </w:rPr>
            </w:pPr>
            <w:r w:rsidRPr="00600C4D">
              <w:rPr>
                <w:sz w:val="20"/>
                <w:szCs w:val="20"/>
              </w:rPr>
              <w:t>Use in patients with evidence of untreated chronic infection with hepatitis B or hepatitis C</w:t>
            </w:r>
          </w:p>
        </w:tc>
        <w:tc>
          <w:tcPr>
            <w:tcW w:w="900" w:type="dxa"/>
          </w:tcPr>
          <w:p w14:paraId="27DE9E6A" w14:textId="77777777" w:rsidR="00600C4D" w:rsidRPr="00600C4D" w:rsidRDefault="00600C4D" w:rsidP="00600C4D">
            <w:pPr>
              <w:pStyle w:val="Tabletext"/>
              <w:ind w:left="0" w:right="0"/>
              <w:jc w:val="center"/>
              <w:rPr>
                <w:sz w:val="20"/>
                <w:szCs w:val="20"/>
              </w:rPr>
            </w:pPr>
            <w:r w:rsidRPr="00600C4D">
              <w:rPr>
                <w:sz w:val="20"/>
                <w:szCs w:val="20"/>
              </w:rPr>
              <w:sym w:font="Wingdings" w:char="F0FC"/>
            </w:r>
          </w:p>
        </w:tc>
        <w:tc>
          <w:tcPr>
            <w:tcW w:w="1170" w:type="dxa"/>
          </w:tcPr>
          <w:p w14:paraId="22701C94"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vertAlign w:val="superscript"/>
              </w:rPr>
              <w:t>†</w:t>
            </w:r>
          </w:p>
        </w:tc>
        <w:tc>
          <w:tcPr>
            <w:tcW w:w="900" w:type="dxa"/>
          </w:tcPr>
          <w:p w14:paraId="42052BF6"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5B74602C" w14:textId="77777777" w:rsidR="00600C4D" w:rsidRPr="00600C4D" w:rsidRDefault="00600C4D" w:rsidP="00600C4D">
            <w:pPr>
              <w:pStyle w:val="Tabletext"/>
              <w:ind w:left="0" w:right="0"/>
              <w:jc w:val="center"/>
              <w:rPr>
                <w:sz w:val="20"/>
                <w:szCs w:val="20"/>
                <w:vertAlign w:val="superscript"/>
              </w:rPr>
            </w:pPr>
            <w:r w:rsidRPr="00600C4D">
              <w:rPr>
                <w:sz w:val="20"/>
                <w:szCs w:val="20"/>
              </w:rPr>
              <w:t>-</w:t>
            </w:r>
          </w:p>
        </w:tc>
      </w:tr>
      <w:tr w:rsidR="00600C4D" w:rsidRPr="00600C4D" w14:paraId="26A216DF" w14:textId="77777777" w:rsidTr="00600C4D">
        <w:trPr>
          <w:trHeight w:val="103"/>
        </w:trPr>
        <w:tc>
          <w:tcPr>
            <w:tcW w:w="1327" w:type="dxa"/>
            <w:vMerge/>
          </w:tcPr>
          <w:p w14:paraId="2CF160F2" w14:textId="77777777" w:rsidR="00600C4D" w:rsidRPr="00600C4D" w:rsidRDefault="00600C4D" w:rsidP="00600C4D">
            <w:pPr>
              <w:pStyle w:val="Tabletext"/>
              <w:ind w:left="0" w:right="0"/>
              <w:rPr>
                <w:sz w:val="20"/>
                <w:szCs w:val="20"/>
              </w:rPr>
            </w:pPr>
          </w:p>
        </w:tc>
        <w:tc>
          <w:tcPr>
            <w:tcW w:w="3461" w:type="dxa"/>
          </w:tcPr>
          <w:p w14:paraId="4320FD9A" w14:textId="77777777" w:rsidR="00600C4D" w:rsidRPr="00600C4D" w:rsidRDefault="00600C4D" w:rsidP="00600C4D">
            <w:pPr>
              <w:ind w:left="0" w:right="0"/>
              <w:rPr>
                <w:sz w:val="20"/>
                <w:szCs w:val="20"/>
              </w:rPr>
            </w:pPr>
            <w:r w:rsidRPr="00600C4D">
              <w:rPr>
                <w:sz w:val="20"/>
                <w:szCs w:val="20"/>
              </w:rPr>
              <w:t>Use in patients with moderate hepatic impairment</w:t>
            </w:r>
          </w:p>
        </w:tc>
        <w:tc>
          <w:tcPr>
            <w:tcW w:w="900" w:type="dxa"/>
          </w:tcPr>
          <w:p w14:paraId="63ADE70B" w14:textId="77777777" w:rsidR="00600C4D" w:rsidRPr="00600C4D" w:rsidRDefault="00600C4D" w:rsidP="00600C4D">
            <w:pPr>
              <w:pStyle w:val="Tabletext"/>
              <w:ind w:left="0" w:right="0"/>
              <w:jc w:val="center"/>
              <w:rPr>
                <w:sz w:val="20"/>
                <w:szCs w:val="20"/>
              </w:rPr>
            </w:pPr>
            <w:r w:rsidRPr="00600C4D">
              <w:rPr>
                <w:sz w:val="20"/>
                <w:szCs w:val="20"/>
              </w:rPr>
              <w:sym w:font="Wingdings" w:char="F0FC"/>
            </w:r>
          </w:p>
        </w:tc>
        <w:tc>
          <w:tcPr>
            <w:tcW w:w="1170" w:type="dxa"/>
          </w:tcPr>
          <w:p w14:paraId="218572A1"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vertAlign w:val="superscript"/>
              </w:rPr>
              <w:t>†</w:t>
            </w:r>
          </w:p>
        </w:tc>
        <w:tc>
          <w:tcPr>
            <w:tcW w:w="900" w:type="dxa"/>
          </w:tcPr>
          <w:p w14:paraId="178B57F8"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57BA7186" w14:textId="77777777" w:rsidR="00600C4D" w:rsidRPr="00600C4D" w:rsidRDefault="00600C4D" w:rsidP="00600C4D">
            <w:pPr>
              <w:pStyle w:val="Tabletext"/>
              <w:ind w:left="0" w:right="0"/>
              <w:jc w:val="center"/>
              <w:rPr>
                <w:sz w:val="20"/>
                <w:szCs w:val="20"/>
                <w:vertAlign w:val="superscript"/>
              </w:rPr>
            </w:pPr>
            <w:r w:rsidRPr="00600C4D">
              <w:rPr>
                <w:sz w:val="20"/>
                <w:szCs w:val="20"/>
              </w:rPr>
              <w:t>-</w:t>
            </w:r>
          </w:p>
        </w:tc>
      </w:tr>
      <w:tr w:rsidR="00600C4D" w:rsidRPr="00600C4D" w14:paraId="16B4471F" w14:textId="77777777" w:rsidTr="00600C4D">
        <w:trPr>
          <w:trHeight w:val="103"/>
        </w:trPr>
        <w:tc>
          <w:tcPr>
            <w:tcW w:w="1327" w:type="dxa"/>
            <w:vMerge/>
          </w:tcPr>
          <w:p w14:paraId="33541FC9" w14:textId="77777777" w:rsidR="00600C4D" w:rsidRPr="00600C4D" w:rsidRDefault="00600C4D" w:rsidP="00600C4D">
            <w:pPr>
              <w:pStyle w:val="Tabletext"/>
              <w:ind w:left="0" w:right="0"/>
              <w:rPr>
                <w:sz w:val="20"/>
                <w:szCs w:val="20"/>
              </w:rPr>
            </w:pPr>
          </w:p>
        </w:tc>
        <w:tc>
          <w:tcPr>
            <w:tcW w:w="3461" w:type="dxa"/>
          </w:tcPr>
          <w:p w14:paraId="3D543364" w14:textId="77777777" w:rsidR="00600C4D" w:rsidRPr="00600C4D" w:rsidRDefault="00600C4D" w:rsidP="00600C4D">
            <w:pPr>
              <w:ind w:left="0" w:right="0"/>
              <w:rPr>
                <w:sz w:val="20"/>
                <w:szCs w:val="20"/>
              </w:rPr>
            </w:pPr>
            <w:r w:rsidRPr="00600C4D">
              <w:rPr>
                <w:sz w:val="20"/>
                <w:szCs w:val="20"/>
              </w:rPr>
              <w:t>Use in patients with severe renal impairment</w:t>
            </w:r>
          </w:p>
        </w:tc>
        <w:tc>
          <w:tcPr>
            <w:tcW w:w="900" w:type="dxa"/>
          </w:tcPr>
          <w:p w14:paraId="62446735" w14:textId="77777777" w:rsidR="00600C4D" w:rsidRPr="00600C4D" w:rsidRDefault="00600C4D" w:rsidP="00600C4D">
            <w:pPr>
              <w:pStyle w:val="Tabletext"/>
              <w:ind w:left="0" w:right="0"/>
              <w:jc w:val="center"/>
              <w:rPr>
                <w:sz w:val="20"/>
                <w:szCs w:val="20"/>
                <w:vertAlign w:val="superscript"/>
              </w:rPr>
            </w:pPr>
            <w:r w:rsidRPr="00600C4D">
              <w:rPr>
                <w:sz w:val="20"/>
                <w:szCs w:val="20"/>
              </w:rPr>
              <w:sym w:font="Wingdings" w:char="F0FC"/>
            </w:r>
          </w:p>
        </w:tc>
        <w:tc>
          <w:tcPr>
            <w:tcW w:w="1170" w:type="dxa"/>
          </w:tcPr>
          <w:p w14:paraId="75383AF6"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vertAlign w:val="superscript"/>
              </w:rPr>
              <w:t>†</w:t>
            </w:r>
          </w:p>
        </w:tc>
        <w:tc>
          <w:tcPr>
            <w:tcW w:w="900" w:type="dxa"/>
          </w:tcPr>
          <w:p w14:paraId="093ADFFD"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32AFA0B0" w14:textId="77777777" w:rsidR="00600C4D" w:rsidRPr="00600C4D" w:rsidRDefault="00600C4D" w:rsidP="00600C4D">
            <w:pPr>
              <w:pStyle w:val="Tabletext"/>
              <w:ind w:left="0" w:right="0"/>
              <w:jc w:val="center"/>
              <w:rPr>
                <w:sz w:val="20"/>
                <w:szCs w:val="20"/>
              </w:rPr>
            </w:pPr>
            <w:r w:rsidRPr="00600C4D">
              <w:rPr>
                <w:sz w:val="20"/>
                <w:szCs w:val="20"/>
              </w:rPr>
              <w:t>-</w:t>
            </w:r>
          </w:p>
        </w:tc>
      </w:tr>
      <w:tr w:rsidR="00600C4D" w:rsidRPr="00600C4D" w14:paraId="21FD1228" w14:textId="77777777" w:rsidTr="00600C4D">
        <w:trPr>
          <w:trHeight w:val="140"/>
        </w:trPr>
        <w:tc>
          <w:tcPr>
            <w:tcW w:w="1327" w:type="dxa"/>
            <w:vMerge/>
          </w:tcPr>
          <w:p w14:paraId="1D19392B" w14:textId="77777777" w:rsidR="00600C4D" w:rsidRPr="00600C4D" w:rsidRDefault="00600C4D" w:rsidP="00600C4D">
            <w:pPr>
              <w:pStyle w:val="Tabletext"/>
              <w:ind w:left="0" w:right="0"/>
              <w:rPr>
                <w:sz w:val="20"/>
                <w:szCs w:val="20"/>
              </w:rPr>
            </w:pPr>
          </w:p>
        </w:tc>
        <w:tc>
          <w:tcPr>
            <w:tcW w:w="3461" w:type="dxa"/>
          </w:tcPr>
          <w:p w14:paraId="6BB2F658" w14:textId="77777777" w:rsidR="00600C4D" w:rsidRPr="00600C4D" w:rsidRDefault="00600C4D" w:rsidP="00600C4D">
            <w:pPr>
              <w:ind w:left="0" w:right="0"/>
              <w:rPr>
                <w:sz w:val="20"/>
                <w:szCs w:val="20"/>
              </w:rPr>
            </w:pPr>
            <w:r w:rsidRPr="00600C4D">
              <w:rPr>
                <w:sz w:val="20"/>
                <w:szCs w:val="20"/>
              </w:rPr>
              <w:t>Long-term safety</w:t>
            </w:r>
          </w:p>
        </w:tc>
        <w:tc>
          <w:tcPr>
            <w:tcW w:w="900" w:type="dxa"/>
          </w:tcPr>
          <w:p w14:paraId="4BA171FF"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rPr>
              <w:t>*</w:t>
            </w:r>
          </w:p>
        </w:tc>
        <w:tc>
          <w:tcPr>
            <w:tcW w:w="1170" w:type="dxa"/>
          </w:tcPr>
          <w:p w14:paraId="0B9F305C" w14:textId="77777777" w:rsidR="00600C4D" w:rsidRPr="00600C4D" w:rsidRDefault="00600C4D" w:rsidP="00600C4D">
            <w:pPr>
              <w:pStyle w:val="Tabletext"/>
              <w:ind w:left="0" w:right="0"/>
              <w:jc w:val="center"/>
              <w:rPr>
                <w:sz w:val="20"/>
                <w:szCs w:val="20"/>
              </w:rPr>
            </w:pPr>
            <w:r w:rsidRPr="00600C4D">
              <w:rPr>
                <w:sz w:val="20"/>
                <w:szCs w:val="20"/>
              </w:rPr>
              <w:sym w:font="Wingdings" w:char="F0FC"/>
            </w:r>
            <w:r w:rsidRPr="00600C4D">
              <w:rPr>
                <w:sz w:val="20"/>
                <w:szCs w:val="20"/>
                <w:vertAlign w:val="superscript"/>
              </w:rPr>
              <w:t>†</w:t>
            </w:r>
          </w:p>
        </w:tc>
        <w:tc>
          <w:tcPr>
            <w:tcW w:w="900" w:type="dxa"/>
          </w:tcPr>
          <w:p w14:paraId="750F0266" w14:textId="77777777" w:rsidR="00600C4D" w:rsidRPr="00600C4D" w:rsidRDefault="00600C4D" w:rsidP="00600C4D">
            <w:pPr>
              <w:ind w:left="0" w:right="0"/>
              <w:jc w:val="center"/>
              <w:rPr>
                <w:sz w:val="20"/>
                <w:szCs w:val="20"/>
              </w:rPr>
            </w:pPr>
            <w:r w:rsidRPr="00600C4D">
              <w:rPr>
                <w:sz w:val="20"/>
                <w:szCs w:val="20"/>
              </w:rPr>
              <w:sym w:font="Wingdings" w:char="F0FC"/>
            </w:r>
          </w:p>
        </w:tc>
        <w:tc>
          <w:tcPr>
            <w:tcW w:w="1170" w:type="dxa"/>
          </w:tcPr>
          <w:p w14:paraId="5BDC001C" w14:textId="77777777" w:rsidR="00600C4D" w:rsidRPr="00600C4D" w:rsidRDefault="00600C4D" w:rsidP="00600C4D">
            <w:pPr>
              <w:pStyle w:val="Tabletext"/>
              <w:ind w:left="0" w:right="0"/>
              <w:jc w:val="center"/>
              <w:rPr>
                <w:sz w:val="20"/>
                <w:szCs w:val="20"/>
                <w:vertAlign w:val="superscript"/>
              </w:rPr>
            </w:pPr>
            <w:r w:rsidRPr="00600C4D">
              <w:rPr>
                <w:sz w:val="20"/>
                <w:szCs w:val="20"/>
              </w:rPr>
              <w:t>-</w:t>
            </w:r>
          </w:p>
        </w:tc>
      </w:tr>
      <w:tr w:rsidR="00600C4D" w:rsidRPr="00600C4D" w14:paraId="41EC7A59" w14:textId="77777777" w:rsidTr="00600C4D">
        <w:trPr>
          <w:trHeight w:val="140"/>
        </w:trPr>
        <w:tc>
          <w:tcPr>
            <w:tcW w:w="1327" w:type="dxa"/>
            <w:vMerge/>
          </w:tcPr>
          <w:p w14:paraId="04AE5629" w14:textId="77777777" w:rsidR="00600C4D" w:rsidRPr="00600C4D" w:rsidRDefault="00600C4D" w:rsidP="00600C4D">
            <w:pPr>
              <w:pStyle w:val="Tabletext"/>
              <w:ind w:left="0" w:right="0"/>
              <w:rPr>
                <w:sz w:val="20"/>
                <w:szCs w:val="20"/>
              </w:rPr>
            </w:pPr>
          </w:p>
        </w:tc>
        <w:tc>
          <w:tcPr>
            <w:tcW w:w="3461" w:type="dxa"/>
          </w:tcPr>
          <w:p w14:paraId="2F2C1D44" w14:textId="719169E1" w:rsidR="00600C4D" w:rsidRPr="00600C4D" w:rsidRDefault="00600C4D" w:rsidP="00DE111C">
            <w:pPr>
              <w:ind w:left="0" w:right="0"/>
              <w:rPr>
                <w:color w:val="7030A0"/>
                <w:sz w:val="20"/>
                <w:szCs w:val="20"/>
              </w:rPr>
            </w:pPr>
            <w:r w:rsidRPr="00DE111C">
              <w:rPr>
                <w:color w:val="auto"/>
                <w:sz w:val="20"/>
                <w:szCs w:val="20"/>
              </w:rPr>
              <w:t xml:space="preserve">Long-term safety in adolescents with </w:t>
            </w:r>
            <w:r w:rsidR="00DE111C">
              <w:rPr>
                <w:color w:val="auto"/>
                <w:sz w:val="20"/>
                <w:szCs w:val="20"/>
              </w:rPr>
              <w:t>atopic dermatitis</w:t>
            </w:r>
          </w:p>
        </w:tc>
        <w:tc>
          <w:tcPr>
            <w:tcW w:w="900" w:type="dxa"/>
          </w:tcPr>
          <w:p w14:paraId="4A6B8049" w14:textId="77777777" w:rsidR="00600C4D" w:rsidRPr="00DE111C" w:rsidRDefault="00600C4D" w:rsidP="00600C4D">
            <w:pPr>
              <w:pStyle w:val="Tabletext"/>
              <w:ind w:left="0" w:right="0"/>
              <w:jc w:val="center"/>
              <w:rPr>
                <w:color w:val="auto"/>
                <w:sz w:val="20"/>
                <w:szCs w:val="20"/>
              </w:rPr>
            </w:pPr>
            <w:r w:rsidRPr="00DE111C">
              <w:rPr>
                <w:color w:val="auto"/>
                <w:sz w:val="20"/>
                <w:szCs w:val="20"/>
              </w:rPr>
              <w:sym w:font="Wingdings" w:char="F0FC"/>
            </w:r>
          </w:p>
        </w:tc>
        <w:tc>
          <w:tcPr>
            <w:tcW w:w="1170" w:type="dxa"/>
          </w:tcPr>
          <w:p w14:paraId="19254E68" w14:textId="77777777" w:rsidR="00600C4D" w:rsidRPr="00DE111C" w:rsidRDefault="00600C4D" w:rsidP="00600C4D">
            <w:pPr>
              <w:pStyle w:val="Tabletext"/>
              <w:ind w:left="0" w:right="0"/>
              <w:jc w:val="center"/>
              <w:rPr>
                <w:color w:val="auto"/>
                <w:sz w:val="20"/>
                <w:szCs w:val="20"/>
              </w:rPr>
            </w:pPr>
            <w:r w:rsidRPr="00DE111C">
              <w:rPr>
                <w:color w:val="auto"/>
                <w:sz w:val="20"/>
                <w:szCs w:val="20"/>
              </w:rPr>
              <w:sym w:font="Wingdings" w:char="F0FC"/>
            </w:r>
            <w:r w:rsidRPr="00DE111C">
              <w:rPr>
                <w:color w:val="auto"/>
                <w:sz w:val="20"/>
                <w:szCs w:val="20"/>
                <w:vertAlign w:val="superscript"/>
              </w:rPr>
              <w:t>†</w:t>
            </w:r>
          </w:p>
        </w:tc>
        <w:tc>
          <w:tcPr>
            <w:tcW w:w="900" w:type="dxa"/>
          </w:tcPr>
          <w:p w14:paraId="473DB61C" w14:textId="77777777" w:rsidR="00600C4D" w:rsidRPr="00DE111C" w:rsidRDefault="00600C4D" w:rsidP="00600C4D">
            <w:pPr>
              <w:ind w:left="0" w:right="0"/>
              <w:jc w:val="center"/>
              <w:rPr>
                <w:color w:val="auto"/>
                <w:sz w:val="20"/>
                <w:szCs w:val="20"/>
              </w:rPr>
            </w:pPr>
            <w:r w:rsidRPr="00DE111C">
              <w:rPr>
                <w:color w:val="auto"/>
                <w:sz w:val="20"/>
                <w:szCs w:val="20"/>
              </w:rPr>
              <w:sym w:font="Wingdings" w:char="F0FC"/>
            </w:r>
          </w:p>
        </w:tc>
        <w:tc>
          <w:tcPr>
            <w:tcW w:w="1170" w:type="dxa"/>
          </w:tcPr>
          <w:p w14:paraId="25803135" w14:textId="77777777" w:rsidR="00600C4D" w:rsidRPr="00600C4D" w:rsidRDefault="00600C4D" w:rsidP="00600C4D">
            <w:pPr>
              <w:pStyle w:val="Tabletext"/>
              <w:ind w:left="0" w:right="0"/>
              <w:jc w:val="center"/>
              <w:rPr>
                <w:color w:val="7030A0"/>
                <w:sz w:val="20"/>
                <w:szCs w:val="20"/>
              </w:rPr>
            </w:pPr>
            <w:r w:rsidRPr="00600C4D">
              <w:rPr>
                <w:color w:val="7030A0"/>
                <w:sz w:val="20"/>
                <w:szCs w:val="20"/>
              </w:rPr>
              <w:t>-</w:t>
            </w:r>
          </w:p>
        </w:tc>
      </w:tr>
    </w:tbl>
    <w:p w14:paraId="1A8027AF" w14:textId="77777777" w:rsidR="00DE111C" w:rsidRPr="0085790A" w:rsidRDefault="00DE111C" w:rsidP="00B67E63">
      <w:pPr>
        <w:pStyle w:val="TableDescription"/>
      </w:pPr>
      <w:r w:rsidRPr="0085790A">
        <w:t>* Targeted follow-up forms</w:t>
      </w:r>
    </w:p>
    <w:p w14:paraId="417F16B4" w14:textId="77777777" w:rsidR="00DE111C" w:rsidRPr="0085790A" w:rsidRDefault="00DE111C" w:rsidP="00B67E63">
      <w:pPr>
        <w:pStyle w:val="TableDescription"/>
      </w:pPr>
      <w:r w:rsidRPr="0085790A">
        <w:t>† Long-term extension, safety and cohort studies for Rheumatoid arthritis, atopic dermatitis, psoriatic arthritis and ankylosing spondylitis indications</w:t>
      </w:r>
      <w:r>
        <w:t xml:space="preserve"> (see Appendix II)</w:t>
      </w:r>
    </w:p>
    <w:p w14:paraId="4396BEB9" w14:textId="77777777" w:rsidR="00DE111C" w:rsidRPr="0085790A" w:rsidRDefault="00DE111C" w:rsidP="00B67E63">
      <w:pPr>
        <w:pStyle w:val="TableDescription"/>
      </w:pPr>
      <w:r w:rsidRPr="0085790A">
        <w:t xml:space="preserve">§ </w:t>
      </w:r>
      <w:r>
        <w:t>Health Care Professional (</w:t>
      </w:r>
      <w:r w:rsidRPr="0085790A">
        <w:t>HCP</w:t>
      </w:r>
      <w:r>
        <w:t>)</w:t>
      </w:r>
      <w:r w:rsidRPr="0085790A">
        <w:t xml:space="preserve"> educational brochure, Patient Alert Card (PAC)</w:t>
      </w:r>
    </w:p>
    <w:p w14:paraId="1BCC3835" w14:textId="1C1F5B77" w:rsidR="00DE111C" w:rsidRPr="00EA2F8D" w:rsidRDefault="00DE111C" w:rsidP="00EA2F8D">
      <w:r w:rsidRPr="00FA7130">
        <w:t>The summary of safety concerns is the same as the safety summary evaluated during the previous submission (PM-2020-02479-1-3)</w:t>
      </w:r>
      <w:r w:rsidR="00EA2F8D">
        <w:t>;</w:t>
      </w:r>
      <w:r w:rsidR="00EA2F8D">
        <w:rPr>
          <w:rStyle w:val="FootnoteReference"/>
        </w:rPr>
        <w:footnoteReference w:id="73"/>
      </w:r>
      <w:r w:rsidRPr="00FA7130">
        <w:t xml:space="preserve"> </w:t>
      </w:r>
      <w:r w:rsidRPr="00A82CA8">
        <w:t>which was considered acceptable. The sponsor considers that the risk of eczema herpeticum/</w:t>
      </w:r>
      <w:r w:rsidRPr="00A82CA8">
        <w:rPr>
          <w:rFonts w:eastAsiaTheme="minorHAnsi" w:cstheme="minorBidi"/>
          <w:szCs w:val="23"/>
        </w:rPr>
        <w:t xml:space="preserve"> </w:t>
      </w:r>
      <w:r w:rsidRPr="00A82CA8">
        <w:t xml:space="preserve">Kaposi's varicelliform eruption, applicable to the atopic dermatitis indication, is adequately covered under the important identified risk ‘serious and opportunistic infections’. The sponsor has acknowledged the RMP evaluator request to monitor the risk of eczema herpeticum/ Kaposi's varicelliform eruption specifically in the periodic safety update reports (PSURs). </w:t>
      </w:r>
      <w:bookmarkStart w:id="158" w:name="_Hlk79410296"/>
      <w:r w:rsidRPr="00EA2F8D">
        <w:t>‘Long-term safety in adolescents with atopic dermatitis</w:t>
      </w:r>
      <w:bookmarkEnd w:id="158"/>
      <w:r w:rsidRPr="00EA2F8D">
        <w:t xml:space="preserve">’ has been included as missing information as this risk requires further characterisation. </w:t>
      </w:r>
    </w:p>
    <w:p w14:paraId="049507AC" w14:textId="41681863" w:rsidR="00DE111C" w:rsidRPr="001F5D68" w:rsidRDefault="00DE111C" w:rsidP="00EA2F8D">
      <w:r w:rsidRPr="001F5D68">
        <w:t xml:space="preserve">Routine and additional pharmacovigilance activities have been proposed as shown in </w:t>
      </w:r>
      <w:r w:rsidR="00EA2F8D">
        <w:fldChar w:fldCharType="begin"/>
      </w:r>
      <w:r w:rsidR="00EA2F8D">
        <w:instrText xml:space="preserve"> REF _Ref97629131 \h </w:instrText>
      </w:r>
      <w:r w:rsidR="00EA2F8D">
        <w:fldChar w:fldCharType="separate"/>
      </w:r>
      <w:r w:rsidR="00B51532">
        <w:t xml:space="preserve">Table </w:t>
      </w:r>
      <w:r w:rsidR="00B51532">
        <w:rPr>
          <w:noProof/>
        </w:rPr>
        <w:t>44</w:t>
      </w:r>
      <w:r w:rsidR="00EA2F8D">
        <w:fldChar w:fldCharType="end"/>
      </w:r>
      <w:r w:rsidR="00EA2F8D">
        <w:t xml:space="preserve"> </w:t>
      </w:r>
      <w:r w:rsidRPr="001F5D68">
        <w:t>above.</w:t>
      </w:r>
      <w:r>
        <w:t xml:space="preserve"> </w:t>
      </w:r>
      <w:r w:rsidRPr="00A82CA8">
        <w:t xml:space="preserve">Additional pharmacovigilance activities were included </w:t>
      </w:r>
      <w:r>
        <w:t>and</w:t>
      </w:r>
      <w:r w:rsidRPr="00A82CA8">
        <w:t xml:space="preserve"> extended at </w:t>
      </w:r>
      <w:r w:rsidR="00EA2F8D">
        <w:t>the fourth round of RMP evaluation</w:t>
      </w:r>
      <w:r w:rsidRPr="00A82CA8">
        <w:t xml:space="preserve">, to further characterise the risk of ‘long-term safety in adolescents with atopic dermatitis’ </w:t>
      </w:r>
      <w:r w:rsidRPr="001F5D68">
        <w:t>The pharmacovigilance plan is acceptable from an RMP perspective.</w:t>
      </w:r>
    </w:p>
    <w:p w14:paraId="645410B9" w14:textId="19D6A6B4" w:rsidR="00DE111C" w:rsidRPr="00EA2F8D" w:rsidRDefault="00DE111C" w:rsidP="00EA2F8D">
      <w:r w:rsidRPr="001F5D68">
        <w:t xml:space="preserve">Routine and additional risk minimisation activities have been proposed </w:t>
      </w:r>
      <w:r w:rsidRPr="00694B1F">
        <w:t xml:space="preserve">which are the same as proposed in the previous submission with alterations made to include the atopic dermatitis indication. The additional activities include education material for </w:t>
      </w:r>
      <w:r w:rsidR="00EA2F8D">
        <w:t>healthcare professionals (</w:t>
      </w:r>
      <w:r w:rsidRPr="00694B1F">
        <w:t>HCPs</w:t>
      </w:r>
      <w:r w:rsidR="00EA2F8D">
        <w:t>)</w:t>
      </w:r>
      <w:r w:rsidRPr="00694B1F">
        <w:t xml:space="preserve"> as well as a Patient Alert Card</w:t>
      </w:r>
      <w:r w:rsidRPr="00EA2F8D">
        <w:t xml:space="preserve">. The sponsor has included specific </w:t>
      </w:r>
      <w:r w:rsidRPr="00EA2F8D">
        <w:lastRenderedPageBreak/>
        <w:t xml:space="preserve">information about eczema herpeticum in the PI, </w:t>
      </w:r>
      <w:r w:rsidR="00EA2F8D">
        <w:t>Consumers Medicines Information (</w:t>
      </w:r>
      <w:r w:rsidRPr="00EA2F8D">
        <w:t>CMI</w:t>
      </w:r>
      <w:r w:rsidR="00EA2F8D">
        <w:t>)</w:t>
      </w:r>
      <w:r w:rsidRPr="00EA2F8D">
        <w:t>, Healthcare professional educational brochure and patient alert card. The proposed risk minimisation plan is acceptable.</w:t>
      </w:r>
    </w:p>
    <w:p w14:paraId="08126EBD" w14:textId="7DA1D2AD" w:rsidR="00DE111C" w:rsidRPr="00EA2F8D" w:rsidRDefault="00DE111C" w:rsidP="00EA2F8D">
      <w:pPr>
        <w:pStyle w:val="Heading4"/>
      </w:pPr>
      <w:bookmarkStart w:id="159" w:name="_Toc79487265"/>
      <w:r w:rsidRPr="00EA2F8D">
        <w:t>New and outstanding recommendations</w:t>
      </w:r>
      <w:bookmarkEnd w:id="159"/>
    </w:p>
    <w:p w14:paraId="114F6A78" w14:textId="7145E10A" w:rsidR="00DE111C" w:rsidRDefault="00EA2F8D" w:rsidP="00EA2F8D">
      <w:r>
        <w:t>At fourth round</w:t>
      </w:r>
      <w:r w:rsidR="00DE111C" w:rsidRPr="00407292">
        <w:t>, the sponsor submitted updated additional risk minimisation materials</w:t>
      </w:r>
      <w:r w:rsidR="00DE111C">
        <w:t xml:space="preserve"> (Healthcare Professional Educational Brochure and Patient Alert Card)</w:t>
      </w:r>
      <w:r w:rsidR="00DE111C" w:rsidRPr="00407292">
        <w:t xml:space="preserve"> for review.</w:t>
      </w:r>
      <w:r w:rsidR="00DE111C">
        <w:t xml:space="preserve"> </w:t>
      </w:r>
      <w:r w:rsidR="00DE111C" w:rsidRPr="00407292">
        <w:t>There are two new recommendations as a result, however from an RMP perspective these should not impede the decision on this submission</w:t>
      </w:r>
      <w:r w:rsidR="00DE111C">
        <w:t>.</w:t>
      </w:r>
    </w:p>
    <w:p w14:paraId="40BEAC7E" w14:textId="77777777" w:rsidR="00EA2F8D" w:rsidRDefault="00DE111C" w:rsidP="00DE111C">
      <w:pPr>
        <w:pStyle w:val="Numberbullet0"/>
        <w:numPr>
          <w:ilvl w:val="0"/>
          <w:numId w:val="31"/>
        </w:numPr>
      </w:pPr>
      <w:r>
        <w:t>Full g</w:t>
      </w:r>
      <w:r w:rsidRPr="00112DFC">
        <w:t>uidance for determining the most appropriate Rinvoq dose for a patient, for all indications, is provided in the PI</w:t>
      </w:r>
      <w:r>
        <w:t xml:space="preserve"> and is particularly important for the atopic dermatitis indication</w:t>
      </w:r>
      <w:r w:rsidRPr="00112DFC">
        <w:t xml:space="preserve">. It is recommended that the sponsor removes reference to specific doses </w:t>
      </w:r>
      <w:r>
        <w:t xml:space="preserve">for all </w:t>
      </w:r>
      <w:r w:rsidRPr="00112DFC">
        <w:t>from the ‘Further Information’ section of the Healthcare Professional Brochure</w:t>
      </w:r>
      <w:r>
        <w:t xml:space="preserve">. </w:t>
      </w:r>
    </w:p>
    <w:p w14:paraId="5CE42990" w14:textId="77777777" w:rsidR="00EA2F8D" w:rsidRDefault="00DE111C" w:rsidP="00DE111C">
      <w:pPr>
        <w:pStyle w:val="Numberbullet0"/>
      </w:pPr>
      <w:r w:rsidRPr="00EA2F8D">
        <w:t xml:space="preserve">The </w:t>
      </w:r>
      <w:r w:rsidR="00EA2F8D">
        <w:t>minutes of the 5 August 2021 Advisory Committee on Medicines meeting (the meeting discussing approvability of this submission) were</w:t>
      </w:r>
      <w:r w:rsidRPr="00EA2F8D">
        <w:t xml:space="preserve"> not yet available. Any outcomes from ACM</w:t>
      </w:r>
      <w:r w:rsidR="00EA2F8D">
        <w:t xml:space="preserve"> or recommendations by the D</w:t>
      </w:r>
      <w:r w:rsidRPr="00EA2F8D">
        <w:t>elegate that affect the content of the PI, CMI or additional risk minimisation materials should be addressed in updated routine and/or additional risk minimisation materials and updated ASA and provided to the TGA for review and acceptance prior to product launch.</w:t>
      </w:r>
    </w:p>
    <w:p w14:paraId="6BF98C83" w14:textId="2186604E" w:rsidR="00DE111C" w:rsidRPr="00EA2F8D" w:rsidRDefault="00DE111C" w:rsidP="00EA2F8D">
      <w:pPr>
        <w:pStyle w:val="Numberbullet0"/>
      </w:pPr>
      <w:r w:rsidRPr="00EA2F8D">
        <w:t>Although t</w:t>
      </w:r>
      <w:r w:rsidR="00EA2F8D">
        <w:t>here are no plans to submit S</w:t>
      </w:r>
      <w:r w:rsidRPr="00EA2F8D">
        <w:t>tudies P20-390 and P21-824 to the TGA, the sponsor is requested to update the ASA with the relevant findings from the studies when they are available.</w:t>
      </w:r>
    </w:p>
    <w:bookmarkStart w:id="160" w:name="_Toc79487266"/>
    <w:p w14:paraId="5F906165" w14:textId="77777777" w:rsidR="00DE111C" w:rsidRPr="00577602" w:rsidRDefault="00DE111C" w:rsidP="00577602">
      <w:pPr>
        <w:pStyle w:val="Heading4"/>
      </w:pPr>
      <w:r w:rsidRPr="00577602">
        <w:rPr>
          <w:noProof/>
          <w:lang w:val="en-GB" w:eastAsia="en-GB"/>
        </w:rPr>
        <mc:AlternateContent>
          <mc:Choice Requires="wpi">
            <w:drawing>
              <wp:anchor distT="0" distB="0" distL="114300" distR="114300" simplePos="0" relativeHeight="251660288" behindDoc="0" locked="0" layoutInCell="1" allowOverlap="1" wp14:anchorId="68813873" wp14:editId="405F85BE">
                <wp:simplePos x="0" y="0"/>
                <wp:positionH relativeFrom="column">
                  <wp:posOffset>-2287040</wp:posOffset>
                </wp:positionH>
                <wp:positionV relativeFrom="paragraph">
                  <wp:posOffset>373080</wp:posOffset>
                </wp:positionV>
                <wp:extent cx="360" cy="360"/>
                <wp:effectExtent l="95250" t="152400" r="114300" b="152400"/>
                <wp:wrapNone/>
                <wp:docPr id="8" name="Ink 8"/>
                <wp:cNvGraphicFramePr/>
                <a:graphic xmlns:a="http://schemas.openxmlformats.org/drawingml/2006/main">
                  <a:graphicData uri="http://schemas.microsoft.com/office/word/2010/wordprocessingInk">
                    <w14:contentPart bwMode="auto" r:id="rId96">
                      <w14:nvContentPartPr>
                        <w14:cNvContentPartPr/>
                      </w14:nvContentPartPr>
                      <w14:xfrm>
                        <a:off x="0" y="0"/>
                        <a:ext cx="360" cy="360"/>
                      </w14:xfrm>
                    </w14:contentPart>
                  </a:graphicData>
                </a:graphic>
              </wp:anchor>
            </w:drawing>
          </mc:Choice>
          <mc:Fallback xmlns:oel="http://schemas.microsoft.com/office/2019/extlst">
            <w:pict>
              <v:shapetype w14:anchorId="3478FE0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184.35pt;margin-top:20.9pt;width:8.55pt;height:17.0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">
                <v:imagedata r:id="rId101" o:title=""/>
              </v:shape>
            </w:pict>
          </mc:Fallback>
        </mc:AlternateContent>
      </w:r>
      <w:r w:rsidRPr="00577602">
        <w:t>Wording for conditions of registration</w:t>
      </w:r>
      <w:bookmarkEnd w:id="160"/>
    </w:p>
    <w:p w14:paraId="40F5376F" w14:textId="22C5EA83" w:rsidR="00DE111C" w:rsidRPr="00577602" w:rsidRDefault="00DE111C" w:rsidP="00577602">
      <w:r w:rsidRPr="00577602">
        <w:rPr>
          <w:noProof/>
          <w:lang w:val="en-GB" w:eastAsia="en-GB"/>
        </w:rPr>
        <mc:AlternateContent>
          <mc:Choice Requires="wpi">
            <w:drawing>
              <wp:anchor distT="0" distB="0" distL="114300" distR="114300" simplePos="0" relativeHeight="251657216" behindDoc="0" locked="0" layoutInCell="1" allowOverlap="1" wp14:anchorId="2B9AAE6E" wp14:editId="682274B8">
                <wp:simplePos x="0" y="0"/>
                <wp:positionH relativeFrom="column">
                  <wp:posOffset>-2572880</wp:posOffset>
                </wp:positionH>
                <wp:positionV relativeFrom="paragraph">
                  <wp:posOffset>634035</wp:posOffset>
                </wp:positionV>
                <wp:extent cx="360" cy="4320"/>
                <wp:effectExtent l="95250" t="152400" r="114300" b="167640"/>
                <wp:wrapNone/>
                <wp:docPr id="11" name="Ink 11"/>
                <wp:cNvGraphicFramePr/>
                <a:graphic xmlns:a="http://schemas.openxmlformats.org/drawingml/2006/main">
                  <a:graphicData uri="http://schemas.microsoft.com/office/word/2010/wordprocessingInk">
                    <w14:contentPart bwMode="auto" r:id="rId102">
                      <w14:nvContentPartPr>
                        <w14:cNvContentPartPr/>
                      </w14:nvContentPartPr>
                      <w14:xfrm>
                        <a:off x="0" y="0"/>
                        <a:ext cx="360" cy="4320"/>
                      </w14:xfrm>
                    </w14:contentPart>
                  </a:graphicData>
                </a:graphic>
              </wp:anchor>
            </w:drawing>
          </mc:Choice>
          <mc:Fallback xmlns:oel="http://schemas.microsoft.com/office/2019/extlst">
            <w:pict>
              <v:shape w14:anchorId="02D8DFE2" id="Ink 11" o:spid="_x0000_s1026" type="#_x0000_t75" style="position:absolute;margin-left:-206.85pt;margin-top:40.6pt;width:8.55pt;height:18.9pt;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">
                <v:imagedata r:id="rId103" o:title=""/>
              </v:shape>
            </w:pict>
          </mc:Fallback>
        </mc:AlternateContent>
      </w:r>
      <w:r w:rsidRPr="00577602">
        <w:t>Any changes to which the sponsor has agreed should be included in a revised RMP and ASA. However, irrespective of whether or not they are included in the currently available version of the RMP document, the agreed changes become part of the risk management system.</w:t>
      </w:r>
    </w:p>
    <w:p w14:paraId="1A5C6BB4" w14:textId="77777777" w:rsidR="00DE111C" w:rsidRPr="00577602" w:rsidRDefault="00DE111C" w:rsidP="00577602">
      <w:r w:rsidRPr="00577602">
        <w:t xml:space="preserve">The suggested wording is: </w:t>
      </w:r>
    </w:p>
    <w:p w14:paraId="669C8BB7" w14:textId="77777777" w:rsidR="00DE111C" w:rsidRPr="00577602" w:rsidRDefault="00DE111C" w:rsidP="00577602">
      <w:pPr>
        <w:ind w:left="720"/>
      </w:pPr>
      <w:r w:rsidRPr="00577602">
        <w:t>The Rinvoq Core/EU RMP (version 4.3, dated June 2021; data lock point 23 July 2020), with Australian Specific Annex (version 5.0, dated July 2021), included with submission PM-2020-04791-1-1, to be revised to the satisfaction of the TGA, will be implemented in Australia.</w:t>
      </w:r>
    </w:p>
    <w:p w14:paraId="1EA8D595" w14:textId="47855276" w:rsidR="00DE111C" w:rsidRPr="00577602" w:rsidRDefault="00DE111C" w:rsidP="00577602">
      <w:r w:rsidRPr="00577602">
        <w:t xml:space="preserve">The following wording is recommended for the </w:t>
      </w:r>
      <w:r w:rsidR="00577602">
        <w:t>periodic safety update report (</w:t>
      </w:r>
      <w:r w:rsidRPr="00577602">
        <w:t>PSUR</w:t>
      </w:r>
      <w:r w:rsidR="00577602">
        <w:t>)</w:t>
      </w:r>
      <w:r w:rsidRPr="00577602">
        <w:t xml:space="preserve"> requirement:</w:t>
      </w:r>
    </w:p>
    <w:p w14:paraId="4E167066" w14:textId="77777777" w:rsidR="00DE111C" w:rsidRPr="00577602" w:rsidRDefault="00DE111C" w:rsidP="00577602">
      <w:pPr>
        <w:ind w:left="720"/>
      </w:pPr>
      <w:r w:rsidRPr="00577602">
        <w:t>An obligatory component of risk management plans is routine pharmacovigilance. Routine pharmacovigilance includes the submission of periodic safety update reports (PSURs).</w:t>
      </w:r>
    </w:p>
    <w:p w14:paraId="4DE2C688" w14:textId="77777777" w:rsidR="00DE111C" w:rsidRPr="00577602" w:rsidRDefault="00DE111C" w:rsidP="00577602">
      <w:pPr>
        <w:ind w:left="720"/>
      </w:pPr>
      <w:r w:rsidRPr="00577602">
        <w:t xml:space="preserve">Reports are to be provided in line with the current published list of EU reference dates and frequency of submission of PSURs until the period covered by such reports is not less than three years from the date of this approval letter. </w:t>
      </w:r>
    </w:p>
    <w:p w14:paraId="0FE72235" w14:textId="77777777" w:rsidR="00DE111C" w:rsidRPr="00577602" w:rsidRDefault="00DE111C" w:rsidP="00577602">
      <w:pPr>
        <w:ind w:left="720"/>
      </w:pPr>
      <w:r w:rsidRPr="00577602">
        <w:t xml:space="preserve">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 </w:t>
      </w:r>
    </w:p>
    <w:p w14:paraId="3117F3B7" w14:textId="77777777" w:rsidR="00DE111C" w:rsidRPr="00577602" w:rsidRDefault="00DE111C" w:rsidP="00577602">
      <w:pPr>
        <w:ind w:left="720"/>
        <w:rPr>
          <w:i/>
        </w:rPr>
      </w:pPr>
      <w:r w:rsidRPr="00577602">
        <w:lastRenderedPageBreak/>
        <w:t>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 Each report must have been prepared within ninety calendar days of the data lock point for that report</w:t>
      </w:r>
      <w:r w:rsidRPr="00577602">
        <w:rPr>
          <w:i/>
        </w:rPr>
        <w:t>.</w:t>
      </w:r>
    </w:p>
    <w:p w14:paraId="7EED909D" w14:textId="63DBB40D" w:rsidR="00DE111C" w:rsidRPr="000C4E01" w:rsidRDefault="00DE111C" w:rsidP="00577602">
      <w:r w:rsidRPr="000C4E01">
        <w:t xml:space="preserve">As the indications for </w:t>
      </w:r>
      <w:r w:rsidR="00577602" w:rsidRPr="000C4E01">
        <w:t xml:space="preserve">Rinvoq </w:t>
      </w:r>
      <w:r w:rsidRPr="000C4E01">
        <w:t>are being extended into a significantly different population and condition it should be included in the Black Triangle Scheme as a condition of registration. The following wording is recommended for the condition of registration:</w:t>
      </w:r>
    </w:p>
    <w:p w14:paraId="7AD1CEC4" w14:textId="738821F6" w:rsidR="00DE111C" w:rsidRPr="00362371" w:rsidRDefault="00577602" w:rsidP="00577602">
      <w:pPr>
        <w:ind w:left="720"/>
      </w:pPr>
      <w:r w:rsidRPr="00362371">
        <w:t xml:space="preserve">Rinvoq </w:t>
      </w:r>
      <w:r w:rsidR="00DE111C" w:rsidRPr="00362371">
        <w:t xml:space="preserve">(upadacitinib) is to be included in the Black Triangle Scheme. The PI and CMI for </w:t>
      </w:r>
      <w:r w:rsidRPr="00362371">
        <w:t xml:space="preserve">Rinvoq </w:t>
      </w:r>
      <w:r w:rsidR="00DE111C" w:rsidRPr="00362371">
        <w:t>must include the black triangle symbol and mandatory accompanying text for five years, which starts from the date the new indication is registered.</w:t>
      </w:r>
    </w:p>
    <w:p w14:paraId="39433BB1" w14:textId="0C23467D" w:rsidR="008E7846" w:rsidRDefault="00AA0ED0" w:rsidP="008E7846">
      <w:pPr>
        <w:pStyle w:val="Heading3"/>
      </w:pPr>
      <w:bookmarkStart w:id="161" w:name="_Toc129093308"/>
      <w:r>
        <w:t>Risk-benefit a</w:t>
      </w:r>
      <w:r w:rsidR="008E7846">
        <w:t>nalysis</w:t>
      </w:r>
      <w:bookmarkEnd w:id="153"/>
      <w:bookmarkEnd w:id="154"/>
      <w:bookmarkEnd w:id="161"/>
    </w:p>
    <w:p w14:paraId="0C9AD799" w14:textId="3B284C28" w:rsidR="0074163C" w:rsidRDefault="0074163C" w:rsidP="0074163C">
      <w:pPr>
        <w:pStyle w:val="Heading4"/>
      </w:pPr>
      <w:bookmarkStart w:id="162" w:name="_Toc98931932"/>
      <w:r>
        <w:t>Delegate’s considerations</w:t>
      </w:r>
      <w:bookmarkEnd w:id="162"/>
    </w:p>
    <w:p w14:paraId="3495F30E" w14:textId="366C15D9" w:rsidR="00D84569" w:rsidRPr="00F14DC7" w:rsidRDefault="00D84569" w:rsidP="00362371">
      <w:pPr>
        <w:rPr>
          <w:rFonts w:eastAsiaTheme="minorHAnsi"/>
          <w:color w:val="000000"/>
          <w:lang w:val="en-US"/>
        </w:rPr>
      </w:pPr>
      <w:r w:rsidRPr="00257D60">
        <w:t>Atopic dermatitis, also called eczema, is a chronic, relapsing, pruritic, inflammatory skin disease that occurs more frequently in children than adults. The diagnosis of atopic dermatitis is made clinically and is based on history, morphology and distribution of skin lesions, and associated clinical signs and symptoms. Because of the broad differential diagnosis, it is important to exclude other conditions when diagnosing atopic dermatitis, such as other forms of eczema, psoriasis, and scabies; biopsy may be necessary in these cases. The most widely used diagnostic criteria are those developed by Hanifin and Rajka</w:t>
      </w:r>
      <w:r w:rsidR="00257D60">
        <w:t>;</w:t>
      </w:r>
      <w:r w:rsidR="00257D60" w:rsidRPr="00D84569">
        <w:rPr>
          <w:vertAlign w:val="superscript"/>
        </w:rPr>
        <w:fldChar w:fldCharType="begin"/>
      </w:r>
      <w:r w:rsidR="00257D60" w:rsidRPr="00D84569">
        <w:rPr>
          <w:vertAlign w:val="superscript"/>
        </w:rPr>
        <w:instrText xml:space="preserve"> NOTEREF _Ref120700524 \h </w:instrText>
      </w:r>
      <w:r w:rsidR="00257D60">
        <w:rPr>
          <w:vertAlign w:val="superscript"/>
        </w:rPr>
        <w:instrText xml:space="preserve"> \* MERGEFORMAT </w:instrText>
      </w:r>
      <w:r w:rsidR="00257D60" w:rsidRPr="00D84569">
        <w:rPr>
          <w:vertAlign w:val="superscript"/>
        </w:rPr>
      </w:r>
      <w:r w:rsidR="00257D60" w:rsidRPr="00D84569">
        <w:rPr>
          <w:vertAlign w:val="superscript"/>
        </w:rPr>
        <w:fldChar w:fldCharType="separate"/>
      </w:r>
      <w:r w:rsidR="00B51532">
        <w:rPr>
          <w:vertAlign w:val="superscript"/>
        </w:rPr>
        <w:t>1</w:t>
      </w:r>
      <w:r w:rsidR="00257D60" w:rsidRPr="00D84569">
        <w:rPr>
          <w:vertAlign w:val="superscript"/>
        </w:rPr>
        <w:fldChar w:fldCharType="end"/>
      </w:r>
      <w:r w:rsidR="00257D60" w:rsidRPr="00257D60">
        <w:t xml:space="preserve"> (see</w:t>
      </w:r>
      <w:r w:rsidR="00257D60" w:rsidRPr="00257D60">
        <w:rPr>
          <w:sz w:val="24"/>
        </w:rPr>
        <w:t xml:space="preserve"> </w:t>
      </w:r>
      <w:r w:rsidR="00257D60" w:rsidRPr="00362371">
        <w:fldChar w:fldCharType="begin"/>
      </w:r>
      <w:r w:rsidR="00257D60" w:rsidRPr="00362371">
        <w:instrText xml:space="preserve"> REF _Ref120615213 \h </w:instrText>
      </w:r>
      <w:r w:rsidR="000E4896">
        <w:instrText xml:space="preserve"> \* MERGEFORMAT </w:instrText>
      </w:r>
      <w:r w:rsidR="00257D60" w:rsidRPr="00362371">
        <w:fldChar w:fldCharType="separate"/>
      </w:r>
      <w:r w:rsidR="00B51532">
        <w:t>Table 1</w:t>
      </w:r>
      <w:r w:rsidR="00257D60" w:rsidRPr="00362371">
        <w:fldChar w:fldCharType="end"/>
      </w:r>
      <w:r w:rsidR="00257D60" w:rsidRPr="00362371">
        <w:t xml:space="preserve"> (above</w:t>
      </w:r>
      <w:r w:rsidR="00257D60">
        <w:t>) for a summary of these criteria)</w:t>
      </w:r>
      <w:r>
        <w:t>.</w:t>
      </w:r>
    </w:p>
    <w:p w14:paraId="779A3E6B" w14:textId="70D1B39E" w:rsidR="00D84569" w:rsidRDefault="00D84569">
      <w:r w:rsidRPr="003D4637">
        <w:t xml:space="preserve">The severity of </w:t>
      </w:r>
      <w:r w:rsidR="00257D60">
        <w:t xml:space="preserve">atopic dermatitis </w:t>
      </w:r>
      <w:r w:rsidRPr="003D4637">
        <w:t>is usually determined based on clinician assessment, including estimation of</w:t>
      </w:r>
      <w:r w:rsidRPr="003D4637">
        <w:rPr>
          <w:spacing w:val="1"/>
        </w:rPr>
        <w:t xml:space="preserve"> </w:t>
      </w:r>
      <w:r w:rsidRPr="003D4637">
        <w:t>the proportion of body surface area involved and subjective a</w:t>
      </w:r>
      <w:r w:rsidR="00257D60">
        <w:t xml:space="preserve">ssessment of signs and symptoms. One </w:t>
      </w:r>
      <w:r w:rsidRPr="003D4637">
        <w:t xml:space="preserve">third of </w:t>
      </w:r>
      <w:r w:rsidR="00257D60">
        <w:t>atopic dermatitis patients have moderate</w:t>
      </w:r>
      <w:r w:rsidR="00257D60">
        <w:noBreakHyphen/>
        <w:t>to</w:t>
      </w:r>
      <w:r w:rsidR="00257D60">
        <w:noBreakHyphen/>
      </w:r>
      <w:r w:rsidRPr="003D4637">
        <w:t>severe disease that is often accompanied by negative</w:t>
      </w:r>
      <w:r w:rsidR="00B51532">
        <w:t xml:space="preserve"> </w:t>
      </w:r>
      <w:r w:rsidR="00B51532">
        <w:rPr>
          <w:spacing w:val="-46"/>
        </w:rPr>
        <w:t xml:space="preserve"> </w:t>
      </w:r>
      <w:r w:rsidR="00257D60">
        <w:t>impact on health</w:t>
      </w:r>
      <w:r w:rsidR="00257D60">
        <w:noBreakHyphen/>
      </w:r>
      <w:r w:rsidRPr="003D4637">
        <w:t>related quality of life, including fatigue, work productivity, and everyday</w:t>
      </w:r>
      <w:r w:rsidRPr="003D4637">
        <w:rPr>
          <w:spacing w:val="1"/>
        </w:rPr>
        <w:t xml:space="preserve"> </w:t>
      </w:r>
      <w:r w:rsidRPr="003D4637">
        <w:t>activities as well as suicidal</w:t>
      </w:r>
      <w:r w:rsidRPr="003D4637">
        <w:rPr>
          <w:spacing w:val="-2"/>
        </w:rPr>
        <w:t xml:space="preserve"> </w:t>
      </w:r>
      <w:r w:rsidRPr="003D4637">
        <w:t>ideation,</w:t>
      </w:r>
      <w:r w:rsidRPr="003D4637">
        <w:rPr>
          <w:spacing w:val="-1"/>
        </w:rPr>
        <w:t xml:space="preserve"> </w:t>
      </w:r>
      <w:r w:rsidR="00257D60">
        <w:rPr>
          <w:spacing w:val="-1"/>
        </w:rPr>
        <w:t xml:space="preserve">and </w:t>
      </w:r>
      <w:r w:rsidRPr="003D4637">
        <w:t>sleep</w:t>
      </w:r>
      <w:r w:rsidRPr="003D4637">
        <w:rPr>
          <w:spacing w:val="-2"/>
        </w:rPr>
        <w:t xml:space="preserve"> </w:t>
      </w:r>
      <w:r w:rsidR="00257D60">
        <w:t>disturbance;</w:t>
      </w:r>
      <w:r w:rsidR="00257D60" w:rsidRPr="00257D60">
        <w:rPr>
          <w:vertAlign w:val="superscript"/>
        </w:rPr>
        <w:fldChar w:fldCharType="begin"/>
      </w:r>
      <w:r w:rsidR="00257D60" w:rsidRPr="00257D60">
        <w:rPr>
          <w:vertAlign w:val="superscript"/>
        </w:rPr>
        <w:instrText xml:space="preserve"> NOTEREF _Ref125534230 \h </w:instrText>
      </w:r>
      <w:r w:rsidR="00257D60">
        <w:rPr>
          <w:vertAlign w:val="superscript"/>
        </w:rPr>
        <w:instrText xml:space="preserve"> \* MERGEFORMAT </w:instrText>
      </w:r>
      <w:r w:rsidR="00257D60" w:rsidRPr="00257D60">
        <w:rPr>
          <w:vertAlign w:val="superscript"/>
        </w:rPr>
      </w:r>
      <w:r w:rsidR="00257D60" w:rsidRPr="00257D60">
        <w:rPr>
          <w:vertAlign w:val="superscript"/>
        </w:rPr>
        <w:fldChar w:fldCharType="separate"/>
      </w:r>
      <w:r w:rsidR="00B51532">
        <w:rPr>
          <w:vertAlign w:val="superscript"/>
        </w:rPr>
        <w:t>3</w:t>
      </w:r>
      <w:r w:rsidR="00257D60" w:rsidRPr="00257D60">
        <w:rPr>
          <w:vertAlign w:val="superscript"/>
        </w:rPr>
        <w:fldChar w:fldCharType="end"/>
      </w:r>
      <w:r w:rsidR="00257D60" w:rsidRPr="00257D60">
        <w:rPr>
          <w:vertAlign w:val="superscript"/>
        </w:rPr>
        <w:t>,</w:t>
      </w:r>
      <w:r w:rsidR="00257D60" w:rsidRPr="00257D60">
        <w:rPr>
          <w:vertAlign w:val="superscript"/>
        </w:rPr>
        <w:fldChar w:fldCharType="begin"/>
      </w:r>
      <w:r w:rsidR="00257D60" w:rsidRPr="00257D60">
        <w:rPr>
          <w:vertAlign w:val="superscript"/>
        </w:rPr>
        <w:instrText xml:space="preserve"> NOTEREF _Ref125534235 \h </w:instrText>
      </w:r>
      <w:r w:rsidR="00257D60">
        <w:rPr>
          <w:vertAlign w:val="superscript"/>
        </w:rPr>
        <w:instrText xml:space="preserve"> \* MERGEFORMAT </w:instrText>
      </w:r>
      <w:r w:rsidR="00257D60" w:rsidRPr="00257D60">
        <w:rPr>
          <w:vertAlign w:val="superscript"/>
        </w:rPr>
      </w:r>
      <w:r w:rsidR="00257D60" w:rsidRPr="00257D60">
        <w:rPr>
          <w:vertAlign w:val="superscript"/>
        </w:rPr>
        <w:fldChar w:fldCharType="separate"/>
      </w:r>
      <w:r w:rsidR="00B51532">
        <w:rPr>
          <w:vertAlign w:val="superscript"/>
        </w:rPr>
        <w:t>4</w:t>
      </w:r>
      <w:r w:rsidR="00257D60" w:rsidRPr="00257D60">
        <w:rPr>
          <w:vertAlign w:val="superscript"/>
        </w:rPr>
        <w:fldChar w:fldCharType="end"/>
      </w:r>
      <w:r w:rsidR="00257D60" w:rsidRPr="00257D60">
        <w:rPr>
          <w:vertAlign w:val="superscript"/>
        </w:rPr>
        <w:t>,</w:t>
      </w:r>
      <w:r w:rsidR="00257D60" w:rsidRPr="00257D60">
        <w:rPr>
          <w:vertAlign w:val="superscript"/>
        </w:rPr>
        <w:fldChar w:fldCharType="begin"/>
      </w:r>
      <w:r w:rsidR="00257D60" w:rsidRPr="00257D60">
        <w:rPr>
          <w:vertAlign w:val="superscript"/>
        </w:rPr>
        <w:instrText xml:space="preserve"> NOTEREF _Ref125534238 \h </w:instrText>
      </w:r>
      <w:r w:rsidR="00257D60">
        <w:rPr>
          <w:vertAlign w:val="superscript"/>
        </w:rPr>
        <w:instrText xml:space="preserve"> \* MERGEFORMAT </w:instrText>
      </w:r>
      <w:r w:rsidR="00257D60" w:rsidRPr="00257D60">
        <w:rPr>
          <w:vertAlign w:val="superscript"/>
        </w:rPr>
      </w:r>
      <w:r w:rsidR="00257D60" w:rsidRPr="00257D60">
        <w:rPr>
          <w:vertAlign w:val="superscript"/>
        </w:rPr>
        <w:fldChar w:fldCharType="separate"/>
      </w:r>
      <w:r w:rsidR="00B51532">
        <w:rPr>
          <w:vertAlign w:val="superscript"/>
        </w:rPr>
        <w:t>5</w:t>
      </w:r>
      <w:r w:rsidR="00257D60" w:rsidRPr="00257D60">
        <w:rPr>
          <w:vertAlign w:val="superscript"/>
        </w:rPr>
        <w:fldChar w:fldCharType="end"/>
      </w:r>
      <w:r w:rsidRPr="003D4637">
        <w:rPr>
          <w:spacing w:val="-1"/>
        </w:rPr>
        <w:t xml:space="preserve"> </w:t>
      </w:r>
      <w:r>
        <w:t xml:space="preserve">and, </w:t>
      </w:r>
      <w:r w:rsidRPr="003D4637">
        <w:t>an increased incidenc</w:t>
      </w:r>
      <w:r w:rsidR="00257D60">
        <w:t>e of attention deficit hyperactivity disorder</w:t>
      </w:r>
      <w:r w:rsidRPr="003D4637">
        <w:t xml:space="preserve"> in children</w:t>
      </w:r>
      <w:r>
        <w:t>.</w:t>
      </w:r>
    </w:p>
    <w:p w14:paraId="735990CB" w14:textId="263D5344" w:rsidR="00D84569" w:rsidRDefault="00D84569" w:rsidP="00257D60">
      <w:r w:rsidRPr="008E4ABA">
        <w:t xml:space="preserve">Certain age-related variations in disease presentation are characteristic of </w:t>
      </w:r>
      <w:r w:rsidR="00257D60">
        <w:t>atopic dermatitis</w:t>
      </w:r>
      <w:r>
        <w:t>:</w:t>
      </w:r>
    </w:p>
    <w:p w14:paraId="4E14BAC0" w14:textId="43E5D483" w:rsidR="00D84569" w:rsidRPr="00257D60" w:rsidRDefault="00257D60" w:rsidP="00257D60">
      <w:pPr>
        <w:pStyle w:val="ListBullet"/>
      </w:pPr>
      <w:r>
        <w:t>i</w:t>
      </w:r>
      <w:r w:rsidR="00D84569" w:rsidRPr="00257D60">
        <w:t>nfants generally experience highly pruritic erythematous lesions on the face and scalp;</w:t>
      </w:r>
    </w:p>
    <w:p w14:paraId="0C4D2D19" w14:textId="5C6A0442" w:rsidR="00D84569" w:rsidRPr="00257D60" w:rsidRDefault="00257D60" w:rsidP="00257D60">
      <w:pPr>
        <w:pStyle w:val="ListBullet"/>
      </w:pPr>
      <w:r>
        <w:t>o</w:t>
      </w:r>
      <w:r w:rsidR="00D84569" w:rsidRPr="00257D60">
        <w:t>lder children exhibit more lichenified lesions typical of chronic disease involving the extremities</w:t>
      </w:r>
      <w:r>
        <w:t>;</w:t>
      </w:r>
      <w:r w:rsidRPr="00257D60">
        <w:rPr>
          <w:vertAlign w:val="superscript"/>
        </w:rPr>
        <w:fldChar w:fldCharType="begin"/>
      </w:r>
      <w:r w:rsidRPr="00257D60">
        <w:rPr>
          <w:vertAlign w:val="superscript"/>
        </w:rPr>
        <w:instrText xml:space="preserve"> NOTEREF _Ref125534390 \h </w:instrText>
      </w:r>
      <w:r>
        <w:rPr>
          <w:vertAlign w:val="superscript"/>
        </w:rPr>
        <w:instrText xml:space="preserve"> \* MERGEFORMAT </w:instrText>
      </w:r>
      <w:r w:rsidRPr="00257D60">
        <w:rPr>
          <w:vertAlign w:val="superscript"/>
        </w:rPr>
      </w:r>
      <w:r w:rsidRPr="00257D60">
        <w:rPr>
          <w:vertAlign w:val="superscript"/>
        </w:rPr>
        <w:fldChar w:fldCharType="separate"/>
      </w:r>
      <w:r w:rsidR="00B51532">
        <w:rPr>
          <w:vertAlign w:val="superscript"/>
        </w:rPr>
        <w:t>6</w:t>
      </w:r>
      <w:r w:rsidRPr="00257D60">
        <w:rPr>
          <w:vertAlign w:val="superscript"/>
        </w:rPr>
        <w:fldChar w:fldCharType="end"/>
      </w:r>
      <w:r w:rsidR="00D84569" w:rsidRPr="00257D60">
        <w:t xml:space="preserve"> </w:t>
      </w:r>
      <w:r>
        <w:t>and</w:t>
      </w:r>
    </w:p>
    <w:p w14:paraId="07C7C74A" w14:textId="07ED5F80" w:rsidR="00D84569" w:rsidRPr="00257D60" w:rsidRDefault="00257D60" w:rsidP="00257D60">
      <w:pPr>
        <w:pStyle w:val="ListBullet"/>
      </w:pPr>
      <w:r>
        <w:t>i</w:t>
      </w:r>
      <w:r w:rsidR="00D84569" w:rsidRPr="00257D60">
        <w:t xml:space="preserve">n adolescents and adults, </w:t>
      </w:r>
      <w:r>
        <w:t xml:space="preserve">atopic dermatitis </w:t>
      </w:r>
      <w:r w:rsidR="00D84569" w:rsidRPr="00257D60">
        <w:t>typically involves flexural folds, face, neck, upper arms and back, and dorsal surfaces of the hands and feet</w:t>
      </w:r>
      <w:r>
        <w:t>.</w:t>
      </w:r>
    </w:p>
    <w:p w14:paraId="163525FF" w14:textId="45EEABD8" w:rsidR="00D84569" w:rsidRDefault="00257D60" w:rsidP="00D84569">
      <w:pPr>
        <w:pStyle w:val="BodyText"/>
        <w:spacing w:before="121"/>
        <w:ind w:right="771"/>
        <w:rPr>
          <w:sz w:val="22"/>
          <w:szCs w:val="22"/>
        </w:rPr>
      </w:pPr>
      <w:r>
        <w:rPr>
          <w:sz w:val="22"/>
          <w:szCs w:val="22"/>
        </w:rPr>
        <w:t>In general:</w:t>
      </w:r>
    </w:p>
    <w:p w14:paraId="338D8ED0" w14:textId="52CC1103" w:rsidR="00257D60" w:rsidRDefault="00257D60" w:rsidP="00257D60">
      <w:pPr>
        <w:pStyle w:val="ListBullet"/>
      </w:pPr>
      <w:r>
        <w:t>atopic dermatitis</w:t>
      </w:r>
      <w:r w:rsidR="00D84569">
        <w:t xml:space="preserve"> </w:t>
      </w:r>
      <w:r w:rsidR="00D84569" w:rsidRPr="00467065">
        <w:t>begins</w:t>
      </w:r>
      <w:r w:rsidR="00D84569" w:rsidRPr="00467065">
        <w:rPr>
          <w:spacing w:val="5"/>
        </w:rPr>
        <w:t xml:space="preserve"> </w:t>
      </w:r>
      <w:r w:rsidR="00D84569" w:rsidRPr="00467065">
        <w:t>in</w:t>
      </w:r>
      <w:r w:rsidR="00D84569" w:rsidRPr="00467065">
        <w:rPr>
          <w:spacing w:val="3"/>
        </w:rPr>
        <w:t xml:space="preserve"> </w:t>
      </w:r>
      <w:r w:rsidR="00D84569" w:rsidRPr="00467065">
        <w:t>childhood</w:t>
      </w:r>
      <w:r w:rsidR="00D84569" w:rsidRPr="00467065">
        <w:rPr>
          <w:spacing w:val="4"/>
        </w:rPr>
        <w:t xml:space="preserve"> </w:t>
      </w:r>
      <w:r w:rsidR="00D84569" w:rsidRPr="00467065">
        <w:t>as</w:t>
      </w:r>
      <w:r w:rsidR="00D84569" w:rsidRPr="00467065">
        <w:rPr>
          <w:spacing w:val="4"/>
        </w:rPr>
        <w:t xml:space="preserve"> </w:t>
      </w:r>
      <w:r w:rsidR="00D84569" w:rsidRPr="00467065">
        <w:t>indicated</w:t>
      </w:r>
      <w:r w:rsidR="00D84569" w:rsidRPr="00467065">
        <w:rPr>
          <w:spacing w:val="4"/>
        </w:rPr>
        <w:t xml:space="preserve"> </w:t>
      </w:r>
      <w:r w:rsidR="00D84569" w:rsidRPr="00467065">
        <w:t>by</w:t>
      </w:r>
      <w:r w:rsidR="00D84569" w:rsidRPr="00467065">
        <w:rPr>
          <w:spacing w:val="3"/>
        </w:rPr>
        <w:t xml:space="preserve"> </w:t>
      </w:r>
      <w:r w:rsidR="00D84569" w:rsidRPr="00467065">
        <w:t>its</w:t>
      </w:r>
      <w:r w:rsidR="00D84569" w:rsidRPr="00467065">
        <w:rPr>
          <w:spacing w:val="5"/>
        </w:rPr>
        <w:t xml:space="preserve"> </w:t>
      </w:r>
      <w:r w:rsidR="00D84569" w:rsidRPr="00467065">
        <w:t>higher</w:t>
      </w:r>
      <w:r w:rsidR="00D84569" w:rsidRPr="00467065">
        <w:rPr>
          <w:spacing w:val="4"/>
        </w:rPr>
        <w:t xml:space="preserve"> </w:t>
      </w:r>
      <w:r w:rsidR="00D84569" w:rsidRPr="00467065">
        <w:t>prevalence</w:t>
      </w:r>
      <w:r w:rsidR="00D84569" w:rsidRPr="00467065">
        <w:rPr>
          <w:spacing w:val="4"/>
        </w:rPr>
        <w:t xml:space="preserve"> </w:t>
      </w:r>
      <w:r w:rsidR="00D84569" w:rsidRPr="00467065">
        <w:t>rate</w:t>
      </w:r>
      <w:r w:rsidR="00D84569" w:rsidRPr="00467065">
        <w:rPr>
          <w:spacing w:val="1"/>
        </w:rPr>
        <w:t xml:space="preserve"> </w:t>
      </w:r>
      <w:r>
        <w:t>among children (6% to</w:t>
      </w:r>
      <w:r w:rsidR="00D84569" w:rsidRPr="00467065">
        <w:t xml:space="preserve"> 14%) </w:t>
      </w:r>
      <w:r>
        <w:t>relative to adults (3.2% to</w:t>
      </w:r>
      <w:r w:rsidR="00D84569" w:rsidRPr="00467065">
        <w:t xml:space="preserve"> 10.2%)</w:t>
      </w:r>
      <w:r>
        <w:t>;</w:t>
      </w:r>
      <w:r w:rsidRPr="00257D60">
        <w:rPr>
          <w:vertAlign w:val="superscript"/>
        </w:rPr>
        <w:fldChar w:fldCharType="begin"/>
      </w:r>
      <w:r w:rsidRPr="00257D60">
        <w:rPr>
          <w:vertAlign w:val="superscript"/>
        </w:rPr>
        <w:instrText xml:space="preserve"> NOTEREF _Ref125534477 \h </w:instrText>
      </w:r>
      <w:r>
        <w:rPr>
          <w:vertAlign w:val="superscript"/>
        </w:rPr>
        <w:instrText xml:space="preserve"> \* MERGEFORMAT </w:instrText>
      </w:r>
      <w:r w:rsidRPr="00257D60">
        <w:rPr>
          <w:vertAlign w:val="superscript"/>
        </w:rPr>
      </w:r>
      <w:r w:rsidRPr="00257D60">
        <w:rPr>
          <w:vertAlign w:val="superscript"/>
        </w:rPr>
        <w:fldChar w:fldCharType="separate"/>
      </w:r>
      <w:r w:rsidR="00B51532">
        <w:rPr>
          <w:vertAlign w:val="superscript"/>
        </w:rPr>
        <w:t>9</w:t>
      </w:r>
      <w:r w:rsidRPr="00257D60">
        <w:rPr>
          <w:vertAlign w:val="superscript"/>
        </w:rPr>
        <w:fldChar w:fldCharType="end"/>
      </w:r>
      <w:r w:rsidRPr="00257D60">
        <w:rPr>
          <w:vertAlign w:val="superscript"/>
        </w:rPr>
        <w:t>,</w:t>
      </w:r>
      <w:r w:rsidRPr="00257D60">
        <w:rPr>
          <w:vertAlign w:val="superscript"/>
        </w:rPr>
        <w:fldChar w:fldCharType="begin"/>
      </w:r>
      <w:r w:rsidRPr="00257D60">
        <w:rPr>
          <w:vertAlign w:val="superscript"/>
        </w:rPr>
        <w:instrText xml:space="preserve"> NOTEREF _Ref125534480 \h </w:instrText>
      </w:r>
      <w:r>
        <w:rPr>
          <w:vertAlign w:val="superscript"/>
        </w:rPr>
        <w:instrText xml:space="preserve"> \* MERGEFORMAT </w:instrText>
      </w:r>
      <w:r w:rsidRPr="00257D60">
        <w:rPr>
          <w:vertAlign w:val="superscript"/>
        </w:rPr>
      </w:r>
      <w:r w:rsidRPr="00257D60">
        <w:rPr>
          <w:vertAlign w:val="superscript"/>
        </w:rPr>
        <w:fldChar w:fldCharType="separate"/>
      </w:r>
      <w:r w:rsidR="00B51532">
        <w:rPr>
          <w:vertAlign w:val="superscript"/>
        </w:rPr>
        <w:t>10</w:t>
      </w:r>
      <w:r w:rsidRPr="00257D60">
        <w:rPr>
          <w:vertAlign w:val="superscript"/>
        </w:rPr>
        <w:fldChar w:fldCharType="end"/>
      </w:r>
    </w:p>
    <w:p w14:paraId="098D5775" w14:textId="4615A2F7" w:rsidR="005B2519" w:rsidRDefault="00D84569" w:rsidP="00D93E1E">
      <w:pPr>
        <w:pStyle w:val="ListBullet2"/>
      </w:pPr>
      <w:r>
        <w:t>t</w:t>
      </w:r>
      <w:r w:rsidRPr="00467065">
        <w:t>he</w:t>
      </w:r>
      <w:r w:rsidRPr="005B2519">
        <w:rPr>
          <w:spacing w:val="1"/>
        </w:rPr>
        <w:t xml:space="preserve"> </w:t>
      </w:r>
      <w:r w:rsidRPr="00467065">
        <w:t>population prevalence of eczema in Australia was estimated to be 16% in 4-year olds and 20.3%</w:t>
      </w:r>
      <w:r w:rsidR="00B51532">
        <w:t xml:space="preserve"> </w:t>
      </w:r>
      <w:r w:rsidRPr="00467065">
        <w:t>in</w:t>
      </w:r>
      <w:r w:rsidRPr="005B2519">
        <w:rPr>
          <w:spacing w:val="-3"/>
        </w:rPr>
        <w:t xml:space="preserve"> </w:t>
      </w:r>
      <w:r w:rsidR="00257D60">
        <w:t>1</w:t>
      </w:r>
      <w:r w:rsidR="00257D60">
        <w:noBreakHyphen/>
        <w:t>year olds;</w:t>
      </w:r>
      <w:r w:rsidR="005B2519" w:rsidRPr="005B2519">
        <w:rPr>
          <w:vertAlign w:val="superscript"/>
        </w:rPr>
        <w:fldChar w:fldCharType="begin"/>
      </w:r>
      <w:r w:rsidR="005B2519" w:rsidRPr="005B2519">
        <w:rPr>
          <w:vertAlign w:val="superscript"/>
        </w:rPr>
        <w:instrText xml:space="preserve"> NOTEREF _Ref125534629 \h </w:instrText>
      </w:r>
      <w:r w:rsidR="005B2519">
        <w:rPr>
          <w:vertAlign w:val="superscript"/>
        </w:rPr>
        <w:instrText xml:space="preserve"> \* MERGEFORMAT </w:instrText>
      </w:r>
      <w:r w:rsidR="005B2519" w:rsidRPr="005B2519">
        <w:rPr>
          <w:vertAlign w:val="superscript"/>
        </w:rPr>
      </w:r>
      <w:r w:rsidR="005B2519" w:rsidRPr="005B2519">
        <w:rPr>
          <w:vertAlign w:val="superscript"/>
        </w:rPr>
        <w:fldChar w:fldCharType="separate"/>
      </w:r>
      <w:r w:rsidR="00B51532">
        <w:rPr>
          <w:vertAlign w:val="superscript"/>
        </w:rPr>
        <w:t>12</w:t>
      </w:r>
      <w:r w:rsidR="005B2519" w:rsidRPr="005B2519">
        <w:rPr>
          <w:vertAlign w:val="superscript"/>
        </w:rPr>
        <w:fldChar w:fldCharType="end"/>
      </w:r>
    </w:p>
    <w:p w14:paraId="04E8136A" w14:textId="17943C25" w:rsidR="00D84569" w:rsidRPr="005B2519" w:rsidRDefault="00D84569" w:rsidP="00D93E1E">
      <w:pPr>
        <w:pStyle w:val="ListBullet2"/>
      </w:pPr>
      <w:r w:rsidRPr="005B2519">
        <w:t>severe lesions are more frequent</w:t>
      </w:r>
      <w:r w:rsidRPr="005B2519">
        <w:rPr>
          <w:spacing w:val="1"/>
        </w:rPr>
        <w:t xml:space="preserve"> </w:t>
      </w:r>
      <w:r w:rsidRPr="005B2519">
        <w:t>in</w:t>
      </w:r>
      <w:r w:rsidRPr="005B2519">
        <w:rPr>
          <w:spacing w:val="-3"/>
        </w:rPr>
        <w:t xml:space="preserve"> </w:t>
      </w:r>
      <w:r w:rsidRPr="005B2519">
        <w:t>adults than</w:t>
      </w:r>
      <w:r w:rsidRPr="005B2519">
        <w:rPr>
          <w:spacing w:val="-2"/>
        </w:rPr>
        <w:t xml:space="preserve"> </w:t>
      </w:r>
      <w:r w:rsidRPr="005B2519">
        <w:t>in</w:t>
      </w:r>
      <w:r w:rsidRPr="005B2519">
        <w:rPr>
          <w:spacing w:val="-2"/>
        </w:rPr>
        <w:t xml:space="preserve"> </w:t>
      </w:r>
      <w:r w:rsidRPr="005B2519">
        <w:t>children</w:t>
      </w:r>
      <w:r w:rsidR="005B2519">
        <w:t>.</w:t>
      </w:r>
      <w:r w:rsidR="00257D60" w:rsidRPr="005B2519">
        <w:rPr>
          <w:vertAlign w:val="superscript"/>
        </w:rPr>
        <w:fldChar w:fldCharType="begin"/>
      </w:r>
      <w:r w:rsidR="00257D60" w:rsidRPr="005B2519">
        <w:rPr>
          <w:vertAlign w:val="superscript"/>
        </w:rPr>
        <w:instrText xml:space="preserve"> NOTEREF _Ref125534494 \h </w:instrText>
      </w:r>
      <w:r w:rsidR="005B2519">
        <w:rPr>
          <w:vertAlign w:val="superscript"/>
        </w:rPr>
        <w:instrText xml:space="preserve"> \* MERGEFORMAT </w:instrText>
      </w:r>
      <w:r w:rsidR="00257D60" w:rsidRPr="005B2519">
        <w:rPr>
          <w:vertAlign w:val="superscript"/>
        </w:rPr>
      </w:r>
      <w:r w:rsidR="00257D60" w:rsidRPr="005B2519">
        <w:rPr>
          <w:vertAlign w:val="superscript"/>
        </w:rPr>
        <w:fldChar w:fldCharType="separate"/>
      </w:r>
      <w:r w:rsidR="00B51532">
        <w:rPr>
          <w:vertAlign w:val="superscript"/>
        </w:rPr>
        <w:t>7</w:t>
      </w:r>
      <w:r w:rsidR="00257D60" w:rsidRPr="005B2519">
        <w:rPr>
          <w:vertAlign w:val="superscript"/>
        </w:rPr>
        <w:fldChar w:fldCharType="end"/>
      </w:r>
      <w:r w:rsidR="005B2519" w:rsidRPr="005B2519">
        <w:rPr>
          <w:vertAlign w:val="superscript"/>
        </w:rPr>
        <w:t>,</w:t>
      </w:r>
      <w:r w:rsidR="00257D60" w:rsidRPr="005B2519">
        <w:rPr>
          <w:vertAlign w:val="superscript"/>
        </w:rPr>
        <w:fldChar w:fldCharType="begin"/>
      </w:r>
      <w:r w:rsidR="00257D60" w:rsidRPr="005B2519">
        <w:rPr>
          <w:vertAlign w:val="superscript"/>
        </w:rPr>
        <w:instrText xml:space="preserve"> NOTEREF _Ref125534497 \h </w:instrText>
      </w:r>
      <w:r w:rsidR="005B2519">
        <w:rPr>
          <w:vertAlign w:val="superscript"/>
        </w:rPr>
        <w:instrText xml:space="preserve"> \* MERGEFORMAT </w:instrText>
      </w:r>
      <w:r w:rsidR="00257D60" w:rsidRPr="005B2519">
        <w:rPr>
          <w:vertAlign w:val="superscript"/>
        </w:rPr>
      </w:r>
      <w:r w:rsidR="00257D60" w:rsidRPr="005B2519">
        <w:rPr>
          <w:vertAlign w:val="superscript"/>
        </w:rPr>
        <w:fldChar w:fldCharType="separate"/>
      </w:r>
      <w:r w:rsidR="00B51532">
        <w:rPr>
          <w:vertAlign w:val="superscript"/>
        </w:rPr>
        <w:t>8</w:t>
      </w:r>
      <w:r w:rsidR="00257D60" w:rsidRPr="005B2519">
        <w:rPr>
          <w:vertAlign w:val="superscript"/>
        </w:rPr>
        <w:fldChar w:fldCharType="end"/>
      </w:r>
    </w:p>
    <w:p w14:paraId="563D86B9" w14:textId="415744F2" w:rsidR="00D84569" w:rsidRPr="00D15052" w:rsidRDefault="00D84569" w:rsidP="005B2519">
      <w:r w:rsidRPr="00D15052">
        <w:lastRenderedPageBreak/>
        <w:t>The goal of</w:t>
      </w:r>
      <w:r w:rsidRPr="00D15052">
        <w:rPr>
          <w:spacing w:val="1"/>
        </w:rPr>
        <w:t xml:space="preserve"> </w:t>
      </w:r>
      <w:r w:rsidR="005B2519">
        <w:t xml:space="preserve">atopic dermatitis </w:t>
      </w:r>
      <w:r w:rsidRPr="00D15052">
        <w:t xml:space="preserve">treatment is control of symptoms and reduction of disease flares, not cure of the disease. The management of </w:t>
      </w:r>
      <w:r w:rsidR="005B2519">
        <w:t xml:space="preserve">atopic dermatitis </w:t>
      </w:r>
      <w:r w:rsidRPr="00D15052">
        <w:t>inc</w:t>
      </w:r>
      <w:r>
        <w:t>l</w:t>
      </w:r>
      <w:r w:rsidRPr="00D15052">
        <w:t>udes:</w:t>
      </w:r>
    </w:p>
    <w:p w14:paraId="11665069" w14:textId="77777777" w:rsidR="00D84569" w:rsidRPr="001975B8" w:rsidRDefault="00D84569" w:rsidP="005B2519">
      <w:pPr>
        <w:pStyle w:val="ListBullet"/>
      </w:pPr>
      <w:r w:rsidRPr="001975B8">
        <w:t>trigger avoidance</w:t>
      </w:r>
      <w:r>
        <w:t xml:space="preserve"> and</w:t>
      </w:r>
      <w:r w:rsidRPr="001975B8">
        <w:t xml:space="preserve"> careful</w:t>
      </w:r>
      <w:r w:rsidRPr="001975B8">
        <w:rPr>
          <w:spacing w:val="1"/>
        </w:rPr>
        <w:t xml:space="preserve"> </w:t>
      </w:r>
      <w:r w:rsidRPr="001975B8">
        <w:t>attention to skin care</w:t>
      </w:r>
      <w:r>
        <w:t>;</w:t>
      </w:r>
    </w:p>
    <w:p w14:paraId="1D278086" w14:textId="1BA5D0BA" w:rsidR="00D84569" w:rsidRDefault="00D84569" w:rsidP="005B2519">
      <w:pPr>
        <w:pStyle w:val="ListBullet"/>
      </w:pPr>
      <w:r>
        <w:t>use of topical therapies,</w:t>
      </w:r>
      <w:r w:rsidRPr="001975B8">
        <w:t xml:space="preserve"> most commonly corticosteroids, calcineurin inhibitors</w:t>
      </w:r>
      <w:r w:rsidR="00B51532">
        <w:t xml:space="preserve"> </w:t>
      </w:r>
      <w:r w:rsidRPr="001975B8">
        <w:t>and</w:t>
      </w:r>
      <w:r w:rsidRPr="001975B8">
        <w:rPr>
          <w:spacing w:val="1"/>
        </w:rPr>
        <w:t xml:space="preserve"> </w:t>
      </w:r>
      <w:r w:rsidRPr="001975B8">
        <w:t>moisturisers (emollients)</w:t>
      </w:r>
      <w:r>
        <w:t>;</w:t>
      </w:r>
    </w:p>
    <w:p w14:paraId="0F7A46E3" w14:textId="61A6932F" w:rsidR="00D84569" w:rsidRDefault="005B2519" w:rsidP="005B2519">
      <w:pPr>
        <w:pStyle w:val="ListBullet"/>
      </w:pPr>
      <w:r>
        <w:t xml:space="preserve">phototherapy or systemic </w:t>
      </w:r>
      <w:r w:rsidR="00D84569" w:rsidRPr="002F437E">
        <w:t>therapy, when topical therapies are insufficient</w:t>
      </w:r>
      <w:r>
        <w:t xml:space="preserve">. Note, </w:t>
      </w:r>
      <w:r w:rsidR="00D84569" w:rsidRPr="002F437E">
        <w:t xml:space="preserve">systemic immunomodulatory agents include these older </w:t>
      </w:r>
      <w:r>
        <w:t>medications such as o</w:t>
      </w:r>
      <w:r w:rsidR="00D84569" w:rsidRPr="002F437E">
        <w:t xml:space="preserve">ral glucocorticoids; </w:t>
      </w:r>
      <w:r>
        <w:t>cyclosporin</w:t>
      </w:r>
      <w:r w:rsidR="00D84569" w:rsidRPr="002F437E">
        <w:t>;</w:t>
      </w:r>
      <w:r w:rsidR="00D84569" w:rsidRPr="002F437E">
        <w:rPr>
          <w:spacing w:val="1"/>
        </w:rPr>
        <w:t xml:space="preserve"> </w:t>
      </w:r>
      <w:r>
        <w:t>methotrexate; a</w:t>
      </w:r>
      <w:r w:rsidR="00D84569" w:rsidRPr="002F437E">
        <w:t>zathioprine and</w:t>
      </w:r>
      <w:r>
        <w:t xml:space="preserve"> m</w:t>
      </w:r>
      <w:r w:rsidR="00D84569" w:rsidRPr="002F437E">
        <w:t>ycophenolate. However, most of th</w:t>
      </w:r>
      <w:r w:rsidR="00D84569">
        <w:t>ose</w:t>
      </w:r>
      <w:r w:rsidR="00D84569" w:rsidRPr="002F437E">
        <w:t xml:space="preserve"> drugs cannot be used</w:t>
      </w:r>
      <w:r w:rsidR="00D84569" w:rsidRPr="002F437E">
        <w:rPr>
          <w:spacing w:val="1"/>
        </w:rPr>
        <w:t xml:space="preserve"> </w:t>
      </w:r>
      <w:r w:rsidR="00D84569" w:rsidRPr="002F437E">
        <w:t>long term either due to cumulative toxicity (oral glucocorticoids, cyclosporine) or are not approved for</w:t>
      </w:r>
      <w:r w:rsidR="00B51532">
        <w:t xml:space="preserve"> </w:t>
      </w:r>
      <w:r w:rsidR="00B51532">
        <w:rPr>
          <w:spacing w:val="-46"/>
        </w:rPr>
        <w:t xml:space="preserve">  </w:t>
      </w:r>
      <w:r w:rsidR="00D84569" w:rsidRPr="002F437E">
        <w:t>use</w:t>
      </w:r>
      <w:r w:rsidR="00D84569" w:rsidRPr="002F437E">
        <w:rPr>
          <w:spacing w:val="-3"/>
        </w:rPr>
        <w:t xml:space="preserve"> </w:t>
      </w:r>
      <w:r w:rsidR="00D84569" w:rsidRPr="002F437E">
        <w:t>in</w:t>
      </w:r>
      <w:r w:rsidR="00D84569" w:rsidRPr="002F437E">
        <w:rPr>
          <w:spacing w:val="-2"/>
        </w:rPr>
        <w:t xml:space="preserve"> </w:t>
      </w:r>
      <w:r>
        <w:t>atopic dermatitis.</w:t>
      </w:r>
    </w:p>
    <w:p w14:paraId="60FE1A66" w14:textId="7776AF7C" w:rsidR="00D84569" w:rsidRPr="002F437E" w:rsidRDefault="005B2519" w:rsidP="00D84569">
      <w:pPr>
        <w:pStyle w:val="BodyText"/>
        <w:spacing w:before="121"/>
        <w:ind w:right="758"/>
        <w:rPr>
          <w:sz w:val="22"/>
          <w:szCs w:val="22"/>
        </w:rPr>
      </w:pPr>
      <w:r>
        <w:t xml:space="preserve">Atopic dermatitis </w:t>
      </w:r>
      <w:r w:rsidR="00D84569" w:rsidRPr="001975B8">
        <w:rPr>
          <w:sz w:val="22"/>
          <w:szCs w:val="22"/>
        </w:rPr>
        <w:t xml:space="preserve">is driven by pro-inflammatory cytokines (including </w:t>
      </w:r>
      <w:r>
        <w:rPr>
          <w:sz w:val="22"/>
          <w:szCs w:val="22"/>
        </w:rPr>
        <w:t xml:space="preserve">interleukins </w:t>
      </w:r>
      <w:r w:rsidR="00D84569" w:rsidRPr="001975B8">
        <w:rPr>
          <w:sz w:val="22"/>
          <w:szCs w:val="22"/>
        </w:rPr>
        <w:t>IL-4, IL-13, IL- 22,</w:t>
      </w:r>
      <w:r w:rsidR="00D84569" w:rsidRPr="001975B8">
        <w:rPr>
          <w:spacing w:val="1"/>
          <w:sz w:val="22"/>
          <w:szCs w:val="22"/>
        </w:rPr>
        <w:t xml:space="preserve"> </w:t>
      </w:r>
      <w:r>
        <w:rPr>
          <w:spacing w:val="1"/>
          <w:sz w:val="22"/>
          <w:szCs w:val="22"/>
        </w:rPr>
        <w:t>IL-31, t</w:t>
      </w:r>
      <w:r w:rsidRPr="005B2519">
        <w:rPr>
          <w:spacing w:val="1"/>
          <w:sz w:val="22"/>
          <w:szCs w:val="22"/>
        </w:rPr>
        <w:t xml:space="preserve">hymic stromal lymphopoietin </w:t>
      </w:r>
      <w:r>
        <w:rPr>
          <w:spacing w:val="1"/>
          <w:sz w:val="22"/>
          <w:szCs w:val="22"/>
        </w:rPr>
        <w:t>(</w:t>
      </w:r>
      <w:r w:rsidR="00D84569" w:rsidRPr="001975B8">
        <w:rPr>
          <w:sz w:val="22"/>
          <w:szCs w:val="22"/>
        </w:rPr>
        <w:t>TSLP</w:t>
      </w:r>
      <w:r>
        <w:rPr>
          <w:sz w:val="22"/>
          <w:szCs w:val="22"/>
        </w:rPr>
        <w:t>),</w:t>
      </w:r>
      <w:r w:rsidR="00D84569" w:rsidRPr="001975B8">
        <w:rPr>
          <w:sz w:val="22"/>
          <w:szCs w:val="22"/>
        </w:rPr>
        <w:t xml:space="preserve"> and </w:t>
      </w:r>
      <w:r>
        <w:rPr>
          <w:sz w:val="22"/>
          <w:szCs w:val="22"/>
        </w:rPr>
        <w:t>interferon gamma</w:t>
      </w:r>
      <w:r w:rsidR="00D84569" w:rsidRPr="001975B8">
        <w:rPr>
          <w:sz w:val="22"/>
          <w:szCs w:val="22"/>
        </w:rPr>
        <w:t xml:space="preserve"> via the JAK1 pathway</w:t>
      </w:r>
      <w:r>
        <w:rPr>
          <w:sz w:val="22"/>
          <w:szCs w:val="22"/>
        </w:rPr>
        <w:t>;</w:t>
      </w:r>
      <w:r w:rsidR="00257D60" w:rsidRPr="005B2519">
        <w:rPr>
          <w:sz w:val="22"/>
          <w:szCs w:val="22"/>
          <w:vertAlign w:val="superscript"/>
        </w:rPr>
        <w:fldChar w:fldCharType="begin"/>
      </w:r>
      <w:r w:rsidR="00257D60" w:rsidRPr="005B2519">
        <w:rPr>
          <w:sz w:val="22"/>
          <w:szCs w:val="22"/>
          <w:vertAlign w:val="superscript"/>
        </w:rPr>
        <w:instrText xml:space="preserve"> NOTEREF _Ref125534518 \h </w:instrText>
      </w:r>
      <w:r>
        <w:rPr>
          <w:sz w:val="22"/>
          <w:szCs w:val="22"/>
          <w:vertAlign w:val="superscript"/>
        </w:rPr>
        <w:instrText xml:space="preserve"> \* MERGEFORMAT </w:instrText>
      </w:r>
      <w:r w:rsidR="00257D60" w:rsidRPr="005B2519">
        <w:rPr>
          <w:sz w:val="22"/>
          <w:szCs w:val="22"/>
          <w:vertAlign w:val="superscript"/>
        </w:rPr>
      </w:r>
      <w:r w:rsidR="00257D60" w:rsidRPr="005B2519">
        <w:rPr>
          <w:sz w:val="22"/>
          <w:szCs w:val="22"/>
          <w:vertAlign w:val="superscript"/>
        </w:rPr>
        <w:fldChar w:fldCharType="separate"/>
      </w:r>
      <w:r w:rsidR="00B51532">
        <w:rPr>
          <w:sz w:val="22"/>
          <w:szCs w:val="22"/>
          <w:vertAlign w:val="superscript"/>
        </w:rPr>
        <w:t>17</w:t>
      </w:r>
      <w:r w:rsidR="00257D60" w:rsidRPr="005B2519">
        <w:rPr>
          <w:sz w:val="22"/>
          <w:szCs w:val="22"/>
          <w:vertAlign w:val="superscript"/>
        </w:rPr>
        <w:fldChar w:fldCharType="end"/>
      </w:r>
      <w:r w:rsidRPr="005B2519">
        <w:rPr>
          <w:sz w:val="22"/>
          <w:szCs w:val="22"/>
          <w:vertAlign w:val="superscript"/>
        </w:rPr>
        <w:t>,</w:t>
      </w:r>
      <w:r w:rsidR="00257D60" w:rsidRPr="005B2519">
        <w:rPr>
          <w:sz w:val="22"/>
          <w:szCs w:val="22"/>
          <w:vertAlign w:val="superscript"/>
        </w:rPr>
        <w:fldChar w:fldCharType="begin"/>
      </w:r>
      <w:r w:rsidR="00257D60" w:rsidRPr="005B2519">
        <w:rPr>
          <w:sz w:val="22"/>
          <w:szCs w:val="22"/>
          <w:vertAlign w:val="superscript"/>
        </w:rPr>
        <w:instrText xml:space="preserve"> NOTEREF _Ref125534521 \h </w:instrText>
      </w:r>
      <w:r>
        <w:rPr>
          <w:sz w:val="22"/>
          <w:szCs w:val="22"/>
          <w:vertAlign w:val="superscript"/>
        </w:rPr>
        <w:instrText xml:space="preserve"> \* MERGEFORMAT </w:instrText>
      </w:r>
      <w:r w:rsidR="00257D60" w:rsidRPr="005B2519">
        <w:rPr>
          <w:sz w:val="22"/>
          <w:szCs w:val="22"/>
          <w:vertAlign w:val="superscript"/>
        </w:rPr>
      </w:r>
      <w:r w:rsidR="00257D60" w:rsidRPr="005B2519">
        <w:rPr>
          <w:sz w:val="22"/>
          <w:szCs w:val="22"/>
          <w:vertAlign w:val="superscript"/>
        </w:rPr>
        <w:fldChar w:fldCharType="separate"/>
      </w:r>
      <w:r w:rsidR="00B51532">
        <w:rPr>
          <w:sz w:val="22"/>
          <w:szCs w:val="22"/>
          <w:vertAlign w:val="superscript"/>
        </w:rPr>
        <w:t>18</w:t>
      </w:r>
      <w:r w:rsidR="00257D60" w:rsidRPr="005B2519">
        <w:rPr>
          <w:sz w:val="22"/>
          <w:szCs w:val="22"/>
          <w:vertAlign w:val="superscript"/>
        </w:rPr>
        <w:fldChar w:fldCharType="end"/>
      </w:r>
      <w:r w:rsidRPr="005B2519">
        <w:rPr>
          <w:sz w:val="22"/>
          <w:szCs w:val="22"/>
          <w:vertAlign w:val="superscript"/>
        </w:rPr>
        <w:t>,</w:t>
      </w:r>
      <w:r w:rsidR="00257D60" w:rsidRPr="005B2519">
        <w:rPr>
          <w:sz w:val="22"/>
          <w:szCs w:val="22"/>
          <w:vertAlign w:val="superscript"/>
        </w:rPr>
        <w:fldChar w:fldCharType="begin"/>
      </w:r>
      <w:r w:rsidR="00257D60" w:rsidRPr="005B2519">
        <w:rPr>
          <w:sz w:val="22"/>
          <w:szCs w:val="22"/>
          <w:vertAlign w:val="superscript"/>
        </w:rPr>
        <w:instrText xml:space="preserve"> NOTEREF _Ref125534533 \h </w:instrText>
      </w:r>
      <w:r>
        <w:rPr>
          <w:sz w:val="22"/>
          <w:szCs w:val="22"/>
          <w:vertAlign w:val="superscript"/>
        </w:rPr>
        <w:instrText xml:space="preserve"> \* MERGEFORMAT </w:instrText>
      </w:r>
      <w:r w:rsidR="00257D60" w:rsidRPr="005B2519">
        <w:rPr>
          <w:sz w:val="22"/>
          <w:szCs w:val="22"/>
          <w:vertAlign w:val="superscript"/>
        </w:rPr>
      </w:r>
      <w:r w:rsidR="00257D60" w:rsidRPr="005B2519">
        <w:rPr>
          <w:sz w:val="22"/>
          <w:szCs w:val="22"/>
          <w:vertAlign w:val="superscript"/>
        </w:rPr>
        <w:fldChar w:fldCharType="separate"/>
      </w:r>
      <w:r w:rsidR="00B51532">
        <w:rPr>
          <w:sz w:val="22"/>
          <w:szCs w:val="22"/>
          <w:vertAlign w:val="superscript"/>
        </w:rPr>
        <w:t>19</w:t>
      </w:r>
      <w:r w:rsidR="00257D60" w:rsidRPr="005B2519">
        <w:rPr>
          <w:sz w:val="22"/>
          <w:szCs w:val="22"/>
          <w:vertAlign w:val="superscript"/>
        </w:rPr>
        <w:fldChar w:fldCharType="end"/>
      </w:r>
      <w:r w:rsidR="00B51532">
        <w:rPr>
          <w:sz w:val="22"/>
          <w:szCs w:val="22"/>
        </w:rPr>
        <w:t xml:space="preserve"> </w:t>
      </w:r>
      <w:r w:rsidR="00B51532">
        <w:rPr>
          <w:spacing w:val="-46"/>
          <w:sz w:val="22"/>
          <w:szCs w:val="22"/>
        </w:rPr>
        <w:t xml:space="preserve">   </w:t>
      </w:r>
      <w:r w:rsidR="00D84569" w:rsidRPr="001975B8">
        <w:rPr>
          <w:spacing w:val="-46"/>
          <w:sz w:val="22"/>
          <w:szCs w:val="22"/>
        </w:rPr>
        <w:t xml:space="preserve"> </w:t>
      </w:r>
      <w:r>
        <w:rPr>
          <w:sz w:val="22"/>
          <w:szCs w:val="22"/>
        </w:rPr>
        <w:t>and, inhibiting JAK1 with u</w:t>
      </w:r>
      <w:r w:rsidR="00D84569" w:rsidRPr="001975B8">
        <w:rPr>
          <w:sz w:val="22"/>
          <w:szCs w:val="22"/>
        </w:rPr>
        <w:t xml:space="preserve">padacitinib reduces the </w:t>
      </w:r>
      <w:r w:rsidRPr="001975B8">
        <w:rPr>
          <w:sz w:val="22"/>
          <w:szCs w:val="22"/>
        </w:rPr>
        <w:t>signalling</w:t>
      </w:r>
      <w:r w:rsidR="00D84569" w:rsidRPr="001975B8">
        <w:rPr>
          <w:sz w:val="22"/>
          <w:szCs w:val="22"/>
        </w:rPr>
        <w:t xml:space="preserve"> of many mediators which drive the</w:t>
      </w:r>
      <w:r w:rsidR="00D84569" w:rsidRPr="001975B8">
        <w:rPr>
          <w:spacing w:val="1"/>
          <w:sz w:val="22"/>
          <w:szCs w:val="22"/>
        </w:rPr>
        <w:t xml:space="preserve"> </w:t>
      </w:r>
      <w:r w:rsidR="00D84569" w:rsidRPr="001975B8">
        <w:rPr>
          <w:sz w:val="22"/>
          <w:szCs w:val="22"/>
        </w:rPr>
        <w:t>signs</w:t>
      </w:r>
      <w:r w:rsidR="00D84569" w:rsidRPr="001975B8">
        <w:rPr>
          <w:spacing w:val="-1"/>
          <w:sz w:val="22"/>
          <w:szCs w:val="22"/>
        </w:rPr>
        <w:t xml:space="preserve"> </w:t>
      </w:r>
      <w:r w:rsidR="00D84569" w:rsidRPr="001975B8">
        <w:rPr>
          <w:sz w:val="22"/>
          <w:szCs w:val="22"/>
        </w:rPr>
        <w:t>and</w:t>
      </w:r>
      <w:r w:rsidR="00D84569" w:rsidRPr="001975B8">
        <w:rPr>
          <w:spacing w:val="-3"/>
          <w:sz w:val="22"/>
          <w:szCs w:val="22"/>
        </w:rPr>
        <w:t xml:space="preserve"> </w:t>
      </w:r>
      <w:r w:rsidR="00D84569" w:rsidRPr="001975B8">
        <w:rPr>
          <w:sz w:val="22"/>
          <w:szCs w:val="22"/>
        </w:rPr>
        <w:t>symptoms of</w:t>
      </w:r>
      <w:r w:rsidR="00D84569" w:rsidRPr="001975B8">
        <w:rPr>
          <w:spacing w:val="-1"/>
          <w:sz w:val="22"/>
          <w:szCs w:val="22"/>
        </w:rPr>
        <w:t xml:space="preserve"> </w:t>
      </w:r>
      <w:r>
        <w:t>atopic dermatitis</w:t>
      </w:r>
      <w:r>
        <w:rPr>
          <w:sz w:val="22"/>
          <w:szCs w:val="22"/>
        </w:rPr>
        <w:t>.</w:t>
      </w:r>
    </w:p>
    <w:p w14:paraId="0F47B424" w14:textId="2BD78B12" w:rsidR="00D84569" w:rsidRPr="001975B8" w:rsidRDefault="005B2519" w:rsidP="005B2519">
      <w:r>
        <w:t>Recently, d</w:t>
      </w:r>
      <w:r w:rsidR="00D84569" w:rsidRPr="001975B8">
        <w:t>upilumab, a monoclonal antibody that inhibits</w:t>
      </w:r>
      <w:r>
        <w:t xml:space="preserve"> the interleukins</w:t>
      </w:r>
      <w:r w:rsidR="00D84569" w:rsidRPr="001975B8">
        <w:t xml:space="preserve"> IL-4 and IL-13 signaling pathway</w:t>
      </w:r>
      <w:r w:rsidR="00D84569">
        <w:t xml:space="preserve"> </w:t>
      </w:r>
      <w:r>
        <w:t>has been</w:t>
      </w:r>
      <w:r w:rsidR="00D84569">
        <w:t xml:space="preserve"> approved for the treatment of </w:t>
      </w:r>
      <w:r w:rsidR="00D84569" w:rsidRPr="001975B8">
        <w:t>moderate to severe</w:t>
      </w:r>
      <w:r w:rsidR="00B51532">
        <w:t xml:space="preserve"> </w:t>
      </w:r>
      <w:r>
        <w:t xml:space="preserve">atopic dermatitis </w:t>
      </w:r>
      <w:r w:rsidR="00D84569" w:rsidRPr="001975B8">
        <w:t xml:space="preserve">in </w:t>
      </w:r>
      <w:r>
        <w:t>adults and paediatric patients over</w:t>
      </w:r>
      <w:r w:rsidR="00D84569" w:rsidRPr="001975B8">
        <w:t xml:space="preserve"> 6 years of age.</w:t>
      </w:r>
      <w:r>
        <w:rPr>
          <w:rStyle w:val="FootnoteReference"/>
        </w:rPr>
        <w:footnoteReference w:id="74"/>
      </w:r>
      <w:r w:rsidR="00D84569" w:rsidRPr="001975B8">
        <w:t xml:space="preserve"> Dupilumab is administered subcutaneously (300</w:t>
      </w:r>
      <w:r>
        <w:t xml:space="preserve"> </w:t>
      </w:r>
      <w:r w:rsidR="00D84569" w:rsidRPr="001975B8">
        <w:t>mg</w:t>
      </w:r>
      <w:r w:rsidR="00D84569" w:rsidRPr="001975B8">
        <w:rPr>
          <w:spacing w:val="1"/>
        </w:rPr>
        <w:t xml:space="preserve"> </w:t>
      </w:r>
      <w:r w:rsidR="00D84569" w:rsidRPr="001975B8">
        <w:t>every 2 weeks)</w:t>
      </w:r>
      <w:r w:rsidR="00D84569">
        <w:t xml:space="preserve">. There may </w:t>
      </w:r>
      <w:r w:rsidR="00D84569" w:rsidRPr="001975B8">
        <w:t xml:space="preserve">therefore, possibly </w:t>
      </w:r>
      <w:r w:rsidR="00D84569">
        <w:t xml:space="preserve">be </w:t>
      </w:r>
      <w:r w:rsidR="00D84569" w:rsidRPr="001975B8">
        <w:t>a need for an oral treatment development.</w:t>
      </w:r>
    </w:p>
    <w:p w14:paraId="7406A87B" w14:textId="172D6A7B" w:rsidR="0065362E" w:rsidRDefault="00B67E63" w:rsidP="0065362E">
      <w:pPr>
        <w:pStyle w:val="Heading5"/>
      </w:pPr>
      <w:r>
        <w:t>U</w:t>
      </w:r>
      <w:r w:rsidR="00782F8C">
        <w:t>padacitinib</w:t>
      </w:r>
    </w:p>
    <w:p w14:paraId="14D33864" w14:textId="143377A3" w:rsidR="00AF5619" w:rsidRDefault="00AF5619" w:rsidP="00AF5619">
      <w:pPr>
        <w:pStyle w:val="Heading6"/>
      </w:pPr>
      <w:r>
        <w:t>Regulatory history</w:t>
      </w:r>
    </w:p>
    <w:p w14:paraId="4CD690EF" w14:textId="3B63F947" w:rsidR="00D84569" w:rsidRPr="001975B8" w:rsidRDefault="00B67E63" w:rsidP="0065362E">
      <w:r>
        <w:t>U</w:t>
      </w:r>
      <w:r w:rsidR="00782F8C">
        <w:t>padacitinib</w:t>
      </w:r>
      <w:r w:rsidR="00D84569" w:rsidRPr="001975B8">
        <w:t xml:space="preserve"> (</w:t>
      </w:r>
      <w:r w:rsidR="0065362E">
        <w:t>proposed tradename Rinvoq, also known by it’s drug development code ‘</w:t>
      </w:r>
      <w:r w:rsidR="00D84569" w:rsidRPr="001975B8">
        <w:t>ABT-494</w:t>
      </w:r>
      <w:r w:rsidR="0065362E">
        <w:t>’</w:t>
      </w:r>
      <w:r w:rsidR="00D84569" w:rsidRPr="001975B8">
        <w:t>) is a selective and reversible Janus kinase (JAK) inhibitor</w:t>
      </w:r>
      <w:r w:rsidR="0065362E">
        <w:t xml:space="preserve">. </w:t>
      </w:r>
      <w:r w:rsidR="00D84569">
        <w:t>It</w:t>
      </w:r>
      <w:r w:rsidR="0065362E">
        <w:t xml:space="preserve"> has previously been</w:t>
      </w:r>
      <w:r w:rsidR="00D84569" w:rsidRPr="001975B8">
        <w:t xml:space="preserve"> approved for </w:t>
      </w:r>
      <w:r w:rsidR="0065362E">
        <w:t xml:space="preserve">use in </w:t>
      </w:r>
      <w:r w:rsidR="00D84569" w:rsidRPr="001975B8">
        <w:t xml:space="preserve">rheumatoid arthritis in </w:t>
      </w:r>
      <w:r w:rsidR="0065362E">
        <w:t>Australia (in January 2020) as well as the EU and USA;</w:t>
      </w:r>
      <w:r w:rsidR="0065362E">
        <w:rPr>
          <w:rStyle w:val="FootnoteReference"/>
        </w:rPr>
        <w:footnoteReference w:id="75"/>
      </w:r>
      <w:r w:rsidR="0065362E">
        <w:t xml:space="preserve"> and has had approved extensions of indications for use in psoriatic arthritis and ankylosing spondylitis (in May 2021).</w:t>
      </w:r>
      <w:r w:rsidR="0065362E">
        <w:rPr>
          <w:rStyle w:val="FootnoteReference"/>
        </w:rPr>
        <w:footnoteReference w:id="76"/>
      </w:r>
    </w:p>
    <w:p w14:paraId="7DAFECB3" w14:textId="357D601A" w:rsidR="00AF5619" w:rsidRDefault="00AF5619" w:rsidP="00AF5619">
      <w:pPr>
        <w:pStyle w:val="Heading6"/>
      </w:pPr>
      <w:r>
        <w:t>Mechanism of action</w:t>
      </w:r>
    </w:p>
    <w:p w14:paraId="39CBD187" w14:textId="69BDA356" w:rsidR="00D84569" w:rsidRDefault="00B67E63" w:rsidP="001D5C5D">
      <w:r>
        <w:t>U</w:t>
      </w:r>
      <w:r w:rsidR="00782F8C">
        <w:t>padacitinib</w:t>
      </w:r>
      <w:r w:rsidR="00D84569" w:rsidRPr="00485BC5">
        <w:t xml:space="preserve"> more potently inhibits JAK1 compared to JAK2 and JAK3. In cellular potency assays that correlated with the </w:t>
      </w:r>
      <w:r w:rsidR="00D84569" w:rsidRPr="00485BC5">
        <w:rPr>
          <w:i/>
        </w:rPr>
        <w:t>in vivo</w:t>
      </w:r>
      <w:r w:rsidR="00D84569" w:rsidRPr="00485BC5">
        <w:rPr>
          <w:i/>
          <w:spacing w:val="1"/>
        </w:rPr>
        <w:t xml:space="preserve"> </w:t>
      </w:r>
      <w:r w:rsidR="00D84569" w:rsidRPr="00485BC5">
        <w:t xml:space="preserve">pharmacodynamic responses, </w:t>
      </w:r>
      <w:r w:rsidR="001D5C5D">
        <w:t>u</w:t>
      </w:r>
      <w:r w:rsidR="00D84569" w:rsidRPr="00485BC5">
        <w:t>padacitinib demonstrated 33-</w:t>
      </w:r>
      <w:r w:rsidR="001D5C5D">
        <w:t xml:space="preserve"> to </w:t>
      </w:r>
      <w:r w:rsidR="00D84569" w:rsidRPr="00485BC5">
        <w:t>197-fold greater selectivity for</w:t>
      </w:r>
      <w:r w:rsidR="00D84569" w:rsidRPr="00485BC5">
        <w:rPr>
          <w:spacing w:val="1"/>
        </w:rPr>
        <w:t xml:space="preserve"> </w:t>
      </w:r>
      <w:r w:rsidR="00D84569" w:rsidRPr="00485BC5">
        <w:t xml:space="preserve">JAK1-associated </w:t>
      </w:r>
      <w:r w:rsidR="001D5C5D" w:rsidRPr="00485BC5">
        <w:t>signalling</w:t>
      </w:r>
      <w:r w:rsidR="00D84569" w:rsidRPr="00485BC5">
        <w:t xml:space="preserve"> over JAK2 </w:t>
      </w:r>
      <w:r w:rsidR="001D5C5D" w:rsidRPr="00485BC5">
        <w:t>signalling</w:t>
      </w:r>
      <w:r w:rsidR="00D84569" w:rsidRPr="00485BC5">
        <w:t xml:space="preserve">. In enzyme assays, </w:t>
      </w:r>
      <w:r w:rsidR="001D5C5D">
        <w:t xml:space="preserve">upadacitinib had more than </w:t>
      </w:r>
      <w:r w:rsidR="00D84569" w:rsidRPr="00485BC5">
        <w:t xml:space="preserve">50-fold selectivity for JAK1 over JAK3. </w:t>
      </w:r>
      <w:r w:rsidR="00D84569" w:rsidRPr="00B12D29">
        <w:t>Atopic dermatitis pathogenesis is driven by pro-</w:t>
      </w:r>
      <w:r w:rsidR="00D84569" w:rsidRPr="00B12D29">
        <w:rPr>
          <w:spacing w:val="1"/>
        </w:rPr>
        <w:t xml:space="preserve"> </w:t>
      </w:r>
      <w:r w:rsidR="00D84569" w:rsidRPr="00B12D29">
        <w:t>inflammatory cytokines (including IL-4, IL-</w:t>
      </w:r>
      <w:r w:rsidR="001D5C5D">
        <w:t>13, IL-22, TSLP, IL-31 and interferon-gamma</w:t>
      </w:r>
      <w:r w:rsidR="00D84569" w:rsidRPr="00B12D29">
        <w:t>) that</w:t>
      </w:r>
      <w:r w:rsidR="00D84569" w:rsidRPr="00B12D29">
        <w:rPr>
          <w:spacing w:val="1"/>
        </w:rPr>
        <w:t xml:space="preserve"> </w:t>
      </w:r>
      <w:r w:rsidR="00D84569" w:rsidRPr="00B12D29">
        <w:t xml:space="preserve">transduce signals via the JAK1 pathway. Inhibiting JAK1 with </w:t>
      </w:r>
      <w:r w:rsidR="001D5C5D">
        <w:t>u</w:t>
      </w:r>
      <w:r w:rsidR="00D84569" w:rsidRPr="00B12D29">
        <w:t>padacitinib reduces the</w:t>
      </w:r>
      <w:r w:rsidR="00D84569" w:rsidRPr="00B12D29">
        <w:rPr>
          <w:spacing w:val="1"/>
        </w:rPr>
        <w:t xml:space="preserve"> </w:t>
      </w:r>
      <w:r w:rsidR="001D5C5D" w:rsidRPr="00B12D29">
        <w:t>signalling</w:t>
      </w:r>
      <w:r w:rsidR="00D84569" w:rsidRPr="00B12D29">
        <w:t xml:space="preserve"> of many mediators which drive the signs and symptoms of </w:t>
      </w:r>
      <w:r w:rsidR="001D5C5D">
        <w:t xml:space="preserve">atopic dermatitis </w:t>
      </w:r>
      <w:r w:rsidR="00D84569" w:rsidRPr="00B12D29">
        <w:t>such as</w:t>
      </w:r>
      <w:r w:rsidR="00D84569" w:rsidRPr="00B12D29">
        <w:rPr>
          <w:spacing w:val="1"/>
        </w:rPr>
        <w:t xml:space="preserve"> </w:t>
      </w:r>
      <w:r w:rsidR="00D84569" w:rsidRPr="00B12D29">
        <w:t>eczematous</w:t>
      </w:r>
      <w:r w:rsidR="00D84569" w:rsidRPr="00B12D29">
        <w:rPr>
          <w:spacing w:val="-1"/>
        </w:rPr>
        <w:t xml:space="preserve"> </w:t>
      </w:r>
      <w:r w:rsidR="00D84569" w:rsidRPr="00B12D29">
        <w:t>skin</w:t>
      </w:r>
      <w:r w:rsidR="00D84569" w:rsidRPr="00B12D29">
        <w:rPr>
          <w:spacing w:val="-2"/>
        </w:rPr>
        <w:t xml:space="preserve"> </w:t>
      </w:r>
      <w:r w:rsidR="00D84569" w:rsidRPr="00B12D29">
        <w:t>lesions and</w:t>
      </w:r>
      <w:r w:rsidR="00D84569" w:rsidRPr="00B12D29">
        <w:rPr>
          <w:spacing w:val="-1"/>
        </w:rPr>
        <w:t xml:space="preserve"> </w:t>
      </w:r>
      <w:r w:rsidR="00D84569" w:rsidRPr="00B12D29">
        <w:t>pruritus.</w:t>
      </w:r>
    </w:p>
    <w:p w14:paraId="7F8363D7" w14:textId="416CA496" w:rsidR="00AF5619" w:rsidRDefault="00AF5619" w:rsidP="00B67E63">
      <w:pPr>
        <w:pStyle w:val="Heading6"/>
      </w:pPr>
      <w:r>
        <w:t>Current submission</w:t>
      </w:r>
    </w:p>
    <w:p w14:paraId="15CABC21" w14:textId="485EFFAD" w:rsidR="00D84569" w:rsidRDefault="00D84569" w:rsidP="001D5C5D">
      <w:r>
        <w:t xml:space="preserve">The submission by </w:t>
      </w:r>
      <w:r w:rsidR="001D5C5D">
        <w:t>the sponsor</w:t>
      </w:r>
      <w:r>
        <w:t xml:space="preserve"> is a </w:t>
      </w:r>
      <w:r>
        <w:rPr>
          <w:lang w:eastAsia="ja-JP"/>
        </w:rPr>
        <w:t xml:space="preserve">dual application consisting </w:t>
      </w:r>
      <w:r w:rsidR="001D5C5D">
        <w:rPr>
          <w:lang w:eastAsia="ja-JP"/>
        </w:rPr>
        <w:t xml:space="preserve">of </w:t>
      </w:r>
      <w:r w:rsidR="001D5C5D" w:rsidRPr="001D5C5D">
        <w:t xml:space="preserve">a submission to </w:t>
      </w:r>
      <w:r w:rsidR="001D5C5D">
        <w:t xml:space="preserve">extend the current </w:t>
      </w:r>
      <w:r w:rsidR="001D5C5D" w:rsidRPr="001D5C5D">
        <w:t>i</w:t>
      </w:r>
      <w:r w:rsidR="001D5C5D">
        <w:t>ndications,</w:t>
      </w:r>
      <w:r w:rsidRPr="001D5C5D">
        <w:t xml:space="preserve"> and</w:t>
      </w:r>
      <w:r w:rsidR="001D5C5D">
        <w:t xml:space="preserve"> a submission for a major variation to the current approval (in the form of a new strength) of Rinvoq (upadacitinib).</w:t>
      </w:r>
    </w:p>
    <w:p w14:paraId="1005834D" w14:textId="06C31423" w:rsidR="001D5C5D" w:rsidRPr="001D5C5D" w:rsidRDefault="001D5C5D" w:rsidP="00B67E63">
      <w:pPr>
        <w:pStyle w:val="Heading5"/>
        <w:rPr>
          <w:lang w:eastAsia="ja-JP"/>
        </w:rPr>
      </w:pPr>
      <w:r>
        <w:rPr>
          <w:lang w:eastAsia="ja-JP"/>
        </w:rPr>
        <w:lastRenderedPageBreak/>
        <w:t>Major variation (new medicine strength)</w:t>
      </w:r>
    </w:p>
    <w:p w14:paraId="08F0B754" w14:textId="01A0B733" w:rsidR="00D84569" w:rsidRDefault="00D84569" w:rsidP="001D5C5D">
      <w:r w:rsidRPr="007278C6">
        <w:rPr>
          <w:lang w:eastAsia="ja-JP"/>
        </w:rPr>
        <w:t xml:space="preserve">The submitted data for the </w:t>
      </w:r>
      <w:r w:rsidR="001D5C5D">
        <w:rPr>
          <w:lang w:eastAsia="ja-JP"/>
        </w:rPr>
        <w:t>major variation/new strength</w:t>
      </w:r>
      <w:r w:rsidRPr="007278C6">
        <w:rPr>
          <w:lang w:eastAsia="ja-JP"/>
        </w:rPr>
        <w:t xml:space="preserve"> component was a </w:t>
      </w:r>
      <w:r w:rsidR="001D5C5D">
        <w:t>Phase I</w:t>
      </w:r>
      <w:r w:rsidRPr="007278C6">
        <w:t xml:space="preserve"> </w:t>
      </w:r>
      <w:r w:rsidR="001D5C5D">
        <w:t xml:space="preserve">study </w:t>
      </w:r>
      <w:r w:rsidR="001D5C5D" w:rsidRPr="001D5C5D">
        <w:t>(</w:t>
      </w:r>
      <w:r w:rsidRPr="001D5C5D">
        <w:t>Study</w:t>
      </w:r>
      <w:r w:rsidR="001D5C5D" w:rsidRPr="001D5C5D">
        <w:t xml:space="preserve"> </w:t>
      </w:r>
      <w:r w:rsidRPr="001D5C5D">
        <w:t>M20-017)</w:t>
      </w:r>
      <w:r w:rsidRPr="007278C6">
        <w:t xml:space="preserve"> to evaluate the bioavailability after a high-fat/high-</w:t>
      </w:r>
      <w:r>
        <w:t>c</w:t>
      </w:r>
      <w:r w:rsidRPr="009E42C9">
        <w:t xml:space="preserve">alorie </w:t>
      </w:r>
      <w:r>
        <w:t>m</w:t>
      </w:r>
      <w:r w:rsidRPr="009E42C9">
        <w:t>eal</w:t>
      </w:r>
      <w:r w:rsidRPr="009E42C9">
        <w:rPr>
          <w:spacing w:val="1"/>
        </w:rPr>
        <w:t xml:space="preserve"> </w:t>
      </w:r>
      <w:r w:rsidRPr="009E42C9">
        <w:t xml:space="preserve">and </w:t>
      </w:r>
      <w:r>
        <w:t>u</w:t>
      </w:r>
      <w:r w:rsidRPr="009E42C9">
        <w:t xml:space="preserve">nder </w:t>
      </w:r>
      <w:r>
        <w:t>f</w:t>
      </w:r>
      <w:r w:rsidRPr="009E42C9">
        <w:t xml:space="preserve">asting </w:t>
      </w:r>
      <w:r>
        <w:t>c</w:t>
      </w:r>
      <w:r w:rsidRPr="009E42C9">
        <w:t xml:space="preserve">onditions of </w:t>
      </w:r>
      <w:r w:rsidR="001D5C5D">
        <w:t>u</w:t>
      </w:r>
      <w:r w:rsidRPr="009E42C9">
        <w:t xml:space="preserve">padacitinib </w:t>
      </w:r>
      <w:r>
        <w:t xml:space="preserve">30 mg </w:t>
      </w:r>
      <w:r w:rsidR="001D5C5D">
        <w:rPr>
          <w:i/>
        </w:rPr>
        <w:t>market-image f</w:t>
      </w:r>
      <w:r w:rsidRPr="009E42C9">
        <w:rPr>
          <w:i/>
        </w:rPr>
        <w:t xml:space="preserve">ormulation </w:t>
      </w:r>
      <w:r w:rsidRPr="00351B02">
        <w:t>relative</w:t>
      </w:r>
      <w:r w:rsidRPr="009E42C9">
        <w:t xml:space="preserve"> to the </w:t>
      </w:r>
      <w:r w:rsidR="001D5C5D">
        <w:rPr>
          <w:i/>
        </w:rPr>
        <w:t>w</w:t>
      </w:r>
      <w:r w:rsidRPr="009E42C9">
        <w:rPr>
          <w:i/>
        </w:rPr>
        <w:t>et</w:t>
      </w:r>
      <w:r w:rsidR="00B51532">
        <w:rPr>
          <w:i/>
          <w:spacing w:val="-46"/>
        </w:rPr>
        <w:t xml:space="preserve"> </w:t>
      </w:r>
      <w:r w:rsidR="001D5C5D">
        <w:rPr>
          <w:i/>
        </w:rPr>
        <w:t xml:space="preserve"> g</w:t>
      </w:r>
      <w:r w:rsidRPr="009E42C9">
        <w:rPr>
          <w:i/>
        </w:rPr>
        <w:t>ranulated</w:t>
      </w:r>
      <w:r w:rsidRPr="009E42C9">
        <w:rPr>
          <w:i/>
          <w:spacing w:val="-2"/>
        </w:rPr>
        <w:t xml:space="preserve"> </w:t>
      </w:r>
      <w:r w:rsidR="001D5C5D">
        <w:rPr>
          <w:i/>
        </w:rPr>
        <w:t>f</w:t>
      </w:r>
      <w:r w:rsidRPr="009E42C9">
        <w:rPr>
          <w:i/>
        </w:rPr>
        <w:t>ormulation</w:t>
      </w:r>
      <w:r w:rsidRPr="009E42C9">
        <w:rPr>
          <w:spacing w:val="-2"/>
        </w:rPr>
        <w:t xml:space="preserve"> </w:t>
      </w:r>
      <w:r>
        <w:rPr>
          <w:spacing w:val="-2"/>
        </w:rPr>
        <w:t>u</w:t>
      </w:r>
      <w:r w:rsidR="001D5C5D">
        <w:t>sed</w:t>
      </w:r>
      <w:r w:rsidRPr="009E42C9">
        <w:rPr>
          <w:spacing w:val="-1"/>
        </w:rPr>
        <w:t xml:space="preserve"> </w:t>
      </w:r>
      <w:r w:rsidRPr="009E42C9">
        <w:t>in</w:t>
      </w:r>
      <w:r w:rsidRPr="009E42C9">
        <w:rPr>
          <w:spacing w:val="-2"/>
        </w:rPr>
        <w:t xml:space="preserve"> </w:t>
      </w:r>
      <w:r w:rsidR="001D5C5D">
        <w:t>the u</w:t>
      </w:r>
      <w:r w:rsidRPr="009E42C9">
        <w:t>padacitinib</w:t>
      </w:r>
      <w:r w:rsidRPr="009E42C9">
        <w:rPr>
          <w:spacing w:val="-2"/>
        </w:rPr>
        <w:t xml:space="preserve"> </w:t>
      </w:r>
      <w:r w:rsidRPr="009E42C9">
        <w:t>Phase</w:t>
      </w:r>
      <w:r w:rsidRPr="009E42C9">
        <w:rPr>
          <w:spacing w:val="-1"/>
        </w:rPr>
        <w:t xml:space="preserve"> </w:t>
      </w:r>
      <w:r w:rsidR="001D5C5D">
        <w:t>III</w:t>
      </w:r>
      <w:r w:rsidRPr="009E42C9">
        <w:rPr>
          <w:spacing w:val="-2"/>
        </w:rPr>
        <w:t xml:space="preserve"> </w:t>
      </w:r>
      <w:r w:rsidR="001D5C5D">
        <w:t>t</w:t>
      </w:r>
      <w:r w:rsidRPr="009E42C9">
        <w:t>rials</w:t>
      </w:r>
      <w:r w:rsidR="001D5C5D">
        <w:t>.</w:t>
      </w:r>
    </w:p>
    <w:p w14:paraId="15B5BCC1" w14:textId="0036AFAF" w:rsidR="00D84569" w:rsidRDefault="00D84569" w:rsidP="00D84569">
      <w:r w:rsidRPr="00905A59">
        <w:t xml:space="preserve">From </w:t>
      </w:r>
      <w:r>
        <w:t xml:space="preserve">both </w:t>
      </w:r>
      <w:r w:rsidRPr="00905A59">
        <w:t>the</w:t>
      </w:r>
      <w:r w:rsidR="001D5C5D">
        <w:t xml:space="preserve"> perspectives of the TGA’s quality evaluation</w:t>
      </w:r>
      <w:r>
        <w:t xml:space="preserve"> and </w:t>
      </w:r>
      <w:r w:rsidR="001D5C5D">
        <w:t>clinical evaluation:</w:t>
      </w:r>
    </w:p>
    <w:p w14:paraId="7816E42B" w14:textId="08AF0501" w:rsidR="00D84569" w:rsidRPr="00722BF2" w:rsidRDefault="00D84569" w:rsidP="001D5C5D">
      <w:pPr>
        <w:pStyle w:val="ListBullet"/>
      </w:pPr>
      <w:r w:rsidRPr="00905A59">
        <w:rPr>
          <w:rFonts w:cs="ArialMT"/>
        </w:rPr>
        <w:t>t</w:t>
      </w:r>
      <w:r w:rsidRPr="00905A59">
        <w:t xml:space="preserve">he </w:t>
      </w:r>
      <w:r w:rsidR="001D5C5D" w:rsidRPr="00905A59">
        <w:t xml:space="preserve">Rinvoq </w:t>
      </w:r>
      <w:r w:rsidRPr="00905A59">
        <w:t xml:space="preserve">30 mg </w:t>
      </w:r>
      <w:r w:rsidR="001D5C5D">
        <w:t>market-image u</w:t>
      </w:r>
      <w:r w:rsidRPr="00905A59">
        <w:t>padacitinib formulation (ER18) is bioequivale</w:t>
      </w:r>
      <w:r w:rsidR="001D5C5D">
        <w:t>nt to the 30 mg strength Phase III</w:t>
      </w:r>
      <w:r w:rsidRPr="00905A59">
        <w:t xml:space="preserve"> formulation (ER18Y), under fasting conditions and aft</w:t>
      </w:r>
      <w:r w:rsidR="001D5C5D">
        <w:t>er a high-fat/high-calorie meal.</w:t>
      </w:r>
    </w:p>
    <w:p w14:paraId="1F300E56" w14:textId="48082581" w:rsidR="00D84569" w:rsidRPr="001D5C5D" w:rsidRDefault="001D5C5D" w:rsidP="001D5C5D">
      <w:pPr>
        <w:pStyle w:val="ListBullet"/>
      </w:pPr>
      <w:r>
        <w:t>the clinical evaluation</w:t>
      </w:r>
      <w:r w:rsidR="00D84569" w:rsidRPr="00722BF2">
        <w:t xml:space="preserve"> further stated that </w:t>
      </w:r>
      <w:r w:rsidR="004A3573">
        <w:t xml:space="preserve">an </w:t>
      </w:r>
      <w:r w:rsidR="00D84569">
        <w:t>a</w:t>
      </w:r>
      <w:r w:rsidR="00D84569" w:rsidRPr="00D94C9A">
        <w:t>dditional analysis showed that the 15 mg strength</w:t>
      </w:r>
      <w:r w:rsidR="005D7175">
        <w:t xml:space="preserve"> upadacitinib</w:t>
      </w:r>
      <w:r w:rsidR="00D84569" w:rsidRPr="00D94C9A">
        <w:t xml:space="preserve"> market-image</w:t>
      </w:r>
      <w:r w:rsidR="00D84569" w:rsidRPr="00D94C9A">
        <w:rPr>
          <w:spacing w:val="1"/>
        </w:rPr>
        <w:t xml:space="preserve"> </w:t>
      </w:r>
      <w:r w:rsidR="00D84569" w:rsidRPr="00D94C9A">
        <w:t xml:space="preserve">formulation </w:t>
      </w:r>
      <w:r>
        <w:t>(ER17) provided equivalent dose</w:t>
      </w:r>
      <w:r>
        <w:noBreakHyphen/>
      </w:r>
      <w:r w:rsidR="00D84569" w:rsidRPr="00D94C9A">
        <w:t>normalised plasma exposures to the 30 mg</w:t>
      </w:r>
      <w:r w:rsidR="00D84569" w:rsidRPr="00D94C9A">
        <w:rPr>
          <w:spacing w:val="1"/>
        </w:rPr>
        <w:t xml:space="preserve"> </w:t>
      </w:r>
      <w:r>
        <w:t>strength</w:t>
      </w:r>
      <w:r w:rsidR="005D7175">
        <w:t xml:space="preserve"> upadacitinib</w:t>
      </w:r>
      <w:r>
        <w:t xml:space="preserve"> Phase III</w:t>
      </w:r>
      <w:r w:rsidR="00D84569" w:rsidRPr="00D94C9A">
        <w:t xml:space="preserve"> formulation</w:t>
      </w:r>
      <w:r w:rsidR="00D84569">
        <w:t xml:space="preserve"> (ER18Y)</w:t>
      </w:r>
      <w:r w:rsidR="00D84569" w:rsidRPr="00D94C9A">
        <w:t xml:space="preserve"> under fasting c</w:t>
      </w:r>
      <w:r>
        <w:t>onditions and after a high fat/</w:t>
      </w:r>
      <w:r w:rsidR="00D84569" w:rsidRPr="00D94C9A">
        <w:t>high-</w:t>
      </w:r>
      <w:r w:rsidR="00D84569" w:rsidRPr="00D94C9A">
        <w:rPr>
          <w:spacing w:val="-46"/>
        </w:rPr>
        <w:t xml:space="preserve"> </w:t>
      </w:r>
      <w:r w:rsidR="00D84569" w:rsidRPr="00D94C9A">
        <w:t>calorie</w:t>
      </w:r>
      <w:r w:rsidR="00D84569" w:rsidRPr="00D94C9A">
        <w:rPr>
          <w:spacing w:val="-4"/>
        </w:rPr>
        <w:t xml:space="preserve"> </w:t>
      </w:r>
      <w:r w:rsidR="00D84569" w:rsidRPr="00D94C9A">
        <w:t>meal</w:t>
      </w:r>
      <w:r w:rsidR="00D84569">
        <w:t>.</w:t>
      </w:r>
    </w:p>
    <w:p w14:paraId="11A2A959" w14:textId="2608A0E8" w:rsidR="00D84569" w:rsidRPr="001D5C5D" w:rsidRDefault="00D84569" w:rsidP="001D5C5D">
      <w:r w:rsidRPr="00062BCC">
        <w:t xml:space="preserve">The </w:t>
      </w:r>
      <w:r w:rsidR="001D5C5D">
        <w:t>clinical evaluation</w:t>
      </w:r>
      <w:r w:rsidRPr="00062BCC">
        <w:t xml:space="preserve"> commented that:</w:t>
      </w:r>
    </w:p>
    <w:p w14:paraId="28478656" w14:textId="72DF7306" w:rsidR="00D84569" w:rsidRPr="00E1093C" w:rsidRDefault="00D84569" w:rsidP="001D5C5D">
      <w:pPr>
        <w:ind w:left="720"/>
      </w:pPr>
      <w:r w:rsidRPr="00E1093C">
        <w:t>It is noted, that the 30</w:t>
      </w:r>
      <w:r w:rsidR="00AC5B37">
        <w:t xml:space="preserve"> </w:t>
      </w:r>
      <w:r w:rsidRPr="00E1093C">
        <w:t xml:space="preserve">mg </w:t>
      </w:r>
      <w:r w:rsidR="00AC5B37">
        <w:t>once daily</w:t>
      </w:r>
      <w:r w:rsidRPr="00E1093C">
        <w:t xml:space="preserve"> dose is not approved for the treatment of </w:t>
      </w:r>
      <w:r w:rsidR="00AC5B37">
        <w:t>rheumatoid arthritis</w:t>
      </w:r>
      <w:r w:rsidRPr="00E1093C">
        <w:t>, but is proposed for</w:t>
      </w:r>
      <w:r w:rsidRPr="00E1093C">
        <w:rPr>
          <w:spacing w:val="-2"/>
        </w:rPr>
        <w:t xml:space="preserve"> </w:t>
      </w:r>
      <w:r w:rsidRPr="00E1093C">
        <w:t>use</w:t>
      </w:r>
      <w:r w:rsidRPr="00E1093C">
        <w:rPr>
          <w:spacing w:val="-4"/>
        </w:rPr>
        <w:t xml:space="preserve"> </w:t>
      </w:r>
      <w:r w:rsidRPr="00E1093C">
        <w:t>in</w:t>
      </w:r>
      <w:r w:rsidRPr="00E1093C">
        <w:rPr>
          <w:spacing w:val="-2"/>
        </w:rPr>
        <w:t xml:space="preserve"> adults with </w:t>
      </w:r>
      <w:r w:rsidR="00AC5B37">
        <w:t>atopic dermatitis</w:t>
      </w:r>
      <w:r w:rsidRPr="00E1093C">
        <w:t>.</w:t>
      </w:r>
      <w:r w:rsidRPr="00E1093C">
        <w:rPr>
          <w:spacing w:val="-5"/>
        </w:rPr>
        <w:t xml:space="preserve"> </w:t>
      </w:r>
      <w:r w:rsidRPr="00E1093C">
        <w:t>The</w:t>
      </w:r>
      <w:r w:rsidRPr="00E1093C">
        <w:rPr>
          <w:spacing w:val="-1"/>
        </w:rPr>
        <w:t xml:space="preserve"> </w:t>
      </w:r>
      <w:r w:rsidRPr="00E1093C">
        <w:t>sponsors</w:t>
      </w:r>
      <w:r w:rsidRPr="00E1093C">
        <w:rPr>
          <w:spacing w:val="-1"/>
        </w:rPr>
        <w:t xml:space="preserve"> </w:t>
      </w:r>
      <w:r w:rsidRPr="00E1093C">
        <w:t>have</w:t>
      </w:r>
      <w:r w:rsidRPr="00E1093C">
        <w:rPr>
          <w:spacing w:val="-1"/>
        </w:rPr>
        <w:t xml:space="preserve"> </w:t>
      </w:r>
      <w:r w:rsidRPr="00E1093C">
        <w:t>proposed</w:t>
      </w:r>
      <w:r w:rsidRPr="00E1093C">
        <w:rPr>
          <w:spacing w:val="-3"/>
        </w:rPr>
        <w:t xml:space="preserve"> </w:t>
      </w:r>
      <w:r w:rsidRPr="00E1093C">
        <w:t>that</w:t>
      </w:r>
      <w:r w:rsidRPr="00E1093C">
        <w:rPr>
          <w:spacing w:val="-4"/>
        </w:rPr>
        <w:t xml:space="preserve"> </w:t>
      </w:r>
      <w:r w:rsidRPr="00E1093C">
        <w:t>only the</w:t>
      </w:r>
      <w:r w:rsidRPr="00E1093C">
        <w:rPr>
          <w:spacing w:val="-1"/>
        </w:rPr>
        <w:t xml:space="preserve"> </w:t>
      </w:r>
      <w:r w:rsidRPr="00E1093C">
        <w:t>lower</w:t>
      </w:r>
      <w:r w:rsidRPr="00E1093C">
        <w:rPr>
          <w:spacing w:val="-2"/>
        </w:rPr>
        <w:t xml:space="preserve"> </w:t>
      </w:r>
      <w:r w:rsidRPr="00E1093C">
        <w:t>dose</w:t>
      </w:r>
      <w:r w:rsidRPr="00E1093C">
        <w:rPr>
          <w:spacing w:val="-3"/>
        </w:rPr>
        <w:t xml:space="preserve"> </w:t>
      </w:r>
      <w:r w:rsidRPr="00E1093C">
        <w:t>of</w:t>
      </w:r>
      <w:r w:rsidRPr="00E1093C">
        <w:rPr>
          <w:spacing w:val="-4"/>
        </w:rPr>
        <w:t xml:space="preserve"> </w:t>
      </w:r>
      <w:r w:rsidRPr="00E1093C">
        <w:t>15</w:t>
      </w:r>
      <w:r w:rsidR="00AC5B37">
        <w:t xml:space="preserve"> </w:t>
      </w:r>
      <w:r w:rsidRPr="00E1093C">
        <w:t>mg</w:t>
      </w:r>
      <w:r w:rsidRPr="00E1093C">
        <w:rPr>
          <w:spacing w:val="-3"/>
        </w:rPr>
        <w:t xml:space="preserve"> </w:t>
      </w:r>
      <w:r w:rsidR="00AC5B37">
        <w:t>once daily</w:t>
      </w:r>
      <w:r w:rsidRPr="00E1093C">
        <w:rPr>
          <w:spacing w:val="-2"/>
        </w:rPr>
        <w:t xml:space="preserve"> </w:t>
      </w:r>
      <w:r w:rsidRPr="00E1093C">
        <w:t>be used</w:t>
      </w:r>
      <w:r w:rsidRPr="00E1093C">
        <w:rPr>
          <w:spacing w:val="-5"/>
        </w:rPr>
        <w:t xml:space="preserve"> </w:t>
      </w:r>
      <w:r w:rsidRPr="00E1093C">
        <w:t>for</w:t>
      </w:r>
      <w:r w:rsidRPr="00E1093C">
        <w:rPr>
          <w:spacing w:val="-4"/>
        </w:rPr>
        <w:t xml:space="preserve"> </w:t>
      </w:r>
      <w:r w:rsidRPr="00E1093C">
        <w:t>proposed</w:t>
      </w:r>
      <w:r w:rsidRPr="00E1093C">
        <w:rPr>
          <w:spacing w:val="-6"/>
        </w:rPr>
        <w:t xml:space="preserve"> </w:t>
      </w:r>
      <w:r w:rsidRPr="00E1093C">
        <w:t>indication</w:t>
      </w:r>
      <w:r w:rsidRPr="00E1093C">
        <w:rPr>
          <w:spacing w:val="-5"/>
        </w:rPr>
        <w:t xml:space="preserve"> </w:t>
      </w:r>
      <w:r w:rsidRPr="00E1093C">
        <w:t>of</w:t>
      </w:r>
      <w:r w:rsidRPr="00E1093C">
        <w:rPr>
          <w:spacing w:val="-4"/>
        </w:rPr>
        <w:t xml:space="preserve"> </w:t>
      </w:r>
      <w:r w:rsidR="00AC5B37">
        <w:t xml:space="preserve">atopic dermatitis </w:t>
      </w:r>
      <w:r w:rsidRPr="00E1093C">
        <w:t>in</w:t>
      </w:r>
      <w:r w:rsidRPr="00E1093C">
        <w:rPr>
          <w:spacing w:val="-4"/>
        </w:rPr>
        <w:t xml:space="preserve"> </w:t>
      </w:r>
      <w:r w:rsidRPr="00E1093C">
        <w:t>adolescents</w:t>
      </w:r>
      <w:r w:rsidRPr="00E1093C">
        <w:rPr>
          <w:spacing w:val="-4"/>
        </w:rPr>
        <w:t xml:space="preserve"> </w:t>
      </w:r>
      <w:r w:rsidRPr="00E1093C">
        <w:t>at</w:t>
      </w:r>
      <w:r w:rsidRPr="00E1093C">
        <w:rPr>
          <w:spacing w:val="-6"/>
        </w:rPr>
        <w:t xml:space="preserve"> </w:t>
      </w:r>
      <w:r w:rsidRPr="00E1093C">
        <w:t>this</w:t>
      </w:r>
      <w:r w:rsidRPr="00E1093C">
        <w:rPr>
          <w:spacing w:val="-3"/>
        </w:rPr>
        <w:t xml:space="preserve"> </w:t>
      </w:r>
      <w:r w:rsidRPr="00E1093C">
        <w:t>time</w:t>
      </w:r>
      <w:r w:rsidRPr="00E1093C">
        <w:rPr>
          <w:spacing w:val="-3"/>
        </w:rPr>
        <w:t xml:space="preserve"> </w:t>
      </w:r>
      <w:r w:rsidRPr="00E1093C">
        <w:t>as</w:t>
      </w:r>
      <w:r w:rsidRPr="00E1093C">
        <w:rPr>
          <w:spacing w:val="-6"/>
        </w:rPr>
        <w:t xml:space="preserve"> </w:t>
      </w:r>
      <w:r w:rsidRPr="00E1093C">
        <w:t>more</w:t>
      </w:r>
      <w:r w:rsidRPr="00E1093C">
        <w:rPr>
          <w:spacing w:val="-3"/>
        </w:rPr>
        <w:t xml:space="preserve"> </w:t>
      </w:r>
      <w:r w:rsidRPr="00E1093C">
        <w:t>safety</w:t>
      </w:r>
      <w:r w:rsidRPr="00E1093C">
        <w:rPr>
          <w:spacing w:val="-3"/>
        </w:rPr>
        <w:t xml:space="preserve"> </w:t>
      </w:r>
      <w:r w:rsidRPr="00E1093C">
        <w:t>data</w:t>
      </w:r>
      <w:r w:rsidR="00B51532">
        <w:t xml:space="preserve"> </w:t>
      </w:r>
      <w:r w:rsidR="00B51532">
        <w:rPr>
          <w:spacing w:val="-46"/>
        </w:rPr>
        <w:t xml:space="preserve"> </w:t>
      </w:r>
      <w:r w:rsidRPr="00E1093C">
        <w:rPr>
          <w:spacing w:val="-46"/>
        </w:rPr>
        <w:t xml:space="preserve"> </w:t>
      </w:r>
      <w:r w:rsidRPr="00E1093C">
        <w:t>accrue</w:t>
      </w:r>
      <w:r w:rsidRPr="00E1093C">
        <w:rPr>
          <w:spacing w:val="-2"/>
        </w:rPr>
        <w:t xml:space="preserve"> </w:t>
      </w:r>
      <w:r w:rsidRPr="00E1093C">
        <w:t>on</w:t>
      </w:r>
      <w:r w:rsidRPr="00E1093C">
        <w:rPr>
          <w:spacing w:val="-1"/>
        </w:rPr>
        <w:t xml:space="preserve"> </w:t>
      </w:r>
      <w:r w:rsidRPr="00E1093C">
        <w:t>the</w:t>
      </w:r>
      <w:r w:rsidRPr="00E1093C">
        <w:rPr>
          <w:spacing w:val="-2"/>
        </w:rPr>
        <w:t xml:space="preserve"> </w:t>
      </w:r>
      <w:r w:rsidRPr="00E1093C">
        <w:t>30</w:t>
      </w:r>
      <w:r w:rsidR="00AC5B37">
        <w:t xml:space="preserve"> </w:t>
      </w:r>
      <w:r w:rsidRPr="00E1093C">
        <w:t>mg</w:t>
      </w:r>
      <w:r w:rsidRPr="00E1093C">
        <w:rPr>
          <w:spacing w:val="-3"/>
        </w:rPr>
        <w:t xml:space="preserve"> </w:t>
      </w:r>
      <w:r w:rsidRPr="00E1093C">
        <w:t>dose.</w:t>
      </w:r>
    </w:p>
    <w:p w14:paraId="5AF96443" w14:textId="68E148CF" w:rsidR="00D84569" w:rsidRPr="00E1093C" w:rsidRDefault="00D84569" w:rsidP="00AC5B37">
      <w:pPr>
        <w:ind w:left="720"/>
      </w:pPr>
      <w:r w:rsidRPr="00B476E4">
        <w:t xml:space="preserve">Studies submitted earlier for the </w:t>
      </w:r>
      <w:r w:rsidR="00AC5B37">
        <w:t>rheumatoid arthritis dossier showed higher up</w:t>
      </w:r>
      <w:r w:rsidRPr="00B476E4">
        <w:t>adacitinib exposure in</w:t>
      </w:r>
      <w:r w:rsidRPr="00B476E4">
        <w:rPr>
          <w:spacing w:val="1"/>
        </w:rPr>
        <w:t xml:space="preserve"> </w:t>
      </w:r>
      <w:r w:rsidRPr="00B476E4">
        <w:t>subjects</w:t>
      </w:r>
      <w:r w:rsidRPr="00B476E4">
        <w:rPr>
          <w:spacing w:val="-7"/>
        </w:rPr>
        <w:t xml:space="preserve"> </w:t>
      </w:r>
      <w:r w:rsidRPr="00B476E4">
        <w:t>with</w:t>
      </w:r>
      <w:r w:rsidRPr="00B476E4">
        <w:rPr>
          <w:spacing w:val="-5"/>
        </w:rPr>
        <w:t xml:space="preserve"> </w:t>
      </w:r>
      <w:r w:rsidRPr="00B476E4">
        <w:t>severe</w:t>
      </w:r>
      <w:r w:rsidRPr="00B476E4">
        <w:rPr>
          <w:spacing w:val="-3"/>
        </w:rPr>
        <w:t xml:space="preserve"> </w:t>
      </w:r>
      <w:r w:rsidRPr="00B476E4">
        <w:t>renal</w:t>
      </w:r>
      <w:r w:rsidRPr="00B476E4">
        <w:rPr>
          <w:spacing w:val="-6"/>
        </w:rPr>
        <w:t xml:space="preserve"> </w:t>
      </w:r>
      <w:r w:rsidRPr="00B476E4">
        <w:t>impairment</w:t>
      </w:r>
      <w:r w:rsidRPr="00B476E4">
        <w:rPr>
          <w:spacing w:val="-4"/>
        </w:rPr>
        <w:t xml:space="preserve"> </w:t>
      </w:r>
      <w:r w:rsidRPr="00B476E4">
        <w:t>(44%</w:t>
      </w:r>
      <w:r w:rsidRPr="00B476E4">
        <w:rPr>
          <w:spacing w:val="-3"/>
        </w:rPr>
        <w:t xml:space="preserve"> </w:t>
      </w:r>
      <w:r w:rsidRPr="00B476E4">
        <w:t>higher</w:t>
      </w:r>
      <w:r w:rsidR="00AC5B37">
        <w:rPr>
          <w:spacing w:val="-4"/>
        </w:rPr>
        <w:t xml:space="preserve"> u</w:t>
      </w:r>
      <w:r w:rsidRPr="00B476E4">
        <w:t>padacitinib</w:t>
      </w:r>
      <w:r w:rsidRPr="00B476E4">
        <w:rPr>
          <w:spacing w:val="-6"/>
        </w:rPr>
        <w:t xml:space="preserve"> </w:t>
      </w:r>
      <w:r w:rsidRPr="00B476E4">
        <w:t>AUC</w:t>
      </w:r>
      <w:r w:rsidRPr="00B476E4">
        <w:rPr>
          <w:spacing w:val="-4"/>
        </w:rPr>
        <w:t xml:space="preserve"> </w:t>
      </w:r>
      <w:r w:rsidR="00AC5B37">
        <w:rPr>
          <w:spacing w:val="-4"/>
        </w:rPr>
        <w:t xml:space="preserve">[exposure] </w:t>
      </w:r>
      <w:r w:rsidRPr="00B476E4">
        <w:t>compared</w:t>
      </w:r>
      <w:r w:rsidRPr="00B476E4">
        <w:rPr>
          <w:spacing w:val="-7"/>
        </w:rPr>
        <w:t xml:space="preserve"> </w:t>
      </w:r>
      <w:r w:rsidRPr="00B476E4">
        <w:t>to</w:t>
      </w:r>
      <w:r w:rsidRPr="00B476E4">
        <w:rPr>
          <w:spacing w:val="-3"/>
        </w:rPr>
        <w:t xml:space="preserve"> </w:t>
      </w:r>
      <w:r w:rsidRPr="00B476E4">
        <w:t>those with normal renal function) and when administered with strong CYP3A4 inhibitors</w:t>
      </w:r>
      <w:r w:rsidR="00AC5B37">
        <w:t>;</w:t>
      </w:r>
      <w:r w:rsidR="00AC5B37">
        <w:rPr>
          <w:rStyle w:val="FootnoteReference"/>
        </w:rPr>
        <w:footnoteReference w:id="77"/>
      </w:r>
      <w:r w:rsidRPr="00B476E4">
        <w:t xml:space="preserve"> (up to </w:t>
      </w:r>
      <w:r w:rsidR="00AC5B37">
        <w:t>75% higher u</w:t>
      </w:r>
      <w:r w:rsidRPr="00B476E4">
        <w:t>padacitinib exposure) following concomitant administration of</w:t>
      </w:r>
      <w:r w:rsidRPr="00B476E4">
        <w:rPr>
          <w:spacing w:val="1"/>
        </w:rPr>
        <w:t xml:space="preserve"> </w:t>
      </w:r>
      <w:r w:rsidRPr="00B476E4">
        <w:t>ketoconazole</w:t>
      </w:r>
      <w:r w:rsidRPr="00E1093C">
        <w:rPr>
          <w:spacing w:val="-3"/>
        </w:rPr>
        <w:t>.</w:t>
      </w:r>
    </w:p>
    <w:p w14:paraId="0AE33890" w14:textId="02D76D6F" w:rsidR="00D84569" w:rsidRPr="009C641E" w:rsidRDefault="00AC5B37">
      <w:r>
        <w:t>Given the above, the D</w:t>
      </w:r>
      <w:r w:rsidR="00D84569">
        <w:t>elegate</w:t>
      </w:r>
      <w:r>
        <w:t xml:space="preserve"> for this submission</w:t>
      </w:r>
      <w:r w:rsidR="00D84569">
        <w:t xml:space="preserve"> believes that it will not be in </w:t>
      </w:r>
      <w:r w:rsidR="00D84569" w:rsidRPr="00B47E2B">
        <w:t>the interest of public safety to go beyond the 15</w:t>
      </w:r>
      <w:r>
        <w:t xml:space="preserve"> </w:t>
      </w:r>
      <w:r w:rsidR="00D84569" w:rsidRPr="00B47E2B">
        <w:t xml:space="preserve">mg dose, either in adults or adolescents with </w:t>
      </w:r>
      <w:r>
        <w:t>atopic dermatitis</w:t>
      </w:r>
      <w:r w:rsidR="00D84569" w:rsidRPr="00B47E2B">
        <w:t>, pending further safety data on the 30</w:t>
      </w:r>
      <w:r>
        <w:t xml:space="preserve"> </w:t>
      </w:r>
      <w:r w:rsidR="00D84569" w:rsidRPr="00B47E2B">
        <w:t xml:space="preserve">mg dose, unless it is absolutely essential based on sound clinical judgement. </w:t>
      </w:r>
      <w:r w:rsidR="00D84569" w:rsidRPr="009C641E">
        <w:t>The concomitant</w:t>
      </w:r>
      <w:r>
        <w:t xml:space="preserve"> use of u</w:t>
      </w:r>
      <w:r w:rsidR="00D84569" w:rsidRPr="009C641E">
        <w:t>padacitinib with strong CYP3A4 inhibitors is al</w:t>
      </w:r>
      <w:r w:rsidR="00D84569">
        <w:t>ready</w:t>
      </w:r>
      <w:r w:rsidR="00D84569" w:rsidRPr="009C641E">
        <w:t xml:space="preserve"> listed as a contraindication </w:t>
      </w:r>
      <w:r w:rsidR="00D84569">
        <w:t xml:space="preserve">in the </w:t>
      </w:r>
      <w:r>
        <w:t>draft PI</w:t>
      </w:r>
      <w:r w:rsidR="00D84569" w:rsidRPr="009C641E">
        <w:t xml:space="preserve"> </w:t>
      </w:r>
      <w:r>
        <w:t>.</w:t>
      </w:r>
    </w:p>
    <w:p w14:paraId="49FD9F44" w14:textId="527619A5" w:rsidR="00D84569" w:rsidRPr="001B7CE1" w:rsidRDefault="00AF5619" w:rsidP="00D84569">
      <w:pPr>
        <w:pStyle w:val="ListParagraph"/>
        <w:autoSpaceDE w:val="0"/>
        <w:autoSpaceDN w:val="0"/>
        <w:spacing w:after="0" w:line="240" w:lineRule="auto"/>
        <w:ind w:left="0"/>
        <w:rPr>
          <w:i/>
          <w:color w:val="023AEE"/>
          <w:sz w:val="22"/>
          <w:szCs w:val="22"/>
          <w:lang w:eastAsia="ja-JP"/>
        </w:rPr>
      </w:pPr>
      <w:r>
        <w:rPr>
          <w:sz w:val="22"/>
          <w:szCs w:val="22"/>
        </w:rPr>
        <w:t>In addi</w:t>
      </w:r>
      <w:r w:rsidR="00AC5B37">
        <w:rPr>
          <w:sz w:val="22"/>
          <w:szCs w:val="22"/>
        </w:rPr>
        <w:t>tion, the</w:t>
      </w:r>
      <w:r w:rsidR="00D84569" w:rsidRPr="00030882">
        <w:rPr>
          <w:sz w:val="22"/>
          <w:szCs w:val="22"/>
        </w:rPr>
        <w:t xml:space="preserve"> predictions from </w:t>
      </w:r>
      <w:r w:rsidR="00AC5B37">
        <w:rPr>
          <w:sz w:val="22"/>
          <w:szCs w:val="22"/>
        </w:rPr>
        <w:t>the PopPK analysis (Report RD 200641)</w:t>
      </w:r>
      <w:r w:rsidR="00D84569" w:rsidRPr="00030882">
        <w:rPr>
          <w:sz w:val="22"/>
          <w:szCs w:val="22"/>
        </w:rPr>
        <w:t xml:space="preserve">, </w:t>
      </w:r>
      <w:r w:rsidR="00AC5B37" w:rsidRPr="00AC5B37">
        <w:rPr>
          <w:i/>
          <w:sz w:val="22"/>
          <w:szCs w:val="22"/>
        </w:rPr>
        <w:t>a</w:t>
      </w:r>
      <w:r w:rsidR="00AC5B37">
        <w:rPr>
          <w:i/>
          <w:sz w:val="22"/>
          <w:szCs w:val="22"/>
        </w:rPr>
        <w:t xml:space="preserve"> </w:t>
      </w:r>
      <w:r w:rsidR="00D84569" w:rsidRPr="00AC5B37">
        <w:rPr>
          <w:i/>
          <w:sz w:val="22"/>
          <w:szCs w:val="22"/>
        </w:rPr>
        <w:t>lower</w:t>
      </w:r>
      <w:r w:rsidR="00D84569" w:rsidRPr="001B7CE1">
        <w:rPr>
          <w:i/>
          <w:sz w:val="22"/>
          <w:szCs w:val="22"/>
        </w:rPr>
        <w:t xml:space="preserve"> dose might be required in those with severe renal impairment.</w:t>
      </w:r>
    </w:p>
    <w:p w14:paraId="63B7DF8E" w14:textId="30E4D264" w:rsidR="00AC5B37" w:rsidRDefault="00D84569" w:rsidP="00D84569">
      <w:pPr>
        <w:pStyle w:val="BodyText"/>
        <w:spacing w:before="120"/>
        <w:ind w:right="800"/>
        <w:rPr>
          <w:sz w:val="22"/>
          <w:szCs w:val="22"/>
        </w:rPr>
      </w:pPr>
      <w:r w:rsidRPr="00097103">
        <w:rPr>
          <w:sz w:val="22"/>
          <w:szCs w:val="22"/>
        </w:rPr>
        <w:t xml:space="preserve">The </w:t>
      </w:r>
      <w:r w:rsidR="00AC5B37">
        <w:rPr>
          <w:sz w:val="22"/>
          <w:szCs w:val="22"/>
        </w:rPr>
        <w:t>pharmacodynamic</w:t>
      </w:r>
      <w:r w:rsidRPr="00097103">
        <w:rPr>
          <w:sz w:val="22"/>
          <w:szCs w:val="22"/>
        </w:rPr>
        <w:t xml:space="preserve"> data revealed a trend </w:t>
      </w:r>
      <w:r w:rsidR="00AC5B37">
        <w:rPr>
          <w:sz w:val="22"/>
          <w:szCs w:val="22"/>
        </w:rPr>
        <w:t>towards</w:t>
      </w:r>
      <w:r w:rsidR="00AF5619">
        <w:rPr>
          <w:sz w:val="22"/>
          <w:szCs w:val="22"/>
        </w:rPr>
        <w:t>:</w:t>
      </w:r>
    </w:p>
    <w:p w14:paraId="562A5B86" w14:textId="1B5FACD9" w:rsidR="00D84569" w:rsidRPr="00AF5619" w:rsidRDefault="00AC5B37" w:rsidP="00AF5619">
      <w:pPr>
        <w:pStyle w:val="BodyText"/>
        <w:spacing w:before="120"/>
        <w:ind w:left="720" w:right="800"/>
        <w:rPr>
          <w:i/>
          <w:sz w:val="22"/>
          <w:szCs w:val="22"/>
        </w:rPr>
      </w:pPr>
      <w:r>
        <w:rPr>
          <w:i/>
          <w:sz w:val="22"/>
          <w:szCs w:val="22"/>
        </w:rPr>
        <w:t xml:space="preserve">an </w:t>
      </w:r>
      <w:r w:rsidR="00D84569" w:rsidRPr="00097103">
        <w:rPr>
          <w:i/>
          <w:sz w:val="22"/>
          <w:szCs w:val="22"/>
        </w:rPr>
        <w:t>increase in percentage of subjects experiencing a decreas</w:t>
      </w:r>
      <w:r w:rsidR="00AF5619">
        <w:rPr>
          <w:i/>
          <w:sz w:val="22"/>
          <w:szCs w:val="22"/>
        </w:rPr>
        <w:t>e in haemoglobin &gt; 2 g/dL from B</w:t>
      </w:r>
      <w:r w:rsidR="00D84569" w:rsidRPr="00097103">
        <w:rPr>
          <w:i/>
          <w:sz w:val="22"/>
          <w:szCs w:val="22"/>
        </w:rPr>
        <w:t>aseli</w:t>
      </w:r>
      <w:r w:rsidR="00AF5619">
        <w:rPr>
          <w:i/>
          <w:sz w:val="22"/>
          <w:szCs w:val="22"/>
        </w:rPr>
        <w:t>ne at Week 16 with higher 30 mg u</w:t>
      </w:r>
      <w:r w:rsidR="00D84569" w:rsidRPr="00097103">
        <w:rPr>
          <w:i/>
          <w:sz w:val="22"/>
          <w:szCs w:val="22"/>
        </w:rPr>
        <w:t>padacitinib</w:t>
      </w:r>
      <w:r w:rsidR="00D84569" w:rsidRPr="00097103">
        <w:rPr>
          <w:i/>
          <w:spacing w:val="1"/>
          <w:sz w:val="22"/>
          <w:szCs w:val="22"/>
        </w:rPr>
        <w:t xml:space="preserve"> </w:t>
      </w:r>
      <w:r w:rsidR="00D84569" w:rsidRPr="00097103">
        <w:rPr>
          <w:i/>
          <w:sz w:val="22"/>
          <w:szCs w:val="22"/>
        </w:rPr>
        <w:t>exposures,</w:t>
      </w:r>
      <w:r w:rsidR="00D84569" w:rsidRPr="00097103">
        <w:rPr>
          <w:i/>
          <w:spacing w:val="-4"/>
          <w:sz w:val="22"/>
          <w:szCs w:val="22"/>
        </w:rPr>
        <w:t xml:space="preserve"> </w:t>
      </w:r>
      <w:r w:rsidR="00D84569" w:rsidRPr="00097103">
        <w:rPr>
          <w:i/>
          <w:sz w:val="22"/>
          <w:szCs w:val="22"/>
        </w:rPr>
        <w:t>similar</w:t>
      </w:r>
      <w:r w:rsidR="00D84569" w:rsidRPr="00097103">
        <w:rPr>
          <w:i/>
          <w:spacing w:val="-1"/>
          <w:sz w:val="22"/>
          <w:szCs w:val="22"/>
        </w:rPr>
        <w:t xml:space="preserve"> </w:t>
      </w:r>
      <w:r w:rsidR="00D84569" w:rsidRPr="00097103">
        <w:rPr>
          <w:i/>
          <w:sz w:val="22"/>
          <w:szCs w:val="22"/>
        </w:rPr>
        <w:t>to</w:t>
      </w:r>
      <w:r w:rsidR="00D84569" w:rsidRPr="00097103">
        <w:rPr>
          <w:i/>
          <w:spacing w:val="-1"/>
          <w:sz w:val="22"/>
          <w:szCs w:val="22"/>
        </w:rPr>
        <w:t xml:space="preserve"> </w:t>
      </w:r>
      <w:r w:rsidR="00D84569" w:rsidRPr="00097103">
        <w:rPr>
          <w:i/>
          <w:sz w:val="22"/>
          <w:szCs w:val="22"/>
        </w:rPr>
        <w:t>that</w:t>
      </w:r>
      <w:r w:rsidR="00D84569" w:rsidRPr="00097103">
        <w:rPr>
          <w:i/>
          <w:spacing w:val="-1"/>
          <w:sz w:val="22"/>
          <w:szCs w:val="22"/>
        </w:rPr>
        <w:t xml:space="preserve"> </w:t>
      </w:r>
      <w:r w:rsidR="00D84569" w:rsidRPr="00097103">
        <w:rPr>
          <w:i/>
          <w:sz w:val="22"/>
          <w:szCs w:val="22"/>
        </w:rPr>
        <w:t>previously</w:t>
      </w:r>
      <w:r w:rsidR="00D84569" w:rsidRPr="00097103">
        <w:rPr>
          <w:i/>
          <w:spacing w:val="-2"/>
          <w:sz w:val="22"/>
          <w:szCs w:val="22"/>
        </w:rPr>
        <w:t xml:space="preserve"> </w:t>
      </w:r>
      <w:r w:rsidR="00D84569" w:rsidRPr="00097103">
        <w:rPr>
          <w:i/>
          <w:sz w:val="22"/>
          <w:szCs w:val="22"/>
        </w:rPr>
        <w:t>observed</w:t>
      </w:r>
      <w:r w:rsidR="00D84569" w:rsidRPr="00097103">
        <w:rPr>
          <w:i/>
          <w:spacing w:val="-1"/>
          <w:sz w:val="22"/>
          <w:szCs w:val="22"/>
        </w:rPr>
        <w:t xml:space="preserve"> </w:t>
      </w:r>
      <w:r w:rsidR="00D84569" w:rsidRPr="00097103">
        <w:rPr>
          <w:i/>
          <w:sz w:val="22"/>
          <w:szCs w:val="22"/>
        </w:rPr>
        <w:t>in</w:t>
      </w:r>
      <w:r w:rsidR="00D84569" w:rsidRPr="00097103">
        <w:rPr>
          <w:i/>
          <w:spacing w:val="-4"/>
          <w:sz w:val="22"/>
          <w:szCs w:val="22"/>
        </w:rPr>
        <w:t xml:space="preserve"> </w:t>
      </w:r>
      <w:r w:rsidR="00D84569" w:rsidRPr="00097103">
        <w:rPr>
          <w:i/>
          <w:sz w:val="22"/>
          <w:szCs w:val="22"/>
        </w:rPr>
        <w:t xml:space="preserve">subjects with </w:t>
      </w:r>
      <w:r w:rsidR="00AF5619">
        <w:rPr>
          <w:i/>
          <w:sz w:val="22"/>
          <w:szCs w:val="22"/>
        </w:rPr>
        <w:t>rheumatoid arthritis</w:t>
      </w:r>
      <w:r w:rsidR="00D84569" w:rsidRPr="00097103">
        <w:rPr>
          <w:i/>
          <w:spacing w:val="-2"/>
          <w:sz w:val="22"/>
          <w:szCs w:val="22"/>
        </w:rPr>
        <w:t xml:space="preserve"> </w:t>
      </w:r>
      <w:r w:rsidR="00D84569" w:rsidRPr="00097103">
        <w:rPr>
          <w:i/>
          <w:sz w:val="22"/>
          <w:szCs w:val="22"/>
        </w:rPr>
        <w:t>or</w:t>
      </w:r>
      <w:r w:rsidR="00D84569" w:rsidRPr="00097103">
        <w:rPr>
          <w:i/>
          <w:spacing w:val="-1"/>
          <w:sz w:val="22"/>
          <w:szCs w:val="22"/>
        </w:rPr>
        <w:t xml:space="preserve"> </w:t>
      </w:r>
      <w:r w:rsidR="00AF5619">
        <w:rPr>
          <w:i/>
          <w:sz w:val="22"/>
          <w:szCs w:val="22"/>
        </w:rPr>
        <w:t>ankylosing spondylitis</w:t>
      </w:r>
      <w:r w:rsidR="00D84569" w:rsidRPr="00097103">
        <w:rPr>
          <w:i/>
          <w:sz w:val="22"/>
          <w:szCs w:val="22"/>
        </w:rPr>
        <w:t>. The latter might give further cause</w:t>
      </w:r>
      <w:r w:rsidR="00D84569">
        <w:rPr>
          <w:i/>
          <w:sz w:val="22"/>
          <w:szCs w:val="22"/>
        </w:rPr>
        <w:t xml:space="preserve"> to</w:t>
      </w:r>
      <w:r w:rsidR="00D84569" w:rsidRPr="00097103">
        <w:rPr>
          <w:i/>
          <w:sz w:val="22"/>
          <w:szCs w:val="22"/>
        </w:rPr>
        <w:t xml:space="preserve"> not using the 30</w:t>
      </w:r>
      <w:r w:rsidR="00AF5619">
        <w:rPr>
          <w:i/>
          <w:sz w:val="22"/>
          <w:szCs w:val="22"/>
        </w:rPr>
        <w:t xml:space="preserve"> </w:t>
      </w:r>
      <w:r w:rsidR="00D84569" w:rsidRPr="00097103">
        <w:rPr>
          <w:i/>
          <w:sz w:val="22"/>
          <w:szCs w:val="22"/>
        </w:rPr>
        <w:t xml:space="preserve">mg dose in the absence of </w:t>
      </w:r>
      <w:r w:rsidR="00D84569">
        <w:rPr>
          <w:i/>
          <w:sz w:val="22"/>
          <w:szCs w:val="22"/>
        </w:rPr>
        <w:t>cogent</w:t>
      </w:r>
      <w:r w:rsidR="00D84569" w:rsidRPr="00097103">
        <w:rPr>
          <w:i/>
          <w:sz w:val="22"/>
          <w:szCs w:val="22"/>
        </w:rPr>
        <w:t xml:space="preserve"> clinical judgement</w:t>
      </w:r>
      <w:r w:rsidR="00D84569">
        <w:rPr>
          <w:i/>
          <w:sz w:val="22"/>
          <w:szCs w:val="22"/>
        </w:rPr>
        <w:t>.</w:t>
      </w:r>
    </w:p>
    <w:p w14:paraId="424F4288" w14:textId="373497B4" w:rsidR="00AF5619" w:rsidRDefault="00AF5619" w:rsidP="00AF5619">
      <w:pPr>
        <w:pStyle w:val="Heading5"/>
        <w:rPr>
          <w:lang w:eastAsia="ja-JP"/>
        </w:rPr>
      </w:pPr>
      <w:r>
        <w:rPr>
          <w:lang w:eastAsia="ja-JP"/>
        </w:rPr>
        <w:lastRenderedPageBreak/>
        <w:t>New indication: use in atopic dermatitis</w:t>
      </w:r>
    </w:p>
    <w:p w14:paraId="77AC931A" w14:textId="44F2A440" w:rsidR="00AF5619" w:rsidRPr="00AF5619" w:rsidRDefault="00AF5619" w:rsidP="00AF5619">
      <w:pPr>
        <w:pStyle w:val="Heading6"/>
        <w:rPr>
          <w:lang w:eastAsia="ja-JP"/>
        </w:rPr>
      </w:pPr>
      <w:r>
        <w:rPr>
          <w:lang w:eastAsia="ja-JP"/>
        </w:rPr>
        <w:t>Submitted data</w:t>
      </w:r>
    </w:p>
    <w:p w14:paraId="2E48618C" w14:textId="1825D9EA" w:rsidR="00D84569" w:rsidRDefault="00D84569" w:rsidP="00D84569">
      <w:pPr>
        <w:pStyle w:val="BodyText"/>
        <w:tabs>
          <w:tab w:val="left" w:pos="426"/>
        </w:tabs>
        <w:spacing w:before="1"/>
        <w:ind w:right="726"/>
        <w:rPr>
          <w:sz w:val="22"/>
          <w:szCs w:val="22"/>
          <w:lang w:eastAsia="ja-JP"/>
        </w:rPr>
      </w:pPr>
      <w:r w:rsidRPr="00FB2A6A">
        <w:rPr>
          <w:sz w:val="22"/>
          <w:szCs w:val="22"/>
          <w:lang w:eastAsia="ja-JP"/>
        </w:rPr>
        <w:t xml:space="preserve">Regarding the </w:t>
      </w:r>
      <w:r w:rsidR="00AF5619" w:rsidRPr="00AF5619">
        <w:rPr>
          <w:sz w:val="22"/>
          <w:szCs w:val="22"/>
          <w:lang w:eastAsia="ja-JP"/>
        </w:rPr>
        <w:t>extension of i</w:t>
      </w:r>
      <w:r w:rsidRPr="00AF5619">
        <w:rPr>
          <w:sz w:val="22"/>
          <w:szCs w:val="22"/>
          <w:lang w:eastAsia="ja-JP"/>
        </w:rPr>
        <w:t>ndication</w:t>
      </w:r>
      <w:r w:rsidRPr="00FB2A6A">
        <w:rPr>
          <w:sz w:val="22"/>
          <w:szCs w:val="22"/>
          <w:lang w:eastAsia="ja-JP"/>
        </w:rPr>
        <w:t xml:space="preserve"> component</w:t>
      </w:r>
      <w:r w:rsidR="00AF5619">
        <w:rPr>
          <w:sz w:val="22"/>
          <w:szCs w:val="22"/>
          <w:lang w:eastAsia="ja-JP"/>
        </w:rPr>
        <w:t xml:space="preserve"> of this submission</w:t>
      </w:r>
      <w:r>
        <w:rPr>
          <w:sz w:val="22"/>
          <w:szCs w:val="22"/>
          <w:lang w:eastAsia="ja-JP"/>
        </w:rPr>
        <w:t xml:space="preserve">, </w:t>
      </w:r>
      <w:r w:rsidR="00AF5619">
        <w:rPr>
          <w:sz w:val="22"/>
          <w:szCs w:val="22"/>
          <w:lang w:eastAsia="ja-JP"/>
        </w:rPr>
        <w:t>on the efficacy and safety of u</w:t>
      </w:r>
      <w:r>
        <w:rPr>
          <w:sz w:val="22"/>
          <w:szCs w:val="22"/>
          <w:lang w:eastAsia="ja-JP"/>
        </w:rPr>
        <w:t xml:space="preserve">padacitinib in adolescents and adults with moderate to severe </w:t>
      </w:r>
      <w:r w:rsidR="00AF5619">
        <w:t>atopic dermatitis</w:t>
      </w:r>
      <w:r>
        <w:rPr>
          <w:sz w:val="22"/>
          <w:szCs w:val="22"/>
          <w:lang w:eastAsia="ja-JP"/>
        </w:rPr>
        <w:t>,</w:t>
      </w:r>
      <w:r w:rsidRPr="00FB2A6A">
        <w:rPr>
          <w:sz w:val="22"/>
          <w:szCs w:val="22"/>
          <w:lang w:eastAsia="ja-JP"/>
        </w:rPr>
        <w:t xml:space="preserve"> </w:t>
      </w:r>
      <w:r>
        <w:rPr>
          <w:sz w:val="22"/>
          <w:szCs w:val="22"/>
          <w:lang w:eastAsia="ja-JP"/>
        </w:rPr>
        <w:t>the sponsor submitted</w:t>
      </w:r>
      <w:r w:rsidR="00AF5619">
        <w:rPr>
          <w:sz w:val="22"/>
          <w:szCs w:val="22"/>
          <w:lang w:eastAsia="ja-JP"/>
        </w:rPr>
        <w:t xml:space="preserve"> the following:</w:t>
      </w:r>
    </w:p>
    <w:p w14:paraId="1CE5A50B" w14:textId="2593CEBC" w:rsidR="00D84569" w:rsidRPr="00AF5619" w:rsidRDefault="00D84569" w:rsidP="00AF5619">
      <w:pPr>
        <w:pStyle w:val="ListBullet"/>
        <w:rPr>
          <w:b/>
        </w:rPr>
      </w:pPr>
      <w:r w:rsidRPr="009B4C63">
        <w:rPr>
          <w:lang w:eastAsia="ja-JP"/>
        </w:rPr>
        <w:t>Two p</w:t>
      </w:r>
      <w:r w:rsidRPr="009B4C63">
        <w:t>ivotal</w:t>
      </w:r>
      <w:r w:rsidR="00AF5619">
        <w:rPr>
          <w:spacing w:val="-4"/>
        </w:rPr>
        <w:t xml:space="preserve"> Phase III randomised</w:t>
      </w:r>
      <w:r w:rsidRPr="009B4C63">
        <w:rPr>
          <w:spacing w:val="-4"/>
        </w:rPr>
        <w:t>, placebo-controlled ,</w:t>
      </w:r>
      <w:r w:rsidR="00AF5619">
        <w:t xml:space="preserve"> double-blind studies (Studies </w:t>
      </w:r>
      <w:r w:rsidRPr="00AF5619">
        <w:t>M16-045 and</w:t>
      </w:r>
      <w:r w:rsidR="00AF5619" w:rsidRPr="00AF5619">
        <w:t xml:space="preserve"> </w:t>
      </w:r>
      <w:r w:rsidRPr="00AF5619">
        <w:t>M18-891</w:t>
      </w:r>
      <w:r w:rsidR="00AF5619" w:rsidRPr="00AF5619">
        <w:t>)</w:t>
      </w:r>
      <w:r w:rsidR="00AF5619">
        <w:t xml:space="preserve"> assessing u</w:t>
      </w:r>
      <w:r w:rsidRPr="00AF5619">
        <w:t>padacitinib (</w:t>
      </w:r>
      <w:r w:rsidR="00AF5619">
        <w:t xml:space="preserve">at doses of </w:t>
      </w:r>
      <w:r w:rsidRPr="00AF5619">
        <w:t>30</w:t>
      </w:r>
      <w:r w:rsidR="00AF5619">
        <w:t xml:space="preserve"> </w:t>
      </w:r>
      <w:r w:rsidRPr="00AF5619">
        <w:t>mg and 15</w:t>
      </w:r>
      <w:r w:rsidR="00AF5619">
        <w:t xml:space="preserve"> mg) as monotherapy;</w:t>
      </w:r>
    </w:p>
    <w:p w14:paraId="6A510B99" w14:textId="698C0B0A" w:rsidR="00D84569" w:rsidRPr="00AF5619" w:rsidRDefault="00AF5619" w:rsidP="00AF5619">
      <w:pPr>
        <w:pStyle w:val="ListBullet"/>
      </w:pPr>
      <w:r w:rsidRPr="00AF5619">
        <w:t>One pivotal Phase III</w:t>
      </w:r>
      <w:r w:rsidR="00D84569" w:rsidRPr="00AF5619">
        <w:t xml:space="preserve">, randomised, placebo-controlled, double-blind study </w:t>
      </w:r>
      <w:r w:rsidRPr="00AF5619">
        <w:t>(Study M16</w:t>
      </w:r>
      <w:r w:rsidRPr="00AF5619">
        <w:noBreakHyphen/>
      </w:r>
      <w:r w:rsidR="00D84569" w:rsidRPr="00AF5619">
        <w:t>047</w:t>
      </w:r>
      <w:r w:rsidRPr="00AF5619">
        <w:t>) assessing u</w:t>
      </w:r>
      <w:r w:rsidR="00D84569" w:rsidRPr="00AF5619">
        <w:t>padacitinib (</w:t>
      </w:r>
      <w:r w:rsidRPr="00AF5619">
        <w:t xml:space="preserve">at doses </w:t>
      </w:r>
      <w:r>
        <w:t xml:space="preserve">of </w:t>
      </w:r>
      <w:r w:rsidR="00D84569" w:rsidRPr="00AF5619">
        <w:t>30</w:t>
      </w:r>
      <w:r>
        <w:t xml:space="preserve"> </w:t>
      </w:r>
      <w:r w:rsidR="00D84569" w:rsidRPr="00AF5619">
        <w:t>mg and 15</w:t>
      </w:r>
      <w:r>
        <w:t xml:space="preserve"> </w:t>
      </w:r>
      <w:r w:rsidR="00D84569" w:rsidRPr="00AF5619">
        <w:t xml:space="preserve">mg) in combination with topical corticosteroids </w:t>
      </w:r>
    </w:p>
    <w:p w14:paraId="4AD709DD" w14:textId="1742975B" w:rsidR="00D84569" w:rsidRPr="009B4C63" w:rsidRDefault="00D84569" w:rsidP="00D84569">
      <w:pPr>
        <w:pStyle w:val="BodyText"/>
        <w:spacing w:before="119"/>
        <w:ind w:right="794"/>
        <w:rPr>
          <w:sz w:val="22"/>
          <w:szCs w:val="22"/>
        </w:rPr>
      </w:pPr>
      <w:r w:rsidRPr="009B4C63">
        <w:rPr>
          <w:sz w:val="22"/>
          <w:szCs w:val="22"/>
        </w:rPr>
        <w:t xml:space="preserve">Two other clinical trials were also provided to support the </w:t>
      </w:r>
      <w:r w:rsidR="00AF5619">
        <w:rPr>
          <w:sz w:val="22"/>
          <w:szCs w:val="22"/>
        </w:rPr>
        <w:t>extension of indication:</w:t>
      </w:r>
    </w:p>
    <w:p w14:paraId="5EE29042" w14:textId="7B93ACD0" w:rsidR="00D84569" w:rsidRPr="00AF5619" w:rsidRDefault="00AF5619" w:rsidP="00AF5619">
      <w:pPr>
        <w:pStyle w:val="ListBullet"/>
      </w:pPr>
      <w:r>
        <w:t>A Phase IIb multicent</w:t>
      </w:r>
      <w:r w:rsidR="00D84569" w:rsidRPr="00AF5619">
        <w:t>r</w:t>
      </w:r>
      <w:r>
        <w:t>e</w:t>
      </w:r>
      <w:r w:rsidR="00D84569" w:rsidRPr="00AF5619">
        <w:t>, randomised, placeb</w:t>
      </w:r>
      <w:r>
        <w:t>o controlled, double-blind, dose</w:t>
      </w:r>
      <w:r w:rsidR="00D84569" w:rsidRPr="00AF5619">
        <w:t xml:space="preserve">-ranging study </w:t>
      </w:r>
      <w:r>
        <w:t xml:space="preserve">(Study </w:t>
      </w:r>
      <w:r w:rsidR="00D84569" w:rsidRPr="00AF5619">
        <w:t>M16-048</w:t>
      </w:r>
      <w:r>
        <w:t>)</w:t>
      </w:r>
      <w:r w:rsidR="00D84569" w:rsidRPr="00AF5619">
        <w:t xml:space="preserve"> to evaluate </w:t>
      </w:r>
      <w:r>
        <w:t>u</w:t>
      </w:r>
      <w:r w:rsidR="00D84569" w:rsidRPr="00AF5619">
        <w:t>padacitinib) in a</w:t>
      </w:r>
      <w:r>
        <w:t>dult subjects with moderate to severe a</w:t>
      </w:r>
      <w:r w:rsidR="00D84569" w:rsidRPr="00AF5619">
        <w:t xml:space="preserve">topic </w:t>
      </w:r>
      <w:r>
        <w:t>d</w:t>
      </w:r>
      <w:r w:rsidR="00D84569" w:rsidRPr="00AF5619">
        <w:t>ermatitis;</w:t>
      </w:r>
      <w:r>
        <w:t xml:space="preserve"> and</w:t>
      </w:r>
    </w:p>
    <w:p w14:paraId="210D2045" w14:textId="741E952A" w:rsidR="00D84569" w:rsidRPr="00AF5619" w:rsidRDefault="00270473" w:rsidP="00270473">
      <w:pPr>
        <w:pStyle w:val="ListBullet"/>
      </w:pPr>
      <w:r>
        <w:t>A Phase III</w:t>
      </w:r>
      <w:r w:rsidR="00D84569" w:rsidRPr="00AF5619">
        <w:t xml:space="preserve"> study </w:t>
      </w:r>
      <w:r>
        <w:t xml:space="preserve">(Study </w:t>
      </w:r>
      <w:r w:rsidR="00D84569" w:rsidRPr="00AF5619">
        <w:t>M17-377</w:t>
      </w:r>
      <w:r>
        <w:t>)</w:t>
      </w:r>
      <w:r w:rsidR="00D84569" w:rsidRPr="00AF5619">
        <w:t xml:space="preserve"> </w:t>
      </w:r>
      <w:r>
        <w:t>for evaluation of u</w:t>
      </w:r>
      <w:r w:rsidR="00D84569" w:rsidRPr="00AF5619">
        <w:t>padacitinib in combination with topica</w:t>
      </w:r>
      <w:r>
        <w:t xml:space="preserve">l </w:t>
      </w:r>
      <w:r w:rsidR="00D84569" w:rsidRPr="00AF5619">
        <w:t>corticosteroids in adolescent and adult subjects in Japan.</w:t>
      </w:r>
    </w:p>
    <w:p w14:paraId="5C506299" w14:textId="48D331AE" w:rsidR="00BE7B24" w:rsidRDefault="00BE7B24" w:rsidP="00BE7B24">
      <w:pPr>
        <w:pStyle w:val="Heading6"/>
        <w:rPr>
          <w:lang w:eastAsia="en-AU" w:bidi="en-AU"/>
        </w:rPr>
      </w:pPr>
      <w:r>
        <w:rPr>
          <w:lang w:eastAsia="en-AU" w:bidi="en-AU"/>
        </w:rPr>
        <w:t>Efficacy</w:t>
      </w:r>
    </w:p>
    <w:p w14:paraId="0F9BB077" w14:textId="31F9EEF1" w:rsidR="00D84569" w:rsidRDefault="00270473" w:rsidP="00D84569">
      <w:pPr>
        <w:rPr>
          <w:rFonts w:eastAsia="TimesNewRoman" w:cs="TimesNewRoman"/>
          <w:color w:val="000000"/>
          <w:lang w:val="en-US"/>
        </w:rPr>
      </w:pPr>
      <w:r>
        <w:rPr>
          <w:rFonts w:cs="Cambria"/>
          <w:lang w:eastAsia="en-AU" w:bidi="en-AU"/>
        </w:rPr>
        <w:t>The D</w:t>
      </w:r>
      <w:r w:rsidR="00D84569" w:rsidRPr="00FE4311">
        <w:rPr>
          <w:rFonts w:cs="Cambria"/>
          <w:lang w:eastAsia="en-AU" w:bidi="en-AU"/>
        </w:rPr>
        <w:t xml:space="preserve">elegate agrees with the </w:t>
      </w:r>
      <w:r>
        <w:rPr>
          <w:rFonts w:cs="Cambria"/>
          <w:lang w:eastAsia="en-AU" w:bidi="en-AU"/>
        </w:rPr>
        <w:t>TGA’s current clinical evaluation</w:t>
      </w:r>
      <w:r w:rsidR="00D84569" w:rsidRPr="00FE4311">
        <w:rPr>
          <w:rFonts w:cs="Cambria"/>
          <w:lang w:eastAsia="en-AU" w:bidi="en-AU"/>
        </w:rPr>
        <w:t xml:space="preserve"> that adequate </w:t>
      </w:r>
      <w:r w:rsidR="00D84569" w:rsidRPr="00FE4311">
        <w:rPr>
          <w:rFonts w:eastAsia="TimesNewRoman" w:cs="TimesNewRoman"/>
          <w:color w:val="000000"/>
          <w:lang w:val="en-US"/>
        </w:rPr>
        <w:t xml:space="preserve">evidence had been provided </w:t>
      </w:r>
      <w:r>
        <w:rPr>
          <w:rFonts w:eastAsia="TimesNewRoman" w:cs="TimesNewRoman"/>
          <w:color w:val="000000"/>
          <w:lang w:val="en-US"/>
        </w:rPr>
        <w:t xml:space="preserve">through Studies </w:t>
      </w:r>
      <w:r w:rsidR="00D84569" w:rsidRPr="00270473">
        <w:t>M16-045 and M18-891, showing statistically and clinically significant improvements with both the 15</w:t>
      </w:r>
      <w:r>
        <w:t xml:space="preserve"> </w:t>
      </w:r>
      <w:r w:rsidR="00D84569" w:rsidRPr="00270473">
        <w:t>mg</w:t>
      </w:r>
      <w:r w:rsidR="00D84569">
        <w:rPr>
          <w:rFonts w:eastAsia="TimesNewRoman" w:cs="TimesNewRoman"/>
          <w:color w:val="000000"/>
          <w:lang w:val="en-US"/>
        </w:rPr>
        <w:t xml:space="preserve"> and 30 mg </w:t>
      </w:r>
      <w:r>
        <w:rPr>
          <w:rFonts w:eastAsia="TimesNewRoman" w:cs="TimesNewRoman"/>
          <w:color w:val="000000"/>
          <w:lang w:val="en-US"/>
        </w:rPr>
        <w:t>u</w:t>
      </w:r>
      <w:r w:rsidR="00D84569" w:rsidRPr="005A3D0D">
        <w:rPr>
          <w:rFonts w:eastAsia="TimesNewRoman" w:cs="TimesNewRoman"/>
          <w:color w:val="000000"/>
          <w:lang w:val="en-US"/>
        </w:rPr>
        <w:t>padacitinib</w:t>
      </w:r>
      <w:r w:rsidR="00D84569">
        <w:rPr>
          <w:rFonts w:eastAsia="TimesNewRoman" w:cs="TimesNewRoman"/>
          <w:color w:val="000000"/>
          <w:lang w:val="en-US"/>
        </w:rPr>
        <w:t xml:space="preserve"> doses </w:t>
      </w:r>
      <w:r w:rsidR="00D84569" w:rsidRPr="005A3D0D">
        <w:rPr>
          <w:rFonts w:eastAsia="TimesNewRoman" w:cs="TimesNewRoman"/>
          <w:color w:val="000000"/>
          <w:lang w:val="en-US"/>
        </w:rPr>
        <w:t xml:space="preserve">as monotherapy </w:t>
      </w:r>
      <w:r w:rsidR="00D84569">
        <w:rPr>
          <w:rFonts w:eastAsia="TimesNewRoman" w:cs="TimesNewRoman"/>
          <w:color w:val="000000"/>
          <w:lang w:val="en-US"/>
        </w:rPr>
        <w:t>over</w:t>
      </w:r>
      <w:r w:rsidR="00D84569" w:rsidRPr="005A3D0D">
        <w:rPr>
          <w:rFonts w:eastAsia="TimesNewRoman" w:cs="TimesNewRoman"/>
          <w:color w:val="000000"/>
          <w:lang w:val="en-US"/>
        </w:rPr>
        <w:t xml:space="preserve"> placebo in the co-primary </w:t>
      </w:r>
      <w:r w:rsidR="00D84569" w:rsidRPr="00B67E63">
        <w:rPr>
          <w:rFonts w:eastAsia="TimesNewRoman" w:cs="TimesNewRoman"/>
          <w:color w:val="000000"/>
          <w:lang w:val="en-US"/>
        </w:rPr>
        <w:t xml:space="preserve">endpoints of vIGA-AD 0/1 and EASI 75 at Week 16 in 1783 patients (including 228 adolescents) with moderate to severe </w:t>
      </w:r>
      <w:r w:rsidRPr="00B67E63">
        <w:t>atopic</w:t>
      </w:r>
      <w:r>
        <w:t xml:space="preserve"> dermatitis</w:t>
      </w:r>
      <w:r w:rsidR="00D84569">
        <w:rPr>
          <w:rFonts w:eastAsia="TimesNewRoman" w:cs="TimesNewRoman"/>
          <w:color w:val="000000"/>
          <w:lang w:val="en-US"/>
        </w:rPr>
        <w:t xml:space="preserve">. </w:t>
      </w:r>
    </w:p>
    <w:p w14:paraId="62CD7DF3" w14:textId="0B0A677A" w:rsidR="00D84569" w:rsidRDefault="00D84569" w:rsidP="00D84569">
      <w:pPr>
        <w:rPr>
          <w:rFonts w:eastAsia="TimesNewRoman" w:cs="TimesNewRoman"/>
          <w:color w:val="000000"/>
          <w:lang w:val="en-US"/>
        </w:rPr>
      </w:pPr>
      <w:r>
        <w:rPr>
          <w:rFonts w:eastAsia="TimesNewRoman" w:cs="TimesNewRoman"/>
          <w:color w:val="000000"/>
          <w:lang w:val="en-US"/>
        </w:rPr>
        <w:t xml:space="preserve">Precisely as per the </w:t>
      </w:r>
      <w:r w:rsidR="00270473">
        <w:rPr>
          <w:rFonts w:eastAsia="TimesNewRoman" w:cs="TimesNewRoman"/>
          <w:color w:val="000000"/>
          <w:lang w:val="en-US"/>
        </w:rPr>
        <w:t>clinical evaluation</w:t>
      </w:r>
      <w:r>
        <w:rPr>
          <w:rFonts w:eastAsia="TimesNewRoman" w:cs="TimesNewRoman"/>
          <w:color w:val="000000"/>
          <w:lang w:val="en-US"/>
        </w:rPr>
        <w:t xml:space="preserve">, for the </w:t>
      </w:r>
      <w:r w:rsidRPr="003C16C0">
        <w:rPr>
          <w:rFonts w:eastAsia="TimesNewRoman" w:cs="TimesNewRoman"/>
          <w:color w:val="000000"/>
          <w:lang w:val="en-US"/>
        </w:rPr>
        <w:t xml:space="preserve">primary EASI 75 end-point at Week 16 </w:t>
      </w:r>
      <w:r w:rsidR="00270473">
        <w:rPr>
          <w:rFonts w:eastAsia="TimesNewRoman" w:cs="TimesNewRoman"/>
          <w:color w:val="000000"/>
          <w:lang w:val="en-US"/>
        </w:rPr>
        <w:t>double blind</w:t>
      </w:r>
      <w:r>
        <w:rPr>
          <w:rFonts w:eastAsia="TimesNewRoman" w:cs="TimesNewRoman"/>
          <w:color w:val="000000"/>
          <w:lang w:val="en-US"/>
        </w:rPr>
        <w:t xml:space="preserve"> period:</w:t>
      </w:r>
    </w:p>
    <w:p w14:paraId="0065C061" w14:textId="6B59976E" w:rsidR="00D84569" w:rsidRPr="00270473" w:rsidRDefault="00D84569" w:rsidP="00270473">
      <w:pPr>
        <w:pStyle w:val="ListBullet"/>
      </w:pPr>
      <w:r w:rsidRPr="00270473">
        <w:t xml:space="preserve">In </w:t>
      </w:r>
      <w:r w:rsidR="00270473">
        <w:t xml:space="preserve">Study </w:t>
      </w:r>
      <w:r w:rsidRPr="00270473">
        <w:t xml:space="preserve">M16-045, a statistically significantly larger proportion of </w:t>
      </w:r>
      <w:r w:rsidR="00270473">
        <w:t>subjects in the upadacitinib groups achieved EASI 75 (</w:t>
      </w:r>
      <w:r w:rsidRPr="00270473">
        <w:t xml:space="preserve">69.6%, 79.7% and 16.3% in the </w:t>
      </w:r>
      <w:r w:rsidR="00270473">
        <w:t>upadacitinib</w:t>
      </w:r>
      <w:r w:rsidRPr="00270473">
        <w:t xml:space="preserve"> 15</w:t>
      </w:r>
      <w:r w:rsidR="00270473">
        <w:t> </w:t>
      </w:r>
      <w:r w:rsidRPr="00270473">
        <w:t xml:space="preserve">mg, </w:t>
      </w:r>
      <w:r w:rsidR="00270473">
        <w:t xml:space="preserve">upadacitinib </w:t>
      </w:r>
      <w:r w:rsidR="005D7175">
        <w:t>30 mg</w:t>
      </w:r>
      <w:r w:rsidRPr="00270473">
        <w:t xml:space="preserve"> and placebo groups, respectively; p</w:t>
      </w:r>
      <w:r w:rsidR="00270473">
        <w:t xml:space="preserve"> </w:t>
      </w:r>
      <w:r w:rsidRPr="00270473">
        <w:t>&lt;</w:t>
      </w:r>
      <w:r w:rsidR="00270473">
        <w:t xml:space="preserve"> 0.001 for both u</w:t>
      </w:r>
      <w:r w:rsidRPr="00270473">
        <w:t xml:space="preserve">padacitinib groups </w:t>
      </w:r>
      <w:r w:rsidR="00270473">
        <w:t>versus</w:t>
      </w:r>
      <w:r w:rsidRPr="00270473">
        <w:t xml:space="preserve"> </w:t>
      </w:r>
      <w:r w:rsidR="00270473">
        <w:t>placebo</w:t>
      </w:r>
      <w:r w:rsidRPr="00270473">
        <w:t>;</w:t>
      </w:r>
    </w:p>
    <w:p w14:paraId="5A91E855" w14:textId="463A356C" w:rsidR="00D84569" w:rsidRPr="00270473" w:rsidRDefault="00D84569" w:rsidP="00270473">
      <w:pPr>
        <w:pStyle w:val="ListBullet"/>
      </w:pPr>
      <w:r w:rsidRPr="00270473">
        <w:t xml:space="preserve">In </w:t>
      </w:r>
      <w:r w:rsidR="00270473">
        <w:t xml:space="preserve">Study </w:t>
      </w:r>
      <w:r w:rsidRPr="00270473">
        <w:t>MI8-891,</w:t>
      </w:r>
      <w:r w:rsidR="00270473">
        <w:t xml:space="preserve"> </w:t>
      </w:r>
      <w:r w:rsidRPr="00270473">
        <w:t>a statistically significantly larger</w:t>
      </w:r>
      <w:r w:rsidR="00270473">
        <w:t xml:space="preserve"> proportion of subjects in the u</w:t>
      </w:r>
      <w:r w:rsidRPr="00270473">
        <w:t xml:space="preserve">padacitinib </w:t>
      </w:r>
      <w:r w:rsidR="00270473">
        <w:t>groups achieved EASI 75 (</w:t>
      </w:r>
      <w:r w:rsidRPr="00270473">
        <w:t xml:space="preserve">60.1%, 72.9% and 13.3% in the </w:t>
      </w:r>
      <w:r w:rsidR="00270473">
        <w:t xml:space="preserve">upadacitinib </w:t>
      </w:r>
      <w:r w:rsidRPr="00270473">
        <w:t>15</w:t>
      </w:r>
      <w:r w:rsidR="00270473">
        <w:t xml:space="preserve"> mg, upadacitinib </w:t>
      </w:r>
      <w:r w:rsidRPr="00270473">
        <w:t>30</w:t>
      </w:r>
      <w:r w:rsidR="00270473">
        <w:t xml:space="preserve"> </w:t>
      </w:r>
      <w:r w:rsidRPr="00270473">
        <w:t xml:space="preserve">mg and </w:t>
      </w:r>
      <w:r w:rsidR="00270473">
        <w:t>placebo</w:t>
      </w:r>
      <w:r w:rsidRPr="00270473">
        <w:t xml:space="preserve"> groups, respectively; p</w:t>
      </w:r>
      <w:r w:rsidR="00270473">
        <w:t xml:space="preserve"> </w:t>
      </w:r>
      <w:r w:rsidRPr="00270473">
        <w:t>&lt;</w:t>
      </w:r>
      <w:r w:rsidR="00270473">
        <w:t xml:space="preserve"> </w:t>
      </w:r>
      <w:r w:rsidRPr="00270473">
        <w:t xml:space="preserve">0.001 for both </w:t>
      </w:r>
      <w:r w:rsidR="00270473">
        <w:t xml:space="preserve">upadacitinib </w:t>
      </w:r>
      <w:r w:rsidRPr="00270473">
        <w:t>v</w:t>
      </w:r>
      <w:r w:rsidR="00270473">
        <w:t>ersus placebo groups)</w:t>
      </w:r>
      <w:r w:rsidRPr="00270473">
        <w:t>.</w:t>
      </w:r>
    </w:p>
    <w:p w14:paraId="2A8AED55" w14:textId="5767931C" w:rsidR="00D84569" w:rsidRDefault="00D84569" w:rsidP="00D84569">
      <w:pPr>
        <w:spacing w:line="240" w:lineRule="auto"/>
        <w:rPr>
          <w:rFonts w:eastAsia="TimesNewRoman" w:cs="TimesNewRoman"/>
          <w:color w:val="000000"/>
          <w:lang w:val="en-US"/>
        </w:rPr>
      </w:pPr>
      <w:r>
        <w:rPr>
          <w:rFonts w:eastAsia="TimesNewRoman" w:cs="TimesNewRoman"/>
          <w:color w:val="000000"/>
          <w:lang w:val="en-US"/>
        </w:rPr>
        <w:t xml:space="preserve">Also, </w:t>
      </w:r>
      <w:r w:rsidRPr="005A3D0D">
        <w:rPr>
          <w:rFonts w:eastAsia="TimesNewRoman" w:cs="TimesNewRoman"/>
          <w:color w:val="000000"/>
          <w:lang w:val="en-US"/>
        </w:rPr>
        <w:t xml:space="preserve">each of </w:t>
      </w:r>
      <w:r>
        <w:rPr>
          <w:rFonts w:eastAsia="TimesNewRoman" w:cs="TimesNewRoman"/>
          <w:color w:val="000000"/>
          <w:lang w:val="en-US"/>
        </w:rPr>
        <w:t xml:space="preserve">the </w:t>
      </w:r>
      <w:r w:rsidRPr="005A3D0D">
        <w:rPr>
          <w:rFonts w:eastAsia="TimesNewRoman" w:cs="TimesNewRoman"/>
          <w:color w:val="000000"/>
          <w:lang w:val="en-US"/>
        </w:rPr>
        <w:t xml:space="preserve">multiplicity-controlled secondary endpoints demonstrated superiority of </w:t>
      </w:r>
      <w:r>
        <w:rPr>
          <w:rFonts w:eastAsia="TimesNewRoman" w:cs="TimesNewRoman"/>
          <w:color w:val="000000"/>
          <w:lang w:val="en-US"/>
        </w:rPr>
        <w:t>both the 15</w:t>
      </w:r>
      <w:r w:rsidR="00270473">
        <w:rPr>
          <w:rFonts w:eastAsia="TimesNewRoman" w:cs="TimesNewRoman"/>
          <w:color w:val="000000"/>
          <w:lang w:val="en-US"/>
        </w:rPr>
        <w:t xml:space="preserve"> </w:t>
      </w:r>
      <w:r>
        <w:rPr>
          <w:rFonts w:eastAsia="TimesNewRoman" w:cs="TimesNewRoman"/>
          <w:color w:val="000000"/>
          <w:lang w:val="en-US"/>
        </w:rPr>
        <w:t xml:space="preserve">mg and 30 mg </w:t>
      </w:r>
      <w:r w:rsidR="00270473">
        <w:rPr>
          <w:rFonts w:eastAsia="TimesNewRoman" w:cs="TimesNewRoman"/>
          <w:color w:val="000000"/>
          <w:lang w:val="en-US"/>
        </w:rPr>
        <w:t>u</w:t>
      </w:r>
      <w:r w:rsidRPr="005A3D0D">
        <w:rPr>
          <w:rFonts w:eastAsia="TimesNewRoman" w:cs="TimesNewRoman"/>
          <w:color w:val="000000"/>
          <w:lang w:val="en-US"/>
        </w:rPr>
        <w:t>padacitinib</w:t>
      </w:r>
      <w:r>
        <w:rPr>
          <w:rFonts w:eastAsia="TimesNewRoman" w:cs="TimesNewRoman"/>
          <w:color w:val="000000"/>
          <w:lang w:val="en-US"/>
        </w:rPr>
        <w:t xml:space="preserve"> doses </w:t>
      </w:r>
      <w:r w:rsidRPr="005A3D0D">
        <w:rPr>
          <w:rFonts w:eastAsia="TimesNewRoman" w:cs="TimesNewRoman"/>
          <w:color w:val="000000"/>
          <w:lang w:val="en-US"/>
        </w:rPr>
        <w:t xml:space="preserve">as monotherapy </w:t>
      </w:r>
      <w:r>
        <w:rPr>
          <w:rFonts w:eastAsia="TimesNewRoman" w:cs="TimesNewRoman"/>
          <w:color w:val="000000"/>
          <w:lang w:val="en-US"/>
        </w:rPr>
        <w:t xml:space="preserve">against </w:t>
      </w:r>
      <w:r w:rsidRPr="005A3D0D">
        <w:rPr>
          <w:rFonts w:eastAsia="TimesNewRoman" w:cs="TimesNewRoman"/>
          <w:color w:val="000000"/>
          <w:lang w:val="en-US"/>
        </w:rPr>
        <w:t>placebo with cl</w:t>
      </w:r>
      <w:r w:rsidR="00270473">
        <w:rPr>
          <w:rFonts w:eastAsia="TimesNewRoman" w:cs="TimesNewRoman"/>
          <w:color w:val="000000"/>
          <w:lang w:val="en-US"/>
        </w:rPr>
        <w:t xml:space="preserve">inically relevant improvements </w:t>
      </w:r>
      <w:r w:rsidRPr="005A3D0D">
        <w:rPr>
          <w:rFonts w:eastAsia="TimesNewRoman" w:cs="TimesNewRoman"/>
          <w:color w:val="000000"/>
          <w:lang w:val="en-US"/>
        </w:rPr>
        <w:t xml:space="preserve">in itch, </w:t>
      </w:r>
      <w:r w:rsidR="00270473">
        <w:t xml:space="preserve">atopic dermatitis </w:t>
      </w:r>
      <w:r w:rsidRPr="005A3D0D">
        <w:rPr>
          <w:rFonts w:eastAsia="TimesNewRoman" w:cs="TimesNewRoman"/>
          <w:color w:val="000000"/>
          <w:lang w:val="en-US"/>
        </w:rPr>
        <w:t>symptoms,</w:t>
      </w:r>
      <w:r w:rsidR="00DC1C57">
        <w:rPr>
          <w:rFonts w:eastAsia="TimesNewRoman" w:cs="TimesNewRoman"/>
          <w:color w:val="000000"/>
          <w:lang w:val="en-US"/>
        </w:rPr>
        <w:t xml:space="preserve"> impact on all aspects of life, including </w:t>
      </w:r>
      <w:r w:rsidRPr="005A3D0D">
        <w:rPr>
          <w:rFonts w:eastAsia="TimesNewRoman" w:cs="TimesNewRoman"/>
          <w:color w:val="000000"/>
          <w:lang w:val="en-US"/>
        </w:rPr>
        <w:t xml:space="preserve">sleep, </w:t>
      </w:r>
      <w:r w:rsidR="00270473">
        <w:t xml:space="preserve">atopic dermatitis </w:t>
      </w:r>
      <w:r w:rsidRPr="005A3D0D">
        <w:rPr>
          <w:rFonts w:eastAsia="TimesNewRoman" w:cs="TimesNewRoman"/>
          <w:color w:val="000000"/>
          <w:lang w:val="en-US"/>
        </w:rPr>
        <w:t xml:space="preserve">symptoms, </w:t>
      </w:r>
      <w:r w:rsidR="00270473">
        <w:rPr>
          <w:rFonts w:eastAsia="TimesNewRoman" w:cs="TimesNewRoman"/>
          <w:color w:val="000000"/>
          <w:lang w:val="en-US"/>
        </w:rPr>
        <w:t>quality of life</w:t>
      </w:r>
      <w:r w:rsidRPr="005A3D0D">
        <w:rPr>
          <w:rFonts w:eastAsia="TimesNewRoman" w:cs="TimesNewRoman"/>
          <w:color w:val="000000"/>
          <w:lang w:val="en-US"/>
        </w:rPr>
        <w:t xml:space="preserve">, HADS, DLQI, </w:t>
      </w:r>
      <w:r w:rsidR="00DC1C57">
        <w:rPr>
          <w:rFonts w:eastAsia="TimesNewRoman" w:cs="TimesNewRoman"/>
          <w:color w:val="000000"/>
          <w:lang w:val="en-US"/>
        </w:rPr>
        <w:t xml:space="preserve">and </w:t>
      </w:r>
      <w:r w:rsidRPr="005A3D0D">
        <w:rPr>
          <w:rFonts w:eastAsia="TimesNewRoman" w:cs="TimesNewRoman"/>
          <w:color w:val="000000"/>
          <w:lang w:val="en-US"/>
        </w:rPr>
        <w:t>p</w:t>
      </w:r>
      <w:r w:rsidR="00DC1C57">
        <w:rPr>
          <w:rFonts w:eastAsia="TimesNewRoman" w:cs="TimesNewRoman"/>
          <w:color w:val="000000"/>
          <w:lang w:val="en-US"/>
        </w:rPr>
        <w:t>atient perceptions of treatment.</w:t>
      </w:r>
    </w:p>
    <w:p w14:paraId="3B838837" w14:textId="6E3C20DC" w:rsidR="00DC1C57" w:rsidRDefault="00DC1C57" w:rsidP="00D84569">
      <w:pPr>
        <w:spacing w:line="240" w:lineRule="auto"/>
        <w:rPr>
          <w:rFonts w:eastAsia="TimesNewRoman" w:cs="TimesNewRoman"/>
          <w:color w:val="000000"/>
          <w:lang w:val="en-US"/>
        </w:rPr>
      </w:pPr>
      <w:r>
        <w:rPr>
          <w:rFonts w:eastAsia="TimesNewRoman" w:cs="TimesNewRoman"/>
          <w:color w:val="000000"/>
          <w:lang w:val="en-US"/>
        </w:rPr>
        <w:fldChar w:fldCharType="begin"/>
      </w:r>
      <w:r>
        <w:rPr>
          <w:rFonts w:eastAsia="TimesNewRoman" w:cs="TimesNewRoman"/>
          <w:color w:val="000000"/>
          <w:lang w:val="en-US"/>
        </w:rPr>
        <w:instrText xml:space="preserve"> REF _Ref125545162 \h </w:instrText>
      </w:r>
      <w:r>
        <w:rPr>
          <w:rFonts w:eastAsia="TimesNewRoman" w:cs="TimesNewRoman"/>
          <w:color w:val="000000"/>
          <w:lang w:val="en-US"/>
        </w:rPr>
      </w:r>
      <w:r>
        <w:rPr>
          <w:rFonts w:eastAsia="TimesNewRoman" w:cs="TimesNewRoman"/>
          <w:color w:val="000000"/>
          <w:lang w:val="en-US"/>
        </w:rPr>
        <w:fldChar w:fldCharType="separate"/>
      </w:r>
      <w:r w:rsidR="00B51532">
        <w:t xml:space="preserve">Figure </w:t>
      </w:r>
      <w:r w:rsidR="00B51532">
        <w:rPr>
          <w:noProof/>
        </w:rPr>
        <w:t>43</w:t>
      </w:r>
      <w:r>
        <w:rPr>
          <w:rFonts w:eastAsia="TimesNewRoman" w:cs="TimesNewRoman"/>
          <w:color w:val="000000"/>
          <w:lang w:val="en-US"/>
        </w:rPr>
        <w:fldChar w:fldCharType="end"/>
      </w:r>
      <w:r>
        <w:rPr>
          <w:rFonts w:eastAsia="TimesNewRoman" w:cs="TimesNewRoman"/>
          <w:color w:val="000000"/>
          <w:lang w:val="en-US"/>
        </w:rPr>
        <w:t>, shown below, summarises the efficacy outcomes across the integrated Phase III monotherapy studies.</w:t>
      </w:r>
    </w:p>
    <w:p w14:paraId="77ABB552" w14:textId="77777777" w:rsidR="00EA27DE" w:rsidRDefault="00EA27DE" w:rsidP="00D84569">
      <w:pPr>
        <w:spacing w:line="240" w:lineRule="auto"/>
        <w:rPr>
          <w:noProof/>
          <w:lang w:val="en-GB" w:eastAsia="en-GB"/>
        </w:rPr>
      </w:pPr>
    </w:p>
    <w:p w14:paraId="22D55A0B" w14:textId="2CBD6053" w:rsidR="00EA27DE" w:rsidRDefault="00EA27DE" w:rsidP="00DC1C57">
      <w:pPr>
        <w:pStyle w:val="FigureTitle"/>
      </w:pPr>
      <w:bookmarkStart w:id="163" w:name="_Ref125545162"/>
      <w:r>
        <w:lastRenderedPageBreak/>
        <w:t xml:space="preserve">Figure </w:t>
      </w:r>
      <w:fldSimple w:instr=" SEQ Figure \* ARABIC ">
        <w:r w:rsidR="00B51532">
          <w:rPr>
            <w:noProof/>
          </w:rPr>
          <w:t>43</w:t>
        </w:r>
      </w:fldSimple>
      <w:bookmarkEnd w:id="163"/>
      <w:r>
        <w:t>: Efficacy of upadacitinib 30 mg and 15 mg across atopic dermatitis domains in the placebo</w:t>
      </w:r>
      <w:r>
        <w:noBreakHyphen/>
        <w:t>controlled period (integrated Phase III monotherapy s</w:t>
      </w:r>
      <w:r w:rsidR="00DC1C57">
        <w:t>tudies)</w:t>
      </w:r>
    </w:p>
    <w:p w14:paraId="312673AD" w14:textId="2F6CB014" w:rsidR="00EA27DE" w:rsidRDefault="00EA27DE" w:rsidP="00D84569">
      <w:pPr>
        <w:spacing w:line="240" w:lineRule="auto"/>
        <w:rPr>
          <w:rFonts w:eastAsia="TimesNewRoman" w:cs="TimesNewRoman"/>
          <w:color w:val="000000"/>
          <w:lang w:val="en-US"/>
        </w:rPr>
      </w:pPr>
      <w:r>
        <w:rPr>
          <w:noProof/>
          <w:lang w:val="en-GB" w:eastAsia="en-GB"/>
        </w:rPr>
        <w:drawing>
          <wp:inline distT="0" distB="0" distL="0" distR="0" wp14:anchorId="6079C2FC" wp14:editId="3B53455A">
            <wp:extent cx="5476875" cy="2713990"/>
            <wp:effectExtent l="0" t="0" r="9525" b="0"/>
            <wp:docPr id="4" name="Picture 4" descr="Efficacy of upadacitinib 30 mg and 15 mg across atopic dermatitis domains in the placebo controlled period (integrated Phase III monotherapy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fficacy of upadacitinib 30 mg and 15 mg across atopic dermatitis domains in the placebo controlled period (integrated Phase III monotherapy studies)"/>
                    <pic:cNvPicPr/>
                  </pic:nvPicPr>
                  <pic:blipFill rotWithShape="1">
                    <a:blip r:embed="rId104"/>
                    <a:srcRect l="1534" r="412"/>
                    <a:stretch/>
                  </pic:blipFill>
                  <pic:spPr bwMode="auto">
                    <a:xfrm>
                      <a:off x="0" y="0"/>
                      <a:ext cx="5486515" cy="2718767"/>
                    </a:xfrm>
                    <a:prstGeom prst="rect">
                      <a:avLst/>
                    </a:prstGeom>
                    <a:ln>
                      <a:noFill/>
                    </a:ln>
                    <a:extLst>
                      <a:ext uri="{53640926-AAD7-44D8-BBD7-CCE9431645EC}">
                        <a14:shadowObscured xmlns:a14="http://schemas.microsoft.com/office/drawing/2010/main"/>
                      </a:ext>
                    </a:extLst>
                  </pic:spPr>
                </pic:pic>
              </a:graphicData>
            </a:graphic>
          </wp:inline>
        </w:drawing>
      </w:r>
    </w:p>
    <w:p w14:paraId="2EBF9FAF" w14:textId="204497C8" w:rsidR="00D84569" w:rsidRDefault="00DC1C57" w:rsidP="00DC1C57">
      <w:pPr>
        <w:pStyle w:val="FigureDescription"/>
      </w:pPr>
      <w:r>
        <w:t xml:space="preserve">Abbreviations: </w:t>
      </w:r>
      <w:r w:rsidRPr="00DC1C57">
        <w:t xml:space="preserve">AD = atopic dermatitis; ADerm-IS = Atopic Dermatitis Impact Scale; ADerm-SS = Atopic Dermatitis Symptoms Scale; DLQI =Dermatology Life Quality Index; </w:t>
      </w:r>
      <w:r>
        <w:t>EASI 50/75/90/100 = </w:t>
      </w:r>
      <w:r w:rsidRPr="00DC1C57">
        <w:t xml:space="preserve">50%/75%/90% improvement (reduction) in Eczema Area and Severity Index; HADS = Hospital Anxiety and Depression Scale; NRS = numerical rating scale; </w:t>
      </w:r>
      <w:r>
        <w:t xml:space="preserve">PBO = placebo; </w:t>
      </w:r>
      <w:r w:rsidRPr="00DC1C57">
        <w:t>POEM</w:t>
      </w:r>
      <w:r>
        <w:t> </w:t>
      </w:r>
      <w:r w:rsidRPr="00DC1C57">
        <w:t>=</w:t>
      </w:r>
      <w:r>
        <w:t> </w:t>
      </w:r>
      <w:r w:rsidRPr="00DC1C57">
        <w:t>Patient Oriented Eczema Measure</w:t>
      </w:r>
      <w:r>
        <w:t xml:space="preserve">; </w:t>
      </w:r>
      <w:r w:rsidR="0073427B">
        <w:t>upadacitinib</w:t>
      </w:r>
      <w:r>
        <w:t xml:space="preserve"> = upadacitinib; </w:t>
      </w:r>
      <w:r w:rsidRPr="00DC1C57">
        <w:t>vIGA-AD validated Investigator Global Assessment for Atopic Dermatitis</w:t>
      </w:r>
      <w:r>
        <w:t>.</w:t>
      </w:r>
    </w:p>
    <w:p w14:paraId="186041A6" w14:textId="08F04A56" w:rsidR="00DC1C57" w:rsidRPr="00DC1C57" w:rsidRDefault="00DC1C57" w:rsidP="00DC1C57">
      <w:pPr>
        <w:pStyle w:val="FigureDescription"/>
      </w:pPr>
      <w:r>
        <w:t xml:space="preserve">Note: </w:t>
      </w:r>
      <w:r w:rsidRPr="00DC1C57">
        <w:t>n</w:t>
      </w:r>
      <w:r w:rsidR="00B306ED">
        <w:t>on-responder imputation due to C</w:t>
      </w:r>
      <w:r w:rsidRPr="00DC1C57">
        <w:t>oronavirus 2019 pandemic</w:t>
      </w:r>
      <w:r w:rsidR="00B306ED">
        <w:t>.</w:t>
      </w:r>
    </w:p>
    <w:p w14:paraId="085DD332" w14:textId="195EE109" w:rsidR="00D84569" w:rsidRPr="005A43FD" w:rsidRDefault="00D84569" w:rsidP="00D84569">
      <w:pPr>
        <w:tabs>
          <w:tab w:val="left" w:pos="851"/>
        </w:tabs>
        <w:autoSpaceDE w:val="0"/>
        <w:autoSpaceDN w:val="0"/>
        <w:adjustRightInd w:val="0"/>
        <w:spacing w:line="240" w:lineRule="auto"/>
      </w:pPr>
      <w:r w:rsidRPr="00C825DA">
        <w:rPr>
          <w:rFonts w:eastAsia="TimesNewRoman" w:cs="TimesNewRoman"/>
          <w:lang w:val="en-US"/>
        </w:rPr>
        <w:t xml:space="preserve">There is also evidence </w:t>
      </w:r>
      <w:r w:rsidR="00DC1C57">
        <w:rPr>
          <w:rFonts w:eastAsia="TimesNewRoman" w:cs="TimesNewRoman"/>
          <w:lang w:val="en-US"/>
        </w:rPr>
        <w:t xml:space="preserve">via </w:t>
      </w:r>
      <w:r w:rsidR="00DC1C57" w:rsidRPr="00DC1C57">
        <w:t>S</w:t>
      </w:r>
      <w:r w:rsidRPr="00DC1C57">
        <w:t>tudy M16-048</w:t>
      </w:r>
      <w:r>
        <w:rPr>
          <w:b/>
        </w:rPr>
        <w:t xml:space="preserve">, </w:t>
      </w:r>
      <w:r w:rsidRPr="00C825DA">
        <w:rPr>
          <w:rFonts w:eastAsia="TimesNewRoman" w:cs="TimesNewRoman"/>
          <w:lang w:val="en-US"/>
        </w:rPr>
        <w:t xml:space="preserve">showing </w:t>
      </w:r>
      <w:r w:rsidRPr="00C825DA">
        <w:t>statistically significantly higher and dose-dependent mean percentage imp</w:t>
      </w:r>
      <w:r w:rsidR="00B306ED">
        <w:t xml:space="preserve">rovement from Baseline in Eczema Area and Severity Index (EASI) </w:t>
      </w:r>
      <w:r w:rsidRPr="00C825DA">
        <w:t>score at W</w:t>
      </w:r>
      <w:r w:rsidR="00B306ED">
        <w:t>eek 16 (primary endpoint) with upadacitinib (7.5 mg, 15 </w:t>
      </w:r>
      <w:r w:rsidRPr="00C825DA">
        <w:t>mg, and 30 mg) compared to placebo (</w:t>
      </w:r>
      <w:r w:rsidRPr="00B306ED">
        <w:t>23%, 39%, 62% and 74%</w:t>
      </w:r>
      <w:r w:rsidRPr="00C825DA">
        <w:t xml:space="preserve"> in placebo, </w:t>
      </w:r>
      <w:r w:rsidR="00B306ED">
        <w:t>upadacitinib</w:t>
      </w:r>
      <w:r w:rsidRPr="00C825DA">
        <w:t xml:space="preserve"> 7.5</w:t>
      </w:r>
      <w:r w:rsidR="00B306ED">
        <w:t xml:space="preserve"> mg</w:t>
      </w:r>
      <w:r w:rsidRPr="00C825DA">
        <w:t xml:space="preserve">, 15 </w:t>
      </w:r>
      <w:r w:rsidR="00B306ED">
        <w:t xml:space="preserve">mg and </w:t>
      </w:r>
      <w:r w:rsidRPr="00C825DA">
        <w:t>30</w:t>
      </w:r>
      <w:r w:rsidR="00BE7B24">
        <w:t xml:space="preserve"> </w:t>
      </w:r>
      <w:r w:rsidRPr="00C825DA">
        <w:t>mg groups, respectively</w:t>
      </w:r>
      <w:r w:rsidR="00B306ED">
        <w:t xml:space="preserve">. Clinically </w:t>
      </w:r>
      <w:r w:rsidRPr="005A43FD">
        <w:rPr>
          <w:lang w:val="en-US"/>
        </w:rPr>
        <w:t xml:space="preserve">meaningful and highly statistically significant dose-dependent improvements were also observed for all </w:t>
      </w:r>
      <w:r w:rsidR="00B306ED">
        <w:rPr>
          <w:lang w:val="en-US"/>
        </w:rPr>
        <w:t>key secondary endpoints in all upadacitinib dose</w:t>
      </w:r>
      <w:r w:rsidRPr="005A43FD">
        <w:rPr>
          <w:lang w:val="en-US"/>
        </w:rPr>
        <w:t xml:space="preserve"> groups (7.5 mg, 15</w:t>
      </w:r>
      <w:r w:rsidR="00B306ED">
        <w:rPr>
          <w:lang w:val="en-US"/>
        </w:rPr>
        <w:t xml:space="preserve"> </w:t>
      </w:r>
      <w:r w:rsidRPr="005A43FD">
        <w:rPr>
          <w:lang w:val="en-US"/>
        </w:rPr>
        <w:t>mg and 30</w:t>
      </w:r>
      <w:r w:rsidR="00B306ED">
        <w:rPr>
          <w:lang w:val="en-US"/>
        </w:rPr>
        <w:t xml:space="preserve"> </w:t>
      </w:r>
      <w:r w:rsidRPr="005A43FD">
        <w:rPr>
          <w:lang w:val="en-US"/>
        </w:rPr>
        <w:t>mg) compared with the placebo group.</w:t>
      </w:r>
      <w:r w:rsidRPr="005A43FD">
        <w:t xml:space="preserve"> </w:t>
      </w:r>
    </w:p>
    <w:p w14:paraId="127BD7BE" w14:textId="16B766D8" w:rsidR="00D84569" w:rsidRDefault="00D84569" w:rsidP="00D84569">
      <w:pPr>
        <w:spacing w:line="240" w:lineRule="auto"/>
        <w:rPr>
          <w:rFonts w:eastAsia="TimesNewRoman" w:cs="TimesNewRoman"/>
          <w:lang w:val="en-US"/>
        </w:rPr>
      </w:pPr>
      <w:r w:rsidRPr="00E05918">
        <w:rPr>
          <w:rFonts w:eastAsia="TimesNewRoman" w:cs="TimesNewRoman"/>
          <w:lang w:val="en-US"/>
        </w:rPr>
        <w:t xml:space="preserve">It is accepted that numerically better </w:t>
      </w:r>
      <w:r w:rsidR="00B306ED">
        <w:rPr>
          <w:rFonts w:eastAsia="TimesNewRoman" w:cs="TimesNewRoman"/>
          <w:lang w:val="en-US"/>
        </w:rPr>
        <w:t>outcomes were observed for the u</w:t>
      </w:r>
      <w:r w:rsidRPr="00E05918">
        <w:rPr>
          <w:rFonts w:eastAsia="TimesNewRoman" w:cs="TimesNewRoman"/>
          <w:lang w:val="en-US"/>
        </w:rPr>
        <w:t>padacitinib 30 mg dose than either the 7.5</w:t>
      </w:r>
      <w:r w:rsidR="00B306ED">
        <w:rPr>
          <w:rFonts w:eastAsia="TimesNewRoman" w:cs="TimesNewRoman"/>
          <w:lang w:val="en-US"/>
        </w:rPr>
        <w:t xml:space="preserve"> </w:t>
      </w:r>
      <w:r w:rsidRPr="00E05918">
        <w:rPr>
          <w:rFonts w:eastAsia="TimesNewRoman" w:cs="TimesNewRoman"/>
          <w:lang w:val="en-US"/>
        </w:rPr>
        <w:t>mg or the 15</w:t>
      </w:r>
      <w:r w:rsidR="00B306ED">
        <w:rPr>
          <w:rFonts w:eastAsia="TimesNewRoman" w:cs="TimesNewRoman"/>
          <w:lang w:val="en-US"/>
        </w:rPr>
        <w:t xml:space="preserve"> </w:t>
      </w:r>
      <w:r w:rsidRPr="00E05918">
        <w:rPr>
          <w:rFonts w:eastAsia="TimesNewRoman" w:cs="TimesNewRoman"/>
          <w:lang w:val="en-US"/>
        </w:rPr>
        <w:t>mg dose across the primary and key secondary endp</w:t>
      </w:r>
      <w:r w:rsidR="00BE7B24">
        <w:rPr>
          <w:rFonts w:eastAsia="TimesNewRoman" w:cs="TimesNewRoman"/>
          <w:lang w:val="en-US"/>
        </w:rPr>
        <w:t>oints in the monotherapy studies.</w:t>
      </w:r>
    </w:p>
    <w:p w14:paraId="14F13647" w14:textId="6ED739DE" w:rsidR="00BE7B24" w:rsidRPr="00FE4311" w:rsidRDefault="00BE7B24" w:rsidP="00BE7B24">
      <w:pPr>
        <w:pStyle w:val="Heading6"/>
        <w:rPr>
          <w:rFonts w:eastAsia="TimesNewRoman"/>
          <w:lang w:val="en-US"/>
        </w:rPr>
      </w:pPr>
      <w:r>
        <w:rPr>
          <w:rFonts w:eastAsia="TimesNewRoman"/>
          <w:lang w:val="en-US"/>
        </w:rPr>
        <w:t>Safety</w:t>
      </w:r>
    </w:p>
    <w:p w14:paraId="34105ECE" w14:textId="3A5237A2" w:rsidR="00D84569" w:rsidRPr="00C11CE1" w:rsidRDefault="00B306ED" w:rsidP="00D84569">
      <w:pPr>
        <w:spacing w:line="240" w:lineRule="auto"/>
        <w:rPr>
          <w:lang w:eastAsia="ja-JP"/>
        </w:rPr>
      </w:pPr>
      <w:r>
        <w:t>Given the above and</w:t>
      </w:r>
      <w:r w:rsidR="00D84569" w:rsidRPr="00C11CE1">
        <w:t xml:space="preserve"> the range of</w:t>
      </w:r>
      <w:r>
        <w:t xml:space="preserve"> multiple potential</w:t>
      </w:r>
      <w:r w:rsidR="00D84569" w:rsidRPr="00C11CE1">
        <w:t xml:space="preserve"> ser</w:t>
      </w:r>
      <w:r>
        <w:t>ious adverse effects (pneumonia, TB (reactivation), h</w:t>
      </w:r>
      <w:r w:rsidR="00D84569" w:rsidRPr="00C11CE1">
        <w:t>erpes Zoster</w:t>
      </w:r>
      <w:r>
        <w:t xml:space="preserve"> reactivation, h</w:t>
      </w:r>
      <w:r w:rsidR="00D84569" w:rsidRPr="00C11CE1">
        <w:t>erpes simplex</w:t>
      </w:r>
      <w:r>
        <w:t xml:space="preserve"> reactivation, malignancies, non-</w:t>
      </w:r>
      <w:r w:rsidR="00D84569" w:rsidRPr="00C11CE1">
        <w:t>melanoma</w:t>
      </w:r>
      <w:r>
        <w:t xml:space="preserve"> skin cancer, e</w:t>
      </w:r>
      <w:r w:rsidR="00D84569" w:rsidRPr="00C11CE1">
        <w:t>czema herpeticum with the associated opportunistic infection</w:t>
      </w:r>
      <w:r>
        <w:t>s, haematological derangements (such as lowered haemoglobin</w:t>
      </w:r>
      <w:r w:rsidR="00D84569" w:rsidRPr="00C11CE1">
        <w:t>,</w:t>
      </w:r>
      <w:r>
        <w:t xml:space="preserve"> neutropenia, elevated transaminases and so on) associated with upadacitinib, </w:t>
      </w:r>
      <w:r w:rsidR="00D84569" w:rsidRPr="00C11CE1">
        <w:t>most especially with the 30</w:t>
      </w:r>
      <w:r>
        <w:t xml:space="preserve"> mg dose, the D</w:t>
      </w:r>
      <w:r w:rsidR="00D84569" w:rsidRPr="00C11CE1">
        <w:t>elegate</w:t>
      </w:r>
      <w:r>
        <w:t xml:space="preserve"> for this submission</w:t>
      </w:r>
      <w:r w:rsidR="00D84569" w:rsidRPr="00C11CE1">
        <w:t xml:space="preserve"> </w:t>
      </w:r>
      <w:r>
        <w:t>was</w:t>
      </w:r>
      <w:r w:rsidR="00D84569" w:rsidRPr="00C11CE1">
        <w:t xml:space="preserve"> not inclined to approve the 30 mg dose at this point in </w:t>
      </w:r>
      <w:r>
        <w:t xml:space="preserve">time without further hindsight </w:t>
      </w:r>
      <w:r w:rsidR="00D84569" w:rsidRPr="00C11CE1">
        <w:t xml:space="preserve">knowledge of extensive long term safety data. According to the </w:t>
      </w:r>
      <w:r>
        <w:t>clinical evaluation</w:t>
      </w:r>
      <w:r w:rsidR="00D84569" w:rsidRPr="00C11CE1">
        <w:t>, 906, 899 and 902 subj</w:t>
      </w:r>
      <w:r>
        <w:t>ects were treated overall with u</w:t>
      </w:r>
      <w:r w:rsidR="00D84569" w:rsidRPr="00C11CE1">
        <w:t>padacitinib 30</w:t>
      </w:r>
      <w:r>
        <w:t xml:space="preserve"> </w:t>
      </w:r>
      <w:r w:rsidR="00D84569" w:rsidRPr="00C11CE1">
        <w:t>mg, 15</w:t>
      </w:r>
      <w:r>
        <w:t xml:space="preserve"> </w:t>
      </w:r>
      <w:r w:rsidR="00D84569" w:rsidRPr="00C11CE1">
        <w:t>mg and placebo, respe</w:t>
      </w:r>
      <w:r w:rsidR="00BE7B24">
        <w:t>ctively with similar mean exposu</w:t>
      </w:r>
      <w:r w:rsidR="00D84569" w:rsidRPr="00C11CE1">
        <w:t>re across treatment groups. These included 114, 114 and 115 adolescents</w:t>
      </w:r>
      <w:r w:rsidR="00D84569" w:rsidRPr="00C11CE1">
        <w:rPr>
          <w:b/>
        </w:rPr>
        <w:t xml:space="preserve"> </w:t>
      </w:r>
      <w:r>
        <w:t>treated with u</w:t>
      </w:r>
      <w:r w:rsidR="00D84569" w:rsidRPr="00C11CE1">
        <w:t xml:space="preserve">padacitinib </w:t>
      </w:r>
      <w:r w:rsidR="005D7175">
        <w:t>30 mg</w:t>
      </w:r>
      <w:r w:rsidR="00D84569" w:rsidRPr="00C11CE1">
        <w:t xml:space="preserve">, </w:t>
      </w:r>
      <w:r w:rsidR="005D7175">
        <w:t>15 mg</w:t>
      </w:r>
      <w:r w:rsidR="00D84569" w:rsidRPr="00C11CE1">
        <w:t xml:space="preserve"> and placebo, respectively. </w:t>
      </w:r>
      <w:r w:rsidR="00D84569" w:rsidRPr="00C11CE1">
        <w:rPr>
          <w:rFonts w:eastAsia="TimesNewRoman" w:cs="TimesNewRoman"/>
          <w:lang w:val="en-US"/>
        </w:rPr>
        <w:t xml:space="preserve">Overall, 263 </w:t>
      </w:r>
      <w:r w:rsidR="00D84569" w:rsidRPr="00B306ED">
        <w:t>(21.2%) and 246 (19.9%)</w:t>
      </w:r>
      <w:r w:rsidR="00D84569" w:rsidRPr="00C11CE1">
        <w:rPr>
          <w:rFonts w:eastAsia="TimesNewRoman" w:cs="TimesNewRoman"/>
          <w:lang w:val="en-US"/>
        </w:rPr>
        <w:t xml:space="preserve"> subjects had at </w:t>
      </w:r>
      <w:r w:rsidR="00D84569" w:rsidRPr="00C11CE1">
        <w:rPr>
          <w:rFonts w:eastAsia="TimesNewRoman" w:cs="TimesNewRoman"/>
          <w:i/>
          <w:lang w:val="en-US"/>
        </w:rPr>
        <w:t>least 12 months</w:t>
      </w:r>
      <w:r>
        <w:rPr>
          <w:rFonts w:eastAsia="TimesNewRoman" w:cs="TimesNewRoman"/>
          <w:lang w:val="en-US"/>
        </w:rPr>
        <w:t xml:space="preserve"> exposure to upadacitinib 30 mg or u</w:t>
      </w:r>
      <w:r w:rsidR="00D84569" w:rsidRPr="00C11CE1">
        <w:rPr>
          <w:rFonts w:eastAsia="TimesNewRoman" w:cs="TimesNewRoman"/>
          <w:lang w:val="en-US"/>
        </w:rPr>
        <w:t xml:space="preserve">padacitinib </w:t>
      </w:r>
      <w:r w:rsidR="00D84569" w:rsidRPr="00C11CE1">
        <w:rPr>
          <w:rFonts w:eastAsia="TimesNewRoman" w:cs="TimesNewRoman"/>
          <w:lang w:val="en-US"/>
        </w:rPr>
        <w:lastRenderedPageBreak/>
        <w:t>15 mg, respectively. In adolescents, the respective numbers were 46 (27.7%</w:t>
      </w:r>
      <w:r>
        <w:rPr>
          <w:rFonts w:eastAsia="TimesNewRoman" w:cs="TimesNewRoman"/>
          <w:lang w:val="en-US"/>
        </w:rPr>
        <w:t>) and 37 (22.2%), respectively.</w:t>
      </w:r>
    </w:p>
    <w:p w14:paraId="72850C25" w14:textId="439187C0" w:rsidR="00B306ED" w:rsidRPr="00B306ED" w:rsidRDefault="00B306ED" w:rsidP="00B306ED">
      <w:r w:rsidRPr="00B306ED">
        <w:t>The clinical evaluation further stated:</w:t>
      </w:r>
    </w:p>
    <w:p w14:paraId="7311C2F3" w14:textId="333B9795" w:rsidR="00D84569" w:rsidRPr="00B306ED" w:rsidRDefault="00B306ED" w:rsidP="00B306ED">
      <w:pPr>
        <w:ind w:left="720"/>
      </w:pPr>
      <w:r>
        <w:t>‘</w:t>
      </w:r>
      <w:r w:rsidR="00D84569" w:rsidRPr="00B306ED">
        <w:t xml:space="preserve">Integrated data from ongoing global RA </w:t>
      </w:r>
      <w:r>
        <w:t xml:space="preserve">[rheumatoid arthritis] </w:t>
      </w:r>
      <w:r w:rsidR="00D84569" w:rsidRPr="00B306ED">
        <w:t xml:space="preserve">studies showed that event rate per 100 patient years for SAEs </w:t>
      </w:r>
      <w:r>
        <w:t xml:space="preserve">[serious adverse events] </w:t>
      </w:r>
      <w:r w:rsidR="00D84569" w:rsidRPr="00B306ED">
        <w:t>and TEAEs</w:t>
      </w:r>
      <w:r>
        <w:t xml:space="preserve"> [treatment-emergent adverse events]</w:t>
      </w:r>
      <w:r w:rsidR="00D84569" w:rsidRPr="00B306ED">
        <w:t xml:space="preserve"> leading to discontinuation</w:t>
      </w:r>
      <w:r>
        <w:t xml:space="preserve"> continued to be higher in the u</w:t>
      </w:r>
      <w:r w:rsidR="00D84569" w:rsidRPr="00B306ED">
        <w:t xml:space="preserve">padacitinib 30 mg group compared to the 15 mg group. Hence, during the reporting interval of submitted PSUR </w:t>
      </w:r>
      <w:r>
        <w:t>[</w:t>
      </w:r>
      <w:r w:rsidR="005061DC">
        <w:t xml:space="preserve">periodic safety update report] </w:t>
      </w:r>
      <w:r w:rsidR="00D84569" w:rsidRPr="00B306ED">
        <w:t xml:space="preserve">(Feb-Aug 2020), the decision was made to amend the RA studies to switch subjects from 30 mg QD </w:t>
      </w:r>
      <w:r w:rsidR="005061DC">
        <w:t xml:space="preserve">[once daily] </w:t>
      </w:r>
      <w:r w:rsidR="00D84569" w:rsidRPr="00B306ED">
        <w:t>to 15 mg QD due to the 15 mg dose demonstrating the optimal benefit risk profile in patients with RA and being an approved marketed dose for RA</w:t>
      </w:r>
      <w:r>
        <w:t>.’</w:t>
      </w:r>
    </w:p>
    <w:p w14:paraId="0B70D460" w14:textId="77777777" w:rsidR="00D84569" w:rsidRDefault="00D84569" w:rsidP="00D84569">
      <w:pPr>
        <w:pStyle w:val="BodyText"/>
        <w:spacing w:before="119"/>
        <w:ind w:right="794"/>
        <w:rPr>
          <w:sz w:val="22"/>
          <w:szCs w:val="22"/>
          <w:lang w:val="en-US"/>
        </w:rPr>
      </w:pPr>
      <w:r>
        <w:rPr>
          <w:sz w:val="22"/>
          <w:szCs w:val="22"/>
          <w:lang w:val="en-US"/>
        </w:rPr>
        <w:t>Considering all of the above, i</w:t>
      </w:r>
      <w:r w:rsidRPr="006C1E2A">
        <w:rPr>
          <w:sz w:val="22"/>
          <w:szCs w:val="22"/>
          <w:lang w:val="en-US"/>
        </w:rPr>
        <w:t>t is preferred that</w:t>
      </w:r>
      <w:r>
        <w:rPr>
          <w:sz w:val="22"/>
          <w:szCs w:val="22"/>
          <w:lang w:val="en-US"/>
        </w:rPr>
        <w:t>:</w:t>
      </w:r>
    </w:p>
    <w:p w14:paraId="0290102A" w14:textId="5B7D58C0" w:rsidR="00D84569" w:rsidRPr="005061DC" w:rsidRDefault="005061DC" w:rsidP="005061DC">
      <w:pPr>
        <w:pStyle w:val="ListBullet"/>
      </w:pPr>
      <w:r>
        <w:t>The starting u</w:t>
      </w:r>
      <w:r w:rsidR="00D84569" w:rsidRPr="005061DC">
        <w:t xml:space="preserve">padacitinib dose for </w:t>
      </w:r>
      <w:r>
        <w:t>atopic dermatitis is 7.5 mg d</w:t>
      </w:r>
      <w:r w:rsidR="00D84569" w:rsidRPr="005061DC">
        <w:t>aily, increasing to a maximum of 15</w:t>
      </w:r>
      <w:r>
        <w:t xml:space="preserve"> </w:t>
      </w:r>
      <w:r w:rsidR="00D84569" w:rsidRPr="005061DC">
        <w:t>mg daily. The EASI 75 improvement between the 15</w:t>
      </w:r>
      <w:r>
        <w:t xml:space="preserve"> </w:t>
      </w:r>
      <w:r w:rsidR="00D84569" w:rsidRPr="005061DC">
        <w:t>mg and the 30</w:t>
      </w:r>
      <w:r>
        <w:t xml:space="preserve"> </w:t>
      </w:r>
      <w:r w:rsidR="00D84569" w:rsidRPr="005061DC">
        <w:t>mg dose is only about 10</w:t>
      </w:r>
      <w:r>
        <w:t xml:space="preserve"> points</w:t>
      </w:r>
      <w:r w:rsidR="00D84569" w:rsidRPr="005061DC">
        <w:t xml:space="preserve"> and does not safely justify a maximum dose of 30</w:t>
      </w:r>
      <w:r>
        <w:t xml:space="preserve"> </w:t>
      </w:r>
      <w:r w:rsidR="00D84569" w:rsidRPr="005061DC">
        <w:t>mg, unless the treating physician thinks otherwise based on absolute benefit/risk balance;</w:t>
      </w:r>
    </w:p>
    <w:p w14:paraId="6BC8D1F4" w14:textId="1667AA52" w:rsidR="00D84569" w:rsidRPr="005061DC" w:rsidRDefault="00782F8C" w:rsidP="005061DC">
      <w:pPr>
        <w:pStyle w:val="ListBullet"/>
      </w:pPr>
      <w:r>
        <w:t>upadacitinib</w:t>
      </w:r>
      <w:r w:rsidR="00D84569" w:rsidRPr="005061DC">
        <w:t xml:space="preserve"> be initiated and managed by the treating dermatologist, p</w:t>
      </w:r>
      <w:r w:rsidR="005061DC">
        <w:t>a</w:t>
      </w:r>
      <w:r w:rsidR="00D84569" w:rsidRPr="005061DC">
        <w:t>ediatrician or specialist physician well versed in the use of immunomodulatory therapeutic agents, like</w:t>
      </w:r>
      <w:r w:rsidR="005D7175">
        <w:t xml:space="preserve"> upadacitinib</w:t>
      </w:r>
      <w:r w:rsidR="00D84569" w:rsidRPr="005061DC">
        <w:t xml:space="preserve">. </w:t>
      </w:r>
    </w:p>
    <w:p w14:paraId="122B6E6A" w14:textId="36ADA5DC" w:rsidR="00D84569" w:rsidRPr="005061DC" w:rsidRDefault="00D84569" w:rsidP="005061DC">
      <w:r w:rsidRPr="005061DC">
        <w:t xml:space="preserve">In agreement with the </w:t>
      </w:r>
      <w:r w:rsidR="005061DC" w:rsidRPr="005061DC">
        <w:t>clinical evaluation, S</w:t>
      </w:r>
      <w:r w:rsidRPr="005061DC">
        <w:t>tudy M16-047</w:t>
      </w:r>
      <w:r w:rsidR="005061DC" w:rsidRPr="005061DC">
        <w:t xml:space="preserve"> involving 901 subjects with atopic dermatitis</w:t>
      </w:r>
      <w:r w:rsidRPr="005061DC">
        <w:t xml:space="preserve"> </w:t>
      </w:r>
      <w:r w:rsidR="005061DC" w:rsidRPr="005061DC">
        <w:t>(including 116 adolescent subjects</w:t>
      </w:r>
      <w:r w:rsidRPr="005061DC">
        <w:t>) provided sufficient clinically and statistically relevant improvemen</w:t>
      </w:r>
      <w:r w:rsidR="005061DC" w:rsidRPr="005061DC">
        <w:t xml:space="preserve">ts in the co-primary endpoints (that is, the </w:t>
      </w:r>
      <w:r w:rsidRPr="005061DC">
        <w:t>proportion of subjects who achieved EASI 75 and the proportion of subjects who achieved vIGA-AD Score of 0/1 (clear or almost clear) with at leas</w:t>
      </w:r>
      <w:r w:rsidR="005061DC" w:rsidRPr="005061DC">
        <w:t>t a 2 grade reductions at Week 16) following treatment with u</w:t>
      </w:r>
      <w:r w:rsidRPr="005061DC">
        <w:t>padacitinib 15</w:t>
      </w:r>
      <w:r w:rsidR="005061DC" w:rsidRPr="005061DC">
        <w:t xml:space="preserve"> </w:t>
      </w:r>
      <w:r w:rsidRPr="005061DC">
        <w:t>mg and 30</w:t>
      </w:r>
      <w:r w:rsidR="005061DC" w:rsidRPr="005061DC">
        <w:t xml:space="preserve"> </w:t>
      </w:r>
      <w:r w:rsidRPr="005061DC">
        <w:t>mg compared with placebo.</w:t>
      </w:r>
    </w:p>
    <w:p w14:paraId="18D4164A" w14:textId="54FDE07E" w:rsidR="00D84569" w:rsidRPr="005061DC" w:rsidRDefault="00D84569" w:rsidP="005061DC">
      <w:r w:rsidRPr="005061DC">
        <w:t xml:space="preserve">Precisely </w:t>
      </w:r>
      <w:r w:rsidR="005061DC">
        <w:t>as reported in the clinical evaluation</w:t>
      </w:r>
      <w:r w:rsidRPr="005061DC">
        <w:t>, for the pr</w:t>
      </w:r>
      <w:r w:rsidR="005061DC">
        <w:t>imary EASI 75 end-point at Week 16 of the double blind</w:t>
      </w:r>
      <w:r w:rsidRPr="005061DC">
        <w:t xml:space="preserve"> period:</w:t>
      </w:r>
    </w:p>
    <w:p w14:paraId="1B67E37C" w14:textId="67133824" w:rsidR="00D84569" w:rsidRPr="005061DC" w:rsidRDefault="005061DC" w:rsidP="005061DC">
      <w:pPr>
        <w:ind w:left="720"/>
      </w:pPr>
      <w:r>
        <w:t>‘</w:t>
      </w:r>
      <w:r w:rsidR="00D84569" w:rsidRPr="005061DC">
        <w:t xml:space="preserve">In </w:t>
      </w:r>
      <w:r>
        <w:t xml:space="preserve">[Study] </w:t>
      </w:r>
      <w:r w:rsidR="00D84569" w:rsidRPr="005061DC">
        <w:t>M16-047, a statistically significantly larger</w:t>
      </w:r>
      <w:r>
        <w:t xml:space="preserve"> proportion of subjects in the u</w:t>
      </w:r>
      <w:r w:rsidR="00D84569" w:rsidRPr="005061DC">
        <w:t>padac</w:t>
      </w:r>
      <w:r>
        <w:t>itinib groups achieved EASI 75 (</w:t>
      </w:r>
      <w:r w:rsidR="00D84569" w:rsidRPr="005061DC">
        <w:t xml:space="preserve">60.1%, 72.9% and 13.3% in the </w:t>
      </w:r>
      <w:r w:rsidR="0073427B">
        <w:t>upadacitinib</w:t>
      </w:r>
      <w:r w:rsidR="00D84569" w:rsidRPr="005061DC">
        <w:t xml:space="preserve"> </w:t>
      </w:r>
      <w:r>
        <w:t xml:space="preserve">[upadacitinib] </w:t>
      </w:r>
      <w:r w:rsidR="00D84569" w:rsidRPr="005061DC">
        <w:t>15</w:t>
      </w:r>
      <w:r>
        <w:t xml:space="preserve"> </w:t>
      </w:r>
      <w:r w:rsidR="00D84569" w:rsidRPr="005061DC">
        <w:t xml:space="preserve">mg, </w:t>
      </w:r>
      <w:r w:rsidR="0073427B">
        <w:t>upadacitinib</w:t>
      </w:r>
      <w:r w:rsidR="00D84569" w:rsidRPr="005061DC">
        <w:t xml:space="preserve"> 30</w:t>
      </w:r>
      <w:r>
        <w:t xml:space="preserve"> </w:t>
      </w:r>
      <w:r w:rsidR="00D84569" w:rsidRPr="005061DC">
        <w:t xml:space="preserve">mg and PBO </w:t>
      </w:r>
      <w:r>
        <w:t xml:space="preserve">[placebo] </w:t>
      </w:r>
      <w:r w:rsidR="00D84569" w:rsidRPr="005061DC">
        <w:t>groups, respectively; p</w:t>
      </w:r>
      <w:r>
        <w:t> </w:t>
      </w:r>
      <w:r w:rsidR="00D84569" w:rsidRPr="005061DC">
        <w:t>&lt;</w:t>
      </w:r>
      <w:r>
        <w:t> </w:t>
      </w:r>
      <w:r w:rsidR="00D84569" w:rsidRPr="005061DC">
        <w:t>0.001 fo</w:t>
      </w:r>
      <w:r>
        <w:t>r both u</w:t>
      </w:r>
      <w:r w:rsidR="00D84569" w:rsidRPr="005061DC">
        <w:t xml:space="preserve">padacitinib groups vs </w:t>
      </w:r>
      <w:r>
        <w:t>[versus] placebo)</w:t>
      </w:r>
      <w:r w:rsidR="00D84569" w:rsidRPr="005061DC">
        <w:t>.</w:t>
      </w:r>
      <w:r>
        <w:t>’</w:t>
      </w:r>
    </w:p>
    <w:p w14:paraId="7B8ED446" w14:textId="2CFC25EB" w:rsidR="00D84569" w:rsidRPr="001F5556" w:rsidRDefault="00D84569" w:rsidP="00D84569">
      <w:pPr>
        <w:autoSpaceDE w:val="0"/>
        <w:autoSpaceDN w:val="0"/>
        <w:adjustRightInd w:val="0"/>
        <w:spacing w:line="240" w:lineRule="auto"/>
        <w:rPr>
          <w:rFonts w:eastAsia="TimesNewRoman" w:cs="TimesNewRoman"/>
          <w:lang w:val="en-US"/>
        </w:rPr>
      </w:pPr>
      <w:r>
        <w:rPr>
          <w:rFonts w:eastAsia="TimesNewRoman" w:cs="TimesNewRoman"/>
          <w:lang w:val="en-US"/>
        </w:rPr>
        <w:t>T</w:t>
      </w:r>
      <w:r w:rsidRPr="001F5556">
        <w:rPr>
          <w:rFonts w:eastAsia="TimesNewRoman" w:cs="TimesNewRoman"/>
          <w:lang w:val="en-US"/>
        </w:rPr>
        <w:t>hese results were supported by significant improvements in key secondary endpoints of multiple skin clearance measures and r</w:t>
      </w:r>
      <w:r w:rsidR="005061DC">
        <w:rPr>
          <w:rFonts w:eastAsia="TimesNewRoman" w:cs="TimesNewRoman"/>
          <w:lang w:val="en-US"/>
        </w:rPr>
        <w:t>esponse thresholds to pruritus:</w:t>
      </w:r>
    </w:p>
    <w:p w14:paraId="31728588" w14:textId="655C4268" w:rsidR="00D84569" w:rsidRPr="000576AC" w:rsidRDefault="00782F8C" w:rsidP="005061DC">
      <w:pPr>
        <w:pStyle w:val="ListBullet"/>
        <w:rPr>
          <w:lang w:val="en-US"/>
        </w:rPr>
      </w:pPr>
      <w:r>
        <w:rPr>
          <w:lang w:val="en-US"/>
        </w:rPr>
        <w:t>upadacitinib</w:t>
      </w:r>
      <w:r w:rsidR="00D84569" w:rsidRPr="000576AC">
        <w:rPr>
          <w:lang w:val="en-US"/>
        </w:rPr>
        <w:t xml:space="preserve"> (30 and 15 mg) plus </w:t>
      </w:r>
      <w:r w:rsidR="005061DC">
        <w:rPr>
          <w:lang w:val="en-US"/>
        </w:rPr>
        <w:t>topical corticosteroids</w:t>
      </w:r>
      <w:r w:rsidR="00D84569" w:rsidRPr="000576AC">
        <w:rPr>
          <w:lang w:val="en-US"/>
        </w:rPr>
        <w:t xml:space="preserve"> significantly reduced itch compared with placebo plus </w:t>
      </w:r>
      <w:r>
        <w:rPr>
          <w:lang w:val="en-US"/>
        </w:rPr>
        <w:t>topical corticosteroids</w:t>
      </w:r>
      <w:r w:rsidR="00D84569" w:rsidRPr="000576AC">
        <w:rPr>
          <w:lang w:val="en-US"/>
        </w:rPr>
        <w:t xml:space="preserve"> with a greater proportion of subjects on</w:t>
      </w:r>
      <w:r w:rsidR="005D7175">
        <w:rPr>
          <w:lang w:val="en-US"/>
        </w:rPr>
        <w:t xml:space="preserve"> upadacitinib</w:t>
      </w:r>
      <w:r w:rsidR="00D84569" w:rsidRPr="000576AC">
        <w:rPr>
          <w:lang w:val="en-US"/>
        </w:rPr>
        <w:t xml:space="preserve"> achieving a reduction in Worst Pruritus NRS ≥ 4 at Week 16;</w:t>
      </w:r>
    </w:p>
    <w:p w14:paraId="11796EE0" w14:textId="413C7A03" w:rsidR="00D84569" w:rsidRPr="000576AC" w:rsidRDefault="00782F8C" w:rsidP="005061DC">
      <w:pPr>
        <w:pStyle w:val="ListBullet"/>
        <w:rPr>
          <w:lang w:val="en-US"/>
        </w:rPr>
      </w:pPr>
      <w:r>
        <w:rPr>
          <w:lang w:val="en-US"/>
        </w:rPr>
        <w:t>upadacitinib</w:t>
      </w:r>
      <w:r w:rsidR="00D84569" w:rsidRPr="000576AC">
        <w:rPr>
          <w:lang w:val="en-US"/>
        </w:rPr>
        <w:t xml:space="preserve"> (30 and 15 mg) plus </w:t>
      </w:r>
      <w:r w:rsidR="005061DC">
        <w:rPr>
          <w:lang w:val="en-US"/>
        </w:rPr>
        <w:t>topical corticosteroids</w:t>
      </w:r>
      <w:r w:rsidR="005061DC" w:rsidRPr="000576AC">
        <w:rPr>
          <w:lang w:val="en-US"/>
        </w:rPr>
        <w:t xml:space="preserve"> </w:t>
      </w:r>
      <w:r w:rsidR="00D84569" w:rsidRPr="000576AC">
        <w:rPr>
          <w:lang w:val="en-US"/>
        </w:rPr>
        <w:t xml:space="preserve">demonstrated rapid onset of action with significantly higher EASI 75 responses as early as Week 2 and a reduction in Worst Pruritus </w:t>
      </w:r>
      <w:r w:rsidR="005061DC">
        <w:rPr>
          <w:lang w:val="en-US"/>
        </w:rPr>
        <w:t>numerical rater scale (NRS score)</w:t>
      </w:r>
      <w:r w:rsidR="00D84569" w:rsidRPr="000576AC">
        <w:rPr>
          <w:lang w:val="en-US"/>
        </w:rPr>
        <w:t xml:space="preserve"> ≥ 4 as early as Week 1 compared to placebo plus </w:t>
      </w:r>
      <w:r w:rsidR="005061DC">
        <w:rPr>
          <w:lang w:val="en-US"/>
        </w:rPr>
        <w:t>topical corticosteroids.</w:t>
      </w:r>
    </w:p>
    <w:p w14:paraId="7A9F5140" w14:textId="4C9E84D9" w:rsidR="00D84569" w:rsidRPr="000576AC" w:rsidRDefault="00782F8C" w:rsidP="005061DC">
      <w:pPr>
        <w:pStyle w:val="ListBullet"/>
        <w:rPr>
          <w:lang w:val="en-US"/>
        </w:rPr>
      </w:pPr>
      <w:r>
        <w:rPr>
          <w:lang w:val="en-US"/>
        </w:rPr>
        <w:t>upadacitinib</w:t>
      </w:r>
      <w:r w:rsidR="00D84569" w:rsidRPr="000576AC">
        <w:rPr>
          <w:lang w:val="en-US"/>
        </w:rPr>
        <w:t xml:space="preserve"> (30 and 15 mg) plus </w:t>
      </w:r>
      <w:r w:rsidR="005061DC">
        <w:rPr>
          <w:lang w:val="en-US"/>
        </w:rPr>
        <w:t>topical corticosteroids</w:t>
      </w:r>
      <w:r w:rsidR="005061DC" w:rsidRPr="000576AC">
        <w:rPr>
          <w:lang w:val="en-US"/>
        </w:rPr>
        <w:t xml:space="preserve"> </w:t>
      </w:r>
      <w:r w:rsidR="00D84569" w:rsidRPr="000576AC">
        <w:rPr>
          <w:lang w:val="en-US"/>
        </w:rPr>
        <w:t xml:space="preserve">had more </w:t>
      </w:r>
      <w:r w:rsidR="005061DC">
        <w:rPr>
          <w:lang w:val="en-US"/>
        </w:rPr>
        <w:t xml:space="preserve">topical corticosteroids </w:t>
      </w:r>
      <w:r w:rsidR="00D84569" w:rsidRPr="000576AC">
        <w:rPr>
          <w:lang w:val="en-US"/>
        </w:rPr>
        <w:t xml:space="preserve">free days with an EASI 75 response and an earlier discontinuation of all </w:t>
      </w:r>
      <w:r w:rsidR="005061DC">
        <w:rPr>
          <w:lang w:val="en-US"/>
        </w:rPr>
        <w:t>topical corticosteroids</w:t>
      </w:r>
      <w:r w:rsidR="005061DC" w:rsidRPr="000576AC">
        <w:rPr>
          <w:lang w:val="en-US"/>
        </w:rPr>
        <w:t xml:space="preserve"> </w:t>
      </w:r>
      <w:r w:rsidR="00D84569" w:rsidRPr="000576AC">
        <w:rPr>
          <w:lang w:val="en-US"/>
        </w:rPr>
        <w:t xml:space="preserve">with an EASI 75 response than placebo plus </w:t>
      </w:r>
      <w:r w:rsidR="005061DC">
        <w:rPr>
          <w:lang w:val="en-US"/>
        </w:rPr>
        <w:t>topical corticosteroids</w:t>
      </w:r>
      <w:r w:rsidR="005061DC" w:rsidRPr="000576AC">
        <w:rPr>
          <w:lang w:val="en-US"/>
        </w:rPr>
        <w:t xml:space="preserve"> </w:t>
      </w:r>
      <w:r w:rsidR="00D84569" w:rsidRPr="000576AC">
        <w:rPr>
          <w:lang w:val="en-US"/>
        </w:rPr>
        <w:t>at Week 16;</w:t>
      </w:r>
    </w:p>
    <w:p w14:paraId="4CFD0833" w14:textId="0B1D303E" w:rsidR="00D84569" w:rsidRPr="000576AC" w:rsidRDefault="00D84569" w:rsidP="00D84569">
      <w:pPr>
        <w:autoSpaceDE w:val="0"/>
        <w:autoSpaceDN w:val="0"/>
        <w:adjustRightInd w:val="0"/>
        <w:spacing w:line="240" w:lineRule="auto"/>
        <w:rPr>
          <w:rFonts w:eastAsia="TimesNewRoman" w:cs="TimesNewRoman"/>
          <w:lang w:val="en-US"/>
        </w:rPr>
      </w:pPr>
      <w:r w:rsidRPr="000576AC">
        <w:rPr>
          <w:rFonts w:eastAsia="TimesNewRoman" w:cs="TimesNewRoman"/>
          <w:lang w:val="en-US"/>
        </w:rPr>
        <w:t>Furtherm</w:t>
      </w:r>
      <w:r w:rsidR="005061DC">
        <w:rPr>
          <w:rFonts w:eastAsia="TimesNewRoman" w:cs="TimesNewRoman"/>
          <w:lang w:val="en-US"/>
        </w:rPr>
        <w:t>ore, u</w:t>
      </w:r>
      <w:r w:rsidRPr="000576AC">
        <w:rPr>
          <w:rFonts w:eastAsia="TimesNewRoman" w:cs="TimesNewRoman"/>
          <w:lang w:val="en-US"/>
        </w:rPr>
        <w:t xml:space="preserve">padacitinib was also associated with significant improvements in sleep disturbance, impact of </w:t>
      </w:r>
      <w:r w:rsidR="005061DC">
        <w:rPr>
          <w:rFonts w:eastAsia="TimesNewRoman" w:cs="TimesNewRoman"/>
          <w:lang w:val="en-US"/>
        </w:rPr>
        <w:t>atopic dermatitis</w:t>
      </w:r>
      <w:r w:rsidRPr="000576AC">
        <w:rPr>
          <w:rFonts w:eastAsia="TimesNewRoman" w:cs="TimesNewRoman"/>
          <w:lang w:val="en-US"/>
        </w:rPr>
        <w:t xml:space="preserve">, health-related </w:t>
      </w:r>
      <w:r w:rsidR="005061DC">
        <w:rPr>
          <w:rFonts w:eastAsia="TimesNewRoman" w:cs="TimesNewRoman"/>
          <w:lang w:val="en-US"/>
        </w:rPr>
        <w:t>quality of life</w:t>
      </w:r>
      <w:r w:rsidRPr="000576AC">
        <w:rPr>
          <w:rFonts w:eastAsia="TimesNewRoman" w:cs="TimesNewRoman"/>
          <w:lang w:val="en-US"/>
        </w:rPr>
        <w:t xml:space="preserve">, self-assessment of disease parameters. </w:t>
      </w:r>
    </w:p>
    <w:p w14:paraId="2230616C" w14:textId="675DAD8B" w:rsidR="00D84569" w:rsidRPr="005061DC" w:rsidRDefault="005061DC" w:rsidP="005061DC">
      <w:r>
        <w:rPr>
          <w:lang w:val="en-US"/>
        </w:rPr>
        <w:lastRenderedPageBreak/>
        <w:t>While both doses of u</w:t>
      </w:r>
      <w:r w:rsidR="00D84569" w:rsidRPr="000576AC">
        <w:rPr>
          <w:lang w:val="en-US"/>
        </w:rPr>
        <w:t>padacitinib (30 m</w:t>
      </w:r>
      <w:r>
        <w:rPr>
          <w:lang w:val="en-US"/>
        </w:rPr>
        <w:t>g and 15 mg) were efficacious, u</w:t>
      </w:r>
      <w:r w:rsidR="00D84569" w:rsidRPr="000576AC">
        <w:rPr>
          <w:lang w:val="en-US"/>
        </w:rPr>
        <w:t xml:space="preserve">padacitinib 30 mg plus </w:t>
      </w:r>
      <w:r>
        <w:rPr>
          <w:lang w:val="en-US"/>
        </w:rPr>
        <w:t>topical corticosteroids</w:t>
      </w:r>
      <w:r w:rsidRPr="000576AC">
        <w:rPr>
          <w:lang w:val="en-US"/>
        </w:rPr>
        <w:t xml:space="preserve"> </w:t>
      </w:r>
      <w:r w:rsidR="00D84569" w:rsidRPr="000576AC">
        <w:rPr>
          <w:lang w:val="en-US"/>
        </w:rPr>
        <w:t xml:space="preserve">provided numerically greater benefit to subjects than </w:t>
      </w:r>
      <w:r w:rsidRPr="005061DC">
        <w:t>u</w:t>
      </w:r>
      <w:r w:rsidR="00D84569" w:rsidRPr="005061DC">
        <w:t xml:space="preserve">padacitinib 15 mg plus </w:t>
      </w:r>
      <w:r w:rsidRPr="005061DC">
        <w:t xml:space="preserve">topical corticosteroids </w:t>
      </w:r>
      <w:r w:rsidR="00D84569" w:rsidRPr="005061DC">
        <w:t>across the endpoints tested. Consistent efficacy was demonstrated for adolescents across all endpoints.</w:t>
      </w:r>
    </w:p>
    <w:p w14:paraId="35163E5B" w14:textId="6A4CA470" w:rsidR="00D84569" w:rsidRPr="000B08BB" w:rsidRDefault="00D84569" w:rsidP="005061DC">
      <w:r w:rsidRPr="005061DC">
        <w:t xml:space="preserve">Study </w:t>
      </w:r>
      <w:r w:rsidR="005061DC">
        <w:t xml:space="preserve">M17-377 </w:t>
      </w:r>
      <w:r w:rsidRPr="005061DC">
        <w:t>provided support the combination therapy.</w:t>
      </w:r>
    </w:p>
    <w:p w14:paraId="3EE5FE0E" w14:textId="0FD79FFD" w:rsidR="00D84569" w:rsidRPr="005061DC" w:rsidRDefault="00D84569" w:rsidP="005061DC">
      <w:r w:rsidRPr="005061DC">
        <w:t xml:space="preserve">Following subgroup analyses of the co-primary endpoints </w:t>
      </w:r>
      <w:r w:rsidR="005061DC" w:rsidRPr="005061DC">
        <w:t xml:space="preserve">validated Investigator Global Assessment for Atopic Dermatitis </w:t>
      </w:r>
      <w:r w:rsidR="005061DC">
        <w:t>(</w:t>
      </w:r>
      <w:r w:rsidRPr="005061DC">
        <w:t>vIGA-AD</w:t>
      </w:r>
      <w:r w:rsidR="005061DC">
        <w:t xml:space="preserve">) score of 0 or </w:t>
      </w:r>
      <w:r w:rsidRPr="005061DC">
        <w:t xml:space="preserve">1 and </w:t>
      </w:r>
      <w:r w:rsidR="00631EBA">
        <w:t xml:space="preserve">an </w:t>
      </w:r>
      <w:r w:rsidRPr="005061DC">
        <w:t xml:space="preserve">EASI 75 </w:t>
      </w:r>
      <w:r w:rsidR="00631EBA">
        <w:t xml:space="preserve">response </w:t>
      </w:r>
      <w:r w:rsidRPr="005061DC">
        <w:t>at Week 1</w:t>
      </w:r>
      <w:r w:rsidR="00631EBA">
        <w:t>6 in each of the pivotal Phase III</w:t>
      </w:r>
      <w:r w:rsidRPr="005061DC">
        <w:t xml:space="preserve"> stu</w:t>
      </w:r>
      <w:r w:rsidR="00631EBA">
        <w:t>dies, efficacy of both doses of u</w:t>
      </w:r>
      <w:r w:rsidRPr="005061DC">
        <w:t>padacitinib 30</w:t>
      </w:r>
      <w:r w:rsidR="00631EBA">
        <w:t> </w:t>
      </w:r>
      <w:r w:rsidRPr="005061DC">
        <w:t>mg and 15</w:t>
      </w:r>
      <w:r w:rsidR="00631EBA">
        <w:t> mg once daily</w:t>
      </w:r>
      <w:r w:rsidRPr="005061DC">
        <w:t xml:space="preserve"> compared with placebo, was demonstrated overall across all subgroups by age, gender, </w:t>
      </w:r>
      <w:r w:rsidR="00631EBA">
        <w:t>body mass index</w:t>
      </w:r>
      <w:r w:rsidRPr="005061DC">
        <w:t>, race, weight, geographic region, baseline vIGA-AD, b</w:t>
      </w:r>
      <w:r w:rsidR="00631EBA">
        <w:t>aseline EASI, high specificity C-reactive protein (hsCRP)</w:t>
      </w:r>
      <w:r w:rsidRPr="005061DC">
        <w:t xml:space="preserve">, previous systemic therapy, intolerance to at least one prior </w:t>
      </w:r>
      <w:r w:rsidR="00631EBA">
        <w:rPr>
          <w:rFonts w:eastAsia="TimesNewRoman" w:cs="TimesNewRoman"/>
          <w:lang w:val="en-US"/>
        </w:rPr>
        <w:t>topical corticosteroids</w:t>
      </w:r>
      <w:r w:rsidRPr="005061DC">
        <w:t>/</w:t>
      </w:r>
      <w:r w:rsidR="00631EBA">
        <w:t>topical calcineurin inhibitors</w:t>
      </w:r>
      <w:r w:rsidRPr="005061DC">
        <w:t xml:space="preserve"> and inadequate response to at least one topical treatment. </w:t>
      </w:r>
    </w:p>
    <w:p w14:paraId="56DE8234" w14:textId="5073CFB8" w:rsidR="00D84569" w:rsidRDefault="00D84569" w:rsidP="00631EBA">
      <w:pPr>
        <w:rPr>
          <w:lang w:val="en-US"/>
        </w:rPr>
      </w:pPr>
      <w:r>
        <w:rPr>
          <w:lang w:val="en-US"/>
        </w:rPr>
        <w:t xml:space="preserve">As per the </w:t>
      </w:r>
      <w:r w:rsidR="00631EBA">
        <w:rPr>
          <w:lang w:val="en-US"/>
        </w:rPr>
        <w:t>clinical evaluation</w:t>
      </w:r>
      <w:r>
        <w:rPr>
          <w:lang w:val="en-US"/>
        </w:rPr>
        <w:t xml:space="preserve">, in the </w:t>
      </w:r>
      <w:r w:rsidRPr="008557B1">
        <w:rPr>
          <w:lang w:val="en-US"/>
        </w:rPr>
        <w:t>long term (</w:t>
      </w:r>
      <w:r w:rsidR="00631EBA">
        <w:rPr>
          <w:lang w:val="en-US"/>
        </w:rPr>
        <w:t>that is, blinded extension</w:t>
      </w:r>
      <w:r w:rsidRPr="008557B1">
        <w:rPr>
          <w:lang w:val="en-US"/>
        </w:rPr>
        <w:t>) period:</w:t>
      </w:r>
    </w:p>
    <w:p w14:paraId="3135DD3B" w14:textId="2D5508D8" w:rsidR="00D84569" w:rsidRPr="00631EBA" w:rsidRDefault="00D84569" w:rsidP="00631EBA">
      <w:pPr>
        <w:pStyle w:val="ListBullet"/>
      </w:pPr>
      <w:r w:rsidRPr="00631EBA">
        <w:t>efficacy was demonstrat</w:t>
      </w:r>
      <w:r w:rsidR="00631EBA">
        <w:t>ed in 1542 subjects (1319 adult and 223 adolescent subjects</w:t>
      </w:r>
      <w:r w:rsidRPr="00631EBA">
        <w:t xml:space="preserve"> who </w:t>
      </w:r>
      <w:r w:rsidR="00631EBA">
        <w:t>received at least 24 weeks of u</w:t>
      </w:r>
      <w:r w:rsidRPr="00631EBA">
        <w:t xml:space="preserve">padacitinib and </w:t>
      </w:r>
      <w:r w:rsidR="00631EBA">
        <w:t>344 subjects (290 adult and 54 adolescent subjects</w:t>
      </w:r>
      <w:r w:rsidRPr="00631EBA">
        <w:t>) w</w:t>
      </w:r>
      <w:r w:rsidR="00631EBA" w:rsidRPr="00631EBA">
        <w:t>ho received at least 1 year of u</w:t>
      </w:r>
      <w:r w:rsidR="00631EBA">
        <w:t>padacitinib treatment (30 mg</w:t>
      </w:r>
      <w:r w:rsidRPr="00631EBA">
        <w:t xml:space="preserve"> or</w:t>
      </w:r>
      <w:r w:rsidR="00631EBA">
        <w:t xml:space="preserve"> 15 mg once daily</w:t>
      </w:r>
      <w:r w:rsidRPr="00631EBA">
        <w:t>);</w:t>
      </w:r>
    </w:p>
    <w:p w14:paraId="7A750030" w14:textId="748D86F7" w:rsidR="00D84569" w:rsidRPr="00631EBA" w:rsidRDefault="00D84569" w:rsidP="00631EBA">
      <w:pPr>
        <w:pStyle w:val="ListBullet"/>
      </w:pPr>
      <w:r w:rsidRPr="00631EBA">
        <w:t xml:space="preserve">significant improvements (in </w:t>
      </w:r>
      <w:r w:rsidR="00631EBA">
        <w:t>v</w:t>
      </w:r>
      <w:r w:rsidRPr="00631EBA">
        <w:t>IGA-AD 0/1, EASI</w:t>
      </w:r>
      <w:r w:rsidR="00631EBA">
        <w:t xml:space="preserve"> </w:t>
      </w:r>
      <w:r w:rsidRPr="00631EBA">
        <w:t>75 and Worst Pruritus NRS ≥ 4) were observed in those who were initially randomi</w:t>
      </w:r>
      <w:r w:rsidR="00631EBA">
        <w:t>sed to placebo and switched to u</w:t>
      </w:r>
      <w:r w:rsidRPr="00631EBA">
        <w:t>padacitinib at Week 16, as well as being</w:t>
      </w:r>
      <w:r w:rsidR="00B51532">
        <w:t xml:space="preserve"> </w:t>
      </w:r>
      <w:r w:rsidRPr="00631EBA">
        <w:t>maintained among those wh</w:t>
      </w:r>
      <w:r w:rsidR="00631EBA">
        <w:t>o were initially randomised to upadacitinib and continued on u</w:t>
      </w:r>
      <w:r w:rsidRPr="00631EBA">
        <w:t>padacitinib;</w:t>
      </w:r>
    </w:p>
    <w:p w14:paraId="78676945" w14:textId="3A9204CC" w:rsidR="00D84569" w:rsidRPr="00631EBA" w:rsidRDefault="00631EBA" w:rsidP="00631EBA">
      <w:pPr>
        <w:pStyle w:val="ListBullet"/>
      </w:pPr>
      <w:r>
        <w:t>u</w:t>
      </w:r>
      <w:r w:rsidR="00D84569" w:rsidRPr="00631EBA">
        <w:t>padacitinib 30 mg group demonstrated greater resp</w:t>
      </w:r>
      <w:r>
        <w:t>onse rates than</w:t>
      </w:r>
      <w:r w:rsidR="005D7175">
        <w:t xml:space="preserve"> upadacitinib</w:t>
      </w:r>
      <w:r>
        <w:t xml:space="preserve"> 15 </w:t>
      </w:r>
      <w:r w:rsidR="00D84569" w:rsidRPr="00631EBA">
        <w:t>mg through Week 52 in terms of vIGA-AD 0/1, EASI75, EASI 100 and reduction in worst pruritus NRS &gt; 4;</w:t>
      </w:r>
    </w:p>
    <w:p w14:paraId="6E9136BE" w14:textId="772870AA" w:rsidR="00D84569" w:rsidRPr="00631EBA" w:rsidRDefault="00631EBA" w:rsidP="00631EBA">
      <w:pPr>
        <w:pStyle w:val="ListBullet"/>
      </w:pPr>
      <w:r>
        <w:t>t</w:t>
      </w:r>
      <w:r w:rsidR="00D84569" w:rsidRPr="00631EBA">
        <w:t>he number of subjects who were re-randomised as</w:t>
      </w:r>
      <w:r>
        <w:t xml:space="preserve"> EASI 75 non-responders at Week </w:t>
      </w:r>
      <w:r w:rsidR="00D84569" w:rsidRPr="00631EBA">
        <w:t>16</w:t>
      </w:r>
      <w:r w:rsidR="00D84569" w:rsidRPr="00631EBA">
        <w:rPr>
          <w:rFonts w:eastAsia="TimesNewRoman" w:cs="TimesNewRoman"/>
          <w:lang w:val="en-US"/>
        </w:rPr>
        <w:t xml:space="preserve"> (time of entry into </w:t>
      </w:r>
      <w:r>
        <w:rPr>
          <w:rFonts w:eastAsia="TimesNewRoman" w:cs="TimesNewRoman"/>
          <w:lang w:val="en-US"/>
        </w:rPr>
        <w:t>blinded extension Period 2 of Study</w:t>
      </w:r>
      <w:r w:rsidR="00D84569" w:rsidRPr="00631EBA">
        <w:rPr>
          <w:b/>
        </w:rPr>
        <w:t xml:space="preserve"> </w:t>
      </w:r>
      <w:r w:rsidR="00D84569" w:rsidRPr="00631EBA">
        <w:t>M16-048</w:t>
      </w:r>
      <w:r w:rsidR="00D84569" w:rsidRPr="00631EBA">
        <w:rPr>
          <w:rFonts w:eastAsia="TimesNewRoman" w:cs="TimesNewRoman"/>
          <w:lang w:val="en-US"/>
        </w:rPr>
        <w:t xml:space="preserve">) </w:t>
      </w:r>
      <w:r>
        <w:rPr>
          <w:rFonts w:eastAsia="TimesNewRoman" w:cs="TimesNewRoman"/>
          <w:lang w:val="en-US"/>
        </w:rPr>
        <w:t>(</w:t>
      </w:r>
      <w:r w:rsidR="00D84569" w:rsidRPr="00631EBA">
        <w:rPr>
          <w:lang w:val="en-US"/>
        </w:rPr>
        <w:t xml:space="preserve">and </w:t>
      </w:r>
      <w:r>
        <w:rPr>
          <w:lang w:val="en-US"/>
        </w:rPr>
        <w:t>possibly</w:t>
      </w:r>
      <w:r w:rsidR="00D84569" w:rsidRPr="00631EBA">
        <w:rPr>
          <w:lang w:val="en-US"/>
        </w:rPr>
        <w:t xml:space="preserve"> later)</w:t>
      </w:r>
      <w:r w:rsidR="00D84569" w:rsidRPr="00631EBA">
        <w:rPr>
          <w:rFonts w:eastAsia="TimesNewRoman" w:cs="TimesNewRoman"/>
          <w:lang w:val="en-US"/>
        </w:rPr>
        <w:t xml:space="preserve"> achieve</w:t>
      </w:r>
      <w:r>
        <w:rPr>
          <w:rFonts w:eastAsia="TimesNewRoman" w:cs="TimesNewRoman"/>
          <w:lang w:val="en-US"/>
        </w:rPr>
        <w:t>d an EASI 75 response was small among the treatment groups.</w:t>
      </w:r>
    </w:p>
    <w:p w14:paraId="18BCA224" w14:textId="44A0636D" w:rsidR="00D84569" w:rsidRPr="00631EBA" w:rsidRDefault="00631EBA" w:rsidP="00631EBA">
      <w:r>
        <w:t>The D</w:t>
      </w:r>
      <w:r w:rsidR="00D84569" w:rsidRPr="00631EBA">
        <w:t xml:space="preserve">elegate agrees with the </w:t>
      </w:r>
      <w:r w:rsidR="004A3573">
        <w:t xml:space="preserve">findings of the </w:t>
      </w:r>
      <w:r>
        <w:t>clinical evaluat</w:t>
      </w:r>
      <w:r w:rsidR="004A3573">
        <w:t>ion</w:t>
      </w:r>
      <w:r w:rsidR="00D84569" w:rsidRPr="00631EBA">
        <w:t xml:space="preserve"> that lack of EASI</w:t>
      </w:r>
      <w:r>
        <w:t xml:space="preserve"> </w:t>
      </w:r>
      <w:r w:rsidR="00D84569" w:rsidRPr="00631EBA">
        <w:t>75 response in subje</w:t>
      </w:r>
      <w:r>
        <w:t xml:space="preserve">cts who were non-responders at </w:t>
      </w:r>
      <w:r w:rsidR="00D84569" w:rsidRPr="00631EBA">
        <w:t>Week 16 suggests that</w:t>
      </w:r>
      <w:r>
        <w:t xml:space="preserve"> continuing treatment beyond 16 </w:t>
      </w:r>
      <w:r w:rsidR="00D84569" w:rsidRPr="00631EBA">
        <w:t>weeks in</w:t>
      </w:r>
      <w:r>
        <w:t xml:space="preserve"> non-responders is unlikely to </w:t>
      </w:r>
      <w:r w:rsidR="00D84569" w:rsidRPr="00631EBA">
        <w:t>provide any benefit.</w:t>
      </w:r>
    </w:p>
    <w:p w14:paraId="719EC620" w14:textId="77777777" w:rsidR="00631EBA" w:rsidRDefault="00D84569" w:rsidP="00631EBA">
      <w:r w:rsidRPr="00631EBA">
        <w:t>The multitude of adverse effects</w:t>
      </w:r>
      <w:r w:rsidR="00631EBA">
        <w:t xml:space="preserve"> associated with the use of u</w:t>
      </w:r>
      <w:r w:rsidRPr="00631EBA">
        <w:t xml:space="preserve">padacitinib, some of which are dose related, are as alluded to earlier on and, detailed in the </w:t>
      </w:r>
      <w:r w:rsidR="00631EBA">
        <w:t>clinical evaluation’s</w:t>
      </w:r>
      <w:r w:rsidRPr="00631EBA">
        <w:t xml:space="preserve"> overall conclusions on clinical safety in this overview.</w:t>
      </w:r>
    </w:p>
    <w:p w14:paraId="649C71E0" w14:textId="425A67F8" w:rsidR="00631EBA" w:rsidRPr="00631EBA" w:rsidRDefault="00D84569" w:rsidP="00631EBA">
      <w:r w:rsidRPr="00631EBA">
        <w:t>Candidly, the sponsor discontinued the 30</w:t>
      </w:r>
      <w:r w:rsidR="00631EBA">
        <w:t xml:space="preserve"> </w:t>
      </w:r>
      <w:r w:rsidRPr="00631EBA">
        <w:t xml:space="preserve">mg dose in on-going </w:t>
      </w:r>
      <w:r w:rsidR="00631EBA">
        <w:t>rheumatoid arthritis</w:t>
      </w:r>
      <w:r w:rsidRPr="00631EBA">
        <w:t xml:space="preserve"> studies due to 15 mg </w:t>
      </w:r>
      <w:r w:rsidR="00631EBA">
        <w:t>once daily</w:t>
      </w:r>
      <w:r w:rsidRPr="00631EBA">
        <w:t xml:space="preserve"> being the approved dose for </w:t>
      </w:r>
      <w:r w:rsidR="00631EBA">
        <w:t>rheumatoid arthritis</w:t>
      </w:r>
      <w:r w:rsidRPr="00631EBA">
        <w:t xml:space="preserve"> and the 30 mg dose not adding notable efficacy, whilst demonstrating increased incidence of </w:t>
      </w:r>
      <w:r w:rsidR="00631EBA">
        <w:t>adverse events</w:t>
      </w:r>
      <w:r w:rsidRPr="00631EBA">
        <w:t xml:space="preserve">, over the 15 mg </w:t>
      </w:r>
      <w:r w:rsidR="00BE7B24">
        <w:t>once daily dose in rheumatoid arthritis.</w:t>
      </w:r>
    </w:p>
    <w:p w14:paraId="304468E0" w14:textId="581322FD" w:rsidR="00D84569" w:rsidRDefault="00D84569" w:rsidP="00631EBA">
      <w:r w:rsidRPr="00CC6031">
        <w:t xml:space="preserve">The latter is </w:t>
      </w:r>
      <w:r w:rsidR="00631EBA">
        <w:t xml:space="preserve">following the sponsor, </w:t>
      </w:r>
      <w:r w:rsidR="00BE7B24">
        <w:t>(</w:t>
      </w:r>
      <w:r w:rsidR="00631EBA">
        <w:t>via their response</w:t>
      </w:r>
      <w:r w:rsidR="00DD6D4D">
        <w:t>s</w:t>
      </w:r>
      <w:r w:rsidR="00631EBA">
        <w:t xml:space="preserve"> to TGA evaluations </w:t>
      </w:r>
      <w:r w:rsidR="00BE7B24">
        <w:t>and</w:t>
      </w:r>
      <w:r w:rsidR="00631EBA">
        <w:t xml:space="preserve"> questions</w:t>
      </w:r>
      <w:r>
        <w:t>)</w:t>
      </w:r>
      <w:r w:rsidR="00631EBA">
        <w:t>, submitting their</w:t>
      </w:r>
      <w:r w:rsidRPr="00CC6031">
        <w:t xml:space="preserve"> integrated long term safety data from Phase </w:t>
      </w:r>
      <w:r w:rsidR="00DD6D4D">
        <w:t>III</w:t>
      </w:r>
      <w:r w:rsidRPr="00CC6031">
        <w:t xml:space="preserve"> studies</w:t>
      </w:r>
      <w:r>
        <w:t>,</w:t>
      </w:r>
      <w:r w:rsidRPr="00CC6031">
        <w:t xml:space="preserve"> conducted in subjects with </w:t>
      </w:r>
      <w:r w:rsidR="00631EBA">
        <w:t>rheumatoid arthritis</w:t>
      </w:r>
      <w:r>
        <w:t>,</w:t>
      </w:r>
      <w:r w:rsidRPr="00CC6031">
        <w:t xml:space="preserve"> as of 30 June 2020</w:t>
      </w:r>
      <w:r>
        <w:t xml:space="preserve">. </w:t>
      </w:r>
    </w:p>
    <w:p w14:paraId="4B783610" w14:textId="787287BB" w:rsidR="00D84569" w:rsidRPr="00631EBA" w:rsidRDefault="00631EBA" w:rsidP="00631EBA">
      <w:pPr>
        <w:pStyle w:val="Heading6"/>
        <w:rPr>
          <w:lang w:val="en-US"/>
        </w:rPr>
      </w:pPr>
      <w:r>
        <w:rPr>
          <w:lang w:val="en-US"/>
        </w:rPr>
        <w:t>Draft product information</w:t>
      </w:r>
    </w:p>
    <w:p w14:paraId="592720F5" w14:textId="48345013" w:rsidR="00631EBA" w:rsidRDefault="00D84569" w:rsidP="00631EBA">
      <w:r w:rsidRPr="00631EBA">
        <w:t>While not proposing the 30</w:t>
      </w:r>
      <w:r w:rsidR="00631EBA" w:rsidRPr="00631EBA">
        <w:t xml:space="preserve"> </w:t>
      </w:r>
      <w:r w:rsidRPr="00631EBA">
        <w:t xml:space="preserve">mg dose for use in adolescents, the sponsor‘s statement under </w:t>
      </w:r>
      <w:r w:rsidRPr="00631EBA">
        <w:rPr>
          <w:i/>
        </w:rPr>
        <w:t>Dose and method of administration for Adults</w:t>
      </w:r>
      <w:r w:rsidR="00631EBA">
        <w:t xml:space="preserve"> </w:t>
      </w:r>
      <w:r w:rsidR="004A3573">
        <w:t xml:space="preserve">of the Rinvoq PI </w:t>
      </w:r>
      <w:r w:rsidR="00631EBA">
        <w:t>reads:</w:t>
      </w:r>
    </w:p>
    <w:p w14:paraId="5DBED1BD" w14:textId="5C828E1A" w:rsidR="00D84569" w:rsidRPr="00631EBA" w:rsidRDefault="00631EBA" w:rsidP="00631EBA">
      <w:pPr>
        <w:ind w:left="720"/>
      </w:pPr>
      <w:r>
        <w:t>‘</w:t>
      </w:r>
      <w:r w:rsidR="00D84569" w:rsidRPr="00631EBA">
        <w:t xml:space="preserve">The recommended dose of </w:t>
      </w:r>
      <w:r w:rsidRPr="00631EBA">
        <w:t xml:space="preserve">Rinvoq </w:t>
      </w:r>
      <w:r w:rsidR="00D84569" w:rsidRPr="00631EBA">
        <w:t xml:space="preserve">is 15 mg or 30 mg once daily for adults. Consider dose selection based on </w:t>
      </w:r>
      <w:r w:rsidR="00BE7B24">
        <w:t>individual patient presentation’</w:t>
      </w:r>
      <w:r w:rsidR="00D84569" w:rsidRPr="00631EBA">
        <w:t>.</w:t>
      </w:r>
    </w:p>
    <w:p w14:paraId="43951386" w14:textId="77777777" w:rsidR="00BE7B24" w:rsidRDefault="00BE7B24" w:rsidP="00BE7B24">
      <w:r>
        <w:t>The Delegate is mindful of the following:</w:t>
      </w:r>
    </w:p>
    <w:p w14:paraId="0CC1DE87" w14:textId="77777777" w:rsidR="00BE7B24" w:rsidRDefault="00BE7B24" w:rsidP="00BE7B24">
      <w:pPr>
        <w:pStyle w:val="ListBullet"/>
      </w:pPr>
      <w:r>
        <w:lastRenderedPageBreak/>
        <w:t xml:space="preserve">the </w:t>
      </w:r>
      <w:r w:rsidR="00D84569" w:rsidRPr="00C06CCF">
        <w:t>proven efficacy of the 7.5</w:t>
      </w:r>
      <w:r>
        <w:t xml:space="preserve"> </w:t>
      </w:r>
      <w:r w:rsidR="00D84569" w:rsidRPr="00C06CCF">
        <w:t>mg dose;</w:t>
      </w:r>
    </w:p>
    <w:p w14:paraId="13498057" w14:textId="77777777" w:rsidR="00BE7B24" w:rsidRDefault="00D84569" w:rsidP="00BE7B24">
      <w:pPr>
        <w:pStyle w:val="ListBullet"/>
      </w:pPr>
      <w:r w:rsidRPr="00C06CCF">
        <w:t>dose relate</w:t>
      </w:r>
      <w:r w:rsidR="00BE7B24">
        <w:t>d severe adverse effects of u</w:t>
      </w:r>
      <w:r w:rsidRPr="00C06CCF">
        <w:t xml:space="preserve">padacitinib in both adolescents and </w:t>
      </w:r>
      <w:r w:rsidR="00BE7B24">
        <w:t>adults; and</w:t>
      </w:r>
    </w:p>
    <w:p w14:paraId="64079B60" w14:textId="71322E4E" w:rsidR="00BE7B24" w:rsidRDefault="00BE7B24" w:rsidP="00BE7B24">
      <w:pPr>
        <w:pStyle w:val="ListBullet"/>
      </w:pPr>
      <w:r>
        <w:t xml:space="preserve">the </w:t>
      </w:r>
      <w:r w:rsidR="00D84569" w:rsidRPr="00C0521B">
        <w:t>lack of extensive safety data on the 30</w:t>
      </w:r>
      <w:r>
        <w:t xml:space="preserve"> mg dose</w:t>
      </w:r>
      <w:r w:rsidR="004A3573">
        <w:t>;</w:t>
      </w:r>
    </w:p>
    <w:p w14:paraId="4563F223" w14:textId="2D2763D8" w:rsidR="00D84569" w:rsidRPr="00C0521B" w:rsidRDefault="004A3573" w:rsidP="00BE7B24">
      <w:pPr>
        <w:pStyle w:val="ListBullet2"/>
      </w:pPr>
      <w:r>
        <w:t>c</w:t>
      </w:r>
      <w:r w:rsidR="00BE7B24">
        <w:t xml:space="preserve">urrent data is limited to </w:t>
      </w:r>
      <w:r w:rsidR="00D84569" w:rsidRPr="00C0521B">
        <w:t>52</w:t>
      </w:r>
      <w:r w:rsidR="00BE7B24">
        <w:t xml:space="preserve"> </w:t>
      </w:r>
      <w:r w:rsidR="00D84569" w:rsidRPr="00C0521B">
        <w:t>weeks. According to the sponsor in its response</w:t>
      </w:r>
      <w:r w:rsidR="00BE7B24">
        <w:t xml:space="preserve"> to TGA evaluations and questions</w:t>
      </w:r>
      <w:r w:rsidR="00D84569" w:rsidRPr="00C0521B">
        <w:t xml:space="preserve">, data beyond 52 weeks </w:t>
      </w:r>
      <w:r w:rsidR="00BE7B24">
        <w:rPr>
          <w:lang w:val="en-US"/>
        </w:rPr>
        <w:t>for the global Phase III</w:t>
      </w:r>
      <w:r w:rsidR="00D84569" w:rsidRPr="00C0521B">
        <w:rPr>
          <w:lang w:val="en-US"/>
        </w:rPr>
        <w:t xml:space="preserve"> studies in </w:t>
      </w:r>
      <w:r w:rsidR="00BE7B24">
        <w:rPr>
          <w:lang w:val="en-US"/>
        </w:rPr>
        <w:t>atopic dermatitis</w:t>
      </w:r>
      <w:r w:rsidR="00D84569" w:rsidRPr="00C0521B">
        <w:rPr>
          <w:lang w:val="en-US"/>
        </w:rPr>
        <w:t xml:space="preserve"> are not available at present and are </w:t>
      </w:r>
      <w:r w:rsidR="00BE7B24">
        <w:rPr>
          <w:lang w:val="en-US"/>
        </w:rPr>
        <w:t>anticipated to be available in the third quarter of</w:t>
      </w:r>
      <w:r w:rsidR="00D84569" w:rsidRPr="00C0521B">
        <w:rPr>
          <w:lang w:val="en-US"/>
        </w:rPr>
        <w:t xml:space="preserve"> 2</w:t>
      </w:r>
      <w:r w:rsidR="00BE7B24">
        <w:rPr>
          <w:lang w:val="en-US"/>
        </w:rPr>
        <w:t>023 based on an interim data cut-off</w:t>
      </w:r>
      <w:r w:rsidR="00D84569" w:rsidRPr="00C0521B">
        <w:rPr>
          <w:lang w:val="en-US"/>
        </w:rPr>
        <w:t xml:space="preserve"> of approximately 3 years</w:t>
      </w:r>
      <w:r w:rsidR="00BE7B24">
        <w:rPr>
          <w:lang w:val="en-US"/>
        </w:rPr>
        <w:t>.</w:t>
      </w:r>
    </w:p>
    <w:p w14:paraId="235F9FC7" w14:textId="59302101" w:rsidR="00BE7B24" w:rsidRDefault="00D84569">
      <w:r>
        <w:rPr>
          <w:lang w:val="en-US"/>
        </w:rPr>
        <w:t xml:space="preserve">The </w:t>
      </w:r>
      <w:r w:rsidR="00BE7B24">
        <w:rPr>
          <w:lang w:val="en-US"/>
        </w:rPr>
        <w:t xml:space="preserve">Delegate’s </w:t>
      </w:r>
      <w:r>
        <w:t xml:space="preserve">preferred </w:t>
      </w:r>
      <w:r w:rsidRPr="00C06CCF">
        <w:t>statement</w:t>
      </w:r>
      <w:r>
        <w:t xml:space="preserve"> under</w:t>
      </w:r>
      <w:r w:rsidRPr="00641FCF">
        <w:rPr>
          <w:b/>
        </w:rPr>
        <w:t xml:space="preserve"> </w:t>
      </w:r>
      <w:r w:rsidRPr="00BE7B24">
        <w:rPr>
          <w:i/>
        </w:rPr>
        <w:t>Dose and method of administration</w:t>
      </w:r>
      <w:r w:rsidR="00BE7B24">
        <w:rPr>
          <w:i/>
        </w:rPr>
        <w:t xml:space="preserve"> section </w:t>
      </w:r>
      <w:r w:rsidR="00BE7B24">
        <w:t>of the PI</w:t>
      </w:r>
      <w:r>
        <w:rPr>
          <w:b/>
        </w:rPr>
        <w:t xml:space="preserve"> </w:t>
      </w:r>
      <w:r>
        <w:t>is</w:t>
      </w:r>
      <w:r w:rsidR="00BE7B24">
        <w:t xml:space="preserve"> as follows:</w:t>
      </w:r>
    </w:p>
    <w:p w14:paraId="264D0F4B" w14:textId="2043F7FE" w:rsidR="00D84569" w:rsidRDefault="00BE7B24" w:rsidP="00BE7B24">
      <w:pPr>
        <w:pStyle w:val="BodyText"/>
        <w:spacing w:before="119"/>
        <w:ind w:left="720" w:right="794"/>
        <w:rPr>
          <w:rFonts w:eastAsia="Arial,Bold" w:cs="Arial"/>
          <w:i/>
          <w:sz w:val="22"/>
          <w:szCs w:val="22"/>
          <w:lang w:val="en-US"/>
        </w:rPr>
      </w:pPr>
      <w:r>
        <w:rPr>
          <w:rFonts w:eastAsia="Arial,Bold" w:cs="Arial"/>
          <w:i/>
          <w:sz w:val="22"/>
          <w:szCs w:val="22"/>
          <w:lang w:val="en-US"/>
        </w:rPr>
        <w:t>‘</w:t>
      </w:r>
      <w:r w:rsidR="00D84569" w:rsidRPr="0045170E">
        <w:rPr>
          <w:rFonts w:eastAsia="Arial,Bold" w:cs="Arial"/>
          <w:i/>
          <w:sz w:val="22"/>
          <w:szCs w:val="22"/>
          <w:lang w:val="en-US"/>
        </w:rPr>
        <w:t xml:space="preserve">The recommended starting dose of </w:t>
      </w:r>
      <w:r w:rsidRPr="0045170E">
        <w:rPr>
          <w:rFonts w:eastAsia="Arial,Bold" w:cs="Arial"/>
          <w:i/>
          <w:sz w:val="22"/>
          <w:szCs w:val="22"/>
          <w:lang w:val="en-US"/>
        </w:rPr>
        <w:t xml:space="preserve">Rinvoq </w:t>
      </w:r>
      <w:r w:rsidR="00D84569" w:rsidRPr="0045170E">
        <w:rPr>
          <w:rFonts w:eastAsia="Arial,Bold" w:cs="Arial"/>
          <w:i/>
          <w:sz w:val="22"/>
          <w:szCs w:val="22"/>
          <w:lang w:val="en-US"/>
        </w:rPr>
        <w:t>is 7.</w:t>
      </w:r>
      <w:r w:rsidR="008B4C65">
        <w:rPr>
          <w:rFonts w:eastAsia="Arial,Bold" w:cs="Arial"/>
          <w:i/>
          <w:sz w:val="22"/>
          <w:szCs w:val="22"/>
          <w:lang w:val="en-US"/>
        </w:rPr>
        <w:t>5 mg</w:t>
      </w:r>
      <w:r w:rsidR="00D84569" w:rsidRPr="0045170E">
        <w:rPr>
          <w:rFonts w:eastAsia="Arial,Bold" w:cs="Arial"/>
          <w:i/>
          <w:sz w:val="22"/>
          <w:szCs w:val="22"/>
          <w:lang w:val="en-US"/>
        </w:rPr>
        <w:t xml:space="preserve"> daily, increasing to a maximum of </w:t>
      </w:r>
      <w:r w:rsidR="005D7175">
        <w:rPr>
          <w:rFonts w:eastAsia="Arial,Bold" w:cs="Arial"/>
          <w:i/>
          <w:sz w:val="22"/>
          <w:szCs w:val="22"/>
          <w:lang w:val="en-US"/>
        </w:rPr>
        <w:t>15 mg</w:t>
      </w:r>
      <w:r w:rsidR="00D84569" w:rsidRPr="0045170E">
        <w:rPr>
          <w:rFonts w:eastAsia="Arial,Bold" w:cs="Arial"/>
          <w:i/>
          <w:sz w:val="22"/>
          <w:szCs w:val="22"/>
          <w:lang w:val="en-US"/>
        </w:rPr>
        <w:t xml:space="preserve"> daily in both adolescents and adults. Dose reaching up to 30 mg daily in adults should be based on thorough benefit/risk assessment by th</w:t>
      </w:r>
      <w:r>
        <w:rPr>
          <w:rFonts w:eastAsia="Arial,Bold" w:cs="Arial"/>
          <w:i/>
          <w:sz w:val="22"/>
          <w:szCs w:val="22"/>
          <w:lang w:val="en-US"/>
        </w:rPr>
        <w:t>e treating specialist physician’.</w:t>
      </w:r>
    </w:p>
    <w:p w14:paraId="75507D45" w14:textId="3A9DD46D" w:rsidR="00D84569" w:rsidRPr="00BE7B24" w:rsidRDefault="00D84569">
      <w:r w:rsidRPr="00BE7B24">
        <w:t>The latter will equally serve as a safety net for those with renal impairment, especially severe, w</w:t>
      </w:r>
      <w:r w:rsidR="00BE7B24" w:rsidRPr="00BE7B24">
        <w:t>hich is associated with higher u</w:t>
      </w:r>
      <w:r w:rsidRPr="00BE7B24">
        <w:t>padacitinib exposure.</w:t>
      </w:r>
    </w:p>
    <w:p w14:paraId="1269FF09" w14:textId="77777777" w:rsidR="00BE7B24" w:rsidRDefault="00D84569">
      <w:pPr>
        <w:rPr>
          <w:b/>
        </w:rPr>
      </w:pPr>
      <w:r>
        <w:rPr>
          <w:rFonts w:eastAsia="Arial,Bold" w:cs="Arial"/>
          <w:lang w:val="en-US"/>
        </w:rPr>
        <w:t xml:space="preserve">The sponsor’s decision to add </w:t>
      </w:r>
      <w:r w:rsidR="00BE7B24">
        <w:rPr>
          <w:rFonts w:eastAsia="Arial,Bold" w:cs="Arial"/>
          <w:lang w:val="en-US"/>
        </w:rPr>
        <w:t>the following text to the</w:t>
      </w:r>
      <w:r>
        <w:rPr>
          <w:rFonts w:eastAsia="Arial,Bold" w:cs="Arial"/>
          <w:lang w:val="en-US"/>
        </w:rPr>
        <w:t xml:space="preserve"> </w:t>
      </w:r>
      <w:r w:rsidRPr="00BE7B24">
        <w:rPr>
          <w:i/>
        </w:rPr>
        <w:t>Dose and method of administration</w:t>
      </w:r>
      <w:r w:rsidRPr="00BE7B24">
        <w:t xml:space="preserve"> section</w:t>
      </w:r>
      <w:r w:rsidR="00BE7B24">
        <w:t xml:space="preserve"> of the PI is acceptable:</w:t>
      </w:r>
    </w:p>
    <w:p w14:paraId="33647AEB" w14:textId="69EA4974" w:rsidR="00D84569" w:rsidRPr="00BE7B24" w:rsidRDefault="00BE7B24" w:rsidP="00BE7B24">
      <w:pPr>
        <w:ind w:firstLine="720"/>
        <w:rPr>
          <w:b/>
        </w:rPr>
      </w:pPr>
      <w:r>
        <w:rPr>
          <w:lang w:val="en-US"/>
        </w:rPr>
        <w:t>‘</w:t>
      </w:r>
      <w:r w:rsidRPr="004C0960">
        <w:rPr>
          <w:lang w:val="en-US"/>
        </w:rPr>
        <w:t xml:space="preserve">Rinvoq </w:t>
      </w:r>
      <w:r w:rsidR="00D84569" w:rsidRPr="004C0960">
        <w:rPr>
          <w:lang w:val="en-US"/>
        </w:rPr>
        <w:t>has not been studied in adolescents weighing less than 40 kg</w:t>
      </w:r>
      <w:r>
        <w:rPr>
          <w:lang w:val="en-US"/>
        </w:rPr>
        <w:t>.’</w:t>
      </w:r>
    </w:p>
    <w:p w14:paraId="30CC6B3B" w14:textId="08D5D729" w:rsidR="00D84569" w:rsidRDefault="00D84569" w:rsidP="00362371">
      <w:r>
        <w:t xml:space="preserve">Information on the duration of treatment in the clinical trial section of the </w:t>
      </w:r>
      <w:r w:rsidR="00BE7B24">
        <w:t>draft product information</w:t>
      </w:r>
      <w:r>
        <w:t xml:space="preserve"> should be highlighted.</w:t>
      </w:r>
    </w:p>
    <w:p w14:paraId="13FE7E0A" w14:textId="5DBD5C4E" w:rsidR="00D84569" w:rsidRPr="00D84569" w:rsidRDefault="00D84569">
      <w:r w:rsidRPr="00BE7B24">
        <w:t>Regarding recommendation for authorisation</w:t>
      </w:r>
      <w:r w:rsidR="00BE7B24">
        <w:t>, the Delegate agreed</w:t>
      </w:r>
      <w:r w:rsidRPr="00BE7B24">
        <w:t xml:space="preserve"> with the </w:t>
      </w:r>
      <w:r w:rsidR="00BE7B24">
        <w:t>TGA’s clinical evaluation</w:t>
      </w:r>
      <w:r w:rsidRPr="00BE7B24">
        <w:t xml:space="preserve"> for approval of the submission with salient differences in the detail of what is to be approved.</w:t>
      </w:r>
    </w:p>
    <w:p w14:paraId="7F6254DE" w14:textId="6DD51485" w:rsidR="007B5BFB" w:rsidRDefault="007B5BFB" w:rsidP="007B5BFB">
      <w:pPr>
        <w:pStyle w:val="Heading5"/>
      </w:pPr>
      <w:r>
        <w:t>Deficiencies of the data</w:t>
      </w:r>
    </w:p>
    <w:p w14:paraId="22811D04" w14:textId="4B6D233C" w:rsidR="007B5BFB" w:rsidRDefault="007B5BFB" w:rsidP="00362371">
      <w:r>
        <w:t xml:space="preserve">The Delegate suggested that </w:t>
      </w:r>
      <w:r w:rsidRPr="00104B97">
        <w:t xml:space="preserve">the lack of a direct </w:t>
      </w:r>
      <w:r>
        <w:t>head-to-head trial of u</w:t>
      </w:r>
      <w:r w:rsidRPr="00104B97">
        <w:t xml:space="preserve">padacitinib </w:t>
      </w:r>
      <w:r>
        <w:t>alone versus u</w:t>
      </w:r>
      <w:r w:rsidRPr="00104B97">
        <w:t xml:space="preserve">padacitinib plus </w:t>
      </w:r>
      <w:r>
        <w:t>topical corticosteroids, may possibly be considered a data deficiency</w:t>
      </w:r>
      <w:r w:rsidRPr="00104B97">
        <w:t>.</w:t>
      </w:r>
    </w:p>
    <w:p w14:paraId="34ED85A5" w14:textId="71706FB7" w:rsidR="007B5BFB" w:rsidRDefault="007B5BFB" w:rsidP="007B5BFB">
      <w:pPr>
        <w:pStyle w:val="Heading5"/>
      </w:pPr>
      <w:r>
        <w:t>Indication</w:t>
      </w:r>
    </w:p>
    <w:p w14:paraId="0D69553E" w14:textId="289C55C1" w:rsidR="007B5BFB" w:rsidRDefault="007B5BFB" w:rsidP="007B5BFB">
      <w:pPr>
        <w:pStyle w:val="Heading6"/>
      </w:pPr>
      <w:r>
        <w:t>Original indication</w:t>
      </w:r>
    </w:p>
    <w:p w14:paraId="5C5EDE66" w14:textId="7E8168DE" w:rsidR="007B5BFB" w:rsidRPr="007B5BFB" w:rsidRDefault="007B5BFB" w:rsidP="007B5BFB">
      <w:r>
        <w:t>The indication as originally proposed by sponsor, and confirmed through the clinical evaluation is as follows:</w:t>
      </w:r>
    </w:p>
    <w:p w14:paraId="6D2FC94A" w14:textId="22FFA68B" w:rsidR="007B5BFB" w:rsidRPr="007B5BFB" w:rsidRDefault="007B5BFB" w:rsidP="007B5BFB">
      <w:pPr>
        <w:ind w:left="720"/>
        <w:rPr>
          <w:i/>
        </w:rPr>
      </w:pPr>
      <w:r w:rsidRPr="007B5BFB">
        <w:rPr>
          <w:i/>
        </w:rPr>
        <w:t>Rinvoq is indicated for the treatment of adults and adole</w:t>
      </w:r>
      <w:r w:rsidR="00D84569">
        <w:rPr>
          <w:i/>
        </w:rPr>
        <w:t xml:space="preserve">scents 12 years and older with </w:t>
      </w:r>
      <w:r w:rsidRPr="007B5BFB">
        <w:rPr>
          <w:i/>
        </w:rPr>
        <w:t>moderate to severe atopic dermatitis who are candidates for systemic therapy.</w:t>
      </w:r>
    </w:p>
    <w:p w14:paraId="5D4A0A40" w14:textId="5F937034" w:rsidR="007B5BFB" w:rsidRDefault="007B5BFB" w:rsidP="007B5BFB">
      <w:pPr>
        <w:pStyle w:val="Heading6"/>
      </w:pPr>
      <w:r>
        <w:t>Delegate’s modified indication</w:t>
      </w:r>
    </w:p>
    <w:p w14:paraId="7C782884" w14:textId="5A85A223" w:rsidR="007B5BFB" w:rsidRDefault="007B5BFB" w:rsidP="007B5BFB">
      <w:pPr>
        <w:pStyle w:val="BodyText"/>
        <w:spacing w:before="119"/>
        <w:ind w:right="794"/>
        <w:rPr>
          <w:sz w:val="22"/>
          <w:szCs w:val="22"/>
        </w:rPr>
      </w:pPr>
      <w:r>
        <w:rPr>
          <w:sz w:val="22"/>
          <w:szCs w:val="22"/>
        </w:rPr>
        <w:t>The Delegate has proposed changes to the original indication proposed by the sponsor (see above). The Delegate’s preferred indication is as follows:</w:t>
      </w:r>
    </w:p>
    <w:p w14:paraId="1A06D1AA" w14:textId="72A93ABC" w:rsidR="007B5BFB" w:rsidRPr="007B5BFB" w:rsidRDefault="007B5BFB" w:rsidP="007B5BFB">
      <w:pPr>
        <w:ind w:left="720"/>
        <w:rPr>
          <w:i/>
        </w:rPr>
      </w:pPr>
      <w:r w:rsidRPr="007B5BFB">
        <w:rPr>
          <w:i/>
        </w:rPr>
        <w:t xml:space="preserve">Rinvoq is indicated for the treatment of adults and adolescents &gt;12 years old with moderate to severe atopic dermatitis, who have inadequate response to topical corticosteroids (TCS) or </w:t>
      </w:r>
      <w:r>
        <w:rPr>
          <w:i/>
        </w:rPr>
        <w:t>topical calcineurin inhibitors (TCIs)</w:t>
      </w:r>
      <w:r w:rsidRPr="007B5BFB">
        <w:rPr>
          <w:i/>
        </w:rPr>
        <w:t xml:space="preserve"> and, who are candidates for systemic therapy and in continuation with or without TCS/TCIs (for sensitive or unsafe areas).</w:t>
      </w:r>
    </w:p>
    <w:p w14:paraId="796B4489" w14:textId="09F6F3E6" w:rsidR="007B5BFB" w:rsidRPr="007B5BFB" w:rsidRDefault="007B5BFB" w:rsidP="007B5BFB">
      <w:r>
        <w:t>The Delegate’s rationale for this modified indication are, as follows:</w:t>
      </w:r>
    </w:p>
    <w:p w14:paraId="33B10760" w14:textId="5B2E1289" w:rsidR="007B5BFB" w:rsidRPr="007B5BFB" w:rsidRDefault="004A3573" w:rsidP="007B5BFB">
      <w:pPr>
        <w:pStyle w:val="ListBullet"/>
      </w:pPr>
      <w:r>
        <w:t>b</w:t>
      </w:r>
      <w:r w:rsidR="007B5BFB" w:rsidRPr="007B5BFB">
        <w:t>etter comprehension</w:t>
      </w:r>
      <w:r w:rsidR="00D84569">
        <w:t>;</w:t>
      </w:r>
    </w:p>
    <w:p w14:paraId="7953B43A" w14:textId="1189ED09" w:rsidR="007B5BFB" w:rsidRPr="007B5BFB" w:rsidRDefault="004A3573" w:rsidP="00D84569">
      <w:pPr>
        <w:pStyle w:val="ListBullet"/>
      </w:pPr>
      <w:r>
        <w:lastRenderedPageBreak/>
        <w:t>t</w:t>
      </w:r>
      <w:r w:rsidR="00D84569">
        <w:t xml:space="preserve">he inclusion criteria listed </w:t>
      </w:r>
      <w:r w:rsidR="007B5BFB">
        <w:t>f</w:t>
      </w:r>
      <w:r w:rsidR="007B5BFB" w:rsidRPr="007B5BFB">
        <w:t xml:space="preserve">ailed prior use of both </w:t>
      </w:r>
      <w:r w:rsidR="007B5BFB">
        <w:t>topical corticosteroids</w:t>
      </w:r>
      <w:r w:rsidR="007B5BFB" w:rsidRPr="007B5BFB">
        <w:t xml:space="preserve"> and </w:t>
      </w:r>
      <w:r w:rsidR="007B5BFB">
        <w:t>topical calcineurin inhibitors</w:t>
      </w:r>
      <w:r w:rsidR="007B5BFB" w:rsidRPr="007B5BFB">
        <w:t>;</w:t>
      </w:r>
      <w:r w:rsidR="00D84569">
        <w:t xml:space="preserve"> and </w:t>
      </w:r>
      <w:r w:rsidR="007B5BFB">
        <w:t>d</w:t>
      </w:r>
      <w:r w:rsidR="007B5BFB" w:rsidRPr="007B5BFB">
        <w:t>ocumented systemic therapy;</w:t>
      </w:r>
    </w:p>
    <w:p w14:paraId="570CEF12" w14:textId="63E6B1FD" w:rsidR="00D84569" w:rsidRDefault="00782F8C" w:rsidP="00D84569">
      <w:pPr>
        <w:pStyle w:val="ListBullet"/>
      </w:pPr>
      <w:r>
        <w:t>upadacitinib</w:t>
      </w:r>
      <w:r w:rsidR="007B5BFB" w:rsidRPr="00832BAB">
        <w:t xml:space="preserve"> has proven efficacy by itself;</w:t>
      </w:r>
    </w:p>
    <w:p w14:paraId="44E64E7B" w14:textId="6BBBAAC4" w:rsidR="007B5BFB" w:rsidRPr="00832BAB" w:rsidRDefault="00D84569" w:rsidP="00D84569">
      <w:pPr>
        <w:pStyle w:val="ListBullet"/>
      </w:pPr>
      <w:r>
        <w:t>Adjunctive use of u</w:t>
      </w:r>
      <w:r w:rsidR="007B5BFB" w:rsidRPr="00832BAB">
        <w:t>padaci</w:t>
      </w:r>
      <w:r>
        <w:t>tinib and topical corticosteroids was better than placebo and</w:t>
      </w:r>
      <w:r w:rsidR="007B5BFB" w:rsidRPr="00832BAB">
        <w:t xml:space="preserve"> </w:t>
      </w:r>
      <w:r>
        <w:t>topical corticosteroids</w:t>
      </w:r>
      <w:r w:rsidR="007B5BFB" w:rsidRPr="00832BAB">
        <w:t>;</w:t>
      </w:r>
    </w:p>
    <w:p w14:paraId="017AAAEF" w14:textId="47652457" w:rsidR="007B5BFB" w:rsidRPr="007B5BFB" w:rsidRDefault="007B5BFB" w:rsidP="007B5BFB">
      <w:r w:rsidRPr="00832BAB">
        <w:rPr>
          <w:lang w:val="en-US"/>
        </w:rPr>
        <w:t xml:space="preserve">Given that International treatment guidelines suggest that mid-potency </w:t>
      </w:r>
      <w:r w:rsidR="00D84569">
        <w:rPr>
          <w:lang w:val="en-US"/>
        </w:rPr>
        <w:t>topical corticosteroids</w:t>
      </w:r>
      <w:r w:rsidRPr="00832BAB">
        <w:rPr>
          <w:lang w:val="en-US"/>
        </w:rPr>
        <w:t xml:space="preserve"> are typically the first-line treatment</w:t>
      </w:r>
      <w:r w:rsidR="00D84569">
        <w:rPr>
          <w:lang w:val="en-US"/>
        </w:rPr>
        <w:t xml:space="preserve"> for atopic dermatitis when non</w:t>
      </w:r>
      <w:r w:rsidR="00D84569">
        <w:rPr>
          <w:lang w:val="en-US"/>
        </w:rPr>
        <w:noBreakHyphen/>
      </w:r>
      <w:r w:rsidRPr="00832BAB">
        <w:rPr>
          <w:lang w:val="en-US"/>
        </w:rPr>
        <w:t xml:space="preserve">pharmacological interventions have failed low potency </w:t>
      </w:r>
      <w:r w:rsidR="00D84569">
        <w:rPr>
          <w:lang w:val="en-US"/>
        </w:rPr>
        <w:t>topical corticosteroids</w:t>
      </w:r>
      <w:r w:rsidR="00D84569" w:rsidRPr="00832BAB">
        <w:rPr>
          <w:lang w:val="en-US"/>
        </w:rPr>
        <w:t xml:space="preserve"> </w:t>
      </w:r>
      <w:r w:rsidRPr="00832BAB">
        <w:rPr>
          <w:lang w:val="en-US"/>
        </w:rPr>
        <w:t xml:space="preserve">or </w:t>
      </w:r>
      <w:r w:rsidR="00D84569">
        <w:rPr>
          <w:lang w:val="en-US"/>
        </w:rPr>
        <w:t>topical calcineurin inhibitors</w:t>
      </w:r>
      <w:r w:rsidRPr="00832BAB">
        <w:rPr>
          <w:lang w:val="en-US"/>
        </w:rPr>
        <w:t xml:space="preserve"> are used for sensitive areas such as the face, neck, and genital or intertriginous areas (</w:t>
      </w:r>
      <w:r w:rsidR="00D84569">
        <w:rPr>
          <w:lang w:val="en-US"/>
        </w:rPr>
        <w:t>as discussed via communication with the sponsor in their response to the TGA’s evaluation), it is logical to include an aspect of this guidance</w:t>
      </w:r>
      <w:r w:rsidRPr="00832BAB">
        <w:rPr>
          <w:lang w:val="en-US"/>
        </w:rPr>
        <w:t xml:space="preserve"> in the indication</w:t>
      </w:r>
      <w:r>
        <w:rPr>
          <w:lang w:val="en-US"/>
        </w:rPr>
        <w:t>, separate from the concomitant topical therapies section</w:t>
      </w:r>
      <w:r w:rsidR="00D84569">
        <w:rPr>
          <w:lang w:val="en-US"/>
        </w:rPr>
        <w:t xml:space="preserve"> of the PI</w:t>
      </w:r>
      <w:r>
        <w:rPr>
          <w:lang w:val="en-US"/>
        </w:rPr>
        <w:t>.</w:t>
      </w:r>
    </w:p>
    <w:p w14:paraId="1C0A13CE" w14:textId="6B93039E" w:rsidR="007B5BFB" w:rsidRDefault="007B5BFB" w:rsidP="007B5BFB">
      <w:pPr>
        <w:pStyle w:val="Heading5"/>
      </w:pPr>
      <w:r>
        <w:t>Conclusion</w:t>
      </w:r>
    </w:p>
    <w:p w14:paraId="0BA7F77E" w14:textId="715EE18A" w:rsidR="007B5BFB" w:rsidRPr="00507B42" w:rsidRDefault="007B5BFB" w:rsidP="00CE3E87">
      <w:r>
        <w:t>The efficacy and safety of u</w:t>
      </w:r>
      <w:r w:rsidRPr="00AD5181">
        <w:t xml:space="preserve">padacitinib </w:t>
      </w:r>
      <w:r>
        <w:t xml:space="preserve">both as </w:t>
      </w:r>
      <w:r w:rsidRPr="00AD5181">
        <w:t>monotherapy and</w:t>
      </w:r>
      <w:r>
        <w:t xml:space="preserve"> </w:t>
      </w:r>
      <w:r w:rsidRPr="00AD5181">
        <w:t xml:space="preserve">combination therapy with </w:t>
      </w:r>
      <w:r>
        <w:t>topical corticosteroids,</w:t>
      </w:r>
      <w:r w:rsidRPr="00AD5181">
        <w:t xml:space="preserve"> in the management of moderate to severe </w:t>
      </w:r>
      <w:r>
        <w:t>atopic dermatitis</w:t>
      </w:r>
      <w:r w:rsidRPr="00AD5181">
        <w:t xml:space="preserve"> in adolescents</w:t>
      </w:r>
      <w:r>
        <w:t xml:space="preserve"> have been documented in two pivotal trials, </w:t>
      </w:r>
      <w:r w:rsidRPr="00AD5181">
        <w:t>and</w:t>
      </w:r>
      <w:r>
        <w:t xml:space="preserve"> documented in adults in one pivotal trial. In conjunction to these trials have been two supportive trials. More extensive long-term safety data (more than 52 weeks) will be required to assess the risk/benefit of the higher dose of </w:t>
      </w:r>
      <w:r w:rsidR="005D7175">
        <w:t>30 mg</w:t>
      </w:r>
      <w:r>
        <w:t xml:space="preserve"> upadacitinib. The current lack of such data has led to the Delegate’s recommended modifications to the statement under </w:t>
      </w:r>
      <w:r w:rsidR="00CE3E87">
        <w:t xml:space="preserve">the </w:t>
      </w:r>
      <w:r w:rsidRPr="007B5BFB">
        <w:rPr>
          <w:i/>
        </w:rPr>
        <w:t>Dose and method of administration</w:t>
      </w:r>
      <w:r>
        <w:rPr>
          <w:b/>
        </w:rPr>
        <w:t xml:space="preserve"> </w:t>
      </w:r>
      <w:r w:rsidR="00CE3E87">
        <w:t>section o</w:t>
      </w:r>
      <w:r w:rsidRPr="00070DB4">
        <w:t xml:space="preserve">f the </w:t>
      </w:r>
      <w:r w:rsidR="00507B42">
        <w:t xml:space="preserve">draft </w:t>
      </w:r>
      <w:r w:rsidR="004A3573">
        <w:t xml:space="preserve">Rinvoq </w:t>
      </w:r>
      <w:r w:rsidR="00507B42">
        <w:t>PI document.</w:t>
      </w:r>
    </w:p>
    <w:p w14:paraId="61598FEE" w14:textId="09EB234F" w:rsidR="0074163C" w:rsidRDefault="0074163C" w:rsidP="0074163C">
      <w:pPr>
        <w:pStyle w:val="Heading4"/>
      </w:pPr>
      <w:bookmarkStart w:id="164" w:name="_Toc98931933"/>
      <w:r w:rsidRPr="00D23139">
        <w:t>Proposed action</w:t>
      </w:r>
      <w:bookmarkEnd w:id="164"/>
    </w:p>
    <w:p w14:paraId="1CB64D3E" w14:textId="41D28DC8" w:rsidR="00507B42" w:rsidRPr="00507B42" w:rsidRDefault="00507B42" w:rsidP="00507B42">
      <w:r>
        <w:t>The Delegate considered the present submission to be approvable.</w:t>
      </w:r>
    </w:p>
    <w:p w14:paraId="0C4FF0C1" w14:textId="77777777" w:rsidR="0074163C" w:rsidRPr="00F73346" w:rsidRDefault="0074163C" w:rsidP="0074163C">
      <w:pPr>
        <w:pStyle w:val="Heading4"/>
      </w:pPr>
      <w:bookmarkStart w:id="165" w:name="_Toc98931936"/>
      <w:bookmarkStart w:id="166" w:name="_Toc247691532"/>
      <w:bookmarkStart w:id="167" w:name="_Toc314842516"/>
      <w:bookmarkEnd w:id="50"/>
      <w:bookmarkEnd w:id="155"/>
      <w:bookmarkEnd w:id="156"/>
      <w:r w:rsidRPr="00F73346">
        <w:t>Advisory Committee considerations</w:t>
      </w:r>
      <w:bookmarkEnd w:id="165"/>
    </w:p>
    <w:p w14:paraId="4E08F07D" w14:textId="13C58E76" w:rsidR="0074163C" w:rsidRDefault="0074163C" w:rsidP="0074163C">
      <w:pPr>
        <w:rPr>
          <w:bCs/>
        </w:rPr>
      </w:pPr>
      <w:r w:rsidRPr="00456765">
        <w:rPr>
          <w:bCs/>
        </w:rPr>
        <w:t xml:space="preserve">The </w:t>
      </w:r>
      <w:hyperlink r:id="rId105" w:history="1">
        <w:r w:rsidRPr="00C65E63">
          <w:rPr>
            <w:rStyle w:val="Hyperlink"/>
            <w:szCs w:val="21"/>
          </w:rPr>
          <w:t>Advisory Committee on Medicines (ACM)</w:t>
        </w:r>
      </w:hyperlink>
      <w:r w:rsidRPr="00F73346">
        <w:rPr>
          <w:bCs/>
        </w:rPr>
        <w:t xml:space="preserve"> </w:t>
      </w:r>
      <w:r w:rsidRPr="00456765">
        <w:rPr>
          <w:bCs/>
        </w:rPr>
        <w:t>having considered the evaluations and the Delegate’s overview, as well as the sponsor’s response to these documents, advised the following</w:t>
      </w:r>
      <w:r>
        <w:rPr>
          <w:bCs/>
        </w:rPr>
        <w:t>.</w:t>
      </w:r>
    </w:p>
    <w:p w14:paraId="47FEBCC8" w14:textId="60E7F266" w:rsidR="0074163C" w:rsidRDefault="0074163C" w:rsidP="0074163C">
      <w:pPr>
        <w:pStyle w:val="Heading5"/>
      </w:pPr>
      <w:r w:rsidRPr="00F73346">
        <w:t>Specific advice to the Delegate</w:t>
      </w:r>
    </w:p>
    <w:p w14:paraId="46FEF94D" w14:textId="6A73BDFB" w:rsidR="00B67E63" w:rsidRPr="002C334E" w:rsidRDefault="002C334E" w:rsidP="002C334E">
      <w:pPr>
        <w:pStyle w:val="Numberbullet0"/>
        <w:numPr>
          <w:ilvl w:val="0"/>
          <w:numId w:val="35"/>
        </w:numPr>
        <w:rPr>
          <w:b/>
          <w:i/>
          <w:lang w:val="en-GB"/>
        </w:rPr>
      </w:pPr>
      <w:r w:rsidRPr="002C334E">
        <w:rPr>
          <w:b/>
          <w:i/>
          <w:lang w:val="en-GB"/>
        </w:rPr>
        <w:t>Please can the ACM advise on the</w:t>
      </w:r>
      <w:r w:rsidR="00B67E63" w:rsidRPr="002C334E">
        <w:rPr>
          <w:b/>
          <w:i/>
          <w:lang w:val="en-GB"/>
        </w:rPr>
        <w:t xml:space="preserve"> a</w:t>
      </w:r>
      <w:r>
        <w:rPr>
          <w:b/>
          <w:i/>
          <w:lang w:val="en-GB"/>
        </w:rPr>
        <w:t>pprovability of the submission</w:t>
      </w:r>
    </w:p>
    <w:p w14:paraId="5472D8BA" w14:textId="01C73640" w:rsidR="00B67E63" w:rsidRPr="00B67E63" w:rsidRDefault="00B67E63" w:rsidP="002C334E">
      <w:pPr>
        <w:rPr>
          <w:lang w:val="en-GB"/>
        </w:rPr>
      </w:pPr>
      <w:r w:rsidRPr="00B67E63">
        <w:rPr>
          <w:lang w:val="en-GB"/>
        </w:rPr>
        <w:t>The ACM acknowledged that the efficacy of upadacitinib has been well demonstrated for atopic dermatitis and there is a place in therapy for this treatment as a management option, in line with the indication and dosage proposed b</w:t>
      </w:r>
      <w:r w:rsidR="002C334E">
        <w:rPr>
          <w:lang w:val="en-GB"/>
        </w:rPr>
        <w:t>elow in response to Question 2, given below.</w:t>
      </w:r>
    </w:p>
    <w:p w14:paraId="54F12D23" w14:textId="12A907DA" w:rsidR="00B67E63" w:rsidRDefault="00B67E63" w:rsidP="002C334E">
      <w:pPr>
        <w:rPr>
          <w:lang w:val="en-GB"/>
        </w:rPr>
      </w:pPr>
      <w:r w:rsidRPr="00B67E63">
        <w:rPr>
          <w:lang w:val="en-GB"/>
        </w:rPr>
        <w:t>The ACM noted tha</w:t>
      </w:r>
      <w:r w:rsidR="002C334E">
        <w:rPr>
          <w:lang w:val="en-GB"/>
        </w:rPr>
        <w:t>t no paediatric data (patients under</w:t>
      </w:r>
      <w:r w:rsidRPr="00B67E63">
        <w:rPr>
          <w:lang w:val="en-GB"/>
        </w:rPr>
        <w:t xml:space="preserve"> 12 years of age) was included within this data package. Given the prevalence of atopic dermatitis within the paediatric population, the ACM welcomed the plann</w:t>
      </w:r>
      <w:r w:rsidR="002C334E">
        <w:rPr>
          <w:lang w:val="en-GB"/>
        </w:rPr>
        <w:t>ed studies for this population.</w:t>
      </w:r>
    </w:p>
    <w:p w14:paraId="799EEE2A" w14:textId="2BD7B5C6" w:rsidR="002C334E" w:rsidRPr="002C334E" w:rsidRDefault="002C334E" w:rsidP="002C334E">
      <w:pPr>
        <w:pStyle w:val="Numberbullet0"/>
        <w:rPr>
          <w:b/>
          <w:i/>
        </w:rPr>
      </w:pPr>
      <w:r w:rsidRPr="002C334E">
        <w:rPr>
          <w:b/>
          <w:i/>
        </w:rPr>
        <w:t>Please can the ACM advise on the following:</w:t>
      </w:r>
    </w:p>
    <w:p w14:paraId="2C19971E" w14:textId="77777777" w:rsidR="002C334E" w:rsidRPr="002C334E" w:rsidRDefault="002C334E" w:rsidP="002C334E">
      <w:pPr>
        <w:pStyle w:val="Numberbullet2"/>
        <w:rPr>
          <w:i/>
        </w:rPr>
      </w:pPr>
      <w:r w:rsidRPr="002C334E">
        <w:rPr>
          <w:rFonts w:eastAsiaTheme="minorHAnsi" w:cs="Cambria"/>
          <w:b/>
          <w:bCs/>
          <w:i/>
          <w:color w:val="000000"/>
          <w:lang w:val="en-GB"/>
        </w:rPr>
        <w:t>Consideration of the D</w:t>
      </w:r>
      <w:r w:rsidR="00B67E63" w:rsidRPr="002C334E">
        <w:rPr>
          <w:rFonts w:eastAsiaTheme="minorHAnsi" w:cs="Cambria"/>
          <w:b/>
          <w:bCs/>
          <w:i/>
          <w:color w:val="000000"/>
          <w:lang w:val="en-GB"/>
        </w:rPr>
        <w:t>elegate</w:t>
      </w:r>
      <w:r w:rsidRPr="002C334E">
        <w:rPr>
          <w:rFonts w:eastAsiaTheme="minorHAnsi" w:cs="Cambria"/>
          <w:b/>
          <w:bCs/>
          <w:i/>
          <w:color w:val="000000"/>
          <w:lang w:val="en-GB"/>
        </w:rPr>
        <w:t>’s modified indication</w:t>
      </w:r>
    </w:p>
    <w:p w14:paraId="435D8230" w14:textId="73572EE2" w:rsidR="00B67E63" w:rsidRPr="00362371" w:rsidRDefault="002C334E" w:rsidP="00362371">
      <w:pPr>
        <w:ind w:left="425"/>
        <w:rPr>
          <w:i/>
        </w:rPr>
      </w:pPr>
      <w:r w:rsidRPr="00362371">
        <w:rPr>
          <w:i/>
        </w:rPr>
        <w:t xml:space="preserve">Rinvoq </w:t>
      </w:r>
      <w:r w:rsidR="00B67E63" w:rsidRPr="00362371">
        <w:rPr>
          <w:i/>
        </w:rPr>
        <w:t>is indicated for the treatment of adults and adolescents 12 years and older with moderate to severe atopic dermatitis, who have inadequate response to topical corticosteroids (TCS) or topical calcineurin inhibitors (TCIs) and, who are candidates for systemic therapy and in continuation with or without TCS/TCIs (for sensitive or unsafe areas).</w:t>
      </w:r>
    </w:p>
    <w:p w14:paraId="43EEF076" w14:textId="24644A0A" w:rsidR="00B67E63" w:rsidRPr="00B67E63" w:rsidRDefault="00B67E63" w:rsidP="002C334E">
      <w:pPr>
        <w:rPr>
          <w:lang w:val="en-GB"/>
        </w:rPr>
      </w:pPr>
      <w:r w:rsidRPr="00B67E63">
        <w:rPr>
          <w:lang w:val="en-GB"/>
        </w:rPr>
        <w:lastRenderedPageBreak/>
        <w:t xml:space="preserve">The ACM agreed that the benefit/risk profile for upadacitinib in the treatment of atopic dermatitis is favourable for the following indication: </w:t>
      </w:r>
    </w:p>
    <w:p w14:paraId="24B4E69D" w14:textId="3B1F92C0" w:rsidR="002C334E" w:rsidRPr="00CE3E87" w:rsidRDefault="002C334E" w:rsidP="00CE3E87">
      <w:pPr>
        <w:ind w:left="720"/>
        <w:rPr>
          <w:i/>
        </w:rPr>
      </w:pPr>
      <w:r w:rsidRPr="00CE3E87">
        <w:rPr>
          <w:i/>
          <w:lang w:val="en-GB"/>
        </w:rPr>
        <w:t xml:space="preserve">Rinvoq </w:t>
      </w:r>
      <w:r w:rsidR="00B67E63" w:rsidRPr="00CE3E87">
        <w:rPr>
          <w:i/>
          <w:lang w:val="en-GB"/>
        </w:rPr>
        <w:t>is indicated for use in adults and adolescents aged 12 years and above who weigh at least 40 kg, for the treatment of moderate to severe atopic dermatitis wh</w:t>
      </w:r>
      <w:r w:rsidRPr="00CE3E87">
        <w:rPr>
          <w:i/>
          <w:lang w:val="en-GB"/>
        </w:rPr>
        <w:t>ich</w:t>
      </w:r>
      <w:r w:rsidRPr="00CE3E87">
        <w:rPr>
          <w:i/>
        </w:rPr>
        <w:t xml:space="preserve"> </w:t>
      </w:r>
      <w:r w:rsidRPr="00CE3E87">
        <w:rPr>
          <w:i/>
          <w:lang w:val="en-GB"/>
        </w:rPr>
        <w:t>is inadequately controlled with active topical pharmacotherapies and for whom systemic therapy is indicated.</w:t>
      </w:r>
    </w:p>
    <w:p w14:paraId="4AFFC896" w14:textId="103B996D" w:rsidR="002C334E" w:rsidRPr="002C334E" w:rsidRDefault="002C334E" w:rsidP="002C334E">
      <w:r w:rsidRPr="002C334E">
        <w:rPr>
          <w:lang w:val="en-GB"/>
        </w:rPr>
        <w:t xml:space="preserve">The ACM were of the view that clinical judgement should be used to determine whether concomitant topical corticosteroids or topical calcineurin inhibitors would be beneficial and advised that this does not need to be specified in the indication. </w:t>
      </w:r>
    </w:p>
    <w:p w14:paraId="51BEFB22" w14:textId="732CAB12" w:rsidR="002C334E" w:rsidRPr="002C334E" w:rsidRDefault="002C334E" w:rsidP="002C334E">
      <w:r w:rsidRPr="002C334E">
        <w:rPr>
          <w:lang w:val="en-GB"/>
        </w:rPr>
        <w:t>The ACM recommended the exclus</w:t>
      </w:r>
      <w:r>
        <w:rPr>
          <w:lang w:val="en-GB"/>
        </w:rPr>
        <w:t xml:space="preserve">ion of topical corticosteroids </w:t>
      </w:r>
      <w:r w:rsidRPr="002C334E">
        <w:rPr>
          <w:lang w:val="en-GB"/>
        </w:rPr>
        <w:t>combination therapy from the indication, citing that the efficacy outcomes appeared similar for upadacit</w:t>
      </w:r>
      <w:r>
        <w:rPr>
          <w:lang w:val="en-GB"/>
        </w:rPr>
        <w:t>inib with or without topical corticosteroid usage.</w:t>
      </w:r>
    </w:p>
    <w:p w14:paraId="26B51C9F" w14:textId="67C3C026" w:rsidR="002C334E" w:rsidRPr="002C334E" w:rsidRDefault="002C334E" w:rsidP="002C334E">
      <w:r w:rsidRPr="002C334E">
        <w:rPr>
          <w:lang w:val="en-GB"/>
        </w:rPr>
        <w:t xml:space="preserve">The ACM further advised that concomitant </w:t>
      </w:r>
      <w:r>
        <w:rPr>
          <w:lang w:val="en-GB"/>
        </w:rPr>
        <w:t>topical calcineurin inhibitor</w:t>
      </w:r>
      <w:r w:rsidRPr="002C334E">
        <w:rPr>
          <w:lang w:val="en-GB"/>
        </w:rPr>
        <w:t xml:space="preserve"> use was not included in the efficacy studies and therefore should not be</w:t>
      </w:r>
      <w:r>
        <w:rPr>
          <w:lang w:val="en-GB"/>
        </w:rPr>
        <w:t xml:space="preserve"> included in the indication.</w:t>
      </w:r>
    </w:p>
    <w:p w14:paraId="2ECBFB0F" w14:textId="77777777" w:rsidR="002C334E" w:rsidRDefault="002C334E" w:rsidP="002C334E">
      <w:pPr>
        <w:pStyle w:val="Numberbullet2"/>
        <w:rPr>
          <w:b/>
          <w:i/>
          <w:lang w:val="en-GB"/>
        </w:rPr>
      </w:pPr>
      <w:r w:rsidRPr="002C334E">
        <w:rPr>
          <w:b/>
          <w:i/>
          <w:lang w:val="en-GB"/>
        </w:rPr>
        <w:t>Consideration of the Delegate's mo</w:t>
      </w:r>
      <w:r>
        <w:rPr>
          <w:b/>
          <w:i/>
          <w:lang w:val="en-GB"/>
        </w:rPr>
        <w:t>dified dosing schedule</w:t>
      </w:r>
    </w:p>
    <w:p w14:paraId="0CCF0F33" w14:textId="77777777" w:rsidR="002C334E" w:rsidRPr="00CE3E87" w:rsidRDefault="002C334E" w:rsidP="00362371">
      <w:pPr>
        <w:pStyle w:val="Numberbullet2"/>
        <w:numPr>
          <w:ilvl w:val="0"/>
          <w:numId w:val="0"/>
        </w:numPr>
        <w:ind w:left="851"/>
        <w:rPr>
          <w:i/>
          <w:lang w:val="en-GB"/>
        </w:rPr>
      </w:pPr>
      <w:r w:rsidRPr="00CE3E87">
        <w:rPr>
          <w:i/>
          <w:lang w:val="en-GB"/>
        </w:rPr>
        <w:t>The recommended starting dose of Rinvoq is 7.5 mg daily, increasing to a maximum of 15 mg daily in both adolescents and adults.</w:t>
      </w:r>
    </w:p>
    <w:p w14:paraId="0D17CE5D" w14:textId="377B35E3" w:rsidR="002C334E" w:rsidRPr="00CE3E87" w:rsidRDefault="002C334E" w:rsidP="00362371">
      <w:pPr>
        <w:pStyle w:val="Numberbullet2"/>
        <w:numPr>
          <w:ilvl w:val="0"/>
          <w:numId w:val="0"/>
        </w:numPr>
        <w:ind w:left="851"/>
        <w:rPr>
          <w:b/>
          <w:i/>
          <w:lang w:val="en-GB"/>
        </w:rPr>
      </w:pPr>
      <w:r w:rsidRPr="00CE3E87">
        <w:rPr>
          <w:i/>
          <w:lang w:val="en-GB"/>
        </w:rPr>
        <w:t>Dose reaching up to 30 mg daily in adults should be based on thorough benefit/risk assessment by the treating specialist physician</w:t>
      </w:r>
      <w:r w:rsidRPr="00CE3E87">
        <w:rPr>
          <w:b/>
          <w:i/>
          <w:lang w:val="en-GB"/>
        </w:rPr>
        <w:t xml:space="preserve">. </w:t>
      </w:r>
    </w:p>
    <w:p w14:paraId="77D90D2F" w14:textId="72AE9247" w:rsidR="002C334E" w:rsidRPr="002C334E" w:rsidRDefault="002C334E" w:rsidP="00CE3E87">
      <w:pPr>
        <w:rPr>
          <w:lang w:val="en-GB"/>
        </w:rPr>
      </w:pPr>
      <w:r w:rsidRPr="002C334E">
        <w:rPr>
          <w:lang w:val="en-GB"/>
        </w:rPr>
        <w:t>The ACM agreed that the benefit/risk profile for upadacitinib in the treatment of atopic dermatitis, is favourable for the following dose recommendations:</w:t>
      </w:r>
    </w:p>
    <w:p w14:paraId="5CDBCD31" w14:textId="11E2A4EE" w:rsidR="002C334E" w:rsidRPr="002C334E" w:rsidRDefault="002C334E" w:rsidP="00CE3E87">
      <w:pPr>
        <w:autoSpaceDE w:val="0"/>
        <w:autoSpaceDN w:val="0"/>
        <w:adjustRightInd w:val="0"/>
        <w:spacing w:before="0" w:after="0" w:line="240" w:lineRule="auto"/>
        <w:ind w:left="720"/>
        <w:rPr>
          <w:rFonts w:eastAsiaTheme="minorHAnsi" w:cs="Cambria"/>
          <w:color w:val="000000"/>
          <w:lang w:val="en-GB"/>
        </w:rPr>
      </w:pPr>
      <w:r w:rsidRPr="002C334E">
        <w:rPr>
          <w:rFonts w:eastAsiaTheme="minorHAnsi" w:cs="Cambria"/>
          <w:color w:val="000000"/>
          <w:lang w:val="en-GB"/>
        </w:rPr>
        <w:t xml:space="preserve">Treatment should not be initiated with the 30 mg dose. The recommended starting dose of </w:t>
      </w:r>
      <w:r w:rsidR="00CE3E87" w:rsidRPr="00CE3E87">
        <w:rPr>
          <w:rFonts w:eastAsiaTheme="minorHAnsi" w:cs="Cambria"/>
          <w:color w:val="000000"/>
          <w:lang w:val="en-GB"/>
        </w:rPr>
        <w:t xml:space="preserve">Rinvoq </w:t>
      </w:r>
      <w:r w:rsidRPr="002C334E">
        <w:rPr>
          <w:rFonts w:eastAsiaTheme="minorHAnsi" w:cs="Cambria"/>
          <w:color w:val="000000"/>
          <w:lang w:val="en-GB"/>
        </w:rPr>
        <w:t xml:space="preserve">is 15 mg </w:t>
      </w:r>
      <w:r w:rsidR="00CE3E87" w:rsidRPr="00CE3E87">
        <w:rPr>
          <w:rFonts w:eastAsiaTheme="minorHAnsi" w:cs="Cambria"/>
          <w:color w:val="000000"/>
          <w:lang w:val="en-GB"/>
        </w:rPr>
        <w:t>once daily</w:t>
      </w:r>
      <w:r w:rsidRPr="002C334E">
        <w:rPr>
          <w:rFonts w:eastAsiaTheme="minorHAnsi" w:cs="Cambria"/>
          <w:color w:val="000000"/>
          <w:lang w:val="en-GB"/>
        </w:rPr>
        <w:t xml:space="preserve"> for both adults and adolescents. In adults aged less than 65 years, the dose may be increased to 30 mg </w:t>
      </w:r>
      <w:r w:rsidR="00CE3E87" w:rsidRPr="00CE3E87">
        <w:rPr>
          <w:rFonts w:eastAsiaTheme="minorHAnsi" w:cs="Cambria"/>
          <w:color w:val="000000"/>
          <w:lang w:val="en-GB"/>
        </w:rPr>
        <w:t>once daily</w:t>
      </w:r>
      <w:r w:rsidRPr="002C334E">
        <w:rPr>
          <w:rFonts w:eastAsiaTheme="minorHAnsi" w:cs="Cambria"/>
          <w:color w:val="000000"/>
          <w:lang w:val="en-GB"/>
        </w:rPr>
        <w:t xml:space="preserve"> if a clinically relevant response is not evident after review at 4 weeks, provided that the anticipated benefit of the higher dose outweighs any associated higher risk of adverse events. </w:t>
      </w:r>
    </w:p>
    <w:p w14:paraId="775BBA39" w14:textId="2E2EA980" w:rsidR="002C334E" w:rsidRPr="00CE3E87" w:rsidRDefault="00CE3E87" w:rsidP="00CE3E87">
      <w:pPr>
        <w:ind w:left="720"/>
      </w:pPr>
      <w:r w:rsidRPr="00CE3E87">
        <w:rPr>
          <w:lang w:val="en-GB"/>
        </w:rPr>
        <w:t xml:space="preserve">Rinvoq </w:t>
      </w:r>
      <w:r w:rsidR="002C334E" w:rsidRPr="00CE3E87">
        <w:rPr>
          <w:lang w:val="en-GB"/>
        </w:rPr>
        <w:t xml:space="preserve">should be ceased if a satisfactory clinical response </w:t>
      </w:r>
      <w:r w:rsidRPr="00CE3E87">
        <w:rPr>
          <w:lang w:val="en-GB"/>
        </w:rPr>
        <w:t>is not achieved after 16 weeks.</w:t>
      </w:r>
    </w:p>
    <w:p w14:paraId="15040C5A" w14:textId="070B6AAD" w:rsidR="002C334E" w:rsidRPr="00CE3E87" w:rsidRDefault="002C334E" w:rsidP="00CE3E87">
      <w:r w:rsidRPr="002C334E">
        <w:rPr>
          <w:lang w:val="en-GB"/>
        </w:rPr>
        <w:t>The ACM agreed that a clinical effect was established for the 7.5 mg, 15 mg and 30 mg doses. On balance, the ACM were of the view that 15 mg was an appropriate starting dose f</w:t>
      </w:r>
      <w:r w:rsidR="00CE3E87">
        <w:rPr>
          <w:lang w:val="en-GB"/>
        </w:rPr>
        <w:t>or both adults and adolescents.</w:t>
      </w:r>
    </w:p>
    <w:p w14:paraId="575AA50C" w14:textId="050B3B90" w:rsidR="002C334E" w:rsidRPr="002C334E" w:rsidRDefault="002C334E" w:rsidP="00CE3E87">
      <w:pPr>
        <w:rPr>
          <w:lang w:val="en-GB"/>
        </w:rPr>
      </w:pPr>
      <w:r w:rsidRPr="002C334E">
        <w:rPr>
          <w:lang w:val="en-GB"/>
        </w:rPr>
        <w:t>The ACM noted that the 30 mg daily dose provided additional</w:t>
      </w:r>
      <w:r w:rsidR="00CE3E87">
        <w:rPr>
          <w:lang w:val="en-GB"/>
        </w:rPr>
        <w:t xml:space="preserve"> clinical benefit over the 15 </w:t>
      </w:r>
      <w:r w:rsidRPr="002C334E">
        <w:rPr>
          <w:lang w:val="en-GB"/>
        </w:rPr>
        <w:t xml:space="preserve">mg daily dose across the endpoints of skin clearance or itch and regardless of topical corticosteroid, however due to increased toxicity with the 30 mg dose (dose response) they were inclined to recommend 15 mg as a starting dose. </w:t>
      </w:r>
      <w:r w:rsidR="00CE3E87">
        <w:rPr>
          <w:lang w:val="en-GB"/>
        </w:rPr>
        <w:t xml:space="preserve">The </w:t>
      </w:r>
      <w:r w:rsidRPr="002C334E">
        <w:rPr>
          <w:lang w:val="en-GB"/>
        </w:rPr>
        <w:t xml:space="preserve">ACM noted most people achieve a response within 4 weeks and if needed the dose can be increased at review after 4 weeks. </w:t>
      </w:r>
    </w:p>
    <w:p w14:paraId="4B7A9AB8" w14:textId="30D962F6" w:rsidR="002C334E" w:rsidRPr="00CE3E87" w:rsidRDefault="002C334E" w:rsidP="00CE3E87">
      <w:r w:rsidRPr="00CE3E87">
        <w:t>They noted that a 7.5 mg dose does not appear to be marketed and that splitting the extended rel</w:t>
      </w:r>
      <w:r w:rsidR="00CE3E87">
        <w:t>ease tablet is not recommended.</w:t>
      </w:r>
    </w:p>
    <w:p w14:paraId="398E6B1F" w14:textId="7C70C948" w:rsidR="002C334E" w:rsidRPr="00CE3E87" w:rsidRDefault="00CE3E87" w:rsidP="00CE3E87">
      <w:pPr>
        <w:pStyle w:val="Numberbullet0"/>
        <w:rPr>
          <w:b/>
          <w:i/>
          <w:lang w:val="en-GB"/>
        </w:rPr>
      </w:pPr>
      <w:r w:rsidRPr="00CE3E87">
        <w:rPr>
          <w:b/>
          <w:i/>
          <w:lang w:val="en-GB"/>
        </w:rPr>
        <w:t>Does the ACM have any other advice applicable to this submission?</w:t>
      </w:r>
    </w:p>
    <w:p w14:paraId="3DCFEF0F" w14:textId="77777777" w:rsidR="00CE3E87" w:rsidRDefault="002C334E" w:rsidP="00CE3E87">
      <w:pPr>
        <w:rPr>
          <w:lang w:val="en-GB"/>
        </w:rPr>
      </w:pPr>
      <w:r w:rsidRPr="002C334E">
        <w:rPr>
          <w:lang w:val="en-GB"/>
        </w:rPr>
        <w:t>The ACM requested that renal impairment be classified according to the stages of kidney disease (CKD) rather than ‘mild, moderate and severe’ renal impairment and noted that moderate is stage 3 (glomerular filtration rate (GFR) 60-30 mL/min/1.73 m</w:t>
      </w:r>
      <w:r w:rsidRPr="002C334E">
        <w:rPr>
          <w:sz w:val="14"/>
          <w:szCs w:val="14"/>
          <w:lang w:val="en-GB"/>
        </w:rPr>
        <w:t>2</w:t>
      </w:r>
      <w:r w:rsidRPr="002C334E">
        <w:rPr>
          <w:lang w:val="en-GB"/>
        </w:rPr>
        <w:t>), severe is stage 4 (GFR 30-15 mL/min/1.73 m</w:t>
      </w:r>
      <w:r w:rsidRPr="002C334E">
        <w:rPr>
          <w:sz w:val="14"/>
          <w:szCs w:val="14"/>
          <w:lang w:val="en-GB"/>
        </w:rPr>
        <w:t>2</w:t>
      </w:r>
      <w:r w:rsidRPr="002C334E">
        <w:rPr>
          <w:lang w:val="en-GB"/>
        </w:rPr>
        <w:t>) and stage 5 (GFR less than 15 mL/min/1.73 m</w:t>
      </w:r>
      <w:r w:rsidRPr="002C334E">
        <w:rPr>
          <w:sz w:val="14"/>
          <w:szCs w:val="14"/>
          <w:lang w:val="en-GB"/>
        </w:rPr>
        <w:t>2</w:t>
      </w:r>
      <w:r w:rsidR="00CE3E87">
        <w:rPr>
          <w:lang w:val="en-GB"/>
        </w:rPr>
        <w:t>) and mild is normal.</w:t>
      </w:r>
    </w:p>
    <w:p w14:paraId="33BDC121" w14:textId="76FF5E42" w:rsidR="002C334E" w:rsidRPr="002C334E" w:rsidRDefault="002C334E" w:rsidP="00CE3E87">
      <w:pPr>
        <w:rPr>
          <w:lang w:val="en-GB"/>
        </w:rPr>
      </w:pPr>
      <w:r w:rsidRPr="002C334E">
        <w:rPr>
          <w:lang w:val="en-GB"/>
        </w:rPr>
        <w:t xml:space="preserve">Based on this the ACM recommended that the PI state: </w:t>
      </w:r>
    </w:p>
    <w:p w14:paraId="3D4B1E6D" w14:textId="0F85C0FA" w:rsidR="00B67E63" w:rsidRDefault="00CE3E87" w:rsidP="00CE3E87">
      <w:pPr>
        <w:ind w:left="720"/>
        <w:rPr>
          <w:rFonts w:eastAsiaTheme="minorHAnsi" w:cs="Cambria"/>
          <w:color w:val="000000"/>
          <w:lang w:val="en-GB"/>
        </w:rPr>
      </w:pPr>
      <w:r>
        <w:rPr>
          <w:rFonts w:eastAsiaTheme="minorHAnsi" w:cs="Cambria"/>
          <w:color w:val="000000"/>
          <w:lang w:val="en-GB"/>
        </w:rPr>
        <w:lastRenderedPageBreak/>
        <w:t>‘</w:t>
      </w:r>
      <w:r w:rsidR="002C334E" w:rsidRPr="002C334E">
        <w:rPr>
          <w:rFonts w:eastAsiaTheme="minorHAnsi" w:cs="Cambria"/>
          <w:color w:val="000000"/>
          <w:lang w:val="en-GB"/>
        </w:rPr>
        <w:t xml:space="preserve">Patients with AD </w:t>
      </w:r>
      <w:r>
        <w:rPr>
          <w:rFonts w:eastAsiaTheme="minorHAnsi" w:cs="Cambria"/>
          <w:color w:val="000000"/>
          <w:lang w:val="en-GB"/>
        </w:rPr>
        <w:t xml:space="preserve">[atopic dermatitis] </w:t>
      </w:r>
      <w:r w:rsidR="002C334E" w:rsidRPr="002C334E">
        <w:rPr>
          <w:rFonts w:eastAsiaTheme="minorHAnsi" w:cs="Cambria"/>
          <w:color w:val="000000"/>
          <w:lang w:val="en-GB"/>
        </w:rPr>
        <w:t xml:space="preserve">and stage 3 kidney disease have an increased pharmacokinetic exposure to UPA </w:t>
      </w:r>
      <w:r>
        <w:rPr>
          <w:rFonts w:eastAsiaTheme="minorHAnsi" w:cs="Cambria"/>
          <w:color w:val="000000"/>
          <w:lang w:val="en-GB"/>
        </w:rPr>
        <w:t xml:space="preserve">[upadacitinib] </w:t>
      </w:r>
      <w:r w:rsidR="002C334E" w:rsidRPr="002C334E">
        <w:rPr>
          <w:rFonts w:eastAsiaTheme="minorHAnsi" w:cs="Cambria"/>
          <w:color w:val="000000"/>
          <w:lang w:val="en-GB"/>
        </w:rPr>
        <w:t>which may increase potential for adverse events. There are no evaluable data on use of UPA in stage 4-5 kidney disease. (</w:t>
      </w:r>
      <w:r w:rsidR="002C334E" w:rsidRPr="00CE3E87">
        <w:rPr>
          <w:rFonts w:eastAsiaTheme="minorHAnsi" w:cs="Cambria"/>
          <w:color w:val="000000"/>
          <w:lang w:val="en-GB"/>
        </w:rPr>
        <w:t xml:space="preserve">see </w:t>
      </w:r>
      <w:r>
        <w:rPr>
          <w:rFonts w:eastAsiaTheme="minorHAnsi" w:cs="Cambria"/>
          <w:color w:val="000000"/>
          <w:lang w:val="en-GB"/>
        </w:rPr>
        <w:t xml:space="preserve">[section] </w:t>
      </w:r>
      <w:r w:rsidR="002C334E" w:rsidRPr="00CE3E87">
        <w:rPr>
          <w:rFonts w:eastAsiaTheme="minorHAnsi" w:cs="Cambria"/>
          <w:bCs/>
          <w:color w:val="000000"/>
          <w:lang w:val="en-GB"/>
        </w:rPr>
        <w:t>5.2 PHARMACOKINETIC PROPERTIES</w:t>
      </w:r>
      <w:r w:rsidR="002C334E" w:rsidRPr="002C334E">
        <w:rPr>
          <w:rFonts w:eastAsiaTheme="minorHAnsi" w:cs="Cambria"/>
          <w:color w:val="000000"/>
          <w:lang w:val="en-GB"/>
        </w:rPr>
        <w:t xml:space="preserve">). While the majority of UPA elimination occurs through non-renal clearance, prudent dosing is recommended in these groups – 15mg is the </w:t>
      </w:r>
      <w:r>
        <w:rPr>
          <w:rFonts w:eastAsiaTheme="minorHAnsi" w:cs="Cambria"/>
          <w:color w:val="000000"/>
          <w:lang w:val="en-GB"/>
        </w:rPr>
        <w:t>maximum recommended daily dose.’</w:t>
      </w:r>
    </w:p>
    <w:p w14:paraId="062C8EE7" w14:textId="09A5210F" w:rsidR="002C334E" w:rsidRPr="002C334E" w:rsidRDefault="002C334E" w:rsidP="002C334E">
      <w:pPr>
        <w:autoSpaceDE w:val="0"/>
        <w:autoSpaceDN w:val="0"/>
        <w:adjustRightInd w:val="0"/>
        <w:spacing w:before="0" w:after="0" w:line="240" w:lineRule="auto"/>
        <w:rPr>
          <w:rFonts w:eastAsiaTheme="minorHAnsi" w:cs="Cambria"/>
          <w:color w:val="000000"/>
          <w:lang w:val="en-GB"/>
        </w:rPr>
      </w:pPr>
      <w:r w:rsidRPr="002C334E">
        <w:rPr>
          <w:rFonts w:eastAsiaTheme="minorHAnsi" w:cs="Cambria"/>
          <w:color w:val="000000"/>
          <w:lang w:val="en-GB"/>
        </w:rPr>
        <w:t xml:space="preserve">The ACM were of the view that combination therapy did not demonstrate any improvement over monotherapy and noted that there is no data on topical calcineurin inhibitors, as such they propose the removal of the following statement from </w:t>
      </w:r>
      <w:r w:rsidR="00CE3E87">
        <w:rPr>
          <w:rFonts w:eastAsiaTheme="minorHAnsi" w:cs="Cambria"/>
          <w:color w:val="000000"/>
          <w:lang w:val="en-GB"/>
        </w:rPr>
        <w:t>the</w:t>
      </w:r>
      <w:r w:rsidRPr="002C334E">
        <w:rPr>
          <w:rFonts w:eastAsiaTheme="minorHAnsi" w:cs="Cambria"/>
          <w:color w:val="000000"/>
          <w:lang w:val="en-GB"/>
        </w:rPr>
        <w:t xml:space="preserve"> PI: </w:t>
      </w:r>
    </w:p>
    <w:p w14:paraId="2F1BA46E" w14:textId="562308C1" w:rsidR="002C334E" w:rsidRPr="002C334E" w:rsidRDefault="00CE3E87" w:rsidP="00CE3E87">
      <w:pPr>
        <w:ind w:left="720"/>
      </w:pPr>
      <w:r>
        <w:t>‘</w:t>
      </w:r>
      <w:r w:rsidRPr="00CE3E87">
        <w:t xml:space="preserve">Rinvoq </w:t>
      </w:r>
      <w:r w:rsidR="002C334E" w:rsidRPr="00CE3E87">
        <w:t>can be used with or without topical corticosteroids. Topical calcineurin inhibitors maybe used for sensitive areas such as the face, neck, and intertriginous and g</w:t>
      </w:r>
      <w:r>
        <w:t>enital areas.’</w:t>
      </w:r>
    </w:p>
    <w:p w14:paraId="3228EE7B" w14:textId="00C13400" w:rsidR="0074163C" w:rsidRDefault="0074163C" w:rsidP="0074163C">
      <w:pPr>
        <w:pStyle w:val="Heading5"/>
      </w:pPr>
      <w:r w:rsidRPr="00F73346">
        <w:t>Conclusion</w:t>
      </w:r>
    </w:p>
    <w:p w14:paraId="03F2DE8B" w14:textId="6129EE5C" w:rsidR="00CE3E87" w:rsidRPr="002C334E" w:rsidRDefault="00CE3E87" w:rsidP="00CE3E87">
      <w:pPr>
        <w:autoSpaceDE w:val="0"/>
        <w:autoSpaceDN w:val="0"/>
        <w:adjustRightInd w:val="0"/>
        <w:spacing w:before="0" w:after="0" w:line="240" w:lineRule="auto"/>
        <w:rPr>
          <w:rFonts w:eastAsiaTheme="minorHAnsi" w:cs="Cambria"/>
          <w:color w:val="000000"/>
          <w:lang w:val="en-GB"/>
        </w:rPr>
      </w:pPr>
      <w:r w:rsidRPr="002C334E">
        <w:rPr>
          <w:rFonts w:eastAsiaTheme="minorHAnsi" w:cs="Cambria"/>
          <w:color w:val="000000"/>
          <w:lang w:val="en-GB"/>
        </w:rPr>
        <w:t xml:space="preserve">The ACM considered this product to have an overall positive benefit-risk profile for the </w:t>
      </w:r>
      <w:r>
        <w:rPr>
          <w:rFonts w:eastAsiaTheme="minorHAnsi" w:cs="Cambria"/>
          <w:color w:val="000000"/>
          <w:lang w:val="en-GB"/>
        </w:rPr>
        <w:t xml:space="preserve">following </w:t>
      </w:r>
      <w:r w:rsidRPr="002C334E">
        <w:rPr>
          <w:rFonts w:eastAsiaTheme="minorHAnsi" w:cs="Cambria"/>
          <w:color w:val="000000"/>
          <w:lang w:val="en-GB"/>
        </w:rPr>
        <w:t xml:space="preserve">indication: </w:t>
      </w:r>
    </w:p>
    <w:p w14:paraId="17501DCA" w14:textId="5AC94544" w:rsidR="00CE3E87" w:rsidRPr="00B67E63" w:rsidRDefault="00CE3E87" w:rsidP="00CE3E87">
      <w:pPr>
        <w:ind w:left="720"/>
      </w:pPr>
      <w:r w:rsidRPr="002C334E">
        <w:rPr>
          <w:rFonts w:eastAsiaTheme="minorHAnsi" w:cs="Cambria"/>
          <w:i/>
          <w:iCs/>
          <w:color w:val="000000"/>
          <w:lang w:val="en-GB"/>
        </w:rPr>
        <w:t>Rinvoq is indicated for use in adults and in adolescents aged 12 years and above who weigh at least 40 kg, for the treatment of moderate to severe atopic dermatitis which is inadequately controlled with active topical pharmacotherapies and for whom systemic therapy is indicated.</w:t>
      </w:r>
    </w:p>
    <w:p w14:paraId="44444B4B" w14:textId="77777777" w:rsidR="008E7846" w:rsidRPr="002E238E" w:rsidRDefault="008E7846" w:rsidP="00D212F3">
      <w:pPr>
        <w:pStyle w:val="Heading2"/>
      </w:pPr>
      <w:bookmarkStart w:id="168" w:name="_Toc129093309"/>
      <w:r>
        <w:t>Outcome</w:t>
      </w:r>
      <w:bookmarkEnd w:id="166"/>
      <w:bookmarkEnd w:id="167"/>
      <w:bookmarkEnd w:id="168"/>
    </w:p>
    <w:p w14:paraId="212C50AB" w14:textId="6E6D2BFE" w:rsidR="005D33DF" w:rsidRDefault="0074163C" w:rsidP="005D33DF">
      <w:pPr>
        <w:rPr>
          <w:rFonts w:eastAsiaTheme="minorHAnsi" w:cs="Cambria"/>
          <w:lang w:val="en-GB"/>
        </w:rPr>
      </w:pPr>
      <w:bookmarkStart w:id="169" w:name="_Toc247691533"/>
      <w:bookmarkStart w:id="170" w:name="_Toc314842517"/>
      <w:r>
        <w:t xml:space="preserve">Based on a review of quality, </w:t>
      </w:r>
      <w:r w:rsidR="00CC5044">
        <w:t>safety,</w:t>
      </w:r>
      <w:r>
        <w:t xml:space="preserve"> and efficacy, the TGA approved the registration of </w:t>
      </w:r>
      <w:r w:rsidR="005D33DF">
        <w:t xml:space="preserve">a new strength of Rinvoq (upadacitinib): </w:t>
      </w:r>
      <w:r w:rsidR="005D33DF">
        <w:rPr>
          <w:lang w:val="en-GB"/>
        </w:rPr>
        <w:t>Rinvoq upadacitinib 30 mg modified release tablets (</w:t>
      </w:r>
      <w:r w:rsidR="005D33DF" w:rsidRPr="005D33DF">
        <w:rPr>
          <w:rFonts w:eastAsiaTheme="minorHAnsi" w:cs="Cambria"/>
          <w:lang w:val="en-GB"/>
        </w:rPr>
        <w:t>blister pack</w:t>
      </w:r>
      <w:r w:rsidR="005D33DF">
        <w:rPr>
          <w:rFonts w:eastAsiaTheme="minorHAnsi" w:cs="Cambria"/>
          <w:lang w:val="en-GB"/>
        </w:rPr>
        <w:t xml:space="preserve">); and to extend the indications of the previously approved </w:t>
      </w:r>
      <w:r w:rsidR="005D33DF">
        <w:rPr>
          <w:lang w:val="en-GB"/>
        </w:rPr>
        <w:t xml:space="preserve">Rinvoq upadacitinib 15 mg modified release tablets </w:t>
      </w:r>
      <w:r w:rsidR="005D33DF">
        <w:rPr>
          <w:rFonts w:eastAsiaTheme="minorHAnsi" w:cs="Cambria"/>
          <w:lang w:val="en-GB"/>
        </w:rPr>
        <w:t>for the following new extension of indications:</w:t>
      </w:r>
    </w:p>
    <w:p w14:paraId="425D7DF8" w14:textId="20D82BCB" w:rsidR="005D33DF" w:rsidRPr="005D33DF" w:rsidRDefault="005D33DF" w:rsidP="005D33DF">
      <w:pPr>
        <w:ind w:firstLine="720"/>
        <w:rPr>
          <w:b/>
          <w:i/>
          <w:lang w:val="en-GB"/>
        </w:rPr>
      </w:pPr>
      <w:r w:rsidRPr="005D33DF">
        <w:rPr>
          <w:b/>
          <w:i/>
          <w:lang w:val="en-GB"/>
        </w:rPr>
        <w:t>Atopic Dermatitis</w:t>
      </w:r>
    </w:p>
    <w:p w14:paraId="3A27F169" w14:textId="1C102DE0" w:rsidR="005D33DF" w:rsidRDefault="005D33DF" w:rsidP="005D33DF">
      <w:pPr>
        <w:ind w:left="720"/>
        <w:rPr>
          <w:i/>
          <w:lang w:val="en-GB"/>
        </w:rPr>
      </w:pPr>
      <w:r w:rsidRPr="005D33DF">
        <w:rPr>
          <w:i/>
          <w:lang w:val="en-GB"/>
        </w:rPr>
        <w:t>Rinvoq is indicated for use in adults and adolescents aged 12 years and above who weigh at least 40 kg, for the treatment of moderate to severe atopic dermatitis which is inadequately controlled with active topical pharmacotherapies and for whom systemic therapy is indicated.</w:t>
      </w:r>
    </w:p>
    <w:p w14:paraId="33BCA160" w14:textId="22B9C954" w:rsidR="005D33DF" w:rsidRDefault="005D33DF" w:rsidP="005D33DF">
      <w:r>
        <w:t xml:space="preserve">Note, the Rinvoq 30 mg upadacitinib modified release tablet </w:t>
      </w:r>
      <w:r w:rsidR="00303378">
        <w:t xml:space="preserve">(AUST R </w:t>
      </w:r>
      <w:r w:rsidR="00303378" w:rsidRPr="00303378">
        <w:t>346215)</w:t>
      </w:r>
      <w:r w:rsidR="00303378">
        <w:t xml:space="preserve"> </w:t>
      </w:r>
      <w:r>
        <w:t>is only approved for the submission above.</w:t>
      </w:r>
    </w:p>
    <w:p w14:paraId="4D7EAB97" w14:textId="60467DC6" w:rsidR="005D33DF" w:rsidRDefault="005D33DF" w:rsidP="005D33DF">
      <w:r>
        <w:t>For the Rinvoq 15 mg upadacitib modified release tablet</w:t>
      </w:r>
      <w:r w:rsidR="00303378">
        <w:t xml:space="preserve"> (AUST R 312687)</w:t>
      </w:r>
      <w:r>
        <w:t xml:space="preserve"> is approved for the following full set of indications:</w:t>
      </w:r>
    </w:p>
    <w:p w14:paraId="307FA199" w14:textId="05DBE948" w:rsidR="005D33DF" w:rsidRPr="00303378" w:rsidRDefault="005D33DF" w:rsidP="00303378">
      <w:pPr>
        <w:ind w:left="720"/>
        <w:rPr>
          <w:b/>
          <w:i/>
          <w:lang w:val="en-GB"/>
        </w:rPr>
      </w:pPr>
      <w:r w:rsidRPr="00303378">
        <w:rPr>
          <w:b/>
          <w:i/>
          <w:lang w:val="en-GB"/>
        </w:rPr>
        <w:t>Rheumatoid Arthritis</w:t>
      </w:r>
    </w:p>
    <w:p w14:paraId="42728B03" w14:textId="633EDFD3" w:rsidR="005D33DF" w:rsidRPr="00303378" w:rsidRDefault="00303378" w:rsidP="00303378">
      <w:pPr>
        <w:ind w:left="720"/>
        <w:rPr>
          <w:i/>
        </w:rPr>
      </w:pPr>
      <w:r w:rsidRPr="00303378">
        <w:rPr>
          <w:i/>
        </w:rPr>
        <w:t xml:space="preserve">Rinvoq </w:t>
      </w:r>
      <w:r w:rsidR="005D33DF" w:rsidRPr="00303378">
        <w:rPr>
          <w:i/>
        </w:rPr>
        <w:t>is indicated for the treatment of moderate to severe active rheumatoid arthritis</w:t>
      </w:r>
      <w:r w:rsidRPr="00303378">
        <w:rPr>
          <w:i/>
        </w:rPr>
        <w:t xml:space="preserve"> </w:t>
      </w:r>
      <w:r w:rsidR="005D33DF" w:rsidRPr="00303378">
        <w:rPr>
          <w:i/>
        </w:rPr>
        <w:t>in adult patients who have responded inadequately to, o</w:t>
      </w:r>
      <w:r w:rsidRPr="00303378">
        <w:rPr>
          <w:i/>
        </w:rPr>
        <w:t xml:space="preserve">r who are intolerant to, one or </w:t>
      </w:r>
      <w:r w:rsidR="005D33DF" w:rsidRPr="00303378">
        <w:rPr>
          <w:i/>
        </w:rPr>
        <w:t>more disease-modifying anti-rheumatic drugs (DMARDs).</w:t>
      </w:r>
    </w:p>
    <w:p w14:paraId="5703FBDA" w14:textId="2DA04DEA" w:rsidR="005D33DF" w:rsidRPr="00303378" w:rsidRDefault="00303378" w:rsidP="00303378">
      <w:pPr>
        <w:ind w:left="720"/>
        <w:rPr>
          <w:i/>
        </w:rPr>
      </w:pPr>
      <w:r w:rsidRPr="00303378">
        <w:rPr>
          <w:i/>
        </w:rPr>
        <w:t xml:space="preserve">Rinvoq </w:t>
      </w:r>
      <w:r w:rsidR="005D33DF" w:rsidRPr="00303378">
        <w:rPr>
          <w:i/>
        </w:rPr>
        <w:t>may be used as monotherapy or in combina</w:t>
      </w:r>
      <w:r w:rsidRPr="00303378">
        <w:rPr>
          <w:i/>
        </w:rPr>
        <w:t xml:space="preserve">tion with methotrexate or other </w:t>
      </w:r>
      <w:r w:rsidR="005D33DF" w:rsidRPr="00303378">
        <w:rPr>
          <w:i/>
        </w:rPr>
        <w:t>conventional synthetic disease-modifying anti-rheumatic drugs (csDMARDs).</w:t>
      </w:r>
    </w:p>
    <w:p w14:paraId="4EE1BA67" w14:textId="77777777" w:rsidR="005D33DF" w:rsidRPr="00303378" w:rsidRDefault="005D33DF" w:rsidP="00303378">
      <w:pPr>
        <w:ind w:left="720"/>
        <w:rPr>
          <w:b/>
          <w:i/>
        </w:rPr>
      </w:pPr>
      <w:r w:rsidRPr="00303378">
        <w:rPr>
          <w:b/>
          <w:i/>
        </w:rPr>
        <w:t>Psoriatic Arthritis</w:t>
      </w:r>
    </w:p>
    <w:p w14:paraId="1CFE6903" w14:textId="46553E11" w:rsidR="005D33DF" w:rsidRPr="00303378" w:rsidRDefault="00303378" w:rsidP="00303378">
      <w:pPr>
        <w:ind w:left="720"/>
        <w:rPr>
          <w:i/>
        </w:rPr>
      </w:pPr>
      <w:r w:rsidRPr="00303378">
        <w:rPr>
          <w:i/>
        </w:rPr>
        <w:t xml:space="preserve">Rinvoq </w:t>
      </w:r>
      <w:r w:rsidR="005D33DF" w:rsidRPr="00303378">
        <w:rPr>
          <w:i/>
        </w:rPr>
        <w:t>is indicated for the treatment of moderate to sever</w:t>
      </w:r>
      <w:r w:rsidRPr="00303378">
        <w:rPr>
          <w:i/>
        </w:rPr>
        <w:t xml:space="preserve">e active psoriatic arthritis in </w:t>
      </w:r>
      <w:r w:rsidR="005D33DF" w:rsidRPr="00303378">
        <w:rPr>
          <w:i/>
        </w:rPr>
        <w:t>adult patients who have responded inadequately to, o</w:t>
      </w:r>
      <w:r w:rsidRPr="00303378">
        <w:rPr>
          <w:i/>
        </w:rPr>
        <w:t xml:space="preserve">r are intolerant to one or more </w:t>
      </w:r>
      <w:r w:rsidR="005D33DF" w:rsidRPr="00303378">
        <w:rPr>
          <w:i/>
        </w:rPr>
        <w:t>DMARDs.</w:t>
      </w:r>
    </w:p>
    <w:p w14:paraId="670F6B68" w14:textId="7FA2A9FE" w:rsidR="005D33DF" w:rsidRPr="00303378" w:rsidRDefault="00303378" w:rsidP="00303378">
      <w:pPr>
        <w:ind w:left="720"/>
        <w:rPr>
          <w:i/>
        </w:rPr>
      </w:pPr>
      <w:r w:rsidRPr="00303378">
        <w:rPr>
          <w:i/>
        </w:rPr>
        <w:lastRenderedPageBreak/>
        <w:t xml:space="preserve">Rinvoq </w:t>
      </w:r>
      <w:r w:rsidR="005D33DF" w:rsidRPr="00303378">
        <w:rPr>
          <w:i/>
        </w:rPr>
        <w:t>may be used as monotherapy or in combination with a non-biological DMARD.</w:t>
      </w:r>
    </w:p>
    <w:p w14:paraId="55987462" w14:textId="77777777" w:rsidR="005D33DF" w:rsidRPr="00303378" w:rsidRDefault="005D33DF" w:rsidP="00303378">
      <w:pPr>
        <w:ind w:left="720"/>
        <w:rPr>
          <w:b/>
          <w:i/>
        </w:rPr>
      </w:pPr>
      <w:r w:rsidRPr="00303378">
        <w:rPr>
          <w:b/>
          <w:i/>
        </w:rPr>
        <w:t>Ankylosing Spondylitis</w:t>
      </w:r>
    </w:p>
    <w:p w14:paraId="54B5BA41" w14:textId="0A0E5E7B" w:rsidR="005D33DF" w:rsidRPr="00303378" w:rsidRDefault="00303378" w:rsidP="00303378">
      <w:pPr>
        <w:ind w:left="720"/>
        <w:rPr>
          <w:i/>
        </w:rPr>
      </w:pPr>
      <w:r w:rsidRPr="00303378">
        <w:rPr>
          <w:i/>
        </w:rPr>
        <w:t xml:space="preserve">Rinvoq </w:t>
      </w:r>
      <w:r w:rsidR="005D33DF" w:rsidRPr="00303378">
        <w:rPr>
          <w:i/>
        </w:rPr>
        <w:t>is indicated for the treatment of adults with active ankylosing spondylitis.</w:t>
      </w:r>
    </w:p>
    <w:p w14:paraId="5AB7239B" w14:textId="77777777" w:rsidR="005D33DF" w:rsidRPr="00303378" w:rsidRDefault="005D33DF" w:rsidP="00303378">
      <w:pPr>
        <w:ind w:left="720"/>
        <w:rPr>
          <w:b/>
          <w:i/>
        </w:rPr>
      </w:pPr>
      <w:r w:rsidRPr="00303378">
        <w:rPr>
          <w:b/>
          <w:i/>
        </w:rPr>
        <w:t>Atopic Dermatitis</w:t>
      </w:r>
    </w:p>
    <w:p w14:paraId="76ED11FE" w14:textId="0A4C9733" w:rsidR="005D33DF" w:rsidRDefault="00303378" w:rsidP="00303378">
      <w:pPr>
        <w:ind w:left="720"/>
      </w:pPr>
      <w:r w:rsidRPr="00303378">
        <w:rPr>
          <w:i/>
        </w:rPr>
        <w:t xml:space="preserve">Rinvoq </w:t>
      </w:r>
      <w:r w:rsidR="005D33DF" w:rsidRPr="00303378">
        <w:rPr>
          <w:i/>
        </w:rPr>
        <w:t>is indicated for use in adults and adolesce</w:t>
      </w:r>
      <w:r w:rsidRPr="00303378">
        <w:rPr>
          <w:i/>
        </w:rPr>
        <w:t xml:space="preserve">nts aged 12 years and above who </w:t>
      </w:r>
      <w:r w:rsidR="005D33DF" w:rsidRPr="00303378">
        <w:rPr>
          <w:i/>
        </w:rPr>
        <w:t>weigh at least 40 kg, for the treatment of moderate to severe atopic dermat</w:t>
      </w:r>
      <w:r w:rsidRPr="00303378">
        <w:rPr>
          <w:i/>
        </w:rPr>
        <w:t xml:space="preserve">itis which is </w:t>
      </w:r>
      <w:r w:rsidR="005D33DF" w:rsidRPr="00303378">
        <w:rPr>
          <w:i/>
        </w:rPr>
        <w:t>inadequately controlled with active topical pharmaco</w:t>
      </w:r>
      <w:r w:rsidRPr="00303378">
        <w:rPr>
          <w:i/>
        </w:rPr>
        <w:t>therapies and for whom systemic therapy is indicated.</w:t>
      </w:r>
    </w:p>
    <w:p w14:paraId="259BC0B0" w14:textId="6B3A91EE" w:rsidR="0074163C" w:rsidRPr="00D23139" w:rsidRDefault="0074163C" w:rsidP="0074163C">
      <w:r>
        <w:t xml:space="preserve">The above </w:t>
      </w:r>
      <w:r w:rsidRPr="00C105CF">
        <w:t xml:space="preserve">extension of indications </w:t>
      </w:r>
      <w:r>
        <w:t>are inclusive of the</w:t>
      </w:r>
      <w:r w:rsidR="00303378">
        <w:t xml:space="preserve"> previous approved indications.</w:t>
      </w:r>
    </w:p>
    <w:p w14:paraId="7E64348B" w14:textId="69815573" w:rsidR="00D23139" w:rsidRDefault="00D23139" w:rsidP="00D212F3">
      <w:pPr>
        <w:pStyle w:val="Heading3"/>
      </w:pPr>
      <w:bookmarkStart w:id="171" w:name="_Toc129093310"/>
      <w:r w:rsidRPr="00D23139">
        <w:t>Specific conditions of registration applying to these goods</w:t>
      </w:r>
      <w:bookmarkEnd w:id="171"/>
    </w:p>
    <w:p w14:paraId="423D2E97" w14:textId="58C1CD18" w:rsidR="00687399" w:rsidRDefault="00687399" w:rsidP="00687399">
      <w:pPr>
        <w:pStyle w:val="ListBullet"/>
      </w:pPr>
      <w:r>
        <w:t>R</w:t>
      </w:r>
      <w:r w:rsidR="00F52B8F">
        <w:t>invoq</w:t>
      </w:r>
      <w:r>
        <w:t xml:space="preserve"> (upadacitinib) is to be included in the Black Triangle Scheme. The PI and CMI for R</w:t>
      </w:r>
      <w:r w:rsidR="00F52B8F">
        <w:t>invoq</w:t>
      </w:r>
      <w:r>
        <w:t xml:space="preserve"> must include the black triangle symbol and mandatory accompanying text for five years, which starts from the date the new indication is registered.</w:t>
      </w:r>
    </w:p>
    <w:p w14:paraId="21B81E68" w14:textId="2A93151E" w:rsidR="00303378" w:rsidRDefault="00303378" w:rsidP="00303378">
      <w:pPr>
        <w:pStyle w:val="ListBullet"/>
      </w:pPr>
      <w:r w:rsidRPr="00303378">
        <w:t>The Rinvoq Core/EU RMP (version 4.3, dated June 2021; data lock point 23 July 2020), with Australian Specific Annex (version 5.0, dated July 2021), included with submission PM-2020-04791-1-1, to be revised to the satisfaction of the TGA, will be implemented in Australia.</w:t>
      </w:r>
    </w:p>
    <w:p w14:paraId="48E2ECAB" w14:textId="0158E9C6" w:rsidR="00687399" w:rsidRDefault="00687399" w:rsidP="00687399">
      <w:pPr>
        <w:pStyle w:val="ListBullet"/>
        <w:numPr>
          <w:ilvl w:val="0"/>
          <w:numId w:val="0"/>
        </w:numPr>
        <w:ind w:left="360"/>
      </w:pPr>
      <w:r>
        <w:t>An obligatory component of risk management plans is routine pharmacovigilance. Routine pharmacovigilance includes the submission of periodic safety update reports (PSURs).</w:t>
      </w:r>
    </w:p>
    <w:p w14:paraId="68E2581E" w14:textId="220093BC" w:rsidR="00687399" w:rsidRDefault="00687399" w:rsidP="00687399">
      <w:pPr>
        <w:pStyle w:val="ListBullet"/>
        <w:numPr>
          <w:ilvl w:val="0"/>
          <w:numId w:val="0"/>
        </w:numPr>
        <w:ind w:left="360"/>
      </w:pPr>
      <w:r>
        <w:t>Reports are to be provided in line with the current published list of EU reference dates and frequency of submission of PSURs until the period covered by such reports is not less than three years from the date of the approval letter.</w:t>
      </w:r>
    </w:p>
    <w:p w14:paraId="679DF1A5" w14:textId="7F5E4DAE" w:rsidR="00687399" w:rsidRPr="00303378" w:rsidRDefault="00687399" w:rsidP="00687399">
      <w:pPr>
        <w:pStyle w:val="ListBullet"/>
        <w:numPr>
          <w:ilvl w:val="0"/>
          <w:numId w:val="0"/>
        </w:numPr>
        <w:ind w:left="360"/>
      </w:pPr>
      <w:r>
        <w:t>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w:t>
      </w:r>
    </w:p>
    <w:p w14:paraId="2E04DCD9" w14:textId="77777777" w:rsidR="008E7846" w:rsidRDefault="00A80B5B" w:rsidP="00D23139">
      <w:pPr>
        <w:pStyle w:val="Heading2"/>
      </w:pPr>
      <w:bookmarkStart w:id="172" w:name="_Toc129093311"/>
      <w:r>
        <w:t xml:space="preserve">Attachment 1. </w:t>
      </w:r>
      <w:r w:rsidR="008E7846">
        <w:t xml:space="preserve">Product </w:t>
      </w:r>
      <w:r w:rsidR="00AA0ED0">
        <w:t>I</w:t>
      </w:r>
      <w:r w:rsidR="008E7846">
        <w:t>nformation</w:t>
      </w:r>
      <w:bookmarkEnd w:id="169"/>
      <w:bookmarkEnd w:id="170"/>
      <w:bookmarkEnd w:id="172"/>
    </w:p>
    <w:p w14:paraId="68B1CBE5" w14:textId="65803BA6" w:rsidR="00C80137" w:rsidRPr="001D043B" w:rsidRDefault="006136D7" w:rsidP="00303378">
      <w:pPr>
        <w:sectPr w:rsidR="00C80137" w:rsidRPr="001D043B" w:rsidSect="00B452CE">
          <w:headerReference w:type="even" r:id="rId106"/>
          <w:headerReference w:type="default" r:id="rId107"/>
          <w:headerReference w:type="first" r:id="rId108"/>
          <w:footerReference w:type="first" r:id="rId109"/>
          <w:pgSz w:w="11906" w:h="16838" w:code="9"/>
          <w:pgMar w:top="834" w:right="1701" w:bottom="1191" w:left="1701" w:header="907" w:footer="216" w:gutter="0"/>
          <w:cols w:space="708"/>
          <w:docGrid w:linePitch="360"/>
        </w:sectPr>
      </w:pPr>
      <w:r w:rsidRPr="002B3624">
        <w:t xml:space="preserve">The </w:t>
      </w:r>
      <w:r>
        <w:t>PI</w:t>
      </w:r>
      <w:r w:rsidRPr="002B3624">
        <w:t xml:space="preserve"> for </w:t>
      </w:r>
      <w:r w:rsidR="00303378">
        <w:t xml:space="preserve">Rinvoq </w:t>
      </w:r>
      <w:r>
        <w:t xml:space="preserve">approved with the submission which is described in </w:t>
      </w:r>
      <w:r w:rsidRPr="002B3624">
        <w:t>this AusPAR is at Attachment 1.</w:t>
      </w:r>
      <w:r w:rsidR="00CC5044">
        <w:t xml:space="preserve"> </w:t>
      </w:r>
      <w:r w:rsidR="0074163C" w:rsidRPr="00940A89">
        <w:t xml:space="preserve">For the most recent </w:t>
      </w:r>
      <w:r w:rsidR="0074163C">
        <w:t>PI,</w:t>
      </w:r>
      <w:r w:rsidR="0074163C" w:rsidRPr="00940A89">
        <w:t xml:space="preserve"> ple</w:t>
      </w:r>
      <w:r w:rsidR="0074163C">
        <w:t xml:space="preserve">ase refer to the TGA </w:t>
      </w:r>
      <w:hyperlink r:id="rId110" w:history="1">
        <w:r w:rsidR="0074163C" w:rsidRPr="008A698E">
          <w:rPr>
            <w:rStyle w:val="Hyperlink"/>
          </w:rPr>
          <w:t>PI/CMI search facility.</w:t>
        </w:r>
      </w:hyperlink>
      <w:r w:rsidR="00303378">
        <w:t xml:space="preserve"> </w:t>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1C32CD" w:rsidRPr="00487162" w14:paraId="67F5BBF9" w14:textId="77777777" w:rsidTr="00A05FA4">
        <w:trPr>
          <w:trHeight w:hRule="exact" w:val="704"/>
        </w:trPr>
        <w:tc>
          <w:tcPr>
            <w:tcW w:w="9175" w:type="dxa"/>
          </w:tcPr>
          <w:p w14:paraId="07E7F02E" w14:textId="77777777" w:rsidR="001C32CD" w:rsidRPr="00487162" w:rsidRDefault="001C32CD" w:rsidP="00A05FA4">
            <w:pPr>
              <w:pStyle w:val="TGASignoff"/>
            </w:pPr>
            <w:r w:rsidRPr="00487162">
              <w:lastRenderedPageBreak/>
              <w:t>Therapeutic Goods Administration</w:t>
            </w:r>
          </w:p>
        </w:tc>
      </w:tr>
      <w:tr w:rsidR="001C32CD" w:rsidRPr="004C239D" w14:paraId="491EECD0" w14:textId="77777777" w:rsidTr="00A05FA4">
        <w:trPr>
          <w:trHeight w:val="1221"/>
        </w:trPr>
        <w:tc>
          <w:tcPr>
            <w:tcW w:w="9175" w:type="dxa"/>
            <w:tcMar>
              <w:top w:w="28" w:type="dxa"/>
            </w:tcMar>
          </w:tcPr>
          <w:p w14:paraId="59392030" w14:textId="77777777" w:rsidR="001C32CD" w:rsidRPr="00487162" w:rsidRDefault="001C32CD" w:rsidP="00A05FA4">
            <w:pPr>
              <w:pStyle w:val="Address"/>
            </w:pPr>
            <w:r w:rsidRPr="00487162">
              <w:t>PO Box 100 Woden ACT 2606 Australia</w:t>
            </w:r>
          </w:p>
          <w:p w14:paraId="7F94BE61" w14:textId="037D3A75" w:rsidR="001C32CD" w:rsidRPr="00487162" w:rsidRDefault="001C32CD" w:rsidP="00A05FA4">
            <w:pPr>
              <w:pStyle w:val="Address"/>
            </w:pPr>
            <w:r w:rsidRPr="00487162">
              <w:t xml:space="preserve">Email: </w:t>
            </w:r>
            <w:hyperlink r:id="rId111" w:history="1">
              <w:r w:rsidRPr="004C239D">
                <w:rPr>
                  <w:rStyle w:val="Hyperlink"/>
                </w:rPr>
                <w:t>info@tga.gov.au</w:t>
              </w:r>
            </w:hyperlink>
            <w:r w:rsidRPr="00487162">
              <w:t xml:space="preserve">  Phone: 1800 020 653  Fax: 02 6232 8605</w:t>
            </w:r>
          </w:p>
          <w:p w14:paraId="0858937E" w14:textId="7638443C" w:rsidR="001C32CD" w:rsidRPr="004C239D" w:rsidRDefault="006766E0" w:rsidP="00A05FA4">
            <w:pPr>
              <w:pStyle w:val="Address"/>
              <w:spacing w:line="260" w:lineRule="atLeast"/>
              <w:rPr>
                <w:b/>
                <w:color w:val="0000FF"/>
                <w:u w:val="single"/>
              </w:rPr>
            </w:pPr>
            <w:hyperlink r:id="rId112" w:history="1">
              <w:r w:rsidR="007C6B9B" w:rsidRPr="007C6B9B">
                <w:rPr>
                  <w:rStyle w:val="Hyperlink"/>
                  <w:b/>
                </w:rPr>
                <w:t>https://www.tga.gov.au</w:t>
              </w:r>
            </w:hyperlink>
          </w:p>
        </w:tc>
      </w:tr>
    </w:tbl>
    <w:p w14:paraId="426FCF90" w14:textId="6505A5D6" w:rsidR="00774E1D" w:rsidRPr="008A5E0B" w:rsidRDefault="00774E1D" w:rsidP="004C239D"/>
    <w:sectPr w:rsidR="00774E1D" w:rsidRPr="008A5E0B" w:rsidSect="001C32CD">
      <w:headerReference w:type="even" r:id="rId113"/>
      <w:headerReference w:type="default" r:id="rId114"/>
      <w:footerReference w:type="default" r:id="rId115"/>
      <w:headerReference w:type="first" r:id="rId116"/>
      <w:footerReference w:type="first" r:id="rId117"/>
      <w:pgSz w:w="11906" w:h="16838" w:code="9"/>
      <w:pgMar w:top="13467" w:right="1701" w:bottom="426" w:left="1701" w:header="90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A8AAC4" w14:textId="77777777" w:rsidR="00634E98" w:rsidRDefault="00634E98" w:rsidP="00C40A36">
      <w:pPr>
        <w:spacing w:after="0"/>
      </w:pPr>
      <w:r>
        <w:separator/>
      </w:r>
    </w:p>
  </w:endnote>
  <w:endnote w:type="continuationSeparator" w:id="0">
    <w:p w14:paraId="004BA9D5" w14:textId="77777777" w:rsidR="00634E98" w:rsidRDefault="00634E98"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Wingdings 3">
    <w:panose1 w:val="050401020108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Lato-Regular">
    <w:panose1 w:val="00000000000000000000"/>
    <w:charset w:val="00"/>
    <w:family w:val="swiss"/>
    <w:notTrueType/>
    <w:pitch w:val="default"/>
    <w:sig w:usb0="00000003" w:usb1="00000000" w:usb2="00000000" w:usb3="00000000" w:csb0="00000001" w:csb1="00000000"/>
  </w:font>
  <w:font w:name="STIX-Regular">
    <w:panose1 w:val="00000000000000000000"/>
    <w:charset w:val="00"/>
    <w:family w:val="roman"/>
    <w:notTrueType/>
    <w:pitch w:val="default"/>
    <w:sig w:usb0="00000003" w:usb1="00000000" w:usb2="00000000" w:usb3="00000000" w:csb0="00000001" w:csb1="00000000"/>
  </w:font>
  <w:font w:name="MyriadPro-SemiboldSemiCn">
    <w:panose1 w:val="00000000000000000000"/>
    <w:charset w:val="00"/>
    <w:family w:val="swiss"/>
    <w:notTrueType/>
    <w:pitch w:val="default"/>
    <w:sig w:usb0="00000003" w:usb1="00000000" w:usb2="00000000" w:usb3="00000000" w:csb0="00000001" w:csb1="00000000"/>
  </w:font>
  <w:font w:name="Lato-Bold">
    <w:panose1 w:val="00000000000000000000"/>
    <w:charset w:val="00"/>
    <w:family w:val="swiss"/>
    <w:notTrueType/>
    <w:pitch w:val="default"/>
    <w:sig w:usb0="00000003" w:usb1="00000000" w:usb2="00000000" w:usb3="00000000" w:csb0="00000001" w:csb1="00000000"/>
  </w:font>
  <w:font w:name="Lato-Italic">
    <w:panose1 w:val="00000000000000000000"/>
    <w:charset w:val="00"/>
    <w:family w:val="swiss"/>
    <w:notTrueType/>
    <w:pitch w:val="default"/>
    <w:sig w:usb0="00000003" w:usb1="00000000" w:usb2="00000000" w:usb3="00000000" w:csb0="00000001" w:csb1="00000000"/>
  </w:font>
  <w:font w:name="URWPalladioL-Bold">
    <w:panose1 w:val="00000000000000000000"/>
    <w:charset w:val="00"/>
    <w:family w:val="auto"/>
    <w:notTrueType/>
    <w:pitch w:val="default"/>
    <w:sig w:usb0="00000003" w:usb1="00000000" w:usb2="00000000" w:usb3="00000000" w:csb0="00000001" w:csb1="00000000"/>
  </w:font>
  <w:font w:name="URWPalladioL-Ital">
    <w:panose1 w:val="00000000000000000000"/>
    <w:charset w:val="00"/>
    <w:family w:val="auto"/>
    <w:notTrueType/>
    <w:pitch w:val="default"/>
    <w:sig w:usb0="00000003" w:usb1="00000000" w:usb2="00000000" w:usb3="00000000" w:csb0="00000001" w:csb1="00000000"/>
  </w:font>
  <w:font w:name="URWPalladioL-Roma">
    <w:panose1 w:val="00000000000000000000"/>
    <w:charset w:val="00"/>
    <w:family w:val="auto"/>
    <w:notTrueType/>
    <w:pitch w:val="default"/>
    <w:sig w:usb0="00000003" w:usb1="00000000" w:usb2="00000000" w:usb3="00000000" w:csb0="00000001" w:csb1="00000000"/>
  </w:font>
  <w:font w:name="TimesNewRoman,Bold">
    <w:altName w:val="Yu Gothic UI"/>
    <w:panose1 w:val="00000000000000000000"/>
    <w:charset w:val="00"/>
    <w:family w:val="auto"/>
    <w:notTrueType/>
    <w:pitch w:val="default"/>
    <w:sig w:usb0="00000003" w:usb1="08070000" w:usb2="00000010" w:usb3="00000000" w:csb0="00020001" w:csb1="00000000"/>
  </w:font>
  <w:font w:name="TimesNewRoman">
    <w:altName w:val="Yu Gothic UI"/>
    <w:panose1 w:val="00000000000000000000"/>
    <w:charset w:val="80"/>
    <w:family w:val="auto"/>
    <w:notTrueType/>
    <w:pitch w:val="default"/>
    <w:sig w:usb0="00000001" w:usb1="08070000" w:usb2="00000010" w:usb3="00000000" w:csb0="00020001" w:csb1="00000000"/>
  </w:font>
  <w:font w:name="ArialMT">
    <w:altName w:val="MS Gothic"/>
    <w:panose1 w:val="00000000000000000000"/>
    <w:charset w:val="80"/>
    <w:family w:val="auto"/>
    <w:notTrueType/>
    <w:pitch w:val="default"/>
    <w:sig w:usb0="00000000" w:usb1="08070000" w:usb2="00000010" w:usb3="00000000" w:csb0="00020000" w:csb1="00000000"/>
  </w:font>
  <w:font w:name="Arial,Bold">
    <w:altName w:val="Arial"/>
    <w:panose1 w:val="00000000000000000000"/>
    <w:charset w:val="80"/>
    <w:family w:val="auto"/>
    <w:notTrueType/>
    <w:pitch w:val="default"/>
    <w:sig w:usb0="00000003" w:usb1="09070000" w:usb2="00000010" w:usb3="00000000" w:csb0="000A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371"/>
      <w:gridCol w:w="1490"/>
    </w:tblGrid>
    <w:tr w:rsidR="00DD6D4D" w:rsidRPr="00487162" w14:paraId="4A351AED" w14:textId="77777777" w:rsidTr="00DB750B">
      <w:trPr>
        <w:trHeight w:val="269"/>
      </w:trPr>
      <w:tc>
        <w:tcPr>
          <w:tcW w:w="7371" w:type="dxa"/>
          <w:tcMar>
            <w:top w:w="142" w:type="dxa"/>
            <w:bottom w:w="0" w:type="dxa"/>
          </w:tcMar>
        </w:tcPr>
        <w:p w14:paraId="0959F3F1" w14:textId="7E06AF63" w:rsidR="00DD6D4D" w:rsidRPr="00487162" w:rsidRDefault="00DD6D4D" w:rsidP="00443C50">
          <w:pPr>
            <w:pStyle w:val="Footer"/>
          </w:pPr>
          <w:r w:rsidRPr="00487162">
            <w:t>AusPA</w:t>
          </w:r>
          <w:r>
            <w:t>R - Rinvoq – upadacitinib</w:t>
          </w:r>
          <w:r w:rsidRPr="00460036">
            <w:t xml:space="preserve"> </w:t>
          </w:r>
          <w:r>
            <w:t xml:space="preserve">– AbbVie Pty Ltd </w:t>
          </w:r>
          <w:r w:rsidRPr="006B34A1">
            <w:t>PM-2020-04791-1-1</w:t>
          </w:r>
          <w:r>
            <w:br/>
          </w:r>
          <w:r w:rsidR="00362371">
            <w:t>FINAL</w:t>
          </w:r>
          <w:r w:rsidRPr="00487162">
            <w:t xml:space="preserve"> </w:t>
          </w:r>
          <w:r w:rsidR="00362371">
            <w:t>6</w:t>
          </w:r>
          <w:r>
            <w:t xml:space="preserve"> March 2023</w:t>
          </w:r>
        </w:p>
      </w:tc>
      <w:tc>
        <w:tcPr>
          <w:tcW w:w="1490" w:type="dxa"/>
          <w:tcMar>
            <w:top w:w="142" w:type="dxa"/>
            <w:bottom w:w="0" w:type="dxa"/>
          </w:tcMar>
        </w:tcPr>
        <w:p w14:paraId="5AF027D6" w14:textId="218FB1B8" w:rsidR="00DD6D4D" w:rsidRPr="00487162" w:rsidRDefault="00DD6D4D" w:rsidP="00DB750B">
          <w:pPr>
            <w:pStyle w:val="Footer"/>
            <w:jc w:val="right"/>
          </w:pPr>
          <w:r w:rsidRPr="00487162">
            <w:t xml:space="preserve">Page </w:t>
          </w:r>
          <w:r>
            <w:fldChar w:fldCharType="begin"/>
          </w:r>
          <w:r>
            <w:instrText xml:space="preserve"> PAGE  \* Arabic </w:instrText>
          </w:r>
          <w:r>
            <w:fldChar w:fldCharType="separate"/>
          </w:r>
          <w:r w:rsidR="00C06C6F">
            <w:rPr>
              <w:noProof/>
            </w:rPr>
            <w:t>106</w:t>
          </w:r>
          <w:r>
            <w:fldChar w:fldCharType="end"/>
          </w:r>
          <w:r w:rsidRPr="00487162">
            <w:t xml:space="preserve"> of </w:t>
          </w:r>
          <w:fldSimple w:instr=" NUMPAGES  \* Arabic ">
            <w:r w:rsidR="00C06C6F">
              <w:rPr>
                <w:noProof/>
              </w:rPr>
              <w:t>146</w:t>
            </w:r>
          </w:fldSimple>
        </w:p>
      </w:tc>
    </w:tr>
  </w:tbl>
  <w:p w14:paraId="7256DC4C" w14:textId="77777777" w:rsidR="00DD6D4D" w:rsidRDefault="00DD6D4D" w:rsidP="003D1E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DD6D4D" w:rsidRPr="00487162" w14:paraId="25896619" w14:textId="77777777" w:rsidTr="00E45619">
      <w:trPr>
        <w:trHeight w:val="269"/>
      </w:trPr>
      <w:tc>
        <w:tcPr>
          <w:tcW w:w="4519" w:type="dxa"/>
          <w:tcBorders>
            <w:top w:val="single" w:sz="4" w:space="0" w:color="auto"/>
          </w:tcBorders>
          <w:tcMar>
            <w:top w:w="142" w:type="dxa"/>
            <w:bottom w:w="0" w:type="dxa"/>
          </w:tcMar>
        </w:tcPr>
        <w:p w14:paraId="0312FAAB" w14:textId="77777777" w:rsidR="00DD6D4D" w:rsidRPr="00487162" w:rsidRDefault="00DD6D4D" w:rsidP="00FE1DEE">
          <w:pPr>
            <w:pStyle w:val="Footer"/>
          </w:pPr>
          <w:r w:rsidRPr="00487162">
            <w:t>Document title, Part #, Section # - Section title</w:t>
          </w:r>
        </w:p>
        <w:p w14:paraId="0A27333D" w14:textId="77777777" w:rsidR="00DD6D4D" w:rsidRPr="00487162" w:rsidRDefault="00DD6D4D" w:rsidP="00FE1DEE">
          <w:pPr>
            <w:pStyle w:val="Footer"/>
          </w:pPr>
          <w:r w:rsidRPr="00487162">
            <w:t>V1.0 October 2010</w:t>
          </w:r>
        </w:p>
      </w:tc>
      <w:tc>
        <w:tcPr>
          <w:tcW w:w="4342" w:type="dxa"/>
          <w:tcBorders>
            <w:top w:val="single" w:sz="4" w:space="0" w:color="auto"/>
          </w:tcBorders>
          <w:tcMar>
            <w:top w:w="142" w:type="dxa"/>
            <w:bottom w:w="0" w:type="dxa"/>
          </w:tcMar>
        </w:tcPr>
        <w:p w14:paraId="1CE558B9" w14:textId="77777777" w:rsidR="00DD6D4D" w:rsidRPr="00487162" w:rsidRDefault="00DD6D4D"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21</w:t>
            </w:r>
          </w:fldSimple>
        </w:p>
      </w:tc>
    </w:tr>
  </w:tbl>
  <w:p w14:paraId="231EA0D1" w14:textId="77777777" w:rsidR="00DD6D4D" w:rsidRDefault="00DD6D4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BC0C0" w14:textId="77777777" w:rsidR="00DD6D4D" w:rsidRPr="001C32CD" w:rsidRDefault="00DD6D4D" w:rsidP="001C32C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DD6D4D" w14:paraId="03D38264" w14:textId="77777777" w:rsidTr="0010601F">
      <w:trPr>
        <w:trHeight w:val="108"/>
      </w:trPr>
      <w:tc>
        <w:tcPr>
          <w:tcW w:w="8875" w:type="dxa"/>
          <w:gridSpan w:val="2"/>
          <w:tcBorders>
            <w:bottom w:val="single" w:sz="4" w:space="0" w:color="auto"/>
          </w:tcBorders>
          <w:tcMar>
            <w:right w:w="284" w:type="dxa"/>
          </w:tcMar>
        </w:tcPr>
        <w:p w14:paraId="1350CBAA" w14:textId="77777777" w:rsidR="00DD6D4D" w:rsidRDefault="00DD6D4D" w:rsidP="006E08B3">
          <w:pPr>
            <w:pStyle w:val="Heading3"/>
          </w:pPr>
          <w:r>
            <w:t>Copyright</w:t>
          </w:r>
        </w:p>
        <w:p w14:paraId="1DA1F946" w14:textId="77777777" w:rsidR="00DD6D4D" w:rsidRDefault="00DD6D4D" w:rsidP="006E08B3">
          <w:r>
            <w:rPr>
              <w:rFonts w:cs="Arial"/>
            </w:rPr>
            <w:t>©</w:t>
          </w:r>
          <w:r>
            <w:t xml:space="preserve"> Commonwealth of Australia [add year]</w:t>
          </w:r>
        </w:p>
        <w:p w14:paraId="69E4B4F7" w14:textId="77777777" w:rsidR="00DD6D4D" w:rsidRDefault="00DD6D4D" w:rsidP="006E08B3"/>
        <w:p w14:paraId="05FF4CF6" w14:textId="77777777" w:rsidR="00DD6D4D" w:rsidRDefault="00DD6D4D"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2E383C0E" w14:textId="77777777" w:rsidR="00DD6D4D" w:rsidRDefault="00DD6D4D" w:rsidP="006E08B3"/>
        <w:p w14:paraId="3E64B1E3" w14:textId="77777777" w:rsidR="00DD6D4D" w:rsidRDefault="00DD6D4D" w:rsidP="006E08B3">
          <w:pPr>
            <w:pStyle w:val="Heading3"/>
          </w:pPr>
          <w:r>
            <w:t>Confidentiality</w:t>
          </w:r>
        </w:p>
        <w:p w14:paraId="38093246" w14:textId="77777777" w:rsidR="00DD6D4D" w:rsidRDefault="00DD6D4D"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53DA74FB" w14:textId="77777777" w:rsidR="00DD6D4D" w:rsidRDefault="00DD6D4D" w:rsidP="006E08B3"/>
        <w:p w14:paraId="7EC69AF2" w14:textId="77777777" w:rsidR="00DD6D4D" w:rsidRDefault="00DD6D4D" w:rsidP="006E08B3">
          <w:r>
            <w:t>For submission made by individuals, all personal details, other than your name, will be removed from your submission before it is published on the TGA’s Internet site.</w:t>
          </w:r>
        </w:p>
        <w:p w14:paraId="243326FC" w14:textId="77777777" w:rsidR="00DD6D4D" w:rsidRDefault="00DD6D4D" w:rsidP="006E08B3"/>
        <w:p w14:paraId="596B48C5" w14:textId="25116FC6" w:rsidR="00DD6D4D" w:rsidRDefault="00DD6D4D" w:rsidP="006E08B3">
          <w:r>
            <w:t>In addition, a list of parties making submissions will be published. If you do not wish to be identified with your submission you must specifically request this in the space provided in the submission coversheet.</w:t>
          </w:r>
        </w:p>
      </w:tc>
    </w:tr>
    <w:tr w:rsidR="00DD6D4D" w14:paraId="006854E3" w14:textId="77777777" w:rsidTr="0010601F">
      <w:trPr>
        <w:trHeight w:val="417"/>
      </w:trPr>
      <w:tc>
        <w:tcPr>
          <w:tcW w:w="4519" w:type="dxa"/>
          <w:tcBorders>
            <w:top w:val="single" w:sz="4" w:space="0" w:color="auto"/>
          </w:tcBorders>
          <w:tcMar>
            <w:top w:w="142" w:type="dxa"/>
            <w:bottom w:w="0" w:type="dxa"/>
          </w:tcMar>
        </w:tcPr>
        <w:p w14:paraId="643DDB1E" w14:textId="77777777" w:rsidR="00DD6D4D" w:rsidRDefault="00DD6D4D" w:rsidP="006E08B3">
          <w:r>
            <w:t>Document title, Part #, Section # - Section title</w:t>
          </w:r>
        </w:p>
        <w:p w14:paraId="340BEEDB" w14:textId="77777777" w:rsidR="00DD6D4D" w:rsidRDefault="00DD6D4D" w:rsidP="006E08B3">
          <w:r>
            <w:t>V1.0 October 2010</w:t>
          </w:r>
        </w:p>
      </w:tc>
      <w:tc>
        <w:tcPr>
          <w:tcW w:w="4356" w:type="dxa"/>
          <w:tcBorders>
            <w:top w:val="single" w:sz="4" w:space="0" w:color="auto"/>
          </w:tcBorders>
          <w:tcMar>
            <w:top w:w="142" w:type="dxa"/>
            <w:bottom w:w="0" w:type="dxa"/>
          </w:tcMar>
        </w:tcPr>
        <w:p w14:paraId="48D7230C" w14:textId="77777777" w:rsidR="00DD6D4D" w:rsidRDefault="00DD6D4D"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21</w:t>
            </w:r>
          </w:fldSimple>
          <w:r>
            <w:t xml:space="preserve">  </w:t>
          </w:r>
        </w:p>
      </w:tc>
    </w:tr>
  </w:tbl>
  <w:p w14:paraId="3D8D2D8E" w14:textId="77777777" w:rsidR="00DD6D4D" w:rsidRDefault="00DD6D4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1EB404" w14:textId="77777777" w:rsidR="00634E98" w:rsidRDefault="00634E98" w:rsidP="00C40A36">
      <w:pPr>
        <w:spacing w:after="0"/>
      </w:pPr>
      <w:r>
        <w:separator/>
      </w:r>
    </w:p>
  </w:footnote>
  <w:footnote w:type="continuationSeparator" w:id="0">
    <w:p w14:paraId="71F73158" w14:textId="77777777" w:rsidR="00634E98" w:rsidRDefault="00634E98" w:rsidP="00C40A36">
      <w:pPr>
        <w:spacing w:after="0"/>
      </w:pPr>
      <w:r>
        <w:continuationSeparator/>
      </w:r>
    </w:p>
  </w:footnote>
  <w:footnote w:id="1">
    <w:p w14:paraId="34E2FD1B" w14:textId="15F3DBF0" w:rsidR="00DD6D4D" w:rsidRPr="00B57A42" w:rsidRDefault="00DD6D4D">
      <w:pPr>
        <w:pStyle w:val="FootnoteText"/>
        <w:rPr>
          <w:lang w:val="en-GB"/>
        </w:rPr>
      </w:pPr>
      <w:r>
        <w:rPr>
          <w:rStyle w:val="FootnoteReference"/>
        </w:rPr>
        <w:footnoteRef/>
      </w:r>
      <w:r>
        <w:t xml:space="preserve"> </w:t>
      </w:r>
      <w:r w:rsidRPr="00B57A42">
        <w:t>Hanifin JM, Rajka G.</w:t>
      </w:r>
      <w:r>
        <w:t xml:space="preserve"> </w:t>
      </w:r>
      <w:r w:rsidRPr="00B57A42">
        <w:t xml:space="preserve">Diagnostic features of atopic dermatitis. </w:t>
      </w:r>
      <w:r w:rsidRPr="00B57A42">
        <w:rPr>
          <w:i/>
        </w:rPr>
        <w:t>Acta Derm Venereol Suppl</w:t>
      </w:r>
      <w:r>
        <w:t xml:space="preserve"> (Stockh)1980; 92:44-</w:t>
      </w:r>
      <w:r w:rsidRPr="00B57A42">
        <w:t>7</w:t>
      </w:r>
    </w:p>
  </w:footnote>
  <w:footnote w:id="2">
    <w:p w14:paraId="04EE7F02" w14:textId="197FCD05" w:rsidR="00DD6D4D" w:rsidRPr="00243AE2" w:rsidRDefault="00DD6D4D">
      <w:pPr>
        <w:pStyle w:val="FootnoteText"/>
        <w:rPr>
          <w:lang w:val="en-GB"/>
        </w:rPr>
      </w:pPr>
      <w:r>
        <w:rPr>
          <w:rStyle w:val="FootnoteReference"/>
        </w:rPr>
        <w:footnoteRef/>
      </w:r>
      <w:r>
        <w:t xml:space="preserve"> </w:t>
      </w:r>
      <w:r w:rsidRPr="00243AE2">
        <w:t xml:space="preserve">The UK working party's diagnostic criteria for atopic dermatitis III: Independent hospital validation. Williams HC, Burney PGJ, Pembroke AC, Hay RJ. </w:t>
      </w:r>
      <w:r w:rsidRPr="00243AE2">
        <w:rPr>
          <w:i/>
        </w:rPr>
        <w:t>Br J Dermatol</w:t>
      </w:r>
      <w:r w:rsidRPr="00243AE2">
        <w:t xml:space="preserve"> 1994;131:406-416</w:t>
      </w:r>
    </w:p>
  </w:footnote>
  <w:footnote w:id="3">
    <w:p w14:paraId="4C5CD98F" w14:textId="3CA44774" w:rsidR="00DD6D4D" w:rsidRPr="00C15AF0" w:rsidRDefault="00DD6D4D">
      <w:pPr>
        <w:pStyle w:val="FootnoteText"/>
        <w:rPr>
          <w:lang w:val="en-GB"/>
        </w:rPr>
      </w:pPr>
      <w:r>
        <w:rPr>
          <w:rStyle w:val="FootnoteReference"/>
        </w:rPr>
        <w:footnoteRef/>
      </w:r>
      <w:r>
        <w:t xml:space="preserve"> </w:t>
      </w:r>
      <w:r w:rsidRPr="00C15AF0">
        <w:t xml:space="preserve">Silverberg JI. Public Health Burden and Epidemiology of Atopic Dermatitis. </w:t>
      </w:r>
      <w:r w:rsidRPr="00C15AF0">
        <w:rPr>
          <w:i/>
        </w:rPr>
        <w:t>Dermatol Clin.</w:t>
      </w:r>
      <w:r w:rsidRPr="00C15AF0">
        <w:t xml:space="preserve"> 2017;35(3):283-289.</w:t>
      </w:r>
    </w:p>
  </w:footnote>
  <w:footnote w:id="4">
    <w:p w14:paraId="1F27B39D" w14:textId="79649848" w:rsidR="00DD6D4D" w:rsidRPr="00C15AF0" w:rsidRDefault="00DD6D4D">
      <w:pPr>
        <w:pStyle w:val="FootnoteText"/>
        <w:rPr>
          <w:lang w:val="en-GB"/>
        </w:rPr>
      </w:pPr>
      <w:r>
        <w:rPr>
          <w:rStyle w:val="FootnoteReference"/>
        </w:rPr>
        <w:footnoteRef/>
      </w:r>
      <w:r>
        <w:t xml:space="preserve"> </w:t>
      </w:r>
      <w:r w:rsidRPr="00C15AF0">
        <w:t xml:space="preserve">Drucker AM, </w:t>
      </w:r>
      <w:r>
        <w:t>et al.</w:t>
      </w:r>
      <w:r w:rsidRPr="00C15AF0">
        <w:t xml:space="preserve"> The Burden of Atopic Dermatitis: Summary of a Report for the National Eczema Association. </w:t>
      </w:r>
      <w:r w:rsidRPr="00C15AF0">
        <w:rPr>
          <w:i/>
        </w:rPr>
        <w:t>J Invest Dermatol.</w:t>
      </w:r>
      <w:r w:rsidRPr="00C15AF0">
        <w:t xml:space="preserve"> 2017;137(1):26-30.</w:t>
      </w:r>
      <w:r>
        <w:rPr>
          <w:rFonts w:ascii="Segoe UI" w:hAnsi="Segoe UI" w:cs="Segoe UI"/>
          <w:color w:val="212121"/>
          <w:shd w:val="clear" w:color="auto" w:fill="FFFFFF"/>
        </w:rPr>
        <w:t> </w:t>
      </w:r>
    </w:p>
  </w:footnote>
  <w:footnote w:id="5">
    <w:p w14:paraId="7A368334" w14:textId="27501485" w:rsidR="00DD6D4D" w:rsidRPr="00C15AF0" w:rsidRDefault="00DD6D4D">
      <w:pPr>
        <w:pStyle w:val="FootnoteText"/>
        <w:rPr>
          <w:lang w:val="en-GB"/>
        </w:rPr>
      </w:pPr>
      <w:r>
        <w:rPr>
          <w:rStyle w:val="FootnoteReference"/>
        </w:rPr>
        <w:footnoteRef/>
      </w:r>
      <w:r>
        <w:t xml:space="preserve"> </w:t>
      </w:r>
      <w:r w:rsidRPr="00C15AF0">
        <w:t xml:space="preserve">Reed B, Blaiss MS. The burden of atopic dermatitis. </w:t>
      </w:r>
      <w:r w:rsidRPr="00C15AF0">
        <w:rPr>
          <w:i/>
        </w:rPr>
        <w:t>Allergy Asthma Proc.</w:t>
      </w:r>
      <w:r w:rsidRPr="00C15AF0">
        <w:t xml:space="preserve"> 2018;39(6):406-410.</w:t>
      </w:r>
    </w:p>
  </w:footnote>
  <w:footnote w:id="6">
    <w:p w14:paraId="726B9728" w14:textId="0326B91B" w:rsidR="00DD6D4D" w:rsidRPr="00BC46D9" w:rsidRDefault="00DD6D4D">
      <w:pPr>
        <w:pStyle w:val="FootnoteText"/>
        <w:rPr>
          <w:lang w:val="en-GB"/>
        </w:rPr>
      </w:pPr>
      <w:r>
        <w:rPr>
          <w:rStyle w:val="FootnoteReference"/>
        </w:rPr>
        <w:footnoteRef/>
      </w:r>
      <w:r>
        <w:t xml:space="preserve"> </w:t>
      </w:r>
      <w:r w:rsidRPr="00BC46D9">
        <w:t xml:space="preserve">Akdis CA, et al. Diagnosis and treatment of atopic dermatitis in children and adults: European Academy of Allergology and Clinical Immunology/American Academy of Allergy, Asthma and Immunology/PRACTALL Consensus Report. </w:t>
      </w:r>
      <w:r w:rsidRPr="00BC46D9">
        <w:rPr>
          <w:i/>
        </w:rPr>
        <w:t>Allergy</w:t>
      </w:r>
      <w:r w:rsidRPr="00BC46D9">
        <w:t>. 2006;61(8):969-987.</w:t>
      </w:r>
    </w:p>
  </w:footnote>
  <w:footnote w:id="7">
    <w:p w14:paraId="1F3413B9" w14:textId="2D39F2F3" w:rsidR="00DD6D4D" w:rsidRPr="00BC46D9" w:rsidRDefault="00DD6D4D">
      <w:pPr>
        <w:pStyle w:val="FootnoteText"/>
        <w:rPr>
          <w:lang w:val="en-GB"/>
        </w:rPr>
      </w:pPr>
      <w:r>
        <w:rPr>
          <w:rStyle w:val="FootnoteReference"/>
        </w:rPr>
        <w:footnoteRef/>
      </w:r>
      <w:r>
        <w:t xml:space="preserve"> </w:t>
      </w:r>
      <w:r w:rsidRPr="00BC46D9">
        <w:t xml:space="preserve">Kunz B, </w:t>
      </w:r>
      <w:r>
        <w:t>et al.</w:t>
      </w:r>
      <w:r w:rsidRPr="00BC46D9">
        <w:t xml:space="preserve"> Clinical validation and guidelines for the SCORAD index: consensus report of the European Task Force on Atopic Dermatitis. </w:t>
      </w:r>
      <w:r w:rsidRPr="00BC46D9">
        <w:rPr>
          <w:i/>
        </w:rPr>
        <w:t>Dermatology</w:t>
      </w:r>
      <w:r>
        <w:t>. 1997;195(1):10-19.</w:t>
      </w:r>
    </w:p>
  </w:footnote>
  <w:footnote w:id="8">
    <w:p w14:paraId="0CDA0CA6" w14:textId="2ED17D70" w:rsidR="00DD6D4D" w:rsidRPr="00BC46D9" w:rsidRDefault="00DD6D4D">
      <w:pPr>
        <w:pStyle w:val="FootnoteText"/>
        <w:rPr>
          <w:lang w:val="en-GB"/>
        </w:rPr>
      </w:pPr>
      <w:r>
        <w:rPr>
          <w:rStyle w:val="FootnoteReference"/>
        </w:rPr>
        <w:footnoteRef/>
      </w:r>
      <w:r>
        <w:t xml:space="preserve"> Ring, J, et al.</w:t>
      </w:r>
      <w:r w:rsidRPr="00BC46D9">
        <w:t xml:space="preserve"> Guidelines for treatment of atopic eczema (atopic dermatitis) Part I. </w:t>
      </w:r>
      <w:r w:rsidRPr="00BC46D9">
        <w:rPr>
          <w:i/>
        </w:rPr>
        <w:t>Journal of the European Academy of Dermatology and Venereology</w:t>
      </w:r>
      <w:r>
        <w:t xml:space="preserve"> (2012);</w:t>
      </w:r>
      <w:r w:rsidRPr="00BC46D9">
        <w:t>26: 1045-1060.</w:t>
      </w:r>
    </w:p>
  </w:footnote>
  <w:footnote w:id="9">
    <w:p w14:paraId="4F5219E4" w14:textId="46660C29" w:rsidR="00DD6D4D" w:rsidRPr="00BC46D9" w:rsidRDefault="00DD6D4D">
      <w:pPr>
        <w:pStyle w:val="FootnoteText"/>
        <w:rPr>
          <w:lang w:val="en-GB"/>
        </w:rPr>
      </w:pPr>
      <w:r>
        <w:rPr>
          <w:rStyle w:val="FootnoteReference"/>
        </w:rPr>
        <w:footnoteRef/>
      </w:r>
      <w:r>
        <w:t xml:space="preserve"> </w:t>
      </w:r>
      <w:r w:rsidRPr="00BC46D9">
        <w:t xml:space="preserve">Garg N, Silverberg JI. Epidemiology of childhood atopic dermatitis. </w:t>
      </w:r>
      <w:r w:rsidRPr="00BC46D9">
        <w:rPr>
          <w:i/>
        </w:rPr>
        <w:t>Clin Dermatol.</w:t>
      </w:r>
      <w:r w:rsidRPr="00BC46D9">
        <w:t xml:space="preserve"> 2015;33(3):281-288.</w:t>
      </w:r>
    </w:p>
  </w:footnote>
  <w:footnote w:id="10">
    <w:p w14:paraId="0C2ABF24" w14:textId="0CE35D16" w:rsidR="00DD6D4D" w:rsidRPr="00BC46D9" w:rsidRDefault="00DD6D4D">
      <w:pPr>
        <w:pStyle w:val="FootnoteText"/>
        <w:rPr>
          <w:lang w:val="en-GB"/>
        </w:rPr>
      </w:pPr>
      <w:r>
        <w:rPr>
          <w:rStyle w:val="FootnoteReference"/>
        </w:rPr>
        <w:footnoteRef/>
      </w:r>
      <w:r>
        <w:t xml:space="preserve"> </w:t>
      </w:r>
      <w:r w:rsidRPr="00BC46D9">
        <w:t xml:space="preserve">Langan SM, Irvine AD, Weidinger S. Atopic dermatitis. </w:t>
      </w:r>
      <w:r w:rsidRPr="00BC46D9">
        <w:rPr>
          <w:i/>
        </w:rPr>
        <w:t>Lancet</w:t>
      </w:r>
      <w:r w:rsidRPr="00BC46D9">
        <w:t>. 2020;396(10247):345-360.</w:t>
      </w:r>
    </w:p>
  </w:footnote>
  <w:footnote w:id="11">
    <w:p w14:paraId="17C59D00" w14:textId="15FCE597" w:rsidR="00DD6D4D" w:rsidRPr="00BC46D9" w:rsidRDefault="00DD6D4D">
      <w:pPr>
        <w:pStyle w:val="FootnoteText"/>
        <w:rPr>
          <w:lang w:val="en-GB"/>
        </w:rPr>
      </w:pPr>
      <w:r>
        <w:rPr>
          <w:rStyle w:val="FootnoteReference"/>
        </w:rPr>
        <w:footnoteRef/>
      </w:r>
      <w:r>
        <w:t xml:space="preserve"> </w:t>
      </w:r>
      <w:r w:rsidRPr="00BC46D9">
        <w:t xml:space="preserve">Nutten S. Atopic dermatitis: global epidemiology and risk factors. </w:t>
      </w:r>
      <w:r w:rsidRPr="00BC46D9">
        <w:rPr>
          <w:i/>
        </w:rPr>
        <w:t xml:space="preserve">Ann Nutr Metab. </w:t>
      </w:r>
      <w:r w:rsidRPr="00BC46D9">
        <w:t>2015;66 Suppl 1:8-16.</w:t>
      </w:r>
    </w:p>
  </w:footnote>
  <w:footnote w:id="12">
    <w:p w14:paraId="6F8D9D1F" w14:textId="1E59BDF3" w:rsidR="00DD6D4D" w:rsidRPr="00BC46D9" w:rsidRDefault="00DD6D4D">
      <w:pPr>
        <w:pStyle w:val="FootnoteText"/>
        <w:rPr>
          <w:lang w:val="en-GB"/>
        </w:rPr>
      </w:pPr>
      <w:r>
        <w:rPr>
          <w:rStyle w:val="FootnoteReference"/>
        </w:rPr>
        <w:footnoteRef/>
      </w:r>
      <w:r>
        <w:t xml:space="preserve"> </w:t>
      </w:r>
      <w:r w:rsidRPr="009F35FA">
        <w:t xml:space="preserve">Martin PE, Koplin JJ, Eckert JK, et al. The prevalence and socio-demographic risk factors of clinical eczema in infancy: a population-based observational study. </w:t>
      </w:r>
      <w:r w:rsidRPr="009F35FA">
        <w:rPr>
          <w:i/>
        </w:rPr>
        <w:t>Clin Exp Allergy.</w:t>
      </w:r>
      <w:r w:rsidRPr="009F35FA">
        <w:t xml:space="preserve"> 2013;43(6):642-651.</w:t>
      </w:r>
    </w:p>
  </w:footnote>
  <w:footnote w:id="13">
    <w:p w14:paraId="3454F165" w14:textId="5F409438" w:rsidR="00DD6D4D" w:rsidRPr="00053E47" w:rsidRDefault="00DD6D4D">
      <w:pPr>
        <w:pStyle w:val="FootnoteText"/>
        <w:rPr>
          <w:lang w:val="en-GB"/>
        </w:rPr>
      </w:pPr>
      <w:r>
        <w:rPr>
          <w:rStyle w:val="FootnoteReference"/>
        </w:rPr>
        <w:footnoteRef/>
      </w:r>
      <w:r>
        <w:t xml:space="preserve"> Smith S et al. (2020), Atopic dermatitis in adults: An Australian management consensus. </w:t>
      </w:r>
      <w:r w:rsidRPr="00053E47">
        <w:rPr>
          <w:i/>
        </w:rPr>
        <w:t>Australas J Dermatol</w:t>
      </w:r>
      <w:r>
        <w:t>, 61: 23-32</w:t>
      </w:r>
    </w:p>
  </w:footnote>
  <w:footnote w:id="14">
    <w:p w14:paraId="19561C06" w14:textId="3952B6DD" w:rsidR="00DD6D4D" w:rsidRPr="00053E47" w:rsidRDefault="00DD6D4D">
      <w:pPr>
        <w:pStyle w:val="FootnoteText"/>
        <w:rPr>
          <w:lang w:val="en-GB"/>
        </w:rPr>
      </w:pPr>
      <w:r>
        <w:rPr>
          <w:rStyle w:val="FootnoteReference"/>
        </w:rPr>
        <w:footnoteRef/>
      </w:r>
      <w:r>
        <w:t xml:space="preserve"> Australasian College of Dermatologists (ACD): Consensus statement Management of atopic dermatitis in adults. First endorsed by ACD: 9 March 2021. Current: 9 March 2021. Review due: 2 years from publication. Available at: </w:t>
      </w:r>
      <w:hyperlink r:id="rId1" w:history="1">
        <w:r>
          <w:rPr>
            <w:rStyle w:val="Hyperlink"/>
          </w:rPr>
          <w:t>ACD-Consensus-Statement-Management-of-Atopic-dermatitis-in-adults-March-2021.pdf (dermcoll.edu.au)</w:t>
        </w:r>
      </w:hyperlink>
    </w:p>
  </w:footnote>
  <w:footnote w:id="15">
    <w:p w14:paraId="14FCC225" w14:textId="353F950F" w:rsidR="00DD6D4D" w:rsidRPr="00AA5BAE" w:rsidRDefault="00DD6D4D">
      <w:pPr>
        <w:pStyle w:val="FootnoteText"/>
      </w:pPr>
      <w:r>
        <w:rPr>
          <w:rStyle w:val="FootnoteReference"/>
        </w:rPr>
        <w:footnoteRef/>
      </w:r>
      <w:r>
        <w:t xml:space="preserve"> Wollenberg A, Barbarot S, Bieber T, et al. Consensus-based European Guidelines for Treatment of Atopic Eczema (Atopic Dermatitis) in Adults and Children: Part I. </w:t>
      </w:r>
      <w:r w:rsidRPr="00B92523">
        <w:rPr>
          <w:i/>
        </w:rPr>
        <w:t>JEADV.</w:t>
      </w:r>
      <w:r>
        <w:t xml:space="preserve"> 2018;32(5):657-82.</w:t>
      </w:r>
    </w:p>
  </w:footnote>
  <w:footnote w:id="16">
    <w:p w14:paraId="4D24A926" w14:textId="6EF0C66C" w:rsidR="00DD6D4D" w:rsidRPr="00AA5BAE" w:rsidRDefault="00DD6D4D">
      <w:pPr>
        <w:pStyle w:val="FootnoteText"/>
        <w:rPr>
          <w:lang w:val="en-GB"/>
        </w:rPr>
      </w:pPr>
      <w:r>
        <w:rPr>
          <w:rStyle w:val="FootnoteReference"/>
        </w:rPr>
        <w:footnoteRef/>
      </w:r>
      <w:r>
        <w:t xml:space="preserve"> Wollenberg A, Barbarot S, Bieber T, et al. Consensus-based European Guidelines for Treatment of Atopic Eczema (Atopic Dermatitis) in Adults and Children: Part II. </w:t>
      </w:r>
      <w:r w:rsidRPr="00B92523">
        <w:rPr>
          <w:i/>
        </w:rPr>
        <w:t>JEADV.</w:t>
      </w:r>
      <w:r>
        <w:t xml:space="preserve"> 2018;32(6):850-78.</w:t>
      </w:r>
    </w:p>
  </w:footnote>
  <w:footnote w:id="17">
    <w:p w14:paraId="4405BFF8" w14:textId="288F9FD8" w:rsidR="00DD6D4D" w:rsidRPr="00B92523" w:rsidRDefault="00DD6D4D" w:rsidP="00B92523">
      <w:pPr>
        <w:pStyle w:val="FootnoteText"/>
      </w:pPr>
      <w:r>
        <w:rPr>
          <w:rStyle w:val="FootnoteReference"/>
        </w:rPr>
        <w:footnoteRef/>
      </w:r>
      <w:r>
        <w:t xml:space="preserve"> Renert-Yuval Y, Guttman-Yassky E. New treatments for atopic dermatitis targeting beyond IL-4/IL-13 cytokines. </w:t>
      </w:r>
      <w:r w:rsidRPr="00B92523">
        <w:rPr>
          <w:i/>
        </w:rPr>
        <w:t>Ann Allergy Asthma Immunol.</w:t>
      </w:r>
      <w:r>
        <w:t xml:space="preserve"> 2020;124(1):28-35.</w:t>
      </w:r>
    </w:p>
  </w:footnote>
  <w:footnote w:id="18">
    <w:p w14:paraId="11B05EDE" w14:textId="6E7138B5" w:rsidR="00DD6D4D" w:rsidRPr="00B92523" w:rsidRDefault="00DD6D4D">
      <w:pPr>
        <w:pStyle w:val="FootnoteText"/>
        <w:rPr>
          <w:lang w:val="en-GB"/>
        </w:rPr>
      </w:pPr>
      <w:r>
        <w:rPr>
          <w:rStyle w:val="FootnoteReference"/>
        </w:rPr>
        <w:footnoteRef/>
      </w:r>
      <w:r>
        <w:t xml:space="preserve"> O'Shea JJ, Schwartz DM, Villarino AV, et al. The JAK-STAT pathway: impact on human disease and therapeutic intervention. </w:t>
      </w:r>
      <w:r w:rsidRPr="00B92523">
        <w:rPr>
          <w:i/>
        </w:rPr>
        <w:t>Annu Rev Med.</w:t>
      </w:r>
      <w:r>
        <w:t xml:space="preserve"> 2015;66: 311-28.</w:t>
      </w:r>
    </w:p>
  </w:footnote>
  <w:footnote w:id="19">
    <w:p w14:paraId="3109A4E5" w14:textId="06D74678" w:rsidR="00DD6D4D" w:rsidRPr="00B92523" w:rsidRDefault="00DD6D4D">
      <w:pPr>
        <w:pStyle w:val="FootnoteText"/>
        <w:rPr>
          <w:lang w:val="en-GB"/>
        </w:rPr>
      </w:pPr>
      <w:r>
        <w:rPr>
          <w:rStyle w:val="FootnoteReference"/>
        </w:rPr>
        <w:footnoteRef/>
      </w:r>
      <w:r>
        <w:t xml:space="preserve"> </w:t>
      </w:r>
      <w:r w:rsidRPr="00B92523">
        <w:t xml:space="preserve">He H, Guttman-Yassky E. JAK Inhibitors for Atopic Dermatitis: An Update. </w:t>
      </w:r>
      <w:r w:rsidRPr="00B92523">
        <w:rPr>
          <w:i/>
        </w:rPr>
        <w:t xml:space="preserve">Am J Clin Dermatol. </w:t>
      </w:r>
      <w:r w:rsidRPr="00B92523">
        <w:t>2019;20(2):181-92.</w:t>
      </w:r>
    </w:p>
  </w:footnote>
  <w:footnote w:id="20">
    <w:p w14:paraId="76A12EF9" w14:textId="4CD6AC02" w:rsidR="00DD6D4D" w:rsidRPr="00B92523" w:rsidRDefault="00DD6D4D" w:rsidP="00B92523">
      <w:pPr>
        <w:pStyle w:val="FootnoteText"/>
      </w:pPr>
      <w:r>
        <w:rPr>
          <w:rStyle w:val="FootnoteReference"/>
        </w:rPr>
        <w:footnoteRef/>
      </w:r>
      <w:r>
        <w:t xml:space="preserve"> Wollenberg A, Barbarot S, Bieber T, et al. Consensus-based European Guidelines for Treatment of Atopic Eczema (Atopic Dermatitis) in Adults and Children: Part I. </w:t>
      </w:r>
      <w:r w:rsidRPr="00B92523">
        <w:rPr>
          <w:i/>
        </w:rPr>
        <w:t>JEADV.</w:t>
      </w:r>
      <w:r>
        <w:t xml:space="preserve"> 2018;32(5):657-82.</w:t>
      </w:r>
    </w:p>
  </w:footnote>
  <w:footnote w:id="21">
    <w:p w14:paraId="691AF02A" w14:textId="6089AA2A" w:rsidR="00DD6D4D" w:rsidRPr="00B92523" w:rsidRDefault="00DD6D4D">
      <w:pPr>
        <w:pStyle w:val="FootnoteText"/>
        <w:rPr>
          <w:lang w:val="en-GB"/>
        </w:rPr>
      </w:pPr>
      <w:r>
        <w:rPr>
          <w:rStyle w:val="FootnoteReference"/>
        </w:rPr>
        <w:footnoteRef/>
      </w:r>
      <w:r w:rsidR="00B51532">
        <w:t xml:space="preserve"> </w:t>
      </w:r>
      <w:r>
        <w:t xml:space="preserve"> Wollenberg A, Barbarot S, Bieber T, et al. Consensus-based European Guidelines for Treatment of Atopic Eczema (Atopic Dermatitis) in Adults and Children: Part II. </w:t>
      </w:r>
      <w:r w:rsidRPr="00B92523">
        <w:rPr>
          <w:i/>
        </w:rPr>
        <w:t>JEADV.</w:t>
      </w:r>
      <w:r>
        <w:t xml:space="preserve"> 2018;32(6):850-78.</w:t>
      </w:r>
    </w:p>
  </w:footnote>
  <w:footnote w:id="22">
    <w:p w14:paraId="2D5CF4E2" w14:textId="71DA4725" w:rsidR="00DD6D4D" w:rsidRPr="00B92523" w:rsidRDefault="00DD6D4D">
      <w:pPr>
        <w:pStyle w:val="FootnoteText"/>
        <w:rPr>
          <w:lang w:val="en-GB"/>
        </w:rPr>
      </w:pPr>
      <w:r>
        <w:rPr>
          <w:rStyle w:val="FootnoteReference"/>
        </w:rPr>
        <w:footnoteRef/>
      </w:r>
      <w:r>
        <w:t xml:space="preserve"> </w:t>
      </w:r>
      <w:r>
        <w:rPr>
          <w:lang w:val="en-GB"/>
        </w:rPr>
        <w:t>ABT-494 is the sponsors drug development code for upadacitinib.</w:t>
      </w:r>
    </w:p>
  </w:footnote>
  <w:footnote w:id="23">
    <w:p w14:paraId="3028B1D4" w14:textId="77777777" w:rsidR="00DD6D4D" w:rsidRPr="001A416F" w:rsidRDefault="00DD6D4D" w:rsidP="003159DC">
      <w:pPr>
        <w:pStyle w:val="FootnoteText"/>
        <w:rPr>
          <w:lang w:val="en-GB"/>
        </w:rPr>
      </w:pPr>
      <w:r>
        <w:rPr>
          <w:rStyle w:val="FootnoteReference"/>
        </w:rPr>
        <w:footnoteRef/>
      </w:r>
      <w:r>
        <w:t xml:space="preserve"> </w:t>
      </w:r>
      <w:r w:rsidRPr="001A416F">
        <w:t>Guttman-Yassky E, Krueger JG, Lebwohl MG. Systemic immune mechanisms in atopic dermatitis and psoriasis with implications for treatment</w:t>
      </w:r>
      <w:r w:rsidRPr="001A416F">
        <w:rPr>
          <w:i/>
        </w:rPr>
        <w:t>. Exp Dermatol</w:t>
      </w:r>
      <w:r w:rsidRPr="001A416F">
        <w:t>. 2018;27(4):409-17.</w:t>
      </w:r>
    </w:p>
  </w:footnote>
  <w:footnote w:id="24">
    <w:p w14:paraId="19E15C00" w14:textId="68B0469A" w:rsidR="00DD6D4D" w:rsidRPr="003159DC" w:rsidRDefault="00DD6D4D">
      <w:pPr>
        <w:pStyle w:val="FootnoteText"/>
        <w:rPr>
          <w:lang w:val="en-GB"/>
        </w:rPr>
      </w:pPr>
      <w:r>
        <w:rPr>
          <w:rStyle w:val="FootnoteReference"/>
        </w:rPr>
        <w:footnoteRef/>
      </w:r>
      <w:r>
        <w:t xml:space="preserve"> </w:t>
      </w:r>
      <w:r w:rsidRPr="003159DC">
        <w:t xml:space="preserve">Klonowska J, Gleń J, Nowicki RJ, et al. New Cytokines in the Pathogenesis of Atopic Dermatitis-New Therapeutic Targets. </w:t>
      </w:r>
      <w:r w:rsidRPr="003159DC">
        <w:rPr>
          <w:i/>
        </w:rPr>
        <w:t>Int J Mol Sci.</w:t>
      </w:r>
      <w:r w:rsidRPr="003159DC">
        <w:t xml:space="preserve"> 2018;19(10).</w:t>
      </w:r>
    </w:p>
  </w:footnote>
  <w:footnote w:id="25">
    <w:p w14:paraId="487DB4C3" w14:textId="03AB1BAF" w:rsidR="00DD6D4D" w:rsidRPr="003159DC" w:rsidRDefault="00DD6D4D">
      <w:pPr>
        <w:pStyle w:val="FootnoteText"/>
        <w:rPr>
          <w:lang w:val="en-GB"/>
        </w:rPr>
      </w:pPr>
      <w:r>
        <w:rPr>
          <w:rStyle w:val="FootnoteReference"/>
        </w:rPr>
        <w:footnoteRef/>
      </w:r>
      <w:r>
        <w:t xml:space="preserve"> </w:t>
      </w:r>
      <w:r w:rsidRPr="003159DC">
        <w:t xml:space="preserve">Virtanen AT, Haikarainen T, Raivola J, et al. Selective JAKinibs: Prospects in Inflammatory and Autoimmune Diseases. </w:t>
      </w:r>
      <w:r w:rsidRPr="003159DC">
        <w:rPr>
          <w:i/>
        </w:rPr>
        <w:t>BioDrugs.</w:t>
      </w:r>
      <w:r w:rsidRPr="003159DC">
        <w:t xml:space="preserve"> 2019;33(1):15-32.</w:t>
      </w:r>
    </w:p>
  </w:footnote>
  <w:footnote w:id="26">
    <w:p w14:paraId="2B7CDDD1" w14:textId="10295895" w:rsidR="00DD6D4D" w:rsidRPr="003159DC" w:rsidRDefault="00DD6D4D">
      <w:pPr>
        <w:pStyle w:val="FootnoteText"/>
        <w:rPr>
          <w:lang w:val="en-GB"/>
        </w:rPr>
      </w:pPr>
      <w:r>
        <w:rPr>
          <w:rStyle w:val="FootnoteReference"/>
        </w:rPr>
        <w:footnoteRef/>
      </w:r>
      <w:r>
        <w:t xml:space="preserve"> </w:t>
      </w:r>
      <w:r w:rsidRPr="003159DC">
        <w:t xml:space="preserve">Winthrop KL. The emerging safety profile of JAK inhibitors in rheumatic disease. </w:t>
      </w:r>
      <w:r w:rsidRPr="003159DC">
        <w:rPr>
          <w:i/>
        </w:rPr>
        <w:t>Nat Rev</w:t>
      </w:r>
      <w:r w:rsidR="00B51532">
        <w:rPr>
          <w:i/>
        </w:rPr>
        <w:t xml:space="preserve"> </w:t>
      </w:r>
      <w:r w:rsidRPr="003159DC">
        <w:rPr>
          <w:i/>
        </w:rPr>
        <w:t>Rheumatol.</w:t>
      </w:r>
      <w:r w:rsidRPr="003159DC">
        <w:t xml:space="preserve"> 2017;13(4):234-43.</w:t>
      </w:r>
    </w:p>
  </w:footnote>
  <w:footnote w:id="27">
    <w:p w14:paraId="3501A9E1" w14:textId="08A7136D" w:rsidR="00DD6D4D" w:rsidRPr="003159DC" w:rsidRDefault="00DD6D4D">
      <w:pPr>
        <w:pStyle w:val="FootnoteText"/>
        <w:rPr>
          <w:lang w:val="en-GB"/>
        </w:rPr>
      </w:pPr>
      <w:r>
        <w:rPr>
          <w:rStyle w:val="FootnoteReference"/>
        </w:rPr>
        <w:footnoteRef/>
      </w:r>
      <w:r>
        <w:t xml:space="preserve"> </w:t>
      </w:r>
      <w:r w:rsidRPr="003159DC">
        <w:t xml:space="preserve">Simpson EL, Bieber T, Guttman-Yassky E, et al. Two phase 3 trials of dupilumab versus placebo in atopic dermatitis. </w:t>
      </w:r>
      <w:r w:rsidRPr="003159DC">
        <w:rPr>
          <w:i/>
        </w:rPr>
        <w:t>N Engl J Med.</w:t>
      </w:r>
      <w:r w:rsidRPr="003159DC">
        <w:t xml:space="preserve"> 2016;375(24):2335-48.</w:t>
      </w:r>
    </w:p>
  </w:footnote>
  <w:footnote w:id="28">
    <w:p w14:paraId="664493DE" w14:textId="16CDFF10" w:rsidR="00DD6D4D" w:rsidRPr="00C54AEE" w:rsidRDefault="00DD6D4D">
      <w:pPr>
        <w:pStyle w:val="FootnoteText"/>
        <w:rPr>
          <w:lang w:val="en-GB"/>
        </w:rPr>
      </w:pPr>
      <w:r>
        <w:rPr>
          <w:rStyle w:val="FootnoteReference"/>
        </w:rPr>
        <w:footnoteRef/>
      </w:r>
      <w:r>
        <w:t xml:space="preserve"> </w:t>
      </w:r>
      <w:r w:rsidRPr="00C54AEE">
        <w:t xml:space="preserve">Rinvoq </w:t>
      </w:r>
      <w:r>
        <w:t>(</w:t>
      </w:r>
      <w:r w:rsidRPr="00C54AEE">
        <w:t>upadacitinib</w:t>
      </w:r>
      <w:r>
        <w:t>)</w:t>
      </w:r>
      <w:r w:rsidRPr="00C54AEE">
        <w:t xml:space="preserve"> 15 mg modified release tablet blister pack </w:t>
      </w:r>
      <w:r>
        <w:t xml:space="preserve">(ARTG number </w:t>
      </w:r>
      <w:r w:rsidRPr="00C54AEE">
        <w:t>312687)</w:t>
      </w:r>
      <w:r>
        <w:t xml:space="preserve"> was first registered on the ARTG on 17 January 2020.</w:t>
      </w:r>
    </w:p>
  </w:footnote>
  <w:footnote w:id="29">
    <w:p w14:paraId="2B0AE2E2" w14:textId="501BA6FE" w:rsidR="00DD6D4D" w:rsidRPr="00C54AEE" w:rsidRDefault="00DD6D4D">
      <w:pPr>
        <w:pStyle w:val="FootnoteText"/>
        <w:rPr>
          <w:lang w:val="en-GB"/>
        </w:rPr>
      </w:pPr>
      <w:r>
        <w:rPr>
          <w:rStyle w:val="FootnoteReference"/>
        </w:rPr>
        <w:footnoteRef/>
      </w:r>
      <w:r>
        <w:t xml:space="preserve"> AusPAR for Rinvoq (</w:t>
      </w:r>
      <w:r w:rsidRPr="00C54AEE">
        <w:t>upadacitinib</w:t>
      </w:r>
      <w:r>
        <w:t>) AbbVie</w:t>
      </w:r>
      <w:r w:rsidRPr="00C54AEE">
        <w:t xml:space="preserve"> Pty Ltd</w:t>
      </w:r>
      <w:r>
        <w:t xml:space="preserve">, submission </w:t>
      </w:r>
      <w:r w:rsidRPr="00C54AEE">
        <w:t>PM-2018-05603-1-3</w:t>
      </w:r>
      <w:r>
        <w:t xml:space="preserve">. Published May 2020. Available at: </w:t>
      </w:r>
      <w:hyperlink r:id="rId2" w:history="1">
        <w:r>
          <w:rPr>
            <w:rStyle w:val="Hyperlink"/>
          </w:rPr>
          <w:t>AusPAR: upadacitinib | Therapeutic Goods Administration (TGA)</w:t>
        </w:r>
      </w:hyperlink>
    </w:p>
  </w:footnote>
  <w:footnote w:id="30">
    <w:p w14:paraId="144EDA95" w14:textId="4FE23198" w:rsidR="00DD6D4D" w:rsidRPr="00B62751" w:rsidRDefault="00DD6D4D">
      <w:pPr>
        <w:pStyle w:val="FootnoteText"/>
        <w:rPr>
          <w:lang w:val="en-GB"/>
        </w:rPr>
      </w:pPr>
      <w:r>
        <w:rPr>
          <w:rStyle w:val="FootnoteReference"/>
        </w:rPr>
        <w:footnoteRef/>
      </w:r>
      <w:r>
        <w:t xml:space="preserve"> AusPAR for Rinvoq (upadacitinib) AbbVie Pty Ltd, submission PM-2020-02479-1-3. Published August 2021. Available at: </w:t>
      </w:r>
      <w:hyperlink r:id="rId3" w:history="1">
        <w:r>
          <w:rPr>
            <w:rStyle w:val="Hyperlink"/>
          </w:rPr>
          <w:t>AusPAR: upadacitinib | Therapeutic Goods Administration (TGA)</w:t>
        </w:r>
      </w:hyperlink>
    </w:p>
  </w:footnote>
  <w:footnote w:id="31">
    <w:p w14:paraId="329C2590" w14:textId="77777777" w:rsidR="00DD6D4D" w:rsidRPr="00971B3A" w:rsidRDefault="00DD6D4D" w:rsidP="00E606A2">
      <w:pPr>
        <w:pStyle w:val="FootnoteText"/>
      </w:pPr>
      <w:r>
        <w:rPr>
          <w:rStyle w:val="FootnoteReference"/>
        </w:rPr>
        <w:footnoteRef/>
      </w:r>
      <w:r>
        <w:t xml:space="preserve"> </w:t>
      </w:r>
      <w:r w:rsidRPr="00971B3A">
        <w:t xml:space="preserve">He H &amp; Guttman-Yassky E (2019) </w:t>
      </w:r>
      <w:r w:rsidRPr="00971B3A">
        <w:rPr>
          <w:rFonts w:cs="MyriadPro-SemiboldSemiCn"/>
        </w:rPr>
        <w:t xml:space="preserve">JAK </w:t>
      </w:r>
      <w:r>
        <w:rPr>
          <w:rFonts w:cs="MyriadPro-SemiboldSemiCn"/>
        </w:rPr>
        <w:t>i</w:t>
      </w:r>
      <w:r w:rsidRPr="00971B3A">
        <w:rPr>
          <w:rFonts w:cs="MyriadPro-SemiboldSemiCn"/>
        </w:rPr>
        <w:t xml:space="preserve">nhibitors for </w:t>
      </w:r>
      <w:r>
        <w:rPr>
          <w:rFonts w:cs="MyriadPro-SemiboldSemiCn"/>
        </w:rPr>
        <w:t>a</w:t>
      </w:r>
      <w:r w:rsidRPr="00971B3A">
        <w:rPr>
          <w:rFonts w:cs="MyriadPro-SemiboldSemiCn"/>
        </w:rPr>
        <w:t xml:space="preserve">topic </w:t>
      </w:r>
      <w:r>
        <w:rPr>
          <w:rFonts w:cs="MyriadPro-SemiboldSemiCn"/>
        </w:rPr>
        <w:t>d</w:t>
      </w:r>
      <w:r w:rsidRPr="00971B3A">
        <w:rPr>
          <w:rFonts w:cs="MyriadPro-SemiboldSemiCn"/>
        </w:rPr>
        <w:t xml:space="preserve">ermatitis: </w:t>
      </w:r>
      <w:r>
        <w:rPr>
          <w:rFonts w:cs="MyriadPro-SemiboldSemiCn"/>
        </w:rPr>
        <w:t>a</w:t>
      </w:r>
      <w:r w:rsidRPr="00971B3A">
        <w:rPr>
          <w:rFonts w:cs="MyriadPro-SemiboldSemiCn"/>
        </w:rPr>
        <w:t xml:space="preserve">n </w:t>
      </w:r>
      <w:r>
        <w:rPr>
          <w:rFonts w:cs="MyriadPro-SemiboldSemiCn"/>
        </w:rPr>
        <w:t>u</w:t>
      </w:r>
      <w:r w:rsidRPr="00971B3A">
        <w:rPr>
          <w:rFonts w:cs="MyriadPro-SemiboldSemiCn"/>
        </w:rPr>
        <w:t xml:space="preserve">pdate. </w:t>
      </w:r>
      <w:r w:rsidRPr="00971B3A">
        <w:rPr>
          <w:i/>
        </w:rPr>
        <w:t>Am. J. Clin. Dermatol.</w:t>
      </w:r>
      <w:r w:rsidRPr="00971B3A">
        <w:t xml:space="preserve"> </w:t>
      </w:r>
      <w:r w:rsidRPr="00E606A2">
        <w:t>20</w:t>
      </w:r>
      <w:r w:rsidRPr="00971B3A">
        <w:t>:181–192</w:t>
      </w:r>
      <w:r>
        <w:t>.</w:t>
      </w:r>
    </w:p>
  </w:footnote>
  <w:footnote w:id="32">
    <w:p w14:paraId="2B59C9E0" w14:textId="77777777" w:rsidR="00DD6D4D" w:rsidRPr="00971B3A" w:rsidRDefault="00DD6D4D" w:rsidP="00E606A2">
      <w:pPr>
        <w:pStyle w:val="FootnoteText"/>
      </w:pPr>
      <w:r>
        <w:rPr>
          <w:rStyle w:val="FootnoteReference"/>
        </w:rPr>
        <w:footnoteRef/>
      </w:r>
      <w:r>
        <w:t xml:space="preserve"> </w:t>
      </w:r>
      <w:r w:rsidRPr="00971B3A">
        <w:t xml:space="preserve">Guttman-Yassky E </w:t>
      </w:r>
      <w:r w:rsidRPr="00971B3A">
        <w:rPr>
          <w:i/>
        </w:rPr>
        <w:t>et al.</w:t>
      </w:r>
      <w:r w:rsidRPr="00971B3A">
        <w:t xml:space="preserve"> (2018) </w:t>
      </w:r>
      <w:r w:rsidRPr="00971B3A">
        <w:rPr>
          <w:rFonts w:cs="Lato-Bold"/>
          <w:bCs/>
        </w:rPr>
        <w:t>Systemic immune mechanisms in atopic dermatitis and</w:t>
      </w:r>
      <w:r>
        <w:rPr>
          <w:rFonts w:cs="Lato-Bold"/>
          <w:bCs/>
        </w:rPr>
        <w:t xml:space="preserve"> </w:t>
      </w:r>
      <w:r w:rsidRPr="00971B3A">
        <w:rPr>
          <w:rFonts w:cs="Lato-Bold"/>
          <w:bCs/>
        </w:rPr>
        <w:t xml:space="preserve">psoriasis with implications for treatment. </w:t>
      </w:r>
      <w:r w:rsidRPr="00971B3A">
        <w:rPr>
          <w:rFonts w:cs="Lato-Italic"/>
          <w:i/>
          <w:iCs/>
        </w:rPr>
        <w:t xml:space="preserve">Experimental Dermatology. </w:t>
      </w:r>
      <w:r w:rsidRPr="00E606A2">
        <w:rPr>
          <w:rFonts w:cs="Lato-Regular"/>
        </w:rPr>
        <w:t>27:</w:t>
      </w:r>
      <w:r w:rsidRPr="00971B3A">
        <w:rPr>
          <w:rFonts w:cs="Lato-Regular"/>
        </w:rPr>
        <w:t>409–417.</w:t>
      </w:r>
    </w:p>
  </w:footnote>
  <w:footnote w:id="33">
    <w:p w14:paraId="2EA25192" w14:textId="77777777" w:rsidR="00DD6D4D" w:rsidRPr="00971B3A" w:rsidRDefault="00DD6D4D" w:rsidP="00E606A2">
      <w:pPr>
        <w:pStyle w:val="FootnoteText"/>
      </w:pPr>
      <w:r>
        <w:rPr>
          <w:rStyle w:val="FootnoteReference"/>
        </w:rPr>
        <w:footnoteRef/>
      </w:r>
      <w:r>
        <w:t xml:space="preserve"> </w:t>
      </w:r>
      <w:r w:rsidRPr="00971B3A">
        <w:rPr>
          <w:rFonts w:cs="Segoe UI"/>
          <w:color w:val="333333"/>
          <w:lang w:val="en"/>
        </w:rPr>
        <w:t xml:space="preserve">Klonowska J, </w:t>
      </w:r>
      <w:r w:rsidRPr="00971B3A">
        <w:rPr>
          <w:rFonts w:cs="Segoe UI"/>
          <w:i/>
          <w:color w:val="333333"/>
          <w:lang w:val="en"/>
        </w:rPr>
        <w:t>et al.</w:t>
      </w:r>
      <w:r w:rsidRPr="00971B3A">
        <w:rPr>
          <w:rFonts w:cs="Segoe UI"/>
          <w:color w:val="333333"/>
          <w:lang w:val="en"/>
        </w:rPr>
        <w:t xml:space="preserve"> (2018) </w:t>
      </w:r>
      <w:r w:rsidRPr="00971B3A">
        <w:rPr>
          <w:rFonts w:cs="URWPalladioL-Bold"/>
          <w:bCs/>
        </w:rPr>
        <w:t xml:space="preserve">New </w:t>
      </w:r>
      <w:r>
        <w:rPr>
          <w:rFonts w:cs="URWPalladioL-Bold"/>
          <w:bCs/>
        </w:rPr>
        <w:t>c</w:t>
      </w:r>
      <w:r w:rsidRPr="00971B3A">
        <w:rPr>
          <w:rFonts w:cs="URWPalladioL-Bold"/>
          <w:bCs/>
        </w:rPr>
        <w:t xml:space="preserve">ytokines in the </w:t>
      </w:r>
      <w:r>
        <w:rPr>
          <w:rFonts w:cs="URWPalladioL-Bold"/>
          <w:bCs/>
        </w:rPr>
        <w:t>p</w:t>
      </w:r>
      <w:r w:rsidRPr="00971B3A">
        <w:rPr>
          <w:rFonts w:cs="URWPalladioL-Bold"/>
          <w:bCs/>
        </w:rPr>
        <w:t xml:space="preserve">athogenesis of </w:t>
      </w:r>
      <w:r>
        <w:rPr>
          <w:rFonts w:cs="URWPalladioL-Bold"/>
          <w:bCs/>
        </w:rPr>
        <w:t>a</w:t>
      </w:r>
      <w:r w:rsidRPr="00971B3A">
        <w:rPr>
          <w:rFonts w:cs="URWPalladioL-Bold"/>
          <w:bCs/>
        </w:rPr>
        <w:t>topic</w:t>
      </w:r>
      <w:r>
        <w:rPr>
          <w:rFonts w:cs="URWPalladioL-Bold"/>
          <w:bCs/>
        </w:rPr>
        <w:t xml:space="preserve"> d</w:t>
      </w:r>
      <w:r w:rsidRPr="00971B3A">
        <w:rPr>
          <w:rFonts w:cs="URWPalladioL-Bold"/>
          <w:bCs/>
        </w:rPr>
        <w:t>ermatitis—</w:t>
      </w:r>
      <w:r>
        <w:rPr>
          <w:rFonts w:cs="URWPalladioL-Bold"/>
          <w:bCs/>
        </w:rPr>
        <w:t>n</w:t>
      </w:r>
      <w:r w:rsidRPr="00971B3A">
        <w:rPr>
          <w:rFonts w:cs="URWPalladioL-Bold"/>
          <w:bCs/>
        </w:rPr>
        <w:t xml:space="preserve">ew </w:t>
      </w:r>
      <w:r>
        <w:rPr>
          <w:rFonts w:cs="URWPalladioL-Bold"/>
          <w:bCs/>
        </w:rPr>
        <w:t>t</w:t>
      </w:r>
      <w:r w:rsidRPr="00971B3A">
        <w:rPr>
          <w:rFonts w:cs="URWPalladioL-Bold"/>
          <w:bCs/>
        </w:rPr>
        <w:t xml:space="preserve">herapeutic </w:t>
      </w:r>
      <w:r>
        <w:rPr>
          <w:rFonts w:cs="URWPalladioL-Bold"/>
          <w:bCs/>
        </w:rPr>
        <w:t>t</w:t>
      </w:r>
      <w:r w:rsidRPr="00971B3A">
        <w:rPr>
          <w:rFonts w:cs="URWPalladioL-Bold"/>
          <w:bCs/>
        </w:rPr>
        <w:t xml:space="preserve">argets. </w:t>
      </w:r>
      <w:r w:rsidRPr="00971B3A">
        <w:rPr>
          <w:rFonts w:cs="URWPalladioL-Ital"/>
          <w:i/>
        </w:rPr>
        <w:t>Int. J. Mol. Sci</w:t>
      </w:r>
      <w:r w:rsidRPr="00971B3A">
        <w:rPr>
          <w:rFonts w:cs="URWPalladioL-Ital"/>
        </w:rPr>
        <w:t>.</w:t>
      </w:r>
      <w:r w:rsidRPr="00971B3A">
        <w:rPr>
          <w:rFonts w:cs="URWPalladioL-Roma"/>
        </w:rPr>
        <w:t xml:space="preserve"> </w:t>
      </w:r>
      <w:r w:rsidRPr="00E606A2">
        <w:rPr>
          <w:rFonts w:cs="URWPalladioL-Ital"/>
        </w:rPr>
        <w:t>19</w:t>
      </w:r>
      <w:r w:rsidRPr="00E606A2">
        <w:rPr>
          <w:rFonts w:cs="URWPalladioL-Roma"/>
        </w:rPr>
        <w:t>:</w:t>
      </w:r>
      <w:r w:rsidRPr="00971B3A">
        <w:rPr>
          <w:rFonts w:cs="URWPalladioL-Roma"/>
        </w:rPr>
        <w:t xml:space="preserve"> 3086.</w:t>
      </w:r>
    </w:p>
  </w:footnote>
  <w:footnote w:id="34">
    <w:p w14:paraId="2420148C" w14:textId="77777777" w:rsidR="00DD6D4D" w:rsidRDefault="00DD6D4D" w:rsidP="00E606A2">
      <w:pPr>
        <w:pStyle w:val="FootnoteText"/>
      </w:pPr>
      <w:r>
        <w:rPr>
          <w:rStyle w:val="FootnoteReference"/>
        </w:rPr>
        <w:footnoteRef/>
      </w:r>
      <w:r>
        <w:t xml:space="preserve"> </w:t>
      </w:r>
      <w:r w:rsidRPr="00971B3A">
        <w:t xml:space="preserve">Virtanen AT </w:t>
      </w:r>
      <w:r w:rsidRPr="00971B3A">
        <w:rPr>
          <w:i/>
        </w:rPr>
        <w:t xml:space="preserve">et al. </w:t>
      </w:r>
      <w:r w:rsidRPr="00971B3A">
        <w:t xml:space="preserve">(2019) Selective JAKinibs: </w:t>
      </w:r>
      <w:r>
        <w:t>p</w:t>
      </w:r>
      <w:r w:rsidRPr="00971B3A">
        <w:t xml:space="preserve">rospects in </w:t>
      </w:r>
      <w:r>
        <w:t>i</w:t>
      </w:r>
      <w:r w:rsidRPr="00971B3A">
        <w:t xml:space="preserve">nflammatory and </w:t>
      </w:r>
      <w:r>
        <w:t>a</w:t>
      </w:r>
      <w:r w:rsidRPr="00971B3A">
        <w:t xml:space="preserve">utoimmune </w:t>
      </w:r>
      <w:r>
        <w:t>d</w:t>
      </w:r>
      <w:r w:rsidRPr="00971B3A">
        <w:t xml:space="preserve">iseases. </w:t>
      </w:r>
      <w:r w:rsidRPr="00971B3A">
        <w:rPr>
          <w:i/>
        </w:rPr>
        <w:t>BioDrugs</w:t>
      </w:r>
      <w:r w:rsidRPr="00971B3A">
        <w:t xml:space="preserve">. </w:t>
      </w:r>
      <w:r w:rsidRPr="00E606A2">
        <w:t>33:</w:t>
      </w:r>
      <w:r w:rsidRPr="00971B3A">
        <w:t>15–32</w:t>
      </w:r>
      <w:r>
        <w:t>.</w:t>
      </w:r>
    </w:p>
  </w:footnote>
  <w:footnote w:id="35">
    <w:p w14:paraId="7DC6D8AD" w14:textId="77777777" w:rsidR="00DD6D4D" w:rsidRDefault="00DD6D4D" w:rsidP="007440B9">
      <w:pPr>
        <w:pStyle w:val="FootnoteText"/>
        <w:rPr>
          <w:lang w:eastAsia="ja-JP"/>
        </w:rPr>
      </w:pPr>
      <w:r>
        <w:rPr>
          <w:rStyle w:val="FootnoteReference"/>
        </w:rPr>
        <w:footnoteRef/>
      </w:r>
      <w:r>
        <w:t xml:space="preserve"> </w:t>
      </w:r>
      <w:r>
        <w:rPr>
          <w:b/>
          <w:lang w:eastAsia="ja-JP"/>
        </w:rPr>
        <w:t>Cytochrome P450 (CYP) enzymes</w:t>
      </w:r>
      <w:r>
        <w:rPr>
          <w:lang w:eastAsia="ja-JP"/>
        </w:rPr>
        <w:t xml:space="preserve"> are the major enzymes involved in drug metabolism, accounting for large part of the total metabolism. Most drugs undergo deactivation by CYPs, either directly or by facilitated excretion from the body. Also, many substances are bioactivated by CYPs to form their active compounds.</w:t>
      </w:r>
    </w:p>
    <w:p w14:paraId="44A16875" w14:textId="50735CCF" w:rsidR="00DD6D4D" w:rsidRPr="007440B9" w:rsidRDefault="00DD6D4D" w:rsidP="007440B9">
      <w:pPr>
        <w:pStyle w:val="FootnoteText"/>
        <w:rPr>
          <w:lang w:val="en-GB"/>
        </w:rPr>
      </w:pPr>
      <w:r>
        <w:rPr>
          <w:lang w:eastAsia="ja-JP"/>
        </w:rPr>
        <w:t>Many drugs may increase or decrease the activity of various CYP isozymes either by inducing the biosynthesis of an isozyme (enzyme induction) or by directly inhibiting the activity of the CYP (enzyme inhibition). This is a major source of adverse drug interactions, since changes in CYP enzyme activity may affect the metabolism and clearance of various drugs. Such drug interactions are especially important to take into account when using drugs of vital importance to the patient, drugs with important side-effects and drugs with small therapeutic windows, but any drug may be subject to an altered plasma concentration due to altered drug metabolism.</w:t>
      </w:r>
    </w:p>
  </w:footnote>
  <w:footnote w:id="36">
    <w:p w14:paraId="4BF1971B" w14:textId="446D9781" w:rsidR="00DD6D4D" w:rsidRPr="007435A6" w:rsidRDefault="00DD6D4D">
      <w:pPr>
        <w:pStyle w:val="FootnoteText"/>
        <w:rPr>
          <w:lang w:val="en-GB"/>
        </w:rPr>
      </w:pPr>
      <w:r>
        <w:rPr>
          <w:rStyle w:val="FootnoteReference"/>
        </w:rPr>
        <w:footnoteRef/>
      </w:r>
      <w:r>
        <w:t xml:space="preserve"> </w:t>
      </w:r>
      <w:r w:rsidRPr="007435A6">
        <w:t xml:space="preserve">Hanifin JM, Thurston M, Omoto M, Cherill R, Tofte SJ, Graeber M. The eczema area and severity index (EASI): assessment of reliability in atopic dermatitis. EASI Evaluator Group. </w:t>
      </w:r>
      <w:r w:rsidRPr="007435A6">
        <w:rPr>
          <w:i/>
        </w:rPr>
        <w:t>Exp Dermatol.</w:t>
      </w:r>
      <w:r w:rsidRPr="007435A6">
        <w:t xml:space="preserve"> 2001;10(1):11-18.</w:t>
      </w:r>
    </w:p>
  </w:footnote>
  <w:footnote w:id="37">
    <w:p w14:paraId="5C6C168A" w14:textId="2AC62A07" w:rsidR="00DD6D4D" w:rsidRPr="001A0F07" w:rsidRDefault="00DD6D4D">
      <w:pPr>
        <w:pStyle w:val="FootnoteText"/>
        <w:rPr>
          <w:lang w:val="en-GB"/>
        </w:rPr>
      </w:pPr>
      <w:r>
        <w:rPr>
          <w:rStyle w:val="FootnoteReference"/>
        </w:rPr>
        <w:footnoteRef/>
      </w:r>
      <w:r>
        <w:t xml:space="preserve"> </w:t>
      </w:r>
      <w:r>
        <w:rPr>
          <w:color w:val="303030"/>
          <w:shd w:val="clear" w:color="auto" w:fill="FFFFFF"/>
        </w:rPr>
        <w:t>Schram M, Spuls P, Leeflang M, Lindeboom R, Bos J, Schmitt J. EASI, (objective) SCORAD and POEM for atopic eczema: responsiveness and minimal clinically important difference </w:t>
      </w:r>
      <w:r>
        <w:rPr>
          <w:rStyle w:val="Emphasis"/>
          <w:color w:val="303030"/>
          <w:shd w:val="clear" w:color="auto" w:fill="FFFFFF"/>
        </w:rPr>
        <w:t>Allergy</w:t>
      </w:r>
      <w:r>
        <w:rPr>
          <w:color w:val="303030"/>
          <w:shd w:val="clear" w:color="auto" w:fill="FFFFFF"/>
        </w:rPr>
        <w:t>. 2012;67(1):99–106.</w:t>
      </w:r>
    </w:p>
  </w:footnote>
  <w:footnote w:id="38">
    <w:p w14:paraId="3125E9F6" w14:textId="7D6B3F2C" w:rsidR="00DD6D4D" w:rsidRPr="001A0F07" w:rsidRDefault="00DD6D4D">
      <w:pPr>
        <w:pStyle w:val="FootnoteText"/>
        <w:rPr>
          <w:lang w:val="en-GB"/>
        </w:rPr>
      </w:pPr>
      <w:r>
        <w:rPr>
          <w:rStyle w:val="FootnoteReference"/>
        </w:rPr>
        <w:footnoteRef/>
      </w:r>
      <w:r>
        <w:t xml:space="preserve"> </w:t>
      </w:r>
      <w:r>
        <w:rPr>
          <w:color w:val="303030"/>
          <w:shd w:val="clear" w:color="auto" w:fill="FFFFFF"/>
        </w:rPr>
        <w:t>Schmitt J, Langan S, Deckert S, et al. Assessment of clinical signs of atopic dermatitis: a systematic review and recommendation </w:t>
      </w:r>
      <w:r>
        <w:rPr>
          <w:rStyle w:val="Emphasis"/>
          <w:color w:val="303030"/>
          <w:shd w:val="clear" w:color="auto" w:fill="FFFFFF"/>
        </w:rPr>
        <w:t>J Allergy Clin Immunol</w:t>
      </w:r>
      <w:r>
        <w:rPr>
          <w:color w:val="303030"/>
          <w:shd w:val="clear" w:color="auto" w:fill="FFFFFF"/>
        </w:rPr>
        <w:t>. 2013;132(6):1337–1347.</w:t>
      </w:r>
    </w:p>
  </w:footnote>
  <w:footnote w:id="39">
    <w:p w14:paraId="080EE03D" w14:textId="7CF45C88" w:rsidR="00DD6D4D" w:rsidRPr="001A0F07" w:rsidRDefault="00DD6D4D">
      <w:pPr>
        <w:pStyle w:val="FootnoteText"/>
        <w:rPr>
          <w:lang w:val="en-GB"/>
        </w:rPr>
      </w:pPr>
      <w:r>
        <w:rPr>
          <w:rStyle w:val="FootnoteReference"/>
        </w:rPr>
        <w:footnoteRef/>
      </w:r>
      <w:r>
        <w:t xml:space="preserve"> </w:t>
      </w:r>
      <w:r>
        <w:rPr>
          <w:color w:val="303030"/>
          <w:shd w:val="clear" w:color="auto" w:fill="FFFFFF"/>
        </w:rPr>
        <w:t>Leshem Y, Hajar T, Hanifin J, Simpson E. What the Eczema Area and Severity Index score tells us about the severity of atopic dermatitis: an interpretability study. </w:t>
      </w:r>
      <w:r>
        <w:rPr>
          <w:rStyle w:val="Emphasis"/>
          <w:color w:val="303030"/>
          <w:shd w:val="clear" w:color="auto" w:fill="FFFFFF"/>
        </w:rPr>
        <w:t>Br J Dermatol</w:t>
      </w:r>
      <w:r>
        <w:rPr>
          <w:color w:val="303030"/>
          <w:shd w:val="clear" w:color="auto" w:fill="FFFFFF"/>
        </w:rPr>
        <w:t>. 2015;172(5):1353–1357</w:t>
      </w:r>
    </w:p>
  </w:footnote>
  <w:footnote w:id="40">
    <w:p w14:paraId="212FDF8C" w14:textId="7EFE469E" w:rsidR="00DD6D4D" w:rsidRPr="009002C6" w:rsidRDefault="00DD6D4D">
      <w:pPr>
        <w:pStyle w:val="FootnoteText"/>
        <w:rPr>
          <w:lang w:val="en-GB"/>
        </w:rPr>
      </w:pPr>
      <w:r>
        <w:rPr>
          <w:rStyle w:val="FootnoteReference"/>
        </w:rPr>
        <w:footnoteRef/>
      </w:r>
      <w:r>
        <w:t xml:space="preserve"> </w:t>
      </w:r>
      <w:r w:rsidRPr="009002C6">
        <w:t xml:space="preserve">Simpson E, Bissonnette R, Eichenfield LF. The Validated Investigator Global Assessment for Atopic Dermatitis (vIGA-AD): The development and reliability testing of a novel clinical outcome measurement instrument for the severity of atopic dermatitis. </w:t>
      </w:r>
      <w:r w:rsidRPr="009002C6">
        <w:rPr>
          <w:i/>
        </w:rPr>
        <w:t>J Am Acad Dermatol</w:t>
      </w:r>
      <w:r w:rsidRPr="009002C6">
        <w:t>. 2020 Sep;83(3):839-846</w:t>
      </w:r>
    </w:p>
  </w:footnote>
  <w:footnote w:id="41">
    <w:p w14:paraId="3331C6DF" w14:textId="060ED7C4" w:rsidR="00DD6D4D" w:rsidRPr="00217F6E" w:rsidRDefault="00DD6D4D">
      <w:pPr>
        <w:pStyle w:val="FootnoteText"/>
        <w:rPr>
          <w:lang w:val="en-GB"/>
        </w:rPr>
      </w:pPr>
      <w:r>
        <w:rPr>
          <w:rStyle w:val="FootnoteReference"/>
        </w:rPr>
        <w:footnoteRef/>
      </w:r>
      <w:r>
        <w:t xml:space="preserve"> </w:t>
      </w:r>
      <w:r w:rsidRPr="00217F6E">
        <w:t xml:space="preserve">Phan NQ, Blome C, Fritz F, Gerss J, Reich A, Ebata T, et al. Assessment of pruritus intensity: prospective study on validity and reliability of the visual analogue scale, numerical rating scale and verbal rating scale in 471 patients with chronic pruritus. </w:t>
      </w:r>
      <w:r w:rsidRPr="00217F6E">
        <w:rPr>
          <w:i/>
        </w:rPr>
        <w:t>Acta Derm Venereol</w:t>
      </w:r>
      <w:r w:rsidRPr="00217F6E">
        <w:t xml:space="preserve"> 2012; 92: 502–507</w:t>
      </w:r>
    </w:p>
  </w:footnote>
  <w:footnote w:id="42">
    <w:p w14:paraId="7711974C" w14:textId="1B02E716" w:rsidR="00DD6D4D" w:rsidRPr="00217F6E" w:rsidRDefault="00DD6D4D">
      <w:pPr>
        <w:pStyle w:val="FootnoteText"/>
        <w:rPr>
          <w:lang w:val="en-GB"/>
        </w:rPr>
      </w:pPr>
      <w:r>
        <w:rPr>
          <w:rStyle w:val="FootnoteReference"/>
        </w:rPr>
        <w:footnoteRef/>
      </w:r>
      <w:r>
        <w:t xml:space="preserve"> Storck M, et al. </w:t>
      </w:r>
      <w:r w:rsidRPr="00217F6E">
        <w:rPr>
          <w:i/>
        </w:rPr>
        <w:t>J Eur Acad Dermatol Venereol.</w:t>
      </w:r>
      <w:r>
        <w:t xml:space="preserve"> 2021 May;35(5):1176-1185.</w:t>
      </w:r>
      <w:r w:rsidRPr="00217F6E">
        <w:t>.</w:t>
      </w:r>
    </w:p>
  </w:footnote>
  <w:footnote w:id="43">
    <w:p w14:paraId="33721DA9" w14:textId="3AF8BD14" w:rsidR="00DD6D4D" w:rsidRPr="00217F6E" w:rsidRDefault="00DD6D4D">
      <w:pPr>
        <w:pStyle w:val="FootnoteText"/>
        <w:rPr>
          <w:lang w:val="en-GB"/>
        </w:rPr>
      </w:pPr>
      <w:r>
        <w:rPr>
          <w:rStyle w:val="FootnoteReference"/>
        </w:rPr>
        <w:footnoteRef/>
      </w:r>
      <w:r>
        <w:t xml:space="preserve"> Verweyen E at al. </w:t>
      </w:r>
      <w:r w:rsidRPr="007A305C">
        <w:rPr>
          <w:i/>
        </w:rPr>
        <w:t>Acta Derm Venereol.</w:t>
      </w:r>
      <w:r>
        <w:t xml:space="preserve"> 2019;99:657-66</w:t>
      </w:r>
    </w:p>
  </w:footnote>
  <w:footnote w:id="44">
    <w:p w14:paraId="14E63C8F" w14:textId="43399012" w:rsidR="00DD6D4D" w:rsidRPr="003B382B" w:rsidRDefault="00DD6D4D">
      <w:pPr>
        <w:pStyle w:val="FootnoteText"/>
        <w:rPr>
          <w:lang w:val="en-GB"/>
        </w:rPr>
      </w:pPr>
      <w:r>
        <w:rPr>
          <w:rStyle w:val="FootnoteReference"/>
        </w:rPr>
        <w:footnoteRef/>
      </w:r>
      <w:r>
        <w:t xml:space="preserve"> </w:t>
      </w:r>
      <w:r w:rsidRPr="002F6D56">
        <w:t xml:space="preserve">Charman CR, </w:t>
      </w:r>
      <w:r>
        <w:t>et al.</w:t>
      </w:r>
      <w:r w:rsidRPr="002F6D56">
        <w:t xml:space="preserve"> The Patient-Oriented Eczema Measure: Development and Initial Validation of a New Tool for Measuring Atopic Eczema Severity From the Patients' Perspective. </w:t>
      </w:r>
      <w:r w:rsidRPr="002F6D56">
        <w:rPr>
          <w:i/>
        </w:rPr>
        <w:t>Arch Dermatol</w:t>
      </w:r>
      <w:r>
        <w:t>. 2004;140:1513-1519.</w:t>
      </w:r>
    </w:p>
  </w:footnote>
  <w:footnote w:id="45">
    <w:p w14:paraId="3FAE61DE" w14:textId="07027E3F" w:rsidR="00DD6D4D" w:rsidRPr="002F6D56" w:rsidRDefault="00DD6D4D">
      <w:pPr>
        <w:pStyle w:val="FootnoteText"/>
        <w:rPr>
          <w:lang w:val="en-GB"/>
        </w:rPr>
      </w:pPr>
      <w:r>
        <w:rPr>
          <w:rStyle w:val="FootnoteReference"/>
        </w:rPr>
        <w:footnoteRef/>
      </w:r>
      <w:r>
        <w:t xml:space="preserve"> </w:t>
      </w:r>
      <w:r w:rsidRPr="002F6D56">
        <w:t xml:space="preserve">Charman CR, </w:t>
      </w:r>
      <w:r>
        <w:t>et al.</w:t>
      </w:r>
      <w:r w:rsidR="00B51532">
        <w:t xml:space="preserve"> </w:t>
      </w:r>
      <w:r w:rsidRPr="002F6D56">
        <w:t xml:space="preserve">Translating Patient-Oriented Eczema Measure (POEM) scores into clinical practice by suggesting severity strata derived using anchor-based methods. </w:t>
      </w:r>
      <w:r w:rsidRPr="002F6D56">
        <w:rPr>
          <w:i/>
        </w:rPr>
        <w:t>Br J Dermatol.</w:t>
      </w:r>
      <w:r w:rsidRPr="002F6D56">
        <w:t xml:space="preserve"> Dec 2013; 169(6): 1326–1332.</w:t>
      </w:r>
    </w:p>
  </w:footnote>
  <w:footnote w:id="46">
    <w:p w14:paraId="243B7C59" w14:textId="637EB360" w:rsidR="00DD6D4D" w:rsidRPr="002F6D56" w:rsidRDefault="00DD6D4D">
      <w:pPr>
        <w:pStyle w:val="FootnoteText"/>
        <w:rPr>
          <w:lang w:val="en-GB"/>
        </w:rPr>
      </w:pPr>
      <w:r>
        <w:rPr>
          <w:rStyle w:val="FootnoteReference"/>
        </w:rPr>
        <w:footnoteRef/>
      </w:r>
      <w:r>
        <w:t xml:space="preserve"> </w:t>
      </w:r>
      <w:r w:rsidRPr="002F6D56">
        <w:t xml:space="preserve">Howells L, Ratib S, Chalmers JR, Bradshaw L, Thomas KS; CLOTHES trial team. How should minimally important change scores for the Patient-Oriented Eczema Measure be interpreted? A validation using varied methods. </w:t>
      </w:r>
      <w:r w:rsidRPr="002F6D56">
        <w:rPr>
          <w:i/>
        </w:rPr>
        <w:t>Br J Dermatol.</w:t>
      </w:r>
      <w:r w:rsidRPr="002F6D56">
        <w:t xml:space="preserve"> 2018;178(5):1135-1142.</w:t>
      </w:r>
    </w:p>
  </w:footnote>
  <w:footnote w:id="47">
    <w:p w14:paraId="6548431F" w14:textId="615D0099" w:rsidR="00DD6D4D" w:rsidRPr="00E23B36" w:rsidRDefault="00DD6D4D">
      <w:pPr>
        <w:pStyle w:val="FootnoteText"/>
        <w:rPr>
          <w:lang w:val="en-GB"/>
        </w:rPr>
      </w:pPr>
      <w:r>
        <w:rPr>
          <w:rStyle w:val="FootnoteReference"/>
        </w:rPr>
        <w:footnoteRef/>
      </w:r>
      <w:r>
        <w:t xml:space="preserve"> </w:t>
      </w:r>
      <w:r w:rsidRPr="00E23B36">
        <w:t xml:space="preserve">Severity scoring of atopic dermatitis: the SCORAD index. Consensus Report of the European Task Force on Atopic Dermatitis. </w:t>
      </w:r>
      <w:r w:rsidRPr="00E23B36">
        <w:rPr>
          <w:i/>
        </w:rPr>
        <w:t>Dermatology.</w:t>
      </w:r>
      <w:r w:rsidRPr="00E23B36">
        <w:t xml:space="preserve"> 1993;186(1):23-31.</w:t>
      </w:r>
    </w:p>
  </w:footnote>
  <w:footnote w:id="48">
    <w:p w14:paraId="0148DA74" w14:textId="6E7BCBE5" w:rsidR="00DD6D4D" w:rsidRPr="00E23B36" w:rsidRDefault="00DD6D4D">
      <w:pPr>
        <w:pStyle w:val="FootnoteText"/>
        <w:rPr>
          <w:lang w:val="en-GB"/>
        </w:rPr>
      </w:pPr>
      <w:r>
        <w:rPr>
          <w:rStyle w:val="FootnoteReference"/>
        </w:rPr>
        <w:footnoteRef/>
      </w:r>
      <w:r>
        <w:t xml:space="preserve"> </w:t>
      </w:r>
      <w:r w:rsidRPr="00E23B36">
        <w:t xml:space="preserve">Silverberg JI, Lei D, Yousaf M, et al. Comparison of Patient-Oriented Eczema Measure and Patient-Oriented Scoring Atopic Dermatitis vs Eczema Area and Severity Index and other measures of atopic dermatitis: A validation study. </w:t>
      </w:r>
      <w:r w:rsidRPr="00E23B36">
        <w:rPr>
          <w:i/>
        </w:rPr>
        <w:t>Ann Allergy Asthma Immunol.</w:t>
      </w:r>
      <w:r w:rsidRPr="00E23B36">
        <w:t xml:space="preserve"> 2020;125(1):78-83.</w:t>
      </w:r>
    </w:p>
  </w:footnote>
  <w:footnote w:id="49">
    <w:p w14:paraId="5ABC1973" w14:textId="77777777" w:rsidR="00DD6D4D" w:rsidRPr="00D05272" w:rsidRDefault="00DD6D4D" w:rsidP="0099417E">
      <w:pPr>
        <w:pStyle w:val="FootnoteText"/>
        <w:rPr>
          <w:lang w:val="en-GB"/>
        </w:rPr>
      </w:pPr>
      <w:r>
        <w:rPr>
          <w:rStyle w:val="FootnoteReference"/>
        </w:rPr>
        <w:footnoteRef/>
      </w:r>
      <w:r>
        <w:t xml:space="preserve"> </w:t>
      </w:r>
      <w:r w:rsidRPr="00D05272">
        <w:t xml:space="preserve">Foley C, </w:t>
      </w:r>
      <w:r>
        <w:t>et al.</w:t>
      </w:r>
      <w:r w:rsidRPr="00D05272">
        <w:t xml:space="preserve"> Development and content validity of new patient-reported outcome questionnaires to assess the signs and symptoms and impact of atopic dermatitis: the Atopic Dermatitis Symptom Scale (ADerm-SS) and the Atopic Dermatitis Impact Scale (ADerm-IS). </w:t>
      </w:r>
      <w:r w:rsidRPr="00323CBE">
        <w:rPr>
          <w:i/>
        </w:rPr>
        <w:t>Curr Med Res Opin.</w:t>
      </w:r>
      <w:r w:rsidRPr="00D05272">
        <w:t xml:space="preserve"> 2019 Jul;35(7):1139-1148</w:t>
      </w:r>
    </w:p>
  </w:footnote>
  <w:footnote w:id="50">
    <w:p w14:paraId="1C7F5B9C" w14:textId="4F02BC4D" w:rsidR="00DD6D4D" w:rsidRPr="00386295" w:rsidRDefault="00DD6D4D">
      <w:pPr>
        <w:pStyle w:val="FootnoteText"/>
        <w:rPr>
          <w:lang w:val="en-GB"/>
        </w:rPr>
      </w:pPr>
      <w:r>
        <w:rPr>
          <w:rStyle w:val="FootnoteReference"/>
        </w:rPr>
        <w:footnoteRef/>
      </w:r>
      <w:r>
        <w:t xml:space="preserve"> United States Food and Drug Administration: </w:t>
      </w:r>
      <w:r w:rsidRPr="00386295">
        <w:t>Guidance for industry: patient-reported outcome measures: use in medical product development to support labeling claims: draft guidance. Health</w:t>
      </w:r>
      <w:r>
        <w:t xml:space="preserve"> Qual Life Outcomes. 2006;4:79.</w:t>
      </w:r>
    </w:p>
  </w:footnote>
  <w:footnote w:id="51">
    <w:p w14:paraId="7D8F7CFF" w14:textId="261C4E2A" w:rsidR="00DD6D4D" w:rsidRPr="000D0402" w:rsidRDefault="00DD6D4D" w:rsidP="000D0402">
      <w:pPr>
        <w:pStyle w:val="FootnoteText"/>
      </w:pPr>
      <w:r>
        <w:rPr>
          <w:rStyle w:val="FootnoteReference"/>
        </w:rPr>
        <w:footnoteRef/>
      </w:r>
      <w:r>
        <w:t xml:space="preserve"> European Medicines Agency: Reflection paper on the regulatory guidance for the use of healthrelated quality of life (HRQL) measures in the evaluation of medicinal products. EMEA/CHMP/EWP/139391/2004. London, UK. 2005.</w:t>
      </w:r>
    </w:p>
  </w:footnote>
  <w:footnote w:id="52">
    <w:p w14:paraId="55F35A0F" w14:textId="14FC1D74" w:rsidR="00DD6D4D" w:rsidRPr="00323CBE" w:rsidRDefault="00DD6D4D">
      <w:pPr>
        <w:pStyle w:val="FootnoteText"/>
        <w:rPr>
          <w:lang w:val="en-GB"/>
        </w:rPr>
      </w:pPr>
      <w:r>
        <w:rPr>
          <w:rStyle w:val="FootnoteReference"/>
        </w:rPr>
        <w:footnoteRef/>
      </w:r>
      <w:r>
        <w:t xml:space="preserve"> </w:t>
      </w:r>
      <w:r w:rsidRPr="00323CBE">
        <w:t xml:space="preserve">Finlay, A. Y. and Khan, G. K. 1994. Dermatology Life Quality Index (DLQI)--a simple practical measure for routine clinical use. </w:t>
      </w:r>
      <w:r w:rsidRPr="00323CBE">
        <w:rPr>
          <w:i/>
        </w:rPr>
        <w:t>Clinical and Experimental Dermatology</w:t>
      </w:r>
      <w:r w:rsidRPr="00323CBE">
        <w:t xml:space="preserve"> 19 (3), pp.210-216.</w:t>
      </w:r>
    </w:p>
  </w:footnote>
  <w:footnote w:id="53">
    <w:p w14:paraId="30D7229C" w14:textId="2FCAF70E" w:rsidR="00DD6D4D" w:rsidRPr="00083F66" w:rsidRDefault="00DD6D4D">
      <w:pPr>
        <w:pStyle w:val="FootnoteText"/>
        <w:rPr>
          <w:lang w:val="en-GB"/>
        </w:rPr>
      </w:pPr>
      <w:r>
        <w:rPr>
          <w:rStyle w:val="FootnoteReference"/>
        </w:rPr>
        <w:footnoteRef/>
      </w:r>
      <w:r>
        <w:t xml:space="preserve"> </w:t>
      </w:r>
      <w:r w:rsidRPr="00083F66">
        <w:t xml:space="preserve">Lewis-Jones MS, Finlay AY. The Children’s Dermatology Life Quality Index (CDLQI): Initial validation and practical use. </w:t>
      </w:r>
      <w:r w:rsidRPr="00083F66">
        <w:rPr>
          <w:i/>
        </w:rPr>
        <w:t>British Journal of Dermatology,</w:t>
      </w:r>
      <w:r w:rsidRPr="00083F66">
        <w:t xml:space="preserve"> 1995; 132: 942-949.</w:t>
      </w:r>
    </w:p>
  </w:footnote>
  <w:footnote w:id="54">
    <w:p w14:paraId="186C87D4" w14:textId="694DED81" w:rsidR="00DD6D4D" w:rsidRPr="0099417E" w:rsidRDefault="00DD6D4D">
      <w:pPr>
        <w:pStyle w:val="FootnoteText"/>
        <w:rPr>
          <w:lang w:val="en-GB"/>
        </w:rPr>
      </w:pPr>
      <w:r>
        <w:rPr>
          <w:rStyle w:val="FootnoteReference"/>
        </w:rPr>
        <w:footnoteRef/>
      </w:r>
      <w:r>
        <w:t xml:space="preserve"> </w:t>
      </w:r>
      <w:r w:rsidRPr="0099417E">
        <w:t xml:space="preserve">Basra, M. et al., 2015. Determining the minimal clinically important difference and responsiveness of the Dermatology Life Quality Index (DLQI): further data. </w:t>
      </w:r>
      <w:r w:rsidRPr="00083F66">
        <w:rPr>
          <w:i/>
        </w:rPr>
        <w:t>Dermatology</w:t>
      </w:r>
      <w:r w:rsidRPr="0099417E">
        <w:t xml:space="preserve"> 230 (1), pp.27-33.</w:t>
      </w:r>
    </w:p>
  </w:footnote>
  <w:footnote w:id="55">
    <w:p w14:paraId="2E023EBD" w14:textId="1C394FB9" w:rsidR="00DD6D4D" w:rsidRPr="00083F66" w:rsidRDefault="00DD6D4D">
      <w:pPr>
        <w:pStyle w:val="FootnoteText"/>
        <w:rPr>
          <w:lang w:val="en-GB"/>
        </w:rPr>
      </w:pPr>
      <w:r>
        <w:rPr>
          <w:rStyle w:val="FootnoteReference"/>
        </w:rPr>
        <w:footnoteRef/>
      </w:r>
      <w:r>
        <w:t xml:space="preserve"> </w:t>
      </w:r>
      <w:r w:rsidRPr="00083F66">
        <w:t>Olsen JR, Gallacher J, Finlay AY, Piguet V, Francis NA. Quality of life impact of childhood skin conditions measured using the Children's Dermatology Life Quality Inde</w:t>
      </w:r>
      <w:r>
        <w:t xml:space="preserve">x (CDLQI): a meta-analysis. </w:t>
      </w:r>
      <w:r w:rsidRPr="00083F66">
        <w:rPr>
          <w:i/>
        </w:rPr>
        <w:t>British Journal of Dermatology</w:t>
      </w:r>
      <w:r w:rsidRPr="00083F66">
        <w:t>. 2016 Apr;174(4):853-861.</w:t>
      </w:r>
    </w:p>
  </w:footnote>
  <w:footnote w:id="56">
    <w:p w14:paraId="14E8AFC0" w14:textId="75C6DA42" w:rsidR="00DD6D4D" w:rsidRPr="00061158" w:rsidRDefault="00DD6D4D">
      <w:pPr>
        <w:pStyle w:val="FootnoteText"/>
        <w:rPr>
          <w:lang w:val="en-GB"/>
        </w:rPr>
      </w:pPr>
      <w:r>
        <w:rPr>
          <w:rStyle w:val="FootnoteReference"/>
        </w:rPr>
        <w:footnoteRef/>
      </w:r>
      <w:r>
        <w:t xml:space="preserve"> </w:t>
      </w:r>
      <w:r w:rsidRPr="00061158">
        <w:t xml:space="preserve">Bjelland I, Dahl AA, Haug TT, Neckelmann D. The validity of the Hospital Anxiety and Depression Scale. An updated literature review. </w:t>
      </w:r>
      <w:r w:rsidRPr="00061158">
        <w:rPr>
          <w:i/>
        </w:rPr>
        <w:t>J Psychosom Res.</w:t>
      </w:r>
      <w:r w:rsidRPr="00061158">
        <w:t xml:space="preserve"> 2002;52(2):69-77.</w:t>
      </w:r>
    </w:p>
  </w:footnote>
  <w:footnote w:id="57">
    <w:p w14:paraId="492D9504" w14:textId="2CDBF706" w:rsidR="00DD6D4D" w:rsidRPr="00F96C79" w:rsidRDefault="00DD6D4D">
      <w:pPr>
        <w:pStyle w:val="FootnoteText"/>
        <w:rPr>
          <w:lang w:val="en-GB"/>
        </w:rPr>
      </w:pPr>
      <w:r>
        <w:rPr>
          <w:rStyle w:val="FootnoteReference"/>
        </w:rPr>
        <w:footnoteRef/>
      </w:r>
      <w:r>
        <w:t xml:space="preserve"> </w:t>
      </w:r>
      <w:r w:rsidRPr="00F96C79">
        <w:t xml:space="preserve">Zigmond AS, Snaith RP. The Hospital Anxiety and Depression Scale. </w:t>
      </w:r>
      <w:r w:rsidRPr="00F96C79">
        <w:rPr>
          <w:i/>
        </w:rPr>
        <w:t>Acta Psychiatr Scand</w:t>
      </w:r>
      <w:r w:rsidRPr="00F96C79">
        <w:t xml:space="preserve"> 1983;67:361-370</w:t>
      </w:r>
    </w:p>
  </w:footnote>
  <w:footnote w:id="58">
    <w:p w14:paraId="56CA7433" w14:textId="43D0E05F" w:rsidR="00DD6D4D" w:rsidRPr="00440390" w:rsidRDefault="00DD6D4D" w:rsidP="00440390">
      <w:pPr>
        <w:pStyle w:val="FootnoteText"/>
      </w:pPr>
      <w:r>
        <w:rPr>
          <w:rStyle w:val="FootnoteReference"/>
        </w:rPr>
        <w:footnoteRef/>
      </w:r>
      <w:r>
        <w:t xml:space="preserve"> SOLO 1 trial: </w:t>
      </w:r>
      <w:r w:rsidRPr="00440390">
        <w:t xml:space="preserve">A Phase </w:t>
      </w:r>
      <w:r>
        <w:t>III</w:t>
      </w:r>
      <w:r w:rsidRPr="00440390">
        <w:t xml:space="preserve"> confirmatory study investigating the efficacy and safety of dupilumab monotherapy administered to adult patients with moderate-to-severe atopic dermatitis</w:t>
      </w:r>
      <w:r>
        <w:t>. ClinicalTrials.gov Identifier: NCT02277743.</w:t>
      </w:r>
    </w:p>
  </w:footnote>
  <w:footnote w:id="59">
    <w:p w14:paraId="017E30CD" w14:textId="42DF7710" w:rsidR="00DD6D4D" w:rsidRPr="00440390" w:rsidRDefault="00DD6D4D">
      <w:pPr>
        <w:pStyle w:val="FootnoteText"/>
        <w:rPr>
          <w:lang w:val="en-GB"/>
        </w:rPr>
      </w:pPr>
      <w:r>
        <w:rPr>
          <w:rStyle w:val="FootnoteReference"/>
        </w:rPr>
        <w:footnoteRef/>
      </w:r>
      <w:r>
        <w:t xml:space="preserve"> </w:t>
      </w:r>
      <w:r>
        <w:rPr>
          <w:lang w:val="en-GB"/>
        </w:rPr>
        <w:t>SOLO 2 trial: A Phase III</w:t>
      </w:r>
      <w:r w:rsidRPr="00440390">
        <w:rPr>
          <w:lang w:val="en-GB"/>
        </w:rPr>
        <w:t xml:space="preserve"> confirmatory study investigating the efficacy and safety of dupilumab monotherapy administered to adult patients with moderate-to-severe atopic dermatitis</w:t>
      </w:r>
      <w:r>
        <w:rPr>
          <w:lang w:val="en-GB"/>
        </w:rPr>
        <w:t>.</w:t>
      </w:r>
      <w:r w:rsidRPr="00440390">
        <w:t xml:space="preserve"> </w:t>
      </w:r>
      <w:r w:rsidRPr="00440390">
        <w:rPr>
          <w:lang w:val="en-GB"/>
        </w:rPr>
        <w:t>ClinicalTrials.gov Identifier: NCT02277769</w:t>
      </w:r>
      <w:r>
        <w:rPr>
          <w:lang w:val="en-GB"/>
        </w:rPr>
        <w:t>.</w:t>
      </w:r>
    </w:p>
  </w:footnote>
  <w:footnote w:id="60">
    <w:p w14:paraId="0C21B1E8" w14:textId="2A7BF4DC" w:rsidR="00DD6D4D" w:rsidRPr="00B300E5" w:rsidRDefault="00DD6D4D">
      <w:pPr>
        <w:pStyle w:val="FootnoteText"/>
        <w:rPr>
          <w:lang w:val="en-GB"/>
        </w:rPr>
      </w:pPr>
      <w:r>
        <w:rPr>
          <w:rStyle w:val="FootnoteReference"/>
        </w:rPr>
        <w:footnoteRef/>
      </w:r>
      <w:r>
        <w:t xml:space="preserve"> </w:t>
      </w:r>
      <w:r w:rsidRPr="00B300E5">
        <w:t xml:space="preserve">An </w:t>
      </w:r>
      <w:r w:rsidRPr="00B300E5">
        <w:rPr>
          <w:b/>
        </w:rPr>
        <w:t>electronic patient-reported outcome</w:t>
      </w:r>
      <w:r>
        <w:t xml:space="preserve"> </w:t>
      </w:r>
      <w:r w:rsidRPr="00B300E5">
        <w:t>(</w:t>
      </w:r>
      <w:r w:rsidRPr="00B300E5">
        <w:rPr>
          <w:b/>
        </w:rPr>
        <w:t>ePRO</w:t>
      </w:r>
      <w:r w:rsidRPr="00B300E5">
        <w:t xml:space="preserve">) is </w:t>
      </w:r>
      <w:r>
        <w:t xml:space="preserve">a wearable or </w:t>
      </w:r>
      <w:r w:rsidRPr="00B300E5">
        <w:t xml:space="preserve">hand-held device </w:t>
      </w:r>
      <w:r>
        <w:t xml:space="preserve">that can be used to collect or </w:t>
      </w:r>
      <w:r w:rsidRPr="00B300E5">
        <w:t>record events</w:t>
      </w:r>
      <w:r>
        <w:t xml:space="preserve"> from a patient,</w:t>
      </w:r>
      <w:r w:rsidRPr="00B300E5">
        <w:t xml:space="preserve"> such as drug administration,</w:t>
      </w:r>
      <w:r>
        <w:t xml:space="preserve"> patient</w:t>
      </w:r>
      <w:r w:rsidRPr="00B300E5">
        <w:t xml:space="preserve"> </w:t>
      </w:r>
      <w:r>
        <w:t xml:space="preserve">satisfaction or wellbeing ratings, various self-rated scores or questionnaires, </w:t>
      </w:r>
      <w:r w:rsidRPr="00B300E5">
        <w:t>side effects or adverse events, with the information being uploaded electronically.</w:t>
      </w:r>
    </w:p>
  </w:footnote>
  <w:footnote w:id="61">
    <w:p w14:paraId="626E3018" w14:textId="77777777" w:rsidR="00DD6D4D" w:rsidRPr="00E7488C" w:rsidRDefault="00DD6D4D" w:rsidP="00E7488C">
      <w:pPr>
        <w:pStyle w:val="FootnoteText"/>
        <w:rPr>
          <w:lang w:val="en-GB"/>
        </w:rPr>
      </w:pPr>
      <w:r>
        <w:rPr>
          <w:rStyle w:val="FootnoteReference"/>
        </w:rPr>
        <w:footnoteRef/>
      </w:r>
      <w:r>
        <w:t xml:space="preserve"> </w:t>
      </w:r>
      <w:r>
        <w:rPr>
          <w:lang w:val="en-GB"/>
        </w:rPr>
        <w:t xml:space="preserve">CHRONOS studies: </w:t>
      </w:r>
      <w:r w:rsidRPr="00E7488C">
        <w:rPr>
          <w:lang w:val="en-GB"/>
        </w:rPr>
        <w:t>A randomized, double-blind, placebo-controlled study to demonstrate the efficacy and long-term safety of dupilumab in adult patients with moderate-to-severe atopic dermatitis</w:t>
      </w:r>
      <w:r>
        <w:rPr>
          <w:lang w:val="en-GB"/>
        </w:rPr>
        <w:t xml:space="preserve">; </w:t>
      </w:r>
    </w:p>
    <w:p w14:paraId="44376188" w14:textId="6BF54DB6" w:rsidR="00DD6D4D" w:rsidRPr="00E7488C" w:rsidRDefault="00DD6D4D" w:rsidP="00E7488C">
      <w:pPr>
        <w:pStyle w:val="FootnoteText"/>
        <w:rPr>
          <w:lang w:val="en-GB"/>
        </w:rPr>
      </w:pPr>
      <w:r w:rsidRPr="00E7488C">
        <w:rPr>
          <w:lang w:val="en-GB"/>
        </w:rPr>
        <w:t>ClinicalTrials.gov Identifier:</w:t>
      </w:r>
      <w:r>
        <w:rPr>
          <w:lang w:val="en-GB"/>
        </w:rPr>
        <w:t xml:space="preserve"> </w:t>
      </w:r>
      <w:r w:rsidRPr="00E7488C">
        <w:rPr>
          <w:lang w:val="en-GB"/>
        </w:rPr>
        <w:t>NCT02260986</w:t>
      </w:r>
      <w:r>
        <w:rPr>
          <w:lang w:val="en-GB"/>
        </w:rPr>
        <w:t>.</w:t>
      </w:r>
    </w:p>
  </w:footnote>
  <w:footnote w:id="62">
    <w:p w14:paraId="6571FF43" w14:textId="64E8139D" w:rsidR="00DD6D4D" w:rsidRPr="00362371" w:rsidRDefault="00DD6D4D">
      <w:pPr>
        <w:pStyle w:val="FootnoteText"/>
        <w:rPr>
          <w:lang w:val="en-GB"/>
        </w:rPr>
      </w:pPr>
      <w:r>
        <w:rPr>
          <w:rStyle w:val="FootnoteReference"/>
        </w:rPr>
        <w:footnoteRef/>
      </w:r>
      <w:r>
        <w:t xml:space="preserve"> </w:t>
      </w:r>
      <w:r>
        <w:rPr>
          <w:lang w:val="en-GB"/>
        </w:rPr>
        <w:t xml:space="preserve">The Emax model is </w:t>
      </w:r>
      <w:r w:rsidRPr="00CA216E">
        <w:rPr>
          <w:lang w:val="en-GB"/>
        </w:rPr>
        <w:t>a nonlinear model frequently used in dose–response analyses</w:t>
      </w:r>
      <w:r>
        <w:rPr>
          <w:lang w:val="en-GB"/>
        </w:rPr>
        <w:t>.</w:t>
      </w:r>
    </w:p>
  </w:footnote>
  <w:footnote w:id="63">
    <w:p w14:paraId="6BC57318" w14:textId="6C0A0D63" w:rsidR="00DD6D4D" w:rsidRPr="00027F82" w:rsidRDefault="00DD6D4D">
      <w:pPr>
        <w:pStyle w:val="FootnoteText"/>
        <w:rPr>
          <w:lang w:val="en-GB"/>
        </w:rPr>
      </w:pPr>
      <w:r>
        <w:rPr>
          <w:rStyle w:val="FootnoteReference"/>
        </w:rPr>
        <w:footnoteRef/>
      </w:r>
      <w:r>
        <w:t xml:space="preserve"> </w:t>
      </w:r>
      <w:r w:rsidRPr="00027F82">
        <w:t xml:space="preserve">Bretz F, Pinheiro JC, Branson M. Combining multiple comparisons and modeling techniques in dose-response studies. </w:t>
      </w:r>
      <w:r w:rsidRPr="00027F82">
        <w:rPr>
          <w:i/>
        </w:rPr>
        <w:t>Biometrics.</w:t>
      </w:r>
      <w:r w:rsidRPr="00027F82">
        <w:t xml:space="preserve"> 2005;61(3):738-748.</w:t>
      </w:r>
    </w:p>
  </w:footnote>
  <w:footnote w:id="64">
    <w:p w14:paraId="316CD6D4" w14:textId="6A8B7273" w:rsidR="00DD6D4D" w:rsidRPr="00766A38" w:rsidRDefault="00DD6D4D">
      <w:pPr>
        <w:pStyle w:val="FootnoteText"/>
        <w:rPr>
          <w:lang w:val="en-GB"/>
        </w:rPr>
      </w:pPr>
      <w:r>
        <w:rPr>
          <w:rStyle w:val="FootnoteReference"/>
        </w:rPr>
        <w:footnoteRef/>
      </w:r>
      <w:r>
        <w:t xml:space="preserve"> </w:t>
      </w:r>
      <w:r w:rsidRPr="00766A38">
        <w:t xml:space="preserve">Leshem YA, Chalmers JR, Apfelbacher C, et al. Measuring atopic eczema symptoms in clinical practice: The first consensus statement from the Harmonising Outcome Measures for Eczema in clinical practice initiative. </w:t>
      </w:r>
      <w:r w:rsidRPr="00766A38">
        <w:rPr>
          <w:i/>
        </w:rPr>
        <w:t xml:space="preserve">J Am Acad Dermatol. </w:t>
      </w:r>
      <w:r w:rsidRPr="00766A38">
        <w:t>2020;82(5):1181-1186.</w:t>
      </w:r>
    </w:p>
  </w:footnote>
  <w:footnote w:id="65">
    <w:p w14:paraId="4ED33E80" w14:textId="34EC7D07" w:rsidR="00DD6D4D" w:rsidRPr="0035051D" w:rsidRDefault="00DD6D4D">
      <w:pPr>
        <w:pStyle w:val="FootnoteText"/>
        <w:rPr>
          <w:lang w:val="en-GB"/>
        </w:rPr>
      </w:pPr>
      <w:r>
        <w:rPr>
          <w:rStyle w:val="FootnoteReference"/>
        </w:rPr>
        <w:footnoteRef/>
      </w:r>
      <w:r>
        <w:t xml:space="preserve"> </w:t>
      </w:r>
      <w:r w:rsidRPr="0035051D">
        <w:t>Barrett A, Hahn-Pedersen J, Kragh N, Evans E, Gnanasakthy A. Patient-Reported Outcome Measures in Atopic Dermatitis and Chronic Hand Eczema in Adults. Patient. 2019;12(5):445-459.</w:t>
      </w:r>
    </w:p>
  </w:footnote>
  <w:footnote w:id="66">
    <w:p w14:paraId="422C7187" w14:textId="33D46854" w:rsidR="00DD6D4D" w:rsidRPr="00C45A15" w:rsidRDefault="00DD6D4D">
      <w:pPr>
        <w:pStyle w:val="FootnoteText"/>
        <w:rPr>
          <w:lang w:val="en-GB"/>
        </w:rPr>
      </w:pPr>
      <w:r>
        <w:rPr>
          <w:rStyle w:val="FootnoteReference"/>
        </w:rPr>
        <w:footnoteRef/>
      </w:r>
      <w:r>
        <w:t xml:space="preserve"> </w:t>
      </w:r>
      <w:r w:rsidRPr="00C45A15">
        <w:t xml:space="preserve">The </w:t>
      </w:r>
      <w:r w:rsidRPr="008B1EE9">
        <w:rPr>
          <w:b/>
        </w:rPr>
        <w:t>Medical Dictionary for Regulatory Activities (MedDRA)</w:t>
      </w:r>
      <w:r>
        <w:t xml:space="preserve"> </w:t>
      </w:r>
      <w:r w:rsidRPr="00C45A15">
        <w:t>is an internationally used set of terms relating to medical conditions, medicines and medical devices.</w:t>
      </w:r>
      <w:r>
        <w:t xml:space="preserve"> </w:t>
      </w:r>
      <w:r w:rsidRPr="00C45A15">
        <w:t>It was created to assist regulators with sharing information. It is also used by industry, academics, health professionals and other organisations that communicate medical information</w:t>
      </w:r>
      <w:r>
        <w:t>.</w:t>
      </w:r>
    </w:p>
  </w:footnote>
  <w:footnote w:id="67">
    <w:p w14:paraId="113E1734" w14:textId="6E42973D" w:rsidR="00DD6D4D" w:rsidRPr="008B1EE9" w:rsidRDefault="00DD6D4D">
      <w:pPr>
        <w:pStyle w:val="FootnoteText"/>
        <w:rPr>
          <w:lang w:val="en-GB"/>
        </w:rPr>
      </w:pPr>
      <w:r>
        <w:rPr>
          <w:rStyle w:val="FootnoteReference"/>
        </w:rPr>
        <w:footnoteRef/>
      </w:r>
      <w:r>
        <w:t xml:space="preserve"> </w:t>
      </w:r>
      <w:r w:rsidRPr="008B1EE9">
        <w:rPr>
          <w:b/>
        </w:rPr>
        <w:t>Hy’s Law</w:t>
      </w:r>
      <w:r>
        <w:t>: Evidence of hepatocellular injury with a rise in alanine aminotransferase (ALT) and/or aspartate aminotransferase (AST) &gt; 3 x the upper limit of normal (ULN) and total bilirubin &gt; 2 x ULN, and no other reason to explain rise in aminotransferases and total bilirubin. Hy's law is a rule of thumb that a patient is at high risk of a fatal drug-induced liver injury if given a medication that causes hepatocellular injury with jaundice.</w:t>
      </w:r>
    </w:p>
  </w:footnote>
  <w:footnote w:id="68">
    <w:p w14:paraId="7745DA1F" w14:textId="33956D76" w:rsidR="00DD6D4D" w:rsidRPr="0061307F" w:rsidRDefault="00DD6D4D" w:rsidP="0061307F">
      <w:pPr>
        <w:pStyle w:val="FootnoteText"/>
        <w:rPr>
          <w:lang w:val="en-GB"/>
        </w:rPr>
      </w:pPr>
      <w:r>
        <w:rPr>
          <w:rStyle w:val="FootnoteReference"/>
        </w:rPr>
        <w:footnoteRef/>
      </w:r>
      <w:r>
        <w:t xml:space="preserve"> </w:t>
      </w:r>
      <w:r>
        <w:rPr>
          <w:lang w:val="en-GB"/>
        </w:rPr>
        <w:t xml:space="preserve">AusPAR for Rinvoq (upadacitinib) AbbVie Australia Pty Ltd; submission </w:t>
      </w:r>
      <w:r>
        <w:t>PM-2018-05603-1-3</w:t>
      </w:r>
      <w:r>
        <w:rPr>
          <w:lang w:val="en-GB"/>
        </w:rPr>
        <w:t xml:space="preserve">. Published online April 2020; available at: </w:t>
      </w:r>
      <w:hyperlink r:id="rId4" w:history="1">
        <w:r>
          <w:rPr>
            <w:rStyle w:val="Hyperlink"/>
          </w:rPr>
          <w:t>AusPAR: upadacitinib | Therapeutic Goods Administration (TGA)</w:t>
        </w:r>
      </w:hyperlink>
    </w:p>
  </w:footnote>
  <w:footnote w:id="69">
    <w:p w14:paraId="26C4EC03" w14:textId="06950829" w:rsidR="00DD6D4D" w:rsidRPr="0061307F" w:rsidRDefault="00DD6D4D">
      <w:pPr>
        <w:pStyle w:val="FootnoteText"/>
        <w:rPr>
          <w:lang w:val="en-GB"/>
        </w:rPr>
      </w:pPr>
      <w:r>
        <w:rPr>
          <w:rStyle w:val="FootnoteReference"/>
        </w:rPr>
        <w:footnoteRef/>
      </w:r>
      <w:r>
        <w:t xml:space="preserve"> </w:t>
      </w:r>
      <w:r>
        <w:rPr>
          <w:lang w:val="en-GB"/>
        </w:rPr>
        <w:t xml:space="preserve">AusPAR for Rinvoq (upadacitinib) AbbVie Australia Pty Ltd; submission </w:t>
      </w:r>
      <w:r>
        <w:t>PM-2020-02479-1-3</w:t>
      </w:r>
      <w:r>
        <w:rPr>
          <w:lang w:val="en-GB"/>
        </w:rPr>
        <w:t xml:space="preserve">. Published online August 2021; available at: </w:t>
      </w:r>
      <w:hyperlink r:id="rId5" w:history="1">
        <w:r>
          <w:rPr>
            <w:rStyle w:val="Hyperlink"/>
          </w:rPr>
          <w:t>AusPAR: upadacitinib | Therapeutic Goods Administration (TGA)</w:t>
        </w:r>
      </w:hyperlink>
      <w:r>
        <w:t>.</w:t>
      </w:r>
    </w:p>
  </w:footnote>
  <w:footnote w:id="70">
    <w:p w14:paraId="4F1D4145" w14:textId="6834B714" w:rsidR="00DD6D4D" w:rsidRPr="00AD420F" w:rsidRDefault="00DD6D4D" w:rsidP="00AD420F">
      <w:pPr>
        <w:pStyle w:val="FootnoteText"/>
      </w:pPr>
      <w:r>
        <w:rPr>
          <w:rStyle w:val="FootnoteReference"/>
        </w:rPr>
        <w:footnoteRef/>
      </w:r>
      <w:r>
        <w:t xml:space="preserve"> </w:t>
      </w:r>
      <w:r w:rsidRPr="00AD420F">
        <w:t>Committee for Clinical Practice Guidelines for the Management of Atopic Dermatitis 2018, The Japanese Society of Allergology, The Japanese Dermatology Association</w:t>
      </w:r>
      <w:r>
        <w:t xml:space="preserve">: Japanese guidelines for atopic dermatitis 2020, </w:t>
      </w:r>
      <w:r w:rsidRPr="00AD420F">
        <w:rPr>
          <w:i/>
        </w:rPr>
        <w:t>Allergology International</w:t>
      </w:r>
      <w:r>
        <w:t>, Volume 69, Issue 3, 2020.</w:t>
      </w:r>
    </w:p>
  </w:footnote>
  <w:footnote w:id="71">
    <w:p w14:paraId="75A8FE60" w14:textId="12104261" w:rsidR="00DD6D4D" w:rsidRPr="00AD420F" w:rsidRDefault="00DD6D4D" w:rsidP="00AD420F">
      <w:pPr>
        <w:pStyle w:val="FootnoteText"/>
      </w:pPr>
      <w:r>
        <w:rPr>
          <w:rStyle w:val="FootnoteReference"/>
        </w:rPr>
        <w:footnoteRef/>
      </w:r>
      <w:r>
        <w:t xml:space="preserve"> </w:t>
      </w:r>
      <w:r w:rsidRPr="00AD420F">
        <w:t>Committee for Clinical Practice Guidelines for the Management of Atopic Dermatitis 2018, The Japanese Society of Allergology, The Japanese Dermatology Association</w:t>
      </w:r>
      <w:r>
        <w:t xml:space="preserve">: Executive summary: Japanese guidelines for atopic dermatitis (ADGL) 2021, </w:t>
      </w:r>
      <w:r w:rsidRPr="00AD420F">
        <w:rPr>
          <w:i/>
        </w:rPr>
        <w:t>Allergology International</w:t>
      </w:r>
      <w:r>
        <w:t>, Volume 71, Issue 4, 2022.</w:t>
      </w:r>
    </w:p>
  </w:footnote>
  <w:footnote w:id="72">
    <w:p w14:paraId="3B28C3F9" w14:textId="2A0EDD40" w:rsidR="00DD6D4D" w:rsidRPr="00927332" w:rsidRDefault="00DD6D4D">
      <w:pPr>
        <w:pStyle w:val="FootnoteText"/>
        <w:rPr>
          <w:lang w:val="en-GB"/>
        </w:rPr>
      </w:pPr>
      <w:r>
        <w:rPr>
          <w:rStyle w:val="FootnoteReference"/>
        </w:rPr>
        <w:footnoteRef/>
      </w:r>
      <w:r>
        <w:t xml:space="preserve"> </w:t>
      </w:r>
      <w:r>
        <w:rPr>
          <w:lang w:val="en-GB"/>
        </w:rPr>
        <w:t xml:space="preserve">AusPAR for Dupixent (dupilumab) Sanofi-Aventis Australia Ltd; submission </w:t>
      </w:r>
      <w:r w:rsidRPr="005B2519">
        <w:rPr>
          <w:lang w:val="en-GB"/>
        </w:rPr>
        <w:t>PM-2020-03043-1-5</w:t>
      </w:r>
      <w:r>
        <w:rPr>
          <w:lang w:val="en-GB"/>
        </w:rPr>
        <w:t>. Published online May 2022;</w:t>
      </w:r>
      <w:r w:rsidRPr="005B2519">
        <w:rPr>
          <w:lang w:val="en-GB"/>
        </w:rPr>
        <w:t xml:space="preserve"> </w:t>
      </w:r>
      <w:r>
        <w:rPr>
          <w:lang w:val="en-GB"/>
        </w:rPr>
        <w:t xml:space="preserve">available at: </w:t>
      </w:r>
      <w:hyperlink r:id="rId6" w:history="1">
        <w:r>
          <w:rPr>
            <w:rStyle w:val="Hyperlink"/>
          </w:rPr>
          <w:t>AusPAR: Dupilumab | Therapeutic Goods Administration (TGA)</w:t>
        </w:r>
      </w:hyperlink>
    </w:p>
  </w:footnote>
  <w:footnote w:id="73">
    <w:p w14:paraId="7A04A497" w14:textId="1E66BA87" w:rsidR="00DD6D4D" w:rsidRPr="00EA2F8D" w:rsidRDefault="00DD6D4D">
      <w:pPr>
        <w:pStyle w:val="FootnoteText"/>
        <w:rPr>
          <w:lang w:val="en-GB"/>
        </w:rPr>
      </w:pPr>
      <w:r>
        <w:rPr>
          <w:rStyle w:val="FootnoteReference"/>
        </w:rPr>
        <w:footnoteRef/>
      </w:r>
      <w:r>
        <w:t xml:space="preserve"> </w:t>
      </w:r>
      <w:r>
        <w:rPr>
          <w:lang w:val="en-GB"/>
        </w:rPr>
        <w:t xml:space="preserve">AusPAR for Rinvoq (upadacitinib) AbbVie Australia Pty Ltd; submission </w:t>
      </w:r>
      <w:r>
        <w:t>PM-2020-02479-1-3</w:t>
      </w:r>
      <w:r>
        <w:rPr>
          <w:lang w:val="en-GB"/>
        </w:rPr>
        <w:t xml:space="preserve">. Published online August 2021; available at: </w:t>
      </w:r>
      <w:hyperlink r:id="rId7" w:history="1">
        <w:r>
          <w:rPr>
            <w:rStyle w:val="Hyperlink"/>
          </w:rPr>
          <w:t>AusPAR: upadacitinib | Therapeutic Goods Administration (TGA)</w:t>
        </w:r>
      </w:hyperlink>
    </w:p>
  </w:footnote>
  <w:footnote w:id="74">
    <w:p w14:paraId="541CFE51" w14:textId="694C6DEF" w:rsidR="00DD6D4D" w:rsidRPr="005B2519" w:rsidRDefault="00DD6D4D">
      <w:pPr>
        <w:pStyle w:val="FootnoteText"/>
        <w:rPr>
          <w:lang w:val="en-GB"/>
        </w:rPr>
      </w:pPr>
      <w:r>
        <w:rPr>
          <w:rStyle w:val="FootnoteReference"/>
        </w:rPr>
        <w:footnoteRef/>
      </w:r>
      <w:r>
        <w:t xml:space="preserve"> </w:t>
      </w:r>
      <w:r>
        <w:rPr>
          <w:lang w:val="en-GB"/>
        </w:rPr>
        <w:t xml:space="preserve">AusPAR for Dupixent (dupilumab) Sanofi-Aventis Australia Ltd; submission </w:t>
      </w:r>
      <w:r w:rsidRPr="005B2519">
        <w:rPr>
          <w:lang w:val="en-GB"/>
        </w:rPr>
        <w:t>PM-2020-03043-1-5</w:t>
      </w:r>
      <w:r>
        <w:rPr>
          <w:lang w:val="en-GB"/>
        </w:rPr>
        <w:t>. Published online May 2022;</w:t>
      </w:r>
      <w:r w:rsidRPr="005B2519">
        <w:rPr>
          <w:lang w:val="en-GB"/>
        </w:rPr>
        <w:t xml:space="preserve"> </w:t>
      </w:r>
      <w:r>
        <w:rPr>
          <w:lang w:val="en-GB"/>
        </w:rPr>
        <w:t xml:space="preserve">available at: </w:t>
      </w:r>
      <w:hyperlink r:id="rId8" w:history="1">
        <w:r>
          <w:rPr>
            <w:rStyle w:val="Hyperlink"/>
          </w:rPr>
          <w:t>AusPAR: Dupilumab | Therapeutic Goods Administration (TGA)</w:t>
        </w:r>
      </w:hyperlink>
    </w:p>
  </w:footnote>
  <w:footnote w:id="75">
    <w:p w14:paraId="4DA85C73" w14:textId="660E9845" w:rsidR="00DD6D4D" w:rsidRPr="0065362E" w:rsidRDefault="00DD6D4D">
      <w:pPr>
        <w:pStyle w:val="FootnoteText"/>
        <w:rPr>
          <w:lang w:val="en-GB"/>
        </w:rPr>
      </w:pPr>
      <w:r>
        <w:rPr>
          <w:rStyle w:val="FootnoteReference"/>
        </w:rPr>
        <w:footnoteRef/>
      </w:r>
      <w:r>
        <w:t xml:space="preserve"> </w:t>
      </w:r>
      <w:r>
        <w:rPr>
          <w:lang w:val="en-GB"/>
        </w:rPr>
        <w:t xml:space="preserve">AusPAR for Rinvoq (upadacitinib) AbbVie Australia Pty Ltd; submission </w:t>
      </w:r>
      <w:r>
        <w:t>PM-2018-05603-1-3</w:t>
      </w:r>
      <w:r>
        <w:rPr>
          <w:lang w:val="en-GB"/>
        </w:rPr>
        <w:t xml:space="preserve">. Published online April 2020; available at: </w:t>
      </w:r>
      <w:hyperlink r:id="rId9" w:history="1">
        <w:r>
          <w:rPr>
            <w:rStyle w:val="Hyperlink"/>
          </w:rPr>
          <w:t>AusPAR: upadacitinib | Therapeutic Goods Administration (TGA)</w:t>
        </w:r>
      </w:hyperlink>
    </w:p>
  </w:footnote>
  <w:footnote w:id="76">
    <w:p w14:paraId="591B9BCB" w14:textId="58F476FE" w:rsidR="00DD6D4D" w:rsidRPr="0065362E" w:rsidRDefault="00DD6D4D">
      <w:pPr>
        <w:pStyle w:val="FootnoteText"/>
        <w:rPr>
          <w:lang w:val="en-GB"/>
        </w:rPr>
      </w:pPr>
      <w:r>
        <w:rPr>
          <w:rStyle w:val="FootnoteReference"/>
        </w:rPr>
        <w:footnoteRef/>
      </w:r>
      <w:r>
        <w:t xml:space="preserve"> </w:t>
      </w:r>
      <w:r>
        <w:rPr>
          <w:lang w:val="en-GB"/>
        </w:rPr>
        <w:t xml:space="preserve">AusPAR for Rinvoq (upadacitinib) AbbVie Australia Pty Ltd; submission </w:t>
      </w:r>
      <w:r>
        <w:t>PM-2020-02479-1-3</w:t>
      </w:r>
      <w:r>
        <w:rPr>
          <w:lang w:val="en-GB"/>
        </w:rPr>
        <w:t xml:space="preserve">. Published online August 2021; available at: </w:t>
      </w:r>
      <w:hyperlink r:id="rId10" w:history="1">
        <w:r>
          <w:rPr>
            <w:rStyle w:val="Hyperlink"/>
          </w:rPr>
          <w:t>AusPAR: upadacitinib | Therapeutic Goods Administration (TGA)</w:t>
        </w:r>
      </w:hyperlink>
    </w:p>
  </w:footnote>
  <w:footnote w:id="77">
    <w:p w14:paraId="25B30CCF" w14:textId="367761C1" w:rsidR="00DD6D4D" w:rsidRDefault="00DD6D4D">
      <w:pPr>
        <w:pStyle w:val="FootnoteText"/>
        <w:rPr>
          <w:lang w:eastAsia="ja-JP"/>
        </w:rPr>
      </w:pPr>
      <w:r>
        <w:rPr>
          <w:rStyle w:val="FootnoteReference"/>
        </w:rPr>
        <w:footnoteRef/>
      </w:r>
      <w:r>
        <w:t xml:space="preserve"> </w:t>
      </w:r>
      <w:r>
        <w:rPr>
          <w:b/>
          <w:lang w:eastAsia="ja-JP"/>
        </w:rPr>
        <w:t>Cytochrome P450 (CYP) enzymes</w:t>
      </w:r>
      <w:r>
        <w:rPr>
          <w:lang w:eastAsia="ja-JP"/>
        </w:rPr>
        <w:t xml:space="preserve"> are the major enzymes involved in drug metabolism, accounting for large part of the total metabolism. Most drugs undergo deactivation by CYPs, either directly or by facilitated excretion from the body. Also, many substances are bioactivated by CYPs to form their active compounds.</w:t>
      </w:r>
    </w:p>
    <w:p w14:paraId="65B2D6D6" w14:textId="435E7A81" w:rsidR="00DD6D4D" w:rsidRPr="00AC5B37" w:rsidRDefault="00DD6D4D">
      <w:pPr>
        <w:pStyle w:val="FootnoteText"/>
        <w:rPr>
          <w:lang w:val="en-GB"/>
        </w:rPr>
      </w:pPr>
      <w:r>
        <w:rPr>
          <w:lang w:eastAsia="ja-JP"/>
        </w:rPr>
        <w:t>Many drugs may increase or decrease the activity of various CYP isozymes either by inducing the biosynthesis of an isozyme (enzyme induction) or by directly inhibiting the activity of the CYP (enzyme inhibition). This is a major source of adverse drug interactions, since changes in CYP enzyme activity may affect the metabolism and clearance of various drugs. Such drug interactions are especially important to take into account when using drugs of vital importance to the patient, drugs with important side-effects and drugs with small therapeutic windows, but any drug may be subject to an altered plasma concentration due to altered drug metabolism.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4B59B" w14:textId="77777777" w:rsidR="00DD6D4D" w:rsidRDefault="00DD6D4D" w:rsidP="00E45619">
    <w:pPr>
      <w:pStyle w:val="Header"/>
    </w:pPr>
    <w:r>
      <w:t>Therapeutic Goods Administration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44059" w14:textId="77777777" w:rsidR="00DD6D4D" w:rsidRDefault="00DD6D4D">
    <w:pPr>
      <w:rPr>
        <w:noProof/>
        <w:lang w:eastAsia="en-AU"/>
      </w:rPr>
    </w:pPr>
    <w:r w:rsidRPr="00347824">
      <w:rPr>
        <w:noProof/>
        <w:lang w:val="en-GB" w:eastAsia="en-GB"/>
      </w:rPr>
      <w:drawing>
        <wp:anchor distT="0" distB="0" distL="114300" distR="114300" simplePos="0" relativeHeight="251659264" behindDoc="1" locked="0" layoutInCell="1" allowOverlap="1" wp14:anchorId="1D526F9F" wp14:editId="7E90F97B">
          <wp:simplePos x="0" y="0"/>
          <wp:positionH relativeFrom="column">
            <wp:posOffset>-1089660</wp:posOffset>
          </wp:positionH>
          <wp:positionV relativeFrom="paragraph">
            <wp:posOffset>-585470</wp:posOffset>
          </wp:positionV>
          <wp:extent cx="7572375" cy="10706100"/>
          <wp:effectExtent l="19050" t="0" r="0" b="0"/>
          <wp:wrapNone/>
          <wp:docPr id="9"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27555C9E" w14:textId="6BE1ED06" w:rsidR="00DD6D4D" w:rsidRDefault="00DD6D4D" w:rsidP="00593AD1">
    <w:pPr>
      <w:pStyle w:val="HeaderNoLi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425F5" w14:textId="77777777" w:rsidR="00DD6D4D" w:rsidRDefault="00DD6D4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B0364" w14:textId="77777777" w:rsidR="00DD6D4D" w:rsidRDefault="00DD6D4D">
    <w:pPr>
      <w:pStyle w:val="Header"/>
    </w:pPr>
    <w:r>
      <w:t>Therapeutic Goods Administration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95520" w14:textId="77777777" w:rsidR="00DD6D4D" w:rsidRDefault="00DD6D4D">
    <w:pPr>
      <w:pStyle w:val="Header"/>
    </w:pPr>
    <w:r>
      <w:t>Therapeutic Goods Administration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B2216" w14:textId="77777777" w:rsidR="00DD6D4D" w:rsidRDefault="00DD6D4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D88DC" w14:textId="77777777" w:rsidR="00DD6D4D" w:rsidRDefault="00DD6D4D" w:rsidP="004C239D">
    <w:pPr>
      <w:pStyle w:val="HeaderNoLin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B7649" w14:textId="77777777" w:rsidR="00DD6D4D" w:rsidRDefault="00DD6D4D" w:rsidP="006E08B3">
    <w:r>
      <w:t>Therapeutic Goods Administration</w:t>
    </w:r>
  </w:p>
  <w:p w14:paraId="10F5C5F5" w14:textId="77777777" w:rsidR="00DD6D4D" w:rsidRDefault="00DD6D4D" w:rsidP="006D03E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A063F3E"/>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0E9108CD"/>
    <w:multiLevelType w:val="hybridMultilevel"/>
    <w:tmpl w:val="F07C7BCA"/>
    <w:lvl w:ilvl="0" w:tplc="7E7496A6">
      <w:start w:val="1"/>
      <w:numFmt w:val="bullet"/>
      <w:pStyle w:val="Bulletlis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F32B74"/>
    <w:multiLevelType w:val="hybridMultilevel"/>
    <w:tmpl w:val="597C7CE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0053F11"/>
    <w:multiLevelType w:val="multilevel"/>
    <w:tmpl w:val="575CEDB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4" w15:restartNumberingAfterBreak="0">
    <w:nsid w:val="116E4F05"/>
    <w:multiLevelType w:val="hybridMultilevel"/>
    <w:tmpl w:val="7D1E6EBA"/>
    <w:lvl w:ilvl="0" w:tplc="555AE02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15:restartNumberingAfterBreak="0">
    <w:nsid w:val="1F2326BB"/>
    <w:multiLevelType w:val="hybridMultilevel"/>
    <w:tmpl w:val="32ECEEC2"/>
    <w:lvl w:ilvl="0" w:tplc="4D5C3936">
      <w:start w:val="1"/>
      <w:numFmt w:val="bullet"/>
      <w:lvlText w:val="o"/>
      <w:lvlJc w:val="left"/>
      <w:pPr>
        <w:ind w:left="3094" w:hanging="360"/>
      </w:pPr>
      <w:rPr>
        <w:rFonts w:ascii="Courier New" w:hAnsi="Courier New" w:cs="Courier New" w:hint="default"/>
        <w:color w:val="auto"/>
      </w:rPr>
    </w:lvl>
    <w:lvl w:ilvl="1" w:tplc="0C090003" w:tentative="1">
      <w:start w:val="1"/>
      <w:numFmt w:val="bullet"/>
      <w:lvlText w:val="o"/>
      <w:lvlJc w:val="left"/>
      <w:pPr>
        <w:ind w:left="3814" w:hanging="360"/>
      </w:pPr>
      <w:rPr>
        <w:rFonts w:ascii="Courier New" w:hAnsi="Courier New" w:cs="Courier New" w:hint="default"/>
      </w:rPr>
    </w:lvl>
    <w:lvl w:ilvl="2" w:tplc="0C090005" w:tentative="1">
      <w:start w:val="1"/>
      <w:numFmt w:val="bullet"/>
      <w:lvlText w:val=""/>
      <w:lvlJc w:val="left"/>
      <w:pPr>
        <w:ind w:left="4534" w:hanging="360"/>
      </w:pPr>
      <w:rPr>
        <w:rFonts w:ascii="Wingdings" w:hAnsi="Wingdings" w:hint="default"/>
      </w:rPr>
    </w:lvl>
    <w:lvl w:ilvl="3" w:tplc="0C090001" w:tentative="1">
      <w:start w:val="1"/>
      <w:numFmt w:val="bullet"/>
      <w:lvlText w:val=""/>
      <w:lvlJc w:val="left"/>
      <w:pPr>
        <w:ind w:left="5254" w:hanging="360"/>
      </w:pPr>
      <w:rPr>
        <w:rFonts w:ascii="Symbol" w:hAnsi="Symbol" w:hint="default"/>
      </w:rPr>
    </w:lvl>
    <w:lvl w:ilvl="4" w:tplc="0C090003" w:tentative="1">
      <w:start w:val="1"/>
      <w:numFmt w:val="bullet"/>
      <w:lvlText w:val="o"/>
      <w:lvlJc w:val="left"/>
      <w:pPr>
        <w:ind w:left="5974" w:hanging="360"/>
      </w:pPr>
      <w:rPr>
        <w:rFonts w:ascii="Courier New" w:hAnsi="Courier New" w:cs="Courier New" w:hint="default"/>
      </w:rPr>
    </w:lvl>
    <w:lvl w:ilvl="5" w:tplc="0C090005" w:tentative="1">
      <w:start w:val="1"/>
      <w:numFmt w:val="bullet"/>
      <w:lvlText w:val=""/>
      <w:lvlJc w:val="left"/>
      <w:pPr>
        <w:ind w:left="6694" w:hanging="360"/>
      </w:pPr>
      <w:rPr>
        <w:rFonts w:ascii="Wingdings" w:hAnsi="Wingdings" w:hint="default"/>
      </w:rPr>
    </w:lvl>
    <w:lvl w:ilvl="6" w:tplc="0C090001" w:tentative="1">
      <w:start w:val="1"/>
      <w:numFmt w:val="bullet"/>
      <w:lvlText w:val=""/>
      <w:lvlJc w:val="left"/>
      <w:pPr>
        <w:ind w:left="7414" w:hanging="360"/>
      </w:pPr>
      <w:rPr>
        <w:rFonts w:ascii="Symbol" w:hAnsi="Symbol" w:hint="default"/>
      </w:rPr>
    </w:lvl>
    <w:lvl w:ilvl="7" w:tplc="0C090003" w:tentative="1">
      <w:start w:val="1"/>
      <w:numFmt w:val="bullet"/>
      <w:lvlText w:val="o"/>
      <w:lvlJc w:val="left"/>
      <w:pPr>
        <w:ind w:left="8134" w:hanging="360"/>
      </w:pPr>
      <w:rPr>
        <w:rFonts w:ascii="Courier New" w:hAnsi="Courier New" w:cs="Courier New" w:hint="default"/>
      </w:rPr>
    </w:lvl>
    <w:lvl w:ilvl="8" w:tplc="0C090005" w:tentative="1">
      <w:start w:val="1"/>
      <w:numFmt w:val="bullet"/>
      <w:lvlText w:val=""/>
      <w:lvlJc w:val="left"/>
      <w:pPr>
        <w:ind w:left="8854" w:hanging="360"/>
      </w:pPr>
      <w:rPr>
        <w:rFonts w:ascii="Wingdings" w:hAnsi="Wingdings" w:hint="default"/>
      </w:rPr>
    </w:lvl>
  </w:abstractNum>
  <w:abstractNum w:abstractNumId="7" w15:restartNumberingAfterBreak="0">
    <w:nsid w:val="213060D9"/>
    <w:multiLevelType w:val="hybridMultilevel"/>
    <w:tmpl w:val="76EEFABC"/>
    <w:lvl w:ilvl="0" w:tplc="AD1CC058">
      <w:start w:val="1"/>
      <w:numFmt w:val="bullet"/>
      <w:lvlText w:val=""/>
      <w:lvlJc w:val="left"/>
      <w:pPr>
        <w:ind w:left="938" w:hanging="360"/>
      </w:pPr>
      <w:rPr>
        <w:rFonts w:ascii="Wingdings" w:hAnsi="Wingdings" w:hint="default"/>
        <w:strike w:val="0"/>
      </w:rPr>
    </w:lvl>
    <w:lvl w:ilvl="1" w:tplc="0C090003" w:tentative="1">
      <w:start w:val="1"/>
      <w:numFmt w:val="bullet"/>
      <w:lvlText w:val="o"/>
      <w:lvlJc w:val="left"/>
      <w:pPr>
        <w:ind w:left="1658" w:hanging="360"/>
      </w:pPr>
      <w:rPr>
        <w:rFonts w:ascii="Courier New" w:hAnsi="Courier New" w:cs="Courier New" w:hint="default"/>
      </w:rPr>
    </w:lvl>
    <w:lvl w:ilvl="2" w:tplc="0C090005" w:tentative="1">
      <w:start w:val="1"/>
      <w:numFmt w:val="bullet"/>
      <w:lvlText w:val=""/>
      <w:lvlJc w:val="left"/>
      <w:pPr>
        <w:ind w:left="2378" w:hanging="360"/>
      </w:pPr>
      <w:rPr>
        <w:rFonts w:ascii="Wingdings" w:hAnsi="Wingdings" w:hint="default"/>
      </w:rPr>
    </w:lvl>
    <w:lvl w:ilvl="3" w:tplc="0C090001" w:tentative="1">
      <w:start w:val="1"/>
      <w:numFmt w:val="bullet"/>
      <w:lvlText w:val=""/>
      <w:lvlJc w:val="left"/>
      <w:pPr>
        <w:ind w:left="3098" w:hanging="360"/>
      </w:pPr>
      <w:rPr>
        <w:rFonts w:ascii="Symbol" w:hAnsi="Symbol" w:hint="default"/>
      </w:rPr>
    </w:lvl>
    <w:lvl w:ilvl="4" w:tplc="0C090003" w:tentative="1">
      <w:start w:val="1"/>
      <w:numFmt w:val="bullet"/>
      <w:lvlText w:val="o"/>
      <w:lvlJc w:val="left"/>
      <w:pPr>
        <w:ind w:left="3818" w:hanging="360"/>
      </w:pPr>
      <w:rPr>
        <w:rFonts w:ascii="Courier New" w:hAnsi="Courier New" w:cs="Courier New" w:hint="default"/>
      </w:rPr>
    </w:lvl>
    <w:lvl w:ilvl="5" w:tplc="0C090005" w:tentative="1">
      <w:start w:val="1"/>
      <w:numFmt w:val="bullet"/>
      <w:lvlText w:val=""/>
      <w:lvlJc w:val="left"/>
      <w:pPr>
        <w:ind w:left="4538" w:hanging="360"/>
      </w:pPr>
      <w:rPr>
        <w:rFonts w:ascii="Wingdings" w:hAnsi="Wingdings" w:hint="default"/>
      </w:rPr>
    </w:lvl>
    <w:lvl w:ilvl="6" w:tplc="0C090001" w:tentative="1">
      <w:start w:val="1"/>
      <w:numFmt w:val="bullet"/>
      <w:lvlText w:val=""/>
      <w:lvlJc w:val="left"/>
      <w:pPr>
        <w:ind w:left="5258" w:hanging="360"/>
      </w:pPr>
      <w:rPr>
        <w:rFonts w:ascii="Symbol" w:hAnsi="Symbol" w:hint="default"/>
      </w:rPr>
    </w:lvl>
    <w:lvl w:ilvl="7" w:tplc="0C090003" w:tentative="1">
      <w:start w:val="1"/>
      <w:numFmt w:val="bullet"/>
      <w:lvlText w:val="o"/>
      <w:lvlJc w:val="left"/>
      <w:pPr>
        <w:ind w:left="5978" w:hanging="360"/>
      </w:pPr>
      <w:rPr>
        <w:rFonts w:ascii="Courier New" w:hAnsi="Courier New" w:cs="Courier New" w:hint="default"/>
      </w:rPr>
    </w:lvl>
    <w:lvl w:ilvl="8" w:tplc="0C090005" w:tentative="1">
      <w:start w:val="1"/>
      <w:numFmt w:val="bullet"/>
      <w:lvlText w:val=""/>
      <w:lvlJc w:val="left"/>
      <w:pPr>
        <w:ind w:left="6698" w:hanging="360"/>
      </w:pPr>
      <w:rPr>
        <w:rFonts w:ascii="Wingdings" w:hAnsi="Wingdings" w:hint="default"/>
      </w:rPr>
    </w:lvl>
  </w:abstractNum>
  <w:abstractNum w:abstractNumId="8" w15:restartNumberingAfterBreak="0">
    <w:nsid w:val="227B09D6"/>
    <w:multiLevelType w:val="hybridMultilevel"/>
    <w:tmpl w:val="EF9CD206"/>
    <w:lvl w:ilvl="0" w:tplc="0C090007">
      <w:start w:val="1"/>
      <w:numFmt w:val="bullet"/>
      <w:lvlText w:val=""/>
      <w:lvlJc w:val="left"/>
      <w:pPr>
        <w:ind w:left="4301" w:hanging="360"/>
      </w:pPr>
      <w:rPr>
        <w:rFonts w:ascii="Symbol" w:hAnsi="Symbol" w:hint="default"/>
      </w:rPr>
    </w:lvl>
    <w:lvl w:ilvl="1" w:tplc="0C090003" w:tentative="1">
      <w:start w:val="1"/>
      <w:numFmt w:val="bullet"/>
      <w:lvlText w:val="o"/>
      <w:lvlJc w:val="left"/>
      <w:pPr>
        <w:ind w:left="5021" w:hanging="360"/>
      </w:pPr>
      <w:rPr>
        <w:rFonts w:ascii="Courier New" w:hAnsi="Courier New" w:cs="Courier New" w:hint="default"/>
      </w:rPr>
    </w:lvl>
    <w:lvl w:ilvl="2" w:tplc="0C090005" w:tentative="1">
      <w:start w:val="1"/>
      <w:numFmt w:val="bullet"/>
      <w:lvlText w:val=""/>
      <w:lvlJc w:val="left"/>
      <w:pPr>
        <w:ind w:left="5741" w:hanging="360"/>
      </w:pPr>
      <w:rPr>
        <w:rFonts w:ascii="Wingdings" w:hAnsi="Wingdings" w:hint="default"/>
      </w:rPr>
    </w:lvl>
    <w:lvl w:ilvl="3" w:tplc="0C090001" w:tentative="1">
      <w:start w:val="1"/>
      <w:numFmt w:val="bullet"/>
      <w:lvlText w:val=""/>
      <w:lvlJc w:val="left"/>
      <w:pPr>
        <w:ind w:left="6461" w:hanging="360"/>
      </w:pPr>
      <w:rPr>
        <w:rFonts w:ascii="Symbol" w:hAnsi="Symbol" w:hint="default"/>
      </w:rPr>
    </w:lvl>
    <w:lvl w:ilvl="4" w:tplc="0C090003" w:tentative="1">
      <w:start w:val="1"/>
      <w:numFmt w:val="bullet"/>
      <w:lvlText w:val="o"/>
      <w:lvlJc w:val="left"/>
      <w:pPr>
        <w:ind w:left="7181" w:hanging="360"/>
      </w:pPr>
      <w:rPr>
        <w:rFonts w:ascii="Courier New" w:hAnsi="Courier New" w:cs="Courier New" w:hint="default"/>
      </w:rPr>
    </w:lvl>
    <w:lvl w:ilvl="5" w:tplc="0C090005" w:tentative="1">
      <w:start w:val="1"/>
      <w:numFmt w:val="bullet"/>
      <w:lvlText w:val=""/>
      <w:lvlJc w:val="left"/>
      <w:pPr>
        <w:ind w:left="7901" w:hanging="360"/>
      </w:pPr>
      <w:rPr>
        <w:rFonts w:ascii="Wingdings" w:hAnsi="Wingdings" w:hint="default"/>
      </w:rPr>
    </w:lvl>
    <w:lvl w:ilvl="6" w:tplc="0C090001" w:tentative="1">
      <w:start w:val="1"/>
      <w:numFmt w:val="bullet"/>
      <w:lvlText w:val=""/>
      <w:lvlJc w:val="left"/>
      <w:pPr>
        <w:ind w:left="8621" w:hanging="360"/>
      </w:pPr>
      <w:rPr>
        <w:rFonts w:ascii="Symbol" w:hAnsi="Symbol" w:hint="default"/>
      </w:rPr>
    </w:lvl>
    <w:lvl w:ilvl="7" w:tplc="0C090003" w:tentative="1">
      <w:start w:val="1"/>
      <w:numFmt w:val="bullet"/>
      <w:lvlText w:val="o"/>
      <w:lvlJc w:val="left"/>
      <w:pPr>
        <w:ind w:left="9341" w:hanging="360"/>
      </w:pPr>
      <w:rPr>
        <w:rFonts w:ascii="Courier New" w:hAnsi="Courier New" w:cs="Courier New" w:hint="default"/>
      </w:rPr>
    </w:lvl>
    <w:lvl w:ilvl="8" w:tplc="0C090005" w:tentative="1">
      <w:start w:val="1"/>
      <w:numFmt w:val="bullet"/>
      <w:lvlText w:val=""/>
      <w:lvlJc w:val="left"/>
      <w:pPr>
        <w:ind w:left="10061" w:hanging="360"/>
      </w:pPr>
      <w:rPr>
        <w:rFonts w:ascii="Wingdings" w:hAnsi="Wingdings" w:hint="default"/>
      </w:rPr>
    </w:lvl>
  </w:abstractNum>
  <w:abstractNum w:abstractNumId="9" w15:restartNumberingAfterBreak="0">
    <w:nsid w:val="27F7755E"/>
    <w:multiLevelType w:val="hybridMultilevel"/>
    <w:tmpl w:val="B0E4C8C0"/>
    <w:lvl w:ilvl="0" w:tplc="29948106">
      <w:start w:val="1"/>
      <w:numFmt w:val="bullet"/>
      <w:lvlText w:val="►"/>
      <w:lvlJc w:val="left"/>
      <w:pPr>
        <w:ind w:left="3479" w:hanging="360"/>
      </w:pPr>
      <w:rPr>
        <w:rFonts w:ascii="Arial" w:eastAsia="Arial" w:hAnsi="Arial" w:hint="default"/>
        <w:color w:val="auto"/>
        <w:w w:val="105"/>
        <w:sz w:val="22"/>
        <w:szCs w:val="22"/>
      </w:rPr>
    </w:lvl>
    <w:lvl w:ilvl="1" w:tplc="3E1AF3F6">
      <w:start w:val="1"/>
      <w:numFmt w:val="bullet"/>
      <w:lvlText w:val="o"/>
      <w:lvlJc w:val="left"/>
      <w:pPr>
        <w:ind w:left="1660" w:hanging="360"/>
      </w:pPr>
      <w:rPr>
        <w:rFonts w:ascii="Courier New" w:hAnsi="Courier New" w:cs="Courier New" w:hint="default"/>
        <w:color w:val="auto"/>
      </w:rPr>
    </w:lvl>
    <w:lvl w:ilvl="2" w:tplc="0C090005" w:tentative="1">
      <w:start w:val="1"/>
      <w:numFmt w:val="bullet"/>
      <w:lvlText w:val=""/>
      <w:lvlJc w:val="left"/>
      <w:pPr>
        <w:ind w:left="2380" w:hanging="360"/>
      </w:pPr>
      <w:rPr>
        <w:rFonts w:ascii="Wingdings" w:hAnsi="Wingdings" w:hint="default"/>
      </w:rPr>
    </w:lvl>
    <w:lvl w:ilvl="3" w:tplc="0C090001" w:tentative="1">
      <w:start w:val="1"/>
      <w:numFmt w:val="bullet"/>
      <w:lvlText w:val=""/>
      <w:lvlJc w:val="left"/>
      <w:pPr>
        <w:ind w:left="3100" w:hanging="360"/>
      </w:pPr>
      <w:rPr>
        <w:rFonts w:ascii="Symbol" w:hAnsi="Symbol" w:hint="default"/>
      </w:rPr>
    </w:lvl>
    <w:lvl w:ilvl="4" w:tplc="0C090003" w:tentative="1">
      <w:start w:val="1"/>
      <w:numFmt w:val="bullet"/>
      <w:lvlText w:val="o"/>
      <w:lvlJc w:val="left"/>
      <w:pPr>
        <w:ind w:left="3820" w:hanging="360"/>
      </w:pPr>
      <w:rPr>
        <w:rFonts w:ascii="Courier New" w:hAnsi="Courier New" w:cs="Courier New" w:hint="default"/>
      </w:rPr>
    </w:lvl>
    <w:lvl w:ilvl="5" w:tplc="0C090005" w:tentative="1">
      <w:start w:val="1"/>
      <w:numFmt w:val="bullet"/>
      <w:lvlText w:val=""/>
      <w:lvlJc w:val="left"/>
      <w:pPr>
        <w:ind w:left="4540" w:hanging="360"/>
      </w:pPr>
      <w:rPr>
        <w:rFonts w:ascii="Wingdings" w:hAnsi="Wingdings" w:hint="default"/>
      </w:rPr>
    </w:lvl>
    <w:lvl w:ilvl="6" w:tplc="0C090001" w:tentative="1">
      <w:start w:val="1"/>
      <w:numFmt w:val="bullet"/>
      <w:lvlText w:val=""/>
      <w:lvlJc w:val="left"/>
      <w:pPr>
        <w:ind w:left="5260" w:hanging="360"/>
      </w:pPr>
      <w:rPr>
        <w:rFonts w:ascii="Symbol" w:hAnsi="Symbol" w:hint="default"/>
      </w:rPr>
    </w:lvl>
    <w:lvl w:ilvl="7" w:tplc="0C090003" w:tentative="1">
      <w:start w:val="1"/>
      <w:numFmt w:val="bullet"/>
      <w:lvlText w:val="o"/>
      <w:lvlJc w:val="left"/>
      <w:pPr>
        <w:ind w:left="5980" w:hanging="360"/>
      </w:pPr>
      <w:rPr>
        <w:rFonts w:ascii="Courier New" w:hAnsi="Courier New" w:cs="Courier New" w:hint="default"/>
      </w:rPr>
    </w:lvl>
    <w:lvl w:ilvl="8" w:tplc="0C090005" w:tentative="1">
      <w:start w:val="1"/>
      <w:numFmt w:val="bullet"/>
      <w:lvlText w:val=""/>
      <w:lvlJc w:val="left"/>
      <w:pPr>
        <w:ind w:left="6700" w:hanging="360"/>
      </w:pPr>
      <w:rPr>
        <w:rFonts w:ascii="Wingdings" w:hAnsi="Wingdings" w:hint="default"/>
      </w:rPr>
    </w:lvl>
  </w:abstractNum>
  <w:abstractNum w:abstractNumId="10" w15:restartNumberingAfterBreak="0">
    <w:nsid w:val="2AAB0C33"/>
    <w:multiLevelType w:val="hybridMultilevel"/>
    <w:tmpl w:val="EEF6E274"/>
    <w:lvl w:ilvl="0" w:tplc="7B1C7300">
      <w:start w:val="1"/>
      <w:numFmt w:val="bullet"/>
      <w:lvlText w:val="-"/>
      <w:lvlJc w:val="left"/>
      <w:pPr>
        <w:ind w:left="720" w:hanging="360"/>
      </w:pPr>
      <w:rPr>
        <w:rFonts w:ascii="Verdana" w:hAnsi="Verdana"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2" w15:restartNumberingAfterBreak="0">
    <w:nsid w:val="3E8C4CDB"/>
    <w:multiLevelType w:val="hybridMultilevel"/>
    <w:tmpl w:val="50D8BE48"/>
    <w:lvl w:ilvl="0" w:tplc="7B1C7300">
      <w:start w:val="1"/>
      <w:numFmt w:val="bullet"/>
      <w:lvlText w:val="-"/>
      <w:lvlJc w:val="left"/>
      <w:pPr>
        <w:ind w:left="1498" w:hanging="360"/>
      </w:pPr>
      <w:rPr>
        <w:rFonts w:ascii="Verdana" w:hAnsi="Verdana" w:hint="default"/>
      </w:rPr>
    </w:lvl>
    <w:lvl w:ilvl="1" w:tplc="0C090003" w:tentative="1">
      <w:start w:val="1"/>
      <w:numFmt w:val="bullet"/>
      <w:lvlText w:val="o"/>
      <w:lvlJc w:val="left"/>
      <w:pPr>
        <w:ind w:left="2218" w:hanging="360"/>
      </w:pPr>
      <w:rPr>
        <w:rFonts w:ascii="Courier New" w:hAnsi="Courier New" w:cs="Courier New" w:hint="default"/>
      </w:rPr>
    </w:lvl>
    <w:lvl w:ilvl="2" w:tplc="0C090005" w:tentative="1">
      <w:start w:val="1"/>
      <w:numFmt w:val="bullet"/>
      <w:lvlText w:val=""/>
      <w:lvlJc w:val="left"/>
      <w:pPr>
        <w:ind w:left="2938" w:hanging="360"/>
      </w:pPr>
      <w:rPr>
        <w:rFonts w:ascii="Wingdings" w:hAnsi="Wingdings" w:hint="default"/>
      </w:rPr>
    </w:lvl>
    <w:lvl w:ilvl="3" w:tplc="0C090001" w:tentative="1">
      <w:start w:val="1"/>
      <w:numFmt w:val="bullet"/>
      <w:lvlText w:val=""/>
      <w:lvlJc w:val="left"/>
      <w:pPr>
        <w:ind w:left="3658" w:hanging="360"/>
      </w:pPr>
      <w:rPr>
        <w:rFonts w:ascii="Symbol" w:hAnsi="Symbol" w:hint="default"/>
      </w:rPr>
    </w:lvl>
    <w:lvl w:ilvl="4" w:tplc="0C090003" w:tentative="1">
      <w:start w:val="1"/>
      <w:numFmt w:val="bullet"/>
      <w:lvlText w:val="o"/>
      <w:lvlJc w:val="left"/>
      <w:pPr>
        <w:ind w:left="4378" w:hanging="360"/>
      </w:pPr>
      <w:rPr>
        <w:rFonts w:ascii="Courier New" w:hAnsi="Courier New" w:cs="Courier New" w:hint="default"/>
      </w:rPr>
    </w:lvl>
    <w:lvl w:ilvl="5" w:tplc="0C090005" w:tentative="1">
      <w:start w:val="1"/>
      <w:numFmt w:val="bullet"/>
      <w:lvlText w:val=""/>
      <w:lvlJc w:val="left"/>
      <w:pPr>
        <w:ind w:left="5098" w:hanging="360"/>
      </w:pPr>
      <w:rPr>
        <w:rFonts w:ascii="Wingdings" w:hAnsi="Wingdings" w:hint="default"/>
      </w:rPr>
    </w:lvl>
    <w:lvl w:ilvl="6" w:tplc="0C090001" w:tentative="1">
      <w:start w:val="1"/>
      <w:numFmt w:val="bullet"/>
      <w:lvlText w:val=""/>
      <w:lvlJc w:val="left"/>
      <w:pPr>
        <w:ind w:left="5818" w:hanging="360"/>
      </w:pPr>
      <w:rPr>
        <w:rFonts w:ascii="Symbol" w:hAnsi="Symbol" w:hint="default"/>
      </w:rPr>
    </w:lvl>
    <w:lvl w:ilvl="7" w:tplc="0C090003" w:tentative="1">
      <w:start w:val="1"/>
      <w:numFmt w:val="bullet"/>
      <w:lvlText w:val="o"/>
      <w:lvlJc w:val="left"/>
      <w:pPr>
        <w:ind w:left="6538" w:hanging="360"/>
      </w:pPr>
      <w:rPr>
        <w:rFonts w:ascii="Courier New" w:hAnsi="Courier New" w:cs="Courier New" w:hint="default"/>
      </w:rPr>
    </w:lvl>
    <w:lvl w:ilvl="8" w:tplc="0C090005" w:tentative="1">
      <w:start w:val="1"/>
      <w:numFmt w:val="bullet"/>
      <w:lvlText w:val=""/>
      <w:lvlJc w:val="left"/>
      <w:pPr>
        <w:ind w:left="7258" w:hanging="360"/>
      </w:pPr>
      <w:rPr>
        <w:rFonts w:ascii="Wingdings" w:hAnsi="Wingdings" w:hint="default"/>
      </w:rPr>
    </w:lvl>
  </w:abstractNum>
  <w:abstractNum w:abstractNumId="13" w15:restartNumberingAfterBreak="0">
    <w:nsid w:val="3F6D0525"/>
    <w:multiLevelType w:val="hybridMultilevel"/>
    <w:tmpl w:val="A43E822A"/>
    <w:lvl w:ilvl="0" w:tplc="26806DD8">
      <w:start w:val="1"/>
      <w:numFmt w:val="bullet"/>
      <w:lvlText w:val="-"/>
      <w:lvlJc w:val="left"/>
      <w:pPr>
        <w:ind w:left="720" w:hanging="360"/>
      </w:pPr>
      <w:rPr>
        <w:rFonts w:ascii="Verdana" w:hAnsi="Verdana"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89B15D7"/>
    <w:multiLevelType w:val="hybridMultilevel"/>
    <w:tmpl w:val="3D2E60CC"/>
    <w:lvl w:ilvl="0" w:tplc="04CEB5FC">
      <w:start w:val="1"/>
      <w:numFmt w:val="bullet"/>
      <w:pStyle w:val="Bulletpoint"/>
      <w:lvlText w:val=""/>
      <w:lvlJc w:val="left"/>
      <w:pPr>
        <w:tabs>
          <w:tab w:val="num" w:pos="369"/>
        </w:tabs>
        <w:ind w:left="369" w:hanging="227"/>
      </w:pPr>
      <w:rPr>
        <w:rFonts w:ascii="Symbol" w:hAnsi="Symbol" w:hint="default"/>
        <w:position w:val="0"/>
        <w:sz w:val="22"/>
        <w:szCs w:val="22"/>
      </w:rPr>
    </w:lvl>
    <w:lvl w:ilvl="1" w:tplc="0C090003" w:tentative="1">
      <w:start w:val="1"/>
      <w:numFmt w:val="bullet"/>
      <w:lvlText w:val="o"/>
      <w:lvlJc w:val="left"/>
      <w:pPr>
        <w:tabs>
          <w:tab w:val="num" w:pos="1440"/>
        </w:tabs>
        <w:ind w:left="1440" w:hanging="360"/>
      </w:pPr>
      <w:rPr>
        <w:rFonts w:ascii="Courier New" w:hAnsi="Courier New" w:cs="Symbo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Symbo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Symbo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39D6B98"/>
    <w:multiLevelType w:val="hybridMultilevel"/>
    <w:tmpl w:val="0BFAD43A"/>
    <w:lvl w:ilvl="0" w:tplc="32D6B258">
      <w:start w:val="1"/>
      <w:numFmt w:val="bullet"/>
      <w:lvlText w:val=""/>
      <w:lvlJc w:val="left"/>
      <w:pPr>
        <w:ind w:left="940" w:hanging="360"/>
      </w:pPr>
      <w:rPr>
        <w:rFonts w:ascii="Wingdings" w:hAnsi="Wingdings" w:hint="default"/>
        <w:sz w:val="22"/>
        <w:szCs w:val="22"/>
      </w:rPr>
    </w:lvl>
    <w:lvl w:ilvl="1" w:tplc="0C090003" w:tentative="1">
      <w:start w:val="1"/>
      <w:numFmt w:val="bullet"/>
      <w:lvlText w:val="o"/>
      <w:lvlJc w:val="left"/>
      <w:pPr>
        <w:ind w:left="1660" w:hanging="360"/>
      </w:pPr>
      <w:rPr>
        <w:rFonts w:ascii="Courier New" w:hAnsi="Courier New" w:cs="Courier New" w:hint="default"/>
      </w:rPr>
    </w:lvl>
    <w:lvl w:ilvl="2" w:tplc="0C090005" w:tentative="1">
      <w:start w:val="1"/>
      <w:numFmt w:val="bullet"/>
      <w:lvlText w:val=""/>
      <w:lvlJc w:val="left"/>
      <w:pPr>
        <w:ind w:left="2380" w:hanging="360"/>
      </w:pPr>
      <w:rPr>
        <w:rFonts w:ascii="Wingdings" w:hAnsi="Wingdings" w:hint="default"/>
      </w:rPr>
    </w:lvl>
    <w:lvl w:ilvl="3" w:tplc="0C090001" w:tentative="1">
      <w:start w:val="1"/>
      <w:numFmt w:val="bullet"/>
      <w:lvlText w:val=""/>
      <w:lvlJc w:val="left"/>
      <w:pPr>
        <w:ind w:left="3100" w:hanging="360"/>
      </w:pPr>
      <w:rPr>
        <w:rFonts w:ascii="Symbol" w:hAnsi="Symbol" w:hint="default"/>
      </w:rPr>
    </w:lvl>
    <w:lvl w:ilvl="4" w:tplc="0C090003" w:tentative="1">
      <w:start w:val="1"/>
      <w:numFmt w:val="bullet"/>
      <w:lvlText w:val="o"/>
      <w:lvlJc w:val="left"/>
      <w:pPr>
        <w:ind w:left="3820" w:hanging="360"/>
      </w:pPr>
      <w:rPr>
        <w:rFonts w:ascii="Courier New" w:hAnsi="Courier New" w:cs="Courier New" w:hint="default"/>
      </w:rPr>
    </w:lvl>
    <w:lvl w:ilvl="5" w:tplc="0C090005" w:tentative="1">
      <w:start w:val="1"/>
      <w:numFmt w:val="bullet"/>
      <w:lvlText w:val=""/>
      <w:lvlJc w:val="left"/>
      <w:pPr>
        <w:ind w:left="4540" w:hanging="360"/>
      </w:pPr>
      <w:rPr>
        <w:rFonts w:ascii="Wingdings" w:hAnsi="Wingdings" w:hint="default"/>
      </w:rPr>
    </w:lvl>
    <w:lvl w:ilvl="6" w:tplc="0C090001" w:tentative="1">
      <w:start w:val="1"/>
      <w:numFmt w:val="bullet"/>
      <w:lvlText w:val=""/>
      <w:lvlJc w:val="left"/>
      <w:pPr>
        <w:ind w:left="5260" w:hanging="360"/>
      </w:pPr>
      <w:rPr>
        <w:rFonts w:ascii="Symbol" w:hAnsi="Symbol" w:hint="default"/>
      </w:rPr>
    </w:lvl>
    <w:lvl w:ilvl="7" w:tplc="0C090003" w:tentative="1">
      <w:start w:val="1"/>
      <w:numFmt w:val="bullet"/>
      <w:lvlText w:val="o"/>
      <w:lvlJc w:val="left"/>
      <w:pPr>
        <w:ind w:left="5980" w:hanging="360"/>
      </w:pPr>
      <w:rPr>
        <w:rFonts w:ascii="Courier New" w:hAnsi="Courier New" w:cs="Courier New" w:hint="default"/>
      </w:rPr>
    </w:lvl>
    <w:lvl w:ilvl="8" w:tplc="0C090005" w:tentative="1">
      <w:start w:val="1"/>
      <w:numFmt w:val="bullet"/>
      <w:lvlText w:val=""/>
      <w:lvlJc w:val="left"/>
      <w:pPr>
        <w:ind w:left="6700" w:hanging="360"/>
      </w:pPr>
      <w:rPr>
        <w:rFonts w:ascii="Wingdings" w:hAnsi="Wingdings" w:hint="default"/>
      </w:rPr>
    </w:lvl>
  </w:abstractNum>
  <w:abstractNum w:abstractNumId="16" w15:restartNumberingAfterBreak="0">
    <w:nsid w:val="59085C3B"/>
    <w:multiLevelType w:val="hybridMultilevel"/>
    <w:tmpl w:val="30F22464"/>
    <w:lvl w:ilvl="0" w:tplc="0C090001">
      <w:start w:val="1"/>
      <w:numFmt w:val="bullet"/>
      <w:lvlText w:val=""/>
      <w:lvlJc w:val="left"/>
      <w:pPr>
        <w:ind w:left="1062" w:hanging="360"/>
      </w:pPr>
      <w:rPr>
        <w:rFonts w:ascii="Symbol" w:hAnsi="Symbol" w:hint="default"/>
      </w:rPr>
    </w:lvl>
    <w:lvl w:ilvl="1" w:tplc="0C090003" w:tentative="1">
      <w:start w:val="1"/>
      <w:numFmt w:val="bullet"/>
      <w:lvlText w:val="o"/>
      <w:lvlJc w:val="left"/>
      <w:pPr>
        <w:ind w:left="1782" w:hanging="360"/>
      </w:pPr>
      <w:rPr>
        <w:rFonts w:ascii="Courier New" w:hAnsi="Courier New" w:cs="Courier New" w:hint="default"/>
      </w:rPr>
    </w:lvl>
    <w:lvl w:ilvl="2" w:tplc="0C090005" w:tentative="1">
      <w:start w:val="1"/>
      <w:numFmt w:val="bullet"/>
      <w:lvlText w:val=""/>
      <w:lvlJc w:val="left"/>
      <w:pPr>
        <w:ind w:left="2502" w:hanging="360"/>
      </w:pPr>
      <w:rPr>
        <w:rFonts w:ascii="Wingdings" w:hAnsi="Wingdings" w:hint="default"/>
      </w:rPr>
    </w:lvl>
    <w:lvl w:ilvl="3" w:tplc="0C090001" w:tentative="1">
      <w:start w:val="1"/>
      <w:numFmt w:val="bullet"/>
      <w:lvlText w:val=""/>
      <w:lvlJc w:val="left"/>
      <w:pPr>
        <w:ind w:left="3222" w:hanging="360"/>
      </w:pPr>
      <w:rPr>
        <w:rFonts w:ascii="Symbol" w:hAnsi="Symbol" w:hint="default"/>
      </w:rPr>
    </w:lvl>
    <w:lvl w:ilvl="4" w:tplc="0C090003" w:tentative="1">
      <w:start w:val="1"/>
      <w:numFmt w:val="bullet"/>
      <w:lvlText w:val="o"/>
      <w:lvlJc w:val="left"/>
      <w:pPr>
        <w:ind w:left="3942" w:hanging="360"/>
      </w:pPr>
      <w:rPr>
        <w:rFonts w:ascii="Courier New" w:hAnsi="Courier New" w:cs="Courier New" w:hint="default"/>
      </w:rPr>
    </w:lvl>
    <w:lvl w:ilvl="5" w:tplc="0C090005" w:tentative="1">
      <w:start w:val="1"/>
      <w:numFmt w:val="bullet"/>
      <w:lvlText w:val=""/>
      <w:lvlJc w:val="left"/>
      <w:pPr>
        <w:ind w:left="4662" w:hanging="360"/>
      </w:pPr>
      <w:rPr>
        <w:rFonts w:ascii="Wingdings" w:hAnsi="Wingdings" w:hint="default"/>
      </w:rPr>
    </w:lvl>
    <w:lvl w:ilvl="6" w:tplc="0C090001" w:tentative="1">
      <w:start w:val="1"/>
      <w:numFmt w:val="bullet"/>
      <w:lvlText w:val=""/>
      <w:lvlJc w:val="left"/>
      <w:pPr>
        <w:ind w:left="5382" w:hanging="360"/>
      </w:pPr>
      <w:rPr>
        <w:rFonts w:ascii="Symbol" w:hAnsi="Symbol" w:hint="default"/>
      </w:rPr>
    </w:lvl>
    <w:lvl w:ilvl="7" w:tplc="0C090003" w:tentative="1">
      <w:start w:val="1"/>
      <w:numFmt w:val="bullet"/>
      <w:lvlText w:val="o"/>
      <w:lvlJc w:val="left"/>
      <w:pPr>
        <w:ind w:left="6102" w:hanging="360"/>
      </w:pPr>
      <w:rPr>
        <w:rFonts w:ascii="Courier New" w:hAnsi="Courier New" w:cs="Courier New" w:hint="default"/>
      </w:rPr>
    </w:lvl>
    <w:lvl w:ilvl="8" w:tplc="0C090005" w:tentative="1">
      <w:start w:val="1"/>
      <w:numFmt w:val="bullet"/>
      <w:lvlText w:val=""/>
      <w:lvlJc w:val="left"/>
      <w:pPr>
        <w:ind w:left="6822" w:hanging="360"/>
      </w:pPr>
      <w:rPr>
        <w:rFonts w:ascii="Wingdings" w:hAnsi="Wingdings" w:hint="default"/>
      </w:rPr>
    </w:lvl>
  </w:abstractNum>
  <w:abstractNum w:abstractNumId="17" w15:restartNumberingAfterBreak="0">
    <w:nsid w:val="5B911D7F"/>
    <w:multiLevelType w:val="hybridMultilevel"/>
    <w:tmpl w:val="5B566F48"/>
    <w:lvl w:ilvl="0" w:tplc="5EA8C35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BB50124"/>
    <w:multiLevelType w:val="hybridMultilevel"/>
    <w:tmpl w:val="EA3E0570"/>
    <w:lvl w:ilvl="0" w:tplc="FDF65D0A">
      <w:start w:val="1"/>
      <w:numFmt w:val="bullet"/>
      <w:lvlText w:val=""/>
      <w:lvlJc w:val="left"/>
      <w:pPr>
        <w:ind w:left="720" w:hanging="360"/>
      </w:pPr>
      <w:rPr>
        <w:rFonts w:ascii="Wingdings" w:hAnsi="Wingdings"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FDD7BFD"/>
    <w:multiLevelType w:val="hybridMultilevel"/>
    <w:tmpl w:val="C2247ACC"/>
    <w:lvl w:ilvl="0" w:tplc="7DFE0234">
      <w:start w:val="1"/>
      <w:numFmt w:val="bullet"/>
      <w:lvlText w:val=""/>
      <w:lvlJc w:val="left"/>
      <w:pPr>
        <w:ind w:left="567" w:hanging="20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4C228E3"/>
    <w:multiLevelType w:val="hybridMultilevel"/>
    <w:tmpl w:val="351A8964"/>
    <w:lvl w:ilvl="0" w:tplc="0C090007">
      <w:start w:val="1"/>
      <w:numFmt w:val="bullet"/>
      <w:lvlText w:val=""/>
      <w:lvlJc w:val="left"/>
      <w:pPr>
        <w:ind w:left="3697" w:hanging="360"/>
      </w:pPr>
      <w:rPr>
        <w:rFonts w:ascii="Symbol" w:hAnsi="Symbol" w:hint="default"/>
      </w:rPr>
    </w:lvl>
    <w:lvl w:ilvl="1" w:tplc="0C090003">
      <w:start w:val="1"/>
      <w:numFmt w:val="bullet"/>
      <w:lvlText w:val="o"/>
      <w:lvlJc w:val="left"/>
      <w:pPr>
        <w:ind w:left="4417" w:hanging="360"/>
      </w:pPr>
      <w:rPr>
        <w:rFonts w:ascii="Courier New" w:hAnsi="Courier New" w:cs="Courier New" w:hint="default"/>
      </w:rPr>
    </w:lvl>
    <w:lvl w:ilvl="2" w:tplc="0C090005" w:tentative="1">
      <w:start w:val="1"/>
      <w:numFmt w:val="bullet"/>
      <w:lvlText w:val=""/>
      <w:lvlJc w:val="left"/>
      <w:pPr>
        <w:ind w:left="5137" w:hanging="360"/>
      </w:pPr>
      <w:rPr>
        <w:rFonts w:ascii="Wingdings" w:hAnsi="Wingdings" w:hint="default"/>
      </w:rPr>
    </w:lvl>
    <w:lvl w:ilvl="3" w:tplc="0C090001" w:tentative="1">
      <w:start w:val="1"/>
      <w:numFmt w:val="bullet"/>
      <w:lvlText w:val=""/>
      <w:lvlJc w:val="left"/>
      <w:pPr>
        <w:ind w:left="5857" w:hanging="360"/>
      </w:pPr>
      <w:rPr>
        <w:rFonts w:ascii="Symbol" w:hAnsi="Symbol" w:hint="default"/>
      </w:rPr>
    </w:lvl>
    <w:lvl w:ilvl="4" w:tplc="0C090003" w:tentative="1">
      <w:start w:val="1"/>
      <w:numFmt w:val="bullet"/>
      <w:lvlText w:val="o"/>
      <w:lvlJc w:val="left"/>
      <w:pPr>
        <w:ind w:left="6577" w:hanging="360"/>
      </w:pPr>
      <w:rPr>
        <w:rFonts w:ascii="Courier New" w:hAnsi="Courier New" w:cs="Courier New" w:hint="default"/>
      </w:rPr>
    </w:lvl>
    <w:lvl w:ilvl="5" w:tplc="0C090005" w:tentative="1">
      <w:start w:val="1"/>
      <w:numFmt w:val="bullet"/>
      <w:lvlText w:val=""/>
      <w:lvlJc w:val="left"/>
      <w:pPr>
        <w:ind w:left="7297" w:hanging="360"/>
      </w:pPr>
      <w:rPr>
        <w:rFonts w:ascii="Wingdings" w:hAnsi="Wingdings" w:hint="default"/>
      </w:rPr>
    </w:lvl>
    <w:lvl w:ilvl="6" w:tplc="0C090001" w:tentative="1">
      <w:start w:val="1"/>
      <w:numFmt w:val="bullet"/>
      <w:lvlText w:val=""/>
      <w:lvlJc w:val="left"/>
      <w:pPr>
        <w:ind w:left="8017" w:hanging="360"/>
      </w:pPr>
      <w:rPr>
        <w:rFonts w:ascii="Symbol" w:hAnsi="Symbol" w:hint="default"/>
      </w:rPr>
    </w:lvl>
    <w:lvl w:ilvl="7" w:tplc="0C090003" w:tentative="1">
      <w:start w:val="1"/>
      <w:numFmt w:val="bullet"/>
      <w:lvlText w:val="o"/>
      <w:lvlJc w:val="left"/>
      <w:pPr>
        <w:ind w:left="8737" w:hanging="360"/>
      </w:pPr>
      <w:rPr>
        <w:rFonts w:ascii="Courier New" w:hAnsi="Courier New" w:cs="Courier New" w:hint="default"/>
      </w:rPr>
    </w:lvl>
    <w:lvl w:ilvl="8" w:tplc="0C090005" w:tentative="1">
      <w:start w:val="1"/>
      <w:numFmt w:val="bullet"/>
      <w:lvlText w:val=""/>
      <w:lvlJc w:val="left"/>
      <w:pPr>
        <w:ind w:left="9457" w:hanging="360"/>
      </w:pPr>
      <w:rPr>
        <w:rFonts w:ascii="Wingdings" w:hAnsi="Wingdings" w:hint="default"/>
      </w:rPr>
    </w:lvl>
  </w:abstractNum>
  <w:abstractNum w:abstractNumId="21" w15:restartNumberingAfterBreak="0">
    <w:nsid w:val="64F55C74"/>
    <w:multiLevelType w:val="hybridMultilevel"/>
    <w:tmpl w:val="76A04906"/>
    <w:lvl w:ilvl="0" w:tplc="013A4CE6">
      <w:start w:val="1"/>
      <w:numFmt w:val="bullet"/>
      <w:lvlText w:val="◊"/>
      <w:lvlJc w:val="left"/>
      <w:pPr>
        <w:ind w:left="756" w:hanging="360"/>
      </w:pPr>
      <w:rPr>
        <w:rFonts w:ascii="Verdana" w:hAnsi="Verdana" w:hint="default"/>
        <w:color w:val="auto"/>
      </w:rPr>
    </w:lvl>
    <w:lvl w:ilvl="1" w:tplc="0C090003" w:tentative="1">
      <w:start w:val="1"/>
      <w:numFmt w:val="bullet"/>
      <w:lvlText w:val="o"/>
      <w:lvlJc w:val="left"/>
      <w:pPr>
        <w:ind w:left="1476" w:hanging="360"/>
      </w:pPr>
      <w:rPr>
        <w:rFonts w:ascii="Courier New" w:hAnsi="Courier New" w:cs="Courier New" w:hint="default"/>
      </w:rPr>
    </w:lvl>
    <w:lvl w:ilvl="2" w:tplc="0C090005" w:tentative="1">
      <w:start w:val="1"/>
      <w:numFmt w:val="bullet"/>
      <w:lvlText w:val=""/>
      <w:lvlJc w:val="left"/>
      <w:pPr>
        <w:ind w:left="2196" w:hanging="360"/>
      </w:pPr>
      <w:rPr>
        <w:rFonts w:ascii="Wingdings" w:hAnsi="Wingdings" w:hint="default"/>
      </w:rPr>
    </w:lvl>
    <w:lvl w:ilvl="3" w:tplc="0C090001" w:tentative="1">
      <w:start w:val="1"/>
      <w:numFmt w:val="bullet"/>
      <w:lvlText w:val=""/>
      <w:lvlJc w:val="left"/>
      <w:pPr>
        <w:ind w:left="2916" w:hanging="360"/>
      </w:pPr>
      <w:rPr>
        <w:rFonts w:ascii="Symbol" w:hAnsi="Symbol" w:hint="default"/>
      </w:rPr>
    </w:lvl>
    <w:lvl w:ilvl="4" w:tplc="0C090003" w:tentative="1">
      <w:start w:val="1"/>
      <w:numFmt w:val="bullet"/>
      <w:lvlText w:val="o"/>
      <w:lvlJc w:val="left"/>
      <w:pPr>
        <w:ind w:left="3636" w:hanging="360"/>
      </w:pPr>
      <w:rPr>
        <w:rFonts w:ascii="Courier New" w:hAnsi="Courier New" w:cs="Courier New" w:hint="default"/>
      </w:rPr>
    </w:lvl>
    <w:lvl w:ilvl="5" w:tplc="0C090005" w:tentative="1">
      <w:start w:val="1"/>
      <w:numFmt w:val="bullet"/>
      <w:lvlText w:val=""/>
      <w:lvlJc w:val="left"/>
      <w:pPr>
        <w:ind w:left="4356" w:hanging="360"/>
      </w:pPr>
      <w:rPr>
        <w:rFonts w:ascii="Wingdings" w:hAnsi="Wingdings" w:hint="default"/>
      </w:rPr>
    </w:lvl>
    <w:lvl w:ilvl="6" w:tplc="0C090001" w:tentative="1">
      <w:start w:val="1"/>
      <w:numFmt w:val="bullet"/>
      <w:lvlText w:val=""/>
      <w:lvlJc w:val="left"/>
      <w:pPr>
        <w:ind w:left="5076" w:hanging="360"/>
      </w:pPr>
      <w:rPr>
        <w:rFonts w:ascii="Symbol" w:hAnsi="Symbol" w:hint="default"/>
      </w:rPr>
    </w:lvl>
    <w:lvl w:ilvl="7" w:tplc="0C090003" w:tentative="1">
      <w:start w:val="1"/>
      <w:numFmt w:val="bullet"/>
      <w:lvlText w:val="o"/>
      <w:lvlJc w:val="left"/>
      <w:pPr>
        <w:ind w:left="5796" w:hanging="360"/>
      </w:pPr>
      <w:rPr>
        <w:rFonts w:ascii="Courier New" w:hAnsi="Courier New" w:cs="Courier New" w:hint="default"/>
      </w:rPr>
    </w:lvl>
    <w:lvl w:ilvl="8" w:tplc="0C090005" w:tentative="1">
      <w:start w:val="1"/>
      <w:numFmt w:val="bullet"/>
      <w:lvlText w:val=""/>
      <w:lvlJc w:val="left"/>
      <w:pPr>
        <w:ind w:left="6516" w:hanging="360"/>
      </w:pPr>
      <w:rPr>
        <w:rFonts w:ascii="Wingdings" w:hAnsi="Wingdings" w:hint="default"/>
      </w:rPr>
    </w:lvl>
  </w:abstractNum>
  <w:abstractNum w:abstractNumId="22" w15:restartNumberingAfterBreak="0">
    <w:nsid w:val="6A010898"/>
    <w:multiLevelType w:val="hybridMultilevel"/>
    <w:tmpl w:val="738C2B44"/>
    <w:lvl w:ilvl="0" w:tplc="5E4873D6">
      <w:start w:val="1"/>
      <w:numFmt w:val="bullet"/>
      <w:lvlText w:val=""/>
      <w:lvlJc w:val="left"/>
      <w:pPr>
        <w:ind w:left="720" w:hanging="360"/>
      </w:pPr>
      <w:rPr>
        <w:rFonts w:ascii="Wingdings" w:hAnsi="Wingdings"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DCC7A90"/>
    <w:multiLevelType w:val="hybridMultilevel"/>
    <w:tmpl w:val="51EC4CD6"/>
    <w:lvl w:ilvl="0" w:tplc="1256D02E">
      <w:start w:val="1"/>
      <w:numFmt w:val="bullet"/>
      <w:lvlText w:val=""/>
      <w:lvlJc w:val="left"/>
      <w:pPr>
        <w:ind w:left="720" w:hanging="360"/>
      </w:pPr>
      <w:rPr>
        <w:rFonts w:ascii="Wingdings" w:hAnsi="Wingdings"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45001F1"/>
    <w:multiLevelType w:val="hybridMultilevel"/>
    <w:tmpl w:val="827406C2"/>
    <w:lvl w:ilvl="0" w:tplc="7B1C7300">
      <w:start w:val="1"/>
      <w:numFmt w:val="bullet"/>
      <w:lvlText w:val="-"/>
      <w:lvlJc w:val="left"/>
      <w:pPr>
        <w:ind w:left="720" w:hanging="360"/>
      </w:pPr>
      <w:rPr>
        <w:rFonts w:ascii="Verdana" w:hAnsi="Verdana"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7DE58A3"/>
    <w:multiLevelType w:val="hybridMultilevel"/>
    <w:tmpl w:val="EDD483AE"/>
    <w:lvl w:ilvl="0" w:tplc="4ACAAA90">
      <w:start w:val="1"/>
      <w:numFmt w:val="bullet"/>
      <w:lvlText w:val=""/>
      <w:lvlJc w:val="left"/>
      <w:pPr>
        <w:ind w:left="720" w:hanging="360"/>
      </w:pPr>
      <w:rPr>
        <w:rFonts w:ascii="Wingdings" w:hAnsi="Wingdings"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3228A7"/>
    <w:multiLevelType w:val="hybridMultilevel"/>
    <w:tmpl w:val="49FA83DE"/>
    <w:lvl w:ilvl="0" w:tplc="73DAD3B8">
      <w:start w:val="1"/>
      <w:numFmt w:val="bullet"/>
      <w:lvlText w:val="►"/>
      <w:lvlJc w:val="left"/>
      <w:pPr>
        <w:ind w:left="2651" w:hanging="360"/>
      </w:pPr>
      <w:rPr>
        <w:rFonts w:ascii="Arial" w:hAnsi="Arial" w:hint="default"/>
        <w:color w:val="auto"/>
        <w:sz w:val="22"/>
        <w:szCs w:val="22"/>
      </w:rPr>
    </w:lvl>
    <w:lvl w:ilvl="1" w:tplc="0C090003" w:tentative="1">
      <w:start w:val="1"/>
      <w:numFmt w:val="bullet"/>
      <w:lvlText w:val="o"/>
      <w:lvlJc w:val="left"/>
      <w:pPr>
        <w:ind w:left="3371" w:hanging="360"/>
      </w:pPr>
      <w:rPr>
        <w:rFonts w:ascii="Courier New" w:hAnsi="Courier New" w:cs="Courier New" w:hint="default"/>
      </w:rPr>
    </w:lvl>
    <w:lvl w:ilvl="2" w:tplc="0C090005" w:tentative="1">
      <w:start w:val="1"/>
      <w:numFmt w:val="bullet"/>
      <w:lvlText w:val=""/>
      <w:lvlJc w:val="left"/>
      <w:pPr>
        <w:ind w:left="4091" w:hanging="360"/>
      </w:pPr>
      <w:rPr>
        <w:rFonts w:ascii="Wingdings" w:hAnsi="Wingdings" w:hint="default"/>
      </w:rPr>
    </w:lvl>
    <w:lvl w:ilvl="3" w:tplc="0C090001" w:tentative="1">
      <w:start w:val="1"/>
      <w:numFmt w:val="bullet"/>
      <w:lvlText w:val=""/>
      <w:lvlJc w:val="left"/>
      <w:pPr>
        <w:ind w:left="4811" w:hanging="360"/>
      </w:pPr>
      <w:rPr>
        <w:rFonts w:ascii="Symbol" w:hAnsi="Symbol" w:hint="default"/>
      </w:rPr>
    </w:lvl>
    <w:lvl w:ilvl="4" w:tplc="0C090003" w:tentative="1">
      <w:start w:val="1"/>
      <w:numFmt w:val="bullet"/>
      <w:lvlText w:val="o"/>
      <w:lvlJc w:val="left"/>
      <w:pPr>
        <w:ind w:left="5531" w:hanging="360"/>
      </w:pPr>
      <w:rPr>
        <w:rFonts w:ascii="Courier New" w:hAnsi="Courier New" w:cs="Courier New" w:hint="default"/>
      </w:rPr>
    </w:lvl>
    <w:lvl w:ilvl="5" w:tplc="0C090005" w:tentative="1">
      <w:start w:val="1"/>
      <w:numFmt w:val="bullet"/>
      <w:lvlText w:val=""/>
      <w:lvlJc w:val="left"/>
      <w:pPr>
        <w:ind w:left="6251" w:hanging="360"/>
      </w:pPr>
      <w:rPr>
        <w:rFonts w:ascii="Wingdings" w:hAnsi="Wingdings" w:hint="default"/>
      </w:rPr>
    </w:lvl>
    <w:lvl w:ilvl="6" w:tplc="0C090001" w:tentative="1">
      <w:start w:val="1"/>
      <w:numFmt w:val="bullet"/>
      <w:lvlText w:val=""/>
      <w:lvlJc w:val="left"/>
      <w:pPr>
        <w:ind w:left="6971" w:hanging="360"/>
      </w:pPr>
      <w:rPr>
        <w:rFonts w:ascii="Symbol" w:hAnsi="Symbol" w:hint="default"/>
      </w:rPr>
    </w:lvl>
    <w:lvl w:ilvl="7" w:tplc="0C090003" w:tentative="1">
      <w:start w:val="1"/>
      <w:numFmt w:val="bullet"/>
      <w:lvlText w:val="o"/>
      <w:lvlJc w:val="left"/>
      <w:pPr>
        <w:ind w:left="7691" w:hanging="360"/>
      </w:pPr>
      <w:rPr>
        <w:rFonts w:ascii="Courier New" w:hAnsi="Courier New" w:cs="Courier New" w:hint="default"/>
      </w:rPr>
    </w:lvl>
    <w:lvl w:ilvl="8" w:tplc="0C090005" w:tentative="1">
      <w:start w:val="1"/>
      <w:numFmt w:val="bullet"/>
      <w:lvlText w:val=""/>
      <w:lvlJc w:val="left"/>
      <w:pPr>
        <w:ind w:left="8411" w:hanging="360"/>
      </w:pPr>
      <w:rPr>
        <w:rFonts w:ascii="Wingdings" w:hAnsi="Wingdings" w:hint="default"/>
      </w:rPr>
    </w:lvl>
  </w:abstractNum>
  <w:abstractNum w:abstractNumId="28" w15:restartNumberingAfterBreak="0">
    <w:nsid w:val="7B03700D"/>
    <w:multiLevelType w:val="hybridMultilevel"/>
    <w:tmpl w:val="E0FCAAE2"/>
    <w:lvl w:ilvl="0" w:tplc="7B1C7300">
      <w:start w:val="1"/>
      <w:numFmt w:val="bullet"/>
      <w:lvlText w:val="-"/>
      <w:lvlJc w:val="left"/>
      <w:pPr>
        <w:ind w:left="772" w:hanging="360"/>
      </w:pPr>
      <w:rPr>
        <w:rFonts w:ascii="Verdana" w:hAnsi="Verdana" w:hint="default"/>
      </w:rPr>
    </w:lvl>
    <w:lvl w:ilvl="1" w:tplc="0C090003" w:tentative="1">
      <w:start w:val="1"/>
      <w:numFmt w:val="bullet"/>
      <w:lvlText w:val="o"/>
      <w:lvlJc w:val="left"/>
      <w:pPr>
        <w:ind w:left="1492" w:hanging="360"/>
      </w:pPr>
      <w:rPr>
        <w:rFonts w:ascii="Courier New" w:hAnsi="Courier New" w:cs="Courier New" w:hint="default"/>
      </w:rPr>
    </w:lvl>
    <w:lvl w:ilvl="2" w:tplc="0C090005" w:tentative="1">
      <w:start w:val="1"/>
      <w:numFmt w:val="bullet"/>
      <w:lvlText w:val=""/>
      <w:lvlJc w:val="left"/>
      <w:pPr>
        <w:ind w:left="2212" w:hanging="360"/>
      </w:pPr>
      <w:rPr>
        <w:rFonts w:ascii="Wingdings" w:hAnsi="Wingdings" w:hint="default"/>
      </w:rPr>
    </w:lvl>
    <w:lvl w:ilvl="3" w:tplc="0C090001" w:tentative="1">
      <w:start w:val="1"/>
      <w:numFmt w:val="bullet"/>
      <w:lvlText w:val=""/>
      <w:lvlJc w:val="left"/>
      <w:pPr>
        <w:ind w:left="2932" w:hanging="360"/>
      </w:pPr>
      <w:rPr>
        <w:rFonts w:ascii="Symbol" w:hAnsi="Symbol" w:hint="default"/>
      </w:rPr>
    </w:lvl>
    <w:lvl w:ilvl="4" w:tplc="0C090003" w:tentative="1">
      <w:start w:val="1"/>
      <w:numFmt w:val="bullet"/>
      <w:lvlText w:val="o"/>
      <w:lvlJc w:val="left"/>
      <w:pPr>
        <w:ind w:left="3652" w:hanging="360"/>
      </w:pPr>
      <w:rPr>
        <w:rFonts w:ascii="Courier New" w:hAnsi="Courier New" w:cs="Courier New" w:hint="default"/>
      </w:rPr>
    </w:lvl>
    <w:lvl w:ilvl="5" w:tplc="0C090005" w:tentative="1">
      <w:start w:val="1"/>
      <w:numFmt w:val="bullet"/>
      <w:lvlText w:val=""/>
      <w:lvlJc w:val="left"/>
      <w:pPr>
        <w:ind w:left="4372" w:hanging="360"/>
      </w:pPr>
      <w:rPr>
        <w:rFonts w:ascii="Wingdings" w:hAnsi="Wingdings" w:hint="default"/>
      </w:rPr>
    </w:lvl>
    <w:lvl w:ilvl="6" w:tplc="0C090001" w:tentative="1">
      <w:start w:val="1"/>
      <w:numFmt w:val="bullet"/>
      <w:lvlText w:val=""/>
      <w:lvlJc w:val="left"/>
      <w:pPr>
        <w:ind w:left="5092" w:hanging="360"/>
      </w:pPr>
      <w:rPr>
        <w:rFonts w:ascii="Symbol" w:hAnsi="Symbol" w:hint="default"/>
      </w:rPr>
    </w:lvl>
    <w:lvl w:ilvl="7" w:tplc="0C090003" w:tentative="1">
      <w:start w:val="1"/>
      <w:numFmt w:val="bullet"/>
      <w:lvlText w:val="o"/>
      <w:lvlJc w:val="left"/>
      <w:pPr>
        <w:ind w:left="5812" w:hanging="360"/>
      </w:pPr>
      <w:rPr>
        <w:rFonts w:ascii="Courier New" w:hAnsi="Courier New" w:cs="Courier New" w:hint="default"/>
      </w:rPr>
    </w:lvl>
    <w:lvl w:ilvl="8" w:tplc="0C090005" w:tentative="1">
      <w:start w:val="1"/>
      <w:numFmt w:val="bullet"/>
      <w:lvlText w:val=""/>
      <w:lvlJc w:val="left"/>
      <w:pPr>
        <w:ind w:left="6532" w:hanging="360"/>
      </w:pPr>
      <w:rPr>
        <w:rFonts w:ascii="Wingdings" w:hAnsi="Wingdings" w:hint="default"/>
      </w:rPr>
    </w:lvl>
  </w:abstractNum>
  <w:num w:numId="1">
    <w:abstractNumId w:val="5"/>
  </w:num>
  <w:num w:numId="2">
    <w:abstractNumId w:val="3"/>
  </w:num>
  <w:num w:numId="3">
    <w:abstractNumId w:val="5"/>
  </w:num>
  <w:num w:numId="4">
    <w:abstractNumId w:val="3"/>
  </w:num>
  <w:num w:numId="5">
    <w:abstractNumId w:val="3"/>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6">
    <w:abstractNumId w:val="14"/>
  </w:num>
  <w:num w:numId="7">
    <w:abstractNumId w:val="11"/>
  </w:num>
  <w:num w:numId="8">
    <w:abstractNumId w:val="23"/>
  </w:num>
  <w:num w:numId="9">
    <w:abstractNumId w:val="9"/>
  </w:num>
  <w:num w:numId="10">
    <w:abstractNumId w:val="15"/>
  </w:num>
  <w:num w:numId="11">
    <w:abstractNumId w:val="16"/>
  </w:num>
  <w:num w:numId="12">
    <w:abstractNumId w:val="7"/>
  </w:num>
  <w:num w:numId="13">
    <w:abstractNumId w:val="6"/>
  </w:num>
  <w:num w:numId="14">
    <w:abstractNumId w:val="27"/>
  </w:num>
  <w:num w:numId="15">
    <w:abstractNumId w:val="21"/>
  </w:num>
  <w:num w:numId="16">
    <w:abstractNumId w:val="8"/>
  </w:num>
  <w:num w:numId="17">
    <w:abstractNumId w:val="20"/>
  </w:num>
  <w:num w:numId="18">
    <w:abstractNumId w:val="4"/>
  </w:num>
  <w:num w:numId="19">
    <w:abstractNumId w:val="22"/>
  </w:num>
  <w:num w:numId="20">
    <w:abstractNumId w:val="26"/>
  </w:num>
  <w:num w:numId="21">
    <w:abstractNumId w:val="18"/>
  </w:num>
  <w:num w:numId="22">
    <w:abstractNumId w:val="24"/>
  </w:num>
  <w:num w:numId="23">
    <w:abstractNumId w:val="2"/>
  </w:num>
  <w:num w:numId="24">
    <w:abstractNumId w:val="10"/>
  </w:num>
  <w:num w:numId="25">
    <w:abstractNumId w:val="13"/>
  </w:num>
  <w:num w:numId="26">
    <w:abstractNumId w:val="25"/>
  </w:num>
  <w:num w:numId="27">
    <w:abstractNumId w:val="12"/>
  </w:num>
  <w:num w:numId="28">
    <w:abstractNumId w:val="28"/>
  </w:num>
  <w:num w:numId="29">
    <w:abstractNumId w:val="17"/>
  </w:num>
  <w:num w:numId="30">
    <w:abstractNumId w:val="1"/>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num>
  <w:num w:numId="34">
    <w:abstractNumId w:val="0"/>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131A"/>
    <w:rsid w:val="00002031"/>
    <w:rsid w:val="00004734"/>
    <w:rsid w:val="00006B22"/>
    <w:rsid w:val="00006FAB"/>
    <w:rsid w:val="0001276A"/>
    <w:rsid w:val="00021004"/>
    <w:rsid w:val="000230CF"/>
    <w:rsid w:val="0002383A"/>
    <w:rsid w:val="000246AE"/>
    <w:rsid w:val="00025126"/>
    <w:rsid w:val="00025C67"/>
    <w:rsid w:val="00027F82"/>
    <w:rsid w:val="0003092E"/>
    <w:rsid w:val="00032647"/>
    <w:rsid w:val="00033D17"/>
    <w:rsid w:val="0004308D"/>
    <w:rsid w:val="00044772"/>
    <w:rsid w:val="0004541C"/>
    <w:rsid w:val="00053E47"/>
    <w:rsid w:val="0005559E"/>
    <w:rsid w:val="000604A8"/>
    <w:rsid w:val="000604D6"/>
    <w:rsid w:val="00061158"/>
    <w:rsid w:val="000734D8"/>
    <w:rsid w:val="00077775"/>
    <w:rsid w:val="0008329A"/>
    <w:rsid w:val="00083F66"/>
    <w:rsid w:val="00090471"/>
    <w:rsid w:val="00096AA7"/>
    <w:rsid w:val="00097562"/>
    <w:rsid w:val="000A3AED"/>
    <w:rsid w:val="000A7587"/>
    <w:rsid w:val="000B0B48"/>
    <w:rsid w:val="000B3532"/>
    <w:rsid w:val="000B3A75"/>
    <w:rsid w:val="000C00C2"/>
    <w:rsid w:val="000C3975"/>
    <w:rsid w:val="000C690F"/>
    <w:rsid w:val="000D0402"/>
    <w:rsid w:val="000D1295"/>
    <w:rsid w:val="000D32B8"/>
    <w:rsid w:val="000D391B"/>
    <w:rsid w:val="000D3D6D"/>
    <w:rsid w:val="000D4FC7"/>
    <w:rsid w:val="000E4896"/>
    <w:rsid w:val="000E6196"/>
    <w:rsid w:val="000F4869"/>
    <w:rsid w:val="000F4AE2"/>
    <w:rsid w:val="000F5B42"/>
    <w:rsid w:val="000F6E6F"/>
    <w:rsid w:val="0010601F"/>
    <w:rsid w:val="001060F6"/>
    <w:rsid w:val="0010788A"/>
    <w:rsid w:val="00107A31"/>
    <w:rsid w:val="00110EA5"/>
    <w:rsid w:val="00112F56"/>
    <w:rsid w:val="00122C2E"/>
    <w:rsid w:val="00122C60"/>
    <w:rsid w:val="0012437B"/>
    <w:rsid w:val="00124ACD"/>
    <w:rsid w:val="00125318"/>
    <w:rsid w:val="001305A2"/>
    <w:rsid w:val="00133238"/>
    <w:rsid w:val="00133A1B"/>
    <w:rsid w:val="0014197B"/>
    <w:rsid w:val="001447CD"/>
    <w:rsid w:val="001516B1"/>
    <w:rsid w:val="00154EBB"/>
    <w:rsid w:val="00156316"/>
    <w:rsid w:val="00157686"/>
    <w:rsid w:val="00161181"/>
    <w:rsid w:val="00161D56"/>
    <w:rsid w:val="00162D14"/>
    <w:rsid w:val="00163780"/>
    <w:rsid w:val="00165389"/>
    <w:rsid w:val="00166A04"/>
    <w:rsid w:val="00166CDC"/>
    <w:rsid w:val="00167DF2"/>
    <w:rsid w:val="00172311"/>
    <w:rsid w:val="0017693F"/>
    <w:rsid w:val="0018110E"/>
    <w:rsid w:val="00181684"/>
    <w:rsid w:val="001843C6"/>
    <w:rsid w:val="001850E0"/>
    <w:rsid w:val="00185407"/>
    <w:rsid w:val="001A03AF"/>
    <w:rsid w:val="001A0F07"/>
    <w:rsid w:val="001A2158"/>
    <w:rsid w:val="001A416F"/>
    <w:rsid w:val="001A525F"/>
    <w:rsid w:val="001A5A00"/>
    <w:rsid w:val="001A6327"/>
    <w:rsid w:val="001A66B8"/>
    <w:rsid w:val="001B09F9"/>
    <w:rsid w:val="001B1DA4"/>
    <w:rsid w:val="001B5C90"/>
    <w:rsid w:val="001B6448"/>
    <w:rsid w:val="001C32CD"/>
    <w:rsid w:val="001D0072"/>
    <w:rsid w:val="001D040E"/>
    <w:rsid w:val="001D2984"/>
    <w:rsid w:val="001D5C5D"/>
    <w:rsid w:val="001D6BB1"/>
    <w:rsid w:val="001E07CF"/>
    <w:rsid w:val="001E0F71"/>
    <w:rsid w:val="001E359E"/>
    <w:rsid w:val="001E59F1"/>
    <w:rsid w:val="001E65C1"/>
    <w:rsid w:val="001F2CEE"/>
    <w:rsid w:val="001F30DF"/>
    <w:rsid w:val="001F49EB"/>
    <w:rsid w:val="001F6CBA"/>
    <w:rsid w:val="002015FB"/>
    <w:rsid w:val="00201D4E"/>
    <w:rsid w:val="00202211"/>
    <w:rsid w:val="002076C9"/>
    <w:rsid w:val="00217F6E"/>
    <w:rsid w:val="00220B8A"/>
    <w:rsid w:val="002257F3"/>
    <w:rsid w:val="00233456"/>
    <w:rsid w:val="002339A5"/>
    <w:rsid w:val="00243AE2"/>
    <w:rsid w:val="00250271"/>
    <w:rsid w:val="00250F35"/>
    <w:rsid w:val="00256EDF"/>
    <w:rsid w:val="00257848"/>
    <w:rsid w:val="002578E8"/>
    <w:rsid w:val="00257D60"/>
    <w:rsid w:val="00270473"/>
    <w:rsid w:val="0027084A"/>
    <w:rsid w:val="002777B3"/>
    <w:rsid w:val="00280265"/>
    <w:rsid w:val="0028314C"/>
    <w:rsid w:val="00284330"/>
    <w:rsid w:val="00286434"/>
    <w:rsid w:val="00286C59"/>
    <w:rsid w:val="00291957"/>
    <w:rsid w:val="00292D15"/>
    <w:rsid w:val="002942D1"/>
    <w:rsid w:val="0029501A"/>
    <w:rsid w:val="002A0434"/>
    <w:rsid w:val="002A1C30"/>
    <w:rsid w:val="002A3721"/>
    <w:rsid w:val="002A56CC"/>
    <w:rsid w:val="002A7CCB"/>
    <w:rsid w:val="002B1638"/>
    <w:rsid w:val="002B3624"/>
    <w:rsid w:val="002B6B89"/>
    <w:rsid w:val="002C0170"/>
    <w:rsid w:val="002C334E"/>
    <w:rsid w:val="002C4F37"/>
    <w:rsid w:val="002D0952"/>
    <w:rsid w:val="002E3EA1"/>
    <w:rsid w:val="002E40B3"/>
    <w:rsid w:val="002E4C9A"/>
    <w:rsid w:val="002E6364"/>
    <w:rsid w:val="002E6B30"/>
    <w:rsid w:val="002F11F8"/>
    <w:rsid w:val="002F3F56"/>
    <w:rsid w:val="002F44B5"/>
    <w:rsid w:val="002F5122"/>
    <w:rsid w:val="002F6D56"/>
    <w:rsid w:val="00303378"/>
    <w:rsid w:val="00310245"/>
    <w:rsid w:val="00311AC0"/>
    <w:rsid w:val="003159DC"/>
    <w:rsid w:val="003176FC"/>
    <w:rsid w:val="00323CBE"/>
    <w:rsid w:val="00324E45"/>
    <w:rsid w:val="00324EB9"/>
    <w:rsid w:val="00325203"/>
    <w:rsid w:val="0032583B"/>
    <w:rsid w:val="00327883"/>
    <w:rsid w:val="00332715"/>
    <w:rsid w:val="00332C95"/>
    <w:rsid w:val="00335504"/>
    <w:rsid w:val="00340C18"/>
    <w:rsid w:val="00341EE2"/>
    <w:rsid w:val="003442FD"/>
    <w:rsid w:val="00347824"/>
    <w:rsid w:val="0035051D"/>
    <w:rsid w:val="00350567"/>
    <w:rsid w:val="003521E8"/>
    <w:rsid w:val="003530A1"/>
    <w:rsid w:val="00362371"/>
    <w:rsid w:val="00370CE3"/>
    <w:rsid w:val="003728F3"/>
    <w:rsid w:val="00372A01"/>
    <w:rsid w:val="003735BC"/>
    <w:rsid w:val="0037496E"/>
    <w:rsid w:val="00377814"/>
    <w:rsid w:val="00383221"/>
    <w:rsid w:val="00386150"/>
    <w:rsid w:val="00386295"/>
    <w:rsid w:val="003874CE"/>
    <w:rsid w:val="00390900"/>
    <w:rsid w:val="003A7F6C"/>
    <w:rsid w:val="003B360B"/>
    <w:rsid w:val="003B382B"/>
    <w:rsid w:val="003B4D60"/>
    <w:rsid w:val="003B6180"/>
    <w:rsid w:val="003B7E39"/>
    <w:rsid w:val="003C0D40"/>
    <w:rsid w:val="003C3060"/>
    <w:rsid w:val="003C58DC"/>
    <w:rsid w:val="003D1E62"/>
    <w:rsid w:val="003D7DF7"/>
    <w:rsid w:val="003E0B99"/>
    <w:rsid w:val="003E2486"/>
    <w:rsid w:val="003E3174"/>
    <w:rsid w:val="003E3208"/>
    <w:rsid w:val="003E48BB"/>
    <w:rsid w:val="003F0B04"/>
    <w:rsid w:val="0040134E"/>
    <w:rsid w:val="00407FBB"/>
    <w:rsid w:val="00411397"/>
    <w:rsid w:val="00422362"/>
    <w:rsid w:val="004334C7"/>
    <w:rsid w:val="00433A0D"/>
    <w:rsid w:val="00440390"/>
    <w:rsid w:val="00440A2D"/>
    <w:rsid w:val="00441C3F"/>
    <w:rsid w:val="0044375F"/>
    <w:rsid w:val="00443C50"/>
    <w:rsid w:val="00443F4C"/>
    <w:rsid w:val="004440A2"/>
    <w:rsid w:val="00444D1A"/>
    <w:rsid w:val="0045186A"/>
    <w:rsid w:val="00451B12"/>
    <w:rsid w:val="00453641"/>
    <w:rsid w:val="00454BDC"/>
    <w:rsid w:val="004564A7"/>
    <w:rsid w:val="00456765"/>
    <w:rsid w:val="00460036"/>
    <w:rsid w:val="004617BF"/>
    <w:rsid w:val="00461873"/>
    <w:rsid w:val="00462328"/>
    <w:rsid w:val="00462CC8"/>
    <w:rsid w:val="00462FB8"/>
    <w:rsid w:val="00463658"/>
    <w:rsid w:val="004637A0"/>
    <w:rsid w:val="00463E4D"/>
    <w:rsid w:val="00471342"/>
    <w:rsid w:val="004722CC"/>
    <w:rsid w:val="0048018B"/>
    <w:rsid w:val="00490483"/>
    <w:rsid w:val="004936E4"/>
    <w:rsid w:val="00494E60"/>
    <w:rsid w:val="004963FA"/>
    <w:rsid w:val="00497487"/>
    <w:rsid w:val="004A0B90"/>
    <w:rsid w:val="004A2771"/>
    <w:rsid w:val="004A3573"/>
    <w:rsid w:val="004A6189"/>
    <w:rsid w:val="004A727F"/>
    <w:rsid w:val="004A7390"/>
    <w:rsid w:val="004B644A"/>
    <w:rsid w:val="004B7B76"/>
    <w:rsid w:val="004C239D"/>
    <w:rsid w:val="004C2B1B"/>
    <w:rsid w:val="004C2DCA"/>
    <w:rsid w:val="004C4FBE"/>
    <w:rsid w:val="004C5EC0"/>
    <w:rsid w:val="004C61D2"/>
    <w:rsid w:val="004D6645"/>
    <w:rsid w:val="004F0C4A"/>
    <w:rsid w:val="004F0F38"/>
    <w:rsid w:val="004F47D6"/>
    <w:rsid w:val="00500337"/>
    <w:rsid w:val="00501921"/>
    <w:rsid w:val="00503BE7"/>
    <w:rsid w:val="005045AB"/>
    <w:rsid w:val="00505417"/>
    <w:rsid w:val="005061DC"/>
    <w:rsid w:val="0050649B"/>
    <w:rsid w:val="00507B42"/>
    <w:rsid w:val="0052149B"/>
    <w:rsid w:val="00523A21"/>
    <w:rsid w:val="00526025"/>
    <w:rsid w:val="00530354"/>
    <w:rsid w:val="005308BE"/>
    <w:rsid w:val="0053562A"/>
    <w:rsid w:val="0053625B"/>
    <w:rsid w:val="005434C6"/>
    <w:rsid w:val="00543B39"/>
    <w:rsid w:val="00545CDB"/>
    <w:rsid w:val="00546154"/>
    <w:rsid w:val="00550096"/>
    <w:rsid w:val="00555280"/>
    <w:rsid w:val="00557FF9"/>
    <w:rsid w:val="00562327"/>
    <w:rsid w:val="005711D5"/>
    <w:rsid w:val="005728DC"/>
    <w:rsid w:val="00576378"/>
    <w:rsid w:val="00577130"/>
    <w:rsid w:val="00577602"/>
    <w:rsid w:val="00577945"/>
    <w:rsid w:val="00577E38"/>
    <w:rsid w:val="005826DC"/>
    <w:rsid w:val="00585322"/>
    <w:rsid w:val="005857C6"/>
    <w:rsid w:val="00592F6E"/>
    <w:rsid w:val="00593AD1"/>
    <w:rsid w:val="005A68B6"/>
    <w:rsid w:val="005A79F5"/>
    <w:rsid w:val="005B2519"/>
    <w:rsid w:val="005B2DA8"/>
    <w:rsid w:val="005B31E1"/>
    <w:rsid w:val="005C4310"/>
    <w:rsid w:val="005C494B"/>
    <w:rsid w:val="005C5570"/>
    <w:rsid w:val="005C5B66"/>
    <w:rsid w:val="005C79A4"/>
    <w:rsid w:val="005D1DCC"/>
    <w:rsid w:val="005D33DF"/>
    <w:rsid w:val="005D5442"/>
    <w:rsid w:val="005D7175"/>
    <w:rsid w:val="005E0492"/>
    <w:rsid w:val="005F4A63"/>
    <w:rsid w:val="00600C4D"/>
    <w:rsid w:val="00600C62"/>
    <w:rsid w:val="00603F32"/>
    <w:rsid w:val="00605AD4"/>
    <w:rsid w:val="00611098"/>
    <w:rsid w:val="0061307F"/>
    <w:rsid w:val="006136D7"/>
    <w:rsid w:val="006149D9"/>
    <w:rsid w:val="00625A6E"/>
    <w:rsid w:val="00626444"/>
    <w:rsid w:val="00631EBA"/>
    <w:rsid w:val="00632398"/>
    <w:rsid w:val="0063341A"/>
    <w:rsid w:val="00634E98"/>
    <w:rsid w:val="006353BE"/>
    <w:rsid w:val="0063769A"/>
    <w:rsid w:val="00640FC3"/>
    <w:rsid w:val="00642020"/>
    <w:rsid w:val="006429CE"/>
    <w:rsid w:val="006430EE"/>
    <w:rsid w:val="0065337B"/>
    <w:rsid w:val="0065362E"/>
    <w:rsid w:val="0065419D"/>
    <w:rsid w:val="006603BC"/>
    <w:rsid w:val="006604D8"/>
    <w:rsid w:val="00664A5B"/>
    <w:rsid w:val="0066735C"/>
    <w:rsid w:val="00671141"/>
    <w:rsid w:val="006763D2"/>
    <w:rsid w:val="006766E0"/>
    <w:rsid w:val="00680C08"/>
    <w:rsid w:val="00682774"/>
    <w:rsid w:val="006829C5"/>
    <w:rsid w:val="00687399"/>
    <w:rsid w:val="006901BA"/>
    <w:rsid w:val="006914BF"/>
    <w:rsid w:val="006916A0"/>
    <w:rsid w:val="00692397"/>
    <w:rsid w:val="006931B1"/>
    <w:rsid w:val="006957F8"/>
    <w:rsid w:val="006A15C0"/>
    <w:rsid w:val="006A58A8"/>
    <w:rsid w:val="006A7245"/>
    <w:rsid w:val="006B34A1"/>
    <w:rsid w:val="006C3E2A"/>
    <w:rsid w:val="006C642F"/>
    <w:rsid w:val="006D03E5"/>
    <w:rsid w:val="006D5D3E"/>
    <w:rsid w:val="006E08B3"/>
    <w:rsid w:val="006E0DAA"/>
    <w:rsid w:val="006E5F9D"/>
    <w:rsid w:val="006F17AC"/>
    <w:rsid w:val="006F25B8"/>
    <w:rsid w:val="006F572E"/>
    <w:rsid w:val="007046D6"/>
    <w:rsid w:val="00705DB0"/>
    <w:rsid w:val="0072292E"/>
    <w:rsid w:val="00722B57"/>
    <w:rsid w:val="00730F8A"/>
    <w:rsid w:val="00733188"/>
    <w:rsid w:val="0073427B"/>
    <w:rsid w:val="00735A8C"/>
    <w:rsid w:val="00740323"/>
    <w:rsid w:val="0074163C"/>
    <w:rsid w:val="0074253D"/>
    <w:rsid w:val="007435A6"/>
    <w:rsid w:val="007440B9"/>
    <w:rsid w:val="00744121"/>
    <w:rsid w:val="0074429B"/>
    <w:rsid w:val="007615BC"/>
    <w:rsid w:val="00762ADC"/>
    <w:rsid w:val="00762F05"/>
    <w:rsid w:val="007652FF"/>
    <w:rsid w:val="0076616F"/>
    <w:rsid w:val="0076677D"/>
    <w:rsid w:val="00766A38"/>
    <w:rsid w:val="00770CAC"/>
    <w:rsid w:val="00770D0B"/>
    <w:rsid w:val="00770E31"/>
    <w:rsid w:val="00770EF1"/>
    <w:rsid w:val="0077131A"/>
    <w:rsid w:val="00773EF7"/>
    <w:rsid w:val="00774E1D"/>
    <w:rsid w:val="007765D8"/>
    <w:rsid w:val="0077675A"/>
    <w:rsid w:val="007771BF"/>
    <w:rsid w:val="00780355"/>
    <w:rsid w:val="007819FD"/>
    <w:rsid w:val="00782F8C"/>
    <w:rsid w:val="007850EA"/>
    <w:rsid w:val="00785717"/>
    <w:rsid w:val="00785721"/>
    <w:rsid w:val="00786F7F"/>
    <w:rsid w:val="00793A59"/>
    <w:rsid w:val="00795BF7"/>
    <w:rsid w:val="00797771"/>
    <w:rsid w:val="007A305C"/>
    <w:rsid w:val="007A46F5"/>
    <w:rsid w:val="007A4E6C"/>
    <w:rsid w:val="007A6505"/>
    <w:rsid w:val="007B4B80"/>
    <w:rsid w:val="007B5BFB"/>
    <w:rsid w:val="007B6132"/>
    <w:rsid w:val="007B6E9F"/>
    <w:rsid w:val="007C1216"/>
    <w:rsid w:val="007C1AF7"/>
    <w:rsid w:val="007C3D5F"/>
    <w:rsid w:val="007C6B9B"/>
    <w:rsid w:val="007D53B6"/>
    <w:rsid w:val="007E5C95"/>
    <w:rsid w:val="007F238F"/>
    <w:rsid w:val="00804D99"/>
    <w:rsid w:val="00805D27"/>
    <w:rsid w:val="00806DCB"/>
    <w:rsid w:val="008110BC"/>
    <w:rsid w:val="00821776"/>
    <w:rsid w:val="00823047"/>
    <w:rsid w:val="008321F5"/>
    <w:rsid w:val="00832369"/>
    <w:rsid w:val="00833ED8"/>
    <w:rsid w:val="00834660"/>
    <w:rsid w:val="00835E7C"/>
    <w:rsid w:val="00836BC2"/>
    <w:rsid w:val="00836F7C"/>
    <w:rsid w:val="0085156D"/>
    <w:rsid w:val="00852B28"/>
    <w:rsid w:val="00853BFD"/>
    <w:rsid w:val="0085641B"/>
    <w:rsid w:val="00857136"/>
    <w:rsid w:val="00865B03"/>
    <w:rsid w:val="00875A6B"/>
    <w:rsid w:val="0088203B"/>
    <w:rsid w:val="00883866"/>
    <w:rsid w:val="00885B11"/>
    <w:rsid w:val="00886809"/>
    <w:rsid w:val="00886D15"/>
    <w:rsid w:val="00887DD8"/>
    <w:rsid w:val="00891BA9"/>
    <w:rsid w:val="00892332"/>
    <w:rsid w:val="00896018"/>
    <w:rsid w:val="008960DD"/>
    <w:rsid w:val="0089635C"/>
    <w:rsid w:val="008A1524"/>
    <w:rsid w:val="008A2B9D"/>
    <w:rsid w:val="008A3D9F"/>
    <w:rsid w:val="008A5E0B"/>
    <w:rsid w:val="008A6D59"/>
    <w:rsid w:val="008A6D96"/>
    <w:rsid w:val="008A6FFE"/>
    <w:rsid w:val="008A7ED4"/>
    <w:rsid w:val="008B1EE9"/>
    <w:rsid w:val="008B4B03"/>
    <w:rsid w:val="008B4C65"/>
    <w:rsid w:val="008B596F"/>
    <w:rsid w:val="008C159F"/>
    <w:rsid w:val="008C1623"/>
    <w:rsid w:val="008C1850"/>
    <w:rsid w:val="008C51A9"/>
    <w:rsid w:val="008C67E1"/>
    <w:rsid w:val="008E7846"/>
    <w:rsid w:val="008F02E5"/>
    <w:rsid w:val="008F1CCC"/>
    <w:rsid w:val="008F2967"/>
    <w:rsid w:val="008F33A2"/>
    <w:rsid w:val="008F4EBB"/>
    <w:rsid w:val="008F6943"/>
    <w:rsid w:val="009002C6"/>
    <w:rsid w:val="00902A21"/>
    <w:rsid w:val="00907545"/>
    <w:rsid w:val="0091523F"/>
    <w:rsid w:val="00920330"/>
    <w:rsid w:val="009219D7"/>
    <w:rsid w:val="00921F5C"/>
    <w:rsid w:val="00922D53"/>
    <w:rsid w:val="00923B70"/>
    <w:rsid w:val="00924482"/>
    <w:rsid w:val="00925744"/>
    <w:rsid w:val="00927332"/>
    <w:rsid w:val="00930237"/>
    <w:rsid w:val="00932806"/>
    <w:rsid w:val="00937C17"/>
    <w:rsid w:val="00940710"/>
    <w:rsid w:val="00940A89"/>
    <w:rsid w:val="00941162"/>
    <w:rsid w:val="00941F77"/>
    <w:rsid w:val="00946EA5"/>
    <w:rsid w:val="00956CB2"/>
    <w:rsid w:val="00960520"/>
    <w:rsid w:val="009622DC"/>
    <w:rsid w:val="00963553"/>
    <w:rsid w:val="00963C08"/>
    <w:rsid w:val="009752A5"/>
    <w:rsid w:val="0098585A"/>
    <w:rsid w:val="009922F5"/>
    <w:rsid w:val="00993EA6"/>
    <w:rsid w:val="0099417E"/>
    <w:rsid w:val="009A0394"/>
    <w:rsid w:val="009A4CED"/>
    <w:rsid w:val="009A690D"/>
    <w:rsid w:val="009A7761"/>
    <w:rsid w:val="009B1D12"/>
    <w:rsid w:val="009B416B"/>
    <w:rsid w:val="009C2789"/>
    <w:rsid w:val="009C4BD5"/>
    <w:rsid w:val="009D7B77"/>
    <w:rsid w:val="009E0BB0"/>
    <w:rsid w:val="009E3FBB"/>
    <w:rsid w:val="009E5A87"/>
    <w:rsid w:val="009F2673"/>
    <w:rsid w:val="009F35FA"/>
    <w:rsid w:val="009F7353"/>
    <w:rsid w:val="00A01427"/>
    <w:rsid w:val="00A04CFB"/>
    <w:rsid w:val="00A04F85"/>
    <w:rsid w:val="00A05FA4"/>
    <w:rsid w:val="00A0674A"/>
    <w:rsid w:val="00A102E4"/>
    <w:rsid w:val="00A1219C"/>
    <w:rsid w:val="00A12C42"/>
    <w:rsid w:val="00A14DF7"/>
    <w:rsid w:val="00A15D5B"/>
    <w:rsid w:val="00A22D57"/>
    <w:rsid w:val="00A3246D"/>
    <w:rsid w:val="00A3405B"/>
    <w:rsid w:val="00A36219"/>
    <w:rsid w:val="00A36FA7"/>
    <w:rsid w:val="00A41785"/>
    <w:rsid w:val="00A44DDB"/>
    <w:rsid w:val="00A475B7"/>
    <w:rsid w:val="00A47AF7"/>
    <w:rsid w:val="00A47C3E"/>
    <w:rsid w:val="00A50226"/>
    <w:rsid w:val="00A508B9"/>
    <w:rsid w:val="00A51B66"/>
    <w:rsid w:val="00A53DAD"/>
    <w:rsid w:val="00A60BAD"/>
    <w:rsid w:val="00A77F87"/>
    <w:rsid w:val="00A80B5B"/>
    <w:rsid w:val="00A84E36"/>
    <w:rsid w:val="00A85AAB"/>
    <w:rsid w:val="00A90D29"/>
    <w:rsid w:val="00A94913"/>
    <w:rsid w:val="00A964D1"/>
    <w:rsid w:val="00AA0ED0"/>
    <w:rsid w:val="00AA44D2"/>
    <w:rsid w:val="00AA5BAE"/>
    <w:rsid w:val="00AA5BD4"/>
    <w:rsid w:val="00AC2B40"/>
    <w:rsid w:val="00AC2BB2"/>
    <w:rsid w:val="00AC2C3C"/>
    <w:rsid w:val="00AC512D"/>
    <w:rsid w:val="00AC5B37"/>
    <w:rsid w:val="00AD0083"/>
    <w:rsid w:val="00AD3935"/>
    <w:rsid w:val="00AD420F"/>
    <w:rsid w:val="00AD7682"/>
    <w:rsid w:val="00AE1823"/>
    <w:rsid w:val="00AE30EF"/>
    <w:rsid w:val="00AE65EB"/>
    <w:rsid w:val="00AE67A7"/>
    <w:rsid w:val="00AE6E33"/>
    <w:rsid w:val="00AF0722"/>
    <w:rsid w:val="00AF1D94"/>
    <w:rsid w:val="00AF2313"/>
    <w:rsid w:val="00AF5619"/>
    <w:rsid w:val="00AF60C5"/>
    <w:rsid w:val="00B00830"/>
    <w:rsid w:val="00B009C6"/>
    <w:rsid w:val="00B01548"/>
    <w:rsid w:val="00B059E6"/>
    <w:rsid w:val="00B130C5"/>
    <w:rsid w:val="00B134BA"/>
    <w:rsid w:val="00B13EBD"/>
    <w:rsid w:val="00B1406F"/>
    <w:rsid w:val="00B1522F"/>
    <w:rsid w:val="00B21D29"/>
    <w:rsid w:val="00B25034"/>
    <w:rsid w:val="00B300E5"/>
    <w:rsid w:val="00B306ED"/>
    <w:rsid w:val="00B31D61"/>
    <w:rsid w:val="00B33406"/>
    <w:rsid w:val="00B33588"/>
    <w:rsid w:val="00B33863"/>
    <w:rsid w:val="00B37D17"/>
    <w:rsid w:val="00B4175E"/>
    <w:rsid w:val="00B41C85"/>
    <w:rsid w:val="00B452CE"/>
    <w:rsid w:val="00B51532"/>
    <w:rsid w:val="00B54C25"/>
    <w:rsid w:val="00B57A42"/>
    <w:rsid w:val="00B62751"/>
    <w:rsid w:val="00B67E63"/>
    <w:rsid w:val="00B74405"/>
    <w:rsid w:val="00B74FAD"/>
    <w:rsid w:val="00B767A4"/>
    <w:rsid w:val="00B76B91"/>
    <w:rsid w:val="00B77EB1"/>
    <w:rsid w:val="00B811C6"/>
    <w:rsid w:val="00B855B0"/>
    <w:rsid w:val="00B865D6"/>
    <w:rsid w:val="00B87ED5"/>
    <w:rsid w:val="00B92523"/>
    <w:rsid w:val="00B92E08"/>
    <w:rsid w:val="00B933FF"/>
    <w:rsid w:val="00B97B31"/>
    <w:rsid w:val="00BB0B78"/>
    <w:rsid w:val="00BB6812"/>
    <w:rsid w:val="00BB77AA"/>
    <w:rsid w:val="00BC31B0"/>
    <w:rsid w:val="00BC4222"/>
    <w:rsid w:val="00BC46D9"/>
    <w:rsid w:val="00BC622A"/>
    <w:rsid w:val="00BE0A78"/>
    <w:rsid w:val="00BE6542"/>
    <w:rsid w:val="00BE79F0"/>
    <w:rsid w:val="00BE7B24"/>
    <w:rsid w:val="00BF046D"/>
    <w:rsid w:val="00BF1190"/>
    <w:rsid w:val="00BF3774"/>
    <w:rsid w:val="00BF5D04"/>
    <w:rsid w:val="00BF6B85"/>
    <w:rsid w:val="00BF7063"/>
    <w:rsid w:val="00C009AA"/>
    <w:rsid w:val="00C056B6"/>
    <w:rsid w:val="00C06C6F"/>
    <w:rsid w:val="00C1164D"/>
    <w:rsid w:val="00C15AF0"/>
    <w:rsid w:val="00C16861"/>
    <w:rsid w:val="00C335ED"/>
    <w:rsid w:val="00C34133"/>
    <w:rsid w:val="00C346AB"/>
    <w:rsid w:val="00C351C1"/>
    <w:rsid w:val="00C35FD1"/>
    <w:rsid w:val="00C3742F"/>
    <w:rsid w:val="00C404A6"/>
    <w:rsid w:val="00C40A36"/>
    <w:rsid w:val="00C4203D"/>
    <w:rsid w:val="00C44419"/>
    <w:rsid w:val="00C45A15"/>
    <w:rsid w:val="00C45E7B"/>
    <w:rsid w:val="00C471B1"/>
    <w:rsid w:val="00C50DE9"/>
    <w:rsid w:val="00C525A2"/>
    <w:rsid w:val="00C52E24"/>
    <w:rsid w:val="00C54AEE"/>
    <w:rsid w:val="00C6316B"/>
    <w:rsid w:val="00C634A9"/>
    <w:rsid w:val="00C64586"/>
    <w:rsid w:val="00C70A36"/>
    <w:rsid w:val="00C70D53"/>
    <w:rsid w:val="00C7127A"/>
    <w:rsid w:val="00C731A3"/>
    <w:rsid w:val="00C73D0B"/>
    <w:rsid w:val="00C74F5C"/>
    <w:rsid w:val="00C772FF"/>
    <w:rsid w:val="00C80137"/>
    <w:rsid w:val="00C801AF"/>
    <w:rsid w:val="00C80256"/>
    <w:rsid w:val="00C82ED0"/>
    <w:rsid w:val="00C865A9"/>
    <w:rsid w:val="00C908F4"/>
    <w:rsid w:val="00C94CD4"/>
    <w:rsid w:val="00C9747E"/>
    <w:rsid w:val="00CA216E"/>
    <w:rsid w:val="00CA47D7"/>
    <w:rsid w:val="00CB1DC8"/>
    <w:rsid w:val="00CB6BC0"/>
    <w:rsid w:val="00CC1B7C"/>
    <w:rsid w:val="00CC5044"/>
    <w:rsid w:val="00CC727F"/>
    <w:rsid w:val="00CE3E87"/>
    <w:rsid w:val="00CF15C3"/>
    <w:rsid w:val="00CF2B6F"/>
    <w:rsid w:val="00CF2F3E"/>
    <w:rsid w:val="00CF58B6"/>
    <w:rsid w:val="00CF5DAD"/>
    <w:rsid w:val="00D0062D"/>
    <w:rsid w:val="00D017ED"/>
    <w:rsid w:val="00D01C74"/>
    <w:rsid w:val="00D040D3"/>
    <w:rsid w:val="00D04C65"/>
    <w:rsid w:val="00D05272"/>
    <w:rsid w:val="00D056C5"/>
    <w:rsid w:val="00D056E5"/>
    <w:rsid w:val="00D153D8"/>
    <w:rsid w:val="00D201D2"/>
    <w:rsid w:val="00D212F3"/>
    <w:rsid w:val="00D224FE"/>
    <w:rsid w:val="00D23139"/>
    <w:rsid w:val="00D315DA"/>
    <w:rsid w:val="00D34EEB"/>
    <w:rsid w:val="00D425BB"/>
    <w:rsid w:val="00D42746"/>
    <w:rsid w:val="00D453FA"/>
    <w:rsid w:val="00D4606E"/>
    <w:rsid w:val="00D4656E"/>
    <w:rsid w:val="00D55544"/>
    <w:rsid w:val="00D61470"/>
    <w:rsid w:val="00D6493E"/>
    <w:rsid w:val="00D7028E"/>
    <w:rsid w:val="00D7195D"/>
    <w:rsid w:val="00D7301E"/>
    <w:rsid w:val="00D83AE1"/>
    <w:rsid w:val="00D83E26"/>
    <w:rsid w:val="00D84569"/>
    <w:rsid w:val="00D854AC"/>
    <w:rsid w:val="00D855D4"/>
    <w:rsid w:val="00D902C9"/>
    <w:rsid w:val="00D93466"/>
    <w:rsid w:val="00D93E1E"/>
    <w:rsid w:val="00DA1124"/>
    <w:rsid w:val="00DA64CB"/>
    <w:rsid w:val="00DB06B8"/>
    <w:rsid w:val="00DB5DE2"/>
    <w:rsid w:val="00DB6124"/>
    <w:rsid w:val="00DB750B"/>
    <w:rsid w:val="00DB75B7"/>
    <w:rsid w:val="00DC0301"/>
    <w:rsid w:val="00DC0A2F"/>
    <w:rsid w:val="00DC1948"/>
    <w:rsid w:val="00DC1C57"/>
    <w:rsid w:val="00DC3753"/>
    <w:rsid w:val="00DC55A7"/>
    <w:rsid w:val="00DC6E02"/>
    <w:rsid w:val="00DD28CD"/>
    <w:rsid w:val="00DD65BB"/>
    <w:rsid w:val="00DD6D4D"/>
    <w:rsid w:val="00DD74F9"/>
    <w:rsid w:val="00DE02AE"/>
    <w:rsid w:val="00DE0A80"/>
    <w:rsid w:val="00DE111C"/>
    <w:rsid w:val="00DE39D1"/>
    <w:rsid w:val="00DF1D7F"/>
    <w:rsid w:val="00DF4BE4"/>
    <w:rsid w:val="00DF7C6F"/>
    <w:rsid w:val="00E00CB3"/>
    <w:rsid w:val="00E02382"/>
    <w:rsid w:val="00E02FB4"/>
    <w:rsid w:val="00E139AE"/>
    <w:rsid w:val="00E13FC7"/>
    <w:rsid w:val="00E14C73"/>
    <w:rsid w:val="00E166EF"/>
    <w:rsid w:val="00E20571"/>
    <w:rsid w:val="00E22EEB"/>
    <w:rsid w:val="00E235F7"/>
    <w:rsid w:val="00E23659"/>
    <w:rsid w:val="00E239D4"/>
    <w:rsid w:val="00E23B36"/>
    <w:rsid w:val="00E2600A"/>
    <w:rsid w:val="00E26130"/>
    <w:rsid w:val="00E2711A"/>
    <w:rsid w:val="00E33D42"/>
    <w:rsid w:val="00E36B82"/>
    <w:rsid w:val="00E40B22"/>
    <w:rsid w:val="00E436B2"/>
    <w:rsid w:val="00E44ED1"/>
    <w:rsid w:val="00E45619"/>
    <w:rsid w:val="00E4588F"/>
    <w:rsid w:val="00E46DA3"/>
    <w:rsid w:val="00E51BB1"/>
    <w:rsid w:val="00E533ED"/>
    <w:rsid w:val="00E55CB0"/>
    <w:rsid w:val="00E56326"/>
    <w:rsid w:val="00E56461"/>
    <w:rsid w:val="00E606A2"/>
    <w:rsid w:val="00E624A5"/>
    <w:rsid w:val="00E62B8D"/>
    <w:rsid w:val="00E62BEE"/>
    <w:rsid w:val="00E64BA4"/>
    <w:rsid w:val="00E67277"/>
    <w:rsid w:val="00E7344E"/>
    <w:rsid w:val="00E7488C"/>
    <w:rsid w:val="00E75079"/>
    <w:rsid w:val="00E82665"/>
    <w:rsid w:val="00EA1F71"/>
    <w:rsid w:val="00EA27DE"/>
    <w:rsid w:val="00EA2F8D"/>
    <w:rsid w:val="00EB0798"/>
    <w:rsid w:val="00EB40AD"/>
    <w:rsid w:val="00EB586E"/>
    <w:rsid w:val="00EB5FC8"/>
    <w:rsid w:val="00EB63AE"/>
    <w:rsid w:val="00EC3D06"/>
    <w:rsid w:val="00EC463D"/>
    <w:rsid w:val="00EC64EC"/>
    <w:rsid w:val="00EC7A85"/>
    <w:rsid w:val="00ED2922"/>
    <w:rsid w:val="00ED3CAD"/>
    <w:rsid w:val="00ED4537"/>
    <w:rsid w:val="00ED5A41"/>
    <w:rsid w:val="00ED7665"/>
    <w:rsid w:val="00EE1DE8"/>
    <w:rsid w:val="00EE27C2"/>
    <w:rsid w:val="00EF4BAD"/>
    <w:rsid w:val="00EF59DC"/>
    <w:rsid w:val="00F033EC"/>
    <w:rsid w:val="00F04F68"/>
    <w:rsid w:val="00F07232"/>
    <w:rsid w:val="00F1231F"/>
    <w:rsid w:val="00F12670"/>
    <w:rsid w:val="00F14B27"/>
    <w:rsid w:val="00F21423"/>
    <w:rsid w:val="00F25FF0"/>
    <w:rsid w:val="00F3148D"/>
    <w:rsid w:val="00F325C5"/>
    <w:rsid w:val="00F32FE0"/>
    <w:rsid w:val="00F35298"/>
    <w:rsid w:val="00F42F68"/>
    <w:rsid w:val="00F43F63"/>
    <w:rsid w:val="00F47333"/>
    <w:rsid w:val="00F47E37"/>
    <w:rsid w:val="00F52B8F"/>
    <w:rsid w:val="00F53C07"/>
    <w:rsid w:val="00F54B65"/>
    <w:rsid w:val="00F55C17"/>
    <w:rsid w:val="00F56E15"/>
    <w:rsid w:val="00F627B7"/>
    <w:rsid w:val="00F63DBF"/>
    <w:rsid w:val="00F640B6"/>
    <w:rsid w:val="00F66DF2"/>
    <w:rsid w:val="00F67D58"/>
    <w:rsid w:val="00F7422B"/>
    <w:rsid w:val="00F80E40"/>
    <w:rsid w:val="00F81006"/>
    <w:rsid w:val="00F848D9"/>
    <w:rsid w:val="00F93A88"/>
    <w:rsid w:val="00F96C79"/>
    <w:rsid w:val="00FA3039"/>
    <w:rsid w:val="00FA4BBA"/>
    <w:rsid w:val="00FA5069"/>
    <w:rsid w:val="00FA5B82"/>
    <w:rsid w:val="00FA5C0A"/>
    <w:rsid w:val="00FA639E"/>
    <w:rsid w:val="00FB2942"/>
    <w:rsid w:val="00FC1FCA"/>
    <w:rsid w:val="00FC200F"/>
    <w:rsid w:val="00FC25E4"/>
    <w:rsid w:val="00FC4EF7"/>
    <w:rsid w:val="00FD0824"/>
    <w:rsid w:val="00FD119B"/>
    <w:rsid w:val="00FD1EDC"/>
    <w:rsid w:val="00FD2371"/>
    <w:rsid w:val="00FD7090"/>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2FB1C38"/>
  <w15:docId w15:val="{9F2F450D-8756-4E7C-8B9A-8945F87BE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51B66"/>
    <w:pPr>
      <w:spacing w:before="120" w:after="120" w:line="240" w:lineRule="atLeast"/>
    </w:pPr>
    <w:rPr>
      <w:rFonts w:ascii="Cambria" w:eastAsia="Cambria" w:hAnsi="Cambria" w:cs="Times New Roman"/>
    </w:rPr>
  </w:style>
  <w:style w:type="paragraph" w:styleId="Heading1">
    <w:name w:val="heading 1"/>
    <w:basedOn w:val="Heading2"/>
    <w:next w:val="Normal"/>
    <w:link w:val="Heading1Char"/>
    <w:uiPriority w:val="9"/>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uiPriority w:val="9"/>
    <w:qFormat/>
    <w:rsid w:val="004722CC"/>
    <w:pPr>
      <w:keepNext/>
      <w:keepLines/>
      <w:spacing w:before="480"/>
      <w:outlineLvl w:val="1"/>
    </w:pPr>
    <w:rPr>
      <w:rFonts w:ascii="Arial" w:eastAsia="Times New Roman" w:hAnsi="Arial"/>
      <w:b/>
      <w:bCs/>
      <w:sz w:val="32"/>
      <w:szCs w:val="26"/>
    </w:rPr>
  </w:style>
  <w:style w:type="paragraph" w:styleId="Heading3">
    <w:name w:val="heading 3"/>
    <w:basedOn w:val="Normal"/>
    <w:next w:val="Normal"/>
    <w:link w:val="Heading3Char"/>
    <w:uiPriority w:val="9"/>
    <w:qFormat/>
    <w:rsid w:val="00EF59DC"/>
    <w:pPr>
      <w:keepNext/>
      <w:keepLines/>
      <w:spacing w:before="480" w:after="0" w:line="220" w:lineRule="atLeast"/>
      <w:outlineLvl w:val="2"/>
    </w:pPr>
    <w:rPr>
      <w:rFonts w:ascii="Arial" w:eastAsia="Times New Roman" w:hAnsi="Arial"/>
      <w:b/>
      <w:bCs/>
      <w:sz w:val="26"/>
      <w:szCs w:val="21"/>
    </w:rPr>
  </w:style>
  <w:style w:type="paragraph" w:styleId="Heading4">
    <w:name w:val="heading 4"/>
    <w:basedOn w:val="Normal"/>
    <w:next w:val="Normal"/>
    <w:link w:val="Heading4Char"/>
    <w:uiPriority w:val="9"/>
    <w:qFormat/>
    <w:rsid w:val="00AD0083"/>
    <w:pPr>
      <w:keepNext/>
      <w:spacing w:before="360" w:after="0" w:line="220" w:lineRule="atLeast"/>
      <w:outlineLvl w:val="3"/>
    </w:pPr>
    <w:rPr>
      <w:b/>
      <w:bCs/>
      <w:szCs w:val="21"/>
    </w:rPr>
  </w:style>
  <w:style w:type="paragraph" w:styleId="Heading5">
    <w:name w:val="heading 5"/>
    <w:basedOn w:val="Normal"/>
    <w:next w:val="Normal"/>
    <w:link w:val="Heading5Char"/>
    <w:uiPriority w:val="9"/>
    <w:qFormat/>
    <w:rsid w:val="004722CC"/>
    <w:pPr>
      <w:keepNext/>
      <w:keepLines/>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qFormat/>
    <w:rsid w:val="00577130"/>
    <w:pPr>
      <w:keepNext/>
      <w:spacing w:line="220" w:lineRule="atLeast"/>
      <w:outlineLvl w:val="5"/>
    </w:pPr>
    <w:rPr>
      <w:rFonts w:eastAsia="Times New Roman"/>
      <w:bCs/>
      <w:i/>
      <w:szCs w:val="21"/>
    </w:rPr>
  </w:style>
  <w:style w:type="paragraph" w:styleId="Heading7">
    <w:name w:val="heading 7"/>
    <w:basedOn w:val="Normal"/>
    <w:next w:val="Normal"/>
    <w:link w:val="Heading7Char"/>
    <w:uiPriority w:val="9"/>
    <w:qFormat/>
    <w:rsid w:val="00770CAC"/>
    <w:pPr>
      <w:keepNext/>
      <w:spacing w:after="60" w:line="180" w:lineRule="atLeast"/>
      <w:outlineLvl w:val="6"/>
    </w:pPr>
    <w:rPr>
      <w:rFonts w:eastAsia="Times New Roman"/>
      <w:bCs/>
      <w:sz w:val="20"/>
      <w:szCs w:val="24"/>
    </w:rPr>
  </w:style>
  <w:style w:type="paragraph" w:styleId="Heading8">
    <w:name w:val="heading 8"/>
    <w:basedOn w:val="Normal"/>
    <w:next w:val="Normal"/>
    <w:link w:val="Heading8Char"/>
    <w:uiPriority w:val="9"/>
    <w:unhideWhenUsed/>
    <w:qFormat/>
    <w:rsid w:val="00AE6E33"/>
    <w:pPr>
      <w:keepNext/>
      <w:keepLines/>
      <w:spacing w:before="80" w:after="0" w:line="264" w:lineRule="auto"/>
      <w:outlineLvl w:val="7"/>
    </w:pPr>
    <w:rPr>
      <w:rFonts w:asciiTheme="majorHAnsi" w:eastAsiaTheme="majorEastAsia" w:hAnsiTheme="majorHAnsi" w:cstheme="majorBidi"/>
      <w:smallCaps/>
      <w:color w:val="595959" w:themeColor="text1" w:themeTint="A6"/>
      <w:sz w:val="21"/>
      <w:szCs w:val="21"/>
    </w:rPr>
  </w:style>
  <w:style w:type="paragraph" w:styleId="Heading9">
    <w:name w:val="heading 9"/>
    <w:basedOn w:val="Normal"/>
    <w:next w:val="Normal"/>
    <w:link w:val="Heading9Char"/>
    <w:uiPriority w:val="9"/>
    <w:semiHidden/>
    <w:unhideWhenUsed/>
    <w:qFormat/>
    <w:rsid w:val="00AE6E33"/>
    <w:pPr>
      <w:keepNext/>
      <w:keepLines/>
      <w:spacing w:before="80" w:after="0" w:line="264" w:lineRule="auto"/>
      <w:outlineLvl w:val="8"/>
    </w:pPr>
    <w:rPr>
      <w:rFonts w:asciiTheme="majorHAnsi" w:eastAsiaTheme="majorEastAsia" w:hAnsiTheme="majorHAnsi" w:cstheme="majorBidi"/>
      <w:i/>
      <w:iCs/>
      <w:smallCaps/>
      <w:color w:val="595959" w:themeColor="text1" w:themeTint="A6"/>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uiPriority w:val="9"/>
    <w:rsid w:val="00AD3935"/>
    <w:rPr>
      <w:rFonts w:ascii="Arial" w:eastAsia="Times New Roman" w:hAnsi="Arial" w:cs="Times New Roman"/>
      <w:b/>
      <w:bCs/>
      <w:sz w:val="32"/>
      <w:szCs w:val="26"/>
    </w:rPr>
  </w:style>
  <w:style w:type="character" w:customStyle="1" w:styleId="Heading3Char">
    <w:name w:val="Heading 3 Char"/>
    <w:basedOn w:val="DefaultParagraphFont"/>
    <w:link w:val="Heading3"/>
    <w:uiPriority w:val="9"/>
    <w:rsid w:val="00EF59DC"/>
    <w:rPr>
      <w:rFonts w:ascii="Arial" w:eastAsia="Times New Roman" w:hAnsi="Arial" w:cs="Times New Roman"/>
      <w:b/>
      <w:bCs/>
      <w:sz w:val="26"/>
      <w:szCs w:val="21"/>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1B5C90"/>
    <w:pPr>
      <w:keepNext/>
      <w:spacing w:line="220" w:lineRule="atLeast"/>
    </w:pPr>
    <w:rPr>
      <w:b/>
    </w:rPr>
  </w:style>
  <w:style w:type="character" w:customStyle="1" w:styleId="Heading4Char">
    <w:name w:val="Heading 4 Char"/>
    <w:basedOn w:val="DefaultParagraphFont"/>
    <w:link w:val="Heading4"/>
    <w:uiPriority w:val="9"/>
    <w:rsid w:val="00AD3935"/>
    <w:rPr>
      <w:rFonts w:ascii="Cambria" w:eastAsia="Cambria" w:hAnsi="Cambria" w:cs="Times New Roman"/>
      <w:b/>
      <w:bCs/>
      <w:szCs w:val="21"/>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AD393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57713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70CAC"/>
    <w:rPr>
      <w:rFonts w:ascii="Cambria" w:eastAsia="Times New Roman" w:hAnsi="Cambria" w:cs="Times New Roman"/>
      <w:bCs/>
      <w:sz w:val="20"/>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C74F5C"/>
    <w:pPr>
      <w:outlineLvl w:val="1"/>
    </w:pPr>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C74F5C"/>
    <w:pPr>
      <w:spacing w:before="240"/>
      <w:outlineLvl w:val="1"/>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qFormat/>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500337"/>
    <w:pPr>
      <w:spacing w:line="240" w:lineRule="auto"/>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F3148D"/>
    <w:rPr>
      <w:sz w:val="19"/>
    </w:rPr>
  </w:style>
  <w:style w:type="table" w:customStyle="1" w:styleId="TableTGAblue">
    <w:name w:val="Table TGA blue"/>
    <w:basedOn w:val="TableNormal"/>
    <w:uiPriority w:val="99"/>
    <w:qFormat/>
    <w:rsid w:val="00FD119B"/>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table" w:customStyle="1" w:styleId="TableTGAblack">
    <w:name w:val="Table TGA black"/>
    <w:basedOn w:val="TableNormal"/>
    <w:uiPriority w:val="99"/>
    <w:rsid w:val="00EE1DE8"/>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rsid w:val="002E40B3"/>
    <w:pPr>
      <w:keepNext/>
    </w:pPr>
    <w:rPr>
      <w:b/>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qFormat/>
    <w:rsid w:val="00C74F5C"/>
    <w:pPr>
      <w:spacing w:after="480" w:line="240" w:lineRule="auto"/>
      <w:contextualSpacing/>
      <w:outlineLvl w:val="0"/>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C74F5C"/>
    <w:rPr>
      <w:rFonts w:ascii="Arial" w:eastAsia="Times New Roman" w:hAnsi="Arial" w:cs="Times New Roman"/>
      <w:spacing w:val="5"/>
      <w:kern w:val="28"/>
      <w:sz w:val="52"/>
      <w:szCs w:val="52"/>
    </w:rPr>
  </w:style>
  <w:style w:type="paragraph" w:styleId="TOC1">
    <w:name w:val="toc 1"/>
    <w:basedOn w:val="Normal"/>
    <w:next w:val="Normal"/>
    <w:uiPriority w:val="39"/>
    <w:rsid w:val="00F3148D"/>
    <w:pPr>
      <w:tabs>
        <w:tab w:val="right" w:pos="8505"/>
      </w:tabs>
      <w:spacing w:after="200"/>
    </w:pPr>
    <w:rPr>
      <w:rFonts w:ascii="Arial" w:hAnsi="Arial"/>
      <w:b/>
      <w:sz w:val="32"/>
    </w:rPr>
  </w:style>
  <w:style w:type="paragraph" w:styleId="TOC2">
    <w:name w:val="toc 2"/>
    <w:basedOn w:val="Normal"/>
    <w:next w:val="Normal"/>
    <w:uiPriority w:val="39"/>
    <w:rsid w:val="00F3148D"/>
    <w:pPr>
      <w:tabs>
        <w:tab w:val="right" w:leader="underscore" w:pos="8505"/>
      </w:tabs>
      <w:spacing w:after="100"/>
      <w:ind w:left="624"/>
    </w:pPr>
    <w:rPr>
      <w:b/>
      <w:sz w:val="25"/>
    </w:rPr>
  </w:style>
  <w:style w:type="paragraph" w:styleId="TOC3">
    <w:name w:val="toc 3"/>
    <w:basedOn w:val="Normal"/>
    <w:next w:val="Normal"/>
    <w:uiPriority w:val="39"/>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styleId="FootnoteText">
    <w:name w:val="footnote text"/>
    <w:basedOn w:val="Normal"/>
    <w:link w:val="FootnoteTextChar"/>
    <w:unhideWhenUsed/>
    <w:rsid w:val="001B5C90"/>
    <w:pPr>
      <w:spacing w:before="0" w:after="0" w:line="240" w:lineRule="auto"/>
    </w:pPr>
    <w:rPr>
      <w:sz w:val="18"/>
      <w:szCs w:val="20"/>
    </w:rPr>
  </w:style>
  <w:style w:type="character" w:customStyle="1" w:styleId="FootnoteTextChar">
    <w:name w:val="Footnote Text Char"/>
    <w:basedOn w:val="DefaultParagraphFont"/>
    <w:link w:val="FootnoteText"/>
    <w:rsid w:val="001B5C90"/>
    <w:rPr>
      <w:rFonts w:ascii="Cambria" w:eastAsia="Cambria" w:hAnsi="Cambria" w:cs="Times New Roman"/>
      <w:sz w:val="18"/>
      <w:szCs w:val="20"/>
    </w:rPr>
  </w:style>
  <w:style w:type="character" w:styleId="FootnoteReference">
    <w:name w:val="footnote reference"/>
    <w:basedOn w:val="DefaultParagraphFont"/>
    <w:semiHidden/>
    <w:unhideWhenUsed/>
    <w:rsid w:val="001B5C90"/>
    <w:rPr>
      <w:vertAlign w:val="superscript"/>
    </w:rPr>
  </w:style>
  <w:style w:type="paragraph" w:customStyle="1" w:styleId="Quotation">
    <w:name w:val="Quotation"/>
    <w:basedOn w:val="Normal"/>
    <w:next w:val="Normal"/>
    <w:uiPriority w:val="4"/>
    <w:qFormat/>
    <w:rsid w:val="00E13FC7"/>
    <w:pPr>
      <w:spacing w:after="180"/>
      <w:ind w:left="425"/>
    </w:pPr>
    <w:rPr>
      <w:rFonts w:eastAsiaTheme="minorEastAsia" w:cstheme="minorBidi"/>
      <w:sz w:val="20"/>
      <w:lang w:eastAsia="zh-TW"/>
    </w:rPr>
  </w:style>
  <w:style w:type="paragraph" w:customStyle="1" w:styleId="Comment">
    <w:name w:val="Comment"/>
    <w:basedOn w:val="Normal"/>
    <w:next w:val="Normal"/>
    <w:uiPriority w:val="1"/>
    <w:qFormat/>
    <w:rsid w:val="00DD28CD"/>
    <w:pPr>
      <w:ind w:left="992" w:hanging="992"/>
    </w:pPr>
  </w:style>
  <w:style w:type="paragraph" w:styleId="EndnoteText">
    <w:name w:val="endnote text"/>
    <w:basedOn w:val="Normal"/>
    <w:link w:val="EndnoteTextChar"/>
    <w:uiPriority w:val="99"/>
    <w:semiHidden/>
    <w:unhideWhenUsed/>
    <w:rsid w:val="000E619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0E6196"/>
    <w:rPr>
      <w:rFonts w:ascii="Cambria" w:eastAsia="Cambria" w:hAnsi="Cambria" w:cs="Times New Roman"/>
      <w:sz w:val="20"/>
      <w:szCs w:val="20"/>
    </w:rPr>
  </w:style>
  <w:style w:type="character" w:styleId="EndnoteReference">
    <w:name w:val="endnote reference"/>
    <w:basedOn w:val="DefaultParagraphFont"/>
    <w:uiPriority w:val="99"/>
    <w:semiHidden/>
    <w:unhideWhenUsed/>
    <w:rsid w:val="000E6196"/>
    <w:rPr>
      <w:vertAlign w:val="superscript"/>
    </w:rPr>
  </w:style>
  <w:style w:type="character" w:styleId="CommentReference">
    <w:name w:val="annotation reference"/>
    <w:basedOn w:val="DefaultParagraphFont"/>
    <w:uiPriority w:val="99"/>
    <w:semiHidden/>
    <w:unhideWhenUsed/>
    <w:rsid w:val="00EC463D"/>
    <w:rPr>
      <w:sz w:val="16"/>
      <w:szCs w:val="16"/>
    </w:rPr>
  </w:style>
  <w:style w:type="paragraph" w:styleId="CommentText">
    <w:name w:val="annotation text"/>
    <w:basedOn w:val="Normal"/>
    <w:link w:val="CommentTextChar"/>
    <w:uiPriority w:val="99"/>
    <w:unhideWhenUsed/>
    <w:rsid w:val="00EC463D"/>
    <w:pPr>
      <w:spacing w:line="240" w:lineRule="auto"/>
    </w:pPr>
    <w:rPr>
      <w:sz w:val="20"/>
      <w:szCs w:val="20"/>
    </w:rPr>
  </w:style>
  <w:style w:type="character" w:customStyle="1" w:styleId="CommentTextChar">
    <w:name w:val="Comment Text Char"/>
    <w:basedOn w:val="DefaultParagraphFont"/>
    <w:link w:val="CommentText"/>
    <w:uiPriority w:val="99"/>
    <w:rsid w:val="00EC463D"/>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EC463D"/>
    <w:rPr>
      <w:b/>
      <w:bCs/>
    </w:rPr>
  </w:style>
  <w:style w:type="character" w:customStyle="1" w:styleId="CommentSubjectChar">
    <w:name w:val="Comment Subject Char"/>
    <w:basedOn w:val="CommentTextChar"/>
    <w:link w:val="CommentSubject"/>
    <w:uiPriority w:val="99"/>
    <w:semiHidden/>
    <w:rsid w:val="00EC463D"/>
    <w:rPr>
      <w:rFonts w:ascii="Cambria" w:eastAsia="Cambria" w:hAnsi="Cambria" w:cs="Times New Roman"/>
      <w:b/>
      <w:bCs/>
      <w:sz w:val="20"/>
      <w:szCs w:val="20"/>
    </w:rPr>
  </w:style>
  <w:style w:type="paragraph" w:styleId="Revision">
    <w:name w:val="Revision"/>
    <w:hidden/>
    <w:uiPriority w:val="99"/>
    <w:semiHidden/>
    <w:rsid w:val="003442FD"/>
    <w:pPr>
      <w:spacing w:after="0" w:line="240" w:lineRule="auto"/>
    </w:pPr>
    <w:rPr>
      <w:rFonts w:ascii="Cambria" w:eastAsia="Cambria" w:hAnsi="Cambria" w:cs="Times New Roman"/>
    </w:rPr>
  </w:style>
  <w:style w:type="paragraph" w:customStyle="1" w:styleId="Instructions">
    <w:name w:val="Instructions"/>
    <w:basedOn w:val="Normal"/>
    <w:next w:val="Normal"/>
    <w:uiPriority w:val="1"/>
    <w:qFormat/>
    <w:rsid w:val="00EE27C2"/>
    <w:rPr>
      <w:i/>
      <w:color w:val="007099"/>
    </w:rPr>
  </w:style>
  <w:style w:type="paragraph" w:customStyle="1" w:styleId="Tabletitle0">
    <w:name w:val="Table title"/>
    <w:basedOn w:val="Normal"/>
    <w:next w:val="Normal"/>
    <w:rsid w:val="009F2673"/>
    <w:pPr>
      <w:keepNext/>
      <w:spacing w:after="180"/>
    </w:pPr>
    <w:rPr>
      <w:b/>
      <w:szCs w:val="20"/>
    </w:rPr>
  </w:style>
  <w:style w:type="character" w:customStyle="1" w:styleId="UnresolvedMention1">
    <w:name w:val="Unresolved Mention1"/>
    <w:basedOn w:val="DefaultParagraphFont"/>
    <w:uiPriority w:val="99"/>
    <w:semiHidden/>
    <w:unhideWhenUsed/>
    <w:rsid w:val="009F2673"/>
    <w:rPr>
      <w:color w:val="605E5C"/>
      <w:shd w:val="clear" w:color="auto" w:fill="E1DFDD"/>
    </w:rPr>
  </w:style>
  <w:style w:type="paragraph" w:styleId="BodyText">
    <w:name w:val="Body Text"/>
    <w:basedOn w:val="Normal"/>
    <w:link w:val="BodyTextChar"/>
    <w:uiPriority w:val="1"/>
    <w:rsid w:val="005B2DA8"/>
    <w:pPr>
      <w:widowControl w:val="0"/>
      <w:autoSpaceDE w:val="0"/>
      <w:autoSpaceDN w:val="0"/>
      <w:spacing w:before="0" w:after="0" w:line="240" w:lineRule="auto"/>
    </w:pPr>
    <w:rPr>
      <w:rFonts w:asciiTheme="minorHAnsi" w:eastAsiaTheme="minorEastAsia" w:hAnsiTheme="minorHAnsi" w:cs="Cambria"/>
      <w:sz w:val="21"/>
      <w:szCs w:val="21"/>
      <w:lang w:eastAsia="en-AU" w:bidi="en-AU"/>
    </w:rPr>
  </w:style>
  <w:style w:type="character" w:customStyle="1" w:styleId="BodyTextChar">
    <w:name w:val="Body Text Char"/>
    <w:basedOn w:val="DefaultParagraphFont"/>
    <w:link w:val="BodyText"/>
    <w:uiPriority w:val="1"/>
    <w:rsid w:val="005B2DA8"/>
    <w:rPr>
      <w:rFonts w:eastAsiaTheme="minorEastAsia" w:cs="Cambria"/>
      <w:sz w:val="21"/>
      <w:szCs w:val="21"/>
      <w:lang w:eastAsia="en-AU" w:bidi="en-AU"/>
    </w:rPr>
  </w:style>
  <w:style w:type="character" w:styleId="Strong">
    <w:name w:val="Strong"/>
    <w:basedOn w:val="DefaultParagraphFont"/>
    <w:uiPriority w:val="22"/>
    <w:qFormat/>
    <w:rsid w:val="00B57A42"/>
    <w:rPr>
      <w:b/>
      <w:bCs/>
    </w:rPr>
  </w:style>
  <w:style w:type="character" w:customStyle="1" w:styleId="term">
    <w:name w:val="term"/>
    <w:basedOn w:val="DefaultParagraphFont"/>
    <w:rsid w:val="00B57A42"/>
  </w:style>
  <w:style w:type="paragraph" w:styleId="ListParagraph">
    <w:name w:val="List Paragraph"/>
    <w:basedOn w:val="Normal"/>
    <w:uiPriority w:val="1"/>
    <w:qFormat/>
    <w:rsid w:val="0088203B"/>
    <w:pPr>
      <w:spacing w:before="0" w:line="264" w:lineRule="auto"/>
      <w:ind w:left="720"/>
      <w:contextualSpacing/>
    </w:pPr>
    <w:rPr>
      <w:rFonts w:asciiTheme="minorHAnsi" w:eastAsiaTheme="minorEastAsia" w:hAnsiTheme="minorHAnsi" w:cstheme="minorBidi"/>
      <w:sz w:val="21"/>
      <w:szCs w:val="21"/>
    </w:rPr>
  </w:style>
  <w:style w:type="paragraph" w:customStyle="1" w:styleId="Default">
    <w:name w:val="Default"/>
    <w:rsid w:val="0088203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ableParagraph">
    <w:name w:val="Table Paragraph"/>
    <w:basedOn w:val="Normal"/>
    <w:uiPriority w:val="1"/>
    <w:qFormat/>
    <w:rsid w:val="00D01C74"/>
    <w:pPr>
      <w:widowControl w:val="0"/>
      <w:autoSpaceDE w:val="0"/>
      <w:autoSpaceDN w:val="0"/>
      <w:spacing w:before="1" w:after="0" w:line="223" w:lineRule="exact"/>
      <w:ind w:left="277"/>
    </w:pPr>
    <w:rPr>
      <w:rFonts w:ascii="Calibri" w:eastAsia="Calibri" w:hAnsi="Calibri" w:cs="Calibri"/>
    </w:rPr>
  </w:style>
  <w:style w:type="character" w:customStyle="1" w:styleId="Heading8Char">
    <w:name w:val="Heading 8 Char"/>
    <w:basedOn w:val="DefaultParagraphFont"/>
    <w:link w:val="Heading8"/>
    <w:uiPriority w:val="9"/>
    <w:rsid w:val="00AE6E33"/>
    <w:rPr>
      <w:rFonts w:asciiTheme="majorHAnsi" w:eastAsiaTheme="majorEastAsia" w:hAnsiTheme="majorHAnsi" w:cstheme="majorBidi"/>
      <w:smallCaps/>
      <w:color w:val="595959" w:themeColor="text1" w:themeTint="A6"/>
      <w:sz w:val="21"/>
      <w:szCs w:val="21"/>
    </w:rPr>
  </w:style>
  <w:style w:type="character" w:customStyle="1" w:styleId="Heading9Char">
    <w:name w:val="Heading 9 Char"/>
    <w:basedOn w:val="DefaultParagraphFont"/>
    <w:link w:val="Heading9"/>
    <w:uiPriority w:val="9"/>
    <w:semiHidden/>
    <w:rsid w:val="00AE6E33"/>
    <w:rPr>
      <w:rFonts w:asciiTheme="majorHAnsi" w:eastAsiaTheme="majorEastAsia" w:hAnsiTheme="majorHAnsi" w:cstheme="majorBidi"/>
      <w:i/>
      <w:iCs/>
      <w:smallCaps/>
      <w:color w:val="595959" w:themeColor="text1" w:themeTint="A6"/>
      <w:sz w:val="21"/>
      <w:szCs w:val="21"/>
    </w:rPr>
  </w:style>
  <w:style w:type="paragraph" w:customStyle="1" w:styleId="FigureCaption">
    <w:name w:val="Figure Caption"/>
    <w:basedOn w:val="Normal"/>
    <w:rsid w:val="00AE6E33"/>
    <w:pPr>
      <w:adjustRightInd w:val="0"/>
      <w:snapToGrid w:val="0"/>
      <w:spacing w:before="180" w:after="180" w:line="264" w:lineRule="auto"/>
    </w:pPr>
    <w:rPr>
      <w:rFonts w:asciiTheme="minorHAnsi" w:eastAsia="MS Mincho" w:hAnsiTheme="minorHAnsi" w:cstheme="minorBidi"/>
      <w:sz w:val="21"/>
      <w:szCs w:val="20"/>
      <w:lang w:eastAsia="ja-JP"/>
    </w:rPr>
  </w:style>
  <w:style w:type="paragraph" w:customStyle="1" w:styleId="TableCaption">
    <w:name w:val="Table Caption"/>
    <w:basedOn w:val="FigureCaption"/>
    <w:rsid w:val="00AE6E33"/>
    <w:pPr>
      <w:spacing w:after="240"/>
    </w:pPr>
    <w:rPr>
      <w:sz w:val="17"/>
    </w:rPr>
  </w:style>
  <w:style w:type="table" w:customStyle="1" w:styleId="TableTGA2">
    <w:name w:val="Table TGA 2"/>
    <w:basedOn w:val="TableNormal"/>
    <w:uiPriority w:val="99"/>
    <w:rsid w:val="00AE6E33"/>
    <w:pPr>
      <w:spacing w:before="60" w:after="0" w:line="240" w:lineRule="auto"/>
    </w:pPr>
    <w:rPr>
      <w:rFonts w:ascii="Cambria" w:eastAsiaTheme="minorEastAsia" w:hAnsi="Cambria" w:cs="Times New Roman"/>
      <w:color w:val="000000"/>
      <w:sz w:val="21"/>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rPr>
      <w:cantSplit/>
    </w:trPr>
    <w:tcPr>
      <w:shd w:val="clear" w:color="auto" w:fill="auto"/>
    </w:tcPr>
    <w:tblStylePr w:type="firstRow">
      <w:pPr>
        <w:wordWrap/>
        <w:spacing w:beforeLines="0" w:beforeAutospacing="0" w:afterLines="0" w:afterAutospacing="0"/>
      </w:pPr>
      <w:rPr>
        <w:rFonts w:ascii="Cambria" w:hAnsi="Cambria"/>
        <w:b/>
        <w:color w:val="FFFFFF"/>
        <w:sz w:val="22"/>
      </w:rPr>
      <w:tblPr/>
      <w:trPr>
        <w:tblHeader/>
      </w:trPr>
      <w:tcPr>
        <w:shd w:val="clear" w:color="auto" w:fill="000000"/>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Subject">
    <w:name w:val="Subject"/>
    <w:basedOn w:val="Normal"/>
    <w:rsid w:val="00AE6E33"/>
    <w:pPr>
      <w:adjustRightInd w:val="0"/>
      <w:snapToGrid w:val="0"/>
      <w:spacing w:before="180" w:after="180" w:line="264" w:lineRule="auto"/>
    </w:pPr>
    <w:rPr>
      <w:rFonts w:asciiTheme="minorHAnsi" w:eastAsia="MS Mincho" w:hAnsiTheme="minorHAnsi" w:cstheme="minorBidi"/>
      <w:b/>
      <w:sz w:val="21"/>
      <w:szCs w:val="20"/>
      <w:lang w:eastAsia="ja-JP"/>
    </w:rPr>
  </w:style>
  <w:style w:type="paragraph" w:customStyle="1" w:styleId="Addressee">
    <w:name w:val="Addressee"/>
    <w:basedOn w:val="Normal"/>
    <w:rsid w:val="00AE6E33"/>
    <w:pPr>
      <w:adjustRightInd w:val="0"/>
      <w:snapToGrid w:val="0"/>
      <w:spacing w:before="180" w:after="180" w:line="264" w:lineRule="auto"/>
    </w:pPr>
    <w:rPr>
      <w:rFonts w:asciiTheme="minorHAnsi" w:eastAsia="MS Mincho" w:hAnsiTheme="minorHAnsi" w:cstheme="minorBidi"/>
      <w:sz w:val="21"/>
      <w:szCs w:val="20"/>
      <w:lang w:eastAsia="ja-JP"/>
    </w:rPr>
  </w:style>
  <w:style w:type="character" w:customStyle="1" w:styleId="ABN">
    <w:name w:val="ABN"/>
    <w:basedOn w:val="DefaultParagraphFont"/>
    <w:uiPriority w:val="1"/>
    <w:rsid w:val="00AE6E33"/>
    <w:rPr>
      <w:rFonts w:ascii="Arial" w:hAnsi="Arial"/>
      <w:color w:val="002C47"/>
      <w:sz w:val="14"/>
    </w:rPr>
  </w:style>
  <w:style w:type="paragraph" w:customStyle="1" w:styleId="BodyCopy">
    <w:name w:val="Body Copy"/>
    <w:basedOn w:val="Normal"/>
    <w:rsid w:val="00AE6E33"/>
    <w:pPr>
      <w:adjustRightInd w:val="0"/>
      <w:snapToGrid w:val="0"/>
      <w:spacing w:before="180" w:after="180" w:line="264" w:lineRule="auto"/>
    </w:pPr>
    <w:rPr>
      <w:rFonts w:asciiTheme="minorHAnsi" w:eastAsia="MS Mincho" w:hAnsiTheme="minorHAnsi" w:cstheme="minorBidi"/>
      <w:sz w:val="21"/>
      <w:szCs w:val="20"/>
      <w:lang w:eastAsia="ja-JP"/>
    </w:rPr>
  </w:style>
  <w:style w:type="paragraph" w:customStyle="1" w:styleId="Standard">
    <w:name w:val="Standard"/>
    <w:basedOn w:val="Normal"/>
    <w:link w:val="StandardChar"/>
    <w:qFormat/>
    <w:rsid w:val="00AE6E33"/>
    <w:pPr>
      <w:spacing w:before="0" w:after="220" w:line="252" w:lineRule="auto"/>
    </w:pPr>
    <w:rPr>
      <w:rFonts w:asciiTheme="minorHAnsi" w:eastAsia="Times New Roman" w:hAnsiTheme="minorHAnsi" w:cstheme="minorBidi"/>
      <w:snapToGrid w:val="0"/>
      <w:kern w:val="16"/>
      <w:sz w:val="23"/>
      <w:szCs w:val="24"/>
    </w:rPr>
  </w:style>
  <w:style w:type="character" w:customStyle="1" w:styleId="StandardChar">
    <w:name w:val="Standard Char"/>
    <w:basedOn w:val="DefaultParagraphFont"/>
    <w:link w:val="Standard"/>
    <w:rsid w:val="00AE6E33"/>
    <w:rPr>
      <w:rFonts w:eastAsia="Times New Roman"/>
      <w:snapToGrid w:val="0"/>
      <w:kern w:val="16"/>
      <w:sz w:val="23"/>
      <w:szCs w:val="24"/>
    </w:rPr>
  </w:style>
  <w:style w:type="paragraph" w:customStyle="1" w:styleId="Bulletpoint">
    <w:name w:val="Bullet point"/>
    <w:basedOn w:val="Standard"/>
    <w:rsid w:val="00AE6E33"/>
    <w:pPr>
      <w:numPr>
        <w:numId w:val="6"/>
      </w:numPr>
      <w:tabs>
        <w:tab w:val="clear" w:pos="369"/>
        <w:tab w:val="left" w:pos="397"/>
        <w:tab w:val="num" w:pos="511"/>
      </w:tabs>
      <w:spacing w:after="180"/>
      <w:ind w:left="0" w:firstLine="0"/>
    </w:pPr>
    <w:rPr>
      <w:sz w:val="22"/>
    </w:rPr>
  </w:style>
  <w:style w:type="paragraph" w:customStyle="1" w:styleId="PISubsection">
    <w:name w:val="PI Subsection"/>
    <w:basedOn w:val="Standard"/>
    <w:next w:val="Standard"/>
    <w:rsid w:val="00AE6E33"/>
    <w:pPr>
      <w:keepNext/>
      <w:spacing w:after="120"/>
    </w:pPr>
    <w:rPr>
      <w:b/>
      <w:i/>
      <w:kern w:val="2"/>
      <w:sz w:val="22"/>
    </w:rPr>
  </w:style>
  <w:style w:type="character" w:customStyle="1" w:styleId="style1">
    <w:name w:val="style1"/>
    <w:basedOn w:val="DefaultParagraphFont"/>
    <w:uiPriority w:val="1"/>
    <w:rsid w:val="00AE6E33"/>
    <w:rPr>
      <w:rFonts w:asciiTheme="minorHAnsi" w:hAnsiTheme="minorHAnsi"/>
      <w:sz w:val="22"/>
    </w:rPr>
  </w:style>
  <w:style w:type="paragraph" w:customStyle="1" w:styleId="TableHeading">
    <w:name w:val="Table Heading"/>
    <w:basedOn w:val="Normal"/>
    <w:rsid w:val="00AE6E33"/>
    <w:pPr>
      <w:spacing w:before="0" w:line="264" w:lineRule="auto"/>
    </w:pPr>
    <w:rPr>
      <w:rFonts w:ascii="Calibri" w:eastAsia="Calibri" w:hAnsi="Calibri" w:cstheme="minorBidi"/>
      <w:b/>
      <w:color w:val="FFFFFF"/>
      <w:sz w:val="20"/>
      <w:szCs w:val="21"/>
    </w:rPr>
  </w:style>
  <w:style w:type="paragraph" w:customStyle="1" w:styleId="Bullet2">
    <w:name w:val="Bullet 2"/>
    <w:basedOn w:val="Normal"/>
    <w:rsid w:val="00AE6E33"/>
    <w:pPr>
      <w:numPr>
        <w:numId w:val="7"/>
      </w:numPr>
      <w:spacing w:before="0" w:after="0" w:line="240" w:lineRule="auto"/>
    </w:pPr>
    <w:rPr>
      <w:rFonts w:asciiTheme="minorHAnsi" w:eastAsia="Times New Roman" w:hAnsiTheme="minorHAnsi" w:cstheme="minorBidi"/>
      <w:kern w:val="24"/>
      <w:sz w:val="21"/>
      <w:szCs w:val="24"/>
      <w:lang w:eastAsia="en-AU"/>
    </w:rPr>
  </w:style>
  <w:style w:type="paragraph" w:customStyle="1" w:styleId="Instructions1">
    <w:name w:val="Instructions 1"/>
    <w:basedOn w:val="Normal"/>
    <w:rsid w:val="00AE6E33"/>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sz w:val="21"/>
      <w:szCs w:val="21"/>
      <w:lang w:eastAsia="en-AU"/>
    </w:rPr>
  </w:style>
  <w:style w:type="paragraph" w:customStyle="1" w:styleId="TableBullet">
    <w:name w:val="Table Bullet"/>
    <w:basedOn w:val="Normal"/>
    <w:rsid w:val="00AE6E33"/>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heme="minorHAnsi" w:eastAsia="Times New Roman" w:hAnsiTheme="minorHAnsi" w:cstheme="minorBidi"/>
      <w:kern w:val="16"/>
      <w:sz w:val="20"/>
      <w:szCs w:val="24"/>
      <w:lang w:eastAsia="en-AU"/>
    </w:rPr>
  </w:style>
  <w:style w:type="paragraph" w:customStyle="1" w:styleId="Comment1">
    <w:name w:val="Comment 1"/>
    <w:basedOn w:val="Normal"/>
    <w:next w:val="Normal"/>
    <w:qFormat/>
    <w:rsid w:val="00AE6E3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 w:val="21"/>
      <w:szCs w:val="20"/>
      <w:lang w:eastAsia="en-AU"/>
    </w:rPr>
  </w:style>
  <w:style w:type="paragraph" w:styleId="TOC4">
    <w:name w:val="toc 4"/>
    <w:basedOn w:val="Normal"/>
    <w:next w:val="Normal"/>
    <w:autoRedefine/>
    <w:uiPriority w:val="39"/>
    <w:unhideWhenUsed/>
    <w:rsid w:val="00AE6E33"/>
    <w:pPr>
      <w:spacing w:before="0" w:after="100" w:line="276" w:lineRule="auto"/>
      <w:ind w:left="660"/>
    </w:pPr>
    <w:rPr>
      <w:rFonts w:asciiTheme="minorHAnsi" w:eastAsiaTheme="minorEastAsia" w:hAnsiTheme="minorHAnsi" w:cstheme="minorBidi"/>
      <w:sz w:val="21"/>
      <w:szCs w:val="21"/>
      <w:lang w:eastAsia="en-AU"/>
    </w:rPr>
  </w:style>
  <w:style w:type="paragraph" w:styleId="TOC5">
    <w:name w:val="toc 5"/>
    <w:basedOn w:val="Normal"/>
    <w:next w:val="Normal"/>
    <w:autoRedefine/>
    <w:uiPriority w:val="39"/>
    <w:unhideWhenUsed/>
    <w:rsid w:val="00AE6E33"/>
    <w:pPr>
      <w:spacing w:before="0" w:after="100" w:line="276" w:lineRule="auto"/>
      <w:ind w:left="880"/>
    </w:pPr>
    <w:rPr>
      <w:rFonts w:asciiTheme="minorHAnsi" w:eastAsiaTheme="minorEastAsia" w:hAnsiTheme="minorHAnsi" w:cstheme="minorBidi"/>
      <w:sz w:val="21"/>
      <w:szCs w:val="21"/>
      <w:lang w:eastAsia="en-AU"/>
    </w:rPr>
  </w:style>
  <w:style w:type="paragraph" w:styleId="TOC6">
    <w:name w:val="toc 6"/>
    <w:basedOn w:val="Normal"/>
    <w:next w:val="Normal"/>
    <w:autoRedefine/>
    <w:uiPriority w:val="39"/>
    <w:unhideWhenUsed/>
    <w:rsid w:val="00AE6E33"/>
    <w:pPr>
      <w:spacing w:before="0" w:after="100" w:line="276" w:lineRule="auto"/>
      <w:ind w:left="1100"/>
    </w:pPr>
    <w:rPr>
      <w:rFonts w:asciiTheme="minorHAnsi" w:eastAsiaTheme="minorEastAsia" w:hAnsiTheme="minorHAnsi" w:cstheme="minorBidi"/>
      <w:sz w:val="21"/>
      <w:szCs w:val="21"/>
      <w:lang w:eastAsia="en-AU"/>
    </w:rPr>
  </w:style>
  <w:style w:type="paragraph" w:styleId="TOC7">
    <w:name w:val="toc 7"/>
    <w:basedOn w:val="Normal"/>
    <w:next w:val="Normal"/>
    <w:autoRedefine/>
    <w:uiPriority w:val="39"/>
    <w:unhideWhenUsed/>
    <w:rsid w:val="00AE6E33"/>
    <w:pPr>
      <w:spacing w:before="0" w:after="100" w:line="276" w:lineRule="auto"/>
      <w:ind w:left="1320"/>
    </w:pPr>
    <w:rPr>
      <w:rFonts w:asciiTheme="minorHAnsi" w:eastAsiaTheme="minorEastAsia" w:hAnsiTheme="minorHAnsi" w:cstheme="minorBidi"/>
      <w:sz w:val="21"/>
      <w:szCs w:val="21"/>
      <w:lang w:eastAsia="en-AU"/>
    </w:rPr>
  </w:style>
  <w:style w:type="paragraph" w:styleId="TOC8">
    <w:name w:val="toc 8"/>
    <w:basedOn w:val="Normal"/>
    <w:next w:val="Normal"/>
    <w:autoRedefine/>
    <w:uiPriority w:val="39"/>
    <w:unhideWhenUsed/>
    <w:rsid w:val="00AE6E33"/>
    <w:pPr>
      <w:spacing w:before="0" w:after="100" w:line="276" w:lineRule="auto"/>
      <w:ind w:left="1540"/>
    </w:pPr>
    <w:rPr>
      <w:rFonts w:asciiTheme="minorHAnsi" w:eastAsiaTheme="minorEastAsia" w:hAnsiTheme="minorHAnsi" w:cstheme="minorBidi"/>
      <w:sz w:val="21"/>
      <w:szCs w:val="21"/>
      <w:lang w:eastAsia="en-AU"/>
    </w:rPr>
  </w:style>
  <w:style w:type="paragraph" w:styleId="TOC9">
    <w:name w:val="toc 9"/>
    <w:basedOn w:val="Normal"/>
    <w:next w:val="Normal"/>
    <w:autoRedefine/>
    <w:uiPriority w:val="39"/>
    <w:unhideWhenUsed/>
    <w:rsid w:val="00AE6E33"/>
    <w:pPr>
      <w:spacing w:before="0" w:after="100" w:line="276" w:lineRule="auto"/>
      <w:ind w:left="1760"/>
    </w:pPr>
    <w:rPr>
      <w:rFonts w:asciiTheme="minorHAnsi" w:eastAsiaTheme="minorEastAsia" w:hAnsiTheme="minorHAnsi" w:cstheme="minorBidi"/>
      <w:sz w:val="21"/>
      <w:szCs w:val="21"/>
      <w:lang w:eastAsia="en-AU"/>
    </w:rPr>
  </w:style>
  <w:style w:type="paragraph" w:styleId="TableofFigures">
    <w:name w:val="table of figures"/>
    <w:basedOn w:val="Normal"/>
    <w:next w:val="Normal"/>
    <w:uiPriority w:val="99"/>
    <w:unhideWhenUsed/>
    <w:rsid w:val="00AE6E33"/>
    <w:pPr>
      <w:spacing w:before="0" w:after="0" w:line="264" w:lineRule="auto"/>
    </w:pPr>
    <w:rPr>
      <w:rFonts w:asciiTheme="minorHAnsi" w:eastAsiaTheme="minorEastAsia" w:hAnsiTheme="minorHAnsi" w:cstheme="minorBidi"/>
      <w:sz w:val="21"/>
      <w:szCs w:val="21"/>
    </w:rPr>
  </w:style>
  <w:style w:type="character" w:customStyle="1" w:styleId="refseries">
    <w:name w:val="ref__series"/>
    <w:basedOn w:val="DefaultParagraphFont"/>
    <w:rsid w:val="00E62B8D"/>
  </w:style>
  <w:style w:type="character" w:customStyle="1" w:styleId="refseriesdate">
    <w:name w:val="ref__seriesdate"/>
    <w:basedOn w:val="DefaultParagraphFont"/>
    <w:rsid w:val="00E62B8D"/>
  </w:style>
  <w:style w:type="character" w:customStyle="1" w:styleId="refseriesvolume">
    <w:name w:val="ref__seriesvolume"/>
    <w:basedOn w:val="DefaultParagraphFont"/>
    <w:rsid w:val="00E62B8D"/>
  </w:style>
  <w:style w:type="character" w:customStyle="1" w:styleId="refseriespages">
    <w:name w:val="ref__seriespages"/>
    <w:basedOn w:val="DefaultParagraphFont"/>
    <w:rsid w:val="00E62B8D"/>
  </w:style>
  <w:style w:type="character" w:styleId="Emphasis">
    <w:name w:val="Emphasis"/>
    <w:basedOn w:val="DefaultParagraphFont"/>
    <w:uiPriority w:val="20"/>
    <w:qFormat/>
    <w:rsid w:val="00AE6E33"/>
    <w:rPr>
      <w:i/>
      <w:iCs/>
    </w:rPr>
  </w:style>
  <w:style w:type="paragraph" w:styleId="NoSpacing">
    <w:name w:val="No Spacing"/>
    <w:uiPriority w:val="1"/>
    <w:qFormat/>
    <w:rsid w:val="00AE6E33"/>
    <w:pPr>
      <w:spacing w:after="0" w:line="240" w:lineRule="auto"/>
    </w:pPr>
    <w:rPr>
      <w:rFonts w:eastAsiaTheme="minorEastAsia"/>
      <w:sz w:val="21"/>
      <w:szCs w:val="21"/>
    </w:rPr>
  </w:style>
  <w:style w:type="paragraph" w:styleId="Quote">
    <w:name w:val="Quote"/>
    <w:basedOn w:val="Normal"/>
    <w:next w:val="Normal"/>
    <w:link w:val="QuoteChar"/>
    <w:uiPriority w:val="29"/>
    <w:qFormat/>
    <w:rsid w:val="00AE6E33"/>
    <w:pPr>
      <w:spacing w:before="240" w:after="240" w:line="252" w:lineRule="auto"/>
      <w:ind w:left="864" w:right="864"/>
      <w:jc w:val="center"/>
    </w:pPr>
    <w:rPr>
      <w:rFonts w:asciiTheme="minorHAnsi" w:eastAsiaTheme="minorEastAsia" w:hAnsiTheme="minorHAnsi" w:cstheme="minorBidi"/>
      <w:i/>
      <w:iCs/>
      <w:sz w:val="21"/>
      <w:szCs w:val="21"/>
    </w:rPr>
  </w:style>
  <w:style w:type="character" w:customStyle="1" w:styleId="QuoteChar">
    <w:name w:val="Quote Char"/>
    <w:basedOn w:val="DefaultParagraphFont"/>
    <w:link w:val="Quote"/>
    <w:uiPriority w:val="29"/>
    <w:rsid w:val="00AE6E33"/>
    <w:rPr>
      <w:rFonts w:eastAsiaTheme="minorEastAsia"/>
      <w:i/>
      <w:iCs/>
      <w:sz w:val="21"/>
      <w:szCs w:val="21"/>
    </w:rPr>
  </w:style>
  <w:style w:type="paragraph" w:styleId="IntenseQuote">
    <w:name w:val="Intense Quote"/>
    <w:basedOn w:val="Normal"/>
    <w:next w:val="Normal"/>
    <w:link w:val="IntenseQuoteChar"/>
    <w:uiPriority w:val="30"/>
    <w:qFormat/>
    <w:rsid w:val="00AE6E33"/>
    <w:pPr>
      <w:spacing w:before="100" w:beforeAutospacing="1" w:after="240" w:line="264" w:lineRule="auto"/>
      <w:ind w:left="864" w:right="864"/>
      <w:jc w:val="center"/>
    </w:pPr>
    <w:rPr>
      <w:rFonts w:asciiTheme="majorHAnsi" w:eastAsiaTheme="majorEastAsia" w:hAnsiTheme="majorHAnsi" w:cstheme="majorBidi"/>
      <w:color w:val="002C47" w:themeColor="accent1"/>
      <w:sz w:val="28"/>
      <w:szCs w:val="28"/>
    </w:rPr>
  </w:style>
  <w:style w:type="character" w:customStyle="1" w:styleId="IntenseQuoteChar">
    <w:name w:val="Intense Quote Char"/>
    <w:basedOn w:val="DefaultParagraphFont"/>
    <w:link w:val="IntenseQuote"/>
    <w:uiPriority w:val="30"/>
    <w:rsid w:val="00AE6E33"/>
    <w:rPr>
      <w:rFonts w:asciiTheme="majorHAnsi" w:eastAsiaTheme="majorEastAsia" w:hAnsiTheme="majorHAnsi" w:cstheme="majorBidi"/>
      <w:color w:val="002C47" w:themeColor="accent1"/>
      <w:sz w:val="28"/>
      <w:szCs w:val="28"/>
    </w:rPr>
  </w:style>
  <w:style w:type="character" w:styleId="SubtleEmphasis">
    <w:name w:val="Subtle Emphasis"/>
    <w:basedOn w:val="DefaultParagraphFont"/>
    <w:uiPriority w:val="19"/>
    <w:qFormat/>
    <w:rsid w:val="00AE6E33"/>
    <w:rPr>
      <w:i/>
      <w:iCs/>
      <w:color w:val="595959" w:themeColor="text1" w:themeTint="A6"/>
    </w:rPr>
  </w:style>
  <w:style w:type="character" w:styleId="IntenseEmphasis">
    <w:name w:val="Intense Emphasis"/>
    <w:basedOn w:val="DefaultParagraphFont"/>
    <w:uiPriority w:val="21"/>
    <w:qFormat/>
    <w:rsid w:val="00AE6E33"/>
    <w:rPr>
      <w:b/>
      <w:bCs/>
      <w:i/>
      <w:iCs/>
    </w:rPr>
  </w:style>
  <w:style w:type="character" w:styleId="SubtleReference">
    <w:name w:val="Subtle Reference"/>
    <w:basedOn w:val="DefaultParagraphFont"/>
    <w:uiPriority w:val="31"/>
    <w:qFormat/>
    <w:rsid w:val="00AE6E33"/>
    <w:rPr>
      <w:smallCaps/>
      <w:color w:val="404040" w:themeColor="text1" w:themeTint="BF"/>
    </w:rPr>
  </w:style>
  <w:style w:type="character" w:styleId="IntenseReference">
    <w:name w:val="Intense Reference"/>
    <w:basedOn w:val="DefaultParagraphFont"/>
    <w:uiPriority w:val="32"/>
    <w:qFormat/>
    <w:rsid w:val="00AE6E33"/>
    <w:rPr>
      <w:b/>
      <w:bCs/>
      <w:smallCaps/>
      <w:u w:val="single"/>
    </w:rPr>
  </w:style>
  <w:style w:type="character" w:styleId="BookTitle">
    <w:name w:val="Book Title"/>
    <w:basedOn w:val="DefaultParagraphFont"/>
    <w:uiPriority w:val="33"/>
    <w:qFormat/>
    <w:rsid w:val="00AE6E33"/>
    <w:rPr>
      <w:b/>
      <w:bCs/>
      <w:smallCaps/>
    </w:rPr>
  </w:style>
  <w:style w:type="paragraph" w:styleId="NormalWeb">
    <w:name w:val="Normal (Web)"/>
    <w:basedOn w:val="Normal"/>
    <w:uiPriority w:val="99"/>
    <w:semiHidden/>
    <w:unhideWhenUsed/>
    <w:rsid w:val="00AE6E33"/>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element-invisible">
    <w:name w:val="element-invisible"/>
    <w:basedOn w:val="DefaultParagraphFont"/>
    <w:rsid w:val="00AE6E33"/>
  </w:style>
  <w:style w:type="character" w:customStyle="1" w:styleId="TabletextChar">
    <w:name w:val="Table text Char"/>
    <w:basedOn w:val="DefaultParagraphFont"/>
    <w:link w:val="Tabletext"/>
    <w:rsid w:val="00600C4D"/>
    <w:rPr>
      <w:rFonts w:ascii="Cambria" w:eastAsia="Cambria" w:hAnsi="Cambria" w:cs="Times New Roman"/>
      <w:sz w:val="19"/>
    </w:rPr>
  </w:style>
  <w:style w:type="table" w:customStyle="1" w:styleId="TableGrid1">
    <w:name w:val="Table Grid1"/>
    <w:basedOn w:val="TableNormal"/>
    <w:next w:val="TableGrid"/>
    <w:uiPriority w:val="59"/>
    <w:rsid w:val="00600C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list">
    <w:name w:val="Bullet list"/>
    <w:basedOn w:val="Standard"/>
    <w:link w:val="BulletlistChar"/>
    <w:qFormat/>
    <w:rsid w:val="00DE111C"/>
    <w:pPr>
      <w:numPr>
        <w:numId w:val="30"/>
      </w:numPr>
      <w:spacing w:after="180"/>
      <w:ind w:left="426" w:hanging="284"/>
    </w:pPr>
    <w:rPr>
      <w:rFonts w:ascii="Cambria" w:hAnsi="Cambria" w:cs="Times New Roman"/>
      <w:kern w:val="2"/>
    </w:rPr>
  </w:style>
  <w:style w:type="character" w:customStyle="1" w:styleId="BulletlistChar">
    <w:name w:val="Bullet list Char"/>
    <w:basedOn w:val="StandardChar"/>
    <w:link w:val="Bulletlist"/>
    <w:rsid w:val="00DE111C"/>
    <w:rPr>
      <w:rFonts w:ascii="Cambria" w:eastAsia="Times New Roman" w:hAnsi="Cambria" w:cs="Times New Roman"/>
      <w:snapToGrid w:val="0"/>
      <w:kern w:val="2"/>
      <w:sz w:val="23"/>
      <w:szCs w:val="24"/>
    </w:rPr>
  </w:style>
  <w:style w:type="paragraph" w:customStyle="1" w:styleId="SectionHeading">
    <w:name w:val="Section Heading"/>
    <w:basedOn w:val="Standard"/>
    <w:next w:val="Standard"/>
    <w:link w:val="SectionHeadingCharChar"/>
    <w:rsid w:val="00EA1F71"/>
    <w:pPr>
      <w:keepNext/>
      <w:outlineLvl w:val="0"/>
    </w:pPr>
    <w:rPr>
      <w:rFonts w:ascii="Cambria" w:hAnsi="Cambria" w:cs="Times New Roman"/>
      <w:b/>
      <w:caps/>
      <w:snapToGrid/>
      <w:sz w:val="24"/>
    </w:rPr>
  </w:style>
  <w:style w:type="character" w:customStyle="1" w:styleId="SectionHeadingCharChar">
    <w:name w:val="Section Heading Char Char"/>
    <w:basedOn w:val="DefaultParagraphFont"/>
    <w:link w:val="SectionHeading"/>
    <w:rsid w:val="00EA1F71"/>
    <w:rPr>
      <w:rFonts w:ascii="Cambria" w:eastAsia="Times New Roman" w:hAnsi="Cambria" w:cs="Times New Roman"/>
      <w:b/>
      <w:caps/>
      <w:kern w:val="16"/>
      <w:sz w:val="24"/>
      <w:szCs w:val="24"/>
    </w:rPr>
  </w:style>
  <w:style w:type="character" w:customStyle="1" w:styleId="UnresolvedMention2">
    <w:name w:val="Unresolved Mention2"/>
    <w:basedOn w:val="DefaultParagraphFont"/>
    <w:uiPriority w:val="99"/>
    <w:semiHidden/>
    <w:unhideWhenUsed/>
    <w:rsid w:val="00FD23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174736">
      <w:bodyDiv w:val="1"/>
      <w:marLeft w:val="0"/>
      <w:marRight w:val="0"/>
      <w:marTop w:val="0"/>
      <w:marBottom w:val="0"/>
      <w:divBdr>
        <w:top w:val="none" w:sz="0" w:space="0" w:color="auto"/>
        <w:left w:val="none" w:sz="0" w:space="0" w:color="auto"/>
        <w:bottom w:val="none" w:sz="0" w:space="0" w:color="auto"/>
        <w:right w:val="none" w:sz="0" w:space="0" w:color="auto"/>
      </w:divBdr>
    </w:div>
    <w:div w:id="58597481">
      <w:bodyDiv w:val="1"/>
      <w:marLeft w:val="0"/>
      <w:marRight w:val="0"/>
      <w:marTop w:val="0"/>
      <w:marBottom w:val="0"/>
      <w:divBdr>
        <w:top w:val="none" w:sz="0" w:space="0" w:color="auto"/>
        <w:left w:val="none" w:sz="0" w:space="0" w:color="auto"/>
        <w:bottom w:val="none" w:sz="0" w:space="0" w:color="auto"/>
        <w:right w:val="none" w:sz="0" w:space="0" w:color="auto"/>
      </w:divBdr>
    </w:div>
    <w:div w:id="163712722">
      <w:bodyDiv w:val="1"/>
      <w:marLeft w:val="0"/>
      <w:marRight w:val="0"/>
      <w:marTop w:val="0"/>
      <w:marBottom w:val="0"/>
      <w:divBdr>
        <w:top w:val="none" w:sz="0" w:space="0" w:color="auto"/>
        <w:left w:val="none" w:sz="0" w:space="0" w:color="auto"/>
        <w:bottom w:val="none" w:sz="0" w:space="0" w:color="auto"/>
        <w:right w:val="none" w:sz="0" w:space="0" w:color="auto"/>
      </w:divBdr>
    </w:div>
    <w:div w:id="201938438">
      <w:bodyDiv w:val="1"/>
      <w:marLeft w:val="0"/>
      <w:marRight w:val="0"/>
      <w:marTop w:val="0"/>
      <w:marBottom w:val="0"/>
      <w:divBdr>
        <w:top w:val="none" w:sz="0" w:space="0" w:color="auto"/>
        <w:left w:val="none" w:sz="0" w:space="0" w:color="auto"/>
        <w:bottom w:val="none" w:sz="0" w:space="0" w:color="auto"/>
        <w:right w:val="none" w:sz="0" w:space="0" w:color="auto"/>
      </w:divBdr>
    </w:div>
    <w:div w:id="209267929">
      <w:bodyDiv w:val="1"/>
      <w:marLeft w:val="0"/>
      <w:marRight w:val="0"/>
      <w:marTop w:val="0"/>
      <w:marBottom w:val="0"/>
      <w:divBdr>
        <w:top w:val="none" w:sz="0" w:space="0" w:color="auto"/>
        <w:left w:val="none" w:sz="0" w:space="0" w:color="auto"/>
        <w:bottom w:val="none" w:sz="0" w:space="0" w:color="auto"/>
        <w:right w:val="none" w:sz="0" w:space="0" w:color="auto"/>
      </w:divBdr>
    </w:div>
    <w:div w:id="227033521">
      <w:bodyDiv w:val="1"/>
      <w:marLeft w:val="0"/>
      <w:marRight w:val="0"/>
      <w:marTop w:val="0"/>
      <w:marBottom w:val="0"/>
      <w:divBdr>
        <w:top w:val="none" w:sz="0" w:space="0" w:color="auto"/>
        <w:left w:val="none" w:sz="0" w:space="0" w:color="auto"/>
        <w:bottom w:val="none" w:sz="0" w:space="0" w:color="auto"/>
        <w:right w:val="none" w:sz="0" w:space="0" w:color="auto"/>
      </w:divBdr>
    </w:div>
    <w:div w:id="251934088">
      <w:bodyDiv w:val="1"/>
      <w:marLeft w:val="0"/>
      <w:marRight w:val="0"/>
      <w:marTop w:val="0"/>
      <w:marBottom w:val="0"/>
      <w:divBdr>
        <w:top w:val="none" w:sz="0" w:space="0" w:color="auto"/>
        <w:left w:val="none" w:sz="0" w:space="0" w:color="auto"/>
        <w:bottom w:val="none" w:sz="0" w:space="0" w:color="auto"/>
        <w:right w:val="none" w:sz="0" w:space="0" w:color="auto"/>
      </w:divBdr>
    </w:div>
    <w:div w:id="264461177">
      <w:bodyDiv w:val="1"/>
      <w:marLeft w:val="0"/>
      <w:marRight w:val="0"/>
      <w:marTop w:val="0"/>
      <w:marBottom w:val="0"/>
      <w:divBdr>
        <w:top w:val="none" w:sz="0" w:space="0" w:color="auto"/>
        <w:left w:val="none" w:sz="0" w:space="0" w:color="auto"/>
        <w:bottom w:val="none" w:sz="0" w:space="0" w:color="auto"/>
        <w:right w:val="none" w:sz="0" w:space="0" w:color="auto"/>
      </w:divBdr>
    </w:div>
    <w:div w:id="274289732">
      <w:bodyDiv w:val="1"/>
      <w:marLeft w:val="0"/>
      <w:marRight w:val="0"/>
      <w:marTop w:val="0"/>
      <w:marBottom w:val="0"/>
      <w:divBdr>
        <w:top w:val="none" w:sz="0" w:space="0" w:color="auto"/>
        <w:left w:val="none" w:sz="0" w:space="0" w:color="auto"/>
        <w:bottom w:val="none" w:sz="0" w:space="0" w:color="auto"/>
        <w:right w:val="none" w:sz="0" w:space="0" w:color="auto"/>
      </w:divBdr>
    </w:div>
    <w:div w:id="332343330">
      <w:bodyDiv w:val="1"/>
      <w:marLeft w:val="0"/>
      <w:marRight w:val="0"/>
      <w:marTop w:val="0"/>
      <w:marBottom w:val="0"/>
      <w:divBdr>
        <w:top w:val="none" w:sz="0" w:space="0" w:color="auto"/>
        <w:left w:val="none" w:sz="0" w:space="0" w:color="auto"/>
        <w:bottom w:val="none" w:sz="0" w:space="0" w:color="auto"/>
        <w:right w:val="none" w:sz="0" w:space="0" w:color="auto"/>
      </w:divBdr>
    </w:div>
    <w:div w:id="376011159">
      <w:bodyDiv w:val="1"/>
      <w:marLeft w:val="0"/>
      <w:marRight w:val="0"/>
      <w:marTop w:val="0"/>
      <w:marBottom w:val="0"/>
      <w:divBdr>
        <w:top w:val="none" w:sz="0" w:space="0" w:color="auto"/>
        <w:left w:val="none" w:sz="0" w:space="0" w:color="auto"/>
        <w:bottom w:val="none" w:sz="0" w:space="0" w:color="auto"/>
        <w:right w:val="none" w:sz="0" w:space="0" w:color="auto"/>
      </w:divBdr>
    </w:div>
    <w:div w:id="391343675">
      <w:bodyDiv w:val="1"/>
      <w:marLeft w:val="0"/>
      <w:marRight w:val="0"/>
      <w:marTop w:val="0"/>
      <w:marBottom w:val="0"/>
      <w:divBdr>
        <w:top w:val="none" w:sz="0" w:space="0" w:color="auto"/>
        <w:left w:val="none" w:sz="0" w:space="0" w:color="auto"/>
        <w:bottom w:val="none" w:sz="0" w:space="0" w:color="auto"/>
        <w:right w:val="none" w:sz="0" w:space="0" w:color="auto"/>
      </w:divBdr>
    </w:div>
    <w:div w:id="427972190">
      <w:bodyDiv w:val="1"/>
      <w:marLeft w:val="0"/>
      <w:marRight w:val="0"/>
      <w:marTop w:val="0"/>
      <w:marBottom w:val="0"/>
      <w:divBdr>
        <w:top w:val="none" w:sz="0" w:space="0" w:color="auto"/>
        <w:left w:val="none" w:sz="0" w:space="0" w:color="auto"/>
        <w:bottom w:val="none" w:sz="0" w:space="0" w:color="auto"/>
        <w:right w:val="none" w:sz="0" w:space="0" w:color="auto"/>
      </w:divBdr>
    </w:div>
    <w:div w:id="453837213">
      <w:bodyDiv w:val="1"/>
      <w:marLeft w:val="0"/>
      <w:marRight w:val="0"/>
      <w:marTop w:val="0"/>
      <w:marBottom w:val="0"/>
      <w:divBdr>
        <w:top w:val="none" w:sz="0" w:space="0" w:color="auto"/>
        <w:left w:val="none" w:sz="0" w:space="0" w:color="auto"/>
        <w:bottom w:val="none" w:sz="0" w:space="0" w:color="auto"/>
        <w:right w:val="none" w:sz="0" w:space="0" w:color="auto"/>
      </w:divBdr>
    </w:div>
    <w:div w:id="499547022">
      <w:bodyDiv w:val="1"/>
      <w:marLeft w:val="0"/>
      <w:marRight w:val="0"/>
      <w:marTop w:val="0"/>
      <w:marBottom w:val="0"/>
      <w:divBdr>
        <w:top w:val="none" w:sz="0" w:space="0" w:color="auto"/>
        <w:left w:val="none" w:sz="0" w:space="0" w:color="auto"/>
        <w:bottom w:val="none" w:sz="0" w:space="0" w:color="auto"/>
        <w:right w:val="none" w:sz="0" w:space="0" w:color="auto"/>
      </w:divBdr>
    </w:div>
    <w:div w:id="508984197">
      <w:bodyDiv w:val="1"/>
      <w:marLeft w:val="0"/>
      <w:marRight w:val="0"/>
      <w:marTop w:val="0"/>
      <w:marBottom w:val="0"/>
      <w:divBdr>
        <w:top w:val="none" w:sz="0" w:space="0" w:color="auto"/>
        <w:left w:val="none" w:sz="0" w:space="0" w:color="auto"/>
        <w:bottom w:val="none" w:sz="0" w:space="0" w:color="auto"/>
        <w:right w:val="none" w:sz="0" w:space="0" w:color="auto"/>
      </w:divBdr>
    </w:div>
    <w:div w:id="529687361">
      <w:bodyDiv w:val="1"/>
      <w:marLeft w:val="0"/>
      <w:marRight w:val="0"/>
      <w:marTop w:val="0"/>
      <w:marBottom w:val="0"/>
      <w:divBdr>
        <w:top w:val="none" w:sz="0" w:space="0" w:color="auto"/>
        <w:left w:val="none" w:sz="0" w:space="0" w:color="auto"/>
        <w:bottom w:val="none" w:sz="0" w:space="0" w:color="auto"/>
        <w:right w:val="none" w:sz="0" w:space="0" w:color="auto"/>
      </w:divBdr>
      <w:divsChild>
        <w:div w:id="1892761862">
          <w:marLeft w:val="0"/>
          <w:marRight w:val="0"/>
          <w:marTop w:val="0"/>
          <w:marBottom w:val="0"/>
          <w:divBdr>
            <w:top w:val="none" w:sz="0" w:space="0" w:color="auto"/>
            <w:left w:val="none" w:sz="0" w:space="0" w:color="auto"/>
            <w:bottom w:val="none" w:sz="0" w:space="0" w:color="auto"/>
            <w:right w:val="none" w:sz="0" w:space="0" w:color="auto"/>
          </w:divBdr>
        </w:div>
      </w:divsChild>
    </w:div>
    <w:div w:id="538663306">
      <w:bodyDiv w:val="1"/>
      <w:marLeft w:val="0"/>
      <w:marRight w:val="0"/>
      <w:marTop w:val="0"/>
      <w:marBottom w:val="0"/>
      <w:divBdr>
        <w:top w:val="none" w:sz="0" w:space="0" w:color="auto"/>
        <w:left w:val="none" w:sz="0" w:space="0" w:color="auto"/>
        <w:bottom w:val="none" w:sz="0" w:space="0" w:color="auto"/>
        <w:right w:val="none" w:sz="0" w:space="0" w:color="auto"/>
      </w:divBdr>
    </w:div>
    <w:div w:id="551188008">
      <w:bodyDiv w:val="1"/>
      <w:marLeft w:val="0"/>
      <w:marRight w:val="0"/>
      <w:marTop w:val="0"/>
      <w:marBottom w:val="0"/>
      <w:divBdr>
        <w:top w:val="none" w:sz="0" w:space="0" w:color="auto"/>
        <w:left w:val="none" w:sz="0" w:space="0" w:color="auto"/>
        <w:bottom w:val="none" w:sz="0" w:space="0" w:color="auto"/>
        <w:right w:val="none" w:sz="0" w:space="0" w:color="auto"/>
      </w:divBdr>
    </w:div>
    <w:div w:id="558248971">
      <w:bodyDiv w:val="1"/>
      <w:marLeft w:val="0"/>
      <w:marRight w:val="0"/>
      <w:marTop w:val="0"/>
      <w:marBottom w:val="0"/>
      <w:divBdr>
        <w:top w:val="none" w:sz="0" w:space="0" w:color="auto"/>
        <w:left w:val="none" w:sz="0" w:space="0" w:color="auto"/>
        <w:bottom w:val="none" w:sz="0" w:space="0" w:color="auto"/>
        <w:right w:val="none" w:sz="0" w:space="0" w:color="auto"/>
      </w:divBdr>
    </w:div>
    <w:div w:id="562569734">
      <w:bodyDiv w:val="1"/>
      <w:marLeft w:val="0"/>
      <w:marRight w:val="0"/>
      <w:marTop w:val="0"/>
      <w:marBottom w:val="0"/>
      <w:divBdr>
        <w:top w:val="none" w:sz="0" w:space="0" w:color="auto"/>
        <w:left w:val="none" w:sz="0" w:space="0" w:color="auto"/>
        <w:bottom w:val="none" w:sz="0" w:space="0" w:color="auto"/>
        <w:right w:val="none" w:sz="0" w:space="0" w:color="auto"/>
      </w:divBdr>
    </w:div>
    <w:div w:id="565917727">
      <w:bodyDiv w:val="1"/>
      <w:marLeft w:val="0"/>
      <w:marRight w:val="0"/>
      <w:marTop w:val="0"/>
      <w:marBottom w:val="0"/>
      <w:divBdr>
        <w:top w:val="none" w:sz="0" w:space="0" w:color="auto"/>
        <w:left w:val="none" w:sz="0" w:space="0" w:color="auto"/>
        <w:bottom w:val="none" w:sz="0" w:space="0" w:color="auto"/>
        <w:right w:val="none" w:sz="0" w:space="0" w:color="auto"/>
      </w:divBdr>
    </w:div>
    <w:div w:id="578756350">
      <w:bodyDiv w:val="1"/>
      <w:marLeft w:val="0"/>
      <w:marRight w:val="0"/>
      <w:marTop w:val="0"/>
      <w:marBottom w:val="0"/>
      <w:divBdr>
        <w:top w:val="none" w:sz="0" w:space="0" w:color="auto"/>
        <w:left w:val="none" w:sz="0" w:space="0" w:color="auto"/>
        <w:bottom w:val="none" w:sz="0" w:space="0" w:color="auto"/>
        <w:right w:val="none" w:sz="0" w:space="0" w:color="auto"/>
      </w:divBdr>
      <w:divsChild>
        <w:div w:id="431703933">
          <w:marLeft w:val="0"/>
          <w:marRight w:val="0"/>
          <w:marTop w:val="0"/>
          <w:marBottom w:val="0"/>
          <w:divBdr>
            <w:top w:val="none" w:sz="0" w:space="0" w:color="auto"/>
            <w:left w:val="none" w:sz="0" w:space="0" w:color="auto"/>
            <w:bottom w:val="none" w:sz="0" w:space="0" w:color="auto"/>
            <w:right w:val="none" w:sz="0" w:space="0" w:color="auto"/>
          </w:divBdr>
        </w:div>
      </w:divsChild>
    </w:div>
    <w:div w:id="599262239">
      <w:bodyDiv w:val="1"/>
      <w:marLeft w:val="0"/>
      <w:marRight w:val="0"/>
      <w:marTop w:val="0"/>
      <w:marBottom w:val="0"/>
      <w:divBdr>
        <w:top w:val="none" w:sz="0" w:space="0" w:color="auto"/>
        <w:left w:val="none" w:sz="0" w:space="0" w:color="auto"/>
        <w:bottom w:val="none" w:sz="0" w:space="0" w:color="auto"/>
        <w:right w:val="none" w:sz="0" w:space="0" w:color="auto"/>
      </w:divBdr>
    </w:div>
    <w:div w:id="617566905">
      <w:bodyDiv w:val="1"/>
      <w:marLeft w:val="0"/>
      <w:marRight w:val="0"/>
      <w:marTop w:val="0"/>
      <w:marBottom w:val="0"/>
      <w:divBdr>
        <w:top w:val="none" w:sz="0" w:space="0" w:color="auto"/>
        <w:left w:val="none" w:sz="0" w:space="0" w:color="auto"/>
        <w:bottom w:val="none" w:sz="0" w:space="0" w:color="auto"/>
        <w:right w:val="none" w:sz="0" w:space="0" w:color="auto"/>
      </w:divBdr>
    </w:div>
    <w:div w:id="628167841">
      <w:bodyDiv w:val="1"/>
      <w:marLeft w:val="0"/>
      <w:marRight w:val="0"/>
      <w:marTop w:val="0"/>
      <w:marBottom w:val="0"/>
      <w:divBdr>
        <w:top w:val="none" w:sz="0" w:space="0" w:color="auto"/>
        <w:left w:val="none" w:sz="0" w:space="0" w:color="auto"/>
        <w:bottom w:val="none" w:sz="0" w:space="0" w:color="auto"/>
        <w:right w:val="none" w:sz="0" w:space="0" w:color="auto"/>
      </w:divBdr>
    </w:div>
    <w:div w:id="634065098">
      <w:bodyDiv w:val="1"/>
      <w:marLeft w:val="0"/>
      <w:marRight w:val="0"/>
      <w:marTop w:val="0"/>
      <w:marBottom w:val="0"/>
      <w:divBdr>
        <w:top w:val="none" w:sz="0" w:space="0" w:color="auto"/>
        <w:left w:val="none" w:sz="0" w:space="0" w:color="auto"/>
        <w:bottom w:val="none" w:sz="0" w:space="0" w:color="auto"/>
        <w:right w:val="none" w:sz="0" w:space="0" w:color="auto"/>
      </w:divBdr>
    </w:div>
    <w:div w:id="648098530">
      <w:bodyDiv w:val="1"/>
      <w:marLeft w:val="0"/>
      <w:marRight w:val="0"/>
      <w:marTop w:val="0"/>
      <w:marBottom w:val="0"/>
      <w:divBdr>
        <w:top w:val="none" w:sz="0" w:space="0" w:color="auto"/>
        <w:left w:val="none" w:sz="0" w:space="0" w:color="auto"/>
        <w:bottom w:val="none" w:sz="0" w:space="0" w:color="auto"/>
        <w:right w:val="none" w:sz="0" w:space="0" w:color="auto"/>
      </w:divBdr>
    </w:div>
    <w:div w:id="651834576">
      <w:bodyDiv w:val="1"/>
      <w:marLeft w:val="0"/>
      <w:marRight w:val="0"/>
      <w:marTop w:val="0"/>
      <w:marBottom w:val="0"/>
      <w:divBdr>
        <w:top w:val="none" w:sz="0" w:space="0" w:color="auto"/>
        <w:left w:val="none" w:sz="0" w:space="0" w:color="auto"/>
        <w:bottom w:val="none" w:sz="0" w:space="0" w:color="auto"/>
        <w:right w:val="none" w:sz="0" w:space="0" w:color="auto"/>
      </w:divBdr>
    </w:div>
    <w:div w:id="751316434">
      <w:bodyDiv w:val="1"/>
      <w:marLeft w:val="0"/>
      <w:marRight w:val="0"/>
      <w:marTop w:val="0"/>
      <w:marBottom w:val="0"/>
      <w:divBdr>
        <w:top w:val="none" w:sz="0" w:space="0" w:color="auto"/>
        <w:left w:val="none" w:sz="0" w:space="0" w:color="auto"/>
        <w:bottom w:val="none" w:sz="0" w:space="0" w:color="auto"/>
        <w:right w:val="none" w:sz="0" w:space="0" w:color="auto"/>
      </w:divBdr>
    </w:div>
    <w:div w:id="752817241">
      <w:bodyDiv w:val="1"/>
      <w:marLeft w:val="0"/>
      <w:marRight w:val="0"/>
      <w:marTop w:val="0"/>
      <w:marBottom w:val="0"/>
      <w:divBdr>
        <w:top w:val="none" w:sz="0" w:space="0" w:color="auto"/>
        <w:left w:val="none" w:sz="0" w:space="0" w:color="auto"/>
        <w:bottom w:val="none" w:sz="0" w:space="0" w:color="auto"/>
        <w:right w:val="none" w:sz="0" w:space="0" w:color="auto"/>
      </w:divBdr>
    </w:div>
    <w:div w:id="819150043">
      <w:bodyDiv w:val="1"/>
      <w:marLeft w:val="0"/>
      <w:marRight w:val="0"/>
      <w:marTop w:val="0"/>
      <w:marBottom w:val="0"/>
      <w:divBdr>
        <w:top w:val="none" w:sz="0" w:space="0" w:color="auto"/>
        <w:left w:val="none" w:sz="0" w:space="0" w:color="auto"/>
        <w:bottom w:val="none" w:sz="0" w:space="0" w:color="auto"/>
        <w:right w:val="none" w:sz="0" w:space="0" w:color="auto"/>
      </w:divBdr>
    </w:div>
    <w:div w:id="828014020">
      <w:bodyDiv w:val="1"/>
      <w:marLeft w:val="0"/>
      <w:marRight w:val="0"/>
      <w:marTop w:val="0"/>
      <w:marBottom w:val="0"/>
      <w:divBdr>
        <w:top w:val="none" w:sz="0" w:space="0" w:color="auto"/>
        <w:left w:val="none" w:sz="0" w:space="0" w:color="auto"/>
        <w:bottom w:val="none" w:sz="0" w:space="0" w:color="auto"/>
        <w:right w:val="none" w:sz="0" w:space="0" w:color="auto"/>
      </w:divBdr>
    </w:div>
    <w:div w:id="838233422">
      <w:bodyDiv w:val="1"/>
      <w:marLeft w:val="0"/>
      <w:marRight w:val="0"/>
      <w:marTop w:val="0"/>
      <w:marBottom w:val="0"/>
      <w:divBdr>
        <w:top w:val="none" w:sz="0" w:space="0" w:color="auto"/>
        <w:left w:val="none" w:sz="0" w:space="0" w:color="auto"/>
        <w:bottom w:val="none" w:sz="0" w:space="0" w:color="auto"/>
        <w:right w:val="none" w:sz="0" w:space="0" w:color="auto"/>
      </w:divBdr>
    </w:div>
    <w:div w:id="841163129">
      <w:bodyDiv w:val="1"/>
      <w:marLeft w:val="0"/>
      <w:marRight w:val="0"/>
      <w:marTop w:val="0"/>
      <w:marBottom w:val="0"/>
      <w:divBdr>
        <w:top w:val="none" w:sz="0" w:space="0" w:color="auto"/>
        <w:left w:val="none" w:sz="0" w:space="0" w:color="auto"/>
        <w:bottom w:val="none" w:sz="0" w:space="0" w:color="auto"/>
        <w:right w:val="none" w:sz="0" w:space="0" w:color="auto"/>
      </w:divBdr>
    </w:div>
    <w:div w:id="989484828">
      <w:bodyDiv w:val="1"/>
      <w:marLeft w:val="0"/>
      <w:marRight w:val="0"/>
      <w:marTop w:val="0"/>
      <w:marBottom w:val="0"/>
      <w:divBdr>
        <w:top w:val="none" w:sz="0" w:space="0" w:color="auto"/>
        <w:left w:val="none" w:sz="0" w:space="0" w:color="auto"/>
        <w:bottom w:val="none" w:sz="0" w:space="0" w:color="auto"/>
        <w:right w:val="none" w:sz="0" w:space="0" w:color="auto"/>
      </w:divBdr>
    </w:div>
    <w:div w:id="991980310">
      <w:bodyDiv w:val="1"/>
      <w:marLeft w:val="0"/>
      <w:marRight w:val="0"/>
      <w:marTop w:val="0"/>
      <w:marBottom w:val="0"/>
      <w:divBdr>
        <w:top w:val="none" w:sz="0" w:space="0" w:color="auto"/>
        <w:left w:val="none" w:sz="0" w:space="0" w:color="auto"/>
        <w:bottom w:val="none" w:sz="0" w:space="0" w:color="auto"/>
        <w:right w:val="none" w:sz="0" w:space="0" w:color="auto"/>
      </w:divBdr>
    </w:div>
    <w:div w:id="1022322585">
      <w:bodyDiv w:val="1"/>
      <w:marLeft w:val="0"/>
      <w:marRight w:val="0"/>
      <w:marTop w:val="0"/>
      <w:marBottom w:val="0"/>
      <w:divBdr>
        <w:top w:val="none" w:sz="0" w:space="0" w:color="auto"/>
        <w:left w:val="none" w:sz="0" w:space="0" w:color="auto"/>
        <w:bottom w:val="none" w:sz="0" w:space="0" w:color="auto"/>
        <w:right w:val="none" w:sz="0" w:space="0" w:color="auto"/>
      </w:divBdr>
    </w:div>
    <w:div w:id="1094594219">
      <w:bodyDiv w:val="1"/>
      <w:marLeft w:val="0"/>
      <w:marRight w:val="0"/>
      <w:marTop w:val="0"/>
      <w:marBottom w:val="0"/>
      <w:divBdr>
        <w:top w:val="none" w:sz="0" w:space="0" w:color="auto"/>
        <w:left w:val="none" w:sz="0" w:space="0" w:color="auto"/>
        <w:bottom w:val="none" w:sz="0" w:space="0" w:color="auto"/>
        <w:right w:val="none" w:sz="0" w:space="0" w:color="auto"/>
      </w:divBdr>
    </w:div>
    <w:div w:id="1164706971">
      <w:bodyDiv w:val="1"/>
      <w:marLeft w:val="0"/>
      <w:marRight w:val="0"/>
      <w:marTop w:val="0"/>
      <w:marBottom w:val="0"/>
      <w:divBdr>
        <w:top w:val="none" w:sz="0" w:space="0" w:color="auto"/>
        <w:left w:val="none" w:sz="0" w:space="0" w:color="auto"/>
        <w:bottom w:val="none" w:sz="0" w:space="0" w:color="auto"/>
        <w:right w:val="none" w:sz="0" w:space="0" w:color="auto"/>
      </w:divBdr>
    </w:div>
    <w:div w:id="1175463315">
      <w:bodyDiv w:val="1"/>
      <w:marLeft w:val="0"/>
      <w:marRight w:val="0"/>
      <w:marTop w:val="0"/>
      <w:marBottom w:val="0"/>
      <w:divBdr>
        <w:top w:val="none" w:sz="0" w:space="0" w:color="auto"/>
        <w:left w:val="none" w:sz="0" w:space="0" w:color="auto"/>
        <w:bottom w:val="none" w:sz="0" w:space="0" w:color="auto"/>
        <w:right w:val="none" w:sz="0" w:space="0" w:color="auto"/>
      </w:divBdr>
    </w:div>
    <w:div w:id="1263955810">
      <w:bodyDiv w:val="1"/>
      <w:marLeft w:val="0"/>
      <w:marRight w:val="0"/>
      <w:marTop w:val="0"/>
      <w:marBottom w:val="0"/>
      <w:divBdr>
        <w:top w:val="none" w:sz="0" w:space="0" w:color="auto"/>
        <w:left w:val="none" w:sz="0" w:space="0" w:color="auto"/>
        <w:bottom w:val="none" w:sz="0" w:space="0" w:color="auto"/>
        <w:right w:val="none" w:sz="0" w:space="0" w:color="auto"/>
      </w:divBdr>
    </w:div>
    <w:div w:id="1277954342">
      <w:bodyDiv w:val="1"/>
      <w:marLeft w:val="0"/>
      <w:marRight w:val="0"/>
      <w:marTop w:val="0"/>
      <w:marBottom w:val="0"/>
      <w:divBdr>
        <w:top w:val="none" w:sz="0" w:space="0" w:color="auto"/>
        <w:left w:val="none" w:sz="0" w:space="0" w:color="auto"/>
        <w:bottom w:val="none" w:sz="0" w:space="0" w:color="auto"/>
        <w:right w:val="none" w:sz="0" w:space="0" w:color="auto"/>
      </w:divBdr>
    </w:div>
    <w:div w:id="1279682184">
      <w:bodyDiv w:val="1"/>
      <w:marLeft w:val="0"/>
      <w:marRight w:val="0"/>
      <w:marTop w:val="0"/>
      <w:marBottom w:val="0"/>
      <w:divBdr>
        <w:top w:val="none" w:sz="0" w:space="0" w:color="auto"/>
        <w:left w:val="none" w:sz="0" w:space="0" w:color="auto"/>
        <w:bottom w:val="none" w:sz="0" w:space="0" w:color="auto"/>
        <w:right w:val="none" w:sz="0" w:space="0" w:color="auto"/>
      </w:divBdr>
    </w:div>
    <w:div w:id="1386373107">
      <w:bodyDiv w:val="1"/>
      <w:marLeft w:val="0"/>
      <w:marRight w:val="0"/>
      <w:marTop w:val="0"/>
      <w:marBottom w:val="0"/>
      <w:divBdr>
        <w:top w:val="none" w:sz="0" w:space="0" w:color="auto"/>
        <w:left w:val="none" w:sz="0" w:space="0" w:color="auto"/>
        <w:bottom w:val="none" w:sz="0" w:space="0" w:color="auto"/>
        <w:right w:val="none" w:sz="0" w:space="0" w:color="auto"/>
      </w:divBdr>
    </w:div>
    <w:div w:id="1447652738">
      <w:bodyDiv w:val="1"/>
      <w:marLeft w:val="0"/>
      <w:marRight w:val="0"/>
      <w:marTop w:val="0"/>
      <w:marBottom w:val="0"/>
      <w:divBdr>
        <w:top w:val="none" w:sz="0" w:space="0" w:color="auto"/>
        <w:left w:val="none" w:sz="0" w:space="0" w:color="auto"/>
        <w:bottom w:val="none" w:sz="0" w:space="0" w:color="auto"/>
        <w:right w:val="none" w:sz="0" w:space="0" w:color="auto"/>
      </w:divBdr>
    </w:div>
    <w:div w:id="1489712941">
      <w:bodyDiv w:val="1"/>
      <w:marLeft w:val="0"/>
      <w:marRight w:val="0"/>
      <w:marTop w:val="0"/>
      <w:marBottom w:val="0"/>
      <w:divBdr>
        <w:top w:val="none" w:sz="0" w:space="0" w:color="auto"/>
        <w:left w:val="none" w:sz="0" w:space="0" w:color="auto"/>
        <w:bottom w:val="none" w:sz="0" w:space="0" w:color="auto"/>
        <w:right w:val="none" w:sz="0" w:space="0" w:color="auto"/>
      </w:divBdr>
    </w:div>
    <w:div w:id="1493640392">
      <w:bodyDiv w:val="1"/>
      <w:marLeft w:val="0"/>
      <w:marRight w:val="0"/>
      <w:marTop w:val="0"/>
      <w:marBottom w:val="0"/>
      <w:divBdr>
        <w:top w:val="none" w:sz="0" w:space="0" w:color="auto"/>
        <w:left w:val="none" w:sz="0" w:space="0" w:color="auto"/>
        <w:bottom w:val="none" w:sz="0" w:space="0" w:color="auto"/>
        <w:right w:val="none" w:sz="0" w:space="0" w:color="auto"/>
      </w:divBdr>
    </w:div>
    <w:div w:id="1593778517">
      <w:bodyDiv w:val="1"/>
      <w:marLeft w:val="0"/>
      <w:marRight w:val="0"/>
      <w:marTop w:val="0"/>
      <w:marBottom w:val="0"/>
      <w:divBdr>
        <w:top w:val="none" w:sz="0" w:space="0" w:color="auto"/>
        <w:left w:val="none" w:sz="0" w:space="0" w:color="auto"/>
        <w:bottom w:val="none" w:sz="0" w:space="0" w:color="auto"/>
        <w:right w:val="none" w:sz="0" w:space="0" w:color="auto"/>
      </w:divBdr>
    </w:div>
    <w:div w:id="1595170054">
      <w:bodyDiv w:val="1"/>
      <w:marLeft w:val="0"/>
      <w:marRight w:val="0"/>
      <w:marTop w:val="0"/>
      <w:marBottom w:val="0"/>
      <w:divBdr>
        <w:top w:val="none" w:sz="0" w:space="0" w:color="auto"/>
        <w:left w:val="none" w:sz="0" w:space="0" w:color="auto"/>
        <w:bottom w:val="none" w:sz="0" w:space="0" w:color="auto"/>
        <w:right w:val="none" w:sz="0" w:space="0" w:color="auto"/>
      </w:divBdr>
    </w:div>
    <w:div w:id="1608732281">
      <w:bodyDiv w:val="1"/>
      <w:marLeft w:val="0"/>
      <w:marRight w:val="0"/>
      <w:marTop w:val="0"/>
      <w:marBottom w:val="0"/>
      <w:divBdr>
        <w:top w:val="none" w:sz="0" w:space="0" w:color="auto"/>
        <w:left w:val="none" w:sz="0" w:space="0" w:color="auto"/>
        <w:bottom w:val="none" w:sz="0" w:space="0" w:color="auto"/>
        <w:right w:val="none" w:sz="0" w:space="0" w:color="auto"/>
      </w:divBdr>
    </w:div>
    <w:div w:id="1645427333">
      <w:bodyDiv w:val="1"/>
      <w:marLeft w:val="0"/>
      <w:marRight w:val="0"/>
      <w:marTop w:val="0"/>
      <w:marBottom w:val="0"/>
      <w:divBdr>
        <w:top w:val="none" w:sz="0" w:space="0" w:color="auto"/>
        <w:left w:val="none" w:sz="0" w:space="0" w:color="auto"/>
        <w:bottom w:val="none" w:sz="0" w:space="0" w:color="auto"/>
        <w:right w:val="none" w:sz="0" w:space="0" w:color="auto"/>
      </w:divBdr>
    </w:div>
    <w:div w:id="1669555950">
      <w:bodyDiv w:val="1"/>
      <w:marLeft w:val="0"/>
      <w:marRight w:val="0"/>
      <w:marTop w:val="0"/>
      <w:marBottom w:val="0"/>
      <w:divBdr>
        <w:top w:val="none" w:sz="0" w:space="0" w:color="auto"/>
        <w:left w:val="none" w:sz="0" w:space="0" w:color="auto"/>
        <w:bottom w:val="none" w:sz="0" w:space="0" w:color="auto"/>
        <w:right w:val="none" w:sz="0" w:space="0" w:color="auto"/>
      </w:divBdr>
    </w:div>
    <w:div w:id="1687902214">
      <w:bodyDiv w:val="1"/>
      <w:marLeft w:val="0"/>
      <w:marRight w:val="0"/>
      <w:marTop w:val="0"/>
      <w:marBottom w:val="0"/>
      <w:divBdr>
        <w:top w:val="none" w:sz="0" w:space="0" w:color="auto"/>
        <w:left w:val="none" w:sz="0" w:space="0" w:color="auto"/>
        <w:bottom w:val="none" w:sz="0" w:space="0" w:color="auto"/>
        <w:right w:val="none" w:sz="0" w:space="0" w:color="auto"/>
      </w:divBdr>
    </w:div>
    <w:div w:id="1755976205">
      <w:bodyDiv w:val="1"/>
      <w:marLeft w:val="0"/>
      <w:marRight w:val="0"/>
      <w:marTop w:val="0"/>
      <w:marBottom w:val="0"/>
      <w:divBdr>
        <w:top w:val="none" w:sz="0" w:space="0" w:color="auto"/>
        <w:left w:val="none" w:sz="0" w:space="0" w:color="auto"/>
        <w:bottom w:val="none" w:sz="0" w:space="0" w:color="auto"/>
        <w:right w:val="none" w:sz="0" w:space="0" w:color="auto"/>
      </w:divBdr>
    </w:div>
    <w:div w:id="1764109449">
      <w:bodyDiv w:val="1"/>
      <w:marLeft w:val="0"/>
      <w:marRight w:val="0"/>
      <w:marTop w:val="0"/>
      <w:marBottom w:val="0"/>
      <w:divBdr>
        <w:top w:val="none" w:sz="0" w:space="0" w:color="auto"/>
        <w:left w:val="none" w:sz="0" w:space="0" w:color="auto"/>
        <w:bottom w:val="none" w:sz="0" w:space="0" w:color="auto"/>
        <w:right w:val="none" w:sz="0" w:space="0" w:color="auto"/>
      </w:divBdr>
    </w:div>
    <w:div w:id="1768378511">
      <w:bodyDiv w:val="1"/>
      <w:marLeft w:val="0"/>
      <w:marRight w:val="0"/>
      <w:marTop w:val="0"/>
      <w:marBottom w:val="0"/>
      <w:divBdr>
        <w:top w:val="none" w:sz="0" w:space="0" w:color="auto"/>
        <w:left w:val="none" w:sz="0" w:space="0" w:color="auto"/>
        <w:bottom w:val="none" w:sz="0" w:space="0" w:color="auto"/>
        <w:right w:val="none" w:sz="0" w:space="0" w:color="auto"/>
      </w:divBdr>
    </w:div>
    <w:div w:id="1846286813">
      <w:bodyDiv w:val="1"/>
      <w:marLeft w:val="0"/>
      <w:marRight w:val="0"/>
      <w:marTop w:val="0"/>
      <w:marBottom w:val="0"/>
      <w:divBdr>
        <w:top w:val="none" w:sz="0" w:space="0" w:color="auto"/>
        <w:left w:val="none" w:sz="0" w:space="0" w:color="auto"/>
        <w:bottom w:val="none" w:sz="0" w:space="0" w:color="auto"/>
        <w:right w:val="none" w:sz="0" w:space="0" w:color="auto"/>
      </w:divBdr>
    </w:div>
    <w:div w:id="1878739786">
      <w:bodyDiv w:val="1"/>
      <w:marLeft w:val="0"/>
      <w:marRight w:val="0"/>
      <w:marTop w:val="0"/>
      <w:marBottom w:val="0"/>
      <w:divBdr>
        <w:top w:val="none" w:sz="0" w:space="0" w:color="auto"/>
        <w:left w:val="none" w:sz="0" w:space="0" w:color="auto"/>
        <w:bottom w:val="none" w:sz="0" w:space="0" w:color="auto"/>
        <w:right w:val="none" w:sz="0" w:space="0" w:color="auto"/>
      </w:divBdr>
    </w:div>
    <w:div w:id="1890409840">
      <w:bodyDiv w:val="1"/>
      <w:marLeft w:val="0"/>
      <w:marRight w:val="0"/>
      <w:marTop w:val="0"/>
      <w:marBottom w:val="0"/>
      <w:divBdr>
        <w:top w:val="none" w:sz="0" w:space="0" w:color="auto"/>
        <w:left w:val="none" w:sz="0" w:space="0" w:color="auto"/>
        <w:bottom w:val="none" w:sz="0" w:space="0" w:color="auto"/>
        <w:right w:val="none" w:sz="0" w:space="0" w:color="auto"/>
      </w:divBdr>
    </w:div>
    <w:div w:id="1916433319">
      <w:bodyDiv w:val="1"/>
      <w:marLeft w:val="0"/>
      <w:marRight w:val="0"/>
      <w:marTop w:val="0"/>
      <w:marBottom w:val="0"/>
      <w:divBdr>
        <w:top w:val="none" w:sz="0" w:space="0" w:color="auto"/>
        <w:left w:val="none" w:sz="0" w:space="0" w:color="auto"/>
        <w:bottom w:val="none" w:sz="0" w:space="0" w:color="auto"/>
        <w:right w:val="none" w:sz="0" w:space="0" w:color="auto"/>
      </w:divBdr>
    </w:div>
    <w:div w:id="1945771690">
      <w:bodyDiv w:val="1"/>
      <w:marLeft w:val="0"/>
      <w:marRight w:val="0"/>
      <w:marTop w:val="0"/>
      <w:marBottom w:val="0"/>
      <w:divBdr>
        <w:top w:val="none" w:sz="0" w:space="0" w:color="auto"/>
        <w:left w:val="none" w:sz="0" w:space="0" w:color="auto"/>
        <w:bottom w:val="none" w:sz="0" w:space="0" w:color="auto"/>
        <w:right w:val="none" w:sz="0" w:space="0" w:color="auto"/>
      </w:divBdr>
    </w:div>
    <w:div w:id="1994021813">
      <w:bodyDiv w:val="1"/>
      <w:marLeft w:val="0"/>
      <w:marRight w:val="0"/>
      <w:marTop w:val="0"/>
      <w:marBottom w:val="0"/>
      <w:divBdr>
        <w:top w:val="none" w:sz="0" w:space="0" w:color="auto"/>
        <w:left w:val="none" w:sz="0" w:space="0" w:color="auto"/>
        <w:bottom w:val="none" w:sz="0" w:space="0" w:color="auto"/>
        <w:right w:val="none" w:sz="0" w:space="0" w:color="auto"/>
      </w:divBdr>
    </w:div>
    <w:div w:id="2019382927">
      <w:bodyDiv w:val="1"/>
      <w:marLeft w:val="0"/>
      <w:marRight w:val="0"/>
      <w:marTop w:val="0"/>
      <w:marBottom w:val="0"/>
      <w:divBdr>
        <w:top w:val="none" w:sz="0" w:space="0" w:color="auto"/>
        <w:left w:val="none" w:sz="0" w:space="0" w:color="auto"/>
        <w:bottom w:val="none" w:sz="0" w:space="0" w:color="auto"/>
        <w:right w:val="none" w:sz="0" w:space="0" w:color="auto"/>
      </w:divBdr>
    </w:div>
    <w:div w:id="2019963386">
      <w:bodyDiv w:val="1"/>
      <w:marLeft w:val="0"/>
      <w:marRight w:val="0"/>
      <w:marTop w:val="0"/>
      <w:marBottom w:val="0"/>
      <w:divBdr>
        <w:top w:val="none" w:sz="0" w:space="0" w:color="auto"/>
        <w:left w:val="none" w:sz="0" w:space="0" w:color="auto"/>
        <w:bottom w:val="none" w:sz="0" w:space="0" w:color="auto"/>
        <w:right w:val="none" w:sz="0" w:space="0" w:color="auto"/>
      </w:divBdr>
    </w:div>
    <w:div w:id="2049144283">
      <w:bodyDiv w:val="1"/>
      <w:marLeft w:val="0"/>
      <w:marRight w:val="0"/>
      <w:marTop w:val="0"/>
      <w:marBottom w:val="0"/>
      <w:divBdr>
        <w:top w:val="none" w:sz="0" w:space="0" w:color="auto"/>
        <w:left w:val="none" w:sz="0" w:space="0" w:color="auto"/>
        <w:bottom w:val="none" w:sz="0" w:space="0" w:color="auto"/>
        <w:right w:val="none" w:sz="0" w:space="0" w:color="auto"/>
      </w:divBdr>
    </w:div>
    <w:div w:id="2052263985">
      <w:bodyDiv w:val="1"/>
      <w:marLeft w:val="0"/>
      <w:marRight w:val="0"/>
      <w:marTop w:val="0"/>
      <w:marBottom w:val="0"/>
      <w:divBdr>
        <w:top w:val="none" w:sz="0" w:space="0" w:color="auto"/>
        <w:left w:val="none" w:sz="0" w:space="0" w:color="auto"/>
        <w:bottom w:val="none" w:sz="0" w:space="0" w:color="auto"/>
        <w:right w:val="none" w:sz="0" w:space="0" w:color="auto"/>
      </w:divBdr>
    </w:div>
    <w:div w:id="2059670365">
      <w:bodyDiv w:val="1"/>
      <w:marLeft w:val="0"/>
      <w:marRight w:val="0"/>
      <w:marTop w:val="0"/>
      <w:marBottom w:val="0"/>
      <w:divBdr>
        <w:top w:val="none" w:sz="0" w:space="0" w:color="auto"/>
        <w:left w:val="none" w:sz="0" w:space="0" w:color="auto"/>
        <w:bottom w:val="none" w:sz="0" w:space="0" w:color="auto"/>
        <w:right w:val="none" w:sz="0" w:space="0" w:color="auto"/>
      </w:divBdr>
    </w:div>
    <w:div w:id="2060977459">
      <w:bodyDiv w:val="1"/>
      <w:marLeft w:val="0"/>
      <w:marRight w:val="0"/>
      <w:marTop w:val="0"/>
      <w:marBottom w:val="0"/>
      <w:divBdr>
        <w:top w:val="none" w:sz="0" w:space="0" w:color="auto"/>
        <w:left w:val="none" w:sz="0" w:space="0" w:color="auto"/>
        <w:bottom w:val="none" w:sz="0" w:space="0" w:color="auto"/>
        <w:right w:val="none" w:sz="0" w:space="0" w:color="auto"/>
      </w:divBdr>
    </w:div>
    <w:div w:id="2130469396">
      <w:bodyDiv w:val="1"/>
      <w:marLeft w:val="0"/>
      <w:marRight w:val="0"/>
      <w:marTop w:val="0"/>
      <w:marBottom w:val="0"/>
      <w:divBdr>
        <w:top w:val="none" w:sz="0" w:space="0" w:color="auto"/>
        <w:left w:val="none" w:sz="0" w:space="0" w:color="auto"/>
        <w:bottom w:val="none" w:sz="0" w:space="0" w:color="auto"/>
        <w:right w:val="none" w:sz="0" w:space="0" w:color="auto"/>
      </w:divBdr>
      <w:divsChild>
        <w:div w:id="1524241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footer" Target="footer4.xml"/><Relationship Id="rId21" Type="http://schemas.openxmlformats.org/officeDocument/2006/relationships/image" Target="media/image6.png"/><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image" Target="media/image48.emf"/><Relationship Id="rId68" Type="http://schemas.openxmlformats.org/officeDocument/2006/relationships/image" Target="media/image53.emf"/><Relationship Id="rId84" Type="http://schemas.openxmlformats.org/officeDocument/2006/relationships/image" Target="media/image69.emf"/><Relationship Id="rId89" Type="http://schemas.openxmlformats.org/officeDocument/2006/relationships/image" Target="media/image74.emf"/><Relationship Id="rId112" Type="http://schemas.openxmlformats.org/officeDocument/2006/relationships/hyperlink" Target="https://www.tga.gov.au" TargetMode="External"/><Relationship Id="rId16" Type="http://schemas.openxmlformats.org/officeDocument/2006/relationships/hyperlink" Target="https://www.tga.gov.au/resources/resource/guidance/medicine-labels-guidance-tgo-91-and-tgo-92" TargetMode="External"/><Relationship Id="rId107" Type="http://schemas.openxmlformats.org/officeDocument/2006/relationships/header" Target="header4.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image" Target="media/image51.emf"/><Relationship Id="rId74" Type="http://schemas.openxmlformats.org/officeDocument/2006/relationships/image" Target="media/image59.emf"/><Relationship Id="rId79" Type="http://schemas.openxmlformats.org/officeDocument/2006/relationships/image" Target="media/image64.emf"/><Relationship Id="rId87" Type="http://schemas.openxmlformats.org/officeDocument/2006/relationships/image" Target="media/image72.emf"/><Relationship Id="rId102" Type="http://schemas.openxmlformats.org/officeDocument/2006/relationships/customXml" Target="ink/ink2.xml"/><Relationship Id="rId110" Type="http://schemas.openxmlformats.org/officeDocument/2006/relationships/hyperlink" Target="https://www.tga.gov.au/picmi-search-facility" TargetMode="External"/><Relationship Id="rId115"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6.emf"/><Relationship Id="rId82" Type="http://schemas.openxmlformats.org/officeDocument/2006/relationships/image" Target="media/image67.emf"/><Relationship Id="rId90" Type="http://schemas.openxmlformats.org/officeDocument/2006/relationships/image" Target="media/image75.emf"/><Relationship Id="rId95" Type="http://schemas.openxmlformats.org/officeDocument/2006/relationships/hyperlink" Target="https://www.tga.gov.au/tgas-risk-management-approach" TargetMode="External"/><Relationship Id="rId19" Type="http://schemas.openxmlformats.org/officeDocument/2006/relationships/image" Target="media/image4.png"/><Relationship Id="rId14" Type="http://schemas.openxmlformats.org/officeDocument/2006/relationships/hyperlink" Target="https://www.tga.gov.au/black-triangle-scheme"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image" Target="media/image49.emf"/><Relationship Id="rId69" Type="http://schemas.openxmlformats.org/officeDocument/2006/relationships/image" Target="media/image54.emf"/><Relationship Id="rId77" Type="http://schemas.openxmlformats.org/officeDocument/2006/relationships/image" Target="media/image62.emf"/><Relationship Id="rId105" Type="http://schemas.openxmlformats.org/officeDocument/2006/relationships/hyperlink" Target="https://www.tga.gov.au/committee/advisory-committee-medicines-acm" TargetMode="External"/><Relationship Id="rId113" Type="http://schemas.openxmlformats.org/officeDocument/2006/relationships/header" Target="header6.xml"/><Relationship Id="rId118" Type="http://schemas.openxmlformats.org/officeDocument/2006/relationships/fontTable" Target="fontTable.xml"/><Relationship Id="rId8" Type="http://schemas.openxmlformats.org/officeDocument/2006/relationships/hyperlink" Target="https://www.tga.gov.au" TargetMode="External"/><Relationship Id="rId51" Type="http://schemas.openxmlformats.org/officeDocument/2006/relationships/image" Target="media/image36.emf"/><Relationship Id="rId72" Type="http://schemas.openxmlformats.org/officeDocument/2006/relationships/image" Target="media/image57.emf"/><Relationship Id="rId80" Type="http://schemas.openxmlformats.org/officeDocument/2006/relationships/image" Target="media/image65.emf"/><Relationship Id="rId85" Type="http://schemas.openxmlformats.org/officeDocument/2006/relationships/image" Target="media/image70.emf"/><Relationship Id="rId93" Type="http://schemas.openxmlformats.org/officeDocument/2006/relationships/image" Target="media/image78.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2.emf"/><Relationship Id="rId103" Type="http://schemas.openxmlformats.org/officeDocument/2006/relationships/image" Target="media/image80.png"/><Relationship Id="rId108" Type="http://schemas.openxmlformats.org/officeDocument/2006/relationships/header" Target="header5.xml"/><Relationship Id="rId116" Type="http://schemas.openxmlformats.org/officeDocument/2006/relationships/header" Target="header8.xml"/><Relationship Id="rId20" Type="http://schemas.openxmlformats.org/officeDocument/2006/relationships/image" Target="media/image5.png"/><Relationship Id="rId41" Type="http://schemas.openxmlformats.org/officeDocument/2006/relationships/image" Target="media/image26.emf"/><Relationship Id="rId54" Type="http://schemas.openxmlformats.org/officeDocument/2006/relationships/image" Target="media/image39.emf"/><Relationship Id="rId62" Type="http://schemas.openxmlformats.org/officeDocument/2006/relationships/image" Target="media/image47.emf"/><Relationship Id="rId70" Type="http://schemas.openxmlformats.org/officeDocument/2006/relationships/image" Target="media/image55.emf"/><Relationship Id="rId75" Type="http://schemas.openxmlformats.org/officeDocument/2006/relationships/image" Target="media/image60.emf"/><Relationship Id="rId83" Type="http://schemas.openxmlformats.org/officeDocument/2006/relationships/image" Target="media/image68.emf"/><Relationship Id="rId88" Type="http://schemas.openxmlformats.org/officeDocument/2006/relationships/image" Target="media/image73.emf"/><Relationship Id="rId91" Type="http://schemas.openxmlformats.org/officeDocument/2006/relationships/image" Target="media/image76.emf"/><Relationship Id="rId96" Type="http://schemas.openxmlformats.org/officeDocument/2006/relationships/customXml" Target="ink/ink1.xml"/><Relationship Id="rId111" Type="http://schemas.openxmlformats.org/officeDocument/2006/relationships/hyperlink" Target="mailto:info@tga.gov.a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ga.gov.au/picmi-search-facility"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emf"/><Relationship Id="rId57" Type="http://schemas.openxmlformats.org/officeDocument/2006/relationships/image" Target="media/image42.emf"/><Relationship Id="rId106" Type="http://schemas.openxmlformats.org/officeDocument/2006/relationships/header" Target="header3.xml"/><Relationship Id="rId114" Type="http://schemas.openxmlformats.org/officeDocument/2006/relationships/header" Target="header7.xml"/><Relationship Id="rId119" Type="http://schemas.openxmlformats.org/officeDocument/2006/relationships/theme" Target="theme/theme1.xml"/><Relationship Id="rId10" Type="http://schemas.openxmlformats.org/officeDocument/2006/relationships/hyperlink" Target="mailto:tga.copyright@tga.gov.au" TargetMode="External"/><Relationship Id="rId31" Type="http://schemas.openxmlformats.org/officeDocument/2006/relationships/image" Target="media/image16.png"/><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image" Target="media/image66.emf"/><Relationship Id="rId86" Type="http://schemas.openxmlformats.org/officeDocument/2006/relationships/image" Target="media/image71.emf"/><Relationship Id="rId94" Type="http://schemas.openxmlformats.org/officeDocument/2006/relationships/hyperlink" Target="https://www.tga.gov.au/publication/risk-management-plans-medicines-and-biologicals" TargetMode="External"/><Relationship Id="rId101"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hyperlink" Target="https://www.tga.gov.au/australian-public-assessment-report-auspar-guidance" TargetMode="External"/><Relationship Id="rId13" Type="http://schemas.openxmlformats.org/officeDocument/2006/relationships/header" Target="header2.xml"/><Relationship Id="rId18" Type="http://schemas.openxmlformats.org/officeDocument/2006/relationships/image" Target="media/image3.emf"/><Relationship Id="rId39" Type="http://schemas.openxmlformats.org/officeDocument/2006/relationships/image" Target="media/image24.emf"/><Relationship Id="rId109" Type="http://schemas.openxmlformats.org/officeDocument/2006/relationships/footer" Target="footer2.xml"/><Relationship Id="rId34" Type="http://schemas.openxmlformats.org/officeDocument/2006/relationships/image" Target="media/image19.png"/><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image" Target="media/image61.emf"/><Relationship Id="rId104"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7.emf"/><Relationship Id="rId2" Type="http://schemas.openxmlformats.org/officeDocument/2006/relationships/numbering" Target="numbering.xml"/><Relationship Id="rId29" Type="http://schemas.openxmlformats.org/officeDocument/2006/relationships/image" Target="media/image14.jpeg"/></Relationships>
</file>

<file path=word/_rels/footnotes.xml.rels><?xml version="1.0" encoding="UTF-8" standalone="yes"?>
<Relationships xmlns="http://schemas.openxmlformats.org/package/2006/relationships"><Relationship Id="rId8" Type="http://schemas.openxmlformats.org/officeDocument/2006/relationships/hyperlink" Target="https://www.tga.gov.au/resources/auspar/auspar-dupilumab-0" TargetMode="External"/><Relationship Id="rId3" Type="http://schemas.openxmlformats.org/officeDocument/2006/relationships/hyperlink" Target="https://www.tga.gov.au/resources/auspar/auspar-upadacitinib-0" TargetMode="External"/><Relationship Id="rId7" Type="http://schemas.openxmlformats.org/officeDocument/2006/relationships/hyperlink" Target="https://www.tga.gov.au/resources/auspar/auspar-upadacitinib-0" TargetMode="External"/><Relationship Id="rId2" Type="http://schemas.openxmlformats.org/officeDocument/2006/relationships/hyperlink" Target="https://www.tga.gov.au/resources/auspar/auspar-upadacitinib" TargetMode="External"/><Relationship Id="rId1" Type="http://schemas.openxmlformats.org/officeDocument/2006/relationships/hyperlink" Target="https://www.dermcoll.edu.au/wp-content/uploads/2021/05/ACD-Consensus-Statement-Management-of-Atopic-dermatitis-in-adults-March-2021.pdf" TargetMode="External"/><Relationship Id="rId6" Type="http://schemas.openxmlformats.org/officeDocument/2006/relationships/hyperlink" Target="https://www.tga.gov.au/resources/auspar/auspar-dupilumab-0" TargetMode="External"/><Relationship Id="rId5" Type="http://schemas.openxmlformats.org/officeDocument/2006/relationships/hyperlink" Target="https://www.tga.gov.au/resources/auspar/auspar-upadacitinib-0" TargetMode="External"/><Relationship Id="rId10" Type="http://schemas.openxmlformats.org/officeDocument/2006/relationships/hyperlink" Target="https://www.tga.gov.au/resources/auspar/auspar-upadacitinib-0" TargetMode="External"/><Relationship Id="rId4" Type="http://schemas.openxmlformats.org/officeDocument/2006/relationships/hyperlink" Target="https://www.tga.gov.au/resources/auspar/auspar-upadacitinib" TargetMode="External"/><Relationship Id="rId9" Type="http://schemas.openxmlformats.org/officeDocument/2006/relationships/hyperlink" Target="https://www.tga.gov.au/resources/auspar/auspar-upadacitinib"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gi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1-25T05:54:49.573"/>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1-25T05:54:49.574"/>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11,'0'-4,"0"-2</inkml:trace>
</inkml:ink>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E50D97-AC92-48BE-9402-139E98074C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146</Pages>
  <Words>48047</Words>
  <Characters>270507</Characters>
  <Application>Microsoft Office Word</Application>
  <DocSecurity>0</DocSecurity>
  <Lines>5520</Lines>
  <Paragraphs>2611</Paragraphs>
  <ScaleCrop>false</ScaleCrop>
  <HeadingPairs>
    <vt:vector size="2" baseType="variant">
      <vt:variant>
        <vt:lpstr>Title</vt:lpstr>
      </vt:variant>
      <vt:variant>
        <vt:i4>1</vt:i4>
      </vt:variant>
    </vt:vector>
  </HeadingPairs>
  <TitlesOfParts>
    <vt:vector size="1" baseType="lpstr">
      <vt:lpstr>Australian public assessment report for</vt:lpstr>
    </vt:vector>
  </TitlesOfParts>
  <Company>Department of Health and Aged Care</Company>
  <LinksUpToDate>false</LinksUpToDate>
  <CharactersWithSpaces>315943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Rinvoq</dc:title>
  <dc:subject>prescription medicine regulation</dc:subject>
  <dc:creator>Therapeutic Goods Administration</dc:creator>
  <cp:keywords/>
  <cp:lastModifiedBy>PITKIN, Brendan</cp:lastModifiedBy>
  <cp:revision>13</cp:revision>
  <cp:lastPrinted>2019-08-14T04:30:00Z</cp:lastPrinted>
  <dcterms:created xsi:type="dcterms:W3CDTF">2023-03-06T04:17:00Z</dcterms:created>
  <dcterms:modified xsi:type="dcterms:W3CDTF">2023-03-15T06:58:00Z</dcterms:modified>
  <cp:category/>
</cp:coreProperties>
</file>