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ED7EBD1" w14:textId="77777777" w:rsidTr="00BF1190">
        <w:trPr>
          <w:trHeight w:val="1863"/>
        </w:trPr>
        <w:tc>
          <w:tcPr>
            <w:tcW w:w="3652" w:type="dxa"/>
            <w:tcBorders>
              <w:top w:val="nil"/>
              <w:left w:val="nil"/>
              <w:bottom w:val="nil"/>
              <w:right w:val="nil"/>
            </w:tcBorders>
          </w:tcPr>
          <w:p w14:paraId="5C08F626" w14:textId="37A0DDDA" w:rsidR="008E7846" w:rsidRPr="00096AA7" w:rsidRDefault="00652782" w:rsidP="00F931CE">
            <w:pPr>
              <w:pStyle w:val="Date"/>
              <w:framePr w:hSpace="0" w:wrap="auto" w:vAnchor="margin" w:hAnchor="text" w:yAlign="inline"/>
              <w:suppressOverlap w:val="0"/>
            </w:pPr>
            <w:r>
              <w:t>February</w:t>
            </w:r>
            <w:r w:rsidR="00993831">
              <w:t xml:space="preserve"> 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DEECF41" w14:textId="77777777" w:rsidTr="0032583B">
        <w:trPr>
          <w:trHeight w:val="868"/>
        </w:trPr>
        <w:tc>
          <w:tcPr>
            <w:tcW w:w="9079" w:type="dxa"/>
          </w:tcPr>
          <w:p w14:paraId="1C7E8CDE" w14:textId="53D00A20" w:rsidR="0032583B" w:rsidRPr="00A964D1" w:rsidRDefault="0032583B" w:rsidP="00F931CE">
            <w:pPr>
              <w:pStyle w:val="Title"/>
              <w:framePr w:hSpace="0" w:wrap="auto" w:vAnchor="margin" w:yAlign="inline"/>
            </w:pPr>
            <w:r w:rsidRPr="00A964D1">
              <w:t>Australian Public Assessment Report for</w:t>
            </w:r>
            <w:r w:rsidR="00AF2313">
              <w:t xml:space="preserve"> </w:t>
            </w:r>
            <w:r w:rsidR="00083FF3">
              <w:t>Padcev</w:t>
            </w:r>
          </w:p>
        </w:tc>
      </w:tr>
      <w:tr w:rsidR="0032583B" w:rsidRPr="00B64760" w14:paraId="2CF3D71B" w14:textId="77777777" w:rsidTr="0032583B">
        <w:tc>
          <w:tcPr>
            <w:tcW w:w="9079" w:type="dxa"/>
          </w:tcPr>
          <w:p w14:paraId="0D91C9B5" w14:textId="62882DAB" w:rsidR="0032583B" w:rsidRPr="008E7846" w:rsidRDefault="00BB75D6" w:rsidP="00F931CE">
            <w:pPr>
              <w:pStyle w:val="Subtitle"/>
              <w:framePr w:hSpace="0" w:wrap="auto" w:vAnchor="margin" w:yAlign="inline"/>
            </w:pPr>
            <w:r>
              <w:t>Active ingredients</w:t>
            </w:r>
            <w:r w:rsidR="0032583B" w:rsidRPr="008E7846">
              <w:t>:</w:t>
            </w:r>
            <w:r w:rsidR="00083FF3">
              <w:t xml:space="preserve"> </w:t>
            </w:r>
            <w:r w:rsidR="00083FF3" w:rsidRPr="00083FF3">
              <w:t>Enfortumab vedotin</w:t>
            </w:r>
          </w:p>
        </w:tc>
      </w:tr>
      <w:tr w:rsidR="0032583B" w:rsidRPr="00B64760" w14:paraId="2CD1ADD7" w14:textId="77777777" w:rsidTr="0032583B">
        <w:trPr>
          <w:trHeight w:val="486"/>
        </w:trPr>
        <w:tc>
          <w:tcPr>
            <w:tcW w:w="9079" w:type="dxa"/>
          </w:tcPr>
          <w:p w14:paraId="2190030C" w14:textId="1D4CDE34" w:rsidR="0032583B" w:rsidRPr="008E7846" w:rsidRDefault="00460036" w:rsidP="009556D7">
            <w:pPr>
              <w:pStyle w:val="Subtitle"/>
              <w:framePr w:hSpace="0" w:wrap="auto" w:vAnchor="margin" w:yAlign="inline"/>
            </w:pPr>
            <w:r>
              <w:t xml:space="preserve">Sponsor: </w:t>
            </w:r>
            <w:r w:rsidR="00083FF3" w:rsidRPr="00083FF3">
              <w:t>Astellas Pharma Australia Pty Ltd</w:t>
            </w:r>
          </w:p>
        </w:tc>
      </w:tr>
    </w:tbl>
    <w:p w14:paraId="0306D9B7" w14:textId="77777777" w:rsidR="008E7846" w:rsidRPr="0085156D" w:rsidRDefault="008E7846" w:rsidP="0085156D">
      <w:r w:rsidRPr="0085156D">
        <w:br w:type="page"/>
      </w:r>
    </w:p>
    <w:p w14:paraId="38DAF555" w14:textId="77777777" w:rsidR="008E7846" w:rsidRPr="001F6CBA" w:rsidRDefault="008E7846" w:rsidP="008E7846">
      <w:pPr>
        <w:pStyle w:val="NonTOCHeading2"/>
      </w:pPr>
      <w:r w:rsidRPr="001F6CBA">
        <w:lastRenderedPageBreak/>
        <w:t>About the Therapeutic Goods Administration (TGA)</w:t>
      </w:r>
    </w:p>
    <w:p w14:paraId="43028C08" w14:textId="753880DB" w:rsidR="00AF2313" w:rsidRPr="00391B0C" w:rsidRDefault="00AF2313" w:rsidP="00AF2313">
      <w:pPr>
        <w:pStyle w:val="ListBullet"/>
      </w:pPr>
      <w:r w:rsidRPr="00391B0C">
        <w:t>The Therapeutic Goods Administration (TGA) is part of the Australian Government Department of Health</w:t>
      </w:r>
      <w:r w:rsidR="00083FF3">
        <w:t xml:space="preserve"> and Aged Care</w:t>
      </w:r>
      <w:r w:rsidRPr="00391B0C">
        <w:t xml:space="preserve"> and is responsible for regulating therapeutic goods, including medicines, medical devices, and biologicals.</w:t>
      </w:r>
    </w:p>
    <w:p w14:paraId="53C2EAB1"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77B275B1"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145A0F00"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5DFE24AD" w14:textId="23E09595"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79D1EB18" w14:textId="77777777" w:rsidR="008E7846" w:rsidRDefault="008E7846" w:rsidP="00875A6B">
      <w:pPr>
        <w:pStyle w:val="NonTOCHeading2"/>
      </w:pPr>
      <w:r>
        <w:t xml:space="preserve">About </w:t>
      </w:r>
      <w:proofErr w:type="spellStart"/>
      <w:r>
        <w:t>AusPARs</w:t>
      </w:r>
      <w:proofErr w:type="spellEnd"/>
    </w:p>
    <w:p w14:paraId="0534E74A" w14:textId="79D72D2C"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(AusPAR) guidance</w:t>
        </w:r>
      </w:hyperlink>
      <w:r>
        <w:t>.</w:t>
      </w:r>
    </w:p>
    <w:p w14:paraId="5999C731"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7B7B7D50"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4B835016"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07A436BC" w14:textId="77777777" w:rsidR="00924482" w:rsidRPr="00DF1D7F" w:rsidRDefault="00924482" w:rsidP="00F54B65">
      <w:pPr>
        <w:pStyle w:val="LegalSubheading"/>
        <w:spacing w:before="3120"/>
      </w:pPr>
      <w:r w:rsidRPr="00DF1D7F">
        <w:t>Copyright</w:t>
      </w:r>
    </w:p>
    <w:p w14:paraId="41D47C80" w14:textId="4EECEC17"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993831">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0FB908CE"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8937331" w14:textId="77777777" w:rsidR="0089635C" w:rsidRPr="0089635C" w:rsidRDefault="0089635C" w:rsidP="0010788A">
          <w:pPr>
            <w:pStyle w:val="Contents"/>
          </w:pPr>
          <w:r w:rsidRPr="0010788A">
            <w:t>Contents</w:t>
          </w:r>
        </w:p>
        <w:p w14:paraId="3BAB2A4C" w14:textId="757D8E4A" w:rsidR="00195B81"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8492513" w:history="1">
            <w:r w:rsidR="00195B81" w:rsidRPr="00425BD3">
              <w:rPr>
                <w:rStyle w:val="Hyperlink"/>
                <w:noProof/>
              </w:rPr>
              <w:t>List of abbreviations</w:t>
            </w:r>
            <w:r w:rsidR="00195B81">
              <w:rPr>
                <w:noProof/>
                <w:webHidden/>
              </w:rPr>
              <w:tab/>
            </w:r>
            <w:r w:rsidR="00195B81">
              <w:rPr>
                <w:noProof/>
                <w:webHidden/>
              </w:rPr>
              <w:fldChar w:fldCharType="begin"/>
            </w:r>
            <w:r w:rsidR="00195B81">
              <w:rPr>
                <w:noProof/>
                <w:webHidden/>
              </w:rPr>
              <w:instrText xml:space="preserve"> PAGEREF _Toc128492513 \h </w:instrText>
            </w:r>
            <w:r w:rsidR="00195B81">
              <w:rPr>
                <w:noProof/>
                <w:webHidden/>
              </w:rPr>
            </w:r>
            <w:r w:rsidR="00195B81">
              <w:rPr>
                <w:noProof/>
                <w:webHidden/>
              </w:rPr>
              <w:fldChar w:fldCharType="separate"/>
            </w:r>
            <w:r w:rsidR="00EA2B2C">
              <w:rPr>
                <w:noProof/>
                <w:webHidden/>
              </w:rPr>
              <w:t>4</w:t>
            </w:r>
            <w:r w:rsidR="00195B81">
              <w:rPr>
                <w:noProof/>
                <w:webHidden/>
              </w:rPr>
              <w:fldChar w:fldCharType="end"/>
            </w:r>
          </w:hyperlink>
        </w:p>
        <w:p w14:paraId="30826719" w14:textId="203BBCA2" w:rsidR="00195B81" w:rsidRDefault="00EA2B2C">
          <w:pPr>
            <w:pStyle w:val="TOC1"/>
            <w:rPr>
              <w:rFonts w:asciiTheme="minorHAnsi" w:eastAsiaTheme="minorEastAsia" w:hAnsiTheme="minorHAnsi" w:cstheme="minorBidi"/>
              <w:b w:val="0"/>
              <w:noProof/>
              <w:sz w:val="22"/>
              <w:lang w:eastAsia="en-AU"/>
            </w:rPr>
          </w:pPr>
          <w:hyperlink w:anchor="_Toc128492514" w:history="1">
            <w:r w:rsidR="00195B81" w:rsidRPr="00425BD3">
              <w:rPr>
                <w:rStyle w:val="Hyperlink"/>
                <w:noProof/>
              </w:rPr>
              <w:t>Product submission</w:t>
            </w:r>
            <w:r w:rsidR="00195B81">
              <w:rPr>
                <w:noProof/>
                <w:webHidden/>
              </w:rPr>
              <w:tab/>
            </w:r>
            <w:r w:rsidR="00195B81">
              <w:rPr>
                <w:noProof/>
                <w:webHidden/>
              </w:rPr>
              <w:fldChar w:fldCharType="begin"/>
            </w:r>
            <w:r w:rsidR="00195B81">
              <w:rPr>
                <w:noProof/>
                <w:webHidden/>
              </w:rPr>
              <w:instrText xml:space="preserve"> PAGEREF _Toc128492514 \h </w:instrText>
            </w:r>
            <w:r w:rsidR="00195B81">
              <w:rPr>
                <w:noProof/>
                <w:webHidden/>
              </w:rPr>
            </w:r>
            <w:r w:rsidR="00195B81">
              <w:rPr>
                <w:noProof/>
                <w:webHidden/>
              </w:rPr>
              <w:fldChar w:fldCharType="separate"/>
            </w:r>
            <w:r>
              <w:rPr>
                <w:noProof/>
                <w:webHidden/>
              </w:rPr>
              <w:t>6</w:t>
            </w:r>
            <w:r w:rsidR="00195B81">
              <w:rPr>
                <w:noProof/>
                <w:webHidden/>
              </w:rPr>
              <w:fldChar w:fldCharType="end"/>
            </w:r>
          </w:hyperlink>
        </w:p>
        <w:p w14:paraId="15B9FA7C" w14:textId="63D3AE01" w:rsidR="00195B81" w:rsidRDefault="00EA2B2C">
          <w:pPr>
            <w:pStyle w:val="TOC2"/>
            <w:rPr>
              <w:rFonts w:asciiTheme="minorHAnsi" w:eastAsiaTheme="minorEastAsia" w:hAnsiTheme="minorHAnsi" w:cstheme="minorBidi"/>
              <w:b w:val="0"/>
              <w:noProof/>
              <w:sz w:val="22"/>
              <w:lang w:eastAsia="en-AU"/>
            </w:rPr>
          </w:pPr>
          <w:hyperlink w:anchor="_Toc128492515" w:history="1">
            <w:r w:rsidR="00195B81" w:rsidRPr="00425BD3">
              <w:rPr>
                <w:rStyle w:val="Hyperlink"/>
                <w:noProof/>
                <w:lang w:eastAsia="en-AU"/>
              </w:rPr>
              <w:t>Submission details</w:t>
            </w:r>
            <w:r w:rsidR="00195B81">
              <w:rPr>
                <w:noProof/>
                <w:webHidden/>
              </w:rPr>
              <w:tab/>
            </w:r>
            <w:r w:rsidR="00195B81">
              <w:rPr>
                <w:noProof/>
                <w:webHidden/>
              </w:rPr>
              <w:fldChar w:fldCharType="begin"/>
            </w:r>
            <w:r w:rsidR="00195B81">
              <w:rPr>
                <w:noProof/>
                <w:webHidden/>
              </w:rPr>
              <w:instrText xml:space="preserve"> PAGEREF _Toc128492515 \h </w:instrText>
            </w:r>
            <w:r w:rsidR="00195B81">
              <w:rPr>
                <w:noProof/>
                <w:webHidden/>
              </w:rPr>
            </w:r>
            <w:r w:rsidR="00195B81">
              <w:rPr>
                <w:noProof/>
                <w:webHidden/>
              </w:rPr>
              <w:fldChar w:fldCharType="separate"/>
            </w:r>
            <w:r>
              <w:rPr>
                <w:noProof/>
                <w:webHidden/>
              </w:rPr>
              <w:t>6</w:t>
            </w:r>
            <w:r w:rsidR="00195B81">
              <w:rPr>
                <w:noProof/>
                <w:webHidden/>
              </w:rPr>
              <w:fldChar w:fldCharType="end"/>
            </w:r>
          </w:hyperlink>
        </w:p>
        <w:p w14:paraId="1ACB16B4" w14:textId="2CC81489" w:rsidR="00195B81" w:rsidRDefault="00EA2B2C">
          <w:pPr>
            <w:pStyle w:val="TOC2"/>
            <w:rPr>
              <w:rFonts w:asciiTheme="minorHAnsi" w:eastAsiaTheme="minorEastAsia" w:hAnsiTheme="minorHAnsi" w:cstheme="minorBidi"/>
              <w:b w:val="0"/>
              <w:noProof/>
              <w:sz w:val="22"/>
              <w:lang w:eastAsia="en-AU"/>
            </w:rPr>
          </w:pPr>
          <w:hyperlink w:anchor="_Toc128492516" w:history="1">
            <w:r w:rsidR="00195B81" w:rsidRPr="00425BD3">
              <w:rPr>
                <w:rStyle w:val="Hyperlink"/>
                <w:noProof/>
              </w:rPr>
              <w:t>Product background</w:t>
            </w:r>
            <w:r w:rsidR="00195B81">
              <w:rPr>
                <w:noProof/>
                <w:webHidden/>
              </w:rPr>
              <w:tab/>
            </w:r>
            <w:r w:rsidR="00195B81">
              <w:rPr>
                <w:noProof/>
                <w:webHidden/>
              </w:rPr>
              <w:fldChar w:fldCharType="begin"/>
            </w:r>
            <w:r w:rsidR="00195B81">
              <w:rPr>
                <w:noProof/>
                <w:webHidden/>
              </w:rPr>
              <w:instrText xml:space="preserve"> PAGEREF _Toc128492516 \h </w:instrText>
            </w:r>
            <w:r w:rsidR="00195B81">
              <w:rPr>
                <w:noProof/>
                <w:webHidden/>
              </w:rPr>
            </w:r>
            <w:r w:rsidR="00195B81">
              <w:rPr>
                <w:noProof/>
                <w:webHidden/>
              </w:rPr>
              <w:fldChar w:fldCharType="separate"/>
            </w:r>
            <w:r>
              <w:rPr>
                <w:noProof/>
                <w:webHidden/>
              </w:rPr>
              <w:t>7</w:t>
            </w:r>
            <w:r w:rsidR="00195B81">
              <w:rPr>
                <w:noProof/>
                <w:webHidden/>
              </w:rPr>
              <w:fldChar w:fldCharType="end"/>
            </w:r>
          </w:hyperlink>
        </w:p>
        <w:p w14:paraId="7C32BEF2" w14:textId="49E1A35C" w:rsidR="00195B81" w:rsidRDefault="00EA2B2C">
          <w:pPr>
            <w:pStyle w:val="TOC2"/>
            <w:rPr>
              <w:rFonts w:asciiTheme="minorHAnsi" w:eastAsiaTheme="minorEastAsia" w:hAnsiTheme="minorHAnsi" w:cstheme="minorBidi"/>
              <w:b w:val="0"/>
              <w:noProof/>
              <w:sz w:val="22"/>
              <w:lang w:eastAsia="en-AU"/>
            </w:rPr>
          </w:pPr>
          <w:hyperlink w:anchor="_Toc128492517" w:history="1">
            <w:r w:rsidR="00195B81" w:rsidRPr="00425BD3">
              <w:rPr>
                <w:rStyle w:val="Hyperlink"/>
                <w:noProof/>
              </w:rPr>
              <w:t>Regulatory status</w:t>
            </w:r>
            <w:r w:rsidR="00195B81">
              <w:rPr>
                <w:noProof/>
                <w:webHidden/>
              </w:rPr>
              <w:tab/>
            </w:r>
            <w:r w:rsidR="00195B81">
              <w:rPr>
                <w:noProof/>
                <w:webHidden/>
              </w:rPr>
              <w:fldChar w:fldCharType="begin"/>
            </w:r>
            <w:r w:rsidR="00195B81">
              <w:rPr>
                <w:noProof/>
                <w:webHidden/>
              </w:rPr>
              <w:instrText xml:space="preserve"> PAGEREF _Toc128492517 \h </w:instrText>
            </w:r>
            <w:r w:rsidR="00195B81">
              <w:rPr>
                <w:noProof/>
                <w:webHidden/>
              </w:rPr>
            </w:r>
            <w:r w:rsidR="00195B81">
              <w:rPr>
                <w:noProof/>
                <w:webHidden/>
              </w:rPr>
              <w:fldChar w:fldCharType="separate"/>
            </w:r>
            <w:r>
              <w:rPr>
                <w:noProof/>
                <w:webHidden/>
              </w:rPr>
              <w:t>9</w:t>
            </w:r>
            <w:r w:rsidR="00195B81">
              <w:rPr>
                <w:noProof/>
                <w:webHidden/>
              </w:rPr>
              <w:fldChar w:fldCharType="end"/>
            </w:r>
          </w:hyperlink>
        </w:p>
        <w:p w14:paraId="41D435A9" w14:textId="38F7D483" w:rsidR="00195B81" w:rsidRDefault="00EA2B2C">
          <w:pPr>
            <w:pStyle w:val="TOC2"/>
            <w:rPr>
              <w:rFonts w:asciiTheme="minorHAnsi" w:eastAsiaTheme="minorEastAsia" w:hAnsiTheme="minorHAnsi" w:cstheme="minorBidi"/>
              <w:b w:val="0"/>
              <w:noProof/>
              <w:sz w:val="22"/>
              <w:lang w:eastAsia="en-AU"/>
            </w:rPr>
          </w:pPr>
          <w:hyperlink w:anchor="_Toc128492518" w:history="1">
            <w:r w:rsidR="00195B81" w:rsidRPr="00425BD3">
              <w:rPr>
                <w:rStyle w:val="Hyperlink"/>
                <w:noProof/>
              </w:rPr>
              <w:t>Product Information</w:t>
            </w:r>
            <w:r w:rsidR="00195B81">
              <w:rPr>
                <w:noProof/>
                <w:webHidden/>
              </w:rPr>
              <w:tab/>
            </w:r>
            <w:r w:rsidR="00195B81">
              <w:rPr>
                <w:noProof/>
                <w:webHidden/>
              </w:rPr>
              <w:fldChar w:fldCharType="begin"/>
            </w:r>
            <w:r w:rsidR="00195B81">
              <w:rPr>
                <w:noProof/>
                <w:webHidden/>
              </w:rPr>
              <w:instrText xml:space="preserve"> PAGEREF _Toc128492518 \h </w:instrText>
            </w:r>
            <w:r w:rsidR="00195B81">
              <w:rPr>
                <w:noProof/>
                <w:webHidden/>
              </w:rPr>
            </w:r>
            <w:r w:rsidR="00195B81">
              <w:rPr>
                <w:noProof/>
                <w:webHidden/>
              </w:rPr>
              <w:fldChar w:fldCharType="separate"/>
            </w:r>
            <w:r>
              <w:rPr>
                <w:noProof/>
                <w:webHidden/>
              </w:rPr>
              <w:t>11</w:t>
            </w:r>
            <w:r w:rsidR="00195B81">
              <w:rPr>
                <w:noProof/>
                <w:webHidden/>
              </w:rPr>
              <w:fldChar w:fldCharType="end"/>
            </w:r>
          </w:hyperlink>
        </w:p>
        <w:p w14:paraId="051B7608" w14:textId="511DED59" w:rsidR="00195B81" w:rsidRDefault="00EA2B2C">
          <w:pPr>
            <w:pStyle w:val="TOC1"/>
            <w:rPr>
              <w:rFonts w:asciiTheme="minorHAnsi" w:eastAsiaTheme="minorEastAsia" w:hAnsiTheme="minorHAnsi" w:cstheme="minorBidi"/>
              <w:b w:val="0"/>
              <w:noProof/>
              <w:sz w:val="22"/>
              <w:lang w:eastAsia="en-AU"/>
            </w:rPr>
          </w:pPr>
          <w:hyperlink w:anchor="_Toc128492519" w:history="1">
            <w:r w:rsidR="00195B81" w:rsidRPr="00425BD3">
              <w:rPr>
                <w:rStyle w:val="Hyperlink"/>
                <w:noProof/>
              </w:rPr>
              <w:t>Registration timeline</w:t>
            </w:r>
            <w:r w:rsidR="00195B81">
              <w:rPr>
                <w:noProof/>
                <w:webHidden/>
              </w:rPr>
              <w:tab/>
            </w:r>
            <w:r w:rsidR="00195B81">
              <w:rPr>
                <w:noProof/>
                <w:webHidden/>
              </w:rPr>
              <w:fldChar w:fldCharType="begin"/>
            </w:r>
            <w:r w:rsidR="00195B81">
              <w:rPr>
                <w:noProof/>
                <w:webHidden/>
              </w:rPr>
              <w:instrText xml:space="preserve"> PAGEREF _Toc128492519 \h </w:instrText>
            </w:r>
            <w:r w:rsidR="00195B81">
              <w:rPr>
                <w:noProof/>
                <w:webHidden/>
              </w:rPr>
            </w:r>
            <w:r w:rsidR="00195B81">
              <w:rPr>
                <w:noProof/>
                <w:webHidden/>
              </w:rPr>
              <w:fldChar w:fldCharType="separate"/>
            </w:r>
            <w:r>
              <w:rPr>
                <w:noProof/>
                <w:webHidden/>
              </w:rPr>
              <w:t>12</w:t>
            </w:r>
            <w:r w:rsidR="00195B81">
              <w:rPr>
                <w:noProof/>
                <w:webHidden/>
              </w:rPr>
              <w:fldChar w:fldCharType="end"/>
            </w:r>
          </w:hyperlink>
        </w:p>
        <w:p w14:paraId="098BB806" w14:textId="5653B8EC" w:rsidR="00195B81" w:rsidRDefault="00EA2B2C">
          <w:pPr>
            <w:pStyle w:val="TOC1"/>
            <w:rPr>
              <w:rFonts w:asciiTheme="minorHAnsi" w:eastAsiaTheme="minorEastAsia" w:hAnsiTheme="minorHAnsi" w:cstheme="minorBidi"/>
              <w:b w:val="0"/>
              <w:noProof/>
              <w:sz w:val="22"/>
              <w:lang w:eastAsia="en-AU"/>
            </w:rPr>
          </w:pPr>
          <w:hyperlink w:anchor="_Toc128492520" w:history="1">
            <w:r w:rsidR="00195B81" w:rsidRPr="00425BD3">
              <w:rPr>
                <w:rStyle w:val="Hyperlink"/>
                <w:noProof/>
              </w:rPr>
              <w:t>Submission overview and risk/benefit assessment</w:t>
            </w:r>
            <w:r w:rsidR="00195B81">
              <w:rPr>
                <w:noProof/>
                <w:webHidden/>
              </w:rPr>
              <w:tab/>
            </w:r>
            <w:r w:rsidR="00195B81">
              <w:rPr>
                <w:noProof/>
                <w:webHidden/>
              </w:rPr>
              <w:fldChar w:fldCharType="begin"/>
            </w:r>
            <w:r w:rsidR="00195B81">
              <w:rPr>
                <w:noProof/>
                <w:webHidden/>
              </w:rPr>
              <w:instrText xml:space="preserve"> PAGEREF _Toc128492520 \h </w:instrText>
            </w:r>
            <w:r w:rsidR="00195B81">
              <w:rPr>
                <w:noProof/>
                <w:webHidden/>
              </w:rPr>
            </w:r>
            <w:r w:rsidR="00195B81">
              <w:rPr>
                <w:noProof/>
                <w:webHidden/>
              </w:rPr>
              <w:fldChar w:fldCharType="separate"/>
            </w:r>
            <w:r>
              <w:rPr>
                <w:noProof/>
                <w:webHidden/>
              </w:rPr>
              <w:t>12</w:t>
            </w:r>
            <w:r w:rsidR="00195B81">
              <w:rPr>
                <w:noProof/>
                <w:webHidden/>
              </w:rPr>
              <w:fldChar w:fldCharType="end"/>
            </w:r>
          </w:hyperlink>
        </w:p>
        <w:p w14:paraId="501F6A9D" w14:textId="726DC9A2" w:rsidR="00195B81" w:rsidRDefault="00EA2B2C">
          <w:pPr>
            <w:pStyle w:val="TOC2"/>
            <w:rPr>
              <w:rFonts w:asciiTheme="minorHAnsi" w:eastAsiaTheme="minorEastAsia" w:hAnsiTheme="minorHAnsi" w:cstheme="minorBidi"/>
              <w:b w:val="0"/>
              <w:noProof/>
              <w:sz w:val="22"/>
              <w:lang w:eastAsia="en-AU"/>
            </w:rPr>
          </w:pPr>
          <w:hyperlink w:anchor="_Toc128492521" w:history="1">
            <w:r w:rsidR="00195B81" w:rsidRPr="00425BD3">
              <w:rPr>
                <w:rStyle w:val="Hyperlink"/>
                <w:noProof/>
              </w:rPr>
              <w:t>Quality</w:t>
            </w:r>
            <w:r w:rsidR="00195B81">
              <w:rPr>
                <w:noProof/>
                <w:webHidden/>
              </w:rPr>
              <w:tab/>
            </w:r>
            <w:r w:rsidR="00195B81">
              <w:rPr>
                <w:noProof/>
                <w:webHidden/>
              </w:rPr>
              <w:fldChar w:fldCharType="begin"/>
            </w:r>
            <w:r w:rsidR="00195B81">
              <w:rPr>
                <w:noProof/>
                <w:webHidden/>
              </w:rPr>
              <w:instrText xml:space="preserve"> PAGEREF _Toc128492521 \h </w:instrText>
            </w:r>
            <w:r w:rsidR="00195B81">
              <w:rPr>
                <w:noProof/>
                <w:webHidden/>
              </w:rPr>
            </w:r>
            <w:r w:rsidR="00195B81">
              <w:rPr>
                <w:noProof/>
                <w:webHidden/>
              </w:rPr>
              <w:fldChar w:fldCharType="separate"/>
            </w:r>
            <w:r>
              <w:rPr>
                <w:noProof/>
                <w:webHidden/>
              </w:rPr>
              <w:t>12</w:t>
            </w:r>
            <w:r w:rsidR="00195B81">
              <w:rPr>
                <w:noProof/>
                <w:webHidden/>
              </w:rPr>
              <w:fldChar w:fldCharType="end"/>
            </w:r>
          </w:hyperlink>
        </w:p>
        <w:p w14:paraId="6049D7DC" w14:textId="4C413DC6" w:rsidR="00195B81" w:rsidRDefault="00EA2B2C">
          <w:pPr>
            <w:pStyle w:val="TOC2"/>
            <w:rPr>
              <w:rFonts w:asciiTheme="minorHAnsi" w:eastAsiaTheme="minorEastAsia" w:hAnsiTheme="minorHAnsi" w:cstheme="minorBidi"/>
              <w:b w:val="0"/>
              <w:noProof/>
              <w:sz w:val="22"/>
              <w:lang w:eastAsia="en-AU"/>
            </w:rPr>
          </w:pPr>
          <w:hyperlink w:anchor="_Toc128492522" w:history="1">
            <w:r w:rsidR="00195B81" w:rsidRPr="00425BD3">
              <w:rPr>
                <w:rStyle w:val="Hyperlink"/>
                <w:noProof/>
              </w:rPr>
              <w:t>Nonclinical</w:t>
            </w:r>
            <w:r w:rsidR="00195B81">
              <w:rPr>
                <w:noProof/>
                <w:webHidden/>
              </w:rPr>
              <w:tab/>
            </w:r>
            <w:r w:rsidR="00195B81">
              <w:rPr>
                <w:noProof/>
                <w:webHidden/>
              </w:rPr>
              <w:fldChar w:fldCharType="begin"/>
            </w:r>
            <w:r w:rsidR="00195B81">
              <w:rPr>
                <w:noProof/>
                <w:webHidden/>
              </w:rPr>
              <w:instrText xml:space="preserve"> PAGEREF _Toc128492522 \h </w:instrText>
            </w:r>
            <w:r w:rsidR="00195B81">
              <w:rPr>
                <w:noProof/>
                <w:webHidden/>
              </w:rPr>
            </w:r>
            <w:r w:rsidR="00195B81">
              <w:rPr>
                <w:noProof/>
                <w:webHidden/>
              </w:rPr>
              <w:fldChar w:fldCharType="separate"/>
            </w:r>
            <w:r>
              <w:rPr>
                <w:noProof/>
                <w:webHidden/>
              </w:rPr>
              <w:t>15</w:t>
            </w:r>
            <w:r w:rsidR="00195B81">
              <w:rPr>
                <w:noProof/>
                <w:webHidden/>
              </w:rPr>
              <w:fldChar w:fldCharType="end"/>
            </w:r>
          </w:hyperlink>
        </w:p>
        <w:p w14:paraId="0BEAF010" w14:textId="287A6897" w:rsidR="00195B81" w:rsidRDefault="00EA2B2C">
          <w:pPr>
            <w:pStyle w:val="TOC2"/>
            <w:rPr>
              <w:rFonts w:asciiTheme="minorHAnsi" w:eastAsiaTheme="minorEastAsia" w:hAnsiTheme="minorHAnsi" w:cstheme="minorBidi"/>
              <w:b w:val="0"/>
              <w:noProof/>
              <w:sz w:val="22"/>
              <w:lang w:eastAsia="en-AU"/>
            </w:rPr>
          </w:pPr>
          <w:hyperlink w:anchor="_Toc128492523" w:history="1">
            <w:r w:rsidR="00195B81" w:rsidRPr="00425BD3">
              <w:rPr>
                <w:rStyle w:val="Hyperlink"/>
                <w:noProof/>
              </w:rPr>
              <w:t>Clinical</w:t>
            </w:r>
            <w:r w:rsidR="00195B81">
              <w:rPr>
                <w:noProof/>
                <w:webHidden/>
              </w:rPr>
              <w:tab/>
            </w:r>
            <w:r w:rsidR="00195B81">
              <w:rPr>
                <w:noProof/>
                <w:webHidden/>
              </w:rPr>
              <w:fldChar w:fldCharType="begin"/>
            </w:r>
            <w:r w:rsidR="00195B81">
              <w:rPr>
                <w:noProof/>
                <w:webHidden/>
              </w:rPr>
              <w:instrText xml:space="preserve"> PAGEREF _Toc128492523 \h </w:instrText>
            </w:r>
            <w:r w:rsidR="00195B81">
              <w:rPr>
                <w:noProof/>
                <w:webHidden/>
              </w:rPr>
            </w:r>
            <w:r w:rsidR="00195B81">
              <w:rPr>
                <w:noProof/>
                <w:webHidden/>
              </w:rPr>
              <w:fldChar w:fldCharType="separate"/>
            </w:r>
            <w:r>
              <w:rPr>
                <w:noProof/>
                <w:webHidden/>
              </w:rPr>
              <w:t>17</w:t>
            </w:r>
            <w:r w:rsidR="00195B81">
              <w:rPr>
                <w:noProof/>
                <w:webHidden/>
              </w:rPr>
              <w:fldChar w:fldCharType="end"/>
            </w:r>
          </w:hyperlink>
        </w:p>
        <w:p w14:paraId="4F0840D2" w14:textId="34225140" w:rsidR="00195B81" w:rsidRDefault="00EA2B2C">
          <w:pPr>
            <w:pStyle w:val="TOC2"/>
            <w:rPr>
              <w:rFonts w:asciiTheme="minorHAnsi" w:eastAsiaTheme="minorEastAsia" w:hAnsiTheme="minorHAnsi" w:cstheme="minorBidi"/>
              <w:b w:val="0"/>
              <w:noProof/>
              <w:sz w:val="22"/>
              <w:lang w:eastAsia="en-AU"/>
            </w:rPr>
          </w:pPr>
          <w:hyperlink w:anchor="_Toc128492524" w:history="1">
            <w:r w:rsidR="00195B81" w:rsidRPr="00425BD3">
              <w:rPr>
                <w:rStyle w:val="Hyperlink"/>
                <w:noProof/>
              </w:rPr>
              <w:t>Risk management plan</w:t>
            </w:r>
            <w:r w:rsidR="00195B81">
              <w:rPr>
                <w:noProof/>
                <w:webHidden/>
              </w:rPr>
              <w:tab/>
            </w:r>
            <w:r w:rsidR="00195B81">
              <w:rPr>
                <w:noProof/>
                <w:webHidden/>
              </w:rPr>
              <w:fldChar w:fldCharType="begin"/>
            </w:r>
            <w:r w:rsidR="00195B81">
              <w:rPr>
                <w:noProof/>
                <w:webHidden/>
              </w:rPr>
              <w:instrText xml:space="preserve"> PAGEREF _Toc128492524 \h </w:instrText>
            </w:r>
            <w:r w:rsidR="00195B81">
              <w:rPr>
                <w:noProof/>
                <w:webHidden/>
              </w:rPr>
            </w:r>
            <w:r w:rsidR="00195B81">
              <w:rPr>
                <w:noProof/>
                <w:webHidden/>
              </w:rPr>
              <w:fldChar w:fldCharType="separate"/>
            </w:r>
            <w:r>
              <w:rPr>
                <w:noProof/>
                <w:webHidden/>
              </w:rPr>
              <w:t>52</w:t>
            </w:r>
            <w:r w:rsidR="00195B81">
              <w:rPr>
                <w:noProof/>
                <w:webHidden/>
              </w:rPr>
              <w:fldChar w:fldCharType="end"/>
            </w:r>
          </w:hyperlink>
        </w:p>
        <w:p w14:paraId="0AAB9C2C" w14:textId="67316354" w:rsidR="00195B81" w:rsidRDefault="00EA2B2C">
          <w:pPr>
            <w:pStyle w:val="TOC2"/>
            <w:rPr>
              <w:rFonts w:asciiTheme="minorHAnsi" w:eastAsiaTheme="minorEastAsia" w:hAnsiTheme="minorHAnsi" w:cstheme="minorBidi"/>
              <w:b w:val="0"/>
              <w:noProof/>
              <w:sz w:val="22"/>
              <w:lang w:eastAsia="en-AU"/>
            </w:rPr>
          </w:pPr>
          <w:hyperlink w:anchor="_Toc128492525" w:history="1">
            <w:r w:rsidR="00195B81" w:rsidRPr="00425BD3">
              <w:rPr>
                <w:rStyle w:val="Hyperlink"/>
                <w:noProof/>
              </w:rPr>
              <w:t>Risk-benefit analysis</w:t>
            </w:r>
            <w:r w:rsidR="00195B81">
              <w:rPr>
                <w:noProof/>
                <w:webHidden/>
              </w:rPr>
              <w:tab/>
            </w:r>
            <w:r w:rsidR="00195B81">
              <w:rPr>
                <w:noProof/>
                <w:webHidden/>
              </w:rPr>
              <w:fldChar w:fldCharType="begin"/>
            </w:r>
            <w:r w:rsidR="00195B81">
              <w:rPr>
                <w:noProof/>
                <w:webHidden/>
              </w:rPr>
              <w:instrText xml:space="preserve"> PAGEREF _Toc128492525 \h </w:instrText>
            </w:r>
            <w:r w:rsidR="00195B81">
              <w:rPr>
                <w:noProof/>
                <w:webHidden/>
              </w:rPr>
            </w:r>
            <w:r w:rsidR="00195B81">
              <w:rPr>
                <w:noProof/>
                <w:webHidden/>
              </w:rPr>
              <w:fldChar w:fldCharType="separate"/>
            </w:r>
            <w:r>
              <w:rPr>
                <w:noProof/>
                <w:webHidden/>
              </w:rPr>
              <w:t>53</w:t>
            </w:r>
            <w:r w:rsidR="00195B81">
              <w:rPr>
                <w:noProof/>
                <w:webHidden/>
              </w:rPr>
              <w:fldChar w:fldCharType="end"/>
            </w:r>
          </w:hyperlink>
        </w:p>
        <w:p w14:paraId="7492FC54" w14:textId="17C5F05D" w:rsidR="00195B81" w:rsidRDefault="00EA2B2C">
          <w:pPr>
            <w:pStyle w:val="TOC1"/>
            <w:rPr>
              <w:rFonts w:asciiTheme="minorHAnsi" w:eastAsiaTheme="minorEastAsia" w:hAnsiTheme="minorHAnsi" w:cstheme="minorBidi"/>
              <w:b w:val="0"/>
              <w:noProof/>
              <w:sz w:val="22"/>
              <w:lang w:eastAsia="en-AU"/>
            </w:rPr>
          </w:pPr>
          <w:hyperlink w:anchor="_Toc128492526" w:history="1">
            <w:r w:rsidR="00195B81" w:rsidRPr="00425BD3">
              <w:rPr>
                <w:rStyle w:val="Hyperlink"/>
                <w:noProof/>
              </w:rPr>
              <w:t>Outcome</w:t>
            </w:r>
            <w:r w:rsidR="00195B81">
              <w:rPr>
                <w:noProof/>
                <w:webHidden/>
              </w:rPr>
              <w:tab/>
            </w:r>
            <w:r w:rsidR="00195B81">
              <w:rPr>
                <w:noProof/>
                <w:webHidden/>
              </w:rPr>
              <w:fldChar w:fldCharType="begin"/>
            </w:r>
            <w:r w:rsidR="00195B81">
              <w:rPr>
                <w:noProof/>
                <w:webHidden/>
              </w:rPr>
              <w:instrText xml:space="preserve"> PAGEREF _Toc128492526 \h </w:instrText>
            </w:r>
            <w:r w:rsidR="00195B81">
              <w:rPr>
                <w:noProof/>
                <w:webHidden/>
              </w:rPr>
            </w:r>
            <w:r w:rsidR="00195B81">
              <w:rPr>
                <w:noProof/>
                <w:webHidden/>
              </w:rPr>
              <w:fldChar w:fldCharType="separate"/>
            </w:r>
            <w:r>
              <w:rPr>
                <w:noProof/>
                <w:webHidden/>
              </w:rPr>
              <w:t>57</w:t>
            </w:r>
            <w:r w:rsidR="00195B81">
              <w:rPr>
                <w:noProof/>
                <w:webHidden/>
              </w:rPr>
              <w:fldChar w:fldCharType="end"/>
            </w:r>
          </w:hyperlink>
        </w:p>
        <w:p w14:paraId="45E71322" w14:textId="01C2A378" w:rsidR="00195B81" w:rsidRDefault="00EA2B2C">
          <w:pPr>
            <w:pStyle w:val="TOC2"/>
            <w:rPr>
              <w:rFonts w:asciiTheme="minorHAnsi" w:eastAsiaTheme="minorEastAsia" w:hAnsiTheme="minorHAnsi" w:cstheme="minorBidi"/>
              <w:b w:val="0"/>
              <w:noProof/>
              <w:sz w:val="22"/>
              <w:lang w:eastAsia="en-AU"/>
            </w:rPr>
          </w:pPr>
          <w:hyperlink w:anchor="_Toc128492527" w:history="1">
            <w:r w:rsidR="00195B81" w:rsidRPr="00425BD3">
              <w:rPr>
                <w:rStyle w:val="Hyperlink"/>
                <w:noProof/>
              </w:rPr>
              <w:t>Specific conditions of registration applying to these goods</w:t>
            </w:r>
            <w:r w:rsidR="00195B81">
              <w:rPr>
                <w:noProof/>
                <w:webHidden/>
              </w:rPr>
              <w:tab/>
            </w:r>
            <w:r w:rsidR="00195B81">
              <w:rPr>
                <w:noProof/>
                <w:webHidden/>
              </w:rPr>
              <w:fldChar w:fldCharType="begin"/>
            </w:r>
            <w:r w:rsidR="00195B81">
              <w:rPr>
                <w:noProof/>
                <w:webHidden/>
              </w:rPr>
              <w:instrText xml:space="preserve"> PAGEREF _Toc128492527 \h </w:instrText>
            </w:r>
            <w:r w:rsidR="00195B81">
              <w:rPr>
                <w:noProof/>
                <w:webHidden/>
              </w:rPr>
            </w:r>
            <w:r w:rsidR="00195B81">
              <w:rPr>
                <w:noProof/>
                <w:webHidden/>
              </w:rPr>
              <w:fldChar w:fldCharType="separate"/>
            </w:r>
            <w:r>
              <w:rPr>
                <w:noProof/>
                <w:webHidden/>
              </w:rPr>
              <w:t>57</w:t>
            </w:r>
            <w:r w:rsidR="00195B81">
              <w:rPr>
                <w:noProof/>
                <w:webHidden/>
              </w:rPr>
              <w:fldChar w:fldCharType="end"/>
            </w:r>
          </w:hyperlink>
        </w:p>
        <w:p w14:paraId="4CD5D97D" w14:textId="62C134E3" w:rsidR="00195B81" w:rsidRDefault="00EA2B2C">
          <w:pPr>
            <w:pStyle w:val="TOC1"/>
            <w:rPr>
              <w:rFonts w:asciiTheme="minorHAnsi" w:eastAsiaTheme="minorEastAsia" w:hAnsiTheme="minorHAnsi" w:cstheme="minorBidi"/>
              <w:b w:val="0"/>
              <w:noProof/>
              <w:sz w:val="22"/>
              <w:lang w:eastAsia="en-AU"/>
            </w:rPr>
          </w:pPr>
          <w:hyperlink w:anchor="_Toc128492528" w:history="1">
            <w:r w:rsidR="00195B81" w:rsidRPr="00425BD3">
              <w:rPr>
                <w:rStyle w:val="Hyperlink"/>
                <w:noProof/>
              </w:rPr>
              <w:t>Attachment 1. Product Information</w:t>
            </w:r>
            <w:r w:rsidR="00195B81">
              <w:rPr>
                <w:noProof/>
                <w:webHidden/>
              </w:rPr>
              <w:tab/>
            </w:r>
            <w:r w:rsidR="00195B81">
              <w:rPr>
                <w:noProof/>
                <w:webHidden/>
              </w:rPr>
              <w:fldChar w:fldCharType="begin"/>
            </w:r>
            <w:r w:rsidR="00195B81">
              <w:rPr>
                <w:noProof/>
                <w:webHidden/>
              </w:rPr>
              <w:instrText xml:space="preserve"> PAGEREF _Toc128492528 \h </w:instrText>
            </w:r>
            <w:r w:rsidR="00195B81">
              <w:rPr>
                <w:noProof/>
                <w:webHidden/>
              </w:rPr>
            </w:r>
            <w:r w:rsidR="00195B81">
              <w:rPr>
                <w:noProof/>
                <w:webHidden/>
              </w:rPr>
              <w:fldChar w:fldCharType="separate"/>
            </w:r>
            <w:r>
              <w:rPr>
                <w:noProof/>
                <w:webHidden/>
              </w:rPr>
              <w:t>58</w:t>
            </w:r>
            <w:r w:rsidR="00195B81">
              <w:rPr>
                <w:noProof/>
                <w:webHidden/>
              </w:rPr>
              <w:fldChar w:fldCharType="end"/>
            </w:r>
          </w:hyperlink>
        </w:p>
        <w:p w14:paraId="3AA2B00B" w14:textId="43057DF5" w:rsidR="003A7F6C" w:rsidRPr="00B811C6" w:rsidRDefault="00C525A2" w:rsidP="00EB36D6">
          <w:r>
            <w:fldChar w:fldCharType="end"/>
          </w:r>
        </w:p>
      </w:sdtContent>
    </w:sdt>
    <w:bookmarkStart w:id="2" w:name="_Toc314842482" w:displacedByCustomXml="prev"/>
    <w:p w14:paraId="0E485B15" w14:textId="77777777" w:rsidR="00FD119B" w:rsidRDefault="00FD119B">
      <w:pPr>
        <w:spacing w:before="0" w:after="200" w:line="0" w:lineRule="auto"/>
      </w:pPr>
      <w:r>
        <w:br w:type="page"/>
      </w:r>
    </w:p>
    <w:p w14:paraId="08DAFA3E" w14:textId="77777777" w:rsidR="00AF2313" w:rsidRDefault="00AF2313" w:rsidP="00AF2313">
      <w:pPr>
        <w:pStyle w:val="Heading2"/>
      </w:pPr>
      <w:bookmarkStart w:id="3" w:name="_Toc98931917"/>
      <w:bookmarkStart w:id="4" w:name="_Toc128492513"/>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E04F15" w14:paraId="71701963" w14:textId="77777777" w:rsidTr="00C97FFB">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23F194CE" w14:textId="77777777" w:rsidR="00E04F15" w:rsidRDefault="00E04F15" w:rsidP="00C97FFB">
            <w:pPr>
              <w:rPr>
                <w:color w:val="FFFFFF"/>
              </w:rPr>
            </w:pPr>
            <w:bookmarkStart w:id="5" w:name="_Hlk120022409"/>
            <w:r>
              <w:t>Abbreviation</w:t>
            </w:r>
          </w:p>
        </w:tc>
        <w:tc>
          <w:tcPr>
            <w:tcW w:w="3282" w:type="pct"/>
            <w:hideMark/>
          </w:tcPr>
          <w:p w14:paraId="05E65C50" w14:textId="77777777" w:rsidR="00E04F15" w:rsidRDefault="00E04F15" w:rsidP="00C97FFB">
            <w:r>
              <w:t>Meaning</w:t>
            </w:r>
          </w:p>
        </w:tc>
      </w:tr>
      <w:tr w:rsidR="00E04F15" w14:paraId="16E271DB"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748AF13C" w14:textId="77777777" w:rsidR="00E04F15" w:rsidRPr="00713132" w:rsidRDefault="00E04F15" w:rsidP="00C97FFB">
            <w:r>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115577D2" w14:textId="77777777" w:rsidR="00E04F15" w:rsidRPr="00713132" w:rsidRDefault="00E04F15" w:rsidP="00C97FFB">
            <w:r>
              <w:t>Advisory Committee on Medicines</w:t>
            </w:r>
          </w:p>
        </w:tc>
      </w:tr>
      <w:tr w:rsidR="00E04F15" w14:paraId="748CBB6F"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0836ABBD" w14:textId="77777777" w:rsidR="00E04F15" w:rsidRPr="00713132" w:rsidRDefault="00E04F15" w:rsidP="00C97FFB">
            <w:pPr>
              <w:rPr>
                <w:color w:val="auto"/>
              </w:rPr>
            </w:pPr>
            <w:r w:rsidRPr="00713132">
              <w:rPr>
                <w:color w:val="auto"/>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34672895" w14:textId="77777777" w:rsidR="00E04F15" w:rsidRPr="00713132" w:rsidRDefault="00E04F15" w:rsidP="00C97FFB">
            <w:pPr>
              <w:rPr>
                <w:color w:val="auto"/>
              </w:rPr>
            </w:pPr>
            <w:r w:rsidRPr="00713132">
              <w:rPr>
                <w:color w:val="auto"/>
              </w:rPr>
              <w:t>Adverse event</w:t>
            </w:r>
          </w:p>
        </w:tc>
      </w:tr>
      <w:tr w:rsidR="00E04F15" w14:paraId="1744481F"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55FF9353" w14:textId="77777777" w:rsidR="00E04F15" w:rsidRPr="005F0479" w:rsidRDefault="00E04F15" w:rsidP="00C97FFB">
            <w:pPr>
              <w:rPr>
                <w:color w:val="auto"/>
              </w:rPr>
            </w:pPr>
            <w:r w:rsidRPr="005F0479">
              <w:rPr>
                <w:color w:val="auto"/>
              </w:rPr>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48C3B6B0" w14:textId="77777777" w:rsidR="00E04F15" w:rsidRPr="005F0479" w:rsidRDefault="00E04F15" w:rsidP="00C97FFB">
            <w:pPr>
              <w:rPr>
                <w:color w:val="auto"/>
              </w:rPr>
            </w:pPr>
            <w:r w:rsidRPr="005F0479">
              <w:rPr>
                <w:color w:val="auto"/>
              </w:rPr>
              <w:t>Australia specific annex</w:t>
            </w:r>
          </w:p>
        </w:tc>
      </w:tr>
      <w:tr w:rsidR="00E04F15" w14:paraId="2B436A66"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3981350B" w14:textId="77777777" w:rsidR="00E04F15" w:rsidRPr="00B202D5" w:rsidRDefault="00E04F15" w:rsidP="00C97FFB">
            <w:pPr>
              <w:rPr>
                <w:color w:val="auto"/>
              </w:rPr>
            </w:pPr>
            <w:r w:rsidRPr="00B202D5">
              <w:rPr>
                <w:color w:val="auto"/>
              </w:rPr>
              <w:t xml:space="preserve">CI </w:t>
            </w:r>
          </w:p>
        </w:tc>
        <w:tc>
          <w:tcPr>
            <w:tcW w:w="3987" w:type="pct"/>
            <w:gridSpan w:val="2"/>
            <w:tcBorders>
              <w:top w:val="single" w:sz="8" w:space="0" w:color="002C47"/>
              <w:left w:val="single" w:sz="8" w:space="0" w:color="002C47"/>
              <w:bottom w:val="single" w:sz="8" w:space="0" w:color="002C47"/>
              <w:right w:val="single" w:sz="8" w:space="0" w:color="002C47"/>
            </w:tcBorders>
          </w:tcPr>
          <w:p w14:paraId="2CDCBCCA" w14:textId="77777777" w:rsidR="00E04F15" w:rsidRPr="00B202D5" w:rsidRDefault="00E04F15" w:rsidP="00C97FFB">
            <w:pPr>
              <w:rPr>
                <w:color w:val="auto"/>
              </w:rPr>
            </w:pPr>
            <w:r w:rsidRPr="00B202D5">
              <w:rPr>
                <w:color w:val="auto"/>
              </w:rPr>
              <w:t>Confidence interval</w:t>
            </w:r>
          </w:p>
        </w:tc>
      </w:tr>
      <w:tr w:rsidR="00E04F15" w14:paraId="41F6697C"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54559CCD" w14:textId="77777777" w:rsidR="00E04F15" w:rsidRPr="00456D04" w:rsidRDefault="00E04F15" w:rsidP="00C97FFB">
            <w:pPr>
              <w:rPr>
                <w:color w:val="auto"/>
              </w:rPr>
            </w:pPr>
            <w:r w:rsidRPr="00456D04">
              <w:rPr>
                <w:color w:val="auto"/>
              </w:rPr>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736D44D4" w14:textId="3EB6D4ED" w:rsidR="00E04F15" w:rsidRPr="00456D04" w:rsidRDefault="00E04F15" w:rsidP="00C97FFB">
            <w:pPr>
              <w:rPr>
                <w:color w:val="auto"/>
              </w:rPr>
            </w:pPr>
            <w:r w:rsidRPr="00456D04">
              <w:rPr>
                <w:color w:val="auto"/>
              </w:rPr>
              <w:t xml:space="preserve">Consumer </w:t>
            </w:r>
            <w:r>
              <w:rPr>
                <w:color w:val="auto"/>
              </w:rPr>
              <w:t>M</w:t>
            </w:r>
            <w:r w:rsidRPr="00456D04">
              <w:rPr>
                <w:color w:val="auto"/>
              </w:rPr>
              <w:t>edicine</w:t>
            </w:r>
            <w:r w:rsidR="0010726D">
              <w:rPr>
                <w:color w:val="auto"/>
              </w:rPr>
              <w:t>s</w:t>
            </w:r>
            <w:r w:rsidRPr="00456D04">
              <w:rPr>
                <w:color w:val="auto"/>
              </w:rPr>
              <w:t xml:space="preserve"> </w:t>
            </w:r>
            <w:r>
              <w:rPr>
                <w:color w:val="auto"/>
              </w:rPr>
              <w:t>I</w:t>
            </w:r>
            <w:r w:rsidRPr="00456D04">
              <w:rPr>
                <w:color w:val="auto"/>
              </w:rPr>
              <w:t>nformation</w:t>
            </w:r>
          </w:p>
        </w:tc>
      </w:tr>
      <w:tr w:rsidR="00E04F15" w14:paraId="7185F900"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25398640" w14:textId="77777777" w:rsidR="00E04F15" w:rsidRDefault="00E04F15" w:rsidP="00C97FFB">
            <w:r>
              <w:t>CPI</w:t>
            </w:r>
          </w:p>
        </w:tc>
        <w:tc>
          <w:tcPr>
            <w:tcW w:w="3987" w:type="pct"/>
            <w:gridSpan w:val="2"/>
            <w:tcBorders>
              <w:top w:val="single" w:sz="8" w:space="0" w:color="002C47"/>
              <w:left w:val="single" w:sz="8" w:space="0" w:color="002C47"/>
              <w:bottom w:val="single" w:sz="8" w:space="0" w:color="002C47"/>
              <w:right w:val="single" w:sz="8" w:space="0" w:color="002C47"/>
            </w:tcBorders>
          </w:tcPr>
          <w:p w14:paraId="2AE014AD" w14:textId="77777777" w:rsidR="00E04F15" w:rsidRDefault="00E04F15" w:rsidP="00C97FFB">
            <w:r>
              <w:t>Checkpoint inhibitor</w:t>
            </w:r>
          </w:p>
        </w:tc>
      </w:tr>
      <w:tr w:rsidR="00E04F15" w14:paraId="4AE0C0ED"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3BAE7221" w14:textId="77777777" w:rsidR="00E04F15" w:rsidRPr="00456D04" w:rsidRDefault="00E04F15" w:rsidP="00C97FFB">
            <w:r>
              <w:t>CPD</w:t>
            </w:r>
          </w:p>
        </w:tc>
        <w:tc>
          <w:tcPr>
            <w:tcW w:w="3987" w:type="pct"/>
            <w:gridSpan w:val="2"/>
            <w:tcBorders>
              <w:top w:val="single" w:sz="8" w:space="0" w:color="002C47"/>
              <w:left w:val="single" w:sz="8" w:space="0" w:color="002C47"/>
              <w:bottom w:val="single" w:sz="8" w:space="0" w:color="002C47"/>
              <w:right w:val="single" w:sz="8" w:space="0" w:color="002C47"/>
            </w:tcBorders>
          </w:tcPr>
          <w:p w14:paraId="2E5D4304" w14:textId="77777777" w:rsidR="00E04F15" w:rsidRPr="00456D04" w:rsidRDefault="00E04F15" w:rsidP="00C97FFB">
            <w:r>
              <w:t>Certified product details</w:t>
            </w:r>
          </w:p>
        </w:tc>
      </w:tr>
      <w:tr w:rsidR="00E04F15" w14:paraId="0E299DB9"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2B562116" w14:textId="77777777" w:rsidR="00E04F15" w:rsidRPr="005B0A27" w:rsidRDefault="00E04F15" w:rsidP="00C97FFB">
            <w:r w:rsidRPr="005B0A27">
              <w:t>CYP3A4</w:t>
            </w:r>
          </w:p>
        </w:tc>
        <w:tc>
          <w:tcPr>
            <w:tcW w:w="3987" w:type="pct"/>
            <w:gridSpan w:val="2"/>
            <w:tcBorders>
              <w:top w:val="single" w:sz="8" w:space="0" w:color="002C47"/>
              <w:left w:val="single" w:sz="8" w:space="0" w:color="002C47"/>
              <w:bottom w:val="single" w:sz="8" w:space="0" w:color="002C47"/>
              <w:right w:val="single" w:sz="8" w:space="0" w:color="002C47"/>
            </w:tcBorders>
          </w:tcPr>
          <w:p w14:paraId="22400C6E" w14:textId="57FA5E94" w:rsidR="00E04F15" w:rsidRPr="005B0A27" w:rsidRDefault="00E04F15" w:rsidP="00C97FFB">
            <w:r w:rsidRPr="005B0A27">
              <w:t>Cytochrome P450 isoenzyme</w:t>
            </w:r>
            <w:r w:rsidR="00C97FFB">
              <w:t xml:space="preserve"> </w:t>
            </w:r>
            <w:r w:rsidRPr="005B0A27">
              <w:t>3A4</w:t>
            </w:r>
          </w:p>
        </w:tc>
      </w:tr>
      <w:tr w:rsidR="00E04F15" w14:paraId="63F8E656"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6D9479CD" w14:textId="77777777" w:rsidR="00E04F15" w:rsidRDefault="00E04F15" w:rsidP="00C97FFB">
            <w:r>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7411A521" w14:textId="77777777" w:rsidR="00E04F15" w:rsidRPr="00EE38F4" w:rsidRDefault="00E04F15" w:rsidP="00C97FFB">
            <w:r>
              <w:t>Data lock point</w:t>
            </w:r>
          </w:p>
        </w:tc>
      </w:tr>
      <w:tr w:rsidR="00E04F15" w14:paraId="41B685F7"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5EA95B1D" w14:textId="77777777" w:rsidR="00E04F15" w:rsidRPr="00591F64" w:rsidRDefault="00E04F15" w:rsidP="00C97FFB">
            <w:r>
              <w:t>ECOG</w:t>
            </w:r>
          </w:p>
        </w:tc>
        <w:tc>
          <w:tcPr>
            <w:tcW w:w="3987" w:type="pct"/>
            <w:gridSpan w:val="2"/>
            <w:tcBorders>
              <w:top w:val="single" w:sz="8" w:space="0" w:color="002C47"/>
              <w:left w:val="single" w:sz="8" w:space="0" w:color="002C47"/>
              <w:bottom w:val="single" w:sz="8" w:space="0" w:color="002C47"/>
              <w:right w:val="single" w:sz="8" w:space="0" w:color="002C47"/>
            </w:tcBorders>
          </w:tcPr>
          <w:p w14:paraId="22195AA1" w14:textId="77777777" w:rsidR="00E04F15" w:rsidRPr="00591F64" w:rsidRDefault="00E04F15" w:rsidP="00C97FFB">
            <w:r w:rsidRPr="00EE38F4">
              <w:t>Eastern Cooperative Oncology Group</w:t>
            </w:r>
          </w:p>
        </w:tc>
      </w:tr>
      <w:tr w:rsidR="00E04F15" w14:paraId="35FBD16D"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123E2668" w14:textId="77777777" w:rsidR="00E04F15" w:rsidRPr="00591F64" w:rsidRDefault="00E04F15" w:rsidP="00C97FFB">
            <w:r w:rsidRPr="00591F64">
              <w:t>ESMO</w:t>
            </w:r>
          </w:p>
        </w:tc>
        <w:tc>
          <w:tcPr>
            <w:tcW w:w="3987" w:type="pct"/>
            <w:gridSpan w:val="2"/>
            <w:tcBorders>
              <w:top w:val="single" w:sz="8" w:space="0" w:color="002C47"/>
              <w:left w:val="single" w:sz="8" w:space="0" w:color="002C47"/>
              <w:bottom w:val="single" w:sz="8" w:space="0" w:color="002C47"/>
              <w:right w:val="single" w:sz="8" w:space="0" w:color="002C47"/>
            </w:tcBorders>
          </w:tcPr>
          <w:p w14:paraId="755416CE" w14:textId="77777777" w:rsidR="00E04F15" w:rsidRPr="00591F64" w:rsidRDefault="00E04F15" w:rsidP="00C97FFB">
            <w:r w:rsidRPr="00591F64">
              <w:t>European Society of Medical Oncology</w:t>
            </w:r>
          </w:p>
        </w:tc>
      </w:tr>
      <w:tr w:rsidR="00E04F15" w14:paraId="50D1CD5E"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189E0E5A" w14:textId="77777777" w:rsidR="00E04F15" w:rsidRPr="00456D04" w:rsidRDefault="00E04F15" w:rsidP="00C97FFB">
            <w:pPr>
              <w:rPr>
                <w:color w:val="auto"/>
              </w:rPr>
            </w:pPr>
            <w:r w:rsidRPr="00456D04">
              <w:rPr>
                <w:color w:val="auto"/>
              </w:rP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02995EAD" w14:textId="77777777" w:rsidR="00E04F15" w:rsidRPr="00456D04" w:rsidRDefault="00E04F15" w:rsidP="00C97FFB">
            <w:pPr>
              <w:rPr>
                <w:color w:val="auto"/>
              </w:rPr>
            </w:pPr>
            <w:r w:rsidRPr="00456D04">
              <w:rPr>
                <w:color w:val="auto"/>
              </w:rPr>
              <w:t>European Union</w:t>
            </w:r>
          </w:p>
        </w:tc>
      </w:tr>
      <w:tr w:rsidR="00E04F15" w14:paraId="6117DE94"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1BC063AC" w14:textId="77777777" w:rsidR="00E04F15" w:rsidRPr="00456D04" w:rsidRDefault="00E04F15" w:rsidP="00C97FFB">
            <w:pPr>
              <w:rPr>
                <w:color w:val="auto"/>
              </w:rPr>
            </w:pPr>
            <w:r w:rsidRPr="00FE2253">
              <w:t>HbA1C</w:t>
            </w:r>
          </w:p>
        </w:tc>
        <w:tc>
          <w:tcPr>
            <w:tcW w:w="3987" w:type="pct"/>
            <w:gridSpan w:val="2"/>
            <w:tcBorders>
              <w:top w:val="single" w:sz="8" w:space="0" w:color="002C47"/>
              <w:left w:val="single" w:sz="8" w:space="0" w:color="002C47"/>
              <w:bottom w:val="single" w:sz="8" w:space="0" w:color="002C47"/>
              <w:right w:val="single" w:sz="8" w:space="0" w:color="002C47"/>
            </w:tcBorders>
          </w:tcPr>
          <w:p w14:paraId="3EBC83C4" w14:textId="77777777" w:rsidR="00E04F15" w:rsidRPr="00456D04" w:rsidRDefault="00E04F15" w:rsidP="00C97FFB">
            <w:pPr>
              <w:rPr>
                <w:color w:val="auto"/>
              </w:rPr>
            </w:pPr>
            <w:r>
              <w:t>G</w:t>
            </w:r>
            <w:r w:rsidRPr="006826FA">
              <w:t>lycated haemoglobin</w:t>
            </w:r>
          </w:p>
        </w:tc>
      </w:tr>
      <w:tr w:rsidR="00E04F15" w14:paraId="5312AB3A"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6BC2AE94" w14:textId="77777777" w:rsidR="00E04F15" w:rsidRPr="007157C5" w:rsidRDefault="00E04F15" w:rsidP="00C97FFB">
            <w:r>
              <w:t>MMAE</w:t>
            </w:r>
          </w:p>
        </w:tc>
        <w:tc>
          <w:tcPr>
            <w:tcW w:w="3987" w:type="pct"/>
            <w:gridSpan w:val="2"/>
            <w:tcBorders>
              <w:top w:val="single" w:sz="8" w:space="0" w:color="002C47"/>
              <w:left w:val="single" w:sz="8" w:space="0" w:color="002C47"/>
              <w:bottom w:val="single" w:sz="8" w:space="0" w:color="002C47"/>
              <w:right w:val="single" w:sz="8" w:space="0" w:color="002C47"/>
            </w:tcBorders>
          </w:tcPr>
          <w:p w14:paraId="26B0434D" w14:textId="77777777" w:rsidR="00E04F15" w:rsidRDefault="00E04F15" w:rsidP="00C97FFB">
            <w:r>
              <w:t>M</w:t>
            </w:r>
            <w:r w:rsidRPr="00EC168A">
              <w:t>onomethyl auristatin E</w:t>
            </w:r>
          </w:p>
        </w:tc>
      </w:tr>
      <w:tr w:rsidR="00E04F15" w14:paraId="22EC377D"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0E3FAA23" w14:textId="77777777" w:rsidR="00E04F15" w:rsidRPr="007157C5" w:rsidRDefault="00E04F15" w:rsidP="00C97FFB">
            <w:r>
              <w:t>PD-1</w:t>
            </w:r>
          </w:p>
        </w:tc>
        <w:tc>
          <w:tcPr>
            <w:tcW w:w="3987" w:type="pct"/>
            <w:gridSpan w:val="2"/>
            <w:tcBorders>
              <w:top w:val="single" w:sz="8" w:space="0" w:color="002C47"/>
              <w:left w:val="single" w:sz="8" w:space="0" w:color="002C47"/>
              <w:bottom w:val="single" w:sz="8" w:space="0" w:color="002C47"/>
              <w:right w:val="single" w:sz="8" w:space="0" w:color="002C47"/>
            </w:tcBorders>
          </w:tcPr>
          <w:p w14:paraId="3B6EC0EE" w14:textId="77777777" w:rsidR="00E04F15" w:rsidRDefault="00E04F15" w:rsidP="00C97FFB">
            <w:r>
              <w:t>P</w:t>
            </w:r>
            <w:r w:rsidRPr="00591F64">
              <w:t>rogrammed death receptor 1</w:t>
            </w:r>
          </w:p>
        </w:tc>
      </w:tr>
      <w:tr w:rsidR="00E04F15" w14:paraId="4DA4266E" w14:textId="77777777" w:rsidTr="00C97FFB">
        <w:trPr>
          <w:cantSplit/>
          <w:trHeight w:val="40"/>
        </w:trPr>
        <w:tc>
          <w:tcPr>
            <w:tcW w:w="1013" w:type="pct"/>
            <w:tcBorders>
              <w:top w:val="single" w:sz="8" w:space="0" w:color="002C47"/>
              <w:left w:val="single" w:sz="8" w:space="0" w:color="002C47"/>
              <w:bottom w:val="single" w:sz="8" w:space="0" w:color="002C47"/>
              <w:right w:val="single" w:sz="8" w:space="0" w:color="002C47"/>
            </w:tcBorders>
          </w:tcPr>
          <w:p w14:paraId="5B1985C2" w14:textId="77777777" w:rsidR="00E04F15" w:rsidRPr="007157C5" w:rsidRDefault="00E04F15" w:rsidP="00C97FFB">
            <w:r>
              <w:t>PD-L1</w:t>
            </w:r>
          </w:p>
        </w:tc>
        <w:tc>
          <w:tcPr>
            <w:tcW w:w="3987" w:type="pct"/>
            <w:gridSpan w:val="2"/>
            <w:tcBorders>
              <w:top w:val="single" w:sz="8" w:space="0" w:color="002C47"/>
              <w:left w:val="single" w:sz="8" w:space="0" w:color="002C47"/>
              <w:bottom w:val="single" w:sz="8" w:space="0" w:color="002C47"/>
              <w:right w:val="single" w:sz="8" w:space="0" w:color="002C47"/>
            </w:tcBorders>
          </w:tcPr>
          <w:p w14:paraId="7D2D4B06" w14:textId="77777777" w:rsidR="00E04F15" w:rsidRPr="00DF1D5E" w:rsidRDefault="00E04F15" w:rsidP="00C97FFB">
            <w:pPr>
              <w:rPr>
                <w:highlight w:val="yellow"/>
              </w:rPr>
            </w:pPr>
            <w:r>
              <w:t>P</w:t>
            </w:r>
            <w:r w:rsidRPr="00591F64">
              <w:t>rogrammed death-ligand</w:t>
            </w:r>
            <w:r>
              <w:t xml:space="preserve"> 1</w:t>
            </w:r>
          </w:p>
        </w:tc>
      </w:tr>
      <w:tr w:rsidR="00E04F15" w14:paraId="1BCF533F"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2D63308A" w14:textId="77777777" w:rsidR="00E04F15" w:rsidRPr="00456D04" w:rsidRDefault="00E04F15" w:rsidP="00C97FFB">
            <w:pPr>
              <w:rPr>
                <w:rStyle w:val="CommentReference"/>
                <w:color w:val="auto"/>
              </w:rPr>
            </w:pPr>
            <w:r w:rsidRPr="00456D04">
              <w:rPr>
                <w:color w:val="auto"/>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5149EB29" w14:textId="77777777" w:rsidR="00E04F15" w:rsidRPr="00456D04" w:rsidRDefault="00E04F15" w:rsidP="00C97FFB">
            <w:pPr>
              <w:rPr>
                <w:color w:val="auto"/>
              </w:rPr>
            </w:pPr>
            <w:r w:rsidRPr="00456D04">
              <w:rPr>
                <w:color w:val="auto"/>
              </w:rPr>
              <w:t xml:space="preserve">Product </w:t>
            </w:r>
            <w:r>
              <w:rPr>
                <w:color w:val="auto"/>
              </w:rPr>
              <w:t>I</w:t>
            </w:r>
            <w:r w:rsidRPr="00456D04">
              <w:rPr>
                <w:color w:val="auto"/>
              </w:rPr>
              <w:t>nformation</w:t>
            </w:r>
          </w:p>
        </w:tc>
      </w:tr>
      <w:tr w:rsidR="00E04F15" w14:paraId="26AD13F6"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7BB95912" w14:textId="77777777" w:rsidR="00E04F15" w:rsidRPr="00456D04" w:rsidRDefault="00E04F15" w:rsidP="00C97FFB">
            <w:pPr>
              <w:rPr>
                <w:color w:val="auto"/>
              </w:rPr>
            </w:pPr>
            <w:r w:rsidRPr="00456D04">
              <w:rPr>
                <w:color w:val="auto"/>
              </w:rPr>
              <w:t xml:space="preserve">PK </w:t>
            </w:r>
          </w:p>
        </w:tc>
        <w:tc>
          <w:tcPr>
            <w:tcW w:w="3987" w:type="pct"/>
            <w:gridSpan w:val="2"/>
            <w:tcBorders>
              <w:top w:val="single" w:sz="8" w:space="0" w:color="002C47"/>
              <w:left w:val="single" w:sz="8" w:space="0" w:color="002C47"/>
              <w:bottom w:val="single" w:sz="8" w:space="0" w:color="002C47"/>
              <w:right w:val="single" w:sz="8" w:space="0" w:color="002C47"/>
            </w:tcBorders>
          </w:tcPr>
          <w:p w14:paraId="109B08CB" w14:textId="77777777" w:rsidR="00E04F15" w:rsidRPr="00456D04" w:rsidRDefault="00E04F15" w:rsidP="00C97FFB">
            <w:pPr>
              <w:rPr>
                <w:color w:val="auto"/>
              </w:rPr>
            </w:pPr>
            <w:r w:rsidRPr="00456D04">
              <w:rPr>
                <w:color w:val="auto"/>
              </w:rPr>
              <w:t>Pharmacokinetic</w:t>
            </w:r>
            <w:r>
              <w:rPr>
                <w:color w:val="auto"/>
              </w:rPr>
              <w:t>(</w:t>
            </w:r>
            <w:r w:rsidRPr="00456D04">
              <w:rPr>
                <w:color w:val="auto"/>
              </w:rPr>
              <w:t>s</w:t>
            </w:r>
            <w:r>
              <w:rPr>
                <w:color w:val="auto"/>
              </w:rPr>
              <w:t>)</w:t>
            </w:r>
          </w:p>
        </w:tc>
      </w:tr>
      <w:tr w:rsidR="00E04F15" w14:paraId="15DB2A30"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58E39164" w14:textId="77777777" w:rsidR="00E04F15" w:rsidRPr="00871F07" w:rsidRDefault="00E04F15" w:rsidP="00C97FFB">
            <w:pPr>
              <w:rPr>
                <w:color w:val="auto"/>
              </w:rPr>
            </w:pPr>
            <w:r w:rsidRPr="00871F07">
              <w:rPr>
                <w:color w:val="auto"/>
              </w:rPr>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2D4D9F0B" w14:textId="77777777" w:rsidR="00E04F15" w:rsidRPr="00871F07" w:rsidRDefault="00E04F15" w:rsidP="00C97FFB">
            <w:pPr>
              <w:rPr>
                <w:color w:val="auto"/>
              </w:rPr>
            </w:pPr>
            <w:r w:rsidRPr="00871F07">
              <w:rPr>
                <w:color w:val="auto"/>
              </w:rPr>
              <w:t>Periodic safety update reports</w:t>
            </w:r>
          </w:p>
        </w:tc>
      </w:tr>
      <w:tr w:rsidR="00E04F15" w14:paraId="70FBA711"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13EE27F7" w14:textId="77777777" w:rsidR="00E04F15" w:rsidRDefault="00E04F15" w:rsidP="00C97FFB">
            <w:r w:rsidRPr="008B1304">
              <w:t>RECIST</w:t>
            </w:r>
          </w:p>
        </w:tc>
        <w:tc>
          <w:tcPr>
            <w:tcW w:w="3987" w:type="pct"/>
            <w:gridSpan w:val="2"/>
            <w:tcBorders>
              <w:top w:val="single" w:sz="8" w:space="0" w:color="002C47"/>
              <w:left w:val="single" w:sz="8" w:space="0" w:color="002C47"/>
              <w:bottom w:val="single" w:sz="8" w:space="0" w:color="002C47"/>
              <w:right w:val="single" w:sz="8" w:space="0" w:color="002C47"/>
            </w:tcBorders>
          </w:tcPr>
          <w:p w14:paraId="327FEEDF" w14:textId="77777777" w:rsidR="00E04F15" w:rsidRDefault="00E04F15" w:rsidP="00C97FFB">
            <w:r w:rsidRPr="008B1304">
              <w:t>Response Evaluation Criteria in Solid Tumours</w:t>
            </w:r>
          </w:p>
        </w:tc>
      </w:tr>
      <w:tr w:rsidR="00E04F15" w14:paraId="08133C13"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01453103" w14:textId="77777777" w:rsidR="00E04F15" w:rsidRPr="00456D04" w:rsidRDefault="00E04F15" w:rsidP="00C97FFB">
            <w:r>
              <w:t>RDI</w:t>
            </w:r>
          </w:p>
        </w:tc>
        <w:tc>
          <w:tcPr>
            <w:tcW w:w="3987" w:type="pct"/>
            <w:gridSpan w:val="2"/>
            <w:tcBorders>
              <w:top w:val="single" w:sz="8" w:space="0" w:color="002C47"/>
              <w:left w:val="single" w:sz="8" w:space="0" w:color="002C47"/>
              <w:bottom w:val="single" w:sz="8" w:space="0" w:color="002C47"/>
              <w:right w:val="single" w:sz="8" w:space="0" w:color="002C47"/>
            </w:tcBorders>
          </w:tcPr>
          <w:p w14:paraId="5676010D" w14:textId="77777777" w:rsidR="00E04F15" w:rsidRPr="00456D04" w:rsidRDefault="00E04F15" w:rsidP="00C97FFB">
            <w:r>
              <w:t>Relative dose intensity</w:t>
            </w:r>
          </w:p>
        </w:tc>
      </w:tr>
      <w:tr w:rsidR="00E04F15" w14:paraId="0F6C36C5"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64F45681" w14:textId="77777777" w:rsidR="00E04F15" w:rsidRPr="00456D04" w:rsidRDefault="00E04F15" w:rsidP="00C97FFB">
            <w:pPr>
              <w:rPr>
                <w:color w:val="auto"/>
              </w:rPr>
            </w:pPr>
            <w:r w:rsidRPr="00456D04">
              <w:rPr>
                <w:color w:val="auto"/>
              </w:rPr>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0CA77626" w14:textId="77777777" w:rsidR="00E04F15" w:rsidRPr="00456D04" w:rsidRDefault="00E04F15" w:rsidP="00C97FFB">
            <w:pPr>
              <w:rPr>
                <w:color w:val="auto"/>
              </w:rPr>
            </w:pPr>
            <w:r w:rsidRPr="00456D04">
              <w:rPr>
                <w:color w:val="auto"/>
              </w:rPr>
              <w:t>Risk management plan</w:t>
            </w:r>
          </w:p>
        </w:tc>
      </w:tr>
      <w:tr w:rsidR="00E04F15" w14:paraId="656A7A24"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457DE86D" w14:textId="77777777" w:rsidR="00E04F15" w:rsidRPr="000A706E" w:rsidRDefault="00E04F15" w:rsidP="00C97FFB">
            <w:pPr>
              <w:rPr>
                <w:color w:val="auto"/>
              </w:rPr>
            </w:pPr>
            <w:r w:rsidRPr="000A706E">
              <w:rPr>
                <w:color w:val="auto"/>
              </w:rPr>
              <w:t xml:space="preserve">SAE </w:t>
            </w:r>
          </w:p>
        </w:tc>
        <w:tc>
          <w:tcPr>
            <w:tcW w:w="3987" w:type="pct"/>
            <w:gridSpan w:val="2"/>
            <w:tcBorders>
              <w:top w:val="single" w:sz="8" w:space="0" w:color="002C47"/>
              <w:left w:val="single" w:sz="8" w:space="0" w:color="002C47"/>
              <w:bottom w:val="single" w:sz="8" w:space="0" w:color="002C47"/>
              <w:right w:val="single" w:sz="8" w:space="0" w:color="002C47"/>
            </w:tcBorders>
          </w:tcPr>
          <w:p w14:paraId="0A4A74AB" w14:textId="77777777" w:rsidR="00E04F15" w:rsidRPr="000A706E" w:rsidRDefault="00E04F15" w:rsidP="00C97FFB">
            <w:pPr>
              <w:rPr>
                <w:color w:val="auto"/>
              </w:rPr>
            </w:pPr>
            <w:r w:rsidRPr="000A706E">
              <w:rPr>
                <w:color w:val="auto"/>
              </w:rPr>
              <w:t>Serious adverse event</w:t>
            </w:r>
          </w:p>
        </w:tc>
      </w:tr>
      <w:tr w:rsidR="00E04F15" w14:paraId="2DEEC07C"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40DCB5DB" w14:textId="77777777" w:rsidR="00E04F15" w:rsidRPr="005148DD" w:rsidRDefault="00E04F15" w:rsidP="00C97FFB">
            <w:r>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6E397948" w14:textId="77777777" w:rsidR="00E04F15" w:rsidRPr="005148DD" w:rsidRDefault="00E04F15" w:rsidP="00C97FFB">
            <w:r>
              <w:t>T</w:t>
            </w:r>
            <w:r w:rsidRPr="004F3D0D">
              <w:t>reatment-emergent serious adverse event</w:t>
            </w:r>
          </w:p>
        </w:tc>
      </w:tr>
      <w:tr w:rsidR="00E04F15" w14:paraId="58305F38"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3B5B1C4E" w14:textId="77777777" w:rsidR="00E04F15" w:rsidRPr="00456D04" w:rsidRDefault="00E04F15" w:rsidP="00C97FFB">
            <w:pPr>
              <w:rPr>
                <w:color w:val="auto"/>
              </w:rPr>
            </w:pPr>
            <w:r w:rsidRPr="00456D04">
              <w:rPr>
                <w:color w:val="auto"/>
              </w:rPr>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3159AC36" w14:textId="77777777" w:rsidR="00E04F15" w:rsidRPr="00456D04" w:rsidRDefault="00E04F15" w:rsidP="00C97FFB">
            <w:pPr>
              <w:rPr>
                <w:color w:val="auto"/>
              </w:rPr>
            </w:pPr>
            <w:r w:rsidRPr="00456D04">
              <w:rPr>
                <w:color w:val="auto"/>
              </w:rPr>
              <w:t>Therapeutic Goods Administration</w:t>
            </w:r>
          </w:p>
        </w:tc>
      </w:tr>
      <w:tr w:rsidR="00E04F15" w14:paraId="256E405D"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52C1CBBF" w14:textId="77777777" w:rsidR="00E04F15" w:rsidRDefault="00E04F15" w:rsidP="00C97FFB">
            <w:r>
              <w:lastRenderedPageBreak/>
              <w:t>ULN</w:t>
            </w:r>
          </w:p>
        </w:tc>
        <w:tc>
          <w:tcPr>
            <w:tcW w:w="3987" w:type="pct"/>
            <w:gridSpan w:val="2"/>
            <w:tcBorders>
              <w:top w:val="single" w:sz="8" w:space="0" w:color="002C47"/>
              <w:left w:val="single" w:sz="8" w:space="0" w:color="002C47"/>
              <w:bottom w:val="single" w:sz="8" w:space="0" w:color="002C47"/>
              <w:right w:val="single" w:sz="8" w:space="0" w:color="002C47"/>
            </w:tcBorders>
          </w:tcPr>
          <w:p w14:paraId="6FB24782" w14:textId="77777777" w:rsidR="00E04F15" w:rsidRDefault="00E04F15" w:rsidP="00C97FFB">
            <w:r>
              <w:t>Upper limit of normal</w:t>
            </w:r>
          </w:p>
        </w:tc>
      </w:tr>
      <w:tr w:rsidR="00E04F15" w14:paraId="3E6BFF1B" w14:textId="77777777" w:rsidTr="00C97FFB">
        <w:trPr>
          <w:cantSplit/>
        </w:trPr>
        <w:tc>
          <w:tcPr>
            <w:tcW w:w="1013" w:type="pct"/>
            <w:tcBorders>
              <w:top w:val="single" w:sz="8" w:space="0" w:color="002C47"/>
              <w:left w:val="single" w:sz="8" w:space="0" w:color="002C47"/>
              <w:bottom w:val="single" w:sz="8" w:space="0" w:color="002C47"/>
              <w:right w:val="single" w:sz="8" w:space="0" w:color="002C47"/>
            </w:tcBorders>
          </w:tcPr>
          <w:p w14:paraId="11A7E643" w14:textId="77777777" w:rsidR="00E04F15" w:rsidRPr="00456D04" w:rsidRDefault="00E04F15" w:rsidP="00C97FFB">
            <w: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71394DD6" w14:textId="77777777" w:rsidR="00E04F15" w:rsidRPr="00456D04" w:rsidRDefault="00E04F15" w:rsidP="00C97FFB">
            <w:r>
              <w:t>United States of America</w:t>
            </w:r>
          </w:p>
        </w:tc>
      </w:tr>
      <w:bookmarkEnd w:id="5"/>
    </w:tbl>
    <w:p w14:paraId="0E4CD6E2"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C83C191" w14:textId="77777777" w:rsidR="008E7846" w:rsidRDefault="009F2673" w:rsidP="008E7846">
      <w:pPr>
        <w:pStyle w:val="Heading2"/>
      </w:pPr>
      <w:bookmarkStart w:id="6" w:name="_Toc128492514"/>
      <w:r>
        <w:lastRenderedPageBreak/>
        <w:t>Pr</w:t>
      </w:r>
      <w:r w:rsidR="008E7846">
        <w:t>oduct submission</w:t>
      </w:r>
      <w:bookmarkEnd w:id="6"/>
      <w:bookmarkEnd w:id="2"/>
      <w:bookmarkEnd w:id="0"/>
    </w:p>
    <w:p w14:paraId="7194DB3E" w14:textId="77777777" w:rsidR="008E7846" w:rsidRDefault="008E7846" w:rsidP="009E5A87">
      <w:pPr>
        <w:pStyle w:val="Heading3"/>
        <w:rPr>
          <w:lang w:eastAsia="en-AU"/>
        </w:rPr>
      </w:pPr>
      <w:bookmarkStart w:id="7" w:name="_Toc247691502"/>
      <w:bookmarkStart w:id="8" w:name="_Toc314842483"/>
      <w:bookmarkStart w:id="9" w:name="_Toc128492515"/>
      <w:r>
        <w:rPr>
          <w:lang w:eastAsia="en-AU"/>
        </w:rPr>
        <w:t>Submission details</w:t>
      </w:r>
      <w:bookmarkEnd w:id="7"/>
      <w:bookmarkEnd w:id="8"/>
      <w:bookmarkEnd w:id="9"/>
    </w:p>
    <w:tbl>
      <w:tblPr>
        <w:tblW w:w="5000" w:type="pct"/>
        <w:tblLook w:val="01E0" w:firstRow="1" w:lastRow="1" w:firstColumn="1" w:lastColumn="1" w:noHBand="0" w:noVBand="0"/>
      </w:tblPr>
      <w:tblGrid>
        <w:gridCol w:w="2682"/>
        <w:gridCol w:w="5822"/>
      </w:tblGrid>
      <w:tr w:rsidR="009F2673" w:rsidRPr="003D1E62" w14:paraId="4D6013A9" w14:textId="77777777" w:rsidTr="005B7C67">
        <w:tc>
          <w:tcPr>
            <w:tcW w:w="1577" w:type="pct"/>
          </w:tcPr>
          <w:p w14:paraId="76ABC80A" w14:textId="77777777" w:rsidR="009F2673" w:rsidRPr="003D1E62" w:rsidRDefault="009F2673" w:rsidP="009E5A87">
            <w:pPr>
              <w:rPr>
                <w:i/>
              </w:rPr>
            </w:pPr>
            <w:r>
              <w:rPr>
                <w:i/>
              </w:rPr>
              <w:t>Type of s</w:t>
            </w:r>
            <w:r w:rsidRPr="003D1E62">
              <w:rPr>
                <w:i/>
              </w:rPr>
              <w:t>ubmission</w:t>
            </w:r>
            <w:r>
              <w:rPr>
                <w:i/>
              </w:rPr>
              <w:t>:</w:t>
            </w:r>
          </w:p>
        </w:tc>
        <w:tc>
          <w:tcPr>
            <w:tcW w:w="3423" w:type="pct"/>
          </w:tcPr>
          <w:p w14:paraId="372624D7" w14:textId="08CF8C37" w:rsidR="009F2673" w:rsidRPr="003D1E62" w:rsidRDefault="009F2673" w:rsidP="009E5A87">
            <w:r w:rsidRPr="003D1E62">
              <w:t xml:space="preserve">New </w:t>
            </w:r>
            <w:r w:rsidR="00083FF3">
              <w:t>biological</w:t>
            </w:r>
            <w:r w:rsidRPr="003D1E62">
              <w:t xml:space="preserve"> </w:t>
            </w:r>
            <w:r>
              <w:t>e</w:t>
            </w:r>
            <w:r w:rsidRPr="003D1E62">
              <w:t>ntity</w:t>
            </w:r>
          </w:p>
        </w:tc>
      </w:tr>
      <w:tr w:rsidR="009F2673" w:rsidRPr="003D1E62" w14:paraId="706C97ED" w14:textId="77777777" w:rsidTr="005B7C67">
        <w:tc>
          <w:tcPr>
            <w:tcW w:w="1577" w:type="pct"/>
          </w:tcPr>
          <w:p w14:paraId="79DF2623" w14:textId="2CB4FBDE" w:rsidR="009F2673" w:rsidRPr="003D1E62" w:rsidRDefault="009F2673" w:rsidP="009E5A87">
            <w:pPr>
              <w:rPr>
                <w:i/>
              </w:rPr>
            </w:pPr>
            <w:r w:rsidRPr="00460036">
              <w:rPr>
                <w:i/>
              </w:rPr>
              <w:t>Product name:</w:t>
            </w:r>
          </w:p>
        </w:tc>
        <w:tc>
          <w:tcPr>
            <w:tcW w:w="3423" w:type="pct"/>
          </w:tcPr>
          <w:p w14:paraId="00C71490" w14:textId="006FEFFC" w:rsidR="009F2673" w:rsidRPr="003D1E62" w:rsidRDefault="00083FF3" w:rsidP="009E5A87">
            <w:r>
              <w:t>Padcev</w:t>
            </w:r>
          </w:p>
        </w:tc>
      </w:tr>
      <w:tr w:rsidR="009F2673" w:rsidRPr="003D1E62" w14:paraId="1D05337B" w14:textId="77777777" w:rsidTr="005B7C67">
        <w:tc>
          <w:tcPr>
            <w:tcW w:w="1577" w:type="pct"/>
          </w:tcPr>
          <w:p w14:paraId="110D411C" w14:textId="3BB5C452" w:rsidR="009F2673" w:rsidRPr="003D1E62" w:rsidRDefault="009F2673" w:rsidP="009E5A87">
            <w:pPr>
              <w:rPr>
                <w:i/>
              </w:rPr>
            </w:pPr>
            <w:r w:rsidRPr="00460036">
              <w:rPr>
                <w:i/>
              </w:rPr>
              <w:t>Active ingredien</w:t>
            </w:r>
            <w:r w:rsidR="005B7C67">
              <w:rPr>
                <w:i/>
              </w:rPr>
              <w:t>t</w:t>
            </w:r>
            <w:r w:rsidRPr="00460036">
              <w:rPr>
                <w:i/>
              </w:rPr>
              <w:t>:</w:t>
            </w:r>
          </w:p>
        </w:tc>
        <w:tc>
          <w:tcPr>
            <w:tcW w:w="3423" w:type="pct"/>
          </w:tcPr>
          <w:p w14:paraId="44877E4D" w14:textId="69DC364F" w:rsidR="009F2673" w:rsidRPr="003D1E62" w:rsidRDefault="00083FF3" w:rsidP="009E5A87">
            <w:r w:rsidRPr="00083FF3">
              <w:t>Enfortumab vedotin</w:t>
            </w:r>
          </w:p>
        </w:tc>
      </w:tr>
      <w:tr w:rsidR="009F2673" w:rsidRPr="003D1E62" w14:paraId="4FD5F6F8" w14:textId="77777777" w:rsidTr="005B7C67">
        <w:tc>
          <w:tcPr>
            <w:tcW w:w="1577" w:type="pct"/>
          </w:tcPr>
          <w:p w14:paraId="6B94B18D" w14:textId="77777777" w:rsidR="009F2673" w:rsidRPr="009F2673" w:rsidRDefault="009F2673" w:rsidP="009E5A87">
            <w:pPr>
              <w:rPr>
                <w:i/>
              </w:rPr>
            </w:pPr>
            <w:r w:rsidRPr="003D1E62">
              <w:rPr>
                <w:i/>
              </w:rPr>
              <w:t>Decision</w:t>
            </w:r>
            <w:r w:rsidRPr="009F2673">
              <w:rPr>
                <w:i/>
              </w:rPr>
              <w:t>:</w:t>
            </w:r>
          </w:p>
        </w:tc>
        <w:tc>
          <w:tcPr>
            <w:tcW w:w="3423" w:type="pct"/>
          </w:tcPr>
          <w:p w14:paraId="426C4D15" w14:textId="6ACA732B" w:rsidR="009F2673" w:rsidRPr="003D1E62" w:rsidRDefault="009F2673" w:rsidP="009E5A87">
            <w:r w:rsidRPr="00460036">
              <w:t>Approved</w:t>
            </w:r>
          </w:p>
        </w:tc>
      </w:tr>
      <w:tr w:rsidR="009F2673" w:rsidRPr="003D1E62" w14:paraId="386A91E4" w14:textId="77777777" w:rsidTr="005B7C67">
        <w:tc>
          <w:tcPr>
            <w:tcW w:w="1577" w:type="pct"/>
          </w:tcPr>
          <w:p w14:paraId="5E7067DA"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194CF548" w14:textId="5925FE3D" w:rsidR="009F2673" w:rsidRPr="003D1E62" w:rsidRDefault="00B15F28" w:rsidP="009E5A87">
            <w:r>
              <w:t xml:space="preserve">30 </w:t>
            </w:r>
            <w:r w:rsidR="00083FF3">
              <w:t>June 2022</w:t>
            </w:r>
          </w:p>
        </w:tc>
      </w:tr>
      <w:tr w:rsidR="009F2673" w:rsidRPr="003D1E62" w14:paraId="6A52C906" w14:textId="77777777" w:rsidTr="005B7C67">
        <w:tc>
          <w:tcPr>
            <w:tcW w:w="1577" w:type="pct"/>
          </w:tcPr>
          <w:p w14:paraId="6B6B9D49" w14:textId="77777777" w:rsidR="009F2673" w:rsidRPr="00441C3F" w:rsidRDefault="009F2673" w:rsidP="009E5A87">
            <w:pPr>
              <w:rPr>
                <w:i/>
              </w:rPr>
            </w:pPr>
            <w:r w:rsidRPr="00441C3F">
              <w:rPr>
                <w:i/>
              </w:rPr>
              <w:t>Date of entry onto ARTG</w:t>
            </w:r>
            <w:r>
              <w:rPr>
                <w:i/>
              </w:rPr>
              <w:t>:</w:t>
            </w:r>
          </w:p>
        </w:tc>
        <w:tc>
          <w:tcPr>
            <w:tcW w:w="3423" w:type="pct"/>
          </w:tcPr>
          <w:p w14:paraId="1A7DE1F9" w14:textId="11592530" w:rsidR="009F2673" w:rsidRPr="009F2673" w:rsidRDefault="00083FF3" w:rsidP="009E5A87">
            <w:r>
              <w:t>7 July 2022</w:t>
            </w:r>
          </w:p>
        </w:tc>
      </w:tr>
      <w:tr w:rsidR="009F2673" w:rsidRPr="003D1E62" w14:paraId="2DB48E2B" w14:textId="77777777" w:rsidTr="005B7C67">
        <w:tc>
          <w:tcPr>
            <w:tcW w:w="1577" w:type="pct"/>
          </w:tcPr>
          <w:p w14:paraId="04F6D488" w14:textId="7E620777" w:rsidR="009F2673" w:rsidRPr="00441C3F" w:rsidRDefault="009F2673" w:rsidP="009E5A87">
            <w:pPr>
              <w:rPr>
                <w:i/>
              </w:rPr>
            </w:pPr>
            <w:r>
              <w:rPr>
                <w:i/>
              </w:rPr>
              <w:t>ARTG numbers:</w:t>
            </w:r>
          </w:p>
        </w:tc>
        <w:tc>
          <w:tcPr>
            <w:tcW w:w="3423" w:type="pct"/>
          </w:tcPr>
          <w:p w14:paraId="0C4427B9" w14:textId="3F5DE487" w:rsidR="009F2673" w:rsidRPr="00441C3F" w:rsidRDefault="00083FF3" w:rsidP="009E5A87">
            <w:r>
              <w:t>355870, 367410</w:t>
            </w:r>
          </w:p>
        </w:tc>
      </w:tr>
      <w:tr w:rsidR="009F2673" w:rsidRPr="003D1E62" w14:paraId="4EC4B127" w14:textId="77777777" w:rsidTr="005B7C67">
        <w:tc>
          <w:tcPr>
            <w:tcW w:w="1577" w:type="pct"/>
          </w:tcPr>
          <w:p w14:paraId="02BED6AD" w14:textId="772D015E"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6E3E5029" w14:textId="5994656B" w:rsidR="009F2673" w:rsidRDefault="009F2673" w:rsidP="009E5A87">
            <w:r>
              <w:t>Yes</w:t>
            </w:r>
          </w:p>
          <w:p w14:paraId="6D9A2D31" w14:textId="40B6DA37" w:rsidR="009F2673" w:rsidRPr="00487162" w:rsidRDefault="009F2673" w:rsidP="00083FF3">
            <w:r>
              <w:t xml:space="preserve">This product will remain in the scheme for 5 years, starting on the date the product is first supplied in </w:t>
            </w:r>
            <w:r w:rsidRPr="00D453FA">
              <w:t>Australia</w:t>
            </w:r>
          </w:p>
        </w:tc>
      </w:tr>
      <w:tr w:rsidR="009F2673" w:rsidRPr="003D1E62" w14:paraId="6EFF82EA" w14:textId="77777777" w:rsidTr="005B7C67">
        <w:tc>
          <w:tcPr>
            <w:tcW w:w="1577" w:type="pct"/>
          </w:tcPr>
          <w:p w14:paraId="6ACD04D9"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4045FFBB" w14:textId="77777777" w:rsidR="009F2673" w:rsidRDefault="00083FF3" w:rsidP="009E5A87">
            <w:r w:rsidRPr="00083FF3">
              <w:t>Astellas Pharma Australia Pty Ltd</w:t>
            </w:r>
          </w:p>
          <w:p w14:paraId="39CCD3F1" w14:textId="77777777" w:rsidR="00083FF3" w:rsidRDefault="00083FF3" w:rsidP="00083FF3">
            <w:r>
              <w:t>Suite 2.01, 2 Banfield Road,</w:t>
            </w:r>
          </w:p>
          <w:p w14:paraId="563FF74F" w14:textId="50FA9FAF" w:rsidR="00083FF3" w:rsidRDefault="00083FF3" w:rsidP="00083FF3">
            <w:r>
              <w:t>Macquarie Park, NSW 2113</w:t>
            </w:r>
          </w:p>
        </w:tc>
      </w:tr>
      <w:tr w:rsidR="009F2673" w:rsidRPr="003D1E62" w14:paraId="2CF3A44D" w14:textId="77777777" w:rsidTr="005B7C67">
        <w:tc>
          <w:tcPr>
            <w:tcW w:w="1577" w:type="pct"/>
          </w:tcPr>
          <w:p w14:paraId="5B4E3674" w14:textId="58AE843F" w:rsidR="009F2673" w:rsidRPr="00487162" w:rsidRDefault="009F2673" w:rsidP="009E5A87">
            <w:pPr>
              <w:rPr>
                <w:i/>
              </w:rPr>
            </w:pPr>
            <w:r>
              <w:rPr>
                <w:i/>
              </w:rPr>
              <w:t>Dose form:</w:t>
            </w:r>
          </w:p>
        </w:tc>
        <w:tc>
          <w:tcPr>
            <w:tcW w:w="3423" w:type="pct"/>
          </w:tcPr>
          <w:p w14:paraId="628BEC43" w14:textId="7962141F" w:rsidR="009F2673" w:rsidRDefault="00083FF3" w:rsidP="009E5A87">
            <w:r w:rsidRPr="00083FF3">
              <w:t>Powder for injection</w:t>
            </w:r>
          </w:p>
        </w:tc>
      </w:tr>
      <w:tr w:rsidR="009F2673" w:rsidRPr="003D1E62" w14:paraId="6F6287A6" w14:textId="77777777" w:rsidTr="005B7C67">
        <w:tc>
          <w:tcPr>
            <w:tcW w:w="1577" w:type="pct"/>
          </w:tcPr>
          <w:p w14:paraId="19F2EF46" w14:textId="3521BDF8" w:rsidR="009F2673" w:rsidRPr="00487162" w:rsidRDefault="009F2673" w:rsidP="009E5A87">
            <w:pPr>
              <w:rPr>
                <w:i/>
              </w:rPr>
            </w:pPr>
            <w:r w:rsidRPr="00487162">
              <w:rPr>
                <w:i/>
              </w:rPr>
              <w:t>Strengths:</w:t>
            </w:r>
          </w:p>
        </w:tc>
        <w:tc>
          <w:tcPr>
            <w:tcW w:w="3423" w:type="pct"/>
          </w:tcPr>
          <w:p w14:paraId="17D206FB" w14:textId="60546E4F" w:rsidR="009F2673" w:rsidRDefault="00083FF3" w:rsidP="009E5A87">
            <w:r w:rsidRPr="00083FF3">
              <w:t>20 mg and 30 mg (10 mg/mL after reconstitution)</w:t>
            </w:r>
          </w:p>
        </w:tc>
      </w:tr>
      <w:tr w:rsidR="009F2673" w:rsidRPr="003D1E62" w14:paraId="532414F9" w14:textId="77777777" w:rsidTr="005B7C67">
        <w:tc>
          <w:tcPr>
            <w:tcW w:w="1577" w:type="pct"/>
          </w:tcPr>
          <w:p w14:paraId="31FADB8C" w14:textId="7BAC9B5C" w:rsidR="009F2673" w:rsidRPr="00487162" w:rsidRDefault="009F2673" w:rsidP="009E5A87">
            <w:pPr>
              <w:rPr>
                <w:i/>
              </w:rPr>
            </w:pPr>
            <w:r w:rsidRPr="00487162">
              <w:rPr>
                <w:i/>
              </w:rPr>
              <w:t>Container:</w:t>
            </w:r>
          </w:p>
        </w:tc>
        <w:tc>
          <w:tcPr>
            <w:tcW w:w="3423" w:type="pct"/>
          </w:tcPr>
          <w:p w14:paraId="7FC56797" w14:textId="3C50CE2B" w:rsidR="009F2673" w:rsidRDefault="00083FF3" w:rsidP="009E5A87">
            <w:r>
              <w:t>Vial</w:t>
            </w:r>
          </w:p>
        </w:tc>
      </w:tr>
      <w:tr w:rsidR="009F2673" w:rsidRPr="003D1E62" w14:paraId="28B04BCE" w14:textId="77777777" w:rsidTr="005B7C67">
        <w:tc>
          <w:tcPr>
            <w:tcW w:w="1577" w:type="pct"/>
          </w:tcPr>
          <w:p w14:paraId="2A457DE2" w14:textId="44CB5867" w:rsidR="009F2673" w:rsidRPr="00487162" w:rsidRDefault="009F2673" w:rsidP="009E5A87">
            <w:pPr>
              <w:rPr>
                <w:i/>
              </w:rPr>
            </w:pPr>
            <w:r w:rsidRPr="00487162">
              <w:rPr>
                <w:i/>
              </w:rPr>
              <w:t>Pack size:</w:t>
            </w:r>
          </w:p>
        </w:tc>
        <w:tc>
          <w:tcPr>
            <w:tcW w:w="3423" w:type="pct"/>
          </w:tcPr>
          <w:p w14:paraId="46FB1062" w14:textId="676657DF" w:rsidR="009F2673" w:rsidRDefault="00083FF3" w:rsidP="009E5A87">
            <w:r>
              <w:t>One</w:t>
            </w:r>
          </w:p>
        </w:tc>
      </w:tr>
      <w:tr w:rsidR="009F2673" w:rsidRPr="003D1E62" w14:paraId="13613DE8" w14:textId="77777777" w:rsidTr="005B7C67">
        <w:tc>
          <w:tcPr>
            <w:tcW w:w="1577" w:type="pct"/>
          </w:tcPr>
          <w:p w14:paraId="0E58ED43"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0492EB80" w14:textId="6E11EB24" w:rsidR="009F2673" w:rsidRPr="0004441B" w:rsidRDefault="00083FF3" w:rsidP="009E5A87">
            <w:pPr>
              <w:rPr>
                <w:i/>
                <w:iCs/>
              </w:rPr>
            </w:pPr>
            <w:r w:rsidRPr="0004441B">
              <w:rPr>
                <w:i/>
                <w:iCs/>
              </w:rPr>
              <w:t>Padcev as monotherapy is indicated for the treatment of adult patients with locally advanced or metastatic urothelial cancer who have previously received a platinum-containing chemotherapy and a programmed receptor-1 or programmed death-ligand-1 inhibitor.</w:t>
            </w:r>
          </w:p>
        </w:tc>
      </w:tr>
      <w:tr w:rsidR="009F2673" w:rsidRPr="003D1E62" w14:paraId="70ABF82B" w14:textId="77777777" w:rsidTr="005B7C67">
        <w:tc>
          <w:tcPr>
            <w:tcW w:w="1577" w:type="pct"/>
          </w:tcPr>
          <w:p w14:paraId="1490ADCC" w14:textId="31BF2D8C" w:rsidR="009F2673" w:rsidRPr="00487162" w:rsidRDefault="009F2673" w:rsidP="009E5A87">
            <w:pPr>
              <w:rPr>
                <w:i/>
              </w:rPr>
            </w:pPr>
            <w:r w:rsidRPr="00487162">
              <w:rPr>
                <w:i/>
              </w:rPr>
              <w:t>Route of administration:</w:t>
            </w:r>
          </w:p>
        </w:tc>
        <w:tc>
          <w:tcPr>
            <w:tcW w:w="3423" w:type="pct"/>
          </w:tcPr>
          <w:p w14:paraId="0D682DA6" w14:textId="2AB173DF" w:rsidR="009F2673" w:rsidRPr="00487162" w:rsidRDefault="00083FF3" w:rsidP="009E5A87">
            <w:r>
              <w:t>Intravenous infusion</w:t>
            </w:r>
          </w:p>
        </w:tc>
      </w:tr>
      <w:tr w:rsidR="009F2673" w:rsidRPr="003D1E62" w14:paraId="5201C9D9" w14:textId="77777777" w:rsidTr="005B7C67">
        <w:tc>
          <w:tcPr>
            <w:tcW w:w="1577" w:type="pct"/>
          </w:tcPr>
          <w:p w14:paraId="105C72AC" w14:textId="77777777" w:rsidR="009F2673" w:rsidRPr="00487162" w:rsidRDefault="009F2673" w:rsidP="009E5A87">
            <w:pPr>
              <w:rPr>
                <w:i/>
              </w:rPr>
            </w:pPr>
            <w:r w:rsidRPr="00487162">
              <w:rPr>
                <w:i/>
              </w:rPr>
              <w:t>Dosage:</w:t>
            </w:r>
          </w:p>
        </w:tc>
        <w:tc>
          <w:tcPr>
            <w:tcW w:w="3423" w:type="pct"/>
          </w:tcPr>
          <w:p w14:paraId="708CF921" w14:textId="0194746D" w:rsidR="00083FF3" w:rsidRDefault="00083FF3" w:rsidP="00083FF3">
            <w:r>
              <w:t xml:space="preserve">The recommended dose of Padcev is 1.25 mg/kg </w:t>
            </w:r>
            <w:r w:rsidR="00C97FFB">
              <w:t xml:space="preserve">body weight </w:t>
            </w:r>
            <w:r>
              <w:t xml:space="preserve">(up to a maximum of 125 mg for patients </w:t>
            </w:r>
            <w:r w:rsidR="00C97FFB">
              <w:t xml:space="preserve">weighing </w:t>
            </w:r>
            <w:r>
              <w:t>100 kg</w:t>
            </w:r>
            <w:r w:rsidR="00C97FFB">
              <w:t xml:space="preserve"> or more</w:t>
            </w:r>
            <w:r>
              <w:t>) administered as an intravenous infusion over 30</w:t>
            </w:r>
            <w:r w:rsidR="00153A48">
              <w:t> </w:t>
            </w:r>
            <w:r>
              <w:t xml:space="preserve">minutes on </w:t>
            </w:r>
            <w:r w:rsidR="00C97FFB">
              <w:t>D</w:t>
            </w:r>
            <w:r>
              <w:t xml:space="preserve">ays 1, 8 and 15 of a </w:t>
            </w:r>
            <w:proofErr w:type="gramStart"/>
            <w:r>
              <w:t>28 day</w:t>
            </w:r>
            <w:proofErr w:type="gramEnd"/>
            <w:r>
              <w:t xml:space="preserve"> cycle until disease progression or unacceptable toxicity.</w:t>
            </w:r>
          </w:p>
          <w:p w14:paraId="58B27A11" w14:textId="73B5EC2E" w:rsidR="009F2673" w:rsidRPr="00487162" w:rsidRDefault="00083FF3" w:rsidP="009E5A87">
            <w:r>
              <w:t>For further information refer to the Product Information.</w:t>
            </w:r>
          </w:p>
        </w:tc>
      </w:tr>
      <w:tr w:rsidR="009F2673" w:rsidRPr="003D1E62" w14:paraId="0A704583" w14:textId="77777777" w:rsidTr="005B7C67">
        <w:tc>
          <w:tcPr>
            <w:tcW w:w="1577" w:type="pct"/>
          </w:tcPr>
          <w:p w14:paraId="29A96459" w14:textId="77777777" w:rsidR="009F2673" w:rsidRPr="00487162" w:rsidRDefault="009F2673" w:rsidP="009E5A87">
            <w:pPr>
              <w:rPr>
                <w:i/>
              </w:rPr>
            </w:pPr>
            <w:r w:rsidRPr="00460036">
              <w:rPr>
                <w:i/>
              </w:rPr>
              <w:t>Pregnancy category</w:t>
            </w:r>
            <w:r>
              <w:rPr>
                <w:i/>
              </w:rPr>
              <w:t>:</w:t>
            </w:r>
          </w:p>
        </w:tc>
        <w:tc>
          <w:tcPr>
            <w:tcW w:w="3423" w:type="pct"/>
          </w:tcPr>
          <w:p w14:paraId="627B6DFE" w14:textId="2B729A8A" w:rsidR="009F2673" w:rsidRDefault="00083FF3" w:rsidP="009F2673">
            <w:r>
              <w:t>D</w:t>
            </w:r>
          </w:p>
          <w:p w14:paraId="669F70E7" w14:textId="13BE3CEF" w:rsidR="00083FF3" w:rsidRDefault="00083FF3" w:rsidP="009F2673">
            <w:r w:rsidRPr="00A93DA0">
              <w:t xml:space="preserve">Drugs which have caused, are suspected to have caused or may be expected to cause, an increased incidence of human </w:t>
            </w:r>
            <w:proofErr w:type="spellStart"/>
            <w:r w:rsidRPr="00A93DA0">
              <w:lastRenderedPageBreak/>
              <w:t>fetal</w:t>
            </w:r>
            <w:proofErr w:type="spellEnd"/>
            <w:r w:rsidRPr="00A93DA0">
              <w:t xml:space="preserve"> malformations or irreversible damage. These drugs may also have adverse pharmacological effects. Accompanying texts should be consulted for further details</w:t>
            </w:r>
          </w:p>
          <w:p w14:paraId="4ADFE566" w14:textId="535DAFF3" w:rsidR="009F2673" w:rsidRPr="00487162" w:rsidRDefault="009F2673" w:rsidP="00083FF3">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02762B2" w14:textId="77777777" w:rsidR="008E7846" w:rsidRDefault="008E7846" w:rsidP="008E7846">
      <w:pPr>
        <w:pStyle w:val="Heading3"/>
      </w:pPr>
      <w:bookmarkStart w:id="10" w:name="_Toc247691503"/>
      <w:bookmarkStart w:id="11" w:name="_Toc314842484"/>
      <w:bookmarkStart w:id="12" w:name="_Toc128492516"/>
      <w:r>
        <w:lastRenderedPageBreak/>
        <w:t>Product background</w:t>
      </w:r>
      <w:bookmarkEnd w:id="10"/>
      <w:bookmarkEnd w:id="11"/>
      <w:bookmarkEnd w:id="12"/>
    </w:p>
    <w:p w14:paraId="520211AB" w14:textId="34CC994D" w:rsidR="009F2673" w:rsidRDefault="009F2673" w:rsidP="009F2673">
      <w:r w:rsidRPr="000A4A42">
        <w:t xml:space="preserve">This AusPAR describes the </w:t>
      </w:r>
      <w:r w:rsidR="001E359E">
        <w:t>submission</w:t>
      </w:r>
      <w:r w:rsidRPr="000A4A42">
        <w:t xml:space="preserve"> by</w:t>
      </w:r>
      <w:r w:rsidR="005B7C67" w:rsidRPr="005B7C67">
        <w:t xml:space="preserve"> Astellas Pharma Australia Pty Lt</w:t>
      </w:r>
      <w:r w:rsidR="005B7C67">
        <w:t xml:space="preserve"> </w:t>
      </w:r>
      <w:r w:rsidRPr="000A4A42">
        <w:t xml:space="preserve">(the sponsor) to register </w:t>
      </w:r>
      <w:r w:rsidR="005B7C67">
        <w:t>Padcev (e</w:t>
      </w:r>
      <w:r w:rsidR="005B7C67" w:rsidRPr="005B7C67">
        <w:t>nfortumab vedotin</w:t>
      </w:r>
      <w:r w:rsidR="005B7C67">
        <w:t xml:space="preserve">) 20 mg and 30 mg powder for injection </w:t>
      </w:r>
      <w:r w:rsidRPr="000A4A42">
        <w:t xml:space="preserve">for the following proposed </w:t>
      </w:r>
      <w:r w:rsidR="005B7C67">
        <w:t>indication:</w:t>
      </w:r>
    </w:p>
    <w:p w14:paraId="46115D6E" w14:textId="52177774" w:rsidR="00B5219D" w:rsidRPr="00015D51" w:rsidRDefault="00B5219D" w:rsidP="00015D51">
      <w:pPr>
        <w:ind w:left="360"/>
        <w:rPr>
          <w:i/>
          <w:iCs/>
        </w:rPr>
      </w:pPr>
      <w:r w:rsidRPr="00015D51">
        <w:rPr>
          <w:i/>
          <w:iCs/>
        </w:rPr>
        <w:t>Padcev is indicated for the treatment of adult patients with locally advanced (LA) or metastatic urothelial cancer (</w:t>
      </w:r>
      <w:proofErr w:type="spellStart"/>
      <w:r w:rsidRPr="00015D51">
        <w:rPr>
          <w:i/>
          <w:iCs/>
        </w:rPr>
        <w:t>mUC</w:t>
      </w:r>
      <w:proofErr w:type="spellEnd"/>
      <w:r w:rsidRPr="00015D51">
        <w:rPr>
          <w:i/>
          <w:iCs/>
        </w:rPr>
        <w:t>) who have received a programmed death receptor-1 (PD-1) or programmed death-ligand 1 (PD-L1) inhibitor and who:</w:t>
      </w:r>
    </w:p>
    <w:p w14:paraId="06BF7B87" w14:textId="2197578F" w:rsidR="00B5219D" w:rsidRPr="00015D51" w:rsidRDefault="00B5219D" w:rsidP="00015D51">
      <w:pPr>
        <w:pStyle w:val="ListBullet"/>
        <w:ind w:left="720"/>
        <w:rPr>
          <w:i/>
          <w:iCs/>
        </w:rPr>
      </w:pPr>
      <w:r w:rsidRPr="00015D51">
        <w:rPr>
          <w:i/>
          <w:iCs/>
        </w:rPr>
        <w:t xml:space="preserve">have received a platinum-containing chemotherapy in the neoadjuvant/adjuvant, </w:t>
      </w:r>
      <w:proofErr w:type="gramStart"/>
      <w:r w:rsidRPr="00015D51">
        <w:rPr>
          <w:i/>
          <w:iCs/>
        </w:rPr>
        <w:t>LA</w:t>
      </w:r>
      <w:proofErr w:type="gramEnd"/>
      <w:r w:rsidRPr="00015D51">
        <w:rPr>
          <w:i/>
          <w:iCs/>
        </w:rPr>
        <w:t xml:space="preserve"> or metastatic setting or</w:t>
      </w:r>
    </w:p>
    <w:p w14:paraId="2821FF55" w14:textId="4606C3EB" w:rsidR="00B5219D" w:rsidRPr="000A4A42" w:rsidRDefault="00B5219D" w:rsidP="00015D51">
      <w:pPr>
        <w:pStyle w:val="ListBullet"/>
        <w:ind w:left="720"/>
      </w:pPr>
      <w:r w:rsidRPr="00015D51">
        <w:rPr>
          <w:i/>
          <w:iCs/>
        </w:rPr>
        <w:t>are not eligible for cisplatin-containing chemotherapy.</w:t>
      </w:r>
    </w:p>
    <w:p w14:paraId="05CBE384" w14:textId="2DD25A6D" w:rsidR="00386346" w:rsidRDefault="00386346" w:rsidP="00386346">
      <w:pPr>
        <w:pStyle w:val="Heading4"/>
      </w:pPr>
      <w:r>
        <w:t>Condition</w:t>
      </w:r>
    </w:p>
    <w:p w14:paraId="7E50F327" w14:textId="00238AD0" w:rsidR="00386346" w:rsidRDefault="00386346" w:rsidP="00AD37FB">
      <w:r>
        <w:t>The European Society of Medical Oncology (ESMO) clinical practice guidelines</w:t>
      </w:r>
      <w:r w:rsidR="00AD37FB">
        <w:t>;</w:t>
      </w:r>
      <w:bookmarkStart w:id="13" w:name="_Ref125027283"/>
      <w:r w:rsidR="00AD37FB">
        <w:rPr>
          <w:rStyle w:val="FootnoteReference"/>
        </w:rPr>
        <w:footnoteReference w:id="1"/>
      </w:r>
      <w:bookmarkEnd w:id="13"/>
      <w:r>
        <w:t xml:space="preserve"> note</w:t>
      </w:r>
      <w:r w:rsidR="00AD37FB">
        <w:t xml:space="preserve"> that</w:t>
      </w:r>
      <w:r>
        <w:t xml:space="preserve"> urothelial carcinoma is the</w:t>
      </w:r>
      <w:r w:rsidR="00AD37FB">
        <w:t xml:space="preserve"> tent</w:t>
      </w:r>
      <w:r w:rsidR="00015D51">
        <w:t>h</w:t>
      </w:r>
      <w:r>
        <w:t xml:space="preserve"> most common cancer worldwide. The Australian Institute of Health and Welfare estimated 3066 patients would be diagnosed with bladder cancer in 2021. In Australia, the age standardised incidence rate of bladder cancer in 2017 was estimated at 16 cases per 100,000 population in males and 3.9 cases per 100,000 population in females.</w:t>
      </w:r>
      <w:r w:rsidR="00F47905">
        <w:rPr>
          <w:rStyle w:val="FootnoteReference"/>
        </w:rPr>
        <w:footnoteReference w:id="2"/>
      </w:r>
    </w:p>
    <w:p w14:paraId="028D22AC" w14:textId="653B8233" w:rsidR="00386346" w:rsidRDefault="00386346" w:rsidP="00386346">
      <w:r>
        <w:t>More than 90% of urothelial cancers occur in the bladder; 5 to 10% occur in the renal pelvis or the ureters.</w:t>
      </w:r>
      <w:r w:rsidR="006A122B">
        <w:rPr>
          <w:rStyle w:val="FootnoteReference"/>
        </w:rPr>
        <w:footnoteReference w:id="3"/>
      </w:r>
    </w:p>
    <w:p w14:paraId="7B77CB91" w14:textId="3BD60054" w:rsidR="00386346" w:rsidRDefault="00386346" w:rsidP="00386346">
      <w:r>
        <w:t xml:space="preserve">Smoking is the most important risk factor for bladder cancer with an attributable risk of approximately 50% of cases. Demographic factors include older age, male sex, White race, occupational exposure to aromatic amines and other environmental exposures, </w:t>
      </w:r>
      <w:proofErr w:type="gramStart"/>
      <w:r>
        <w:t>past history</w:t>
      </w:r>
      <w:proofErr w:type="gramEnd"/>
      <w:r>
        <w:t xml:space="preserve"> and family history (including Lynch syndrome).</w:t>
      </w:r>
    </w:p>
    <w:p w14:paraId="62E99DF8" w14:textId="7D3AD4FF" w:rsidR="009F2673" w:rsidRDefault="00386346" w:rsidP="00386346">
      <w:r>
        <w:t>The mean age at diagnosis is 73.</w:t>
      </w:r>
      <w:r w:rsidR="00DD672D">
        <w:rPr>
          <w:rStyle w:val="FootnoteReference"/>
        </w:rPr>
        <w:footnoteReference w:id="4"/>
      </w:r>
      <w:r>
        <w:t xml:space="preserve"> Approximately 10</w:t>
      </w:r>
      <w:r w:rsidR="00153A48">
        <w:t>%</w:t>
      </w:r>
      <w:r>
        <w:t xml:space="preserve"> to 15% of patients with bladder cancer present with metastasis.</w:t>
      </w:r>
      <w:r w:rsidR="00DD672D">
        <w:rPr>
          <w:rStyle w:val="FootnoteReference"/>
        </w:rPr>
        <w:footnoteReference w:id="5"/>
      </w:r>
    </w:p>
    <w:p w14:paraId="3D6511C0" w14:textId="291CEDD4" w:rsidR="00386346" w:rsidRDefault="00386346" w:rsidP="00386346">
      <w:pPr>
        <w:pStyle w:val="Heading4"/>
      </w:pPr>
      <w:r>
        <w:lastRenderedPageBreak/>
        <w:t>Current treatment options</w:t>
      </w:r>
    </w:p>
    <w:p w14:paraId="33DF7E7D" w14:textId="058CE6C2" w:rsidR="00386346" w:rsidRPr="00386346" w:rsidRDefault="00AD37FB" w:rsidP="00386346">
      <w:r>
        <w:t xml:space="preserve">European Society of Medical Oncology </w:t>
      </w:r>
      <w:r w:rsidR="00386346" w:rsidRPr="00386346">
        <w:t>guidelines</w:t>
      </w:r>
      <w:r>
        <w:t>;</w:t>
      </w:r>
      <w:r>
        <w:fldChar w:fldCharType="begin"/>
      </w:r>
      <w:r>
        <w:instrText xml:space="preserve"> NOTEREF _Ref125027283 \f \h </w:instrText>
      </w:r>
      <w:r>
        <w:fldChar w:fldCharType="separate"/>
      </w:r>
      <w:r w:rsidR="00555193" w:rsidRPr="00555193">
        <w:rPr>
          <w:rStyle w:val="FootnoteReference"/>
        </w:rPr>
        <w:t>1</w:t>
      </w:r>
      <w:r>
        <w:fldChar w:fldCharType="end"/>
      </w:r>
      <w:r w:rsidR="00386346" w:rsidRPr="00386346">
        <w:t xml:space="preserve"> recommend the following approach for advanced metastatic urothelial cancer:</w:t>
      </w:r>
    </w:p>
    <w:p w14:paraId="20044C7E" w14:textId="5FD99D0B" w:rsidR="00386346" w:rsidRPr="00386346" w:rsidRDefault="00386346" w:rsidP="00386346">
      <w:pPr>
        <w:pStyle w:val="ListBullet"/>
      </w:pPr>
      <w:r w:rsidRPr="00386346">
        <w:t>Cisplatin</w:t>
      </w:r>
      <w:r>
        <w:t xml:space="preserve"> </w:t>
      </w:r>
      <w:r w:rsidRPr="00386346">
        <w:t>based chemotherapy combination regimen for those fit enough, followed by maintenance avelumab in those tumours not progressing on chemotherapy</w:t>
      </w:r>
      <w:r>
        <w:t>.</w:t>
      </w:r>
    </w:p>
    <w:p w14:paraId="53EAAFDD" w14:textId="77B79F9B" w:rsidR="00386346" w:rsidRDefault="00386346" w:rsidP="00C97FFB">
      <w:pPr>
        <w:pStyle w:val="ListBullet"/>
      </w:pPr>
      <w:r w:rsidRPr="00386346">
        <w:t>Gemcitabine/</w:t>
      </w:r>
      <w:proofErr w:type="gramStart"/>
      <w:r w:rsidRPr="00386346">
        <w:t>carboplatin</w:t>
      </w:r>
      <w:r>
        <w:t xml:space="preserve"> </w:t>
      </w:r>
      <w:r w:rsidRPr="00386346">
        <w:t>based</w:t>
      </w:r>
      <w:proofErr w:type="gramEnd"/>
      <w:r w:rsidRPr="00386346">
        <w:t xml:space="preserve"> chemotherapy followed by maintenance avelumab in those tumours not progressing on chemotherapy, for those unfit for cisplatin</w:t>
      </w:r>
      <w:r>
        <w:t>.</w:t>
      </w:r>
      <w:r w:rsidR="00A83B4F">
        <w:rPr>
          <w:rStyle w:val="FootnoteReference"/>
        </w:rPr>
        <w:footnoteReference w:id="6"/>
      </w:r>
    </w:p>
    <w:p w14:paraId="292EF5AA" w14:textId="27C902CB" w:rsidR="00386346" w:rsidRPr="00386346" w:rsidRDefault="00386346" w:rsidP="00386346">
      <w:pPr>
        <w:pStyle w:val="ListBullet"/>
      </w:pPr>
      <w:r w:rsidRPr="00386346">
        <w:t>Atezolizumab or pembrolizumab as alternatives for patients</w:t>
      </w:r>
      <w:r w:rsidR="00153A48" w:rsidRPr="00153A48">
        <w:t xml:space="preserve"> </w:t>
      </w:r>
      <w:r w:rsidR="006A122B">
        <w:t xml:space="preserve">with </w:t>
      </w:r>
      <w:r w:rsidR="00153A48" w:rsidRPr="00153A48">
        <w:t>programmed death</w:t>
      </w:r>
      <w:r w:rsidR="00AD37FB">
        <w:t xml:space="preserve"> </w:t>
      </w:r>
      <w:r w:rsidR="00153A48" w:rsidRPr="00153A48">
        <w:t>ligand</w:t>
      </w:r>
      <w:r w:rsidRPr="00386346">
        <w:t xml:space="preserve"> </w:t>
      </w:r>
      <w:r w:rsidR="00153A48">
        <w:t>1 (</w:t>
      </w:r>
      <w:r w:rsidRPr="00386346">
        <w:t>PD-L1</w:t>
      </w:r>
      <w:r w:rsidR="00153A48">
        <w:t>)</w:t>
      </w:r>
      <w:r w:rsidRPr="00386346">
        <w:t xml:space="preserve"> biomarker positive tumours who are not eligible for </w:t>
      </w:r>
      <w:proofErr w:type="gramStart"/>
      <w:r w:rsidRPr="00386346">
        <w:t>cisplatin</w:t>
      </w:r>
      <w:r>
        <w:t xml:space="preserve"> </w:t>
      </w:r>
      <w:r w:rsidRPr="00386346">
        <w:t>based</w:t>
      </w:r>
      <w:proofErr w:type="gramEnd"/>
      <w:r w:rsidRPr="00386346">
        <w:t xml:space="preserve"> combination chemotherapy</w:t>
      </w:r>
      <w:r>
        <w:t>.</w:t>
      </w:r>
    </w:p>
    <w:p w14:paraId="09934BE9" w14:textId="2FDF5940" w:rsidR="00386346" w:rsidRPr="00386346" w:rsidRDefault="00386346" w:rsidP="00386346">
      <w:pPr>
        <w:pStyle w:val="ListBullet"/>
      </w:pPr>
      <w:r w:rsidRPr="00386346">
        <w:t>In the relapsed advanced</w:t>
      </w:r>
      <w:r>
        <w:t xml:space="preserve"> or </w:t>
      </w:r>
      <w:r w:rsidRPr="00386346">
        <w:t xml:space="preserve">metastatic urothelial setting after </w:t>
      </w:r>
      <w:proofErr w:type="gramStart"/>
      <w:r w:rsidRPr="00386346">
        <w:t>platinum</w:t>
      </w:r>
      <w:r>
        <w:t xml:space="preserve"> </w:t>
      </w:r>
      <w:r w:rsidRPr="00386346">
        <w:t>based</w:t>
      </w:r>
      <w:proofErr w:type="gramEnd"/>
      <w:r w:rsidRPr="00386346">
        <w:t xml:space="preserve"> chemotherapy: options include pembrolizumab (or atezolizumab), erdafitinib (in tumours with </w:t>
      </w:r>
      <w:r>
        <w:t>fibroblast growth factor receptor</w:t>
      </w:r>
      <w:r w:rsidRPr="00386346">
        <w:t xml:space="preserve"> alterations,</w:t>
      </w:r>
      <w:r w:rsidR="00A83B4F">
        <w:rPr>
          <w:rStyle w:val="FootnoteReference"/>
        </w:rPr>
        <w:footnoteReference w:id="7"/>
      </w:r>
      <w:r w:rsidRPr="00386346">
        <w:t xml:space="preserve"> chemotherapy or single agent </w:t>
      </w:r>
      <w:proofErr w:type="spellStart"/>
      <w:r w:rsidRPr="00386346">
        <w:t>taxane</w:t>
      </w:r>
      <w:proofErr w:type="spellEnd"/>
      <w:r w:rsidRPr="00386346">
        <w:t xml:space="preserve"> or vinflunine</w:t>
      </w:r>
      <w:r>
        <w:t>.</w:t>
      </w:r>
    </w:p>
    <w:p w14:paraId="72D3D241" w14:textId="77370FFC" w:rsidR="00386346" w:rsidRPr="00386346" w:rsidRDefault="00386346" w:rsidP="00386346">
      <w:r w:rsidRPr="00386346">
        <w:t xml:space="preserve">For patients with locally advanced or metastatic disease who have previously received platinum chemotherapy and immunotherapy with </w:t>
      </w:r>
      <w:r w:rsidR="00EC168A">
        <w:t>PD-L</w:t>
      </w:r>
      <w:r w:rsidRPr="00386346">
        <w:t>1/</w:t>
      </w:r>
      <w:r w:rsidR="00EC168A">
        <w:t xml:space="preserve"> </w:t>
      </w:r>
      <w:r w:rsidR="00153A48" w:rsidRPr="00153A48">
        <w:t>programmed death receptor</w:t>
      </w:r>
      <w:r w:rsidR="00A83B4F">
        <w:t xml:space="preserve"> </w:t>
      </w:r>
      <w:r w:rsidR="00153A48" w:rsidRPr="00153A48">
        <w:t xml:space="preserve">1 </w:t>
      </w:r>
      <w:r w:rsidR="00153A48">
        <w:t>(</w:t>
      </w:r>
      <w:r w:rsidR="00EC168A">
        <w:t>PD-1</w:t>
      </w:r>
      <w:r w:rsidR="00153A48">
        <w:t>)</w:t>
      </w:r>
      <w:r w:rsidRPr="00386346">
        <w:t xml:space="preserve"> targeting agents currently have limited treatment options. Vinflunine is mentioned as an option in literature however it is no longer registered in Australia, and </w:t>
      </w:r>
      <w:proofErr w:type="spellStart"/>
      <w:r w:rsidRPr="00386346">
        <w:t>taxanes</w:t>
      </w:r>
      <w:proofErr w:type="spellEnd"/>
      <w:r w:rsidRPr="00386346">
        <w:t>, while registered in Australia, do not have specific indications for use in urothelial cancer.</w:t>
      </w:r>
    </w:p>
    <w:p w14:paraId="4335F2B0" w14:textId="272D3346" w:rsidR="00386346" w:rsidRPr="00386346" w:rsidRDefault="00386346" w:rsidP="00386346">
      <w:r w:rsidRPr="00386346">
        <w:t>In this setting enfortumab vedotin had been introduced into the ESMO 2021 guidelines.</w:t>
      </w:r>
      <w:r w:rsidR="007D18C0">
        <w:fldChar w:fldCharType="begin"/>
      </w:r>
      <w:r w:rsidR="007D18C0">
        <w:instrText xml:space="preserve"> NOTEREF _Ref125027283 \f \h </w:instrText>
      </w:r>
      <w:r w:rsidR="007D18C0">
        <w:fldChar w:fldCharType="separate"/>
      </w:r>
      <w:r w:rsidR="00555193" w:rsidRPr="00555193">
        <w:rPr>
          <w:rStyle w:val="FootnoteReference"/>
        </w:rPr>
        <w:t>1</w:t>
      </w:r>
      <w:r w:rsidR="007D18C0">
        <w:fldChar w:fldCharType="end"/>
      </w:r>
    </w:p>
    <w:p w14:paraId="55DC9B15" w14:textId="07AD48AA" w:rsidR="00386346" w:rsidRPr="00386346" w:rsidRDefault="00386346" w:rsidP="00E23914">
      <w:r w:rsidRPr="00386346">
        <w:t>Alternatives to the recommended regimens are provided in other guidelines</w:t>
      </w:r>
      <w:r w:rsidR="00A83B4F">
        <w:t>,</w:t>
      </w:r>
      <w:r w:rsidRPr="00386346">
        <w:t xml:space="preserve"> </w:t>
      </w:r>
      <w:r w:rsidR="00EC168A">
        <w:t xml:space="preserve">for example </w:t>
      </w:r>
      <w:r w:rsidRPr="00386346">
        <w:t>UpToDate notes gemcitabine/paclitaxel or carboplatin/gemcitabine/paclitaxel are alternative chemotherapy regimens for cisplatin ineligible patients.</w:t>
      </w:r>
      <w:r w:rsidR="00E23914">
        <w:rPr>
          <w:rStyle w:val="FootnoteReference"/>
        </w:rPr>
        <w:footnoteReference w:id="8"/>
      </w:r>
    </w:p>
    <w:p w14:paraId="3F0B63AC" w14:textId="77777777" w:rsidR="00EC168A" w:rsidRDefault="00EC168A" w:rsidP="00EC168A">
      <w:pPr>
        <w:pStyle w:val="Heading4"/>
        <w:tabs>
          <w:tab w:val="left" w:pos="2925"/>
        </w:tabs>
      </w:pPr>
      <w:r w:rsidRPr="00EC168A">
        <w:t>Enfortumab vedotin</w:t>
      </w:r>
    </w:p>
    <w:p w14:paraId="512F28AC" w14:textId="403588D5" w:rsidR="00EC168A" w:rsidRPr="00EC168A" w:rsidRDefault="00EC168A" w:rsidP="00EC168A">
      <w:r w:rsidRPr="00EC168A">
        <w:t>Nectin</w:t>
      </w:r>
      <w:r>
        <w:t>-</w:t>
      </w:r>
      <w:r w:rsidRPr="00EC168A">
        <w:t>4 is one of a family of calcium independent immunoglobulin</w:t>
      </w:r>
      <w:r>
        <w:t xml:space="preserve"> </w:t>
      </w:r>
      <w:r w:rsidRPr="00EC168A">
        <w:t>like cellular adhesion molecules that are important for cell adhesion, differentiation, proliferation, and migration. Weak to moderate expression occurs in a range of normal tissue. Over expression of Nectin</w:t>
      </w:r>
      <w:r>
        <w:t>-</w:t>
      </w:r>
      <w:r w:rsidRPr="00EC168A">
        <w:t>4 is found in a variety of tumours including urothelial,</w:t>
      </w:r>
      <w:r>
        <w:t xml:space="preserve"> non</w:t>
      </w:r>
      <w:r w:rsidR="00CD711D">
        <w:t>-</w:t>
      </w:r>
      <w:r>
        <w:t>small cell lung cancer</w:t>
      </w:r>
      <w:r w:rsidRPr="00EC168A">
        <w:t>, pancreatic, breast, ovarian and colorectal cancers.</w:t>
      </w:r>
    </w:p>
    <w:p w14:paraId="7D3B10AD" w14:textId="69C2062D" w:rsidR="00386346" w:rsidRDefault="00EC168A" w:rsidP="00386346">
      <w:r w:rsidRPr="00EC168A">
        <w:t>Enfortumab vedotin is a Nectin-4 targeted antibody</w:t>
      </w:r>
      <w:r>
        <w:t xml:space="preserve"> </w:t>
      </w:r>
      <w:r w:rsidRPr="00EC168A">
        <w:t>drug conjugate comprised of a fully human anti</w:t>
      </w:r>
      <w:r>
        <w:t xml:space="preserve"> </w:t>
      </w:r>
      <w:r w:rsidRPr="00EC168A">
        <w:t>Nectin-4 immunoglobulin G1 kappa monoclonal antibody conjugated to the small molecule microtubule</w:t>
      </w:r>
      <w:r>
        <w:t xml:space="preserve"> </w:t>
      </w:r>
      <w:r w:rsidRPr="00EC168A">
        <w:t>disrupting agent monomethyl auristatin E</w:t>
      </w:r>
      <w:r w:rsidR="00DF1744">
        <w:t xml:space="preserve"> </w:t>
      </w:r>
      <w:r w:rsidR="008B75CB">
        <w:t>(</w:t>
      </w:r>
      <w:r w:rsidR="008B75CB" w:rsidRPr="00C02B18">
        <w:t>MMAE</w:t>
      </w:r>
      <w:r w:rsidR="008B75CB">
        <w:t xml:space="preserve">) </w:t>
      </w:r>
      <w:r w:rsidRPr="00EC168A">
        <w:t>via a protease</w:t>
      </w:r>
      <w:r>
        <w:t xml:space="preserve"> </w:t>
      </w:r>
      <w:r w:rsidRPr="00EC168A">
        <w:t xml:space="preserve">cleavable </w:t>
      </w:r>
      <w:proofErr w:type="spellStart"/>
      <w:r w:rsidRPr="00EC168A">
        <w:t>maleimidocaproyl</w:t>
      </w:r>
      <w:proofErr w:type="spellEnd"/>
      <w:r w:rsidRPr="00EC168A">
        <w:t xml:space="preserve"> valine</w:t>
      </w:r>
      <w:r>
        <w:t xml:space="preserve"> </w:t>
      </w:r>
      <w:r w:rsidRPr="00EC168A">
        <w:t xml:space="preserve">citrulline linker. Its mechanism of action is depicted in </w:t>
      </w:r>
      <w:r>
        <w:fldChar w:fldCharType="begin"/>
      </w:r>
      <w:r>
        <w:instrText xml:space="preserve"> REF _Ref122341396 \h </w:instrText>
      </w:r>
      <w:r>
        <w:fldChar w:fldCharType="separate"/>
      </w:r>
      <w:r w:rsidR="00555193">
        <w:t xml:space="preserve">Figure </w:t>
      </w:r>
      <w:r w:rsidR="00555193">
        <w:rPr>
          <w:noProof/>
        </w:rPr>
        <w:t>1</w:t>
      </w:r>
      <w:r>
        <w:fldChar w:fldCharType="end"/>
      </w:r>
      <w:r>
        <w:t>.</w:t>
      </w:r>
    </w:p>
    <w:p w14:paraId="75BB30C5" w14:textId="6D1FBE19" w:rsidR="00EC168A" w:rsidRPr="00EC168A" w:rsidRDefault="00EC168A" w:rsidP="00EC168A">
      <w:pPr>
        <w:pStyle w:val="FigureTitle"/>
      </w:pPr>
      <w:bookmarkStart w:id="14" w:name="_Ref122341396"/>
      <w:r>
        <w:lastRenderedPageBreak/>
        <w:t xml:space="preserve">Figure </w:t>
      </w:r>
      <w:r w:rsidR="00EA2B2C">
        <w:fldChar w:fldCharType="begin"/>
      </w:r>
      <w:r w:rsidR="00EA2B2C">
        <w:instrText xml:space="preserve"> SEQ Figure \* ARABIC </w:instrText>
      </w:r>
      <w:r w:rsidR="00EA2B2C">
        <w:fldChar w:fldCharType="separate"/>
      </w:r>
      <w:r w:rsidR="00555193">
        <w:rPr>
          <w:noProof/>
        </w:rPr>
        <w:t>1</w:t>
      </w:r>
      <w:r w:rsidR="00EA2B2C">
        <w:rPr>
          <w:noProof/>
        </w:rPr>
        <w:fldChar w:fldCharType="end"/>
      </w:r>
      <w:bookmarkEnd w:id="14"/>
      <w:r>
        <w:t xml:space="preserve">: </w:t>
      </w:r>
      <w:r w:rsidR="0029777B">
        <w:t>Enfortumab vedotin m</w:t>
      </w:r>
      <w:r>
        <w:t>echanism of action</w:t>
      </w:r>
    </w:p>
    <w:p w14:paraId="486A44E4" w14:textId="418508AF" w:rsidR="00EC168A" w:rsidRDefault="00EC168A" w:rsidP="00386346">
      <w:r>
        <w:rPr>
          <w:noProof/>
          <w:lang w:val="en-GB" w:eastAsia="en-GB"/>
        </w:rPr>
        <w:drawing>
          <wp:inline distT="0" distB="0" distL="0" distR="0" wp14:anchorId="2F3070B9" wp14:editId="2228BB4E">
            <wp:extent cx="5502303" cy="3915901"/>
            <wp:effectExtent l="0" t="0" r="3175" b="8890"/>
            <wp:docPr id="3" name="Picture 3" descr="Source: Seattle Genetics, Inc, 2016. ( Astellas (the sponsor) is developing enfortumab vedotin in collaboration with Seattle Genetics.&#10;Enfortumab vedotin is an antibody drug conjugate composed of an IgG1 anti-Nectin-4 antibody conjugated to a microtubule-disrupting agent monomethyl auristatin E (MMAE). MMAE is attached to the antibody via a protease cleavable linker.&#10;1. Nectin-4 is highly expressed in urothelial carcinoma. The anti-Nectin-4 antibody binds to Nectin-4 antigen on the surface of Nectin-4 expressing cells forming a complex.&#10;2. The complex is internalised within the cell and is trafficked to lysosome.&#10;3. MMAE is released by proteolytic cleavage of the valine-cituline linker.&#10;4. Intracellular release of MMAE. MMAE binds to the microtubules, disrupting the cellular microtubule network by halting tubulin polymerisation.&#10;5. Subsequent arrest of G2/M phase cell cycle and apoptosis of cell. MMAE released from enfortumab vedotin targeted cells can diffuse into nearby Nectin-4 low-expressing cells resulting in cytotoxic cell d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chanism of action enfortumab vedotin"/>
                    <pic:cNvPicPr>
                      <a:picLocks noChangeAspect="1" noChangeArrowheads="1"/>
                    </pic:cNvPicPr>
                  </pic:nvPicPr>
                  <pic:blipFill rotWithShape="1">
                    <a:blip r:embed="rId15">
                      <a:extLst>
                        <a:ext uri="{28A0092B-C50C-407E-A947-70E740481C1C}">
                          <a14:useLocalDpi xmlns:a14="http://schemas.microsoft.com/office/drawing/2010/main" val="0"/>
                        </a:ext>
                      </a:extLst>
                    </a:blip>
                    <a:srcRect t="8340"/>
                    <a:stretch/>
                  </pic:blipFill>
                  <pic:spPr bwMode="auto">
                    <a:xfrm>
                      <a:off x="0" y="0"/>
                      <a:ext cx="5512668" cy="3923278"/>
                    </a:xfrm>
                    <a:prstGeom prst="rect">
                      <a:avLst/>
                    </a:prstGeom>
                    <a:noFill/>
                    <a:ln>
                      <a:noFill/>
                    </a:ln>
                    <a:extLst>
                      <a:ext uri="{53640926-AAD7-44D8-BBD7-CCE9431645EC}">
                        <a14:shadowObscured xmlns:a14="http://schemas.microsoft.com/office/drawing/2010/main"/>
                      </a:ext>
                    </a:extLst>
                  </pic:spPr>
                </pic:pic>
              </a:graphicData>
            </a:graphic>
          </wp:inline>
        </w:drawing>
      </w:r>
    </w:p>
    <w:p w14:paraId="00070F09" w14:textId="3E924743" w:rsidR="00DD4361" w:rsidRDefault="00DD4361" w:rsidP="00DA79F2">
      <w:pPr>
        <w:pStyle w:val="FigureDescription"/>
      </w:pPr>
      <w:r w:rsidRPr="00DA79F2">
        <w:t>Source: Seattle Genetics, Inc, 2016.</w:t>
      </w:r>
      <w:r w:rsidR="00062719">
        <w:t xml:space="preserve"> (</w:t>
      </w:r>
      <w:r w:rsidR="00DA79F2" w:rsidRPr="00DA79F2">
        <w:t>Astellas</w:t>
      </w:r>
      <w:r w:rsidR="00062719">
        <w:t xml:space="preserve"> (the sponsor)</w:t>
      </w:r>
      <w:r w:rsidR="00DA79F2" w:rsidRPr="00DA79F2">
        <w:t xml:space="preserve"> is developing enfortumab vedotin in collaboration with Seattle Genetics</w:t>
      </w:r>
      <w:r w:rsidR="0029777B">
        <w:t xml:space="preserve"> (</w:t>
      </w:r>
      <w:proofErr w:type="spellStart"/>
      <w:r w:rsidR="0029777B">
        <w:t>SeaGen</w:t>
      </w:r>
      <w:proofErr w:type="spellEnd"/>
      <w:r w:rsidR="0029777B">
        <w:t>))</w:t>
      </w:r>
      <w:r w:rsidR="00DA79F2">
        <w:t>.</w:t>
      </w:r>
    </w:p>
    <w:p w14:paraId="18DED5AD" w14:textId="77777777" w:rsidR="00612CC8" w:rsidRDefault="00612CC8" w:rsidP="00612CC8">
      <w:pPr>
        <w:pStyle w:val="FigureDescription"/>
      </w:pPr>
      <w:r>
        <w:t>Enfortumab vedotin is an antibody drug conjugate composed of an IgG1 anti-Nectin-4 antibody conjugated to a microtubule-disrupting agent monomethyl auristatin E (MMAE). MMAE is attached to the antibody via a protease cleavable linker.</w:t>
      </w:r>
    </w:p>
    <w:p w14:paraId="6F83DCC3" w14:textId="0B7391AF" w:rsidR="00612CC8" w:rsidRDefault="00612CC8" w:rsidP="00612CC8">
      <w:pPr>
        <w:pStyle w:val="FigureDescription"/>
      </w:pPr>
      <w:r w:rsidRPr="00612CC8">
        <w:t>1.</w:t>
      </w:r>
      <w:r>
        <w:t xml:space="preserve"> </w:t>
      </w:r>
      <w:r w:rsidR="00062719">
        <w:t>Nectin-4 is highly expressed in urothelial carcinoma.</w:t>
      </w:r>
      <w:r>
        <w:t xml:space="preserve"> The anti-Nectin-4 antibody binds</w:t>
      </w:r>
      <w:r w:rsidR="00062719">
        <w:t xml:space="preserve"> to </w:t>
      </w:r>
      <w:r>
        <w:t xml:space="preserve">Nectin-4 antigen on the surface of </w:t>
      </w:r>
      <w:r w:rsidR="00062719">
        <w:t>Nectin-4 expressing cells</w:t>
      </w:r>
      <w:r>
        <w:t xml:space="preserve"> forming a complex.</w:t>
      </w:r>
    </w:p>
    <w:p w14:paraId="072970B6" w14:textId="41AA27C4" w:rsidR="00062719" w:rsidRDefault="00612CC8" w:rsidP="00612CC8">
      <w:pPr>
        <w:pStyle w:val="FigureDescription"/>
      </w:pPr>
      <w:r>
        <w:t>2. The</w:t>
      </w:r>
      <w:r w:rsidR="00062719">
        <w:t xml:space="preserve"> complex </w:t>
      </w:r>
      <w:r>
        <w:t>is internalised within the cell and is trafficked to lysosome.</w:t>
      </w:r>
    </w:p>
    <w:p w14:paraId="2F8302E1" w14:textId="6AE22D0D" w:rsidR="0029777B" w:rsidRDefault="00612CC8" w:rsidP="00DA79F2">
      <w:pPr>
        <w:pStyle w:val="FigureDescription"/>
      </w:pPr>
      <w:r>
        <w:t>3. MMAE is released b</w:t>
      </w:r>
      <w:r w:rsidR="0029777B">
        <w:t>y proteolytic cleavage of the valine-cit</w:t>
      </w:r>
      <w:r w:rsidR="006458DE">
        <w:t>r</w:t>
      </w:r>
      <w:r w:rsidR="0029777B">
        <w:t>u</w:t>
      </w:r>
      <w:r w:rsidR="006458DE">
        <w:t>l</w:t>
      </w:r>
      <w:r w:rsidR="0029777B">
        <w:t>line linker.</w:t>
      </w:r>
    </w:p>
    <w:p w14:paraId="7F1B94B6" w14:textId="020339BA" w:rsidR="0029777B" w:rsidRDefault="0029777B" w:rsidP="00DA79F2">
      <w:pPr>
        <w:pStyle w:val="FigureDescription"/>
      </w:pPr>
      <w:r>
        <w:t xml:space="preserve">4. </w:t>
      </w:r>
      <w:r w:rsidR="00612CC8">
        <w:t>Intracellular release of MMAE</w:t>
      </w:r>
      <w:r>
        <w:t>. MMAE binds to the microtubules, disrupting the cellular microtubule network by halting tubulin polymerisation.</w:t>
      </w:r>
    </w:p>
    <w:p w14:paraId="7C60A350" w14:textId="77777777" w:rsidR="00A70F60" w:rsidRDefault="0029777B" w:rsidP="00A70F60">
      <w:pPr>
        <w:pStyle w:val="FigureDescription"/>
      </w:pPr>
      <w:r>
        <w:t>5. Subsequent arrest of</w:t>
      </w:r>
      <w:r w:rsidR="00612CC8">
        <w:t xml:space="preserve"> G2/M phase cell cycle and apoptosis</w:t>
      </w:r>
      <w:r>
        <w:t xml:space="preserve"> of cell</w:t>
      </w:r>
      <w:r w:rsidR="00612CC8">
        <w:t>. MMAE released from enfortumab vedotin targeted cells can diffuse into nearby Nectin-4 low-expressing cells resulting in cytotoxic cell death</w:t>
      </w:r>
      <w:bookmarkStart w:id="15" w:name="_Toc314842485"/>
      <w:bookmarkStart w:id="16" w:name="_Toc247691504"/>
    </w:p>
    <w:p w14:paraId="716D2F08" w14:textId="5373E1FD" w:rsidR="009F2673" w:rsidRDefault="009F2673" w:rsidP="009F2673">
      <w:r w:rsidRPr="000A4A42">
        <w:t xml:space="preserve">This evaluation was facilitated through </w:t>
      </w:r>
      <w:hyperlink r:id="rId16" w:history="1">
        <w:r w:rsidRPr="000702B6">
          <w:rPr>
            <w:rStyle w:val="Hyperlink"/>
          </w:rPr>
          <w:t>Project Orbis</w:t>
        </w:r>
      </w:hyperlink>
      <w:r w:rsidR="00833ED8">
        <w:t>,</w:t>
      </w:r>
      <w:r w:rsidRPr="000A4A42">
        <w:t xml:space="preserve"> an initiative of the United States (US) Food and Drug Administration (FDA) Oncology </w:t>
      </w:r>
      <w:proofErr w:type="spellStart"/>
      <w:r w:rsidRPr="000A4A42">
        <w:t>Center</w:t>
      </w:r>
      <w:proofErr w:type="spellEnd"/>
      <w:r w:rsidRPr="000A4A42">
        <w:t xml:space="preserve"> of Excellence (OCE). Under this project, the </w:t>
      </w:r>
      <w:r w:rsidRPr="001E4BB8">
        <w:t xml:space="preserve">FDA, Health Canada, and the TGA </w:t>
      </w:r>
      <w:r>
        <w:t xml:space="preserve">collaboratively reviewed the </w:t>
      </w:r>
      <w:r w:rsidR="00BB0B78">
        <w:t>submission</w:t>
      </w:r>
      <w:r>
        <w:t xml:space="preserve">. This evaluation process provided a framework for process alignment and management of evaluation issues in real-time across jurisdictions. </w:t>
      </w:r>
      <w:r w:rsidRPr="000A4A42">
        <w:t>Each regulator made independent decisions regarding approval (market authorisation) of the new medicine.</w:t>
      </w:r>
    </w:p>
    <w:p w14:paraId="00B8803F" w14:textId="77777777" w:rsidR="008E7846" w:rsidRPr="003F31A2" w:rsidRDefault="00386150" w:rsidP="008E7846">
      <w:pPr>
        <w:pStyle w:val="Heading3"/>
      </w:pPr>
      <w:bookmarkStart w:id="17" w:name="_Toc128492517"/>
      <w:r>
        <w:t>Regulatory s</w:t>
      </w:r>
      <w:r w:rsidR="008E7846">
        <w:t>tatus</w:t>
      </w:r>
      <w:bookmarkEnd w:id="15"/>
      <w:bookmarkEnd w:id="16"/>
      <w:bookmarkEnd w:id="17"/>
    </w:p>
    <w:p w14:paraId="411CA9E8" w14:textId="47A53622" w:rsidR="00332715" w:rsidRDefault="00332715" w:rsidP="00332715">
      <w:bookmarkStart w:id="18" w:name="_Toc247691505"/>
      <w:bookmarkStart w:id="19" w:name="_Toc314842486"/>
      <w:r>
        <w:t>This product is considered a new biological entity for Australian regulatory purposes.</w:t>
      </w:r>
    </w:p>
    <w:p w14:paraId="45E2521B" w14:textId="368BF2F5" w:rsidR="00332715" w:rsidRDefault="00332715" w:rsidP="00332715">
      <w:r>
        <w:lastRenderedPageBreak/>
        <w:t xml:space="preserve">At the time the TGA considered this </w:t>
      </w:r>
      <w:r w:rsidR="00BB0B78">
        <w:t>submission</w:t>
      </w:r>
      <w:r>
        <w:t xml:space="preserve">, a similar </w:t>
      </w:r>
      <w:r w:rsidR="00BB0B78">
        <w:t>submission</w:t>
      </w:r>
      <w:r>
        <w:t xml:space="preserve"> had been approved </w:t>
      </w:r>
      <w:r w:rsidR="00C52CF4">
        <w:t>in the United States of America</w:t>
      </w:r>
      <w:r w:rsidR="00C43DC0">
        <w:t xml:space="preserve"> (USA)</w:t>
      </w:r>
      <w:r w:rsidR="00C52CF4">
        <w:t xml:space="preserve"> in December 2019 via </w:t>
      </w:r>
      <w:r w:rsidR="00067E4D">
        <w:t xml:space="preserve">the </w:t>
      </w:r>
      <w:r w:rsidR="00C52CF4">
        <w:t xml:space="preserve">accelerated approval </w:t>
      </w:r>
      <w:r w:rsidR="00067E4D">
        <w:t xml:space="preserve">program, </w:t>
      </w:r>
      <w:r w:rsidR="00C52CF4">
        <w:t>and on 9</w:t>
      </w:r>
      <w:r w:rsidR="0029777B">
        <w:t> </w:t>
      </w:r>
      <w:r w:rsidR="00C52CF4">
        <w:t>July 2021</w:t>
      </w:r>
      <w:r w:rsidR="00067E4D">
        <w:t xml:space="preserve"> received regular (full) approval in the USA. Submissions were also approved in</w:t>
      </w:r>
      <w:r w:rsidR="00C52CF4">
        <w:t xml:space="preserve"> Canada in October 2021</w:t>
      </w:r>
      <w:r w:rsidR="00565C2C">
        <w:t xml:space="preserve"> and </w:t>
      </w:r>
      <w:r w:rsidR="00067E4D">
        <w:t xml:space="preserve">in </w:t>
      </w:r>
      <w:r w:rsidR="00C52CF4">
        <w:t xml:space="preserve">Switzerland in November 2021. </w:t>
      </w:r>
      <w:r w:rsidR="00067E4D">
        <w:t>In the European Union (EU) the European Medicines Agency (EMA)</w:t>
      </w:r>
      <w:r w:rsidR="00CD711D">
        <w:t xml:space="preserve"> Committee for Medi</w:t>
      </w:r>
      <w:r w:rsidR="00ED1F5C">
        <w:t>cinal</w:t>
      </w:r>
      <w:r w:rsidR="00CD711D">
        <w:t xml:space="preserve"> Products for Human Us</w:t>
      </w:r>
      <w:r w:rsidR="008B75CB">
        <w:t>e</w:t>
      </w:r>
      <w:r w:rsidR="00AF775E">
        <w:t xml:space="preserve"> positive opinion was adopted by the </w:t>
      </w:r>
      <w:r w:rsidR="00C52CF4">
        <w:t>European Union</w:t>
      </w:r>
      <w:r w:rsidR="008B75CB">
        <w:t xml:space="preserve"> (EU)</w:t>
      </w:r>
      <w:r w:rsidR="00C52CF4">
        <w:t xml:space="preserve"> in December 2021</w:t>
      </w:r>
      <w:r w:rsidR="00AF775E">
        <w:t xml:space="preserve"> and readopted in February 2022.</w:t>
      </w:r>
      <w:r>
        <w:t xml:space="preserve"> A similar </w:t>
      </w:r>
      <w:r w:rsidR="00BB0B78">
        <w:t>submission</w:t>
      </w:r>
      <w:r>
        <w:t xml:space="preserve"> was under consideration in</w:t>
      </w:r>
      <w:r w:rsidR="00AF775E">
        <w:t xml:space="preserve"> the United Kingdom (submitted in December 2021</w:t>
      </w:r>
      <w:r w:rsidR="00F731DD">
        <w:t>)</w:t>
      </w:r>
      <w:r w:rsidR="00565C2C">
        <w:t>.</w:t>
      </w:r>
    </w:p>
    <w:p w14:paraId="13F3B6F5"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07BE8569" w14:textId="4432B82F" w:rsidR="00324E45" w:rsidRPr="00F0146F" w:rsidRDefault="00324E45" w:rsidP="00324E45">
      <w:pPr>
        <w:pStyle w:val="TableTitle"/>
      </w:pPr>
      <w:bookmarkStart w:id="20" w:name="_Ref99705479"/>
      <w:r>
        <w:t xml:space="preserve">Table </w:t>
      </w:r>
      <w:r w:rsidR="00EA2B2C">
        <w:fldChar w:fldCharType="begin"/>
      </w:r>
      <w:r w:rsidR="00EA2B2C">
        <w:instrText xml:space="preserve"> SEQ Table \* ARABIC </w:instrText>
      </w:r>
      <w:r w:rsidR="00EA2B2C">
        <w:fldChar w:fldCharType="separate"/>
      </w:r>
      <w:r w:rsidR="00555193">
        <w:rPr>
          <w:noProof/>
        </w:rPr>
        <w:t>1</w:t>
      </w:r>
      <w:r w:rsidR="00EA2B2C">
        <w:rPr>
          <w:noProof/>
        </w:rPr>
        <w:fldChar w:fldCharType="end"/>
      </w:r>
      <w:bookmarkEnd w:id="20"/>
      <w:r>
        <w:t>: International regulatory status</w:t>
      </w:r>
    </w:p>
    <w:tbl>
      <w:tblPr>
        <w:tblStyle w:val="TableTGAblue"/>
        <w:tblW w:w="0" w:type="auto"/>
        <w:tblLook w:val="04A0" w:firstRow="1" w:lastRow="0" w:firstColumn="1" w:lastColumn="0" w:noHBand="0" w:noVBand="1"/>
      </w:tblPr>
      <w:tblGrid>
        <w:gridCol w:w="1555"/>
        <w:gridCol w:w="1984"/>
        <w:gridCol w:w="1843"/>
        <w:gridCol w:w="3112"/>
      </w:tblGrid>
      <w:tr w:rsidR="00CD711D" w14:paraId="5B33EBB6" w14:textId="77777777" w:rsidTr="00CD711D">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14:paraId="3310CDA9" w14:textId="77777777" w:rsidR="00006FAB" w:rsidRDefault="00006FAB" w:rsidP="00006FAB">
            <w:pPr>
              <w:ind w:left="0" w:right="0"/>
            </w:pPr>
            <w:r>
              <w:t>Region</w:t>
            </w:r>
          </w:p>
        </w:tc>
        <w:tc>
          <w:tcPr>
            <w:tcW w:w="1984" w:type="dxa"/>
            <w:tcBorders>
              <w:top w:val="single" w:sz="4" w:space="0" w:color="auto"/>
              <w:left w:val="single" w:sz="4" w:space="0" w:color="auto"/>
              <w:bottom w:val="single" w:sz="4" w:space="0" w:color="auto"/>
              <w:right w:val="single" w:sz="4" w:space="0" w:color="auto"/>
            </w:tcBorders>
          </w:tcPr>
          <w:p w14:paraId="26AE8EEF" w14:textId="77777777" w:rsidR="00006FAB" w:rsidRDefault="00006FAB" w:rsidP="00006FAB">
            <w:pPr>
              <w:ind w:left="0" w:right="0"/>
            </w:pPr>
            <w:r>
              <w:t>Submission date</w:t>
            </w:r>
          </w:p>
        </w:tc>
        <w:tc>
          <w:tcPr>
            <w:tcW w:w="1843" w:type="dxa"/>
            <w:tcBorders>
              <w:top w:val="single" w:sz="4" w:space="0" w:color="auto"/>
              <w:left w:val="single" w:sz="4" w:space="0" w:color="auto"/>
              <w:bottom w:val="single" w:sz="4" w:space="0" w:color="auto"/>
              <w:right w:val="single" w:sz="4" w:space="0" w:color="auto"/>
            </w:tcBorders>
          </w:tcPr>
          <w:p w14:paraId="11AE25B1" w14:textId="77777777" w:rsidR="00006FAB" w:rsidRDefault="00006FAB" w:rsidP="00006FAB">
            <w:pPr>
              <w:ind w:left="0" w:right="0"/>
            </w:pPr>
            <w:r>
              <w:t>Status</w:t>
            </w:r>
          </w:p>
        </w:tc>
        <w:tc>
          <w:tcPr>
            <w:tcW w:w="3112" w:type="dxa"/>
            <w:tcBorders>
              <w:top w:val="single" w:sz="4" w:space="0" w:color="auto"/>
              <w:left w:val="single" w:sz="4" w:space="0" w:color="auto"/>
              <w:bottom w:val="single" w:sz="4" w:space="0" w:color="auto"/>
              <w:right w:val="single" w:sz="4" w:space="0" w:color="auto"/>
            </w:tcBorders>
          </w:tcPr>
          <w:p w14:paraId="60E8B9FC" w14:textId="77777777" w:rsidR="00006FAB" w:rsidRDefault="00006FAB" w:rsidP="00006FAB">
            <w:pPr>
              <w:ind w:left="0" w:right="0"/>
            </w:pPr>
            <w:r>
              <w:t>Approved indications</w:t>
            </w:r>
          </w:p>
        </w:tc>
      </w:tr>
      <w:tr w:rsidR="00AF775E" w14:paraId="026B2EEE" w14:textId="77777777" w:rsidTr="00CD711D">
        <w:tc>
          <w:tcPr>
            <w:tcW w:w="1555" w:type="dxa"/>
            <w:tcBorders>
              <w:top w:val="single" w:sz="4" w:space="0" w:color="auto"/>
            </w:tcBorders>
          </w:tcPr>
          <w:p w14:paraId="71E685EC" w14:textId="20A0C777" w:rsidR="00006FAB" w:rsidRDefault="007C0D27" w:rsidP="00CD711D">
            <w:pPr>
              <w:spacing w:before="60" w:after="60"/>
              <w:ind w:left="0" w:right="0"/>
            </w:pPr>
            <w:r>
              <w:t>United States of America</w:t>
            </w:r>
          </w:p>
        </w:tc>
        <w:tc>
          <w:tcPr>
            <w:tcW w:w="1984" w:type="dxa"/>
            <w:tcBorders>
              <w:top w:val="single" w:sz="4" w:space="0" w:color="auto"/>
            </w:tcBorders>
          </w:tcPr>
          <w:p w14:paraId="33ACA2A6" w14:textId="415CDF65" w:rsidR="00006FAB" w:rsidRDefault="007C0D27" w:rsidP="00CD711D">
            <w:pPr>
              <w:spacing w:before="60" w:after="60"/>
              <w:ind w:left="0" w:right="0"/>
            </w:pPr>
            <w:r>
              <w:t>July 2019</w:t>
            </w:r>
          </w:p>
        </w:tc>
        <w:tc>
          <w:tcPr>
            <w:tcW w:w="1843" w:type="dxa"/>
            <w:tcBorders>
              <w:top w:val="single" w:sz="4" w:space="0" w:color="auto"/>
            </w:tcBorders>
          </w:tcPr>
          <w:p w14:paraId="00E89426" w14:textId="31F47932" w:rsidR="00006FAB" w:rsidRDefault="00006FAB" w:rsidP="00CD711D">
            <w:pPr>
              <w:spacing w:before="60" w:after="60"/>
              <w:ind w:left="0" w:right="0"/>
            </w:pPr>
            <w:r w:rsidRPr="00006FAB">
              <w:t xml:space="preserve">Approved </w:t>
            </w:r>
            <w:r w:rsidR="007C0D27">
              <w:t>December 2019 (</w:t>
            </w:r>
            <w:r w:rsidR="00067E4D">
              <w:t>t</w:t>
            </w:r>
            <w:r w:rsidR="00C52CF4">
              <w:t xml:space="preserve">his indication is approved under </w:t>
            </w:r>
            <w:r w:rsidR="00067E4D">
              <w:t xml:space="preserve">the FDA’s </w:t>
            </w:r>
            <w:r w:rsidR="00C52CF4">
              <w:t xml:space="preserve">accelerated approval </w:t>
            </w:r>
            <w:r w:rsidR="00067E4D">
              <w:t xml:space="preserve">program </w:t>
            </w:r>
            <w:r w:rsidR="00C52CF4">
              <w:t>based on overall response rate)</w:t>
            </w:r>
          </w:p>
        </w:tc>
        <w:tc>
          <w:tcPr>
            <w:tcW w:w="3112" w:type="dxa"/>
            <w:tcBorders>
              <w:top w:val="single" w:sz="4" w:space="0" w:color="auto"/>
            </w:tcBorders>
          </w:tcPr>
          <w:p w14:paraId="7588211C" w14:textId="539E19CF" w:rsidR="00006FAB" w:rsidRPr="00317A62" w:rsidRDefault="007C0D27" w:rsidP="00CD711D">
            <w:pPr>
              <w:spacing w:before="60" w:after="60"/>
              <w:ind w:left="0" w:right="0"/>
              <w:rPr>
                <w:i/>
                <w:iCs/>
              </w:rPr>
            </w:pPr>
            <w:r w:rsidRPr="00317A62">
              <w:rPr>
                <w:i/>
                <w:iCs/>
              </w:rPr>
              <w:t>Padcev is a Nectin-4-directed antibody and microtubule inhibitor conjugate indicated for the treatment of adult patients with locally advanced or metastatic urothelial cancer who have previously received a programmed death receptor-1 (PD-1) or programmed death</w:t>
            </w:r>
            <w:r w:rsidR="008B75CB">
              <w:rPr>
                <w:i/>
                <w:iCs/>
              </w:rPr>
              <w:t xml:space="preserve"> </w:t>
            </w:r>
            <w:r w:rsidRPr="00317A62">
              <w:rPr>
                <w:i/>
                <w:iCs/>
              </w:rPr>
              <w:t>ligand 1 (PD-L1) inhibitor, and a platinum containing chemotherapy in the neoadjuvant/adjuvant, locally advanced or metastatic setting.</w:t>
            </w:r>
          </w:p>
        </w:tc>
      </w:tr>
      <w:tr w:rsidR="00AF775E" w14:paraId="3FE84DF2" w14:textId="77777777" w:rsidTr="00CD711D">
        <w:tc>
          <w:tcPr>
            <w:tcW w:w="1555" w:type="dxa"/>
            <w:tcBorders>
              <w:top w:val="single" w:sz="4" w:space="0" w:color="auto"/>
            </w:tcBorders>
          </w:tcPr>
          <w:p w14:paraId="5A4336F2" w14:textId="04485683" w:rsidR="007C0D27" w:rsidRDefault="00AF775E" w:rsidP="00CD711D">
            <w:pPr>
              <w:spacing w:before="60" w:after="60"/>
              <w:ind w:left="0" w:right="0"/>
            </w:pPr>
            <w:r>
              <w:t>United States of America</w:t>
            </w:r>
          </w:p>
        </w:tc>
        <w:tc>
          <w:tcPr>
            <w:tcW w:w="1984" w:type="dxa"/>
            <w:tcBorders>
              <w:top w:val="single" w:sz="4" w:space="0" w:color="auto"/>
            </w:tcBorders>
          </w:tcPr>
          <w:p w14:paraId="5F9FB5AF" w14:textId="607A17B0" w:rsidR="007C0D27" w:rsidRDefault="007C0D27" w:rsidP="00CD711D">
            <w:pPr>
              <w:spacing w:before="60" w:after="60"/>
              <w:ind w:left="0" w:right="0"/>
            </w:pPr>
            <w:r>
              <w:t>February 2021</w:t>
            </w:r>
          </w:p>
        </w:tc>
        <w:tc>
          <w:tcPr>
            <w:tcW w:w="1843" w:type="dxa"/>
            <w:tcBorders>
              <w:top w:val="single" w:sz="4" w:space="0" w:color="auto"/>
            </w:tcBorders>
          </w:tcPr>
          <w:p w14:paraId="0D09D744" w14:textId="0ADA44FD" w:rsidR="007C0D27" w:rsidRPr="00006FAB" w:rsidRDefault="007C0D27" w:rsidP="00CD711D">
            <w:pPr>
              <w:spacing w:before="60" w:after="60"/>
              <w:ind w:left="0" w:right="0"/>
            </w:pPr>
            <w:r>
              <w:t>Approved July</w:t>
            </w:r>
            <w:r w:rsidR="00067E4D">
              <w:t> </w:t>
            </w:r>
            <w:r>
              <w:t>2021</w:t>
            </w:r>
            <w:r w:rsidR="00C52CF4">
              <w:t xml:space="preserve"> (regular approval)</w:t>
            </w:r>
          </w:p>
        </w:tc>
        <w:tc>
          <w:tcPr>
            <w:tcW w:w="3112" w:type="dxa"/>
            <w:tcBorders>
              <w:top w:val="single" w:sz="4" w:space="0" w:color="auto"/>
            </w:tcBorders>
          </w:tcPr>
          <w:p w14:paraId="69DC2DA8" w14:textId="77777777" w:rsidR="007C0D27" w:rsidRPr="00F30FE8" w:rsidRDefault="007C0D27" w:rsidP="00CD711D">
            <w:pPr>
              <w:spacing w:before="60" w:after="60"/>
              <w:ind w:left="0" w:right="0"/>
              <w:rPr>
                <w:i/>
                <w:iCs/>
              </w:rPr>
            </w:pPr>
            <w:r w:rsidRPr="00F30FE8">
              <w:rPr>
                <w:i/>
                <w:iCs/>
              </w:rPr>
              <w:t>Padcev is a Nectin-4 directed antibody and microtubule inhibitor conjugate indicated for the treatment of adult patients with locally advanced or metastatic urothelial cancer who:</w:t>
            </w:r>
          </w:p>
          <w:p w14:paraId="10EC39E8" w14:textId="77777777" w:rsidR="00F30FE8" w:rsidRPr="00F30FE8" w:rsidRDefault="007C0D27" w:rsidP="00CD711D">
            <w:pPr>
              <w:pStyle w:val="ListBullet"/>
              <w:spacing w:before="60" w:after="60"/>
              <w:rPr>
                <w:i/>
                <w:iCs/>
              </w:rPr>
            </w:pPr>
            <w:r w:rsidRPr="00F30FE8">
              <w:rPr>
                <w:i/>
                <w:iCs/>
              </w:rPr>
              <w:t>have previously</w:t>
            </w:r>
            <w:r w:rsidR="00AF775E" w:rsidRPr="00F30FE8">
              <w:rPr>
                <w:i/>
                <w:iCs/>
              </w:rPr>
              <w:t xml:space="preserve"> </w:t>
            </w:r>
            <w:r w:rsidRPr="00F30FE8">
              <w:rPr>
                <w:i/>
                <w:iCs/>
              </w:rPr>
              <w:t>received a programmed death receptor-1 (PD-1) or programmed death-ligand 1 (PD-L1) inhibitor and platinum-containing chemotherapy, or</w:t>
            </w:r>
            <w:r w:rsidR="00317A62" w:rsidRPr="00F30FE8">
              <w:rPr>
                <w:i/>
                <w:iCs/>
              </w:rPr>
              <w:t xml:space="preserve"> </w:t>
            </w:r>
          </w:p>
          <w:p w14:paraId="4D93F344" w14:textId="6E3F6400" w:rsidR="007C0D27" w:rsidRPr="00F30FE8" w:rsidRDefault="007C0D27" w:rsidP="00CD711D">
            <w:pPr>
              <w:pStyle w:val="ListBullet"/>
              <w:spacing w:before="60" w:after="60"/>
              <w:rPr>
                <w:i/>
                <w:iCs/>
              </w:rPr>
            </w:pPr>
            <w:r w:rsidRPr="00F30FE8">
              <w:rPr>
                <w:i/>
                <w:iCs/>
              </w:rPr>
              <w:t xml:space="preserve">are ineligible for cisplatin-containing </w:t>
            </w:r>
            <w:r w:rsidR="00317A62" w:rsidRPr="00F30FE8">
              <w:rPr>
                <w:i/>
                <w:iCs/>
              </w:rPr>
              <w:t>c</w:t>
            </w:r>
            <w:r w:rsidRPr="00F30FE8">
              <w:rPr>
                <w:i/>
                <w:iCs/>
              </w:rPr>
              <w:t>hemotherapy and have previously received one or more prior lines of therapy.</w:t>
            </w:r>
          </w:p>
        </w:tc>
      </w:tr>
      <w:tr w:rsidR="00317A62" w14:paraId="1C74D3C4" w14:textId="77777777" w:rsidTr="00A86337">
        <w:trPr>
          <w:cantSplit/>
        </w:trPr>
        <w:tc>
          <w:tcPr>
            <w:tcW w:w="0" w:type="dxa"/>
            <w:tcBorders>
              <w:top w:val="single" w:sz="4" w:space="0" w:color="auto"/>
            </w:tcBorders>
          </w:tcPr>
          <w:p w14:paraId="0F540FC7" w14:textId="48C96BDC" w:rsidR="00C52CF4" w:rsidRDefault="00AF775E" w:rsidP="00CD711D">
            <w:pPr>
              <w:spacing w:before="60" w:after="60"/>
              <w:ind w:left="0" w:right="0"/>
            </w:pPr>
            <w:r>
              <w:lastRenderedPageBreak/>
              <w:t>Canada</w:t>
            </w:r>
          </w:p>
        </w:tc>
        <w:tc>
          <w:tcPr>
            <w:tcW w:w="0" w:type="dxa"/>
            <w:tcBorders>
              <w:top w:val="single" w:sz="4" w:space="0" w:color="auto"/>
            </w:tcBorders>
          </w:tcPr>
          <w:p w14:paraId="26EE0C1A" w14:textId="5C9718EF" w:rsidR="00C52CF4" w:rsidRDefault="00317A62" w:rsidP="00CD711D">
            <w:pPr>
              <w:spacing w:before="60" w:after="60"/>
              <w:ind w:left="0" w:right="0"/>
            </w:pPr>
            <w:r>
              <w:t>April 2021</w:t>
            </w:r>
          </w:p>
        </w:tc>
        <w:tc>
          <w:tcPr>
            <w:tcW w:w="0" w:type="dxa"/>
            <w:tcBorders>
              <w:top w:val="single" w:sz="4" w:space="0" w:color="auto"/>
            </w:tcBorders>
          </w:tcPr>
          <w:p w14:paraId="15530DE0" w14:textId="22BDD046" w:rsidR="00C52CF4" w:rsidRDefault="00317A62" w:rsidP="00CD711D">
            <w:pPr>
              <w:spacing w:before="60" w:after="60"/>
              <w:ind w:left="0" w:right="0"/>
            </w:pPr>
            <w:r>
              <w:t>Approved October 2021</w:t>
            </w:r>
          </w:p>
        </w:tc>
        <w:tc>
          <w:tcPr>
            <w:tcW w:w="0" w:type="dxa"/>
            <w:tcBorders>
              <w:top w:val="single" w:sz="4" w:space="0" w:color="auto"/>
            </w:tcBorders>
          </w:tcPr>
          <w:p w14:paraId="2E480858" w14:textId="7350F948" w:rsidR="00C52CF4" w:rsidRPr="00317A62" w:rsidRDefault="00317A62" w:rsidP="00CD711D">
            <w:pPr>
              <w:spacing w:before="60" w:after="60"/>
              <w:ind w:left="0" w:right="0"/>
              <w:rPr>
                <w:i/>
                <w:iCs/>
              </w:rPr>
            </w:pPr>
            <w:r w:rsidRPr="00317A62">
              <w:rPr>
                <w:i/>
                <w:iCs/>
              </w:rPr>
              <w:t>Padcev (enfortumab vedotin for injection) is indicated for the treatment of adult patients with unresectable locally advanced or metastatic urothelial cancer (</w:t>
            </w:r>
            <w:proofErr w:type="spellStart"/>
            <w:r w:rsidRPr="00317A62">
              <w:rPr>
                <w:i/>
                <w:iCs/>
              </w:rPr>
              <w:t>mUC</w:t>
            </w:r>
            <w:proofErr w:type="spellEnd"/>
            <w:r w:rsidRPr="00317A62">
              <w:rPr>
                <w:i/>
                <w:iCs/>
              </w:rPr>
              <w:t>) who have previously received a platinum containing chemotherapy and programmed death receptor-1 (PD-1) or programmed death</w:t>
            </w:r>
            <w:r w:rsidR="008B75CB">
              <w:rPr>
                <w:i/>
                <w:iCs/>
              </w:rPr>
              <w:t xml:space="preserve"> </w:t>
            </w:r>
            <w:r w:rsidRPr="00317A62">
              <w:rPr>
                <w:i/>
                <w:iCs/>
              </w:rPr>
              <w:t>ligand 1 (PD-L1) inhibitor therapy.</w:t>
            </w:r>
          </w:p>
        </w:tc>
      </w:tr>
      <w:tr w:rsidR="00CD711D" w14:paraId="3FB101C3" w14:textId="77777777" w:rsidTr="00CD711D">
        <w:tc>
          <w:tcPr>
            <w:tcW w:w="1555" w:type="dxa"/>
          </w:tcPr>
          <w:p w14:paraId="0D8A51E1" w14:textId="75EC85C3" w:rsidR="00AF775E" w:rsidRDefault="00AF775E" w:rsidP="00CD711D">
            <w:pPr>
              <w:spacing w:before="60" w:after="60"/>
              <w:ind w:left="0" w:right="0"/>
            </w:pPr>
            <w:r>
              <w:t>Switzerland</w:t>
            </w:r>
          </w:p>
        </w:tc>
        <w:tc>
          <w:tcPr>
            <w:tcW w:w="1984" w:type="dxa"/>
          </w:tcPr>
          <w:p w14:paraId="0E73E003" w14:textId="6B9AC590" w:rsidR="00AF775E" w:rsidRDefault="00317A62" w:rsidP="00CD711D">
            <w:pPr>
              <w:spacing w:before="60" w:after="60"/>
              <w:ind w:left="0" w:right="0"/>
            </w:pPr>
            <w:r>
              <w:t>March 2021</w:t>
            </w:r>
          </w:p>
        </w:tc>
        <w:tc>
          <w:tcPr>
            <w:tcW w:w="1843" w:type="dxa"/>
          </w:tcPr>
          <w:p w14:paraId="0E657A35" w14:textId="48237582" w:rsidR="00AF775E" w:rsidRPr="00006FAB" w:rsidRDefault="00317A62" w:rsidP="00CD711D">
            <w:pPr>
              <w:spacing w:before="60" w:after="60"/>
              <w:ind w:left="0" w:right="0"/>
            </w:pPr>
            <w:r>
              <w:t>Approved November 2021</w:t>
            </w:r>
          </w:p>
        </w:tc>
        <w:tc>
          <w:tcPr>
            <w:tcW w:w="3112" w:type="dxa"/>
          </w:tcPr>
          <w:p w14:paraId="660DEFAF" w14:textId="67657D5B" w:rsidR="00AF775E" w:rsidRPr="00317A62" w:rsidRDefault="00317A62" w:rsidP="00CD711D">
            <w:pPr>
              <w:spacing w:before="60" w:after="60"/>
              <w:ind w:left="0" w:right="0"/>
              <w:rPr>
                <w:i/>
                <w:iCs/>
              </w:rPr>
            </w:pPr>
            <w:r w:rsidRPr="00317A62">
              <w:rPr>
                <w:i/>
                <w:iCs/>
              </w:rPr>
              <w:t>Padcev is indicated for the treatment of adults with locally advanced or metastatic urothelial cancer (</w:t>
            </w:r>
            <w:proofErr w:type="spellStart"/>
            <w:r w:rsidRPr="00317A62">
              <w:rPr>
                <w:i/>
                <w:iCs/>
              </w:rPr>
              <w:t>mUC</w:t>
            </w:r>
            <w:proofErr w:type="spellEnd"/>
            <w:r w:rsidRPr="00317A62">
              <w:rPr>
                <w:i/>
                <w:iCs/>
              </w:rPr>
              <w:t>) who have received a platinum containing chemotherapy in the neoadjuvant/adjuvant locally advanced, or metastatic setting and who have progressed or relapsed during or after treatment with a programmed death receptor-1 (PD-1) or programmed death</w:t>
            </w:r>
            <w:r w:rsidR="008B75CB">
              <w:rPr>
                <w:i/>
                <w:iCs/>
              </w:rPr>
              <w:t xml:space="preserve"> </w:t>
            </w:r>
            <w:r w:rsidRPr="00317A62">
              <w:rPr>
                <w:i/>
                <w:iCs/>
              </w:rPr>
              <w:t xml:space="preserve">ligand 1 (PD-L1) inhibitor (see </w:t>
            </w:r>
            <w:r w:rsidR="00067E4D">
              <w:rPr>
                <w:i/>
                <w:iCs/>
              </w:rPr>
              <w:t>‘</w:t>
            </w:r>
            <w:r w:rsidRPr="00317A62">
              <w:rPr>
                <w:i/>
                <w:iCs/>
              </w:rPr>
              <w:t>Clinical Efficacy</w:t>
            </w:r>
            <w:r w:rsidR="00067E4D">
              <w:rPr>
                <w:i/>
                <w:iCs/>
              </w:rPr>
              <w:t>’</w:t>
            </w:r>
            <w:r w:rsidRPr="00317A62">
              <w:rPr>
                <w:i/>
                <w:iCs/>
              </w:rPr>
              <w:t>).</w:t>
            </w:r>
          </w:p>
        </w:tc>
      </w:tr>
      <w:tr w:rsidR="00AF775E" w14:paraId="740F3912" w14:textId="77777777" w:rsidTr="00CD711D">
        <w:tc>
          <w:tcPr>
            <w:tcW w:w="1555" w:type="dxa"/>
          </w:tcPr>
          <w:p w14:paraId="64F413EF" w14:textId="4C5B181A" w:rsidR="00006FAB" w:rsidRDefault="00AF775E" w:rsidP="00CD711D">
            <w:pPr>
              <w:spacing w:before="60" w:after="60"/>
              <w:ind w:left="0" w:right="0"/>
            </w:pPr>
            <w:r>
              <w:t>European Union</w:t>
            </w:r>
          </w:p>
        </w:tc>
        <w:tc>
          <w:tcPr>
            <w:tcW w:w="1984" w:type="dxa"/>
          </w:tcPr>
          <w:p w14:paraId="02ADAFDE" w14:textId="63010184" w:rsidR="00006FAB" w:rsidRDefault="00AF775E" w:rsidP="00CD711D">
            <w:pPr>
              <w:spacing w:before="60" w:after="60"/>
              <w:ind w:left="0" w:right="0"/>
            </w:pPr>
            <w:r>
              <w:t>March 2021</w:t>
            </w:r>
          </w:p>
        </w:tc>
        <w:tc>
          <w:tcPr>
            <w:tcW w:w="1843" w:type="dxa"/>
          </w:tcPr>
          <w:p w14:paraId="5C407B50" w14:textId="3E056FA4" w:rsidR="00006FAB" w:rsidRDefault="006458DE" w:rsidP="00CD711D">
            <w:pPr>
              <w:spacing w:before="60" w:after="60"/>
              <w:ind w:left="0" w:right="0"/>
            </w:pPr>
            <w:r>
              <w:t xml:space="preserve">EMA’s </w:t>
            </w:r>
            <w:r w:rsidR="00AF775E">
              <w:t>CHMP positi</w:t>
            </w:r>
            <w:r w:rsidR="00317A62">
              <w:t>v</w:t>
            </w:r>
            <w:r w:rsidR="00AF775E">
              <w:t>e opinion adopted December</w:t>
            </w:r>
            <w:r w:rsidR="00317A62">
              <w:t xml:space="preserve"> 2021 and readopted February 2022</w:t>
            </w:r>
          </w:p>
        </w:tc>
        <w:tc>
          <w:tcPr>
            <w:tcW w:w="3112" w:type="dxa"/>
          </w:tcPr>
          <w:p w14:paraId="30C79797" w14:textId="55AE2D85" w:rsidR="00006FAB" w:rsidRPr="00317A62" w:rsidRDefault="00317A62" w:rsidP="00CD711D">
            <w:pPr>
              <w:spacing w:before="60" w:after="60"/>
              <w:ind w:left="0" w:right="0"/>
              <w:rPr>
                <w:i/>
                <w:iCs/>
              </w:rPr>
            </w:pPr>
            <w:r w:rsidRPr="00317A62">
              <w:rPr>
                <w:i/>
                <w:iCs/>
              </w:rPr>
              <w:t>Padcev as monotherapy is indicated for the treatment of adult patients with locally advanced or metastatic urothelial cancer who have previously received a platinum containing chemotherapy and a programmed death receptor-1 or programmed death-ligand 1 inhibitor (see section 5.1).</w:t>
            </w:r>
          </w:p>
        </w:tc>
      </w:tr>
      <w:tr w:rsidR="00CD711D" w14:paraId="30B1A4E1" w14:textId="77777777" w:rsidTr="00CD711D">
        <w:tc>
          <w:tcPr>
            <w:tcW w:w="1555" w:type="dxa"/>
          </w:tcPr>
          <w:p w14:paraId="23D0609A" w14:textId="32067924" w:rsidR="00AF775E" w:rsidRDefault="00AF775E" w:rsidP="00CD711D">
            <w:pPr>
              <w:spacing w:before="60" w:after="60"/>
              <w:ind w:left="0" w:right="0"/>
            </w:pPr>
            <w:r>
              <w:t>United Kingdom</w:t>
            </w:r>
          </w:p>
        </w:tc>
        <w:tc>
          <w:tcPr>
            <w:tcW w:w="1984" w:type="dxa"/>
          </w:tcPr>
          <w:p w14:paraId="0C16CC70" w14:textId="7154726E" w:rsidR="00AF775E" w:rsidRDefault="00AF775E" w:rsidP="00CD711D">
            <w:pPr>
              <w:spacing w:before="60" w:after="60"/>
              <w:ind w:left="0" w:right="0"/>
            </w:pPr>
            <w:r>
              <w:t>December 2021</w:t>
            </w:r>
          </w:p>
        </w:tc>
        <w:tc>
          <w:tcPr>
            <w:tcW w:w="1843" w:type="dxa"/>
          </w:tcPr>
          <w:p w14:paraId="61ADAC04" w14:textId="03E36976" w:rsidR="00AF775E" w:rsidRPr="00006FAB" w:rsidRDefault="00AF775E" w:rsidP="00CD711D">
            <w:pPr>
              <w:spacing w:before="60" w:after="60"/>
              <w:ind w:left="0" w:right="0"/>
            </w:pPr>
            <w:r w:rsidRPr="00006FAB">
              <w:t>Under consideration</w:t>
            </w:r>
          </w:p>
        </w:tc>
        <w:tc>
          <w:tcPr>
            <w:tcW w:w="3112" w:type="dxa"/>
          </w:tcPr>
          <w:p w14:paraId="5EAD12A8" w14:textId="5C178AED" w:rsidR="00AF775E" w:rsidRPr="00006FAB" w:rsidRDefault="00AF775E" w:rsidP="00CD711D">
            <w:pPr>
              <w:spacing w:before="60" w:after="60"/>
              <w:ind w:left="0" w:right="0"/>
            </w:pPr>
            <w:r w:rsidRPr="00006FAB">
              <w:t>Under consideration</w:t>
            </w:r>
          </w:p>
        </w:tc>
      </w:tr>
    </w:tbl>
    <w:p w14:paraId="5BFE0102" w14:textId="09E1BAAE" w:rsidR="00067E4D" w:rsidRPr="00067E4D" w:rsidRDefault="00067E4D" w:rsidP="00A86337">
      <w:pPr>
        <w:pStyle w:val="TableDescription"/>
      </w:pPr>
      <w:r>
        <w:t>Abbreviations: CHMP = Committee for Medicinal Products for Human Use</w:t>
      </w:r>
      <w:r w:rsidR="006458DE">
        <w:t>; EMA = European Medicines Agency (European Union); FDA = Food and Drug Administration (United States of America).</w:t>
      </w:r>
    </w:p>
    <w:p w14:paraId="070D50BE" w14:textId="5068B53F" w:rsidR="008E7846" w:rsidRDefault="008E7846" w:rsidP="00940A89">
      <w:pPr>
        <w:pStyle w:val="Heading3"/>
      </w:pPr>
      <w:bookmarkStart w:id="21" w:name="_Toc128492518"/>
      <w:r>
        <w:t>Product Information</w:t>
      </w:r>
      <w:bookmarkEnd w:id="18"/>
      <w:bookmarkEnd w:id="19"/>
      <w:bookmarkEnd w:id="21"/>
    </w:p>
    <w:p w14:paraId="24DF3D66" w14:textId="68D0ABC1" w:rsidR="00332715" w:rsidRDefault="00332715" w:rsidP="00332715">
      <w:bookmarkStart w:id="22" w:name="_Toc504480011"/>
      <w:bookmarkStart w:id="23" w:name="_Toc247691506"/>
      <w:bookmarkStart w:id="24" w:name="_Toc314842487"/>
      <w:r>
        <w:t xml:space="preserve">The Product Information (PI) approved with the submission which is described in this AusPAR can be found as Attachment 1. For the most recent PI, please refer to the TGA </w:t>
      </w:r>
      <w:hyperlink r:id="rId17" w:history="1">
        <w:r>
          <w:rPr>
            <w:rStyle w:val="Hyperlink"/>
          </w:rPr>
          <w:t>PI/CMI search facility</w:t>
        </w:r>
        <w:r w:rsidRPr="009556D7">
          <w:rPr>
            <w:rStyle w:val="Hyperlink"/>
            <w:color w:val="auto"/>
            <w:u w:val="none"/>
          </w:rPr>
          <w:t>.</w:t>
        </w:r>
      </w:hyperlink>
    </w:p>
    <w:p w14:paraId="6792840F" w14:textId="77777777" w:rsidR="00500337" w:rsidRDefault="00500337" w:rsidP="00500337">
      <w:pPr>
        <w:pStyle w:val="Heading2"/>
      </w:pPr>
      <w:bookmarkStart w:id="25" w:name="_Toc128492519"/>
      <w:r>
        <w:lastRenderedPageBreak/>
        <w:t>Registration timeline</w:t>
      </w:r>
      <w:bookmarkEnd w:id="22"/>
      <w:bookmarkEnd w:id="25"/>
    </w:p>
    <w:p w14:paraId="7AE12C88" w14:textId="77777777" w:rsidR="0074163C" w:rsidRPr="00C93EC1" w:rsidRDefault="0074163C" w:rsidP="0074163C">
      <w:r w:rsidRPr="00C93EC1">
        <w:t xml:space="preserve">The following table captures the key steps and dates for this </w:t>
      </w:r>
      <w:r w:rsidR="00804D99">
        <w:t>submission</w:t>
      </w:r>
      <w:r w:rsidRPr="00C93EC1">
        <w:t>.</w:t>
      </w:r>
    </w:p>
    <w:p w14:paraId="29A8A672" w14:textId="4320083D" w:rsidR="0074163C" w:rsidRPr="00CD711D" w:rsidRDefault="0074163C" w:rsidP="00CD711D">
      <w:pPr>
        <w:pStyle w:val="TableTitle"/>
      </w:pPr>
      <w:r>
        <w:t xml:space="preserve">Table </w:t>
      </w:r>
      <w:r w:rsidR="00EA2B2C">
        <w:fldChar w:fldCharType="begin"/>
      </w:r>
      <w:r w:rsidR="00EA2B2C">
        <w:instrText xml:space="preserve"> SEQ Table \* ARABIC </w:instrText>
      </w:r>
      <w:r w:rsidR="00EA2B2C">
        <w:fldChar w:fldCharType="separate"/>
      </w:r>
      <w:r w:rsidR="00555193">
        <w:rPr>
          <w:noProof/>
        </w:rPr>
        <w:t>2</w:t>
      </w:r>
      <w:r w:rsidR="00EA2B2C">
        <w:rPr>
          <w:noProof/>
        </w:rPr>
        <w:fldChar w:fldCharType="end"/>
      </w:r>
      <w:r>
        <w:t>:</w:t>
      </w:r>
      <w:r w:rsidRPr="006A58A8">
        <w:t xml:space="preserve"> Timeline for Submission </w:t>
      </w:r>
      <w:r w:rsidR="00CD711D" w:rsidRPr="00CD711D">
        <w:t>PM-2021-00635-1-4</w:t>
      </w:r>
    </w:p>
    <w:tbl>
      <w:tblPr>
        <w:tblStyle w:val="TableTGAblue"/>
        <w:tblW w:w="0" w:type="auto"/>
        <w:tblLook w:val="04A0" w:firstRow="1" w:lastRow="0" w:firstColumn="1" w:lastColumn="0" w:noHBand="0" w:noVBand="1"/>
      </w:tblPr>
      <w:tblGrid>
        <w:gridCol w:w="4255"/>
        <w:gridCol w:w="4239"/>
      </w:tblGrid>
      <w:tr w:rsidR="0074163C" w14:paraId="41BA2455"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4606202E" w14:textId="77777777" w:rsidR="0074163C" w:rsidRDefault="0074163C" w:rsidP="009E5A87">
            <w:r>
              <w:t>Description</w:t>
            </w:r>
          </w:p>
        </w:tc>
        <w:tc>
          <w:tcPr>
            <w:tcW w:w="4360" w:type="dxa"/>
            <w:tcBorders>
              <w:top w:val="single" w:sz="4" w:space="0" w:color="auto"/>
              <w:left w:val="single" w:sz="4" w:space="0" w:color="auto"/>
              <w:bottom w:val="single" w:sz="4" w:space="0" w:color="auto"/>
              <w:right w:val="single" w:sz="4" w:space="0" w:color="auto"/>
            </w:tcBorders>
          </w:tcPr>
          <w:p w14:paraId="740D6A76" w14:textId="77777777" w:rsidR="0074163C" w:rsidRDefault="0074163C" w:rsidP="009E5A87">
            <w:r>
              <w:t>Date</w:t>
            </w:r>
          </w:p>
        </w:tc>
      </w:tr>
      <w:tr w:rsidR="0074163C" w14:paraId="1C956860" w14:textId="77777777" w:rsidTr="009E5A87">
        <w:tc>
          <w:tcPr>
            <w:tcW w:w="4360" w:type="dxa"/>
            <w:tcBorders>
              <w:top w:val="single" w:sz="4" w:space="0" w:color="auto"/>
            </w:tcBorders>
          </w:tcPr>
          <w:p w14:paraId="1D10A746" w14:textId="77777777" w:rsidR="0074163C" w:rsidRDefault="0074163C" w:rsidP="009E5A87">
            <w:r>
              <w:t>Submission dossier accepted and first round evaluation commenced</w:t>
            </w:r>
          </w:p>
        </w:tc>
        <w:tc>
          <w:tcPr>
            <w:tcW w:w="4360" w:type="dxa"/>
            <w:tcBorders>
              <w:top w:val="single" w:sz="4" w:space="0" w:color="auto"/>
            </w:tcBorders>
          </w:tcPr>
          <w:p w14:paraId="22EDEC77" w14:textId="7D60AE8E" w:rsidR="0074163C" w:rsidRDefault="00CD711D" w:rsidP="009E5A87">
            <w:r>
              <w:t>1 April 2021</w:t>
            </w:r>
          </w:p>
        </w:tc>
      </w:tr>
      <w:tr w:rsidR="0074163C" w14:paraId="41D91BA7" w14:textId="77777777" w:rsidTr="009E5A87">
        <w:tc>
          <w:tcPr>
            <w:tcW w:w="4360" w:type="dxa"/>
          </w:tcPr>
          <w:p w14:paraId="2AD1E7DE" w14:textId="77777777" w:rsidR="0074163C" w:rsidRDefault="0074163C" w:rsidP="009E5A87">
            <w:r>
              <w:t>First round evaluation completed</w:t>
            </w:r>
          </w:p>
        </w:tc>
        <w:tc>
          <w:tcPr>
            <w:tcW w:w="4360" w:type="dxa"/>
          </w:tcPr>
          <w:p w14:paraId="51B903F1" w14:textId="13080193" w:rsidR="0074163C" w:rsidRDefault="00CD711D" w:rsidP="009E5A87">
            <w:r>
              <w:t>31 August 2021</w:t>
            </w:r>
          </w:p>
        </w:tc>
      </w:tr>
      <w:tr w:rsidR="0074163C" w14:paraId="06D81772" w14:textId="77777777" w:rsidTr="009E5A87">
        <w:tc>
          <w:tcPr>
            <w:tcW w:w="4360" w:type="dxa"/>
          </w:tcPr>
          <w:p w14:paraId="4106AD1C" w14:textId="77777777" w:rsidR="0074163C" w:rsidRDefault="0074163C" w:rsidP="009E5A87">
            <w:r>
              <w:t>Sponsor provides responses on questions raised in first round evaluation</w:t>
            </w:r>
          </w:p>
        </w:tc>
        <w:tc>
          <w:tcPr>
            <w:tcW w:w="4360" w:type="dxa"/>
          </w:tcPr>
          <w:p w14:paraId="382BE40A" w14:textId="39248A53" w:rsidR="0074163C" w:rsidRDefault="00CD711D" w:rsidP="009E5A87">
            <w:r>
              <w:t>30 September 2021</w:t>
            </w:r>
          </w:p>
        </w:tc>
      </w:tr>
      <w:tr w:rsidR="0074163C" w14:paraId="39038B5A" w14:textId="77777777" w:rsidTr="009E5A87">
        <w:tc>
          <w:tcPr>
            <w:tcW w:w="4360" w:type="dxa"/>
          </w:tcPr>
          <w:p w14:paraId="2B0832A7" w14:textId="77777777" w:rsidR="0074163C" w:rsidRDefault="0074163C" w:rsidP="009E5A87">
            <w:r>
              <w:t>Second round evaluation completed</w:t>
            </w:r>
          </w:p>
        </w:tc>
        <w:tc>
          <w:tcPr>
            <w:tcW w:w="4360" w:type="dxa"/>
          </w:tcPr>
          <w:p w14:paraId="748BFA05" w14:textId="63F20E54" w:rsidR="0074163C" w:rsidRDefault="00CD711D" w:rsidP="009E5A87">
            <w:r>
              <w:t>22 June 2022</w:t>
            </w:r>
          </w:p>
        </w:tc>
      </w:tr>
      <w:tr w:rsidR="0074163C" w14:paraId="0A76EF70" w14:textId="77777777" w:rsidTr="009E5A87">
        <w:tc>
          <w:tcPr>
            <w:tcW w:w="4360" w:type="dxa"/>
          </w:tcPr>
          <w:p w14:paraId="5805C726" w14:textId="1F3BF922" w:rsidR="0074163C" w:rsidRPr="00CD711D" w:rsidRDefault="0074163C" w:rsidP="009E5A87">
            <w:r w:rsidRPr="00CD711D">
              <w:rPr>
                <w:color w:val="auto"/>
              </w:rPr>
              <w:t>Delegate’s Overall benefit-risk assessment and request for Advisory Committee advice</w:t>
            </w:r>
          </w:p>
        </w:tc>
        <w:tc>
          <w:tcPr>
            <w:tcW w:w="4360" w:type="dxa"/>
          </w:tcPr>
          <w:p w14:paraId="70B5D345" w14:textId="7A54509E" w:rsidR="0074163C" w:rsidRDefault="00CD711D" w:rsidP="009E5A87">
            <w:r>
              <w:t>5 January 2022</w:t>
            </w:r>
          </w:p>
        </w:tc>
      </w:tr>
      <w:tr w:rsidR="0074163C" w14:paraId="31457CB1" w14:textId="77777777" w:rsidTr="009E5A87">
        <w:tc>
          <w:tcPr>
            <w:tcW w:w="4360" w:type="dxa"/>
          </w:tcPr>
          <w:p w14:paraId="0FCC486C" w14:textId="77777777" w:rsidR="0074163C" w:rsidRDefault="0074163C" w:rsidP="009E5A87">
            <w:r>
              <w:t>Sponsor’s pre-Advisory Committee response</w:t>
            </w:r>
          </w:p>
        </w:tc>
        <w:tc>
          <w:tcPr>
            <w:tcW w:w="4360" w:type="dxa"/>
          </w:tcPr>
          <w:p w14:paraId="2B031B92" w14:textId="4215D653" w:rsidR="0074163C" w:rsidRDefault="00CD711D" w:rsidP="009E5A87">
            <w:r>
              <w:t>17 January 2022</w:t>
            </w:r>
          </w:p>
        </w:tc>
      </w:tr>
      <w:tr w:rsidR="0074163C" w14:paraId="0C3C9150" w14:textId="77777777" w:rsidTr="009E5A87">
        <w:tc>
          <w:tcPr>
            <w:tcW w:w="4360" w:type="dxa"/>
          </w:tcPr>
          <w:p w14:paraId="51CD652C" w14:textId="77777777" w:rsidR="0074163C" w:rsidRDefault="0074163C" w:rsidP="009E5A87">
            <w:r>
              <w:t>Advisory Committee meeting</w:t>
            </w:r>
          </w:p>
        </w:tc>
        <w:tc>
          <w:tcPr>
            <w:tcW w:w="4360" w:type="dxa"/>
          </w:tcPr>
          <w:p w14:paraId="4FAF1EC7" w14:textId="5E8F9DC1" w:rsidR="0074163C" w:rsidRDefault="00CD711D" w:rsidP="009E5A87">
            <w:r>
              <w:t>3 and 4 February 2022</w:t>
            </w:r>
          </w:p>
        </w:tc>
      </w:tr>
      <w:tr w:rsidR="0074163C" w14:paraId="4B453409" w14:textId="77777777" w:rsidTr="009E5A87">
        <w:tc>
          <w:tcPr>
            <w:tcW w:w="4360" w:type="dxa"/>
          </w:tcPr>
          <w:p w14:paraId="0A9F5573" w14:textId="77777777" w:rsidR="0074163C" w:rsidRDefault="0074163C" w:rsidP="009E5A87">
            <w:r>
              <w:t>Registration decision (Outcome)</w:t>
            </w:r>
          </w:p>
        </w:tc>
        <w:tc>
          <w:tcPr>
            <w:tcW w:w="4360" w:type="dxa"/>
          </w:tcPr>
          <w:p w14:paraId="1D9DD6C6" w14:textId="7D8A98FE" w:rsidR="0074163C" w:rsidRDefault="00CD711D" w:rsidP="009E5A87">
            <w:r>
              <w:t>30 June 2022</w:t>
            </w:r>
          </w:p>
        </w:tc>
      </w:tr>
      <w:tr w:rsidR="0074163C" w14:paraId="4E3EABDE" w14:textId="77777777" w:rsidTr="009E5A87">
        <w:tc>
          <w:tcPr>
            <w:tcW w:w="4360" w:type="dxa"/>
          </w:tcPr>
          <w:p w14:paraId="38EA0966" w14:textId="77777777" w:rsidR="0074163C" w:rsidRDefault="0074163C" w:rsidP="009E5A87">
            <w:r w:rsidRPr="005A79F5">
              <w:t>Completion of administrative activities and registration on the ARTG</w:t>
            </w:r>
          </w:p>
        </w:tc>
        <w:tc>
          <w:tcPr>
            <w:tcW w:w="4360" w:type="dxa"/>
          </w:tcPr>
          <w:p w14:paraId="05775684" w14:textId="3CBDCBF6" w:rsidR="0074163C" w:rsidRDefault="00CD711D" w:rsidP="009E5A87">
            <w:r>
              <w:t>7 July 2022</w:t>
            </w:r>
          </w:p>
        </w:tc>
      </w:tr>
      <w:tr w:rsidR="0074163C" w14:paraId="06FA160D" w14:textId="77777777" w:rsidTr="009E5A87">
        <w:tc>
          <w:tcPr>
            <w:tcW w:w="4360" w:type="dxa"/>
          </w:tcPr>
          <w:p w14:paraId="55543A0A" w14:textId="77777777" w:rsidR="0074163C" w:rsidRDefault="0074163C" w:rsidP="009E5A87">
            <w:r>
              <w:t>Number of working days from submission dossier acceptance to registration decision*</w:t>
            </w:r>
          </w:p>
        </w:tc>
        <w:tc>
          <w:tcPr>
            <w:tcW w:w="4360" w:type="dxa"/>
          </w:tcPr>
          <w:p w14:paraId="1B437C09" w14:textId="6E79F1CE" w:rsidR="0074163C" w:rsidRDefault="00CD711D" w:rsidP="009E5A87">
            <w:r>
              <w:t>240</w:t>
            </w:r>
          </w:p>
        </w:tc>
      </w:tr>
    </w:tbl>
    <w:p w14:paraId="63391259" w14:textId="3E4AE6A1" w:rsidR="0074163C" w:rsidRPr="00CD711D" w:rsidRDefault="0074163C" w:rsidP="00CD711D">
      <w:pPr>
        <w:pStyle w:val="TableDescription"/>
      </w:pPr>
      <w:r>
        <w:t>*</w:t>
      </w:r>
      <w:r w:rsidRPr="00BF3774">
        <w:t xml:space="preserve">Statutory </w:t>
      </w:r>
      <w:r>
        <w:t xml:space="preserve">timeframe for standard </w:t>
      </w:r>
      <w:r w:rsidR="00BB0B78">
        <w:t>submission</w:t>
      </w:r>
      <w:r>
        <w:t>s is 255 working days</w:t>
      </w:r>
    </w:p>
    <w:p w14:paraId="052C521A" w14:textId="77777777" w:rsidR="008E7846" w:rsidRPr="00792A32" w:rsidRDefault="00006FAB" w:rsidP="008E7846">
      <w:pPr>
        <w:pStyle w:val="Heading2"/>
      </w:pPr>
      <w:bookmarkStart w:id="26" w:name="_Toc196046504"/>
      <w:bookmarkStart w:id="27" w:name="_Toc247691527"/>
      <w:bookmarkStart w:id="28" w:name="_Toc314842510"/>
      <w:bookmarkStart w:id="29" w:name="_Toc128492520"/>
      <w:bookmarkStart w:id="30" w:name="_Toc163441390"/>
      <w:bookmarkEnd w:id="23"/>
      <w:bookmarkEnd w:id="24"/>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49491846" w14:textId="77777777" w:rsidR="0074163C" w:rsidRDefault="0074163C" w:rsidP="0074163C">
      <w:bookmarkStart w:id="31" w:name="_Toc247691528"/>
      <w:bookmarkStart w:id="32" w:name="_Toc314842511"/>
      <w:r>
        <w:t>This section is a TGA summary of wording used in TGA’s evaluation report, which discussed numerous aspects of overseas evaluation reports and included some information that was commercial-in-confidence.</w:t>
      </w:r>
    </w:p>
    <w:p w14:paraId="48A6FBAF" w14:textId="3C6EC6AC" w:rsidR="008E7846" w:rsidRDefault="008E7846" w:rsidP="008E7846">
      <w:pPr>
        <w:pStyle w:val="Heading3"/>
      </w:pPr>
      <w:bookmarkStart w:id="33" w:name="_Toc128492521"/>
      <w:r>
        <w:t>Quality</w:t>
      </w:r>
      <w:bookmarkEnd w:id="31"/>
      <w:bookmarkEnd w:id="32"/>
      <w:bookmarkEnd w:id="33"/>
    </w:p>
    <w:p w14:paraId="00C882CA" w14:textId="710E28E5" w:rsidR="006458DE" w:rsidRPr="006458DE" w:rsidRDefault="006458DE" w:rsidP="00A86337">
      <w:pPr>
        <w:pStyle w:val="Heading4"/>
      </w:pPr>
      <w:r>
        <w:t>Enfortumab vedotin drug structure</w:t>
      </w:r>
    </w:p>
    <w:p w14:paraId="106A0C6A" w14:textId="3B86FF13" w:rsidR="00DF1744" w:rsidRPr="00DF1744" w:rsidRDefault="006458DE" w:rsidP="00DF1744">
      <w:r>
        <w:t>The e</w:t>
      </w:r>
      <w:r w:rsidR="00DF1744" w:rsidRPr="00DF1744">
        <w:t>nfortumab antibody intermediate is a fully human monoclonal antibody with two heavy chain gamma 1 subclass and two light chain kappa class.</w:t>
      </w:r>
    </w:p>
    <w:p w14:paraId="4F6AF594" w14:textId="59BAA6B1" w:rsidR="00DF1744" w:rsidRPr="00DF1744" w:rsidRDefault="00DF1744" w:rsidP="00DF1744">
      <w:r w:rsidRPr="00DF1744">
        <w:t xml:space="preserve">The anti-mitotic agent, </w:t>
      </w:r>
      <w:r w:rsidR="006458DE">
        <w:t>m</w:t>
      </w:r>
      <w:r w:rsidR="006458DE" w:rsidRPr="006458DE">
        <w:t xml:space="preserve">onomethyl auristatin E </w:t>
      </w:r>
      <w:r w:rsidR="006458DE">
        <w:t>(</w:t>
      </w:r>
      <w:r w:rsidRPr="00DF1744">
        <w:t>MMAE</w:t>
      </w:r>
      <w:r w:rsidR="006458DE">
        <w:t>)</w:t>
      </w:r>
      <w:r w:rsidRPr="00DF1744">
        <w:t xml:space="preserve">, is a synthetic analogue of </w:t>
      </w:r>
      <w:proofErr w:type="spellStart"/>
      <w:r w:rsidRPr="00DF1744">
        <w:t>dolastatin</w:t>
      </w:r>
      <w:proofErr w:type="spellEnd"/>
      <w:r w:rsidRPr="00DF1744">
        <w:t xml:space="preserve"> 10, a naturally occurring product originally isolated from the sea hare </w:t>
      </w:r>
      <w:proofErr w:type="spellStart"/>
      <w:r w:rsidRPr="00DF1744">
        <w:rPr>
          <w:i/>
          <w:iCs/>
        </w:rPr>
        <w:t>Dolabella</w:t>
      </w:r>
      <w:proofErr w:type="spellEnd"/>
      <w:r w:rsidRPr="00DF1744">
        <w:rPr>
          <w:i/>
          <w:iCs/>
        </w:rPr>
        <w:t xml:space="preserve"> </w:t>
      </w:r>
      <w:proofErr w:type="spellStart"/>
      <w:r w:rsidRPr="00DF1744">
        <w:rPr>
          <w:i/>
          <w:iCs/>
        </w:rPr>
        <w:lastRenderedPageBreak/>
        <w:t>auricularia</w:t>
      </w:r>
      <w:proofErr w:type="spellEnd"/>
      <w:r w:rsidRPr="00DF1744">
        <w:t>. MMAE is covalently bonded to enfortumab antibody intermediate through a protease</w:t>
      </w:r>
      <w:r>
        <w:t xml:space="preserve"> </w:t>
      </w:r>
      <w:r w:rsidRPr="00DF1744">
        <w:t>cleavable linker (</w:t>
      </w:r>
      <w:proofErr w:type="spellStart"/>
      <w:r w:rsidRPr="00DF1744">
        <w:t>maleimidocaproyl</w:t>
      </w:r>
      <w:proofErr w:type="spellEnd"/>
      <w:r w:rsidRPr="00DF1744">
        <w:t xml:space="preserve"> valine-citrulline). The linker was designed to be cleaved by lysosomal proteases, resulting in the release of free MMAE, p-</w:t>
      </w:r>
      <w:proofErr w:type="spellStart"/>
      <w:r w:rsidRPr="00DF1744">
        <w:t>aminobenzyl</w:t>
      </w:r>
      <w:proofErr w:type="spellEnd"/>
      <w:r w:rsidRPr="00DF1744">
        <w:t xml:space="preserve"> alcohol, </w:t>
      </w:r>
      <w:r>
        <w:t>carbon dioxide (</w:t>
      </w:r>
      <w:r w:rsidRPr="00DF1744">
        <w:t>CO</w:t>
      </w:r>
      <w:r w:rsidRPr="00DF1744">
        <w:rPr>
          <w:vertAlign w:val="subscript"/>
        </w:rPr>
        <w:t>2</w:t>
      </w:r>
      <w:r>
        <w:t>)</w:t>
      </w:r>
      <w:r w:rsidRPr="00DF1744">
        <w:t>, and the antibody containing a fragment of the linker.</w:t>
      </w:r>
    </w:p>
    <w:p w14:paraId="55AFE94C" w14:textId="53661450" w:rsidR="00DF1744" w:rsidRDefault="00DF1744" w:rsidP="00DF1744">
      <w:r w:rsidRPr="00DF1744">
        <w:t>The linker</w:t>
      </w:r>
      <w:r>
        <w:t xml:space="preserve"> </w:t>
      </w:r>
      <w:r w:rsidRPr="00DF1744">
        <w:t xml:space="preserve">drug is bound to the reduced interchain cysteine </w:t>
      </w:r>
      <w:proofErr w:type="spellStart"/>
      <w:r w:rsidRPr="00DF1744">
        <w:t>disulfide</w:t>
      </w:r>
      <w:proofErr w:type="spellEnd"/>
      <w:r w:rsidRPr="00DF1744">
        <w:t xml:space="preserve"> bonds of the antibody heavy and light chains through a thioether bond between the linker maleimide and the cysteine thiol group. Enfortumab vedotin has 3.8 linked MMAE moieties per antibody.</w:t>
      </w:r>
    </w:p>
    <w:p w14:paraId="0E26156F" w14:textId="0C0E8095" w:rsidR="006458DE" w:rsidRDefault="006458DE" w:rsidP="00DF1744">
      <w:r>
        <w:t>A representation of the skeletal structure of enfortumab vedotin is shown in Figure 2, below.</w:t>
      </w:r>
    </w:p>
    <w:p w14:paraId="44567788" w14:textId="30F773E3" w:rsidR="00520BB3" w:rsidRDefault="00520BB3" w:rsidP="00520BB3">
      <w:pPr>
        <w:pStyle w:val="FigureTitle"/>
      </w:pPr>
      <w:r>
        <w:t xml:space="preserve">Figure </w:t>
      </w:r>
      <w:r w:rsidR="00EA2B2C">
        <w:fldChar w:fldCharType="begin"/>
      </w:r>
      <w:r w:rsidR="00EA2B2C">
        <w:instrText xml:space="preserve"> SEQ Figure \* ARABIC </w:instrText>
      </w:r>
      <w:r w:rsidR="00EA2B2C">
        <w:fldChar w:fldCharType="separate"/>
      </w:r>
      <w:r w:rsidR="00555193">
        <w:rPr>
          <w:noProof/>
        </w:rPr>
        <w:t>2</w:t>
      </w:r>
      <w:r w:rsidR="00EA2B2C">
        <w:rPr>
          <w:noProof/>
        </w:rPr>
        <w:fldChar w:fldCharType="end"/>
      </w:r>
      <w:r>
        <w:t xml:space="preserve">: </w:t>
      </w:r>
      <w:r w:rsidRPr="00DF1744">
        <w:t>Enfortumab vedotin</w:t>
      </w:r>
      <w:r>
        <w:t xml:space="preserve"> structure</w:t>
      </w:r>
    </w:p>
    <w:p w14:paraId="6567E1F6" w14:textId="631F46FE" w:rsidR="00DF1744" w:rsidRDefault="00520BB3" w:rsidP="00DF1744">
      <w:r>
        <w:rPr>
          <w:noProof/>
          <w:lang w:val="en-GB" w:eastAsia="en-GB"/>
        </w:rPr>
        <w:drawing>
          <wp:inline distT="0" distB="0" distL="0" distR="0" wp14:anchorId="21F7163F" wp14:editId="6D2FF036">
            <wp:extent cx="5123127" cy="1276350"/>
            <wp:effectExtent l="0" t="0" r="1905" b="0"/>
            <wp:docPr id="4" name="Picture 4" descr="Enfortumab vedot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nfortumab vedotin stru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2431" cy="1278668"/>
                    </a:xfrm>
                    <a:prstGeom prst="rect">
                      <a:avLst/>
                    </a:prstGeom>
                    <a:noFill/>
                  </pic:spPr>
                </pic:pic>
              </a:graphicData>
            </a:graphic>
          </wp:inline>
        </w:drawing>
      </w:r>
    </w:p>
    <w:p w14:paraId="41F37662" w14:textId="128E459F" w:rsidR="00520BB3" w:rsidRPr="001C5E83" w:rsidRDefault="00520BB3" w:rsidP="001C5E83">
      <w:pPr>
        <w:pStyle w:val="Heading4"/>
      </w:pPr>
      <w:r w:rsidRPr="001C5E83">
        <w:t>Linker drug component</w:t>
      </w:r>
    </w:p>
    <w:p w14:paraId="0042057A" w14:textId="44F44EC6" w:rsidR="00520BB3" w:rsidRDefault="00520BB3" w:rsidP="00520BB3">
      <w:r>
        <w:t xml:space="preserve">The evaluator concluded the manufacture and control of the </w:t>
      </w:r>
      <w:r w:rsidR="006458DE">
        <w:t>valine-citrulline-MMAE</w:t>
      </w:r>
      <w:r w:rsidR="006458DE" w:rsidRPr="006458DE">
        <w:t xml:space="preserve"> drug-</w:t>
      </w:r>
      <w:r>
        <w:t xml:space="preserve">linker component </w:t>
      </w:r>
      <w:r w:rsidR="006458DE">
        <w:t xml:space="preserve">(known as </w:t>
      </w:r>
      <w:r>
        <w:t>SGD</w:t>
      </w:r>
      <w:r>
        <w:noBreakHyphen/>
        <w:t>1006</w:t>
      </w:r>
      <w:r w:rsidR="006458DE">
        <w:t>)</w:t>
      </w:r>
      <w:r>
        <w:t xml:space="preserve"> have been extensively documented and are considered acceptable.</w:t>
      </w:r>
    </w:p>
    <w:p w14:paraId="7FD8D8D9" w14:textId="45956600" w:rsidR="00520BB3" w:rsidRDefault="00520BB3" w:rsidP="00520BB3">
      <w:r>
        <w:t>The intermediate SGD-1006 consists of an enzyme cleavable linker and the antimitotic peptide MMAE.</w:t>
      </w:r>
    </w:p>
    <w:p w14:paraId="5AF3CE9A" w14:textId="1A0E686E" w:rsidR="00520BB3" w:rsidRDefault="00520BB3" w:rsidP="00520BB3">
      <w:r>
        <w:t xml:space="preserve">SGD-1006 has 12 chiral carbon centres (10 from MMAE, 2 from the linker). SGD-1006 is defined as a single stereoisomer. The chirality is introduced through chiral starting materials. SGD-1006 is manufactured under non-sterile conditions in a </w:t>
      </w:r>
      <w:proofErr w:type="gramStart"/>
      <w:r>
        <w:t>six stage</w:t>
      </w:r>
      <w:proofErr w:type="gramEnd"/>
      <w:r>
        <w:t xml:space="preserve"> convergent, solution phase, fragment based peptide synthesis.</w:t>
      </w:r>
    </w:p>
    <w:p w14:paraId="5649C55B" w14:textId="6BC5C462" w:rsidR="00520BB3" w:rsidRDefault="00520BB3" w:rsidP="00520BB3">
      <w:r>
        <w:t>The starting materials are custom made or commercially available. Specifications for the six starting materials were provided. Synthetic routes were given for preparation of each of the six starting materials.</w:t>
      </w:r>
    </w:p>
    <w:p w14:paraId="672524F9" w14:textId="69175B6A" w:rsidR="00520BB3" w:rsidRDefault="00520BB3" w:rsidP="00520BB3">
      <w:r>
        <w:t>Manufacturing details, analytical methods and validation, and the product specification were reviewed and considered acceptable.</w:t>
      </w:r>
    </w:p>
    <w:p w14:paraId="17085A66" w14:textId="401AECEA" w:rsidR="00520BB3" w:rsidRDefault="00520BB3" w:rsidP="00520BB3">
      <w:r>
        <w:t xml:space="preserve">There are six specified impurities. Limits for impurities were considered acceptable. The synthesis does not include nitrates or nitrites. The nitroaromatic compounds produced during the manufacturing process are not </w:t>
      </w:r>
      <w:proofErr w:type="gramStart"/>
      <w:r>
        <w:t>completely eliminated</w:t>
      </w:r>
      <w:proofErr w:type="gramEnd"/>
      <w:r>
        <w:t xml:space="preserve"> but given the likely lifetime exposure the levels are not considered to pose an additional genotoxic to the overall genotoxicity of the drug substance related to MMAE, a known genotoxin.</w:t>
      </w:r>
    </w:p>
    <w:p w14:paraId="3680AAC9" w14:textId="6EF50AF0" w:rsidR="00520BB3" w:rsidRDefault="00520BB3" w:rsidP="00520BB3">
      <w:r>
        <w:t>Two container closure systems are used:</w:t>
      </w:r>
    </w:p>
    <w:p w14:paraId="0124AF8C" w14:textId="672481B9" w:rsidR="00520BB3" w:rsidRDefault="00520BB3" w:rsidP="00520BB3">
      <w:pPr>
        <w:pStyle w:val="ListBullet"/>
      </w:pPr>
      <w:r>
        <w:t>Borosilicate amber glass vials with rubber stoppers and aluminium crimp seal closures</w:t>
      </w:r>
      <w:r w:rsidR="00890502">
        <w:t xml:space="preserve">, 5 </w:t>
      </w:r>
      <w:proofErr w:type="gramStart"/>
      <w:r w:rsidR="00890502">
        <w:t>mL</w:t>
      </w:r>
      <w:proofErr w:type="gramEnd"/>
      <w:r w:rsidR="00890502">
        <w:t xml:space="preserve"> or 30 </w:t>
      </w:r>
      <w:proofErr w:type="spellStart"/>
      <w:r w:rsidR="00890502">
        <w:t>mL</w:t>
      </w:r>
      <w:r w:rsidR="007E2720">
        <w:t>.</w:t>
      </w:r>
      <w:proofErr w:type="spellEnd"/>
    </w:p>
    <w:p w14:paraId="776F4F1E" w14:textId="1B398D08" w:rsidR="00520BB3" w:rsidRDefault="00520BB3" w:rsidP="00520BB3">
      <w:pPr>
        <w:pStyle w:val="ListBullet"/>
      </w:pPr>
      <w:r>
        <w:t>Soda-lime amber glass jars closed with a polytetrafluoroethylene (on product contact side) lined polypropylene screw cap</w:t>
      </w:r>
      <w:r w:rsidR="00890502">
        <w:t xml:space="preserve">, 30 mL to 1000 </w:t>
      </w:r>
      <w:proofErr w:type="spellStart"/>
      <w:r w:rsidR="00890502">
        <w:t>mL.</w:t>
      </w:r>
      <w:proofErr w:type="spellEnd"/>
    </w:p>
    <w:p w14:paraId="58DB03AC" w14:textId="12A3852B" w:rsidR="00520BB3" w:rsidRDefault="00520BB3" w:rsidP="00520BB3">
      <w:r>
        <w:t xml:space="preserve">Inert gas is used to fill the container headspace. The closed vial or jar is placed into secondary packaging, either a clear polyethylene bag sealed with a plastic tie or a </w:t>
      </w:r>
      <w:proofErr w:type="gramStart"/>
      <w:r>
        <w:t>heat</w:t>
      </w:r>
      <w:r w:rsidR="00890502">
        <w:t xml:space="preserve"> </w:t>
      </w:r>
      <w:r>
        <w:lastRenderedPageBreak/>
        <w:t>sealed</w:t>
      </w:r>
      <w:proofErr w:type="gramEnd"/>
      <w:r>
        <w:t xml:space="preserve"> foil/polyethylene bag containing desiccant.</w:t>
      </w:r>
      <w:r w:rsidR="00890502">
        <w:t xml:space="preserve"> </w:t>
      </w:r>
      <w:r>
        <w:t>A retest period of 36 months when stored in a freezer at -25 to -15 °C is proposed for SGD</w:t>
      </w:r>
      <w:r>
        <w:noBreakHyphen/>
        <w:t>1006.</w:t>
      </w:r>
    </w:p>
    <w:p w14:paraId="77119FE1" w14:textId="6ADDEFA1" w:rsidR="00520BB3" w:rsidRDefault="00520BB3" w:rsidP="00520BB3">
      <w:proofErr w:type="gramStart"/>
      <w:r>
        <w:t>Thirty six</w:t>
      </w:r>
      <w:proofErr w:type="gramEnd"/>
      <w:r>
        <w:t xml:space="preserve"> months primary stability data were provided for six production scale batches stored at -20</w:t>
      </w:r>
      <w:r w:rsidR="00890502">
        <w:t xml:space="preserve"> </w:t>
      </w:r>
      <w:r>
        <w:t>°C, packaged in vials and in glass jars</w:t>
      </w:r>
      <w:r w:rsidR="00890502">
        <w:t xml:space="preserve">. </w:t>
      </w:r>
      <w:r>
        <w:t>The results of stability studies show the chemical stability of SGD-1006 when stored for up to 36 months at -20</w:t>
      </w:r>
      <w:r w:rsidR="00890502">
        <w:t xml:space="preserve"> </w:t>
      </w:r>
      <w:r>
        <w:t xml:space="preserve">°C/ambient </w:t>
      </w:r>
      <w:r w:rsidR="00890502">
        <w:t>relative humidity</w:t>
      </w:r>
      <w:r>
        <w:t>, or for up to 6 months at 5</w:t>
      </w:r>
      <w:r w:rsidR="00890502">
        <w:t xml:space="preserve"> </w:t>
      </w:r>
      <w:r>
        <w:t>°C</w:t>
      </w:r>
      <w:r w:rsidR="00890502">
        <w:t>/</w:t>
      </w:r>
      <w:r>
        <w:t xml:space="preserve">ambient </w:t>
      </w:r>
      <w:r w:rsidR="00890502">
        <w:t>relative humidity</w:t>
      </w:r>
      <w:r>
        <w:t xml:space="preserve"> or 25</w:t>
      </w:r>
      <w:r w:rsidR="00890502">
        <w:t xml:space="preserve"> </w:t>
      </w:r>
      <w:r>
        <w:t xml:space="preserve">°C/60% </w:t>
      </w:r>
      <w:r w:rsidR="00890502">
        <w:t>relative humidity</w:t>
      </w:r>
      <w:r>
        <w:t xml:space="preserve"> (accelerated conditions). The only significant change observed was in water content, which increased under accelerated and stressed conditions, but did not cause detectable degradation.</w:t>
      </w:r>
    </w:p>
    <w:p w14:paraId="5749D6F0" w14:textId="0739FC8B" w:rsidR="00890502" w:rsidRPr="001C5E83" w:rsidRDefault="00890502" w:rsidP="001C5E83">
      <w:pPr>
        <w:pStyle w:val="Heading4"/>
      </w:pPr>
      <w:r w:rsidRPr="001C5E83">
        <w:t>Monoclonal antibody component</w:t>
      </w:r>
    </w:p>
    <w:p w14:paraId="154FAFBA" w14:textId="33F1DC7E" w:rsidR="00890502" w:rsidRDefault="00890502" w:rsidP="00890502">
      <w:r>
        <w:t>The drug substance component is manufactured using cells form a working cell bank inoculated into cell growth culture media. The production culture is run in a fed batch culture mode with two nutrient feeds during the cultivation to prolong cell growth and support the generation of AGS-22C3 monoclonal antibody intermediate.</w:t>
      </w:r>
    </w:p>
    <w:p w14:paraId="2D153C14" w14:textId="281A803C" w:rsidR="00890502" w:rsidRDefault="00890502" w:rsidP="00890502">
      <w:r>
        <w:t xml:space="preserve">Cell culture fluid is clarified with dual stage depth filtration and monoclonal antibody is captured from the harvest filtrate pool by protein A chromatography. The protein A pool is subjected to low pH for a specified duration to attain viral inactivation and then purified by cation exchange chromatography and anion exchange chromatography to remove process related and product related impurities. To ensure viral safety, anion exchange chromatography pool is filtered with a virus removal membrane. Subsequently, the viral filtration pool is concentrated to the target protein concentration and diafiltered to exchange its matrix into formulation buffer using an ultrafiltration/diafiltration system. The formulated </w:t>
      </w:r>
      <w:r w:rsidRPr="00890502">
        <w:t xml:space="preserve">ultrafiltration/diafiltration </w:t>
      </w:r>
      <w:r>
        <w:t>retentate is pumped through a 0.2</w:t>
      </w:r>
      <w:r w:rsidR="001560F9">
        <w:t xml:space="preserve"> </w:t>
      </w:r>
      <w:r w:rsidR="00383063">
        <w:t>µ</w:t>
      </w:r>
      <w:r w:rsidR="007421D5">
        <w:t>m</w:t>
      </w:r>
      <w:r>
        <w:t xml:space="preserve"> filter, and then dispensed into labelled bottles. Bottled </w:t>
      </w:r>
      <w:r w:rsidR="007F605F">
        <w:t>monoclonal antibody</w:t>
      </w:r>
      <w:r>
        <w:t xml:space="preserve"> intermediate is stored at </w:t>
      </w:r>
      <w:r w:rsidR="007F605F">
        <w:t>less than or equal to</w:t>
      </w:r>
      <w:r>
        <w:t xml:space="preserve"> -60</w:t>
      </w:r>
      <w:r w:rsidR="007F605F">
        <w:t xml:space="preserve"> </w:t>
      </w:r>
      <w:r>
        <w:t>°C.</w:t>
      </w:r>
      <w:r w:rsidR="00565C2C">
        <w:t xml:space="preserve"> </w:t>
      </w:r>
    </w:p>
    <w:p w14:paraId="22AE8603" w14:textId="10F296FA" w:rsidR="00890502" w:rsidRDefault="00890502" w:rsidP="00890502">
      <w:r>
        <w:t>Enfortumab vedotin drug substance manufacturing is initiated by the thawing, pooling, filtering, and pH</w:t>
      </w:r>
      <w:r w:rsidR="007F605F">
        <w:t xml:space="preserve"> </w:t>
      </w:r>
      <w:r>
        <w:t>adjusting of AGS-22C3 monoclonal antibody intermediate. A limited</w:t>
      </w:r>
      <w:r w:rsidR="007F605F">
        <w:t xml:space="preserve"> </w:t>
      </w:r>
      <w:proofErr w:type="gramStart"/>
      <w:r>
        <w:t>amount</w:t>
      </w:r>
      <w:proofErr w:type="gramEnd"/>
      <w:r>
        <w:t xml:space="preserve"> of tris (2-carboxyethyl) phosphine is used to partially reduce the interchain </w:t>
      </w:r>
      <w:proofErr w:type="spellStart"/>
      <w:r>
        <w:t>disulfide</w:t>
      </w:r>
      <w:proofErr w:type="spellEnd"/>
      <w:r>
        <w:t xml:space="preserve"> bonds of the </w:t>
      </w:r>
      <w:r w:rsidR="007F605F">
        <w:t>monoclonal antibody</w:t>
      </w:r>
      <w:r>
        <w:t xml:space="preserve"> intermediate. SGD-1006 drug linker intermediate is then added in excess to react with the</w:t>
      </w:r>
      <w:r w:rsidR="007F605F">
        <w:t xml:space="preserve"> monoclonal antibody</w:t>
      </w:r>
      <w:r>
        <w:t xml:space="preserve"> intermediate thiols to form the covalently</w:t>
      </w:r>
      <w:r w:rsidR="007F605F">
        <w:t xml:space="preserve"> </w:t>
      </w:r>
      <w:r>
        <w:t xml:space="preserve">bonded antibody-drug conjugate. Excess </w:t>
      </w:r>
      <w:r w:rsidR="007F605F">
        <w:t>drug linker</w:t>
      </w:r>
      <w:r>
        <w:t xml:space="preserve"> intermediate is reacted with N-acetyl-L-cysteine to quench the conjugation reaction by converting excess </w:t>
      </w:r>
      <w:r w:rsidR="007F605F">
        <w:t>drug linker</w:t>
      </w:r>
      <w:r>
        <w:t xml:space="preserve"> intermediate to the more stable hydrophilic adduct SGD</w:t>
      </w:r>
      <w:r w:rsidR="007F605F">
        <w:noBreakHyphen/>
      </w:r>
      <w:r>
        <w:t>1427. This quenched conjugation reaction solution is concentrated and then purified by diafiltration to remove small</w:t>
      </w:r>
      <w:r w:rsidR="007F605F">
        <w:t xml:space="preserve"> </w:t>
      </w:r>
      <w:r>
        <w:t>molecule impurities and exchanged into the base buffer for formulation. The diafiltered solution is then formulated, filtered, filled into bottles, and frozen.</w:t>
      </w:r>
    </w:p>
    <w:p w14:paraId="1C57E427" w14:textId="5F3EE3E1" w:rsidR="00890502" w:rsidRDefault="00890502" w:rsidP="00890502">
      <w:r>
        <w:t>The drug substance materials undergo in process control testing and in process acceptance criteria testing. All manufacturing steps and analytical procedures are validated.</w:t>
      </w:r>
    </w:p>
    <w:p w14:paraId="1E72A1DC" w14:textId="1DAD8CE9" w:rsidR="00890502" w:rsidRDefault="00890502" w:rsidP="00890502">
      <w:r>
        <w:t>The sponsor proposed a shelf life for the drug substance of 60 months at -60</w:t>
      </w:r>
      <w:r w:rsidR="007F605F">
        <w:t xml:space="preserve"> </w:t>
      </w:r>
      <w:r>
        <w:t>°C.</w:t>
      </w:r>
      <w:r w:rsidR="007F605F">
        <w:t xml:space="preserve"> </w:t>
      </w:r>
      <w:r>
        <w:t xml:space="preserve">Stability data have been generated under real time and stressed conditions. Stability data were generated under real time conditions to characterise the stability profile of the substance and to establish a shelf life. The real time data submitted support a shelf life of 60 months when stored at </w:t>
      </w:r>
      <w:r w:rsidR="007F605F">
        <w:t>less than or equal to</w:t>
      </w:r>
      <w:r>
        <w:t xml:space="preserve"> </w:t>
      </w:r>
      <w:r w:rsidR="001E4BB8">
        <w:t>-</w:t>
      </w:r>
      <w:r>
        <w:t>60</w:t>
      </w:r>
      <w:r w:rsidR="007F605F">
        <w:t xml:space="preserve"> °</w:t>
      </w:r>
      <w:r>
        <w:t>C.</w:t>
      </w:r>
    </w:p>
    <w:p w14:paraId="55E99328" w14:textId="1E74E6DB" w:rsidR="007F605F" w:rsidRPr="00383063" w:rsidRDefault="007F605F" w:rsidP="00383063">
      <w:pPr>
        <w:pStyle w:val="Heading4"/>
      </w:pPr>
      <w:r w:rsidRPr="00383063">
        <w:lastRenderedPageBreak/>
        <w:t xml:space="preserve">Finished </w:t>
      </w:r>
      <w:r w:rsidR="006458DE">
        <w:t xml:space="preserve">drug </w:t>
      </w:r>
      <w:r w:rsidRPr="00383063">
        <w:t>product</w:t>
      </w:r>
    </w:p>
    <w:p w14:paraId="27A2EBC7" w14:textId="381CD5A3" w:rsidR="007F605F" w:rsidRPr="007F605F" w:rsidRDefault="007F605F" w:rsidP="007F605F">
      <w:r w:rsidRPr="007F605F">
        <w:t xml:space="preserve">The enfortumab vedotin drug product manufacturing process includes </w:t>
      </w:r>
      <w:r>
        <w:t>d</w:t>
      </w:r>
      <w:r w:rsidRPr="007F605F">
        <w:rPr>
          <w:rFonts w:hint="eastAsia"/>
        </w:rPr>
        <w:t xml:space="preserve">rug </w:t>
      </w:r>
      <w:r>
        <w:t>s</w:t>
      </w:r>
      <w:r w:rsidRPr="007F605F">
        <w:rPr>
          <w:rFonts w:hint="eastAsia"/>
        </w:rPr>
        <w:t xml:space="preserve">ubstance </w:t>
      </w:r>
      <w:r>
        <w:t>t</w:t>
      </w:r>
      <w:r w:rsidRPr="007F605F">
        <w:rPr>
          <w:rFonts w:hint="eastAsia"/>
        </w:rPr>
        <w:t>hawing</w:t>
      </w:r>
      <w:r w:rsidRPr="007F605F">
        <w:t xml:space="preserve">, </w:t>
      </w:r>
      <w:r>
        <w:t>drug substance p</w:t>
      </w:r>
      <w:r w:rsidRPr="007F605F">
        <w:rPr>
          <w:rFonts w:hint="eastAsia"/>
        </w:rPr>
        <w:t xml:space="preserve">ooling and </w:t>
      </w:r>
      <w:r>
        <w:t>m</w:t>
      </w:r>
      <w:r w:rsidRPr="007F605F">
        <w:rPr>
          <w:rFonts w:hint="eastAsia"/>
        </w:rPr>
        <w:t>ixing</w:t>
      </w:r>
      <w:r w:rsidRPr="007F605F">
        <w:t xml:space="preserve">, </w:t>
      </w:r>
      <w:r>
        <w:t>s</w:t>
      </w:r>
      <w:r w:rsidRPr="007F605F">
        <w:rPr>
          <w:rFonts w:hint="eastAsia"/>
        </w:rPr>
        <w:t xml:space="preserve">terile </w:t>
      </w:r>
      <w:r>
        <w:t>f</w:t>
      </w:r>
      <w:r w:rsidRPr="007F605F">
        <w:rPr>
          <w:rFonts w:hint="eastAsia"/>
        </w:rPr>
        <w:t>iltration</w:t>
      </w:r>
      <w:r w:rsidRPr="007F605F">
        <w:t xml:space="preserve">, </w:t>
      </w:r>
      <w:r>
        <w:t>a</w:t>
      </w:r>
      <w:r w:rsidRPr="007F605F">
        <w:rPr>
          <w:rFonts w:hint="eastAsia"/>
        </w:rPr>
        <w:t xml:space="preserve">septic </w:t>
      </w:r>
      <w:r>
        <w:t>f</w:t>
      </w:r>
      <w:r w:rsidRPr="007F605F">
        <w:t xml:space="preserve">illing, </w:t>
      </w:r>
      <w:r w:rsidR="00383063">
        <w:t>l</w:t>
      </w:r>
      <w:r w:rsidR="00383063" w:rsidRPr="007F605F">
        <w:t>yophili</w:t>
      </w:r>
      <w:r w:rsidR="00383063">
        <w:t>s</w:t>
      </w:r>
      <w:r w:rsidR="00383063" w:rsidRPr="007F605F">
        <w:t>ation</w:t>
      </w:r>
      <w:r w:rsidRPr="007F605F">
        <w:t xml:space="preserve">, </w:t>
      </w:r>
      <w:r>
        <w:t>c</w:t>
      </w:r>
      <w:r w:rsidRPr="007F605F">
        <w:rPr>
          <w:rFonts w:hint="eastAsia"/>
        </w:rPr>
        <w:t>apping</w:t>
      </w:r>
      <w:r w:rsidRPr="007F605F">
        <w:t xml:space="preserve">, </w:t>
      </w:r>
      <w:r>
        <w:t>e</w:t>
      </w:r>
      <w:r w:rsidRPr="007F605F">
        <w:rPr>
          <w:rFonts w:hint="eastAsia"/>
        </w:rPr>
        <w:t xml:space="preserve">xternal </w:t>
      </w:r>
      <w:r>
        <w:t>v</w:t>
      </w:r>
      <w:r w:rsidRPr="007F605F">
        <w:rPr>
          <w:rFonts w:hint="eastAsia"/>
        </w:rPr>
        <w:t xml:space="preserve">ial </w:t>
      </w:r>
      <w:r>
        <w:t>w</w:t>
      </w:r>
      <w:r w:rsidRPr="007F605F">
        <w:rPr>
          <w:rFonts w:hint="eastAsia"/>
        </w:rPr>
        <w:t>as</w:t>
      </w:r>
      <w:r>
        <w:t>h</w:t>
      </w:r>
      <w:r w:rsidRPr="007F605F">
        <w:t xml:space="preserve">, </w:t>
      </w:r>
      <w:r>
        <w:t>v</w:t>
      </w:r>
      <w:r w:rsidRPr="007F605F">
        <w:rPr>
          <w:rFonts w:hint="eastAsia"/>
        </w:rPr>
        <w:t xml:space="preserve">isual </w:t>
      </w:r>
      <w:proofErr w:type="gramStart"/>
      <w:r>
        <w:t>i</w:t>
      </w:r>
      <w:r w:rsidRPr="007F605F">
        <w:rPr>
          <w:rFonts w:hint="eastAsia"/>
        </w:rPr>
        <w:t>nspection</w:t>
      </w:r>
      <w:proofErr w:type="gramEnd"/>
      <w:r w:rsidRPr="007F605F">
        <w:t xml:space="preserve"> and </w:t>
      </w:r>
      <w:r>
        <w:t>b</w:t>
      </w:r>
      <w:r w:rsidRPr="007F605F">
        <w:rPr>
          <w:rFonts w:hint="eastAsia"/>
        </w:rPr>
        <w:t>ulk vial packaging</w:t>
      </w:r>
      <w:r w:rsidRPr="007F605F">
        <w:t>.</w:t>
      </w:r>
    </w:p>
    <w:p w14:paraId="303BFE05" w14:textId="57FF557F" w:rsidR="007F605F" w:rsidRPr="007F605F" w:rsidRDefault="007F605F" w:rsidP="007F605F">
      <w:r w:rsidRPr="007F605F">
        <w:t>The drug product materials undergo in process control testing and in process acceptance criteria testing. All manufacturing steps and analytical procedures are validated.</w:t>
      </w:r>
    </w:p>
    <w:p w14:paraId="088CDFA9" w14:textId="0AB91A44" w:rsidR="007F605F" w:rsidRPr="007F605F" w:rsidRDefault="007F605F" w:rsidP="007F605F">
      <w:r w:rsidRPr="007F605F">
        <w:t>The Padcev formulation includes histidine, histidine hydrochloride monohydrate, trehalose dihydrate, and polysorbate 20 as excipients.</w:t>
      </w:r>
    </w:p>
    <w:p w14:paraId="1F6D01B5" w14:textId="15F9FFA3" w:rsidR="007F605F" w:rsidRPr="007F605F" w:rsidRDefault="007F605F" w:rsidP="007F605F">
      <w:r w:rsidRPr="007F605F">
        <w:t xml:space="preserve">It is to be reconstituted in sterile water for injection and diluted into an </w:t>
      </w:r>
      <w:r>
        <w:t>intravenous</w:t>
      </w:r>
      <w:r w:rsidRPr="007F605F">
        <w:t xml:space="preserve"> infusion bag containing 5% dextrose injection, sterile 0.9% sodium chloride or sterile lactated Ringer’s injection. The final concentration of enfortumab vedotin is 0.3</w:t>
      </w:r>
      <w:r w:rsidR="00C02B18">
        <w:t xml:space="preserve"> to </w:t>
      </w:r>
      <w:r w:rsidRPr="007F605F">
        <w:t>4</w:t>
      </w:r>
      <w:r w:rsidR="00C02B18">
        <w:t> </w:t>
      </w:r>
      <w:r w:rsidRPr="007F605F">
        <w:t>mg/</w:t>
      </w:r>
      <w:proofErr w:type="spellStart"/>
      <w:r w:rsidRPr="007F605F">
        <w:t>mL.</w:t>
      </w:r>
      <w:proofErr w:type="spellEnd"/>
    </w:p>
    <w:p w14:paraId="4720D9E2" w14:textId="44F86D81" w:rsidR="007F605F" w:rsidRDefault="007F605F" w:rsidP="007F605F">
      <w:r w:rsidRPr="007F605F">
        <w:t>The recommended shelf</w:t>
      </w:r>
      <w:r w:rsidR="00C02B18">
        <w:t xml:space="preserve"> </w:t>
      </w:r>
      <w:r w:rsidRPr="007F605F">
        <w:t>life is 24 months when stored at 2</w:t>
      </w:r>
      <w:r w:rsidR="00C02B18">
        <w:t xml:space="preserve"> to </w:t>
      </w:r>
      <w:r w:rsidRPr="007F605F">
        <w:t>8</w:t>
      </w:r>
      <w:r w:rsidR="00C02B18">
        <w:t xml:space="preserve"> </w:t>
      </w:r>
      <w:r w:rsidRPr="007F605F">
        <w:t>°C. No temperature excursion was requested in the submission.</w:t>
      </w:r>
    </w:p>
    <w:p w14:paraId="098DC11D" w14:textId="1BB2F5D4" w:rsidR="006458DE" w:rsidRPr="007F605F" w:rsidRDefault="006458DE" w:rsidP="00A86337">
      <w:pPr>
        <w:pStyle w:val="Heading4"/>
      </w:pPr>
      <w:r>
        <w:t>Conclusion</w:t>
      </w:r>
    </w:p>
    <w:p w14:paraId="52537EDA" w14:textId="6B7ED7B8" w:rsidR="007F605F" w:rsidRPr="007F605F" w:rsidRDefault="007F605F" w:rsidP="007F605F">
      <w:r w:rsidRPr="007F605F">
        <w:t>The quality evaluat</w:t>
      </w:r>
      <w:r w:rsidR="006458DE">
        <w:t>ion</w:t>
      </w:r>
      <w:r w:rsidRPr="007F605F">
        <w:t xml:space="preserve"> did not recommend specific conditions of registration based on the primary and secondary evaluations but noted the following regarding laboratory testing and compliance with Certified Product Details (CPD):</w:t>
      </w:r>
    </w:p>
    <w:p w14:paraId="68366389" w14:textId="49B48150" w:rsidR="007F605F" w:rsidRPr="007F605F" w:rsidRDefault="007F605F" w:rsidP="00C02B18">
      <w:pPr>
        <w:pStyle w:val="ListBullet"/>
      </w:pPr>
      <w:r w:rsidRPr="007F605F">
        <w:t>All batches of P</w:t>
      </w:r>
      <w:r w:rsidR="003C589E">
        <w:t>adcev</w:t>
      </w:r>
      <w:r w:rsidRPr="007F605F">
        <w:t xml:space="preserve"> supplied in Australia must comply with the product details and specifications approved during evaluation and detailed in the Certified Product Details (CPD).</w:t>
      </w:r>
    </w:p>
    <w:p w14:paraId="09955FA8" w14:textId="20259A11" w:rsidR="007F605F" w:rsidRPr="007F605F" w:rsidRDefault="007F605F" w:rsidP="00C02B18">
      <w:pPr>
        <w:pStyle w:val="ListBullet"/>
      </w:pPr>
      <w:r w:rsidRPr="007F605F">
        <w:t xml:space="preserve">When requested by the TGA, the </w:t>
      </w:r>
      <w:r w:rsidR="006458DE">
        <w:t>s</w:t>
      </w:r>
      <w:r w:rsidRPr="007F605F">
        <w:t xml:space="preserve">ponsor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19" w:history="1">
        <w:r w:rsidR="00C02B18" w:rsidRPr="00BD4A9A">
          <w:rPr>
            <w:rStyle w:val="Hyperlink"/>
          </w:rPr>
          <w:t>http://www.tga.gov.au/ws-labs-index</w:t>
        </w:r>
      </w:hyperlink>
      <w:r w:rsidR="00C02B18">
        <w:t xml:space="preserve"> </w:t>
      </w:r>
      <w:r w:rsidRPr="007F605F">
        <w:t>and periodically in testing reports on the TGA website.</w:t>
      </w:r>
    </w:p>
    <w:p w14:paraId="6391A988" w14:textId="6BD24EDC" w:rsidR="008E7846" w:rsidRDefault="008E7846" w:rsidP="00383063">
      <w:pPr>
        <w:pStyle w:val="Heading3"/>
      </w:pPr>
      <w:bookmarkStart w:id="34" w:name="_Toc314842512"/>
      <w:bookmarkStart w:id="35" w:name="_Toc128492522"/>
      <w:r>
        <w:t>Nonclinical</w:t>
      </w:r>
      <w:bookmarkEnd w:id="34"/>
      <w:bookmarkEnd w:id="35"/>
    </w:p>
    <w:p w14:paraId="2001DD35" w14:textId="77777777" w:rsidR="00C02B18" w:rsidRPr="00C02B18" w:rsidRDefault="00C02B18" w:rsidP="00C02B18">
      <w:r w:rsidRPr="00C02B18">
        <w:t>The nonclinical evaluator had no objections on nonclinical grounds to the registration of enfortumab vedotin for the proposed indications.</w:t>
      </w:r>
    </w:p>
    <w:p w14:paraId="670A4BD1" w14:textId="08C8C6F7" w:rsidR="00C02B18" w:rsidRPr="00C02B18" w:rsidRDefault="00C02B18" w:rsidP="00C02B18">
      <w:r>
        <w:t>A</w:t>
      </w:r>
      <w:r w:rsidRPr="00C02B18">
        <w:t>n adequate set of studies</w:t>
      </w:r>
      <w:r>
        <w:t xml:space="preserve"> were</w:t>
      </w:r>
      <w:r w:rsidRPr="00C02B18">
        <w:t xml:space="preserve"> conducted in general accordance with the relevant guidelines for the nonclinical assessment of anticancer pharmaceuticals and biological m</w:t>
      </w:r>
      <w:r w:rsidRPr="00206935">
        <w:t>edicines (ICH S9 and ICH S6 (R1)</w:t>
      </w:r>
      <w:r w:rsidR="001E4519">
        <w:t>;</w:t>
      </w:r>
      <w:r w:rsidR="001E4BB8" w:rsidRPr="00206935">
        <w:rPr>
          <w:rStyle w:val="FootnoteReference"/>
        </w:rPr>
        <w:footnoteReference w:id="9"/>
      </w:r>
      <w:r w:rsidR="001E4BB8" w:rsidRPr="00206935">
        <w:rPr>
          <w:vertAlign w:val="superscript"/>
        </w:rPr>
        <w:t>,</w:t>
      </w:r>
      <w:r w:rsidR="001E4BB8" w:rsidRPr="00206935">
        <w:rPr>
          <w:rStyle w:val="FootnoteReference"/>
        </w:rPr>
        <w:footnoteReference w:id="10"/>
      </w:r>
      <w:r w:rsidRPr="00206935">
        <w:t>).</w:t>
      </w:r>
    </w:p>
    <w:p w14:paraId="110B91A8" w14:textId="1985964C" w:rsidR="00C02B18" w:rsidRPr="00C02B18" w:rsidRDefault="00C02B18" w:rsidP="00C02B18">
      <w:r w:rsidRPr="00C02B18">
        <w:t xml:space="preserve">The </w:t>
      </w:r>
      <w:r w:rsidR="00A71146">
        <w:t>s</w:t>
      </w:r>
      <w:r w:rsidRPr="00C02B18">
        <w:t xml:space="preserve">ponsor conducted most nonclinical studies with an </w:t>
      </w:r>
      <w:r w:rsidR="00A71146" w:rsidRPr="00A71146">
        <w:t>antibody-drug conjugate</w:t>
      </w:r>
      <w:r w:rsidRPr="00C02B18">
        <w:t xml:space="preserve"> produced from an earlier manufacturing process. Based on epitope binding, MMAE</w:t>
      </w:r>
      <w:r>
        <w:t xml:space="preserve"> to </w:t>
      </w:r>
      <w:r w:rsidRPr="00C02B18">
        <w:t>antibody ratio, binding affinity, anti</w:t>
      </w:r>
      <w:r>
        <w:t>-</w:t>
      </w:r>
      <w:r w:rsidRPr="00C02B18">
        <w:t xml:space="preserve">tumour efficacy and pharmacokinetic parameters, this </w:t>
      </w:r>
      <w:r w:rsidR="00A71146" w:rsidRPr="009E668B">
        <w:t>antibody-drug conjugate</w:t>
      </w:r>
      <w:r w:rsidRPr="00C02B18">
        <w:t xml:space="preserve"> was considered acceptable as a surrogate for safety assessments.</w:t>
      </w:r>
    </w:p>
    <w:p w14:paraId="03DFA6C3" w14:textId="6C36A1F3" w:rsidR="00C02B18" w:rsidRPr="00C02B18" w:rsidRDefault="00C02B18" w:rsidP="00C02B18">
      <w:r w:rsidRPr="00C02B18">
        <w:rPr>
          <w:i/>
          <w:iCs/>
        </w:rPr>
        <w:t>In vitro</w:t>
      </w:r>
      <w:r w:rsidRPr="00C02B18">
        <w:t xml:space="preserve"> enfortumab vedotin bound to human Nectin-4 (but not Nectin</w:t>
      </w:r>
      <w:r w:rsidR="001E4BB8">
        <w:t>-</w:t>
      </w:r>
      <w:r w:rsidRPr="00C02B18">
        <w:t>1, 2 or 3) and induced cytotoxicity at clinically</w:t>
      </w:r>
      <w:r>
        <w:t xml:space="preserve"> </w:t>
      </w:r>
      <w:r w:rsidRPr="00C02B18">
        <w:t xml:space="preserve">relevant concentrations. Cytotoxicity was dependent on the presence of Nectin-4 on target cells and MMAE on the </w:t>
      </w:r>
      <w:r w:rsidR="00A71146" w:rsidRPr="009E668B">
        <w:t>antibody-drug conjugate</w:t>
      </w:r>
      <w:r w:rsidRPr="00C02B18">
        <w:t xml:space="preserve">. </w:t>
      </w:r>
      <w:r w:rsidRPr="00C02B18">
        <w:lastRenderedPageBreak/>
        <w:t>Antibody</w:t>
      </w:r>
      <w:r>
        <w:t xml:space="preserve"> </w:t>
      </w:r>
      <w:r w:rsidRPr="00C02B18">
        <w:t>dependent cell mediated cytotoxicity, antibody</w:t>
      </w:r>
      <w:r w:rsidR="00A71146">
        <w:t xml:space="preserve"> </w:t>
      </w:r>
      <w:r w:rsidRPr="00C02B18">
        <w:t>dependent cellular phagocytosis and complement</w:t>
      </w:r>
      <w:r w:rsidR="00A71146">
        <w:t xml:space="preserve"> </w:t>
      </w:r>
      <w:r w:rsidRPr="00C02B18">
        <w:t>dependent cytotoxicity are expected to have little to no role in the efficacy of enfortumab vedotin. Based on binding affinity and cytotoxicity, rats and monkeys are considered acceptable species, from a pharmacological perspective, to be used in the toxicity studies. Significant anti-tumour activity was seen in mice bearing human Nectin-4 positive bladder or breast xenografts. These studies offer support for efficacy for the proposed indication.</w:t>
      </w:r>
    </w:p>
    <w:p w14:paraId="360D3A51" w14:textId="1B7EC7F1" w:rsidR="00C02B18" w:rsidRPr="00C02B18" w:rsidRDefault="00C02B18" w:rsidP="00C02B18">
      <w:r w:rsidRPr="00C02B18">
        <w:t>No adverse effects on the cardiovascular, respiratory, and central nervous systems are predicted during clinical use, based on the available nonclinical data.</w:t>
      </w:r>
    </w:p>
    <w:p w14:paraId="34830719" w14:textId="72D03573" w:rsidR="00C02B18" w:rsidRPr="00C02B18" w:rsidRDefault="00C02B18" w:rsidP="00C02B18">
      <w:r w:rsidRPr="00C02B18">
        <w:t xml:space="preserve">Following </w:t>
      </w:r>
      <w:r w:rsidR="00A71146">
        <w:t>intravenous</w:t>
      </w:r>
      <w:r w:rsidRPr="00C02B18">
        <w:t xml:space="preserve"> administration, the elimination half-life of enfortumab vedotin was long. The clearance of MMAE was affected by its rate of release from enfortumab vedotin. Lower exposures were seen in rats and monkeys in which anti-drug antibodies had been induced. Plasma protein binding by MMAE was moderate in rats and humans and low in monkeys. After cleavage from enfortumab vedotin, MMAE undergoes only limited metabolism, which is predominantly catalysed by</w:t>
      </w:r>
      <w:r w:rsidR="00A71146">
        <w:t xml:space="preserve"> </w:t>
      </w:r>
      <w:r w:rsidR="00A71146" w:rsidRPr="00A71146">
        <w:t>cytochrome P450 isoenzyme 3A4</w:t>
      </w:r>
      <w:r w:rsidRPr="00C02B18">
        <w:t xml:space="preserve"> </w:t>
      </w:r>
      <w:r w:rsidR="00A71146">
        <w:t>(</w:t>
      </w:r>
      <w:r w:rsidRPr="00C02B18">
        <w:t>CYP3A4</w:t>
      </w:r>
      <w:r w:rsidR="00A71146">
        <w:t>)</w:t>
      </w:r>
      <w:r w:rsidRPr="00C02B18">
        <w:t>.</w:t>
      </w:r>
      <w:bookmarkStart w:id="36" w:name="_Ref127860669"/>
      <w:r w:rsidR="00383063">
        <w:rPr>
          <w:rStyle w:val="FootnoteReference"/>
        </w:rPr>
        <w:footnoteReference w:id="11"/>
      </w:r>
      <w:bookmarkEnd w:id="36"/>
      <w:r w:rsidRPr="00C02B18">
        <w:t xml:space="preserve"> Biliary/faecal excretion was the major excretion route of MMAE</w:t>
      </w:r>
      <w:r w:rsidR="00A71146">
        <w:t xml:space="preserve"> </w:t>
      </w:r>
      <w:r w:rsidRPr="00C02B18">
        <w:t>related material in rats and humans.</w:t>
      </w:r>
    </w:p>
    <w:p w14:paraId="21B42379" w14:textId="02A59D2A" w:rsidR="00C02B18" w:rsidRPr="00C02B18" w:rsidRDefault="00C02B18" w:rsidP="00C02B18">
      <w:r w:rsidRPr="00C02B18">
        <w:t xml:space="preserve">Based on </w:t>
      </w:r>
      <w:r w:rsidRPr="00A71146">
        <w:rPr>
          <w:i/>
          <w:iCs/>
        </w:rPr>
        <w:t>in vitro</w:t>
      </w:r>
      <w:r w:rsidRPr="00C02B18">
        <w:t xml:space="preserve"> studies, MMAE released from enfortumab vedotin is not predicted to alter the pharmacokinetics of co</w:t>
      </w:r>
      <w:r w:rsidR="001E4519">
        <w:t>-</w:t>
      </w:r>
      <w:r w:rsidRPr="00C02B18">
        <w:t>administered drugs through interactions with</w:t>
      </w:r>
      <w:r w:rsidR="00A71146" w:rsidRPr="00A71146">
        <w:t xml:space="preserve"> </w:t>
      </w:r>
      <w:r w:rsidR="003D227B">
        <w:t>c</w:t>
      </w:r>
      <w:r w:rsidR="00A71146" w:rsidRPr="00A71146">
        <w:t>ytochrome P450</w:t>
      </w:r>
      <w:r w:rsidRPr="00C02B18">
        <w:t xml:space="preserve"> enzymes or by inhibition of transporters. MMAE is a P</w:t>
      </w:r>
      <w:r w:rsidR="00A71146">
        <w:noBreakHyphen/>
      </w:r>
      <w:r w:rsidRPr="00C02B18">
        <w:t xml:space="preserve">glycoprotein substrate but is not an </w:t>
      </w:r>
      <w:r w:rsidRPr="00A71146">
        <w:rPr>
          <w:i/>
          <w:iCs/>
        </w:rPr>
        <w:t>in vitro</w:t>
      </w:r>
      <w:r w:rsidRPr="00C02B18">
        <w:t xml:space="preserve"> substrate for </w:t>
      </w:r>
      <w:r w:rsidR="00A71146">
        <w:t>b</w:t>
      </w:r>
      <w:r w:rsidR="00A71146" w:rsidRPr="00A71146">
        <w:t>reast cancer resistance protein</w:t>
      </w:r>
      <w:r w:rsidRPr="00C02B18">
        <w:t xml:space="preserve">, </w:t>
      </w:r>
      <w:r w:rsidR="00A71146">
        <w:t>m</w:t>
      </w:r>
      <w:r w:rsidR="00A71146" w:rsidRPr="00A71146">
        <w:t>ultidrug resistance</w:t>
      </w:r>
      <w:r w:rsidR="001E4519">
        <w:t xml:space="preserve"> </w:t>
      </w:r>
      <w:r w:rsidR="00A71146" w:rsidRPr="00A71146">
        <w:t>associated protein 2</w:t>
      </w:r>
      <w:r w:rsidRPr="00C02B18">
        <w:t xml:space="preserve">, </w:t>
      </w:r>
      <w:r w:rsidR="003D227B" w:rsidRPr="003D227B">
        <w:t>organic anion transporter family member 1B1</w:t>
      </w:r>
      <w:r w:rsidRPr="00C02B18">
        <w:t xml:space="preserve">, </w:t>
      </w:r>
      <w:r w:rsidR="003D227B" w:rsidRPr="003D227B">
        <w:t xml:space="preserve">organic anion transporter family member </w:t>
      </w:r>
      <w:r w:rsidRPr="00C02B18">
        <w:t xml:space="preserve">1B3, </w:t>
      </w:r>
      <w:r w:rsidR="003D227B">
        <w:t>o</w:t>
      </w:r>
      <w:r w:rsidR="003D227B" w:rsidRPr="003D227B">
        <w:t>rganic cation transporter</w:t>
      </w:r>
      <w:r w:rsidR="003D227B">
        <w:t xml:space="preserve"> 2</w:t>
      </w:r>
      <w:r w:rsidRPr="00C02B18">
        <w:t xml:space="preserve">, </w:t>
      </w:r>
      <w:r w:rsidR="003D227B">
        <w:t>o</w:t>
      </w:r>
      <w:r w:rsidR="003D227B" w:rsidRPr="003D227B">
        <w:t>rganic anion transporter</w:t>
      </w:r>
      <w:r w:rsidR="003D227B">
        <w:t xml:space="preserve"> </w:t>
      </w:r>
      <w:r w:rsidRPr="00C02B18">
        <w:t xml:space="preserve">1 or </w:t>
      </w:r>
      <w:r w:rsidR="003D227B">
        <w:t>o</w:t>
      </w:r>
      <w:r w:rsidR="003D227B" w:rsidRPr="003D227B">
        <w:t>rganic anion transporter</w:t>
      </w:r>
      <w:r w:rsidR="003D227B">
        <w:t xml:space="preserve"> </w:t>
      </w:r>
      <w:r w:rsidRPr="00C02B18">
        <w:t>3. Inhibitors or inducers of CYP3A4/5 and/or P</w:t>
      </w:r>
      <w:r w:rsidR="00A71146">
        <w:noBreakHyphen/>
      </w:r>
      <w:r w:rsidRPr="00C02B18">
        <w:t xml:space="preserve">glycoprotein may affect MMAE plasma exposure and P-glycoprotein inhibitors may increase the potential for adverse </w:t>
      </w:r>
      <w:r w:rsidR="00A71146">
        <w:t>central nervous system</w:t>
      </w:r>
      <w:r w:rsidRPr="00C02B18">
        <w:t xml:space="preserve"> effects.</w:t>
      </w:r>
    </w:p>
    <w:p w14:paraId="16C1A72F" w14:textId="389F8393" w:rsidR="00C02B18" w:rsidRPr="00C02B18" w:rsidRDefault="00C02B18" w:rsidP="00C02B18">
      <w:r w:rsidRPr="00C02B18">
        <w:t>Repeat</w:t>
      </w:r>
      <w:r w:rsidR="003D227B">
        <w:t xml:space="preserve"> </w:t>
      </w:r>
      <w:r w:rsidRPr="00C02B18">
        <w:t>dose toxicity studies with enfortumab vedotin were examined in rats (up to 13</w:t>
      </w:r>
      <w:r w:rsidR="000652EB">
        <w:t> </w:t>
      </w:r>
      <w:r w:rsidRPr="00C02B18">
        <w:t xml:space="preserve">weeks) and cynomolgus monkeys (4 weeks). As exposures to MMAE in rats and monkeys receiving enfortumab vedotin were significantly lower than those expected in patients, the toxicity of MMAE alone was also examined in monkeys. The major target organs for MMAE were </w:t>
      </w:r>
      <w:proofErr w:type="gramStart"/>
      <w:r w:rsidRPr="00C02B18">
        <w:t>similar to</w:t>
      </w:r>
      <w:proofErr w:type="gramEnd"/>
      <w:r w:rsidRPr="00C02B18">
        <w:t xml:space="preserve"> currently</w:t>
      </w:r>
      <w:r w:rsidR="003D227B">
        <w:t xml:space="preserve"> </w:t>
      </w:r>
      <w:r w:rsidRPr="00C02B18">
        <w:t>registered tubulin</w:t>
      </w:r>
      <w:r w:rsidR="003D227B">
        <w:t xml:space="preserve"> </w:t>
      </w:r>
      <w:r w:rsidRPr="00C02B18">
        <w:t xml:space="preserve">acting cytotoxic compounds and included the liver, bone marrow (hypocellularity with consequential effects on most blood cell types), male reproductive organs (seminiferous tubular degeneration and necrosis with </w:t>
      </w:r>
      <w:proofErr w:type="spellStart"/>
      <w:r w:rsidRPr="00C02B18">
        <w:t>hypospermia</w:t>
      </w:r>
      <w:proofErr w:type="spellEnd"/>
      <w:r w:rsidRPr="00C02B18">
        <w:t xml:space="preserve">) and gastrointestinal tract. The toxicity profile of enfortumab vedotin in both rats and monkeys was </w:t>
      </w:r>
      <w:proofErr w:type="gramStart"/>
      <w:r w:rsidRPr="00C02B18">
        <w:t>similar to</w:t>
      </w:r>
      <w:proofErr w:type="gramEnd"/>
      <w:r w:rsidRPr="00C02B18">
        <w:t xml:space="preserve"> that for MMAE, but with lower severity, given the lower exposure margins. As these effects occurred at subclinical exposures to MMAE, the findings should be considered as clinically relevant. Pharmacological effects with enfortumab vedotin included skin reactions (scabs, abrasions and/or dry reddened skin, cell necrosis and increased/altered mitosis of epithelial cells), likely due to tissue cross reactivity as Nectin-4 is expressed in the skin. Skin erosion, ulceration, epidermal acanthosis, and subcutaneous mononuclear cell infiltrates were considered secondary to the pharmacological effect of MMAE.</w:t>
      </w:r>
    </w:p>
    <w:p w14:paraId="1E3781D4" w14:textId="13A528AA" w:rsidR="00C02B18" w:rsidRPr="00C02B18" w:rsidRDefault="00C02B18" w:rsidP="00C02B18">
      <w:r w:rsidRPr="00C02B18">
        <w:lastRenderedPageBreak/>
        <w:t xml:space="preserve">MMAE was not mutagenic in the bacterial mutation assay and the forward mutation assay in mouse lymphoma cells. However, MMAE induced bone marrow toxicity and an increase in </w:t>
      </w:r>
      <w:proofErr w:type="spellStart"/>
      <w:r w:rsidRPr="00C02B18">
        <w:t>micronucleated</w:t>
      </w:r>
      <w:proofErr w:type="spellEnd"/>
      <w:r w:rsidRPr="00C02B18">
        <w:t xml:space="preserve"> polychromatic erythrocytes was observed in rats. An </w:t>
      </w:r>
      <w:proofErr w:type="spellStart"/>
      <w:r w:rsidRPr="00C02B18">
        <w:t>aneugenic</w:t>
      </w:r>
      <w:proofErr w:type="spellEnd"/>
      <w:r w:rsidRPr="00C02B18">
        <w:t xml:space="preserve"> mode of action was suggested, which is typical for a tubulin</w:t>
      </w:r>
      <w:r w:rsidR="003D227B">
        <w:t xml:space="preserve"> </w:t>
      </w:r>
      <w:r w:rsidRPr="00C02B18">
        <w:t>acting compound. Parts of the linker are known genotoxins. No carcinogenicity studies were conducted, which is considered acceptable.</w:t>
      </w:r>
    </w:p>
    <w:p w14:paraId="527C6DFE" w14:textId="59DE820A" w:rsidR="00C02B18" w:rsidRPr="00C02B18" w:rsidRDefault="00C02B18" w:rsidP="00C02B18">
      <w:r w:rsidRPr="00C02B18">
        <w:t xml:space="preserve">Studies on reproductive toxicity were restricted to effects of enfortumab vedotin (pilot) and MMAE (pivotal) on embryofetal developmental in rats. Maximum exposures achieved were below the clinical exposure to MMAE in the pivotal study. Embryofetal lethality (increased incidence of resorptions, pre- and post-implantation loss) and </w:t>
      </w:r>
      <w:proofErr w:type="spellStart"/>
      <w:r w:rsidRPr="00C02B18">
        <w:t>fetal</w:t>
      </w:r>
      <w:proofErr w:type="spellEnd"/>
      <w:r w:rsidRPr="00C02B18">
        <w:t xml:space="preserve"> malformations (</w:t>
      </w:r>
      <w:proofErr w:type="spellStart"/>
      <w:r w:rsidRPr="00C02B18">
        <w:t>malrotated</w:t>
      </w:r>
      <w:proofErr w:type="spellEnd"/>
      <w:r w:rsidRPr="00C02B18">
        <w:t xml:space="preserve"> limbs, gastroschisis and agnathia) were observed in both studies. The testicular lesions and </w:t>
      </w:r>
      <w:proofErr w:type="spellStart"/>
      <w:r w:rsidRPr="00C02B18">
        <w:t>aneugenic</w:t>
      </w:r>
      <w:proofErr w:type="spellEnd"/>
      <w:r w:rsidRPr="00C02B18">
        <w:t xml:space="preserve"> activity of MMAE suggest that enfortumab vedotin may have adverse effects on fertility (both males and females).</w:t>
      </w:r>
    </w:p>
    <w:p w14:paraId="0A948A29" w14:textId="75A11A42" w:rsidR="00C02B18" w:rsidRPr="00C02B18" w:rsidRDefault="00C02B18" w:rsidP="00C02B18">
      <w:r w:rsidRPr="00C02B18">
        <w:t>The pharmacology studies support the proposed indication for enfortumab vedotin to treat patients with locally advanced or metastatic urothelial cancer. The studies also support the proposed clinical dose.</w:t>
      </w:r>
    </w:p>
    <w:p w14:paraId="7F84F50C" w14:textId="6C4C7F32" w:rsidR="00C02B18" w:rsidRPr="00C02B18" w:rsidRDefault="00C02B18" w:rsidP="00C02B18">
      <w:r w:rsidRPr="00C02B18">
        <w:t>Inhibitors</w:t>
      </w:r>
      <w:r w:rsidR="00066EBB">
        <w:t xml:space="preserve"> or </w:t>
      </w:r>
      <w:r w:rsidRPr="00C02B18">
        <w:t>inducers of CYP3A4 or P-glycoprotein are likely to alter the plasma kinetics of MMAE, thereby affecting the safety and efficacy profile of the drug.</w:t>
      </w:r>
    </w:p>
    <w:p w14:paraId="2AB9C95E" w14:textId="0E3FB764" w:rsidR="00C02B18" w:rsidRPr="00C02B18" w:rsidRDefault="00C02B18" w:rsidP="00C02B18">
      <w:r w:rsidRPr="00C02B18">
        <w:t>The toxicity findings with enfortumab vedotin can mostly be attributed to MMAE and are typical for those seen with tubulin</w:t>
      </w:r>
      <w:r w:rsidR="00066EBB">
        <w:t xml:space="preserve"> </w:t>
      </w:r>
      <w:r w:rsidRPr="00C02B18">
        <w:t>acting agents. Notable findings of clinical relevance in the toxicity studies include:</w:t>
      </w:r>
    </w:p>
    <w:p w14:paraId="346EE64D" w14:textId="3E70D29F" w:rsidR="00C02B18" w:rsidRPr="00C02B18" w:rsidRDefault="00C02B18" w:rsidP="00066EBB">
      <w:pPr>
        <w:pStyle w:val="ListBullet"/>
      </w:pPr>
      <w:r w:rsidRPr="00C02B18">
        <w:t xml:space="preserve">Reversible myelotoxicity with secondary haematological effects (both anaemia and </w:t>
      </w:r>
      <w:proofErr w:type="spellStart"/>
      <w:r w:rsidRPr="00C02B18">
        <w:t>leukopaenia</w:t>
      </w:r>
      <w:proofErr w:type="spellEnd"/>
      <w:r w:rsidRPr="00C02B18">
        <w:t>) associated with MMAE toxicity, indicating a risk for opportunistic infections</w:t>
      </w:r>
      <w:r w:rsidR="00066EBB">
        <w:t>.</w:t>
      </w:r>
    </w:p>
    <w:p w14:paraId="1D85F8EF" w14:textId="22B2FB97" w:rsidR="00C02B18" w:rsidRPr="00C02B18" w:rsidRDefault="00C02B18" w:rsidP="00066EBB">
      <w:pPr>
        <w:pStyle w:val="ListBullet"/>
      </w:pPr>
      <w:r w:rsidRPr="00C02B18">
        <w:t>Gastrointestinal disturbances (diarrh</w:t>
      </w:r>
      <w:r w:rsidR="000652EB">
        <w:t>o</w:t>
      </w:r>
      <w:r w:rsidRPr="00C02B18">
        <w:t>ea, vomiting and nausea)</w:t>
      </w:r>
      <w:r w:rsidR="00066EBB">
        <w:t>.</w:t>
      </w:r>
    </w:p>
    <w:p w14:paraId="37AB9DF3" w14:textId="1D208756" w:rsidR="00C02B18" w:rsidRPr="00C02B18" w:rsidRDefault="00C02B18" w:rsidP="00066EBB">
      <w:pPr>
        <w:pStyle w:val="ListBullet"/>
      </w:pPr>
      <w:r w:rsidRPr="00C02B18">
        <w:t xml:space="preserve">Reduced male fertility and effects on the testes, which was not completely reversible after a </w:t>
      </w:r>
      <w:proofErr w:type="gramStart"/>
      <w:r w:rsidRPr="00C02B18">
        <w:t>24</w:t>
      </w:r>
      <w:r w:rsidR="00066EBB">
        <w:t xml:space="preserve"> </w:t>
      </w:r>
      <w:r w:rsidRPr="00C02B18">
        <w:t>week</w:t>
      </w:r>
      <w:proofErr w:type="gramEnd"/>
      <w:r w:rsidRPr="00C02B18">
        <w:t xml:space="preserve"> treatment</w:t>
      </w:r>
      <w:r w:rsidR="00066EBB">
        <w:t xml:space="preserve"> </w:t>
      </w:r>
      <w:r w:rsidRPr="00C02B18">
        <w:t>free period in rats</w:t>
      </w:r>
      <w:r w:rsidR="00066EBB">
        <w:t>.</w:t>
      </w:r>
    </w:p>
    <w:p w14:paraId="4DD744CC" w14:textId="50A060AF" w:rsidR="00C02B18" w:rsidRPr="00C02B18" w:rsidRDefault="00C02B18" w:rsidP="00066EBB">
      <w:pPr>
        <w:pStyle w:val="ListBullet"/>
      </w:pPr>
      <w:r w:rsidRPr="00C02B18">
        <w:t>Reversible hepatotoxicity</w:t>
      </w:r>
      <w:r w:rsidR="00066EBB">
        <w:t>.</w:t>
      </w:r>
    </w:p>
    <w:p w14:paraId="567737ED" w14:textId="697DA3C6" w:rsidR="00C02B18" w:rsidRPr="00C02B18" w:rsidRDefault="00C02B18" w:rsidP="00066EBB">
      <w:pPr>
        <w:pStyle w:val="ListBullet"/>
      </w:pPr>
      <w:r w:rsidRPr="00C02B18">
        <w:t>Embryofetal lethality and fetotoxicity</w:t>
      </w:r>
      <w:r w:rsidR="00066EBB">
        <w:t>.</w:t>
      </w:r>
    </w:p>
    <w:p w14:paraId="36A95591" w14:textId="4F43A8DE" w:rsidR="00C02B18" w:rsidRPr="00C02B18" w:rsidRDefault="00C02B18" w:rsidP="00066EBB">
      <w:pPr>
        <w:pStyle w:val="ListBullet"/>
      </w:pPr>
      <w:r w:rsidRPr="00C02B18">
        <w:t>Reversible skin reactions</w:t>
      </w:r>
      <w:r w:rsidR="00066EBB">
        <w:t>.</w:t>
      </w:r>
    </w:p>
    <w:p w14:paraId="7E2847FA" w14:textId="15BED870" w:rsidR="00C02B18" w:rsidRDefault="00C02B18" w:rsidP="00C02B18">
      <w:r w:rsidRPr="00C02B18">
        <w:t xml:space="preserve">Given the effects on the testes, the </w:t>
      </w:r>
      <w:proofErr w:type="spellStart"/>
      <w:r w:rsidRPr="00C02B18">
        <w:t>aneugenic</w:t>
      </w:r>
      <w:proofErr w:type="spellEnd"/>
      <w:r w:rsidRPr="00C02B18">
        <w:t xml:space="preserve"> properties of MMAE and the adverse embryofetal effects, together with the long half-life of enfortumab vedotin, a washout period of at least 6 months would be recommended before patients consider becoming pregnant.</w:t>
      </w:r>
    </w:p>
    <w:p w14:paraId="21282443" w14:textId="77777777" w:rsidR="008E7846" w:rsidRDefault="008E7846" w:rsidP="008E7846">
      <w:pPr>
        <w:pStyle w:val="Heading3"/>
      </w:pPr>
      <w:bookmarkStart w:id="37" w:name="_Toc247691530"/>
      <w:bookmarkStart w:id="38" w:name="_Toc314842513"/>
      <w:bookmarkStart w:id="39" w:name="_Toc128492523"/>
      <w:r>
        <w:t>Clinical</w:t>
      </w:r>
      <w:bookmarkEnd w:id="37"/>
      <w:bookmarkEnd w:id="38"/>
      <w:bookmarkEnd w:id="39"/>
    </w:p>
    <w:p w14:paraId="5BE815D3" w14:textId="77777777" w:rsidR="0074163C" w:rsidRDefault="0074163C" w:rsidP="0074163C">
      <w:pPr>
        <w:pStyle w:val="Heading4"/>
      </w:pPr>
      <w:bookmarkStart w:id="40" w:name="_Toc98931928"/>
      <w:r>
        <w:t>Summary of clinical studies</w:t>
      </w:r>
      <w:bookmarkEnd w:id="40"/>
    </w:p>
    <w:p w14:paraId="719A3656" w14:textId="77777777" w:rsidR="0074163C" w:rsidRDefault="0074163C" w:rsidP="0074163C">
      <w:r>
        <w:t>The clinical dossier consisted of</w:t>
      </w:r>
      <w:r w:rsidR="00EB36D6">
        <w:t>:</w:t>
      </w:r>
    </w:p>
    <w:p w14:paraId="442376A8" w14:textId="56A055E5" w:rsidR="0074163C" w:rsidRDefault="007251A9" w:rsidP="0074163C">
      <w:pPr>
        <w:pStyle w:val="ListBullet"/>
      </w:pPr>
      <w:r>
        <w:t xml:space="preserve">Three </w:t>
      </w:r>
      <w:r w:rsidR="0074163C">
        <w:t xml:space="preserve">Phase I </w:t>
      </w:r>
      <w:r>
        <w:t xml:space="preserve">safety and pharmacokinetic </w:t>
      </w:r>
      <w:r w:rsidR="0074163C">
        <w:t>studies</w:t>
      </w:r>
      <w:r w:rsidR="000652EB">
        <w:t xml:space="preserve"> (</w:t>
      </w:r>
      <w:r w:rsidR="000652EB" w:rsidRPr="0078786A">
        <w:t>Stud</w:t>
      </w:r>
      <w:r w:rsidR="000652EB">
        <w:t>ies</w:t>
      </w:r>
      <w:r w:rsidR="000652EB" w:rsidRPr="0078786A">
        <w:t xml:space="preserve"> AGS-22M6E-11-1,</w:t>
      </w:r>
      <w:r w:rsidR="000652EB">
        <w:t xml:space="preserve"> </w:t>
      </w:r>
      <w:r w:rsidR="000652EB" w:rsidRPr="0078786A">
        <w:t>EV-101, EV-102</w:t>
      </w:r>
      <w:r w:rsidR="000652EB">
        <w:t>)</w:t>
      </w:r>
    </w:p>
    <w:p w14:paraId="1F8BD6C9" w14:textId="5A876F8C" w:rsidR="0074163C" w:rsidRDefault="007251A9" w:rsidP="0074163C">
      <w:pPr>
        <w:pStyle w:val="ListBullet"/>
      </w:pPr>
      <w:r>
        <w:t>One</w:t>
      </w:r>
      <w:r w:rsidR="0074163C">
        <w:t xml:space="preserve"> Phase II s</w:t>
      </w:r>
      <w:r>
        <w:t>tudy</w:t>
      </w:r>
      <w:r w:rsidR="008C37DF">
        <w:t xml:space="preserve"> (</w:t>
      </w:r>
      <w:r w:rsidR="000652EB">
        <w:t xml:space="preserve">Study </w:t>
      </w:r>
      <w:r>
        <w:t>EV-201</w:t>
      </w:r>
      <w:r w:rsidR="008C37DF">
        <w:t>)</w:t>
      </w:r>
    </w:p>
    <w:p w14:paraId="5D3C9DBD" w14:textId="18CF4333" w:rsidR="007251A9" w:rsidRDefault="007251A9" w:rsidP="0074163C">
      <w:pPr>
        <w:pStyle w:val="ListBullet"/>
      </w:pPr>
      <w:r>
        <w:t xml:space="preserve">One Phase III study </w:t>
      </w:r>
      <w:r w:rsidR="008C37DF">
        <w:t>(</w:t>
      </w:r>
      <w:r w:rsidR="000652EB">
        <w:t xml:space="preserve">Study </w:t>
      </w:r>
      <w:r>
        <w:t>EV-301</w:t>
      </w:r>
      <w:r w:rsidR="008C37DF">
        <w:t>)</w:t>
      </w:r>
    </w:p>
    <w:p w14:paraId="34E7AFB6" w14:textId="77819B89" w:rsidR="0078786A" w:rsidRDefault="0078786A" w:rsidP="0078786A">
      <w:pPr>
        <w:pStyle w:val="Heading4"/>
      </w:pPr>
      <w:r>
        <w:lastRenderedPageBreak/>
        <w:t>Pharmacology</w:t>
      </w:r>
    </w:p>
    <w:p w14:paraId="4238CE21" w14:textId="0C8F2987" w:rsidR="0078786A" w:rsidRDefault="0078786A" w:rsidP="0078786A">
      <w:pPr>
        <w:pStyle w:val="Heading5"/>
      </w:pPr>
      <w:r>
        <w:t>Pharmacokinetics</w:t>
      </w:r>
    </w:p>
    <w:p w14:paraId="7CECA737" w14:textId="7DC158E1" w:rsidR="0078786A" w:rsidRPr="0078786A" w:rsidRDefault="008C37DF" w:rsidP="0078786A">
      <w:r>
        <w:t>Studies</w:t>
      </w:r>
      <w:r w:rsidRPr="0078786A">
        <w:t xml:space="preserve"> </w:t>
      </w:r>
      <w:r w:rsidR="0078786A" w:rsidRPr="0078786A">
        <w:t>AGS-22M6E-11-1,</w:t>
      </w:r>
      <w:r w:rsidR="0078786A">
        <w:t xml:space="preserve"> </w:t>
      </w:r>
      <w:r w:rsidR="0078786A" w:rsidRPr="0078786A">
        <w:t>EV-101, EV-102, EV-20</w:t>
      </w:r>
      <w:r w:rsidR="0078786A">
        <w:t xml:space="preserve">1 and </w:t>
      </w:r>
      <w:r w:rsidR="0078786A" w:rsidRPr="0078786A">
        <w:t>EV-301 contributed data to the pharmacology analyses.</w:t>
      </w:r>
    </w:p>
    <w:p w14:paraId="1DD7DEB2" w14:textId="77777777" w:rsidR="0078786A" w:rsidRPr="0078786A" w:rsidRDefault="0078786A" w:rsidP="0078786A">
      <w:r w:rsidRPr="0078786A">
        <w:t>Key findings from the evaluation of pharmacokinetics include:</w:t>
      </w:r>
    </w:p>
    <w:p w14:paraId="7D8713EC" w14:textId="7280C64B" w:rsidR="0078786A" w:rsidRPr="0078786A" w:rsidRDefault="0078786A" w:rsidP="001C3F0C">
      <w:pPr>
        <w:pStyle w:val="ListBullet"/>
      </w:pPr>
      <w:r w:rsidRPr="0078786A">
        <w:t xml:space="preserve">Enfortumab vedotin is given by </w:t>
      </w:r>
      <w:r w:rsidR="006F27C6">
        <w:t>intravenous</w:t>
      </w:r>
      <w:r w:rsidRPr="0078786A">
        <w:t xml:space="preserve"> infusion.</w:t>
      </w:r>
    </w:p>
    <w:p w14:paraId="42144CF4" w14:textId="3636A7EE" w:rsidR="0078786A" w:rsidRPr="0078786A" w:rsidRDefault="0078786A" w:rsidP="001C3F0C">
      <w:pPr>
        <w:pStyle w:val="ListBullet"/>
      </w:pPr>
      <w:r w:rsidRPr="0078786A">
        <w:t xml:space="preserve">The </w:t>
      </w:r>
      <w:r w:rsidR="001C3F0C">
        <w:t xml:space="preserve">pharmacokinetics (PK) of enfortumab vedotin </w:t>
      </w:r>
      <w:r w:rsidRPr="0078786A">
        <w:t xml:space="preserve">was characterised by a </w:t>
      </w:r>
      <w:proofErr w:type="gramStart"/>
      <w:r w:rsidR="001C3F0C">
        <w:t xml:space="preserve">three </w:t>
      </w:r>
      <w:r w:rsidRPr="0078786A">
        <w:t>compartment</w:t>
      </w:r>
      <w:proofErr w:type="gramEnd"/>
      <w:r w:rsidRPr="0078786A">
        <w:t xml:space="preserve"> model with first</w:t>
      </w:r>
      <w:r w:rsidR="001C3F0C">
        <w:t xml:space="preserve"> </w:t>
      </w:r>
      <w:r w:rsidRPr="0078786A">
        <w:t xml:space="preserve">order elimination. The PK of free MMAE was characterised by a </w:t>
      </w:r>
      <w:proofErr w:type="gramStart"/>
      <w:r w:rsidR="001C3F0C">
        <w:t xml:space="preserve">two </w:t>
      </w:r>
      <w:r w:rsidRPr="0078786A">
        <w:t>compartment</w:t>
      </w:r>
      <w:proofErr w:type="gramEnd"/>
      <w:r w:rsidRPr="0078786A">
        <w:t xml:space="preserve"> model with first</w:t>
      </w:r>
      <w:r w:rsidR="001C3F0C">
        <w:t xml:space="preserve"> </w:t>
      </w:r>
      <w:r w:rsidRPr="0078786A">
        <w:t>order elimination and time</w:t>
      </w:r>
      <w:r w:rsidR="001C3F0C">
        <w:t xml:space="preserve"> </w:t>
      </w:r>
      <w:r w:rsidRPr="0078786A">
        <w:t xml:space="preserve">varying conversion rate from </w:t>
      </w:r>
      <w:r w:rsidR="001C3F0C">
        <w:t>enfortumab vedotin</w:t>
      </w:r>
      <w:r w:rsidRPr="0078786A">
        <w:t>.</w:t>
      </w:r>
    </w:p>
    <w:p w14:paraId="1FD90F2C" w14:textId="7D7BB03D" w:rsidR="0078786A" w:rsidRPr="0078786A" w:rsidRDefault="0078786A" w:rsidP="001C3F0C">
      <w:pPr>
        <w:pStyle w:val="ListBullet"/>
      </w:pPr>
      <w:r w:rsidRPr="0078786A">
        <w:t xml:space="preserve">Population </w:t>
      </w:r>
      <w:r w:rsidR="00542550">
        <w:t>PK</w:t>
      </w:r>
      <w:r w:rsidRPr="0078786A">
        <w:t xml:space="preserve"> analysis indicated that distribution of </w:t>
      </w:r>
      <w:r w:rsidR="001C3F0C">
        <w:t>enfortumab vedotin</w:t>
      </w:r>
      <w:r w:rsidRPr="0078786A">
        <w:t xml:space="preserve"> was limited to the central vascular compartment, with an elimination half-life of </w:t>
      </w:r>
      <w:r w:rsidR="00FE5094">
        <w:t xml:space="preserve">approximately </w:t>
      </w:r>
      <w:r w:rsidRPr="0078786A">
        <w:t>3.6</w:t>
      </w:r>
      <w:r w:rsidR="000652EB">
        <w:t> </w:t>
      </w:r>
      <w:r w:rsidRPr="0078786A">
        <w:t>days (87.2</w:t>
      </w:r>
      <w:r w:rsidR="00FE5094">
        <w:t xml:space="preserve"> </w:t>
      </w:r>
      <w:r w:rsidRPr="0078786A">
        <w:t>h</w:t>
      </w:r>
      <w:r w:rsidR="006F27C6">
        <w:t>ours</w:t>
      </w:r>
      <w:r w:rsidRPr="0078786A">
        <w:t xml:space="preserve">) and minimal accumulation after repeat dosing. The estimated total </w:t>
      </w:r>
      <w:r w:rsidR="00FE5094">
        <w:t>volume of distribution at steady state</w:t>
      </w:r>
      <w:r w:rsidRPr="0078786A">
        <w:t xml:space="preserve"> (central and peripheral compartments) after a 1.25 mg/kg </w:t>
      </w:r>
      <w:r w:rsidR="00FE5094">
        <w:t>intravenous</w:t>
      </w:r>
      <w:r w:rsidRPr="0078786A">
        <w:t xml:space="preserve"> dose was 12.8 L, and the estimated clearance was 0.104 L/h.</w:t>
      </w:r>
    </w:p>
    <w:p w14:paraId="45B06DC4" w14:textId="76A7F757" w:rsidR="0078786A" w:rsidRPr="0078786A" w:rsidRDefault="0078786A" w:rsidP="0078786A">
      <w:r w:rsidRPr="0078786A">
        <w:t>The model</w:t>
      </w:r>
      <w:r w:rsidR="006F27C6">
        <w:t xml:space="preserve"> </w:t>
      </w:r>
      <w:r w:rsidRPr="0078786A">
        <w:t xml:space="preserve">predicted exposures after the first treatment cycle of 1.25 mg/kg enfortumab vedotin dose on </w:t>
      </w:r>
      <w:r w:rsidR="00825935">
        <w:t>D</w:t>
      </w:r>
      <w:r w:rsidRPr="0078786A">
        <w:t xml:space="preserve">ays 1, 8 and 15 in the combined study populations are </w:t>
      </w:r>
      <w:r w:rsidR="00FE5094">
        <w:t xml:space="preserve">shown in </w:t>
      </w:r>
      <w:r w:rsidR="00FE5094">
        <w:fldChar w:fldCharType="begin"/>
      </w:r>
      <w:r w:rsidR="00FE5094">
        <w:instrText xml:space="preserve"> REF _Ref122593941 \h </w:instrText>
      </w:r>
      <w:r w:rsidR="00FE5094">
        <w:fldChar w:fldCharType="separate"/>
      </w:r>
      <w:r w:rsidR="00555193">
        <w:t xml:space="preserve">Table </w:t>
      </w:r>
      <w:r w:rsidR="00555193">
        <w:rPr>
          <w:noProof/>
        </w:rPr>
        <w:t>3</w:t>
      </w:r>
      <w:r w:rsidR="00FE5094">
        <w:fldChar w:fldCharType="end"/>
      </w:r>
      <w:r w:rsidRPr="0078786A">
        <w:t>.</w:t>
      </w:r>
    </w:p>
    <w:p w14:paraId="1C6FCB87" w14:textId="43147407" w:rsidR="0078786A" w:rsidRDefault="00FE5094" w:rsidP="00C476BA">
      <w:pPr>
        <w:pStyle w:val="Tabletitle0"/>
        <w:rPr>
          <w:rFonts w:asciiTheme="minorHAnsi" w:eastAsiaTheme="minorHAnsi" w:hAnsiTheme="minorHAnsi" w:cs="Calibri"/>
        </w:rPr>
      </w:pPr>
      <w:bookmarkStart w:id="41" w:name="_Ref122593941"/>
      <w:r>
        <w:t xml:space="preserve">Table </w:t>
      </w:r>
      <w:r w:rsidR="00EA2B2C">
        <w:fldChar w:fldCharType="begin"/>
      </w:r>
      <w:r w:rsidR="00EA2B2C">
        <w:instrText xml:space="preserve"> SEQ Table \* ARABIC </w:instrText>
      </w:r>
      <w:r w:rsidR="00EA2B2C">
        <w:fldChar w:fldCharType="separate"/>
      </w:r>
      <w:r w:rsidR="00555193">
        <w:rPr>
          <w:noProof/>
        </w:rPr>
        <w:t>3</w:t>
      </w:r>
      <w:r w:rsidR="00EA2B2C">
        <w:rPr>
          <w:noProof/>
        </w:rPr>
        <w:fldChar w:fldCharType="end"/>
      </w:r>
      <w:bookmarkEnd w:id="41"/>
      <w:r>
        <w:t xml:space="preserve">: </w:t>
      </w:r>
      <w:r w:rsidR="00C476BA">
        <w:t xml:space="preserve">Model predicted exposures Cycle 1 enfortumab vedotin and free </w:t>
      </w:r>
      <w:bookmarkStart w:id="42" w:name="_Hlk122596323"/>
      <w:r w:rsidR="00C476BA" w:rsidRPr="00C476BA">
        <w:t>monomethyl auristatin E</w:t>
      </w:r>
      <w:bookmarkEnd w:id="42"/>
    </w:p>
    <w:p w14:paraId="6B38D6D0" w14:textId="3D23C5F8" w:rsidR="0078786A" w:rsidRDefault="00C476BA" w:rsidP="0078786A">
      <w:r>
        <w:rPr>
          <w:noProof/>
          <w:lang w:val="en-GB" w:eastAsia="en-GB"/>
        </w:rPr>
        <w:drawing>
          <wp:inline distT="0" distB="0" distL="0" distR="0" wp14:anchorId="331BD4A9" wp14:editId="75BC15E5">
            <wp:extent cx="5314950" cy="1057275"/>
            <wp:effectExtent l="0" t="0" r="0" b="9525"/>
            <wp:docPr id="1" name="Picture 1" descr="Model predicted exposures Cycle 1 enfortumab vedotin and free monomethyl auristati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del predicted exposures Cycle 1 enfortumab vedotin and free monomethyl auristatin E."/>
                    <pic:cNvPicPr>
                      <a:picLocks noChangeAspect="1" noChangeArrowheads="1"/>
                    </pic:cNvPicPr>
                  </pic:nvPicPr>
                  <pic:blipFill rotWithShape="1">
                    <a:blip r:embed="rId20">
                      <a:extLst>
                        <a:ext uri="{28A0092B-C50C-407E-A947-70E740481C1C}">
                          <a14:useLocalDpi xmlns:a14="http://schemas.microsoft.com/office/drawing/2010/main" val="0"/>
                        </a:ext>
                      </a:extLst>
                    </a:blip>
                    <a:srcRect r="817" b="27451"/>
                    <a:stretch/>
                  </pic:blipFill>
                  <pic:spPr bwMode="auto">
                    <a:xfrm>
                      <a:off x="0" y="0"/>
                      <a:ext cx="5314950" cy="1057275"/>
                    </a:xfrm>
                    <a:prstGeom prst="rect">
                      <a:avLst/>
                    </a:prstGeom>
                    <a:noFill/>
                    <a:ln>
                      <a:noFill/>
                    </a:ln>
                    <a:extLst>
                      <a:ext uri="{53640926-AAD7-44D8-BBD7-CCE9431645EC}">
                        <a14:shadowObscured xmlns:a14="http://schemas.microsoft.com/office/drawing/2010/main"/>
                      </a:ext>
                    </a:extLst>
                  </pic:spPr>
                </pic:pic>
              </a:graphicData>
            </a:graphic>
          </wp:inline>
        </w:drawing>
      </w:r>
    </w:p>
    <w:p w14:paraId="206EA0EC" w14:textId="79E4EA0A" w:rsidR="00C476BA" w:rsidRDefault="00825935" w:rsidP="00C476BA">
      <w:pPr>
        <w:pStyle w:val="TableDescription"/>
      </w:pPr>
      <w:r>
        <w:t xml:space="preserve">Abbreviations: </w:t>
      </w:r>
      <w:proofErr w:type="spellStart"/>
      <w:r w:rsidR="00C476BA">
        <w:t>C</w:t>
      </w:r>
      <w:r w:rsidR="00C476BA">
        <w:rPr>
          <w:vertAlign w:val="subscript"/>
        </w:rPr>
        <w:t>max</w:t>
      </w:r>
      <w:proofErr w:type="spellEnd"/>
      <w:r>
        <w:t xml:space="preserve"> =</w:t>
      </w:r>
      <w:r w:rsidR="00C476BA">
        <w:t xml:space="preserve"> maximum concentration, AUC</w:t>
      </w:r>
      <w:r w:rsidR="00C476BA">
        <w:rPr>
          <w:vertAlign w:val="subscript"/>
        </w:rPr>
        <w:t>0-28</w:t>
      </w:r>
      <w:r>
        <w:rPr>
          <w:vertAlign w:val="subscript"/>
        </w:rPr>
        <w:t>d</w:t>
      </w:r>
      <w:r w:rsidR="00C476BA">
        <w:t xml:space="preserve"> </w:t>
      </w:r>
      <w:r>
        <w:t xml:space="preserve">= </w:t>
      </w:r>
      <w:r w:rsidR="00C476BA">
        <w:t xml:space="preserve">area under the concentration time curve from time zero to 28 days, </w:t>
      </w:r>
      <w:proofErr w:type="spellStart"/>
      <w:r w:rsidR="00C476BA">
        <w:t>C</w:t>
      </w:r>
      <w:r w:rsidR="00C476BA">
        <w:rPr>
          <w:vertAlign w:val="subscript"/>
        </w:rPr>
        <w:t>trough</w:t>
      </w:r>
      <w:proofErr w:type="spellEnd"/>
      <w:r w:rsidR="00C476BA">
        <w:t xml:space="preserve"> </w:t>
      </w:r>
      <w:r>
        <w:t xml:space="preserve">= </w:t>
      </w:r>
      <w:r w:rsidR="00C476BA">
        <w:t xml:space="preserve">pre-dose concentration on </w:t>
      </w:r>
      <w:r>
        <w:t>D</w:t>
      </w:r>
      <w:r w:rsidR="00C476BA">
        <w:t>ay 28 (Cycle 1 Day 1), SD</w:t>
      </w:r>
      <w:r>
        <w:t xml:space="preserve"> =</w:t>
      </w:r>
      <w:r w:rsidR="00C476BA">
        <w:t xml:space="preserve"> standard deviation.</w:t>
      </w:r>
    </w:p>
    <w:p w14:paraId="308EA806" w14:textId="5DF36A15" w:rsidR="00C476BA" w:rsidRPr="00C476BA" w:rsidRDefault="00C476BA" w:rsidP="00C476BA">
      <w:r w:rsidRPr="00C476BA">
        <w:t xml:space="preserve">Peak enfortumab vedotin concentrations were attained at the end of infusion, and minimal to no accumulation was observed. </w:t>
      </w:r>
      <w:r>
        <w:t>Enfortumab vedotin</w:t>
      </w:r>
      <w:r w:rsidRPr="00C476BA">
        <w:t xml:space="preserve"> has linear dose</w:t>
      </w:r>
      <w:r>
        <w:t xml:space="preserve"> </w:t>
      </w:r>
      <w:r w:rsidRPr="00C476BA">
        <w:t xml:space="preserve">proportional PK at doses ranging from 0.5 to 1.25 mg/kg when administered as an intravenous infusion over </w:t>
      </w:r>
      <w:r>
        <w:t xml:space="preserve">approximately </w:t>
      </w:r>
      <w:r w:rsidRPr="00C476BA">
        <w:t xml:space="preserve">30 minutes on </w:t>
      </w:r>
      <w:r w:rsidR="00825935">
        <w:t>D</w:t>
      </w:r>
      <w:r w:rsidRPr="00C476BA">
        <w:t xml:space="preserve">ays 1, 8, and 15 of a </w:t>
      </w:r>
      <w:proofErr w:type="gramStart"/>
      <w:r w:rsidRPr="00C476BA">
        <w:t>28</w:t>
      </w:r>
      <w:r>
        <w:t xml:space="preserve"> </w:t>
      </w:r>
      <w:r w:rsidRPr="00C476BA">
        <w:t>day</w:t>
      </w:r>
      <w:proofErr w:type="gramEnd"/>
      <w:r w:rsidRPr="00C476BA">
        <w:t xml:space="preserve"> cycle in subjects with locally advanced or metastatic ulcerative colitis.</w:t>
      </w:r>
    </w:p>
    <w:p w14:paraId="427C862A" w14:textId="413978BA" w:rsidR="00C476BA" w:rsidRPr="00C476BA" w:rsidRDefault="00C476BA" w:rsidP="00C476BA">
      <w:r w:rsidRPr="00C476BA">
        <w:t xml:space="preserve">Plasma concentrations of free MMAE increased until </w:t>
      </w:r>
      <w:r>
        <w:t xml:space="preserve">approximately </w:t>
      </w:r>
      <w:r w:rsidR="00D019BF">
        <w:t>two</w:t>
      </w:r>
      <w:r w:rsidRPr="00C476BA">
        <w:t xml:space="preserve"> days after enfortumab vedotin dosing, and minimal to no accumulation of free MMAE was observed. A small fraction of the MMAE released from enfortumab vedotin is metabolised. </w:t>
      </w:r>
      <w:r w:rsidRPr="00C476BA">
        <w:rPr>
          <w:i/>
          <w:iCs/>
        </w:rPr>
        <w:t>In vitro</w:t>
      </w:r>
      <w:r w:rsidRPr="00C476BA">
        <w:t>, the binding of MMAE to human plasma proteins ranged from 67.9% to 82.2%. It is not likely to displace or to be displaced by highly protein</w:t>
      </w:r>
      <w:r>
        <w:t xml:space="preserve"> </w:t>
      </w:r>
      <w:r w:rsidRPr="00C476BA">
        <w:t>bound drugs. MMAE is metabolised predominantly by CYP3A4</w:t>
      </w:r>
      <w:r w:rsidR="006C38DB">
        <w:t>;</w:t>
      </w:r>
      <w:r w:rsidR="006C38DB" w:rsidRPr="002C52E0">
        <w:rPr>
          <w:vertAlign w:val="superscript"/>
        </w:rPr>
        <w:fldChar w:fldCharType="begin"/>
      </w:r>
      <w:r w:rsidR="006C38DB" w:rsidRPr="002C52E0">
        <w:rPr>
          <w:vertAlign w:val="superscript"/>
        </w:rPr>
        <w:instrText xml:space="preserve"> NOTEREF _Ref127860669 \h </w:instrText>
      </w:r>
      <w:r w:rsidR="006C38DB">
        <w:rPr>
          <w:vertAlign w:val="superscript"/>
        </w:rPr>
        <w:instrText xml:space="preserve"> \* MERGEFORMAT </w:instrText>
      </w:r>
      <w:r w:rsidR="006C38DB" w:rsidRPr="002C52E0">
        <w:rPr>
          <w:vertAlign w:val="superscript"/>
        </w:rPr>
      </w:r>
      <w:r w:rsidR="006C38DB" w:rsidRPr="002C52E0">
        <w:rPr>
          <w:vertAlign w:val="superscript"/>
        </w:rPr>
        <w:fldChar w:fldCharType="separate"/>
      </w:r>
      <w:r w:rsidR="00555193">
        <w:rPr>
          <w:vertAlign w:val="superscript"/>
        </w:rPr>
        <w:t>11</w:t>
      </w:r>
      <w:r w:rsidR="006C38DB" w:rsidRPr="002C52E0">
        <w:rPr>
          <w:vertAlign w:val="superscript"/>
        </w:rPr>
        <w:fldChar w:fldCharType="end"/>
      </w:r>
      <w:r w:rsidRPr="00C476BA">
        <w:t xml:space="preserve"> and is excreted mainly by hepatobiliary routes.</w:t>
      </w:r>
    </w:p>
    <w:p w14:paraId="3E33C084" w14:textId="5E39898F" w:rsidR="00C476BA" w:rsidRPr="00C476BA" w:rsidRDefault="00565C2C" w:rsidP="00C476BA">
      <w:r>
        <w:t>M</w:t>
      </w:r>
      <w:r w:rsidRPr="00565C2C">
        <w:t>onomethyl auristatin E</w:t>
      </w:r>
      <w:r w:rsidR="00C476BA" w:rsidRPr="00C476BA">
        <w:t xml:space="preserve"> was distributed within central vascular and peripheral tissue compartments with moderate binding to plasma proteins. </w:t>
      </w:r>
      <w:r w:rsidR="00825935">
        <w:t xml:space="preserve">The PK of </w:t>
      </w:r>
      <w:r w:rsidR="00C476BA" w:rsidRPr="00C476BA">
        <w:t>MMAE was linear with minimal accumulation after repeat dosing. The elimination of MMAE appeared to be limited by its formation from enfortumab vedotin.</w:t>
      </w:r>
    </w:p>
    <w:p w14:paraId="626D57D3" w14:textId="67AE0C9D" w:rsidR="00C476BA" w:rsidRPr="00C476BA" w:rsidRDefault="00C476BA" w:rsidP="00C476BA">
      <w:r w:rsidRPr="00C476BA">
        <w:t xml:space="preserve">The estimated total volume of distribution at steady state (central and peripheral compartments) after a 1.25 mg/kg </w:t>
      </w:r>
      <w:r>
        <w:t>intravenous</w:t>
      </w:r>
      <w:r w:rsidRPr="00C476BA">
        <w:t xml:space="preserve"> dose of enfortumab vedotin was 183.5 L for MMAE, the estimated free MMAE mean clearance was 2.72 L/h, and the terminal half-life </w:t>
      </w:r>
      <w:r>
        <w:t xml:space="preserve">approximately </w:t>
      </w:r>
      <w:r w:rsidRPr="00C476BA">
        <w:t>2.6 days (61.2 h</w:t>
      </w:r>
      <w:r w:rsidR="00D019BF">
        <w:t>ours</w:t>
      </w:r>
      <w:r w:rsidRPr="00C476BA">
        <w:t>).</w:t>
      </w:r>
    </w:p>
    <w:p w14:paraId="78FB99EB" w14:textId="398C18F7" w:rsidR="00C476BA" w:rsidRDefault="00C476BA" w:rsidP="00C476BA">
      <w:r w:rsidRPr="00C476BA">
        <w:lastRenderedPageBreak/>
        <w:t xml:space="preserve">Modelled </w:t>
      </w:r>
      <w:r w:rsidR="00C34F31" w:rsidRPr="00C476BA">
        <w:t>enfortumab vedotin</w:t>
      </w:r>
      <w:r w:rsidRPr="00C476BA">
        <w:t xml:space="preserve"> and MMAE PK in patients with </w:t>
      </w:r>
      <w:r w:rsidR="00C34F31">
        <w:t>c</w:t>
      </w:r>
      <w:r w:rsidR="00C34F31" w:rsidRPr="00C34F31">
        <w:t xml:space="preserve">hronic kidney disease </w:t>
      </w:r>
      <w:r w:rsidRPr="00C476BA">
        <w:t xml:space="preserve">were comparable with patients with normal renal function and supported the proposal that no dose adjustment is required. Creatinine clearance was not a significant covariate for </w:t>
      </w:r>
      <w:r w:rsidR="00C34F31" w:rsidRPr="00C476BA">
        <w:t xml:space="preserve">enfortumab </w:t>
      </w:r>
      <w:proofErr w:type="spellStart"/>
      <w:r w:rsidR="00C34F31" w:rsidRPr="00C476BA">
        <w:t>vedotin</w:t>
      </w:r>
      <w:proofErr w:type="spellEnd"/>
      <w:r w:rsidRPr="00C476BA">
        <w:t xml:space="preserve"> PK</w:t>
      </w:r>
      <w:r w:rsidR="00EE0764">
        <w:t xml:space="preserve"> (</w:t>
      </w:r>
      <w:r w:rsidR="00825935">
        <w:t xml:space="preserve">see </w:t>
      </w:r>
      <w:r w:rsidR="00EE0764">
        <w:fldChar w:fldCharType="begin"/>
      </w:r>
      <w:r w:rsidR="00EE0764">
        <w:instrText xml:space="preserve"> REF _Ref122596263 \h </w:instrText>
      </w:r>
      <w:r w:rsidR="00EE0764">
        <w:fldChar w:fldCharType="separate"/>
      </w:r>
      <w:r w:rsidR="00555193">
        <w:t xml:space="preserve">Figure </w:t>
      </w:r>
      <w:r w:rsidR="00555193">
        <w:rPr>
          <w:noProof/>
        </w:rPr>
        <w:t>3</w:t>
      </w:r>
      <w:r w:rsidR="00EE0764">
        <w:fldChar w:fldCharType="end"/>
      </w:r>
      <w:r w:rsidR="00EE0764">
        <w:t>)</w:t>
      </w:r>
      <w:r w:rsidRPr="00C476BA">
        <w:t>.</w:t>
      </w:r>
    </w:p>
    <w:p w14:paraId="711256FE" w14:textId="18AC7F22" w:rsidR="00C34F31" w:rsidRDefault="00EE0764" w:rsidP="00EE0764">
      <w:pPr>
        <w:pStyle w:val="FigureTitle"/>
      </w:pPr>
      <w:bookmarkStart w:id="43" w:name="_Ref122596263"/>
      <w:r>
        <w:t xml:space="preserve">Figure </w:t>
      </w:r>
      <w:r w:rsidR="00EA2B2C">
        <w:fldChar w:fldCharType="begin"/>
      </w:r>
      <w:r w:rsidR="00EA2B2C">
        <w:instrText xml:space="preserve"> SEQ Figure \* ARABIC </w:instrText>
      </w:r>
      <w:r w:rsidR="00EA2B2C">
        <w:fldChar w:fldCharType="separate"/>
      </w:r>
      <w:r w:rsidR="00555193">
        <w:rPr>
          <w:noProof/>
        </w:rPr>
        <w:t>3</w:t>
      </w:r>
      <w:r w:rsidR="00EA2B2C">
        <w:rPr>
          <w:noProof/>
        </w:rPr>
        <w:fldChar w:fldCharType="end"/>
      </w:r>
      <w:bookmarkEnd w:id="43"/>
      <w:r>
        <w:t>: Comparison of model</w:t>
      </w:r>
      <w:r w:rsidR="00825935">
        <w:t>-</w:t>
      </w:r>
      <w:r>
        <w:t xml:space="preserve">predicted Cycle 1 exposures of enfortumab vedotin and free </w:t>
      </w:r>
      <w:r w:rsidRPr="00EE0764">
        <w:t>monomethyl auristatin E</w:t>
      </w:r>
      <w:r>
        <w:t xml:space="preserve"> by renal function categories in the combined population</w:t>
      </w:r>
    </w:p>
    <w:p w14:paraId="78FAD047" w14:textId="4409AA46" w:rsidR="00EE0764" w:rsidRDefault="00EE0764" w:rsidP="00EE0764">
      <w:r>
        <w:rPr>
          <w:noProof/>
          <w:lang w:val="en-GB" w:eastAsia="en-GB"/>
        </w:rPr>
        <w:drawing>
          <wp:inline distT="0" distB="0" distL="0" distR="0" wp14:anchorId="4CC826E5" wp14:editId="3D75224C">
            <wp:extent cx="5368925" cy="5934075"/>
            <wp:effectExtent l="0" t="0" r="3175" b="9525"/>
            <wp:docPr id="5" name="Picture 5" descr="Comparison of model predicted Cycle 1 exposures of enfortumab vedotin and free monomethyl auristatin E by renal function categories in the combin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parison of model predicted Cycle 1 exposures of enfortumab vedotin and free monomethyl auristatin E by renal function categories in the combined population"/>
                    <pic:cNvPicPr>
                      <a:picLocks noChangeAspect="1" noChangeArrowheads="1"/>
                    </pic:cNvPicPr>
                  </pic:nvPicPr>
                  <pic:blipFill rotWithShape="1">
                    <a:blip r:embed="rId21">
                      <a:extLst>
                        <a:ext uri="{28A0092B-C50C-407E-A947-70E740481C1C}">
                          <a14:useLocalDpi xmlns:a14="http://schemas.microsoft.com/office/drawing/2010/main" val="0"/>
                        </a:ext>
                      </a:extLst>
                    </a:blip>
                    <a:srcRect b="14135"/>
                    <a:stretch/>
                  </pic:blipFill>
                  <pic:spPr bwMode="auto">
                    <a:xfrm>
                      <a:off x="0" y="0"/>
                      <a:ext cx="5377150" cy="5943166"/>
                    </a:xfrm>
                    <a:prstGeom prst="rect">
                      <a:avLst/>
                    </a:prstGeom>
                    <a:noFill/>
                    <a:ln>
                      <a:noFill/>
                    </a:ln>
                    <a:extLst>
                      <a:ext uri="{53640926-AAD7-44D8-BBD7-CCE9431645EC}">
                        <a14:shadowObscured xmlns:a14="http://schemas.microsoft.com/office/drawing/2010/main"/>
                      </a:ext>
                    </a:extLst>
                  </pic:spPr>
                </pic:pic>
              </a:graphicData>
            </a:graphic>
          </wp:inline>
        </w:drawing>
      </w:r>
    </w:p>
    <w:p w14:paraId="42369239" w14:textId="57D3BBE3" w:rsidR="00825935" w:rsidRDefault="00825935" w:rsidP="002C530E">
      <w:pPr>
        <w:pStyle w:val="FigureDescription"/>
      </w:pPr>
      <w:r>
        <w:t xml:space="preserve">Abbreviations: </w:t>
      </w:r>
      <w:r w:rsidR="006C38DB">
        <w:t>AUC</w:t>
      </w:r>
      <w:r w:rsidR="006C38DB" w:rsidRPr="002C52E0">
        <w:rPr>
          <w:vertAlign w:val="subscript"/>
        </w:rPr>
        <w:t xml:space="preserve">0-28d </w:t>
      </w:r>
      <w:r w:rsidR="006C38DB">
        <w:t xml:space="preserve">= area under the concentration-time curve from time zero (Day 1) to Day 28; </w:t>
      </w:r>
      <w:proofErr w:type="spellStart"/>
      <w:r>
        <w:t>Cmax</w:t>
      </w:r>
      <w:proofErr w:type="spellEnd"/>
      <w:r>
        <w:t xml:space="preserve"> = maximum concentration’ </w:t>
      </w:r>
      <w:proofErr w:type="spellStart"/>
      <w:r>
        <w:t>C</w:t>
      </w:r>
      <w:r w:rsidRPr="002C52E0">
        <w:rPr>
          <w:vertAlign w:val="subscript"/>
        </w:rPr>
        <w:t>trough</w:t>
      </w:r>
      <w:proofErr w:type="spellEnd"/>
      <w:r w:rsidRPr="002C52E0">
        <w:rPr>
          <w:vertAlign w:val="subscript"/>
        </w:rPr>
        <w:t xml:space="preserve"> </w:t>
      </w:r>
      <w:r>
        <w:t xml:space="preserve">= trough (minimum) concentration; </w:t>
      </w:r>
      <w:r w:rsidR="006C38DB">
        <w:t xml:space="preserve">ESRF = end stage renal failure; </w:t>
      </w:r>
      <w:r>
        <w:t>MMAE</w:t>
      </w:r>
      <w:r w:rsidR="006C38DB">
        <w:t xml:space="preserve"> = M</w:t>
      </w:r>
      <w:r w:rsidR="006C38DB" w:rsidRPr="00565C2C">
        <w:t>onomethyl auristatin E</w:t>
      </w:r>
      <w:r w:rsidR="006C38DB">
        <w:t>.</w:t>
      </w:r>
    </w:p>
    <w:p w14:paraId="41D62256" w14:textId="4932F039" w:rsidR="00EE0764" w:rsidRPr="00EE0764" w:rsidRDefault="00EE0764" w:rsidP="002C530E">
      <w:pPr>
        <w:pStyle w:val="FigureDescription"/>
      </w:pPr>
      <w:r>
        <w:t xml:space="preserve">Note: Cycle 2 Day 1 pre-dose concentration was used as Cycle 1 </w:t>
      </w:r>
      <w:proofErr w:type="spellStart"/>
      <w:r>
        <w:t>C</w:t>
      </w:r>
      <w:r>
        <w:rPr>
          <w:vertAlign w:val="subscript"/>
        </w:rPr>
        <w:t>trough</w:t>
      </w:r>
      <w:proofErr w:type="spellEnd"/>
      <w:r>
        <w:t>. Red and blue circles were individual model predicted Cycle 1 exposures od enfortumab vedotin and free MMAE, respectively, following 1.25 mg/kg enfortumab dose (capped at 125 mg for body weights greater th</w:t>
      </w:r>
      <w:r w:rsidR="00D019BF">
        <w:t>a</w:t>
      </w:r>
      <w:r>
        <w:t>n 100 kg). Six subjects with missing or unknown renal impairment category were excluded from the plots.</w:t>
      </w:r>
    </w:p>
    <w:p w14:paraId="16189FC1" w14:textId="76F5CFA4" w:rsidR="007251A9" w:rsidRDefault="00EE0764" w:rsidP="00EE0764">
      <w:r w:rsidRPr="00EE0764">
        <w:t xml:space="preserve">Population </w:t>
      </w:r>
      <w:r w:rsidR="00542550">
        <w:t>PK</w:t>
      </w:r>
      <w:r w:rsidRPr="00EE0764">
        <w:t xml:space="preserve"> modelling based on data from patients with mild hepatic impairment showed no difference in </w:t>
      </w:r>
      <w:r w:rsidR="00AE799A" w:rsidRPr="00AE799A">
        <w:t xml:space="preserve">enfortumab vedotin </w:t>
      </w:r>
      <w:r w:rsidRPr="00EE0764">
        <w:t xml:space="preserve">exposure but a 37% increase in the exposure </w:t>
      </w:r>
      <w:r w:rsidRPr="00EE0764">
        <w:lastRenderedPageBreak/>
        <w:t>of free MMAE compared to patients with normal hepatic function. The increased exposure is not considered sufficient to warrant dose reduction</w:t>
      </w:r>
      <w:r w:rsidR="005435D9">
        <w:t xml:space="preserve"> (</w:t>
      </w:r>
      <w:r w:rsidR="005435D9">
        <w:fldChar w:fldCharType="begin"/>
      </w:r>
      <w:r w:rsidR="005435D9">
        <w:instrText xml:space="preserve"> REF _Ref122613373 \h </w:instrText>
      </w:r>
      <w:r w:rsidR="005435D9">
        <w:fldChar w:fldCharType="separate"/>
      </w:r>
      <w:r w:rsidR="00555193">
        <w:t xml:space="preserve">Figure </w:t>
      </w:r>
      <w:r w:rsidR="00555193">
        <w:rPr>
          <w:noProof/>
        </w:rPr>
        <w:t>4</w:t>
      </w:r>
      <w:r w:rsidR="005435D9">
        <w:fldChar w:fldCharType="end"/>
      </w:r>
      <w:r w:rsidR="005435D9">
        <w:t>)</w:t>
      </w:r>
      <w:r w:rsidRPr="00EE0764">
        <w:t xml:space="preserve">. Data from </w:t>
      </w:r>
      <w:r w:rsidR="00AE799A">
        <w:t>three</w:t>
      </w:r>
      <w:r w:rsidRPr="00EE0764">
        <w:t xml:space="preserve"> patients with moderate hepatic impairment and none from patients with severe hepatic impairment limit the conclusions that can be drawn about the kinetics of </w:t>
      </w:r>
      <w:r w:rsidR="00AE799A" w:rsidRPr="00AE799A">
        <w:t>enfortumab vedotin</w:t>
      </w:r>
      <w:r w:rsidRPr="00EE0764">
        <w:t xml:space="preserve"> and MMAE in moderate and severe hepatic impairment.</w:t>
      </w:r>
    </w:p>
    <w:p w14:paraId="5B068474" w14:textId="6D98C464" w:rsidR="005435D9" w:rsidRPr="005435D9" w:rsidRDefault="005435D9" w:rsidP="005435D9">
      <w:pPr>
        <w:pStyle w:val="FigureTitle"/>
      </w:pPr>
      <w:bookmarkStart w:id="44" w:name="_Ref122613373"/>
      <w:r>
        <w:t xml:space="preserve">Figure </w:t>
      </w:r>
      <w:r w:rsidR="00EA2B2C">
        <w:fldChar w:fldCharType="begin"/>
      </w:r>
      <w:r w:rsidR="00EA2B2C">
        <w:instrText xml:space="preserve"> SEQ Figure \* ARABIC </w:instrText>
      </w:r>
      <w:r w:rsidR="00EA2B2C">
        <w:fldChar w:fldCharType="separate"/>
      </w:r>
      <w:r w:rsidR="00555193">
        <w:rPr>
          <w:noProof/>
        </w:rPr>
        <w:t>4</w:t>
      </w:r>
      <w:r w:rsidR="00EA2B2C">
        <w:rPr>
          <w:noProof/>
        </w:rPr>
        <w:fldChar w:fldCharType="end"/>
      </w:r>
      <w:bookmarkEnd w:id="44"/>
      <w:r>
        <w:t xml:space="preserve">: </w:t>
      </w:r>
      <w:r w:rsidRPr="005435D9">
        <w:t xml:space="preserve">Comparison of </w:t>
      </w:r>
      <w:r>
        <w:t>m</w:t>
      </w:r>
      <w:r w:rsidRPr="005435D9">
        <w:t>odel</w:t>
      </w:r>
      <w:r w:rsidR="006C38DB">
        <w:t>-</w:t>
      </w:r>
      <w:r w:rsidRPr="005435D9">
        <w:t>predicted Cycle 1</w:t>
      </w:r>
      <w:r w:rsidR="006C38DB">
        <w:t xml:space="preserve"> </w:t>
      </w:r>
      <w:r>
        <w:t>e</w:t>
      </w:r>
      <w:r w:rsidRPr="005435D9">
        <w:t xml:space="preserve">xposures of enfortumab vedotin and </w:t>
      </w:r>
      <w:r>
        <w:t xml:space="preserve">free </w:t>
      </w:r>
      <w:r w:rsidRPr="00EE0764">
        <w:t>monomethyl auristatin E</w:t>
      </w:r>
      <w:r>
        <w:t xml:space="preserve"> </w:t>
      </w:r>
      <w:r w:rsidRPr="005435D9">
        <w:t>by hepatic function categories in the combined population</w:t>
      </w:r>
    </w:p>
    <w:p w14:paraId="7DB48F71" w14:textId="145733FC" w:rsidR="00AE799A" w:rsidRDefault="005435D9" w:rsidP="005435D9">
      <w:pPr>
        <w:pStyle w:val="Caption"/>
      </w:pPr>
      <w:r>
        <w:rPr>
          <w:noProof/>
          <w:lang w:val="en-GB" w:eastAsia="en-GB"/>
        </w:rPr>
        <w:drawing>
          <wp:inline distT="0" distB="0" distL="0" distR="0" wp14:anchorId="25314B7D" wp14:editId="5779C6CF">
            <wp:extent cx="5339715" cy="5600700"/>
            <wp:effectExtent l="0" t="0" r="0" b="0"/>
            <wp:docPr id="6" name="Picture 6" descr="Comparison of model predicted Cycle 1exposures of enfortumab vedotin and free monomethyl auristatin E by hepatic function categories in the combin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parison of model predicted Cycle 1exposures of enfortumab vedotin and free monomethyl auristatin E by hepatic function categories in the combined popul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b="13968"/>
                    <a:stretch/>
                  </pic:blipFill>
                  <pic:spPr bwMode="auto">
                    <a:xfrm>
                      <a:off x="0" y="0"/>
                      <a:ext cx="5349839" cy="5611319"/>
                    </a:xfrm>
                    <a:prstGeom prst="rect">
                      <a:avLst/>
                    </a:prstGeom>
                    <a:noFill/>
                    <a:ln>
                      <a:noFill/>
                    </a:ln>
                    <a:extLst>
                      <a:ext uri="{53640926-AAD7-44D8-BBD7-CCE9431645EC}">
                        <a14:shadowObscured xmlns:a14="http://schemas.microsoft.com/office/drawing/2010/main"/>
                      </a:ext>
                    </a:extLst>
                  </pic:spPr>
                </pic:pic>
              </a:graphicData>
            </a:graphic>
          </wp:inline>
        </w:drawing>
      </w:r>
    </w:p>
    <w:p w14:paraId="4C7BB2B1" w14:textId="1FD9D5D9" w:rsidR="006C38DB" w:rsidRDefault="006C38DB" w:rsidP="002C530E">
      <w:pPr>
        <w:pStyle w:val="FigureDescription"/>
      </w:pPr>
      <w:r>
        <w:t>Abbreviations: AUC</w:t>
      </w:r>
      <w:r w:rsidRPr="002C52E0">
        <w:rPr>
          <w:vertAlign w:val="subscript"/>
        </w:rPr>
        <w:t xml:space="preserve">0-28d </w:t>
      </w:r>
      <w:r>
        <w:t xml:space="preserve">= area under the concentration-time curve from time zero (Day 1) to Day 28; </w:t>
      </w:r>
      <w:proofErr w:type="spellStart"/>
      <w:r>
        <w:t>Cmax</w:t>
      </w:r>
      <w:proofErr w:type="spellEnd"/>
      <w:r>
        <w:t xml:space="preserve"> = maximum concentration’ </w:t>
      </w:r>
      <w:proofErr w:type="spellStart"/>
      <w:r>
        <w:t>C</w:t>
      </w:r>
      <w:r w:rsidRPr="002C52E0">
        <w:rPr>
          <w:vertAlign w:val="subscript"/>
        </w:rPr>
        <w:t>trough</w:t>
      </w:r>
      <w:proofErr w:type="spellEnd"/>
      <w:r>
        <w:t xml:space="preserve"> = trough (minimum) concentration; ESRF = end stage renal failure; MMAE = M</w:t>
      </w:r>
      <w:r w:rsidRPr="00565C2C">
        <w:t>onomethyl auristatin E</w:t>
      </w:r>
      <w:r>
        <w:t>.</w:t>
      </w:r>
    </w:p>
    <w:p w14:paraId="70720836" w14:textId="075B6310" w:rsidR="005435D9" w:rsidRDefault="005435D9" w:rsidP="002C530E">
      <w:pPr>
        <w:pStyle w:val="FigureDescription"/>
      </w:pPr>
      <w:r>
        <w:t xml:space="preserve">Note: Cycle 2 Day 1 prep-dose concentration was used as Cycle 1 </w:t>
      </w:r>
      <w:proofErr w:type="spellStart"/>
      <w:r>
        <w:t>C</w:t>
      </w:r>
      <w:r>
        <w:rPr>
          <w:vertAlign w:val="subscript"/>
        </w:rPr>
        <w:t>trough</w:t>
      </w:r>
      <w:proofErr w:type="spellEnd"/>
      <w:r>
        <w:t>. Red and blue circles were individual model predicted Cycle 1 exposures of enfortumab vedotin and free MMAE, respectively, following 1.25 mg/kg enfortumab dose (capped at 125 mg for body weights greater than 100 kg). 11</w:t>
      </w:r>
      <w:r w:rsidR="006C38DB">
        <w:t> </w:t>
      </w:r>
      <w:r>
        <w:t>subjects with missing or unknown hepatic impairment category were excluded from the plots.</w:t>
      </w:r>
    </w:p>
    <w:p w14:paraId="7995FAF2" w14:textId="77777777" w:rsidR="005435D9" w:rsidRDefault="005435D9" w:rsidP="005435D9">
      <w:r>
        <w:t>No dose adjustment is proposed based on age, race, or sex. Weight based dosing was predicted to result in similar exposures across different body weight quartiles.</w:t>
      </w:r>
    </w:p>
    <w:p w14:paraId="69B9BFC7" w14:textId="4F8C7B21" w:rsidR="005435D9" w:rsidRDefault="005435D9" w:rsidP="005435D9">
      <w:r>
        <w:lastRenderedPageBreak/>
        <w:t>Based on p</w:t>
      </w:r>
      <w:r w:rsidRPr="005435D9">
        <w:t>hysiologically based</w:t>
      </w:r>
      <w:r w:rsidR="00D019BF">
        <w:t xml:space="preserve"> PK</w:t>
      </w:r>
      <w:r>
        <w:t xml:space="preserve"> modelling, concomitant use of enfortumab vedotin with ketoconazole (combined </w:t>
      </w:r>
      <w:r w:rsidRPr="00C02B18">
        <w:t>P-glycoprotein</w:t>
      </w:r>
      <w:r>
        <w:t xml:space="preserve"> and strong inhibitor of CYP3A4) is predicted to increase free MMAE exposures by 38%, and the use of strong inducers to reduce free MMAE exposures by 53%. Enfortumab vedotin exposure is not predicted to be impacted by these interactions.</w:t>
      </w:r>
    </w:p>
    <w:p w14:paraId="1C6EB945" w14:textId="4ACA67AC" w:rsidR="005435D9" w:rsidRDefault="005435D9" w:rsidP="005435D9">
      <w:pPr>
        <w:pStyle w:val="Heading5"/>
      </w:pPr>
      <w:r>
        <w:t>Pharmacodynamics</w:t>
      </w:r>
    </w:p>
    <w:p w14:paraId="51F7FE83" w14:textId="13659E73" w:rsidR="005435D9" w:rsidRDefault="005435D9" w:rsidP="005435D9">
      <w:r>
        <w:t>The exposure response relationship is not well established for efficacy for enfortumab vedotin or MMAE, as demonstrated by the efficacy concentration analysis</w:t>
      </w:r>
      <w:r w:rsidR="007104CC">
        <w:t>.</w:t>
      </w:r>
      <w:r>
        <w:t xml:space="preserve"> The linear relationship between the deaths and increasing concentration likely relates to safety. In the lower panels the best overall response does not show a clear exposure response relationship for this measure of efficacy</w:t>
      </w:r>
      <w:r w:rsidR="007104CC">
        <w:t xml:space="preserve"> (</w:t>
      </w:r>
      <w:r w:rsidR="006C38DB">
        <w:t xml:space="preserve">see </w:t>
      </w:r>
      <w:r w:rsidR="007104CC">
        <w:fldChar w:fldCharType="begin"/>
      </w:r>
      <w:r w:rsidR="007104CC">
        <w:instrText xml:space="preserve"> REF _Ref122613912 \h </w:instrText>
      </w:r>
      <w:r w:rsidR="007104CC">
        <w:fldChar w:fldCharType="separate"/>
      </w:r>
      <w:r w:rsidR="00555193">
        <w:t xml:space="preserve">Figure </w:t>
      </w:r>
      <w:r w:rsidR="00555193">
        <w:rPr>
          <w:noProof/>
        </w:rPr>
        <w:t>5</w:t>
      </w:r>
      <w:r w:rsidR="007104CC">
        <w:fldChar w:fldCharType="end"/>
      </w:r>
      <w:r w:rsidR="007104CC">
        <w:t>).</w:t>
      </w:r>
    </w:p>
    <w:p w14:paraId="1B73B1A9" w14:textId="0C16C12E" w:rsidR="005435D9" w:rsidRDefault="005435D9" w:rsidP="007104CC">
      <w:pPr>
        <w:pStyle w:val="FigureTitle"/>
      </w:pPr>
      <w:bookmarkStart w:id="45" w:name="_Ref122613912"/>
      <w:r>
        <w:t xml:space="preserve">Figure </w:t>
      </w:r>
      <w:r w:rsidR="00EA2B2C">
        <w:fldChar w:fldCharType="begin"/>
      </w:r>
      <w:r w:rsidR="00EA2B2C">
        <w:instrText xml:space="preserve"> SEQ Figure \* ARABIC </w:instrText>
      </w:r>
      <w:r w:rsidR="00EA2B2C">
        <w:fldChar w:fldCharType="separate"/>
      </w:r>
      <w:r w:rsidR="00555193">
        <w:rPr>
          <w:noProof/>
        </w:rPr>
        <w:t>5</w:t>
      </w:r>
      <w:r w:rsidR="00EA2B2C">
        <w:rPr>
          <w:noProof/>
        </w:rPr>
        <w:fldChar w:fldCharType="end"/>
      </w:r>
      <w:bookmarkEnd w:id="45"/>
      <w:r>
        <w:t xml:space="preserve">: </w:t>
      </w:r>
      <w:r w:rsidR="006C38DB">
        <w:t xml:space="preserve">Studies EV-301 and EV-201 </w:t>
      </w:r>
      <w:r w:rsidR="007104CC" w:rsidRPr="007104CC">
        <w:t xml:space="preserve">Exposure </w:t>
      </w:r>
      <w:r w:rsidR="007104CC">
        <w:t>r</w:t>
      </w:r>
      <w:r w:rsidR="007104CC" w:rsidRPr="007104CC">
        <w:t xml:space="preserve">esponse </w:t>
      </w:r>
      <w:r w:rsidR="007104CC">
        <w:t>r</w:t>
      </w:r>
      <w:r w:rsidR="007104CC" w:rsidRPr="007104CC">
        <w:t xml:space="preserve">elationship for efficacy endpoints for enfortumab vedotin and </w:t>
      </w:r>
      <w:r w:rsidR="007104CC" w:rsidRPr="00EE0764">
        <w:t>monomethyl auristatin E</w:t>
      </w:r>
    </w:p>
    <w:p w14:paraId="75F55F73" w14:textId="79685E49" w:rsidR="007104CC" w:rsidRDefault="007104CC" w:rsidP="007104CC">
      <w:pPr>
        <w:pStyle w:val="FigureTitle"/>
      </w:pPr>
      <w:r>
        <w:rPr>
          <w:noProof/>
          <w:lang w:val="en-GB" w:eastAsia="en-GB"/>
        </w:rPr>
        <w:drawing>
          <wp:inline distT="0" distB="0" distL="0" distR="0" wp14:anchorId="08CA8158" wp14:editId="6BC756DD">
            <wp:extent cx="5372100" cy="3971821"/>
            <wp:effectExtent l="0" t="0" r="0" b="0"/>
            <wp:docPr id="7" name="Picture 7" descr="Exposure response relationship for efficacy endpoints for enfortumab vedotin and monomethyl auristatin E for Study EV-301 and Study 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posure response relationship for efficacy endpoints for enfortumab vedotin and monomethyl auristatin E for Study EV-301 and Study EV-201"/>
                    <pic:cNvPicPr>
                      <a:picLocks noChangeAspect="1" noChangeArrowheads="1"/>
                    </pic:cNvPicPr>
                  </pic:nvPicPr>
                  <pic:blipFill rotWithShape="1">
                    <a:blip r:embed="rId23">
                      <a:extLst>
                        <a:ext uri="{28A0092B-C50C-407E-A947-70E740481C1C}">
                          <a14:useLocalDpi xmlns:a14="http://schemas.microsoft.com/office/drawing/2010/main" val="0"/>
                        </a:ext>
                      </a:extLst>
                    </a:blip>
                    <a:srcRect r="9315" b="9348"/>
                    <a:stretch/>
                  </pic:blipFill>
                  <pic:spPr bwMode="auto">
                    <a:xfrm>
                      <a:off x="0" y="0"/>
                      <a:ext cx="5382494" cy="3979506"/>
                    </a:xfrm>
                    <a:prstGeom prst="rect">
                      <a:avLst/>
                    </a:prstGeom>
                    <a:noFill/>
                    <a:ln>
                      <a:noFill/>
                    </a:ln>
                    <a:extLst>
                      <a:ext uri="{53640926-AAD7-44D8-BBD7-CCE9431645EC}">
                        <a14:shadowObscured xmlns:a14="http://schemas.microsoft.com/office/drawing/2010/main"/>
                      </a:ext>
                    </a:extLst>
                  </pic:spPr>
                </pic:pic>
              </a:graphicData>
            </a:graphic>
          </wp:inline>
        </w:drawing>
      </w:r>
    </w:p>
    <w:p w14:paraId="33F6044A" w14:textId="5F1B0767" w:rsidR="007104CC" w:rsidRDefault="006C38DB" w:rsidP="002C530E">
      <w:pPr>
        <w:pStyle w:val="FigureDescription"/>
      </w:pPr>
      <w:r>
        <w:t xml:space="preserve">Abbreviations: </w:t>
      </w:r>
      <w:r w:rsidR="007104CC">
        <w:t>OS: overall survival, BOR: best overall response (</w:t>
      </w:r>
      <w:r>
        <w:t xml:space="preserve">complete response </w:t>
      </w:r>
      <w:r w:rsidR="007104CC">
        <w:t xml:space="preserve">or </w:t>
      </w:r>
      <w:r>
        <w:t>partial response</w:t>
      </w:r>
      <w:r w:rsidR="007104CC">
        <w:t>)</w:t>
      </w:r>
      <w:r>
        <w:t xml:space="preserve">; </w:t>
      </w:r>
      <w:proofErr w:type="spellStart"/>
      <w:r>
        <w:t>Cavg</w:t>
      </w:r>
      <w:proofErr w:type="spellEnd"/>
      <w:r>
        <w:t xml:space="preserve"> = average concentration; CR: complete response; MMAE: monomethyl auristatin E PR: partial response.</w:t>
      </w:r>
    </w:p>
    <w:p w14:paraId="5D699E0D" w14:textId="54AEF4D4" w:rsidR="007104CC" w:rsidRDefault="007104CC" w:rsidP="007104CC">
      <w:r>
        <w:t>T</w:t>
      </w:r>
      <w:r w:rsidRPr="007104CC">
        <w:t xml:space="preserve">he relationship between overall survival and </w:t>
      </w:r>
      <w:r>
        <w:t>enfortumab vedotin</w:t>
      </w:r>
      <w:r w:rsidRPr="007104CC">
        <w:t xml:space="preserve"> concentration v</w:t>
      </w:r>
      <w:r>
        <w:t>ersus</w:t>
      </w:r>
      <w:r w:rsidRPr="007104CC">
        <w:t xml:space="preserve"> chemotherapy and MMAE concentration </w:t>
      </w:r>
      <w:r>
        <w:t>versus</w:t>
      </w:r>
      <w:r w:rsidRPr="007104CC">
        <w:t xml:space="preserve"> chemotherapy are illustrated</w:t>
      </w:r>
      <w:r>
        <w:t xml:space="preserve"> in </w:t>
      </w:r>
      <w:r>
        <w:fldChar w:fldCharType="begin"/>
      </w:r>
      <w:r>
        <w:instrText xml:space="preserve"> REF _Ref122614255 \h </w:instrText>
      </w:r>
      <w:r>
        <w:fldChar w:fldCharType="separate"/>
      </w:r>
      <w:r w:rsidR="00555193">
        <w:t xml:space="preserve">Figure </w:t>
      </w:r>
      <w:r w:rsidR="00555193">
        <w:rPr>
          <w:noProof/>
        </w:rPr>
        <w:t>6</w:t>
      </w:r>
      <w:r>
        <w:fldChar w:fldCharType="end"/>
      </w:r>
      <w:r w:rsidRPr="007104CC">
        <w:t xml:space="preserve">. This shows a similar lack of clarity about the exposure response relationship for </w:t>
      </w:r>
      <w:r>
        <w:t>enfortumab vedotin</w:t>
      </w:r>
      <w:r w:rsidRPr="007104CC">
        <w:t xml:space="preserve"> concentration but a clear negative relationship between increased MMAE concentration and overall survival.</w:t>
      </w:r>
    </w:p>
    <w:p w14:paraId="0DCD34C1" w14:textId="154C4709" w:rsidR="007104CC" w:rsidRDefault="007104CC" w:rsidP="007104CC">
      <w:pPr>
        <w:pStyle w:val="FigureTitle"/>
      </w:pPr>
      <w:bookmarkStart w:id="46" w:name="_Ref122614255"/>
      <w:r>
        <w:lastRenderedPageBreak/>
        <w:t xml:space="preserve">Figure </w:t>
      </w:r>
      <w:r w:rsidR="00EA2B2C">
        <w:fldChar w:fldCharType="begin"/>
      </w:r>
      <w:r w:rsidR="00EA2B2C">
        <w:instrText xml:space="preserve"> SEQ Figure \* ARABIC </w:instrText>
      </w:r>
      <w:r w:rsidR="00EA2B2C">
        <w:fldChar w:fldCharType="separate"/>
      </w:r>
      <w:r w:rsidR="00555193">
        <w:rPr>
          <w:noProof/>
        </w:rPr>
        <w:t>6</w:t>
      </w:r>
      <w:r w:rsidR="00EA2B2C">
        <w:rPr>
          <w:noProof/>
        </w:rPr>
        <w:fldChar w:fldCharType="end"/>
      </w:r>
      <w:bookmarkEnd w:id="46"/>
      <w:r>
        <w:t>:</w:t>
      </w:r>
      <w:r w:rsidRPr="007104CC">
        <w:t xml:space="preserve"> Modelled </w:t>
      </w:r>
      <w:r>
        <w:t>p</w:t>
      </w:r>
      <w:r w:rsidRPr="007104CC">
        <w:t xml:space="preserve">robability of </w:t>
      </w:r>
      <w:r>
        <w:t>o</w:t>
      </w:r>
      <w:r w:rsidRPr="007104CC">
        <w:t xml:space="preserve">verall </w:t>
      </w:r>
      <w:r>
        <w:t>s</w:t>
      </w:r>
      <w:r w:rsidRPr="007104CC">
        <w:t xml:space="preserve">urvival by </w:t>
      </w:r>
      <w:r>
        <w:t>e</w:t>
      </w:r>
      <w:r w:rsidRPr="007104CC">
        <w:t xml:space="preserve">xposure </w:t>
      </w:r>
      <w:r>
        <w:t>q</w:t>
      </w:r>
      <w:r w:rsidRPr="007104CC">
        <w:t xml:space="preserve">uartile </w:t>
      </w:r>
      <w:r>
        <w:t>o</w:t>
      </w:r>
      <w:r w:rsidRPr="007104CC">
        <w:t xml:space="preserve">ver </w:t>
      </w:r>
      <w:r>
        <w:t>t</w:t>
      </w:r>
      <w:r w:rsidRPr="007104CC">
        <w:t xml:space="preserve">ime for </w:t>
      </w:r>
      <w:r>
        <w:t>e</w:t>
      </w:r>
      <w:r w:rsidRPr="007104CC">
        <w:t xml:space="preserve">nfortumab </w:t>
      </w:r>
      <w:r>
        <w:t>v</w:t>
      </w:r>
      <w:r w:rsidRPr="007104CC">
        <w:t>edotin and</w:t>
      </w:r>
      <w:r>
        <w:t xml:space="preserve"> </w:t>
      </w:r>
      <w:r w:rsidRPr="007104CC">
        <w:t>monomethyl auristatin E</w:t>
      </w:r>
    </w:p>
    <w:p w14:paraId="3A9144F6" w14:textId="34166F3E" w:rsidR="007104CC" w:rsidRDefault="007104CC" w:rsidP="007104CC">
      <w:pPr>
        <w:pStyle w:val="FigureTitle"/>
      </w:pPr>
      <w:r>
        <w:rPr>
          <w:noProof/>
          <w:lang w:val="en-GB" w:eastAsia="en-GB"/>
        </w:rPr>
        <w:drawing>
          <wp:inline distT="0" distB="0" distL="0" distR="0" wp14:anchorId="3480B778" wp14:editId="399B2698">
            <wp:extent cx="5730875" cy="4457700"/>
            <wp:effectExtent l="0" t="0" r="3175" b="0"/>
            <wp:docPr id="8" name="Picture 8" descr="Modelled probability of overall survival by exposure quartile over time for enfortumab vedotin and monomethyl auristati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led probability of overall survival by exposure quartile over time for enfortumab vedotin and monomethyl auristatin E"/>
                    <pic:cNvPicPr>
                      <a:picLocks noChangeAspect="1" noChangeArrowheads="1"/>
                    </pic:cNvPicPr>
                  </pic:nvPicPr>
                  <pic:blipFill rotWithShape="1">
                    <a:blip r:embed="rId24">
                      <a:extLst>
                        <a:ext uri="{28A0092B-C50C-407E-A947-70E740481C1C}">
                          <a14:useLocalDpi xmlns:a14="http://schemas.microsoft.com/office/drawing/2010/main" val="0"/>
                        </a:ext>
                      </a:extLst>
                    </a:blip>
                    <a:srcRect b="15177"/>
                    <a:stretch/>
                  </pic:blipFill>
                  <pic:spPr bwMode="auto">
                    <a:xfrm>
                      <a:off x="0" y="0"/>
                      <a:ext cx="5730875"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5BB65AD0" w14:textId="2AF7F0A8" w:rsidR="007104CC" w:rsidRDefault="006C38DB" w:rsidP="002C530E">
      <w:pPr>
        <w:pStyle w:val="FigureDescription"/>
      </w:pPr>
      <w:r>
        <w:t xml:space="preserve">Abbreviations: </w:t>
      </w:r>
      <w:proofErr w:type="spellStart"/>
      <w:r>
        <w:t>C</w:t>
      </w:r>
      <w:r>
        <w:rPr>
          <w:vertAlign w:val="subscript"/>
        </w:rPr>
        <w:t>avg</w:t>
      </w:r>
      <w:proofErr w:type="spellEnd"/>
      <w:r>
        <w:t xml:space="preserve"> = average concentration; </w:t>
      </w:r>
      <w:r w:rsidR="007104CC">
        <w:t xml:space="preserve">Chemo: chemotherapy arm of Study EV-301, EV: enfortumab vedotin, OS: overall survival, Q1: </w:t>
      </w:r>
      <w:r w:rsidR="007104CC" w:rsidRPr="006C38DB">
        <w:t>minimum to 25</w:t>
      </w:r>
      <w:r w:rsidR="007104CC" w:rsidRPr="002C52E0">
        <w:t>th</w:t>
      </w:r>
      <w:r w:rsidR="007104CC" w:rsidRPr="006C38DB">
        <w:t xml:space="preserve"> percent</w:t>
      </w:r>
      <w:r w:rsidR="007104CC">
        <w:t xml:space="preserve">ile of </w:t>
      </w:r>
      <w:proofErr w:type="spellStart"/>
      <w:r w:rsidR="007104CC">
        <w:t>C</w:t>
      </w:r>
      <w:r w:rsidR="007104CC">
        <w:rPr>
          <w:vertAlign w:val="subscript"/>
        </w:rPr>
        <w:t>avg</w:t>
      </w:r>
      <w:proofErr w:type="spellEnd"/>
      <w:r w:rsidR="007104CC">
        <w:t xml:space="preserve">, Q2: </w:t>
      </w:r>
      <w:r w:rsidR="007104CC" w:rsidRPr="006C38DB">
        <w:t>25</w:t>
      </w:r>
      <w:r w:rsidR="007104CC" w:rsidRPr="002C52E0">
        <w:t>th</w:t>
      </w:r>
      <w:r w:rsidR="007104CC" w:rsidRPr="006C38DB">
        <w:t xml:space="preserve"> to 50</w:t>
      </w:r>
      <w:r w:rsidR="007104CC" w:rsidRPr="002C52E0">
        <w:t>th</w:t>
      </w:r>
      <w:r w:rsidR="007104CC" w:rsidRPr="006C38DB">
        <w:t xml:space="preserve"> percentile</w:t>
      </w:r>
      <w:r w:rsidR="007104CC">
        <w:t xml:space="preserve"> of </w:t>
      </w:r>
      <w:proofErr w:type="spellStart"/>
      <w:r w:rsidR="007104CC">
        <w:t>C</w:t>
      </w:r>
      <w:r w:rsidR="007104CC">
        <w:rPr>
          <w:vertAlign w:val="subscript"/>
        </w:rPr>
        <w:t>avg</w:t>
      </w:r>
      <w:proofErr w:type="spellEnd"/>
      <w:r w:rsidR="007104CC">
        <w:t xml:space="preserve">, Q3: </w:t>
      </w:r>
      <w:r w:rsidR="007104CC" w:rsidRPr="006C38DB">
        <w:t>50</w:t>
      </w:r>
      <w:r w:rsidR="007104CC" w:rsidRPr="002C52E0">
        <w:t>th</w:t>
      </w:r>
      <w:r w:rsidR="007104CC" w:rsidRPr="006C38DB">
        <w:t xml:space="preserve"> to 75</w:t>
      </w:r>
      <w:r w:rsidR="007104CC" w:rsidRPr="002C52E0">
        <w:t>th</w:t>
      </w:r>
      <w:r w:rsidR="007104CC" w:rsidRPr="006C38DB">
        <w:t xml:space="preserve"> percentile</w:t>
      </w:r>
      <w:r w:rsidR="007104CC">
        <w:t xml:space="preserve"> of </w:t>
      </w:r>
      <w:proofErr w:type="spellStart"/>
      <w:r w:rsidR="007104CC">
        <w:t>C</w:t>
      </w:r>
      <w:r w:rsidR="007104CC">
        <w:rPr>
          <w:vertAlign w:val="subscript"/>
        </w:rPr>
        <w:t>avg</w:t>
      </w:r>
      <w:proofErr w:type="spellEnd"/>
      <w:r w:rsidR="007104CC">
        <w:t xml:space="preserve">, Q4: </w:t>
      </w:r>
      <w:r w:rsidR="007104CC" w:rsidRPr="006C38DB">
        <w:t>75</w:t>
      </w:r>
      <w:r w:rsidR="007104CC" w:rsidRPr="002C52E0">
        <w:t>th</w:t>
      </w:r>
      <w:r w:rsidR="007104CC" w:rsidRPr="006C38DB">
        <w:t xml:space="preserve"> to</w:t>
      </w:r>
      <w:r w:rsidR="007104CC">
        <w:t xml:space="preserve"> maximum of </w:t>
      </w:r>
      <w:proofErr w:type="spellStart"/>
      <w:r w:rsidR="007104CC">
        <w:t>C</w:t>
      </w:r>
      <w:r w:rsidR="007104CC">
        <w:rPr>
          <w:vertAlign w:val="subscript"/>
        </w:rPr>
        <w:t>avg</w:t>
      </w:r>
      <w:proofErr w:type="spellEnd"/>
      <w:r>
        <w:t>; MMAE: monomethyl auristatin E</w:t>
      </w:r>
    </w:p>
    <w:p w14:paraId="7EED294B" w14:textId="1515A84A" w:rsidR="007104CC" w:rsidRDefault="007104CC" w:rsidP="007104CC">
      <w:r w:rsidRPr="007104CC">
        <w:t>There is however a clearer exposure respons</w:t>
      </w:r>
      <w:r w:rsidRPr="00CF3A09">
        <w:t xml:space="preserve">e relationship with safety, with the probability of </w:t>
      </w:r>
      <w:r w:rsidR="00FC432B" w:rsidRPr="00CF3A09">
        <w:t>greater than or equal to</w:t>
      </w:r>
      <w:r w:rsidRPr="00CF3A09">
        <w:t xml:space="preserve"> </w:t>
      </w:r>
      <w:r w:rsidR="00CF3A09" w:rsidRPr="00CF3A09">
        <w:t>G</w:t>
      </w:r>
      <w:r w:rsidR="00FC432B" w:rsidRPr="00CF3A09">
        <w:t xml:space="preserve">rade </w:t>
      </w:r>
      <w:r w:rsidRPr="00CF3A09">
        <w:t xml:space="preserve">3 events increasing with increasing exposures of </w:t>
      </w:r>
      <w:r w:rsidR="00FC432B" w:rsidRPr="00CF3A09">
        <w:t>enfortumab vedotin</w:t>
      </w:r>
      <w:r w:rsidRPr="00CF3A09">
        <w:t>,</w:t>
      </w:r>
      <w:bookmarkStart w:id="47" w:name="_Ref124241058"/>
      <w:r w:rsidR="006926B4" w:rsidRPr="00CF3A09">
        <w:rPr>
          <w:rStyle w:val="FootnoteReference"/>
        </w:rPr>
        <w:footnoteReference w:id="12"/>
      </w:r>
      <w:bookmarkEnd w:id="47"/>
      <w:r w:rsidRPr="00CF3A09">
        <w:t xml:space="preserve"> as </w:t>
      </w:r>
      <w:r w:rsidR="006926B4" w:rsidRPr="00CF3A09">
        <w:t>does</w:t>
      </w:r>
      <w:r w:rsidRPr="00CF3A09">
        <w:t xml:space="preserve"> the risk of dose interruptions (</w:t>
      </w:r>
      <w:r w:rsidR="006C38DB">
        <w:t xml:space="preserve">see </w:t>
      </w:r>
      <w:r w:rsidR="00275986">
        <w:fldChar w:fldCharType="begin"/>
      </w:r>
      <w:r w:rsidR="00275986">
        <w:instrText xml:space="preserve"> REF _Ref122692737 \h </w:instrText>
      </w:r>
      <w:r w:rsidR="00275986">
        <w:fldChar w:fldCharType="separate"/>
      </w:r>
      <w:r w:rsidR="00555193">
        <w:t xml:space="preserve">Figure </w:t>
      </w:r>
      <w:r w:rsidR="00555193">
        <w:rPr>
          <w:noProof/>
        </w:rPr>
        <w:t>7</w:t>
      </w:r>
      <w:r w:rsidR="00275986">
        <w:fldChar w:fldCharType="end"/>
      </w:r>
      <w:r w:rsidR="00275986">
        <w:t xml:space="preserve"> </w:t>
      </w:r>
      <w:r w:rsidR="006926B4" w:rsidRPr="00CF3A09">
        <w:t>and</w:t>
      </w:r>
      <w:r w:rsidRPr="00CF3A09">
        <w:t xml:space="preserve"> </w:t>
      </w:r>
      <w:r w:rsidR="00275986">
        <w:fldChar w:fldCharType="begin"/>
      </w:r>
      <w:r w:rsidR="00275986">
        <w:instrText xml:space="preserve"> REF _Ref122692766 \h </w:instrText>
      </w:r>
      <w:r w:rsidR="00275986">
        <w:fldChar w:fldCharType="separate"/>
      </w:r>
      <w:r w:rsidR="00555193">
        <w:t xml:space="preserve">Figure </w:t>
      </w:r>
      <w:r w:rsidR="00555193">
        <w:rPr>
          <w:noProof/>
        </w:rPr>
        <w:t>8</w:t>
      </w:r>
      <w:r w:rsidR="00275986">
        <w:fldChar w:fldCharType="end"/>
      </w:r>
      <w:r w:rsidRPr="00CF3A09">
        <w:t xml:space="preserve">). Specific analyses showed the probability of </w:t>
      </w:r>
      <w:r w:rsidR="00CF3A09" w:rsidRPr="00CF3A09">
        <w:t>G</w:t>
      </w:r>
      <w:r w:rsidRPr="00CF3A09">
        <w:t>rade 3</w:t>
      </w:r>
      <w:r w:rsidRPr="007104CC">
        <w:t xml:space="preserve"> or higher skin reactions and hyperglycaemia increased exponentially with increasing average enfortumab vedotin exposure.</w:t>
      </w:r>
    </w:p>
    <w:p w14:paraId="5D04A3DF" w14:textId="29AF14F0" w:rsidR="0022781B" w:rsidRDefault="0022781B" w:rsidP="00275986">
      <w:pPr>
        <w:pStyle w:val="FigureTitle"/>
      </w:pPr>
      <w:bookmarkStart w:id="48" w:name="_Ref122692737"/>
      <w:r>
        <w:lastRenderedPageBreak/>
        <w:t xml:space="preserve">Figure </w:t>
      </w:r>
      <w:r w:rsidR="00EA2B2C">
        <w:fldChar w:fldCharType="begin"/>
      </w:r>
      <w:r w:rsidR="00EA2B2C">
        <w:instrText xml:space="preserve"> SEQ Fi</w:instrText>
      </w:r>
      <w:r w:rsidR="00EA2B2C">
        <w:instrText xml:space="preserve">gure \* ARABIC </w:instrText>
      </w:r>
      <w:r w:rsidR="00EA2B2C">
        <w:fldChar w:fldCharType="separate"/>
      </w:r>
      <w:r w:rsidR="00555193">
        <w:rPr>
          <w:noProof/>
        </w:rPr>
        <w:t>7</w:t>
      </w:r>
      <w:r w:rsidR="00EA2B2C">
        <w:rPr>
          <w:noProof/>
        </w:rPr>
        <w:fldChar w:fldCharType="end"/>
      </w:r>
      <w:bookmarkEnd w:id="48"/>
      <w:r>
        <w:t xml:space="preserve">: Average exposures of </w:t>
      </w:r>
      <w:r w:rsidR="00CF3A09">
        <w:t>e</w:t>
      </w:r>
      <w:r>
        <w:t xml:space="preserve">nfortumab </w:t>
      </w:r>
      <w:r w:rsidR="00CF3A09">
        <w:t>v</w:t>
      </w:r>
      <w:r>
        <w:t xml:space="preserve">edotin and free </w:t>
      </w:r>
      <w:r w:rsidR="00CF3A09" w:rsidRPr="007104CC">
        <w:t>monomethyl auristatin</w:t>
      </w:r>
      <w:r w:rsidR="006C38DB">
        <w:t> </w:t>
      </w:r>
      <w:r w:rsidR="00CF3A09" w:rsidRPr="007104CC">
        <w:t>E</w:t>
      </w:r>
      <w:r>
        <w:t xml:space="preserve"> up to the </w:t>
      </w:r>
      <w:r w:rsidR="00CF3A09">
        <w:t>t</w:t>
      </w:r>
      <w:r>
        <w:t xml:space="preserve">ime of </w:t>
      </w:r>
      <w:r w:rsidR="00CF3A09">
        <w:t>e</w:t>
      </w:r>
      <w:r>
        <w:t xml:space="preserve">vent or </w:t>
      </w:r>
      <w:r w:rsidR="00CF3A09">
        <w:t>l</w:t>
      </w:r>
      <w:r>
        <w:t xml:space="preserve">ast </w:t>
      </w:r>
      <w:r w:rsidR="00CF3A09">
        <w:t>d</w:t>
      </w:r>
      <w:r>
        <w:t xml:space="preserve">ose and the </w:t>
      </w:r>
      <w:r w:rsidR="00CF3A09">
        <w:t>p</w:t>
      </w:r>
      <w:r>
        <w:t xml:space="preserve">robability of </w:t>
      </w:r>
      <w:r w:rsidR="00CF3A09">
        <w:t>d</w:t>
      </w:r>
      <w:r>
        <w:t>rug</w:t>
      </w:r>
      <w:r w:rsidR="00CF3A09">
        <w:t xml:space="preserve"> </w:t>
      </w:r>
      <w:r>
        <w:t xml:space="preserve">related Grade 3 or </w:t>
      </w:r>
      <w:r w:rsidR="00CF3A09">
        <w:t>h</w:t>
      </w:r>
      <w:r>
        <w:t xml:space="preserve">igher </w:t>
      </w:r>
      <w:r w:rsidR="00275986">
        <w:t>t</w:t>
      </w:r>
      <w:r w:rsidR="00275986" w:rsidRPr="00275986">
        <w:t>reatment</w:t>
      </w:r>
      <w:r w:rsidR="00275986">
        <w:t xml:space="preserve"> </w:t>
      </w:r>
      <w:r w:rsidR="00275986" w:rsidRPr="00275986">
        <w:t>emergent adverse event</w:t>
      </w:r>
      <w:r w:rsidR="00275986">
        <w:t>s</w:t>
      </w:r>
    </w:p>
    <w:p w14:paraId="7005E985" w14:textId="0AEE7F53" w:rsidR="006C38DB" w:rsidRDefault="00275986" w:rsidP="00275986">
      <w:r w:rsidRPr="00275986">
        <w:rPr>
          <w:noProof/>
          <w:lang w:val="en-GB" w:eastAsia="en-GB"/>
        </w:rPr>
        <w:drawing>
          <wp:inline distT="0" distB="0" distL="0" distR="0" wp14:anchorId="157C1994" wp14:editId="23BE3C05">
            <wp:extent cx="5314950" cy="2190750"/>
            <wp:effectExtent l="0" t="0" r="0" b="0"/>
            <wp:docPr id="9" name="Picture 9" descr="Average exposures of enfortumab vedotin and free monomethyl auristatin E up to the time of event or last dose and the probability of drug related Grade 3 or higher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verage exposures of enfortumab vedotin and free monomethyl auristatin E up to the time of event or last dose and the probability of drug related Grade 3 or higher treatment emergent adverse events"/>
                    <pic:cNvPicPr>
                      <a:picLocks noChangeAspect="1" noChangeArrowheads="1"/>
                    </pic:cNvPicPr>
                  </pic:nvPicPr>
                  <pic:blipFill rotWithShape="1">
                    <a:blip r:embed="rId25">
                      <a:extLst>
                        <a:ext uri="{28A0092B-C50C-407E-A947-70E740481C1C}">
                          <a14:useLocalDpi xmlns:a14="http://schemas.microsoft.com/office/drawing/2010/main" val="0"/>
                        </a:ext>
                      </a:extLst>
                    </a:blip>
                    <a:srcRect r="2437" b="33333"/>
                    <a:stretch/>
                  </pic:blipFill>
                  <pic:spPr bwMode="auto">
                    <a:xfrm>
                      <a:off x="0" y="0"/>
                      <a:ext cx="5320672" cy="2193109"/>
                    </a:xfrm>
                    <a:prstGeom prst="rect">
                      <a:avLst/>
                    </a:prstGeom>
                    <a:noFill/>
                    <a:ln>
                      <a:noFill/>
                    </a:ln>
                    <a:extLst>
                      <a:ext uri="{53640926-AAD7-44D8-BBD7-CCE9431645EC}">
                        <a14:shadowObscured xmlns:a14="http://schemas.microsoft.com/office/drawing/2010/main"/>
                      </a:ext>
                    </a:extLst>
                  </pic:spPr>
                </pic:pic>
              </a:graphicData>
            </a:graphic>
          </wp:inline>
        </w:drawing>
      </w:r>
    </w:p>
    <w:p w14:paraId="6AAE7D4B" w14:textId="51EB0AA3" w:rsidR="006C38DB" w:rsidRDefault="006C38DB" w:rsidP="002C530E">
      <w:pPr>
        <w:pStyle w:val="FigureDescription"/>
      </w:pPr>
      <w:r>
        <w:t>Abbreviations: MMAE = monomethyl auristatin E</w:t>
      </w:r>
      <w:r w:rsidR="002533B6">
        <w:t>; TEAE = treatment-emergent adverse event.</w:t>
      </w:r>
    </w:p>
    <w:p w14:paraId="4103E59C" w14:textId="01A9F589" w:rsidR="002533B6" w:rsidRDefault="002533B6" w:rsidP="002C530E">
      <w:pPr>
        <w:pStyle w:val="FigureDescription"/>
      </w:pPr>
      <w:r>
        <w:t xml:space="preserve">Adverse event grading by </w:t>
      </w:r>
      <w:r w:rsidRPr="002533B6">
        <w:t xml:space="preserve">Common Terminology Criteria for Adverse Events </w:t>
      </w:r>
      <w:proofErr w:type="gramStart"/>
      <w:r w:rsidRPr="002533B6">
        <w:t>( CTCAE</w:t>
      </w:r>
      <w:proofErr w:type="gramEnd"/>
      <w:r w:rsidRPr="002533B6">
        <w:t xml:space="preserve"> ),</w:t>
      </w:r>
      <w:r>
        <w:t xml:space="preserve"> Grade 3 = severe.</w:t>
      </w:r>
    </w:p>
    <w:p w14:paraId="1B1D8048" w14:textId="344C3588" w:rsidR="00275986" w:rsidRDefault="00275986" w:rsidP="002C530E">
      <w:pPr>
        <w:pStyle w:val="FigureDescription"/>
      </w:pPr>
      <w:r>
        <w:t>All subjects who received enfortumab vedotin (safety analysis set).</w:t>
      </w:r>
    </w:p>
    <w:p w14:paraId="34812B6C" w14:textId="3EC5471F" w:rsidR="00275986" w:rsidRPr="00275986" w:rsidRDefault="00275986" w:rsidP="002C530E">
      <w:pPr>
        <w:pStyle w:val="FigureDescription"/>
      </w:pPr>
      <w:r>
        <w:t>Solid black squares represent the proportion of responders grouped by quartiles of enfortumab vedotin or free MMAE exposure metrics and plotted at the median for the groups with the error bars represent 95% confidence interval (CI). Red solid curves and shaded are represent predicted values and 95% CI o</w:t>
      </w:r>
      <w:r w:rsidR="002533B6">
        <w:t>r</w:t>
      </w:r>
      <w:r>
        <w:t xml:space="preserve"> model predicted response probability, respectively. The exposure range in each quartile is denoted by horizontal black line along with the number of subjects with confirmed complete response or partial response</w:t>
      </w:r>
      <w:r w:rsidR="006C4915">
        <w:t xml:space="preserve">/ </w:t>
      </w:r>
      <w:r>
        <w:t>the total number of subjects in each quartile.</w:t>
      </w:r>
    </w:p>
    <w:p w14:paraId="7BCE1F14" w14:textId="31205A0C" w:rsidR="00275986" w:rsidRDefault="00275986" w:rsidP="006C4915">
      <w:pPr>
        <w:pStyle w:val="FigureTitle"/>
      </w:pPr>
      <w:bookmarkStart w:id="49" w:name="_Ref122692766"/>
      <w:r>
        <w:t xml:space="preserve">Figure </w:t>
      </w:r>
      <w:r w:rsidR="00EA2B2C">
        <w:fldChar w:fldCharType="begin"/>
      </w:r>
      <w:r w:rsidR="00EA2B2C">
        <w:instrText xml:space="preserve"> SEQ Figure \* ARABIC </w:instrText>
      </w:r>
      <w:r w:rsidR="00EA2B2C">
        <w:fldChar w:fldCharType="separate"/>
      </w:r>
      <w:r w:rsidR="00555193">
        <w:rPr>
          <w:noProof/>
        </w:rPr>
        <w:t>8</w:t>
      </w:r>
      <w:r w:rsidR="00EA2B2C">
        <w:rPr>
          <w:noProof/>
        </w:rPr>
        <w:fldChar w:fldCharType="end"/>
      </w:r>
      <w:bookmarkEnd w:id="49"/>
      <w:r>
        <w:t xml:space="preserve">: </w:t>
      </w:r>
      <w:r w:rsidR="006C4915" w:rsidRPr="006C4915">
        <w:t xml:space="preserve">Average </w:t>
      </w:r>
      <w:r w:rsidR="006C4915">
        <w:t>e</w:t>
      </w:r>
      <w:r w:rsidR="006C4915" w:rsidRPr="006C4915">
        <w:t xml:space="preserve">xposures of </w:t>
      </w:r>
      <w:r w:rsidR="006C4915">
        <w:t>e</w:t>
      </w:r>
      <w:r w:rsidR="006C4915" w:rsidRPr="006C4915">
        <w:t xml:space="preserve">nfortumab </w:t>
      </w:r>
      <w:r w:rsidR="006C4915">
        <w:t>v</w:t>
      </w:r>
      <w:r w:rsidR="006C4915" w:rsidRPr="006C4915">
        <w:t xml:space="preserve">edotin and free monomethyl auristatin E up to the </w:t>
      </w:r>
      <w:r w:rsidR="006C4915">
        <w:t>t</w:t>
      </w:r>
      <w:r w:rsidR="006C4915" w:rsidRPr="006C4915">
        <w:t xml:space="preserve">ime of </w:t>
      </w:r>
      <w:r w:rsidR="006C4915">
        <w:t>e</w:t>
      </w:r>
      <w:r w:rsidR="006C4915" w:rsidRPr="006C4915">
        <w:t xml:space="preserve">vent or </w:t>
      </w:r>
      <w:r w:rsidR="006C4915">
        <w:t>l</w:t>
      </w:r>
      <w:r w:rsidR="006C4915" w:rsidRPr="006C4915">
        <w:t xml:space="preserve">ast </w:t>
      </w:r>
      <w:r w:rsidR="006C4915">
        <w:t>d</w:t>
      </w:r>
      <w:r w:rsidR="006C4915" w:rsidRPr="006C4915">
        <w:t xml:space="preserve">ose and the </w:t>
      </w:r>
      <w:r w:rsidR="006C4915">
        <w:t>p</w:t>
      </w:r>
      <w:r w:rsidR="006C4915" w:rsidRPr="006C4915">
        <w:t xml:space="preserve">robability of </w:t>
      </w:r>
      <w:r w:rsidR="006C4915">
        <w:t>d</w:t>
      </w:r>
      <w:r w:rsidR="006C4915" w:rsidRPr="006C4915">
        <w:t xml:space="preserve">ose </w:t>
      </w:r>
      <w:r w:rsidR="006C4915">
        <w:t>a</w:t>
      </w:r>
      <w:r w:rsidR="006C4915" w:rsidRPr="006C4915">
        <w:t xml:space="preserve">djustment </w:t>
      </w:r>
      <w:r w:rsidR="006C4915">
        <w:t>d</w:t>
      </w:r>
      <w:r w:rsidR="006C4915" w:rsidRPr="006C4915">
        <w:t xml:space="preserve">ue to treatment emergent adverse events </w:t>
      </w:r>
    </w:p>
    <w:p w14:paraId="7096ACB3" w14:textId="20CC6929" w:rsidR="006C4915" w:rsidRDefault="006C4915" w:rsidP="006C4915">
      <w:r>
        <w:rPr>
          <w:noProof/>
          <w:lang w:val="en-GB" w:eastAsia="en-GB"/>
        </w:rPr>
        <w:drawing>
          <wp:inline distT="0" distB="0" distL="0" distR="0" wp14:anchorId="508ED08D" wp14:editId="6B2ABBDC">
            <wp:extent cx="5314950" cy="2819400"/>
            <wp:effectExtent l="0" t="0" r="0" b="0"/>
            <wp:docPr id="10" name="Picture 10" descr="Average exposures of enfortumab vedotin and free monomethyl auristatin E up to the time of event or last dose and the probability of dose adjustment due to treatment emergent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verage exposures of enfortumab vedotin and free monomethyl auristatin E up to the time of event or last dose and the probability of dose adjustment due to treatment emergent adverse events "/>
                    <pic:cNvPicPr>
                      <a:picLocks noChangeAspect="1" noChangeArrowheads="1"/>
                    </pic:cNvPicPr>
                  </pic:nvPicPr>
                  <pic:blipFill rotWithShape="1">
                    <a:blip r:embed="rId26">
                      <a:extLst>
                        <a:ext uri="{28A0092B-C50C-407E-A947-70E740481C1C}">
                          <a14:useLocalDpi xmlns:a14="http://schemas.microsoft.com/office/drawing/2010/main" val="0"/>
                        </a:ext>
                      </a:extLst>
                    </a:blip>
                    <a:srcRect l="-1" r="1407" b="34095"/>
                    <a:stretch/>
                  </pic:blipFill>
                  <pic:spPr bwMode="auto">
                    <a:xfrm>
                      <a:off x="0" y="0"/>
                      <a:ext cx="5319317" cy="2821717"/>
                    </a:xfrm>
                    <a:prstGeom prst="rect">
                      <a:avLst/>
                    </a:prstGeom>
                    <a:noFill/>
                    <a:ln>
                      <a:noFill/>
                    </a:ln>
                    <a:extLst>
                      <a:ext uri="{53640926-AAD7-44D8-BBD7-CCE9431645EC}">
                        <a14:shadowObscured xmlns:a14="http://schemas.microsoft.com/office/drawing/2010/main"/>
                      </a:ext>
                    </a:extLst>
                  </pic:spPr>
                </pic:pic>
              </a:graphicData>
            </a:graphic>
          </wp:inline>
        </w:drawing>
      </w:r>
    </w:p>
    <w:p w14:paraId="6C57256A" w14:textId="057669F5" w:rsidR="002533B6" w:rsidRDefault="002533B6" w:rsidP="002C530E">
      <w:pPr>
        <w:pStyle w:val="FigureDescription"/>
      </w:pPr>
      <w:r>
        <w:t>Abbreviations: MMAE = monomethyl auristatin E; TEAE = treatment-emergent adverse event.</w:t>
      </w:r>
    </w:p>
    <w:p w14:paraId="5CEB09A8" w14:textId="625EDD28" w:rsidR="006C4915" w:rsidRDefault="006C4915" w:rsidP="002C530E">
      <w:pPr>
        <w:pStyle w:val="FigureDescription"/>
      </w:pPr>
      <w:r>
        <w:t>All subjects who received enfortumab vedotin (safety analysis set).</w:t>
      </w:r>
    </w:p>
    <w:p w14:paraId="1152417A" w14:textId="336CCD35" w:rsidR="006C4915" w:rsidRDefault="006C4915" w:rsidP="002C530E">
      <w:pPr>
        <w:pStyle w:val="FigureDescription"/>
      </w:pPr>
      <w:r>
        <w:t xml:space="preserve">Solid black squares represent the proportion of responders grouped by quartiles of enfortumab vedotin or free MMAE exposure metrics and lotted at the median for the groups with the error bars represent 95% </w:t>
      </w:r>
      <w:r w:rsidR="002533B6">
        <w:t>confidence intervals (</w:t>
      </w:r>
      <w:r>
        <w:t>CI</w:t>
      </w:r>
      <w:r w:rsidR="002533B6">
        <w:t>)</w:t>
      </w:r>
      <w:r>
        <w:t xml:space="preserve">. Red solid curves and shaded area represent predicted values and 95% CI </w:t>
      </w:r>
      <w:r>
        <w:lastRenderedPageBreak/>
        <w:t>of model predicted response probability, respectively. The exposure range in each quartile is d</w:t>
      </w:r>
      <w:r w:rsidR="00AE0175">
        <w:t>e</w:t>
      </w:r>
      <w:r>
        <w:t>n</w:t>
      </w:r>
      <w:r w:rsidR="00AE0175">
        <w:t>o</w:t>
      </w:r>
      <w:r>
        <w:t>ted by the horizontal black line along with the number or subjects with adverse event/ total number of subjects in each quartile.</w:t>
      </w:r>
    </w:p>
    <w:p w14:paraId="14507CA0" w14:textId="2AA20D59" w:rsidR="00AE0175" w:rsidRDefault="00AE0175" w:rsidP="00AE0175">
      <w:pPr>
        <w:pStyle w:val="Heading5"/>
      </w:pPr>
      <w:r>
        <w:t>Immunogenicity</w:t>
      </w:r>
    </w:p>
    <w:p w14:paraId="7E52B5D6" w14:textId="027FAA24" w:rsidR="00AE0175" w:rsidRDefault="00AE0175" w:rsidP="00AE0175">
      <w:r>
        <w:t>590 subjects were tested for anti-therapeutic antibody to enfortumab vedotin 1.25 mg/kg, with the following results:</w:t>
      </w:r>
    </w:p>
    <w:p w14:paraId="4616E0BB" w14:textId="314646E1" w:rsidR="00AE0175" w:rsidRDefault="00AE0175" w:rsidP="00AE0175">
      <w:pPr>
        <w:pStyle w:val="ListBullet"/>
      </w:pPr>
      <w:r>
        <w:t xml:space="preserve">15 patients were </w:t>
      </w:r>
      <w:r w:rsidR="00D019BF" w:rsidRPr="00D019BF">
        <w:t>anti-therapeutic antibody</w:t>
      </w:r>
      <w:r>
        <w:t xml:space="preserve"> positive at </w:t>
      </w:r>
      <w:r w:rsidR="002533B6">
        <w:t>B</w:t>
      </w:r>
      <w:r>
        <w:t>aseline.</w:t>
      </w:r>
    </w:p>
    <w:p w14:paraId="25E6DE9C" w14:textId="45C8D6CD" w:rsidR="00AE0175" w:rsidRDefault="00AE0175" w:rsidP="00AE0175">
      <w:pPr>
        <w:pStyle w:val="ListBullet"/>
      </w:pPr>
      <w:r>
        <w:t xml:space="preserve">Of the 575 patients negative at </w:t>
      </w:r>
      <w:r w:rsidR="002533B6">
        <w:t>B</w:t>
      </w:r>
      <w:r>
        <w:t xml:space="preserve">aseline, 16 </w:t>
      </w:r>
      <w:r w:rsidR="002533B6">
        <w:t xml:space="preserve">patients </w:t>
      </w:r>
      <w:r>
        <w:t>(2.8%) were positive post</w:t>
      </w:r>
      <w:r w:rsidR="002533B6">
        <w:t>-B</w:t>
      </w:r>
      <w:r>
        <w:t>aseline (13 transiently and 3 persistently).</w:t>
      </w:r>
    </w:p>
    <w:p w14:paraId="2933086F" w14:textId="1454304C" w:rsidR="00AE0175" w:rsidRDefault="00AE0175" w:rsidP="00AE0175">
      <w:pPr>
        <w:pStyle w:val="Heading5"/>
      </w:pPr>
      <w:r>
        <w:t>QT prolongation</w:t>
      </w:r>
    </w:p>
    <w:p w14:paraId="4B6FFB25" w14:textId="54797A06" w:rsidR="00AE0175" w:rsidRDefault="00AE0175" w:rsidP="00AE0175">
      <w:r>
        <w:t xml:space="preserve">Based on </w:t>
      </w:r>
      <w:r w:rsidRPr="00AE0175">
        <w:rPr>
          <w:i/>
          <w:iCs/>
        </w:rPr>
        <w:t>in vitro</w:t>
      </w:r>
      <w:r>
        <w:t xml:space="preserve"> studies interference with the h</w:t>
      </w:r>
      <w:r w:rsidRPr="00AE0175">
        <w:t xml:space="preserve">uman ether-a-go-go </w:t>
      </w:r>
      <w:r w:rsidR="002533B6">
        <w:t>(</w:t>
      </w:r>
      <w:proofErr w:type="spellStart"/>
      <w:r w:rsidR="002533B6">
        <w:t>hERG</w:t>
      </w:r>
      <w:proofErr w:type="spellEnd"/>
      <w:r w:rsidR="002533B6">
        <w:t>)-</w:t>
      </w:r>
      <w:r w:rsidRPr="00AE0175">
        <w:t>related gene</w:t>
      </w:r>
      <w:r>
        <w:t xml:space="preserve"> channel is considered unlikely.</w:t>
      </w:r>
    </w:p>
    <w:p w14:paraId="6E373BB8" w14:textId="3EF714D6" w:rsidR="00AE0175" w:rsidRPr="00AE0175" w:rsidRDefault="00AE0175" w:rsidP="00AE0175">
      <w:r>
        <w:t>QT prolongation was not demonstrated in Study EV-102 in Japanese patients. This is consistent with findings with other drug antibody conjugates to MMAE.</w:t>
      </w:r>
      <w:r>
        <w:rPr>
          <w:rStyle w:val="FootnoteReference"/>
        </w:rPr>
        <w:footnoteReference w:id="13"/>
      </w:r>
    </w:p>
    <w:p w14:paraId="4B8753C7" w14:textId="3912B395" w:rsidR="00AE0175" w:rsidRDefault="00AE0175" w:rsidP="00AE0175">
      <w:pPr>
        <w:pStyle w:val="Heading5"/>
      </w:pPr>
      <w:r>
        <w:t>Dose in clinical studies</w:t>
      </w:r>
    </w:p>
    <w:p w14:paraId="643606F1" w14:textId="2AE3CDD9" w:rsidR="00AE0175" w:rsidRPr="00AE0175" w:rsidRDefault="00AE0175" w:rsidP="00AE0175">
      <w:r w:rsidRPr="00AE0175">
        <w:t xml:space="preserve">Weight based dosing was supported by </w:t>
      </w:r>
      <w:r>
        <w:t>S</w:t>
      </w:r>
      <w:r w:rsidRPr="00AE0175">
        <w:t xml:space="preserve">tudy EV-201. The maximum tolerated dose was not established, however based on the efficacy plateau at higher exposures for </w:t>
      </w:r>
      <w:r>
        <w:t>S</w:t>
      </w:r>
      <w:r w:rsidRPr="00AE0175">
        <w:t>tudy</w:t>
      </w:r>
      <w:r>
        <w:t> </w:t>
      </w:r>
      <w:r w:rsidRPr="00AE0175">
        <w:t>EV</w:t>
      </w:r>
      <w:r>
        <w:noBreakHyphen/>
      </w:r>
      <w:r w:rsidRPr="00AE0175">
        <w:t xml:space="preserve">201 Cohort 2 demonstrated an efficacy plateau at higher systemic exposure levels, suggesting increases in </w:t>
      </w:r>
      <w:r>
        <w:t>enfortumab vedotin</w:t>
      </w:r>
      <w:r w:rsidRPr="00AE0175">
        <w:t xml:space="preserve"> exposures at doses </w:t>
      </w:r>
      <w:r>
        <w:t xml:space="preserve">greater than </w:t>
      </w:r>
      <w:r w:rsidRPr="00AE0175">
        <w:t>1.25</w:t>
      </w:r>
      <w:r>
        <w:t> </w:t>
      </w:r>
      <w:r w:rsidRPr="00AE0175">
        <w:t>mg/kg may not provide additional efficacy benefit.</w:t>
      </w:r>
    </w:p>
    <w:p w14:paraId="1D803DE3" w14:textId="10EBB78F" w:rsidR="00AE0175" w:rsidRDefault="00AE0175" w:rsidP="00AE0175">
      <w:r w:rsidRPr="00AE0175">
        <w:t xml:space="preserve">The estimates of relative dose intensity (RDI) among subjects treated at 1.25 mg/kg were 79% in </w:t>
      </w:r>
      <w:r>
        <w:t xml:space="preserve">Study </w:t>
      </w:r>
      <w:r w:rsidRPr="00AE0175">
        <w:t xml:space="preserve">EV-201 Cohort 2 and 81% in </w:t>
      </w:r>
      <w:r>
        <w:t xml:space="preserve">Study </w:t>
      </w:r>
      <w:r w:rsidRPr="00AE0175">
        <w:t xml:space="preserve">EV-301. Dose reductions were more frequently required at 1.25 mg/kg (31.6% for 1.25 mg/kg </w:t>
      </w:r>
      <w:r>
        <w:t>enfortumab vedotin</w:t>
      </w:r>
      <w:r w:rsidRPr="00AE0175">
        <w:t xml:space="preserve"> safety analysis group) than at lower dose levels (0% at 0.75 mg/kg and 10% at 1 mg/kg in Study</w:t>
      </w:r>
      <w:r w:rsidR="009A00B8">
        <w:t> </w:t>
      </w:r>
      <w:r w:rsidRPr="00AE0175">
        <w:t>EV-101).</w:t>
      </w:r>
    </w:p>
    <w:p w14:paraId="0C8134D4" w14:textId="2F0907D5" w:rsidR="00AE0175" w:rsidRDefault="00AE0175" w:rsidP="00AE0175">
      <w:pPr>
        <w:pStyle w:val="Heading4"/>
      </w:pPr>
      <w:r>
        <w:t>Efficacy</w:t>
      </w:r>
    </w:p>
    <w:p w14:paraId="087E3A91" w14:textId="41301BDD" w:rsidR="00AE0175" w:rsidRDefault="00AE0175" w:rsidP="00AE0175">
      <w:pPr>
        <w:pStyle w:val="Heading4"/>
      </w:pPr>
      <w:r>
        <w:t>Study EV-301</w:t>
      </w:r>
    </w:p>
    <w:p w14:paraId="314C87CC" w14:textId="29897E4B" w:rsidR="00AE0175" w:rsidRPr="00AE0175" w:rsidRDefault="00AE0175" w:rsidP="00AE0175">
      <w:r w:rsidRPr="00AE0175">
        <w:t>This study is considered the pivotal study for t</w:t>
      </w:r>
      <w:r w:rsidR="002533B6">
        <w:t>his submission.</w:t>
      </w:r>
    </w:p>
    <w:p w14:paraId="6DA9CA1E" w14:textId="1CBFEFF0" w:rsidR="00AE0175" w:rsidRDefault="001C558A" w:rsidP="00AE0175">
      <w:r>
        <w:t xml:space="preserve">Study </w:t>
      </w:r>
      <w:r w:rsidR="00AE0175" w:rsidRPr="00AE0175">
        <w:t>EV-301 is an ongoing, global, open</w:t>
      </w:r>
      <w:r>
        <w:t xml:space="preserve"> </w:t>
      </w:r>
      <w:r w:rsidR="00AE0175" w:rsidRPr="00AE0175">
        <w:t xml:space="preserve">label, </w:t>
      </w:r>
      <w:r>
        <w:t>P</w:t>
      </w:r>
      <w:r w:rsidR="00AE0175" w:rsidRPr="00AE0175">
        <w:t xml:space="preserve">hase </w:t>
      </w:r>
      <w:r>
        <w:t>III</w:t>
      </w:r>
      <w:r w:rsidR="00AE0175" w:rsidRPr="00AE0175">
        <w:t xml:space="preserve"> randomised study of 608 patients with locally advanced or metastatic urothelial cancer who have received a platinum</w:t>
      </w:r>
      <w:r>
        <w:t xml:space="preserve"> </w:t>
      </w:r>
      <w:r w:rsidR="00AE0175" w:rsidRPr="00AE0175">
        <w:t xml:space="preserve">containing chemotherapy and a PD-1/PD-L1 inhibitor. Patients were randomised to receive either enfortumab vedotin or investigators choice of chemotherapy (docetaxel, paclitaxel, or vinflunine). Patients were stratified based on geographic region, </w:t>
      </w:r>
      <w:r w:rsidRPr="001C558A">
        <w:t>Eastern Cooperative Oncology Group</w:t>
      </w:r>
      <w:r w:rsidR="00253401">
        <w:t xml:space="preserve"> (ECOG)</w:t>
      </w:r>
      <w:r w:rsidR="00AE0175" w:rsidRPr="00AE0175">
        <w:t xml:space="preserve"> performance status, and presence of liver metastases</w:t>
      </w:r>
      <w:r w:rsidR="00AE0175">
        <w:t>.</w:t>
      </w:r>
    </w:p>
    <w:p w14:paraId="215CCFAD" w14:textId="02840EF6" w:rsidR="00C7035E" w:rsidRPr="00C7035E" w:rsidRDefault="00C7035E" w:rsidP="00C7035E">
      <w:pPr>
        <w:pStyle w:val="FigureTitle"/>
      </w:pPr>
      <w:r w:rsidRPr="00C7035E">
        <w:lastRenderedPageBreak/>
        <w:t xml:space="preserve">Figure </w:t>
      </w:r>
      <w:r w:rsidR="00EA2B2C">
        <w:fldChar w:fldCharType="begin"/>
      </w:r>
      <w:r w:rsidR="00EA2B2C">
        <w:instrText xml:space="preserve"> SEQ Figure \* ARABIC </w:instrText>
      </w:r>
      <w:r w:rsidR="00EA2B2C">
        <w:fldChar w:fldCharType="separate"/>
      </w:r>
      <w:r w:rsidR="00555193">
        <w:rPr>
          <w:noProof/>
        </w:rPr>
        <w:t>9</w:t>
      </w:r>
      <w:r w:rsidR="00EA2B2C">
        <w:rPr>
          <w:noProof/>
        </w:rPr>
        <w:fldChar w:fldCharType="end"/>
      </w:r>
      <w:r w:rsidRPr="00C7035E">
        <w:t>: Study EV-301 schema</w:t>
      </w:r>
    </w:p>
    <w:p w14:paraId="7699B4FD" w14:textId="1CEAB341" w:rsidR="00C7035E" w:rsidRDefault="00C7035E" w:rsidP="00C7035E">
      <w:r>
        <w:rPr>
          <w:noProof/>
          <w:lang w:val="en-GB" w:eastAsia="en-GB"/>
        </w:rPr>
        <w:drawing>
          <wp:inline distT="0" distB="0" distL="0" distR="0" wp14:anchorId="5B9E96B3" wp14:editId="53E4F16B">
            <wp:extent cx="5357734" cy="2152650"/>
            <wp:effectExtent l="0" t="0" r="0" b="0"/>
            <wp:docPr id="11" name="Picture 11" descr="Study EV-301 schema.&#10;Arm A: enfortumab vedotin 1.25 mg/kg intravenous infusion over 30 minutes on Day 1, Day 8 and Day 15 of a 28 day cycle until progressive disease or discontinuation. Arm B: physician’s choice of vinflunine, paclitaxel, or docetaxel (vinflunine capped at approx. 35% of control) until progressive disease or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udy EV-301 schema.&#10;Arm A: enfortumab vedotin 1.25 mg/kg intravenous infusion over 30 minutes on Day 1, Day 8 and Day 15 of a 28 day cycle until progressive disease or discontinuation. Arm B: physician’s choice of vinflunine, paclitaxel, or docetaxel (vinflunine capped at approx. 35% of control) until progressive disease or discontinu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8279" cy="2156887"/>
                    </a:xfrm>
                    <a:prstGeom prst="rect">
                      <a:avLst/>
                    </a:prstGeom>
                    <a:noFill/>
                  </pic:spPr>
                </pic:pic>
              </a:graphicData>
            </a:graphic>
          </wp:inline>
        </w:drawing>
      </w:r>
    </w:p>
    <w:p w14:paraId="71656EB1" w14:textId="7FEDCB34" w:rsidR="00C7035E" w:rsidRPr="00FE2253" w:rsidRDefault="00C7035E" w:rsidP="00FE2253">
      <w:pPr>
        <w:pStyle w:val="Heading5"/>
      </w:pPr>
      <w:r w:rsidRPr="00FE2253">
        <w:t>Treatment</w:t>
      </w:r>
    </w:p>
    <w:p w14:paraId="5B546BA5" w14:textId="1ABEBE5E" w:rsidR="00C7035E" w:rsidRDefault="00C7035E" w:rsidP="00FE2253">
      <w:pPr>
        <w:pStyle w:val="ListBullet"/>
      </w:pPr>
      <w:r w:rsidRPr="00FE2253">
        <w:t xml:space="preserve">Arm A: enfortumab vedotin 1.25 mg/kg </w:t>
      </w:r>
      <w:r w:rsidR="00386A7B">
        <w:t>intravenous</w:t>
      </w:r>
      <w:r w:rsidRPr="00FE2253">
        <w:t xml:space="preserve"> infusion over 30 minutes </w:t>
      </w:r>
      <w:r w:rsidR="00FE2253">
        <w:t>on D</w:t>
      </w:r>
      <w:r w:rsidRPr="00FE2253">
        <w:t>ay</w:t>
      </w:r>
      <w:r w:rsidR="002533B6">
        <w:t> </w:t>
      </w:r>
      <w:r w:rsidR="00FE2253">
        <w:t>1</w:t>
      </w:r>
      <w:r w:rsidRPr="00FE2253">
        <w:t>,</w:t>
      </w:r>
      <w:r w:rsidR="00FE2253">
        <w:t xml:space="preserve"> Day 8 and Day 15 </w:t>
      </w:r>
      <w:r w:rsidRPr="00FE2253">
        <w:t xml:space="preserve">of a </w:t>
      </w:r>
      <w:proofErr w:type="gramStart"/>
      <w:r w:rsidRPr="00FE2253">
        <w:t>28 day</w:t>
      </w:r>
      <w:proofErr w:type="gramEnd"/>
      <w:r w:rsidRPr="00FE2253">
        <w:t xml:space="preserve"> cycle until progressive disease or discontinuation</w:t>
      </w:r>
      <w:r w:rsidR="00FE2253">
        <w:t>.</w:t>
      </w:r>
    </w:p>
    <w:p w14:paraId="6BE6D1ED" w14:textId="5876BD86" w:rsidR="00C7035E" w:rsidRPr="00FE2253" w:rsidRDefault="00C7035E" w:rsidP="00FE2253">
      <w:pPr>
        <w:pStyle w:val="ListBullet"/>
      </w:pPr>
      <w:r w:rsidRPr="00FE2253">
        <w:t xml:space="preserve">Arm B: </w:t>
      </w:r>
      <w:r w:rsidR="00FE2253">
        <w:t>p</w:t>
      </w:r>
      <w:r w:rsidRPr="00FE2253">
        <w:t>hysician’s choice of vinflunine, paclitaxel, or docetaxel (vinflunine capped at approx</w:t>
      </w:r>
      <w:r w:rsidR="00386A7B">
        <w:t>imately</w:t>
      </w:r>
      <w:r w:rsidRPr="00FE2253">
        <w:t xml:space="preserve"> 35% of control) until progressive disease or discontinuation</w:t>
      </w:r>
      <w:r w:rsidR="00FE2253">
        <w:t>.</w:t>
      </w:r>
    </w:p>
    <w:p w14:paraId="78745B79" w14:textId="708C0B28" w:rsidR="00FE2253" w:rsidRDefault="00C7035E" w:rsidP="00916EB2">
      <w:pPr>
        <w:pStyle w:val="Heading5"/>
      </w:pPr>
      <w:r w:rsidRPr="00FE2253">
        <w:t>Dose adjustments</w:t>
      </w:r>
    </w:p>
    <w:p w14:paraId="3B790F85" w14:textId="1F3811EB" w:rsidR="00C7035E" w:rsidRDefault="00C7035E" w:rsidP="00FE2253">
      <w:r w:rsidRPr="00FE2253">
        <w:t>E</w:t>
      </w:r>
      <w:r w:rsidR="00FE2253">
        <w:t>nfortumab vedotin</w:t>
      </w:r>
      <w:r w:rsidRPr="00FE2253">
        <w:t xml:space="preserve"> dose adjustments to 1.0 mg/kg (dose level 1) and 0.75 mg/kg (dose level 2) permitted unless toxicity triggered discontinuation; chemotherapy dose modification guided by study protocol and local and institutional guidelines</w:t>
      </w:r>
      <w:r w:rsidR="00FE2253">
        <w:t>.</w:t>
      </w:r>
    </w:p>
    <w:p w14:paraId="1353072B" w14:textId="374F119F" w:rsidR="00C7035E" w:rsidRPr="00FE2253" w:rsidRDefault="00C7035E" w:rsidP="00916EB2">
      <w:pPr>
        <w:pStyle w:val="Heading5"/>
      </w:pPr>
      <w:r w:rsidRPr="00FE2253">
        <w:t>Patient flow</w:t>
      </w:r>
    </w:p>
    <w:p w14:paraId="7346B710" w14:textId="718A49E5" w:rsidR="00C7035E" w:rsidRPr="00FE2253" w:rsidRDefault="00C7035E" w:rsidP="00FE2253">
      <w:pPr>
        <w:pStyle w:val="ListBullet"/>
      </w:pPr>
      <w:r w:rsidRPr="00FE2253">
        <w:t>Randomised total</w:t>
      </w:r>
      <w:r w:rsidR="002533B6">
        <w:t>:</w:t>
      </w:r>
      <w:r w:rsidRPr="00FE2253">
        <w:t xml:space="preserve"> 608</w:t>
      </w:r>
      <w:r w:rsidR="002533B6">
        <w:t xml:space="preserve"> subjects;</w:t>
      </w:r>
      <w:r w:rsidRPr="00FE2253">
        <w:t xml:space="preserve"> 301</w:t>
      </w:r>
      <w:r w:rsidR="00FE2253">
        <w:t xml:space="preserve"> </w:t>
      </w:r>
      <w:r w:rsidR="002533B6">
        <w:t xml:space="preserve">to </w:t>
      </w:r>
      <w:r w:rsidRPr="00FE2253">
        <w:t>Arm A</w:t>
      </w:r>
      <w:r w:rsidR="002533B6">
        <w:t xml:space="preserve">, </w:t>
      </w:r>
      <w:r w:rsidRPr="00FE2253">
        <w:t>307 Arm B</w:t>
      </w:r>
      <w:r w:rsidR="00386A7B">
        <w:t>.</w:t>
      </w:r>
    </w:p>
    <w:p w14:paraId="7AE9D4B9" w14:textId="7AED7060" w:rsidR="00C7035E" w:rsidRPr="00FE2253" w:rsidRDefault="00C7035E" w:rsidP="00FE2253">
      <w:pPr>
        <w:pStyle w:val="ListBullet"/>
      </w:pPr>
      <w:r w:rsidRPr="00FE2253">
        <w:t xml:space="preserve">Did not receive study drug: 5 </w:t>
      </w:r>
      <w:r w:rsidR="002533B6">
        <w:t xml:space="preserve">subjects </w:t>
      </w:r>
      <w:r w:rsidRPr="00FE2253">
        <w:t xml:space="preserve">(1.7%) </w:t>
      </w:r>
      <w:r w:rsidR="002533B6">
        <w:t xml:space="preserve">in </w:t>
      </w:r>
      <w:r w:rsidRPr="00FE2253">
        <w:t xml:space="preserve">Arm A; 16 </w:t>
      </w:r>
      <w:r w:rsidR="002533B6">
        <w:t xml:space="preserve">subjects </w:t>
      </w:r>
      <w:r w:rsidRPr="00FE2253">
        <w:t>(5.2%)</w:t>
      </w:r>
      <w:r w:rsidR="002533B6">
        <w:t xml:space="preserve"> in</w:t>
      </w:r>
      <w:r w:rsidRPr="00FE2253">
        <w:t xml:space="preserve"> Arm B</w:t>
      </w:r>
      <w:r w:rsidR="00386A7B">
        <w:t>.</w:t>
      </w:r>
    </w:p>
    <w:p w14:paraId="7792BD68" w14:textId="1985620E" w:rsidR="00C7035E" w:rsidRPr="00FE2253" w:rsidRDefault="00C7035E" w:rsidP="00FE2253">
      <w:pPr>
        <w:pStyle w:val="ListBullet"/>
      </w:pPr>
      <w:r w:rsidRPr="00FE2253">
        <w:t xml:space="preserve">Ongoing in study: 56 </w:t>
      </w:r>
      <w:r w:rsidR="002533B6">
        <w:t xml:space="preserve">subjects </w:t>
      </w:r>
      <w:r w:rsidRPr="00FE2253">
        <w:t xml:space="preserve">(18.6%) </w:t>
      </w:r>
      <w:r w:rsidR="002533B6">
        <w:t xml:space="preserve">in </w:t>
      </w:r>
      <w:r w:rsidRPr="00FE2253">
        <w:t xml:space="preserve">Arm A; 22 </w:t>
      </w:r>
      <w:r w:rsidR="002533B6">
        <w:t xml:space="preserve">subjects </w:t>
      </w:r>
      <w:r w:rsidRPr="00FE2253">
        <w:t xml:space="preserve">(7.2%) </w:t>
      </w:r>
      <w:r w:rsidR="002533B6">
        <w:t xml:space="preserve">in </w:t>
      </w:r>
      <w:r w:rsidRPr="00FE2253">
        <w:t>Arm B</w:t>
      </w:r>
      <w:r w:rsidR="00386A7B">
        <w:t>.</w:t>
      </w:r>
    </w:p>
    <w:p w14:paraId="537936E4" w14:textId="77955476" w:rsidR="00C7035E" w:rsidRPr="00FE2253" w:rsidRDefault="00C7035E" w:rsidP="00FE2253">
      <w:pPr>
        <w:pStyle w:val="ListBullet"/>
      </w:pPr>
      <w:r w:rsidRPr="00FE2253">
        <w:t xml:space="preserve">Discontinued because died: 2 </w:t>
      </w:r>
      <w:r w:rsidR="002533B6">
        <w:t xml:space="preserve">subjects </w:t>
      </w:r>
      <w:r w:rsidRPr="00FE2253">
        <w:t xml:space="preserve">(0.7%) </w:t>
      </w:r>
      <w:r w:rsidR="002533B6">
        <w:t xml:space="preserve">in </w:t>
      </w:r>
      <w:r w:rsidRPr="00FE2253">
        <w:t xml:space="preserve">Arm A; 2 </w:t>
      </w:r>
      <w:r w:rsidR="002533B6">
        <w:t xml:space="preserve">subjects </w:t>
      </w:r>
      <w:r w:rsidRPr="00FE2253">
        <w:t>(0.7%)</w:t>
      </w:r>
      <w:r w:rsidR="002533B6">
        <w:t xml:space="preserve"> in</w:t>
      </w:r>
      <w:r w:rsidRPr="00FE2253">
        <w:t xml:space="preserve"> Arm B</w:t>
      </w:r>
      <w:r w:rsidR="00386A7B">
        <w:t>.</w:t>
      </w:r>
    </w:p>
    <w:p w14:paraId="6C3BA942" w14:textId="79DA4CE4" w:rsidR="00C7035E" w:rsidRPr="00FE2253" w:rsidRDefault="00C7035E" w:rsidP="00FE2253">
      <w:pPr>
        <w:pStyle w:val="ListBullet"/>
      </w:pPr>
      <w:r w:rsidRPr="00FE2253">
        <w:t xml:space="preserve">Discontinued due to progressive disease: 177 </w:t>
      </w:r>
      <w:r w:rsidR="002533B6">
        <w:t xml:space="preserve">subjects </w:t>
      </w:r>
      <w:r w:rsidRPr="00FE2253">
        <w:t xml:space="preserve">(58.8%) </w:t>
      </w:r>
      <w:r w:rsidR="002533B6">
        <w:t xml:space="preserve">in </w:t>
      </w:r>
      <w:r w:rsidRPr="00FE2253">
        <w:t xml:space="preserve">Arm A; 180 (58.6%) </w:t>
      </w:r>
      <w:r w:rsidR="002533B6">
        <w:t xml:space="preserve">subjects in </w:t>
      </w:r>
      <w:r w:rsidRPr="00FE2253">
        <w:t>Arm B</w:t>
      </w:r>
      <w:r w:rsidR="00386A7B">
        <w:t>.</w:t>
      </w:r>
    </w:p>
    <w:p w14:paraId="47D9406A" w14:textId="587A66E4" w:rsidR="00C7035E" w:rsidRPr="00FE2253" w:rsidRDefault="00C7035E" w:rsidP="00FE2253">
      <w:pPr>
        <w:pStyle w:val="ListBullet"/>
      </w:pPr>
      <w:r w:rsidRPr="00FE2253">
        <w:t>Discontinued because of adverse event: 42</w:t>
      </w:r>
      <w:r w:rsidR="002533B6">
        <w:t xml:space="preserve"> subjects</w:t>
      </w:r>
      <w:r w:rsidRPr="00FE2253">
        <w:t xml:space="preserve"> (14.0%) </w:t>
      </w:r>
      <w:r w:rsidR="002533B6">
        <w:t xml:space="preserve">in </w:t>
      </w:r>
      <w:r w:rsidRPr="00FE2253">
        <w:t xml:space="preserve">Arm A; 46 (15.0%) </w:t>
      </w:r>
      <w:r w:rsidR="002533B6">
        <w:t xml:space="preserve">subjects in </w:t>
      </w:r>
      <w:r w:rsidRPr="00FE2253">
        <w:t>Arm B</w:t>
      </w:r>
      <w:r w:rsidR="00386A7B">
        <w:t>.</w:t>
      </w:r>
    </w:p>
    <w:p w14:paraId="7488EAA9" w14:textId="591F4173" w:rsidR="00C7035E" w:rsidRPr="00FE2253" w:rsidRDefault="00C7035E" w:rsidP="00916EB2">
      <w:pPr>
        <w:pStyle w:val="Heading5"/>
      </w:pPr>
      <w:r w:rsidRPr="00FE2253">
        <w:t>Key inclusion criteria</w:t>
      </w:r>
    </w:p>
    <w:p w14:paraId="439F5286" w14:textId="18B82DC3" w:rsidR="00C7035E" w:rsidRPr="00FE2253" w:rsidRDefault="00FE2253" w:rsidP="00FE2253">
      <w:pPr>
        <w:pStyle w:val="ListBullet"/>
      </w:pPr>
      <w:r>
        <w:t>H</w:t>
      </w:r>
      <w:r w:rsidR="00C7035E" w:rsidRPr="00FE2253">
        <w:t>istologically or cytologically confirmed urothelial carcinoma (</w:t>
      </w:r>
      <w:r>
        <w:t>that is</w:t>
      </w:r>
      <w:r w:rsidR="00C7035E" w:rsidRPr="00FE2253">
        <w:t>, cancer of the bladder, renal pelvis, ureter, or urethra). Urothelial carcinoma (transitional cell) with squamous differentiation or mixed cell types were eligible.</w:t>
      </w:r>
    </w:p>
    <w:p w14:paraId="522DC5B5" w14:textId="0FDE5275" w:rsidR="00C7035E" w:rsidRPr="00FE2253" w:rsidRDefault="00FE2253" w:rsidP="00FE2253">
      <w:pPr>
        <w:pStyle w:val="ListBullet"/>
      </w:pPr>
      <w:r>
        <w:t>R</w:t>
      </w:r>
      <w:r w:rsidR="00C7035E" w:rsidRPr="00FE2253">
        <w:t xml:space="preserve">adiographic progression or relapse during or after a </w:t>
      </w:r>
      <w:r>
        <w:t>checkpoint inhibitor (</w:t>
      </w:r>
      <w:r w:rsidR="00C7035E" w:rsidRPr="00FE2253">
        <w:t>CPI</w:t>
      </w:r>
      <w:r>
        <w:t>)</w:t>
      </w:r>
      <w:r w:rsidR="00C7035E" w:rsidRPr="00FE2253">
        <w:t xml:space="preserve"> (anti-PD-1 or anti-PD-L1) for locally advanced or metastatic disease. If discontinued CPI treatment because of toxicity, eligible if evidence of disease progression following discontinuation. CPI need not have been the most recent therapy but if most recent therapy non-CPI based regimen must have progressed/relapsed during or after most recent therapy. Locally advanced disease must not have been amenable to resection with curative intent per treating physician.</w:t>
      </w:r>
    </w:p>
    <w:p w14:paraId="4106813A" w14:textId="245F6335" w:rsidR="00C7035E" w:rsidRPr="00FE2253" w:rsidRDefault="00FE2253" w:rsidP="00FE2253">
      <w:pPr>
        <w:pStyle w:val="ListBullet"/>
      </w:pPr>
      <w:r>
        <w:t>R</w:t>
      </w:r>
      <w:r w:rsidR="00C7035E" w:rsidRPr="00FE2253">
        <w:t>eceived platinum</w:t>
      </w:r>
      <w:r>
        <w:t xml:space="preserve"> </w:t>
      </w:r>
      <w:r w:rsidR="00C7035E" w:rsidRPr="00FE2253">
        <w:t xml:space="preserve">containing regimen (cisplatin or carboplatin) in metastatic/locally advanced, neoadjuvant or adjuvant setting. If platinum administered in </w:t>
      </w:r>
      <w:r w:rsidR="00C7035E" w:rsidRPr="00FE2253">
        <w:lastRenderedPageBreak/>
        <w:t xml:space="preserve">adjuvant/neoadjuvant setting, must have progressed </w:t>
      </w:r>
      <w:r>
        <w:t>less than or equal to</w:t>
      </w:r>
      <w:r w:rsidR="00C7035E" w:rsidRPr="00FE2253">
        <w:t xml:space="preserve"> 12 months from completion.</w:t>
      </w:r>
    </w:p>
    <w:p w14:paraId="31986B0F" w14:textId="7ACBACAA" w:rsidR="00C7035E" w:rsidRPr="00FE2253" w:rsidRDefault="00FE2253" w:rsidP="00FE2253">
      <w:pPr>
        <w:pStyle w:val="ListBullet"/>
      </w:pPr>
      <w:r>
        <w:t>R</w:t>
      </w:r>
      <w:r w:rsidR="00C7035E" w:rsidRPr="00FE2253">
        <w:t>adiologically documented metastatic or locally advanced disease at baseline.</w:t>
      </w:r>
    </w:p>
    <w:p w14:paraId="3F4FE1E3" w14:textId="33EDF81F" w:rsidR="00C7035E" w:rsidRPr="00FE2253" w:rsidRDefault="00C7035E" w:rsidP="00FE2253">
      <w:pPr>
        <w:pStyle w:val="ListBullet"/>
      </w:pPr>
      <w:r w:rsidRPr="00FE2253">
        <w:t>Archival or fresh tissue sample available</w:t>
      </w:r>
      <w:r w:rsidR="00FE2253">
        <w:t>.</w:t>
      </w:r>
    </w:p>
    <w:p w14:paraId="76998738" w14:textId="214D9FF1" w:rsidR="00C7035E" w:rsidRPr="00FE2253" w:rsidRDefault="00565C2C" w:rsidP="00FE2253">
      <w:pPr>
        <w:pStyle w:val="ListBullet"/>
      </w:pPr>
      <w:r>
        <w:t xml:space="preserve">Eastern </w:t>
      </w:r>
      <w:r w:rsidR="002533B6">
        <w:t>C</w:t>
      </w:r>
      <w:r>
        <w:t xml:space="preserve">ooperative </w:t>
      </w:r>
      <w:r w:rsidR="002533B6">
        <w:t>O</w:t>
      </w:r>
      <w:r>
        <w:t xml:space="preserve">ncology </w:t>
      </w:r>
      <w:r w:rsidR="002533B6">
        <w:t>G</w:t>
      </w:r>
      <w:r>
        <w:t xml:space="preserve">roup </w:t>
      </w:r>
      <w:r w:rsidR="002533B6">
        <w:t xml:space="preserve">(ECOG) </w:t>
      </w:r>
      <w:r>
        <w:t>performance status</w:t>
      </w:r>
      <w:r w:rsidR="00C7035E" w:rsidRPr="00FE2253">
        <w:t xml:space="preserve"> 0 or 1</w:t>
      </w:r>
      <w:r w:rsidR="00FE2253">
        <w:t>.</w:t>
      </w:r>
      <w:bookmarkStart w:id="50" w:name="_Ref125383910"/>
      <w:r>
        <w:rPr>
          <w:rStyle w:val="FootnoteReference"/>
        </w:rPr>
        <w:footnoteReference w:id="14"/>
      </w:r>
      <w:bookmarkEnd w:id="50"/>
    </w:p>
    <w:p w14:paraId="7AE573AA" w14:textId="2FE37805" w:rsidR="00C7035E" w:rsidRPr="00FE2253" w:rsidRDefault="00C7035E" w:rsidP="00253401">
      <w:pPr>
        <w:pStyle w:val="ListBullet"/>
      </w:pPr>
      <w:r w:rsidRPr="00FE2253">
        <w:t>Laboratory data:</w:t>
      </w:r>
    </w:p>
    <w:p w14:paraId="4F933891" w14:textId="05A6B80A" w:rsidR="00C7035E" w:rsidRPr="00FE2253" w:rsidRDefault="00C7035E" w:rsidP="00253401">
      <w:pPr>
        <w:pStyle w:val="ListBullet2"/>
      </w:pPr>
      <w:r w:rsidRPr="00FE2253">
        <w:t xml:space="preserve">Absolute </w:t>
      </w:r>
      <w:proofErr w:type="gramStart"/>
      <w:r w:rsidRPr="00FE2253">
        <w:t>neutrophil</w:t>
      </w:r>
      <w:proofErr w:type="gramEnd"/>
      <w:r w:rsidRPr="00FE2253">
        <w:t xml:space="preserve"> count </w:t>
      </w:r>
      <w:r w:rsidR="00253401">
        <w:t>greater than or equal to</w:t>
      </w:r>
      <w:r w:rsidRPr="00FE2253">
        <w:t xml:space="preserve"> 1500</w:t>
      </w:r>
      <w:r w:rsidR="00253401">
        <w:t xml:space="preserve"> per </w:t>
      </w:r>
      <w:proofErr w:type="spellStart"/>
      <w:r w:rsidRPr="00FE2253">
        <w:t>m</w:t>
      </w:r>
      <w:r w:rsidR="00253401">
        <w:t>L.</w:t>
      </w:r>
      <w:proofErr w:type="spellEnd"/>
    </w:p>
    <w:p w14:paraId="5DEDFD99" w14:textId="6E7E3252" w:rsidR="00C7035E" w:rsidRPr="00FE2253" w:rsidRDefault="00C7035E" w:rsidP="00253401">
      <w:pPr>
        <w:pStyle w:val="ListBullet2"/>
      </w:pPr>
      <w:r w:rsidRPr="00FE2253">
        <w:t xml:space="preserve">Platelet count </w:t>
      </w:r>
      <w:r w:rsidR="00253401">
        <w:t>greater than or equal to</w:t>
      </w:r>
      <w:r w:rsidRPr="00FE2253">
        <w:t xml:space="preserve"> 100 </w:t>
      </w:r>
      <w:r w:rsidR="005A1F5E">
        <w:t xml:space="preserve">times </w:t>
      </w:r>
      <w:r w:rsidRPr="00FE2253">
        <w:t>10</w:t>
      </w:r>
      <w:r w:rsidRPr="0026384C">
        <w:rPr>
          <w:vertAlign w:val="superscript"/>
        </w:rPr>
        <w:t>9</w:t>
      </w:r>
      <w:r w:rsidR="00253401">
        <w:t xml:space="preserve"> per </w:t>
      </w:r>
      <w:r w:rsidRPr="00FE2253">
        <w:t>L</w:t>
      </w:r>
      <w:r w:rsidR="00253401">
        <w:t>.</w:t>
      </w:r>
    </w:p>
    <w:p w14:paraId="0E26B824" w14:textId="4BB47E55" w:rsidR="00C7035E" w:rsidRPr="00FE2253" w:rsidRDefault="00C7035E" w:rsidP="00253401">
      <w:pPr>
        <w:pStyle w:val="ListBullet2"/>
      </w:pPr>
      <w:r w:rsidRPr="00FE2253">
        <w:t xml:space="preserve">Haemoglobin </w:t>
      </w:r>
      <w:r w:rsidR="00253401">
        <w:t xml:space="preserve">greater than or equal to </w:t>
      </w:r>
      <w:r w:rsidRPr="00FE2253">
        <w:t>9 g/dL</w:t>
      </w:r>
      <w:r w:rsidR="00253401">
        <w:t>.</w:t>
      </w:r>
    </w:p>
    <w:p w14:paraId="7E730395" w14:textId="4FC8A65A" w:rsidR="00C7035E" w:rsidRPr="00FE2253" w:rsidRDefault="00C7035E" w:rsidP="00253401">
      <w:pPr>
        <w:pStyle w:val="ListBullet2"/>
      </w:pPr>
      <w:r w:rsidRPr="00FE2253">
        <w:t xml:space="preserve">Serum total bilirubin </w:t>
      </w:r>
      <w:r w:rsidR="00253401">
        <w:t>less than or equal to</w:t>
      </w:r>
      <w:r w:rsidRPr="00FE2253">
        <w:t xml:space="preserve"> 1.5 </w:t>
      </w:r>
      <w:r w:rsidR="005A1F5E">
        <w:t>times</w:t>
      </w:r>
      <w:r w:rsidRPr="00FE2253">
        <w:t xml:space="preserve"> </w:t>
      </w:r>
      <w:r w:rsidR="00253401">
        <w:t>u</w:t>
      </w:r>
      <w:r w:rsidR="00253401" w:rsidRPr="00253401">
        <w:t>pper limit of normal</w:t>
      </w:r>
      <w:r w:rsidR="00253401">
        <w:t xml:space="preserve"> </w:t>
      </w:r>
      <w:r w:rsidR="00253401" w:rsidRPr="00386A7B">
        <w:t>(</w:t>
      </w:r>
      <w:r w:rsidRPr="00386A7B">
        <w:t>ULN</w:t>
      </w:r>
      <w:r w:rsidR="00253401" w:rsidRPr="00386A7B">
        <w:t>)</w:t>
      </w:r>
      <w:r w:rsidRPr="00FE2253">
        <w:t xml:space="preserve"> or</w:t>
      </w:r>
      <w:r w:rsidR="00253401">
        <w:t xml:space="preserve"> </w:t>
      </w:r>
      <w:r w:rsidRPr="00FE2253">
        <w:t xml:space="preserve">3 </w:t>
      </w:r>
      <w:r w:rsidR="005A1F5E">
        <w:t>times</w:t>
      </w:r>
      <w:r w:rsidRPr="00FE2253">
        <w:t xml:space="preserve"> ULN </w:t>
      </w:r>
      <w:r w:rsidR="00210893">
        <w:t xml:space="preserve">or less </w:t>
      </w:r>
      <w:r w:rsidRPr="00FE2253">
        <w:t xml:space="preserve">if </w:t>
      </w:r>
      <w:r w:rsidR="00210893">
        <w:t xml:space="preserve">subject had </w:t>
      </w:r>
      <w:r w:rsidRPr="00FE2253">
        <w:t>Gilbert’s disease</w:t>
      </w:r>
      <w:r w:rsidR="00253401">
        <w:t>.</w:t>
      </w:r>
      <w:bookmarkStart w:id="51" w:name="_Ref124240419"/>
      <w:r w:rsidR="00253401">
        <w:rPr>
          <w:rStyle w:val="FootnoteReference"/>
        </w:rPr>
        <w:footnoteReference w:id="15"/>
      </w:r>
      <w:bookmarkEnd w:id="51"/>
    </w:p>
    <w:p w14:paraId="1D5D6869" w14:textId="32ADCE58" w:rsidR="00C7035E" w:rsidRPr="00FE2253" w:rsidRDefault="00C7035E" w:rsidP="00253401">
      <w:pPr>
        <w:pStyle w:val="ListBullet2"/>
      </w:pPr>
      <w:r w:rsidRPr="00FE2253">
        <w:t xml:space="preserve">Creatinine clearance </w:t>
      </w:r>
      <w:r w:rsidR="00253401">
        <w:t>less than or equal to</w:t>
      </w:r>
      <w:r w:rsidRPr="00FE2253">
        <w:t xml:space="preserve"> 30 mL</w:t>
      </w:r>
      <w:r w:rsidR="00253401">
        <w:t xml:space="preserve"> per </w:t>
      </w:r>
      <w:r w:rsidRPr="00FE2253">
        <w:t>min</w:t>
      </w:r>
      <w:r w:rsidR="00386A7B">
        <w:t>ute</w:t>
      </w:r>
      <w:r w:rsidR="00253401">
        <w:t>.</w:t>
      </w:r>
    </w:p>
    <w:p w14:paraId="1650C728" w14:textId="3E96E08B" w:rsidR="00FE2253" w:rsidRDefault="00253401" w:rsidP="00FE2253">
      <w:pPr>
        <w:pStyle w:val="ListBullet2"/>
      </w:pPr>
      <w:r w:rsidRPr="00253401">
        <w:t>Alanine aminotransferase</w:t>
      </w:r>
      <w:r w:rsidR="00386A7B">
        <w:t xml:space="preserve"> </w:t>
      </w:r>
      <w:r w:rsidR="00C7035E" w:rsidRPr="00FE2253">
        <w:t xml:space="preserve">and </w:t>
      </w:r>
      <w:r>
        <w:t>a</w:t>
      </w:r>
      <w:r w:rsidRPr="00253401">
        <w:t>spartate aminotransferase</w:t>
      </w:r>
      <w:r w:rsidR="00C7035E" w:rsidRPr="00FE2253">
        <w:t xml:space="preserve"> 2.5 </w:t>
      </w:r>
      <w:r w:rsidR="005A1F5E">
        <w:t>times</w:t>
      </w:r>
      <w:r w:rsidR="00C7035E" w:rsidRPr="00FE2253">
        <w:t xml:space="preserve"> ULN</w:t>
      </w:r>
      <w:r w:rsidR="00210893">
        <w:t xml:space="preserve"> or less;</w:t>
      </w:r>
      <w:r w:rsidR="00C7035E" w:rsidRPr="00FE2253">
        <w:t xml:space="preserve"> or 3 </w:t>
      </w:r>
      <w:r w:rsidR="005A1F5E">
        <w:t>times</w:t>
      </w:r>
      <w:r w:rsidR="00C7035E" w:rsidRPr="00FE2253">
        <w:t xml:space="preserve"> ULN </w:t>
      </w:r>
      <w:r w:rsidR="00210893">
        <w:t xml:space="preserve">or less </w:t>
      </w:r>
      <w:r w:rsidR="00C7035E" w:rsidRPr="00FE2253">
        <w:t>for subjects with liver metastases</w:t>
      </w:r>
      <w:r>
        <w:t>.</w:t>
      </w:r>
      <w:r>
        <w:fldChar w:fldCharType="begin"/>
      </w:r>
      <w:r>
        <w:instrText xml:space="preserve"> NOTEREF _Ref124240419 \f \h </w:instrText>
      </w:r>
      <w:r>
        <w:fldChar w:fldCharType="separate"/>
      </w:r>
      <w:r w:rsidR="00555193" w:rsidRPr="00555193">
        <w:rPr>
          <w:rStyle w:val="FootnoteReference"/>
        </w:rPr>
        <w:t>15</w:t>
      </w:r>
      <w:r>
        <w:fldChar w:fldCharType="end"/>
      </w:r>
    </w:p>
    <w:p w14:paraId="4D1C71E0" w14:textId="33F50074" w:rsidR="00C7035E" w:rsidRPr="00FE2253" w:rsidRDefault="00C7035E" w:rsidP="00916EB2">
      <w:pPr>
        <w:pStyle w:val="Heading5"/>
      </w:pPr>
      <w:r w:rsidRPr="00FE2253">
        <w:t>Key exclusion criteria</w:t>
      </w:r>
    </w:p>
    <w:p w14:paraId="5749845A" w14:textId="1EEE602F" w:rsidR="00C7035E" w:rsidRPr="00FE2253" w:rsidRDefault="00C7035E" w:rsidP="00A66590">
      <w:pPr>
        <w:pStyle w:val="ListBullet"/>
      </w:pPr>
      <w:r w:rsidRPr="00FE2253">
        <w:t>Pre</w:t>
      </w:r>
      <w:r w:rsidR="005A1F5E">
        <w:t>-</w:t>
      </w:r>
      <w:r w:rsidRPr="00FE2253">
        <w:t>existing sensory or motor neuropathy</w:t>
      </w:r>
      <w:r w:rsidR="00210893">
        <w:t xml:space="preserve"> severity of </w:t>
      </w:r>
      <w:r w:rsidRPr="00FE2253">
        <w:t>Grade 2</w:t>
      </w:r>
      <w:r w:rsidR="00210893">
        <w:t xml:space="preserve"> or higher</w:t>
      </w:r>
      <w:r w:rsidRPr="00FE2253">
        <w:t>.</w:t>
      </w:r>
      <w:r w:rsidR="00A66590">
        <w:fldChar w:fldCharType="begin"/>
      </w:r>
      <w:r w:rsidR="00A66590">
        <w:instrText xml:space="preserve"> NOTEREF _Ref124241058 \f \h </w:instrText>
      </w:r>
      <w:r w:rsidR="00A66590">
        <w:fldChar w:fldCharType="separate"/>
      </w:r>
      <w:r w:rsidR="00555193" w:rsidRPr="00555193">
        <w:rPr>
          <w:rStyle w:val="FootnoteReference"/>
        </w:rPr>
        <w:t>12</w:t>
      </w:r>
      <w:r w:rsidR="00A66590">
        <w:fldChar w:fldCharType="end"/>
      </w:r>
    </w:p>
    <w:p w14:paraId="27821F5A" w14:textId="3A53E883" w:rsidR="00A66590" w:rsidRDefault="00A66590" w:rsidP="00C97FFB">
      <w:pPr>
        <w:pStyle w:val="ListBullet"/>
      </w:pPr>
      <w:r>
        <w:t>A</w:t>
      </w:r>
      <w:r w:rsidR="00C7035E" w:rsidRPr="00FE2253">
        <w:t xml:space="preserve">ctive </w:t>
      </w:r>
      <w:r>
        <w:t>central nervous system</w:t>
      </w:r>
      <w:r w:rsidR="00F400D1">
        <w:t xml:space="preserve"> </w:t>
      </w:r>
      <w:r w:rsidR="00C7035E" w:rsidRPr="00FE2253">
        <w:t xml:space="preserve">metastases. Treated </w:t>
      </w:r>
      <w:r w:rsidR="00F400D1">
        <w:t>central nervous system</w:t>
      </w:r>
      <w:r w:rsidR="00C7035E" w:rsidRPr="00FE2253">
        <w:t xml:space="preserve"> metastases permitted on study if</w:t>
      </w:r>
      <w:r>
        <w:t>:</w:t>
      </w:r>
    </w:p>
    <w:p w14:paraId="12A69867" w14:textId="400BB74A" w:rsidR="00A66590" w:rsidRDefault="00A66590" w:rsidP="00A66590">
      <w:pPr>
        <w:pStyle w:val="ListBullet2"/>
      </w:pPr>
      <w:r>
        <w:t>c</w:t>
      </w:r>
      <w:r w:rsidR="00C7035E" w:rsidRPr="00FE2253">
        <w:t xml:space="preserve">linically stable for </w:t>
      </w:r>
      <w:r>
        <w:t>greater than or equal to</w:t>
      </w:r>
      <w:r w:rsidR="00C7035E" w:rsidRPr="00FE2253">
        <w:t xml:space="preserve"> </w:t>
      </w:r>
      <w:r>
        <w:t>six</w:t>
      </w:r>
      <w:r w:rsidR="00C7035E" w:rsidRPr="00FE2253">
        <w:t xml:space="preserve"> weeks before screening</w:t>
      </w:r>
    </w:p>
    <w:p w14:paraId="2DF723AA" w14:textId="74B5E013" w:rsidR="00A66590" w:rsidRDefault="00A66590" w:rsidP="00A66590">
      <w:pPr>
        <w:pStyle w:val="ListBullet2"/>
      </w:pPr>
      <w:r>
        <w:t>o</w:t>
      </w:r>
      <w:r w:rsidR="00C7035E" w:rsidRPr="00FE2253">
        <w:t xml:space="preserve">n stable steroid dose </w:t>
      </w:r>
      <w:r>
        <w:t>less than or equal to</w:t>
      </w:r>
      <w:r w:rsidR="00C7035E" w:rsidRPr="00FE2253">
        <w:t xml:space="preserve"> 20 mg</w:t>
      </w:r>
      <w:r>
        <w:t xml:space="preserve"> per </w:t>
      </w:r>
      <w:r w:rsidR="00C7035E" w:rsidRPr="00FE2253">
        <w:t xml:space="preserve">day of prednisone or equivalent </w:t>
      </w:r>
      <w:r>
        <w:t>less than or equal to</w:t>
      </w:r>
      <w:r w:rsidR="00C7035E" w:rsidRPr="00FE2253">
        <w:t xml:space="preserve"> </w:t>
      </w:r>
      <w:r>
        <w:t>two</w:t>
      </w:r>
      <w:r w:rsidR="00C7035E" w:rsidRPr="00FE2253">
        <w:t xml:space="preserve"> weeks</w:t>
      </w:r>
    </w:p>
    <w:p w14:paraId="4F8B950A" w14:textId="3F96E970" w:rsidR="00A66590" w:rsidRDefault="00C7035E" w:rsidP="00A66590">
      <w:pPr>
        <w:pStyle w:val="ListBullet2"/>
      </w:pPr>
      <w:r w:rsidRPr="00FE2253">
        <w:t>baseline scans showed no evidence of new or enlarged brain metastasis</w:t>
      </w:r>
    </w:p>
    <w:p w14:paraId="28DC8D59" w14:textId="7D1FFF21" w:rsidR="00C7035E" w:rsidRPr="00FE2253" w:rsidRDefault="00C7035E" w:rsidP="00A66590">
      <w:pPr>
        <w:pStyle w:val="ListBullet2"/>
      </w:pPr>
      <w:r w:rsidRPr="00FE2253">
        <w:t>no leptomeningeal disease</w:t>
      </w:r>
    </w:p>
    <w:p w14:paraId="30274D86" w14:textId="1791950A" w:rsidR="00C7035E" w:rsidRPr="00FE2253" w:rsidRDefault="00A66590" w:rsidP="00A66590">
      <w:pPr>
        <w:pStyle w:val="ListBullet"/>
      </w:pPr>
      <w:r>
        <w:t>O</w:t>
      </w:r>
      <w:r w:rsidR="00C7035E" w:rsidRPr="00FE2253">
        <w:t xml:space="preserve">ngoing clinically significant toxicity (generally, with exceptions); ongoing </w:t>
      </w:r>
      <w:r>
        <w:t>greater than or equal to</w:t>
      </w:r>
      <w:r w:rsidR="00C7035E" w:rsidRPr="00FE2253">
        <w:t xml:space="preserve"> Grade 3 immunotherapy</w:t>
      </w:r>
      <w:r>
        <w:t xml:space="preserve"> </w:t>
      </w:r>
      <w:r w:rsidR="00C7035E" w:rsidRPr="00FE2253">
        <w:t xml:space="preserve">related hypothyroidism or panhypopituitarism excluded; ongoing immunotherapy related colitis, uveitis, myocarditis, or pneumonitis or other immunotherapy related </w:t>
      </w:r>
      <w:r w:rsidR="00F400D1">
        <w:t xml:space="preserve">adverse </w:t>
      </w:r>
      <w:r w:rsidR="00F400D1" w:rsidRPr="00F400D1">
        <w:t>event (</w:t>
      </w:r>
      <w:r w:rsidR="00C7035E" w:rsidRPr="00F400D1">
        <w:t>AE</w:t>
      </w:r>
      <w:r w:rsidR="00F400D1" w:rsidRPr="00F400D1">
        <w:t>)</w:t>
      </w:r>
      <w:r w:rsidR="00C7035E" w:rsidRPr="00FE2253">
        <w:t xml:space="preserve"> requiring </w:t>
      </w:r>
      <w:r>
        <w:t>greater than</w:t>
      </w:r>
      <w:r w:rsidR="00C7035E" w:rsidRPr="00FE2253">
        <w:t xml:space="preserve"> 20 mg</w:t>
      </w:r>
      <w:r>
        <w:t xml:space="preserve"> per </w:t>
      </w:r>
      <w:r w:rsidR="00C7035E" w:rsidRPr="00FE2253">
        <w:t>day of prednisone or equivalent excluded.</w:t>
      </w:r>
    </w:p>
    <w:p w14:paraId="6ED5DE60" w14:textId="5F760B38" w:rsidR="00C7035E" w:rsidRPr="00FE2253" w:rsidRDefault="00A66590" w:rsidP="00A66590">
      <w:pPr>
        <w:pStyle w:val="ListBullet"/>
      </w:pPr>
      <w:r>
        <w:t>P</w:t>
      </w:r>
      <w:r w:rsidR="00C7035E" w:rsidRPr="00FE2253">
        <w:t xml:space="preserve">rior chemotherapy for </w:t>
      </w:r>
      <w:r w:rsidRPr="00A66590">
        <w:t xml:space="preserve">urothelial cancer </w:t>
      </w:r>
      <w:r w:rsidR="00C7035E" w:rsidRPr="00FE2253">
        <w:t>with study therapies in control arm.</w:t>
      </w:r>
    </w:p>
    <w:p w14:paraId="1DC0FAC5" w14:textId="470F674A" w:rsidR="00C7035E" w:rsidRPr="00FE2253" w:rsidRDefault="00C7035E" w:rsidP="00A66590">
      <w:pPr>
        <w:pStyle w:val="ListBullet"/>
      </w:pPr>
      <w:r w:rsidRPr="00FE2253">
        <w:t xml:space="preserve">Had received </w:t>
      </w:r>
      <w:r w:rsidR="00A66590">
        <w:t>less than one</w:t>
      </w:r>
      <w:r w:rsidRPr="00FE2253">
        <w:t xml:space="preserve"> prior chemotherapy regimen for locally advanced or </w:t>
      </w:r>
      <w:r w:rsidR="00A66590" w:rsidRPr="00A66590">
        <w:t>metastatic urothelial cancer</w:t>
      </w:r>
      <w:r w:rsidRPr="00FE2253">
        <w:t xml:space="preserve">, including chemotherapy for adjuvant or neoadjuvant </w:t>
      </w:r>
      <w:r w:rsidRPr="00FE2253">
        <w:lastRenderedPageBreak/>
        <w:t xml:space="preserve">disease if recurrence occurred </w:t>
      </w:r>
      <w:r w:rsidR="00A66590">
        <w:t xml:space="preserve">less than </w:t>
      </w:r>
      <w:r w:rsidRPr="00FE2253">
        <w:t>12 months of therapy. Substitution of carboplatin for cisplatin was not considered a new regimen if no new chemotherapeutic agents were added to the regimen.</w:t>
      </w:r>
    </w:p>
    <w:p w14:paraId="0F610EA4" w14:textId="76E37877" w:rsidR="00C7035E" w:rsidRPr="00FE2253" w:rsidRDefault="00C7035E" w:rsidP="00A66590">
      <w:pPr>
        <w:pStyle w:val="ListBullet"/>
      </w:pPr>
      <w:r w:rsidRPr="00FE2253">
        <w:t xml:space="preserve">Another malignancy in </w:t>
      </w:r>
      <w:r w:rsidR="00A66590">
        <w:t xml:space="preserve">less than </w:t>
      </w:r>
      <w:r w:rsidRPr="00FE2253">
        <w:t>3 years (except nonmelanoma skin cancer, localised prostate cancer treated with curative intent or under active surveillance, carcinoma-in-situ of any type</w:t>
      </w:r>
      <w:r w:rsidR="00A66590">
        <w:t>).</w:t>
      </w:r>
    </w:p>
    <w:p w14:paraId="197B7077" w14:textId="657124F1" w:rsidR="00C7035E" w:rsidRPr="00FE2253" w:rsidRDefault="00C7035E" w:rsidP="00A66590">
      <w:pPr>
        <w:pStyle w:val="ListBullet"/>
      </w:pPr>
      <w:r w:rsidRPr="00FE2253">
        <w:t xml:space="preserve">History of a stroke, </w:t>
      </w:r>
      <w:r w:rsidR="00A66590">
        <w:t>t</w:t>
      </w:r>
      <w:r w:rsidR="00A66590" w:rsidRPr="00A66590">
        <w:t>ransient ischemic attack</w:t>
      </w:r>
      <w:r w:rsidRPr="00FE2253">
        <w:t xml:space="preserve">, unstable angina, myocardial infarction, of symptoms consistent with </w:t>
      </w:r>
      <w:r w:rsidR="006826FA">
        <w:t xml:space="preserve">New York Heart Association </w:t>
      </w:r>
      <w:r w:rsidRPr="00FE2253">
        <w:t>class III</w:t>
      </w:r>
      <w:r w:rsidR="006826FA">
        <w:t xml:space="preserve"> to </w:t>
      </w:r>
      <w:r w:rsidRPr="00FE2253">
        <w:t xml:space="preserve">IV within </w:t>
      </w:r>
      <w:r w:rsidR="006826FA">
        <w:t>six</w:t>
      </w:r>
      <w:r w:rsidRPr="00FE2253">
        <w:t xml:space="preserve"> months of first dose of study drug</w:t>
      </w:r>
      <w:r w:rsidR="006826FA">
        <w:t>.</w:t>
      </w:r>
      <w:bookmarkStart w:id="52" w:name="_Ref124259472"/>
      <w:r w:rsidR="006826FA">
        <w:rPr>
          <w:rStyle w:val="FootnoteReference"/>
        </w:rPr>
        <w:footnoteReference w:id="16"/>
      </w:r>
      <w:bookmarkEnd w:id="52"/>
    </w:p>
    <w:p w14:paraId="2F963244" w14:textId="6AC4F1C0" w:rsidR="00C7035E" w:rsidRPr="00FE2253" w:rsidRDefault="00C7035E" w:rsidP="006826FA">
      <w:pPr>
        <w:pStyle w:val="ListBullet"/>
      </w:pPr>
      <w:r w:rsidRPr="00FE2253">
        <w:t>Uncontrolled diabetes</w:t>
      </w:r>
      <w:r w:rsidR="00210893">
        <w:t xml:space="preserve"> with</w:t>
      </w:r>
      <w:r w:rsidRPr="00FE2253">
        <w:t xml:space="preserve"> </w:t>
      </w:r>
      <w:r w:rsidR="006826FA">
        <w:t>g</w:t>
      </w:r>
      <w:r w:rsidR="006826FA" w:rsidRPr="006826FA">
        <w:t xml:space="preserve">lycated haemoglobin </w:t>
      </w:r>
      <w:r w:rsidR="006826FA">
        <w:t>(</w:t>
      </w:r>
      <w:r w:rsidR="00F400D1" w:rsidRPr="00FE2253">
        <w:t>HbA1C</w:t>
      </w:r>
      <w:r w:rsidR="006826FA">
        <w:t>)</w:t>
      </w:r>
      <w:r w:rsidR="00CC5173">
        <w:rPr>
          <w:rStyle w:val="FootnoteReference"/>
        </w:rPr>
        <w:footnoteReference w:id="17"/>
      </w:r>
      <w:r w:rsidRPr="00FE2253">
        <w:t xml:space="preserve"> </w:t>
      </w:r>
      <w:r w:rsidR="006826FA">
        <w:t>greater than or equal to</w:t>
      </w:r>
      <w:r w:rsidRPr="00FE2253">
        <w:t xml:space="preserve"> 8% or 7</w:t>
      </w:r>
      <w:r w:rsidR="006826FA">
        <w:t xml:space="preserve"> to </w:t>
      </w:r>
      <w:r w:rsidRPr="00FE2253">
        <w:t>8% if symptomatic</w:t>
      </w:r>
      <w:r w:rsidR="006826FA">
        <w:t>.</w:t>
      </w:r>
    </w:p>
    <w:p w14:paraId="3013148D" w14:textId="361AC19E" w:rsidR="00C7035E" w:rsidRPr="00FE2253" w:rsidRDefault="00C7035E" w:rsidP="006826FA">
      <w:pPr>
        <w:pStyle w:val="ListBullet"/>
      </w:pPr>
      <w:r w:rsidRPr="00FE2253">
        <w:t>Active infection</w:t>
      </w:r>
      <w:r w:rsidR="006826FA">
        <w:t>.</w:t>
      </w:r>
    </w:p>
    <w:p w14:paraId="67082163" w14:textId="7FD1B711" w:rsidR="00C7035E" w:rsidRPr="00FE2253" w:rsidRDefault="00C7035E" w:rsidP="006826FA">
      <w:pPr>
        <w:pStyle w:val="ListBullet"/>
      </w:pPr>
      <w:r w:rsidRPr="00FE2253">
        <w:t xml:space="preserve">Radiotherapy or surgery </w:t>
      </w:r>
      <w:r w:rsidR="006826FA">
        <w:t>less than or equal to</w:t>
      </w:r>
      <w:r w:rsidRPr="00FE2253">
        <w:t xml:space="preserve"> 4 weeks prior</w:t>
      </w:r>
      <w:r w:rsidR="006826FA">
        <w:t>.</w:t>
      </w:r>
    </w:p>
    <w:p w14:paraId="3DF5CDB3" w14:textId="4E915E3E" w:rsidR="00C7035E" w:rsidRPr="00FE2253" w:rsidRDefault="00C7035E" w:rsidP="006826FA">
      <w:pPr>
        <w:pStyle w:val="ListBullet"/>
      </w:pPr>
      <w:r w:rsidRPr="00FE2253">
        <w:t>Know hypersensitivity to study drug</w:t>
      </w:r>
      <w:r w:rsidR="006826FA">
        <w:t>.</w:t>
      </w:r>
    </w:p>
    <w:p w14:paraId="19E113BD" w14:textId="19DBCAAD" w:rsidR="00C7035E" w:rsidRDefault="00C7035E" w:rsidP="00916EB2">
      <w:pPr>
        <w:pStyle w:val="Heading5"/>
      </w:pPr>
      <w:r>
        <w:t xml:space="preserve">Efficacy </w:t>
      </w:r>
      <w:r w:rsidR="00B26DB1">
        <w:t>e</w:t>
      </w:r>
      <w:r>
        <w:t>ndpoints</w:t>
      </w:r>
    </w:p>
    <w:p w14:paraId="6AA1B557" w14:textId="4C8C8DC8" w:rsidR="00D500FB" w:rsidRDefault="00D500FB" w:rsidP="00C7035E">
      <w:r>
        <w:t>The p</w:t>
      </w:r>
      <w:r w:rsidR="00C7035E">
        <w:t>rimary endpoint</w:t>
      </w:r>
      <w:r>
        <w:t xml:space="preserve"> was o</w:t>
      </w:r>
      <w:r w:rsidR="00C7035E">
        <w:t xml:space="preserve">verall </w:t>
      </w:r>
      <w:r>
        <w:t>s</w:t>
      </w:r>
      <w:r w:rsidR="00C7035E">
        <w:t>urvival</w:t>
      </w:r>
      <w:r w:rsidR="00321651">
        <w:t>.</w:t>
      </w:r>
    </w:p>
    <w:p w14:paraId="6ABEE69D" w14:textId="73E34328" w:rsidR="00C7035E" w:rsidRDefault="00D500FB" w:rsidP="00C7035E">
      <w:r>
        <w:t>Key secondary endpoints (alpha controlled) included:</w:t>
      </w:r>
    </w:p>
    <w:p w14:paraId="3CFE97DE" w14:textId="767BE620" w:rsidR="00C7035E" w:rsidRDefault="00C7035E" w:rsidP="00D500FB">
      <w:pPr>
        <w:pStyle w:val="ListBullet"/>
      </w:pPr>
      <w:r>
        <w:t xml:space="preserve">Progression </w:t>
      </w:r>
      <w:r w:rsidR="00D500FB">
        <w:t>f</w:t>
      </w:r>
      <w:r>
        <w:t xml:space="preserve">ree </w:t>
      </w:r>
      <w:r w:rsidR="00D500FB">
        <w:t>s</w:t>
      </w:r>
      <w:r>
        <w:t xml:space="preserve">urvival per </w:t>
      </w:r>
      <w:r w:rsidR="00D500FB">
        <w:t>R</w:t>
      </w:r>
      <w:r w:rsidR="00D500FB" w:rsidRPr="00D500FB">
        <w:t xml:space="preserve">esponse Evaluation Criteria </w:t>
      </w:r>
      <w:r w:rsidR="00D500FB">
        <w:t>in</w:t>
      </w:r>
      <w:r w:rsidR="00D500FB" w:rsidRPr="00D500FB">
        <w:t xml:space="preserve"> Solid Tumo</w:t>
      </w:r>
      <w:r w:rsidR="00D500FB" w:rsidRPr="00F400D1">
        <w:t>urs (</w:t>
      </w:r>
      <w:r w:rsidRPr="00F400D1">
        <w:t>RECIST</w:t>
      </w:r>
      <w:r w:rsidR="00D500FB" w:rsidRPr="00F400D1">
        <w:t>)</w:t>
      </w:r>
      <w:bookmarkStart w:id="53" w:name="_Ref125383327"/>
      <w:r w:rsidR="00CC5173">
        <w:rPr>
          <w:rStyle w:val="FootnoteReference"/>
        </w:rPr>
        <w:footnoteReference w:id="18"/>
      </w:r>
      <w:bookmarkEnd w:id="53"/>
      <w:r w:rsidR="00D500FB">
        <w:t xml:space="preserve"> ve</w:t>
      </w:r>
      <w:r w:rsidR="009345C7">
        <w:t>rsion</w:t>
      </w:r>
      <w:r>
        <w:t xml:space="preserve"> 1.1 by </w:t>
      </w:r>
      <w:r w:rsidR="00D500FB">
        <w:t>i</w:t>
      </w:r>
      <w:r>
        <w:t xml:space="preserve">nvestigator </w:t>
      </w:r>
    </w:p>
    <w:p w14:paraId="0E14F3A5" w14:textId="79E5178F" w:rsidR="00C7035E" w:rsidRDefault="00C7035E" w:rsidP="00D500FB">
      <w:pPr>
        <w:pStyle w:val="ListBullet"/>
      </w:pPr>
      <w:r>
        <w:t xml:space="preserve">Objective </w:t>
      </w:r>
      <w:r w:rsidR="00D500FB">
        <w:t>r</w:t>
      </w:r>
      <w:r>
        <w:t xml:space="preserve">esponse </w:t>
      </w:r>
      <w:r w:rsidR="00D500FB">
        <w:t>r</w:t>
      </w:r>
      <w:r>
        <w:t>ate</w:t>
      </w:r>
      <w:r w:rsidRPr="00F400D1">
        <w:t>:</w:t>
      </w:r>
      <w:r>
        <w:t xml:space="preserve"> (</w:t>
      </w:r>
      <w:r w:rsidR="00D500FB">
        <w:t>c</w:t>
      </w:r>
      <w:r>
        <w:t xml:space="preserve">omplete </w:t>
      </w:r>
      <w:r w:rsidR="00D500FB">
        <w:t>r</w:t>
      </w:r>
      <w:r>
        <w:t xml:space="preserve">esponse or </w:t>
      </w:r>
      <w:r w:rsidR="00D500FB">
        <w:t>p</w:t>
      </w:r>
      <w:r>
        <w:t xml:space="preserve">artial </w:t>
      </w:r>
      <w:r w:rsidR="00D500FB">
        <w:t>r</w:t>
      </w:r>
      <w:r>
        <w:t xml:space="preserve">esponse) per RECIST </w:t>
      </w:r>
      <w:r w:rsidR="00D500FB">
        <w:t>ver</w:t>
      </w:r>
      <w:r w:rsidR="00580604">
        <w:t>sion</w:t>
      </w:r>
      <w:r w:rsidR="00D500FB">
        <w:t xml:space="preserve"> </w:t>
      </w:r>
      <w:r>
        <w:t xml:space="preserve">1.1 by </w:t>
      </w:r>
      <w:r w:rsidR="00D500FB">
        <w:t>i</w:t>
      </w:r>
      <w:r>
        <w:t>nvestigator</w:t>
      </w:r>
    </w:p>
    <w:p w14:paraId="54D3CC2B" w14:textId="4FB59907" w:rsidR="00C7035E" w:rsidRDefault="00C7035E" w:rsidP="00D500FB">
      <w:pPr>
        <w:pStyle w:val="ListBullet"/>
      </w:pPr>
      <w:r>
        <w:t xml:space="preserve">Disease </w:t>
      </w:r>
      <w:r w:rsidR="00D500FB">
        <w:t>c</w:t>
      </w:r>
      <w:r>
        <w:t xml:space="preserve">ontrol </w:t>
      </w:r>
      <w:r w:rsidR="00D500FB">
        <w:t>r</w:t>
      </w:r>
      <w:r>
        <w:t>ate</w:t>
      </w:r>
      <w:r w:rsidR="00F400D1">
        <w:t>:</w:t>
      </w:r>
      <w:r>
        <w:t xml:space="preserve"> (</w:t>
      </w:r>
      <w:r w:rsidR="00916EB2">
        <w:t>complete response</w:t>
      </w:r>
      <w:r>
        <w:t xml:space="preserve"> or</w:t>
      </w:r>
      <w:r w:rsidR="00916EB2">
        <w:t xml:space="preserve"> partial response</w:t>
      </w:r>
      <w:r>
        <w:t xml:space="preserve"> or stable disease) per RECIST </w:t>
      </w:r>
      <w:r w:rsidR="00D500FB">
        <w:t>ve</w:t>
      </w:r>
      <w:r w:rsidR="00580604">
        <w:t>rsion</w:t>
      </w:r>
      <w:r w:rsidR="00D500FB">
        <w:t xml:space="preserve"> </w:t>
      </w:r>
      <w:r>
        <w:t xml:space="preserve">1.1 by </w:t>
      </w:r>
      <w:r w:rsidR="00D500FB">
        <w:t>i</w:t>
      </w:r>
      <w:r>
        <w:t>nvestigator</w:t>
      </w:r>
    </w:p>
    <w:p w14:paraId="5C4C758C" w14:textId="2BDF866A" w:rsidR="00C7035E" w:rsidRPr="00D500FB" w:rsidRDefault="00C7035E" w:rsidP="00D500FB">
      <w:r w:rsidRPr="00D500FB">
        <w:t>Other secondary endpoints (no alpha allocation)</w:t>
      </w:r>
      <w:r w:rsidR="00D500FB" w:rsidRPr="00D500FB">
        <w:t xml:space="preserve"> included d</w:t>
      </w:r>
      <w:r w:rsidRPr="00D500FB">
        <w:t xml:space="preserve">uration of response, </w:t>
      </w:r>
      <w:r w:rsidR="00D500FB" w:rsidRPr="00D500FB">
        <w:t>q</w:t>
      </w:r>
      <w:r w:rsidRPr="00D500FB">
        <w:t xml:space="preserve">uality of life and </w:t>
      </w:r>
      <w:r w:rsidR="00D500FB" w:rsidRPr="00D500FB">
        <w:t>p</w:t>
      </w:r>
      <w:r w:rsidRPr="00D500FB">
        <w:t xml:space="preserve">atient </w:t>
      </w:r>
      <w:r w:rsidR="00D500FB" w:rsidRPr="00D500FB">
        <w:t>r</w:t>
      </w:r>
      <w:r w:rsidRPr="00D500FB">
        <w:t xml:space="preserve">elated </w:t>
      </w:r>
      <w:r w:rsidR="00D500FB" w:rsidRPr="00D500FB">
        <w:t>o</w:t>
      </w:r>
      <w:r w:rsidRPr="00D500FB">
        <w:t>utcomes</w:t>
      </w:r>
      <w:r w:rsidR="00D500FB" w:rsidRPr="00D500FB">
        <w:t>.</w:t>
      </w:r>
    </w:p>
    <w:p w14:paraId="0ECC571A" w14:textId="77777777" w:rsidR="00C7035E" w:rsidRDefault="00C7035E" w:rsidP="00916EB2">
      <w:pPr>
        <w:pStyle w:val="Heading5"/>
      </w:pPr>
      <w:r>
        <w:lastRenderedPageBreak/>
        <w:t>Statistics</w:t>
      </w:r>
    </w:p>
    <w:p w14:paraId="72307002" w14:textId="20BA41A8" w:rsidR="00C7035E" w:rsidRPr="00916EB2" w:rsidRDefault="00D500FB" w:rsidP="00916EB2">
      <w:r w:rsidRPr="00916EB2">
        <w:t>A s</w:t>
      </w:r>
      <w:r w:rsidR="00C7035E" w:rsidRPr="00916EB2">
        <w:t xml:space="preserve">tatistical </w:t>
      </w:r>
      <w:r w:rsidRPr="00916EB2">
        <w:t>a</w:t>
      </w:r>
      <w:r w:rsidR="00C7035E" w:rsidRPr="00916EB2">
        <w:t xml:space="preserve">nalysis </w:t>
      </w:r>
      <w:r w:rsidRPr="00916EB2">
        <w:t>p</w:t>
      </w:r>
      <w:r w:rsidR="00C7035E" w:rsidRPr="00916EB2">
        <w:t xml:space="preserve">lan </w:t>
      </w:r>
      <w:r w:rsidRPr="00916EB2">
        <w:t xml:space="preserve">was </w:t>
      </w:r>
      <w:r w:rsidR="00C7035E" w:rsidRPr="00916EB2">
        <w:t>finalised prior to interim analysis</w:t>
      </w:r>
      <w:r w:rsidRPr="00916EB2">
        <w:t xml:space="preserve">. Analysis included one </w:t>
      </w:r>
      <w:r w:rsidRPr="00CC5173">
        <w:t>p</w:t>
      </w:r>
      <w:r w:rsidR="00CC5173" w:rsidRPr="00CC5173">
        <w:t>l</w:t>
      </w:r>
      <w:r w:rsidRPr="00CC5173">
        <w:t>anned</w:t>
      </w:r>
      <w:r w:rsidRPr="00916EB2">
        <w:t xml:space="preserve"> interim analysis and one final (primary analysis), after 285 </w:t>
      </w:r>
      <w:r w:rsidR="00321651" w:rsidRPr="00916EB2">
        <w:t>overall survival</w:t>
      </w:r>
      <w:r w:rsidRPr="00916EB2">
        <w:t xml:space="preserve"> events (65% total), 439 events respectively. Patients not satisfying response criteria or with insufficient data were considered non-responders.</w:t>
      </w:r>
    </w:p>
    <w:p w14:paraId="3DEEB2B2" w14:textId="1D1E0150" w:rsidR="00C7035E" w:rsidRPr="00916EB2" w:rsidRDefault="00321651" w:rsidP="00916EB2">
      <w:r w:rsidRPr="00916EB2">
        <w:t>A</w:t>
      </w:r>
      <w:r w:rsidR="00C7035E" w:rsidRPr="00916EB2">
        <w:t xml:space="preserve">pproximately 600 patients, assuming </w:t>
      </w:r>
      <w:r w:rsidRPr="00916EB2">
        <w:t>hazard ratio</w:t>
      </w:r>
      <w:r w:rsidR="00C7035E" w:rsidRPr="00916EB2">
        <w:t xml:space="preserve"> 0.75 (median </w:t>
      </w:r>
      <w:r w:rsidRPr="00916EB2">
        <w:t>overall survival</w:t>
      </w:r>
      <w:r w:rsidR="00C7035E" w:rsidRPr="00916EB2">
        <w:t xml:space="preserve"> in Arm A and Arm B are 10.7 months and 8 months, respectively), dropout rate of 10%, would provide 85% power to detect a statistically significant difference at overall type I error rate of 1</w:t>
      </w:r>
      <w:r w:rsidRPr="00916EB2">
        <w:t xml:space="preserve"> </w:t>
      </w:r>
      <w:r w:rsidR="00C7035E" w:rsidRPr="00916EB2">
        <w:t>sided 0.025.</w:t>
      </w:r>
    </w:p>
    <w:p w14:paraId="094A3035" w14:textId="3ED7D23D" w:rsidR="00C7035E" w:rsidRPr="00916EB2" w:rsidRDefault="00C7035E" w:rsidP="00916EB2">
      <w:r w:rsidRPr="00916EB2">
        <w:t xml:space="preserve">Sample size (600 patients) was determined by the primary endpoint </w:t>
      </w:r>
      <w:r w:rsidR="00321651" w:rsidRPr="00916EB2">
        <w:t xml:space="preserve">overall survival </w:t>
      </w:r>
      <w:r w:rsidRPr="00916EB2">
        <w:t>and provided more than 90% power to detect statistically significant differences on</w:t>
      </w:r>
      <w:r w:rsidR="00321651" w:rsidRPr="00916EB2">
        <w:t xml:space="preserve"> progression</w:t>
      </w:r>
      <w:r w:rsidR="00CC5173">
        <w:t xml:space="preserve"> </w:t>
      </w:r>
      <w:r w:rsidR="00321651" w:rsidRPr="00916EB2">
        <w:t xml:space="preserve">free survival </w:t>
      </w:r>
      <w:r w:rsidRPr="00916EB2">
        <w:t xml:space="preserve">(assuming median </w:t>
      </w:r>
      <w:r w:rsidR="00321651" w:rsidRPr="00916EB2">
        <w:t>progression</w:t>
      </w:r>
      <w:r w:rsidR="00CC5173">
        <w:t xml:space="preserve"> </w:t>
      </w:r>
      <w:r w:rsidR="00321651" w:rsidRPr="00916EB2">
        <w:t>free survival</w:t>
      </w:r>
      <w:r w:rsidRPr="00916EB2">
        <w:t xml:space="preserve"> in Arm A and Arm B were </w:t>
      </w:r>
      <w:r w:rsidR="00321651" w:rsidRPr="00916EB2">
        <w:t>six</w:t>
      </w:r>
      <w:r w:rsidRPr="00916EB2">
        <w:t xml:space="preserve"> months and </w:t>
      </w:r>
      <w:r w:rsidR="00321651" w:rsidRPr="00916EB2">
        <w:t>four</w:t>
      </w:r>
      <w:r w:rsidRPr="00916EB2">
        <w:t xml:space="preserve"> months, respectively), and </w:t>
      </w:r>
      <w:r w:rsidR="00916EB2" w:rsidRPr="00916EB2">
        <w:t>objective response rate</w:t>
      </w:r>
      <w:r w:rsidRPr="00916EB2">
        <w:t xml:space="preserve"> and </w:t>
      </w:r>
      <w:r w:rsidR="00916EB2" w:rsidRPr="00916EB2">
        <w:t>disease control rate</w:t>
      </w:r>
      <w:r w:rsidRPr="00916EB2">
        <w:t xml:space="preserve"> (assuming 15% treatment difference between Arm A and Arm B for both </w:t>
      </w:r>
      <w:r w:rsidR="00916EB2" w:rsidRPr="00916EB2">
        <w:t>objective response rate</w:t>
      </w:r>
      <w:r w:rsidRPr="00916EB2">
        <w:t xml:space="preserve"> and </w:t>
      </w:r>
      <w:r w:rsidR="00916EB2" w:rsidRPr="00916EB2">
        <w:t>disease control rate</w:t>
      </w:r>
      <w:r w:rsidRPr="00916EB2">
        <w:t>).</w:t>
      </w:r>
    </w:p>
    <w:p w14:paraId="63093798" w14:textId="12A36083" w:rsidR="00C7035E" w:rsidRDefault="00916EB2" w:rsidP="00C7035E">
      <w:r>
        <w:t>Overall survival and progression</w:t>
      </w:r>
      <w:r w:rsidR="00CC5173">
        <w:t xml:space="preserve"> </w:t>
      </w:r>
      <w:r>
        <w:t xml:space="preserve">free survival </w:t>
      </w:r>
      <w:r w:rsidR="00C7035E" w:rsidRPr="00916EB2">
        <w:t>estimated for each treatment arm using Kaplan-Meier methodology and comparing Arm A and Arm B was conducted using the stratified log</w:t>
      </w:r>
      <w:r>
        <w:t xml:space="preserve"> </w:t>
      </w:r>
      <w:r w:rsidR="00C7035E" w:rsidRPr="00916EB2">
        <w:t>rank test controlling for randomisation stratification factors. Stratified Cox proportional hazards</w:t>
      </w:r>
      <w:r w:rsidR="00C7035E">
        <w:t xml:space="preserve"> model (same stratification factors as used for stratified log</w:t>
      </w:r>
      <w:r>
        <w:t xml:space="preserve"> </w:t>
      </w:r>
      <w:r w:rsidR="00C7035E">
        <w:t xml:space="preserve">rank test) used to estimate the </w:t>
      </w:r>
      <w:r>
        <w:t>hazard ratio</w:t>
      </w:r>
      <w:r w:rsidR="00C7035E">
        <w:t xml:space="preserve"> and the corresponding 95% </w:t>
      </w:r>
      <w:r>
        <w:t xml:space="preserve">confidence </w:t>
      </w:r>
      <w:r w:rsidRPr="00CC5173">
        <w:t>interval</w:t>
      </w:r>
      <w:r w:rsidR="00C7035E" w:rsidRPr="00CC5173">
        <w:t>s</w:t>
      </w:r>
      <w:r w:rsidRPr="00CC5173">
        <w:t xml:space="preserve"> (CI)</w:t>
      </w:r>
      <w:r w:rsidR="00C7035E" w:rsidRPr="00CC5173">
        <w:t>.</w:t>
      </w:r>
    </w:p>
    <w:p w14:paraId="5D895168" w14:textId="4AFFC7B6" w:rsidR="00C7035E" w:rsidRPr="00916EB2" w:rsidRDefault="00C7035E" w:rsidP="00916EB2">
      <w:pPr>
        <w:pStyle w:val="Heading6"/>
      </w:pPr>
      <w:r w:rsidRPr="00916EB2">
        <w:t>Multiplicity adjustment</w:t>
      </w:r>
    </w:p>
    <w:p w14:paraId="7804F6B1" w14:textId="4C1A41DA" w:rsidR="00C7035E" w:rsidRPr="00916EB2" w:rsidRDefault="00916EB2" w:rsidP="00916EB2">
      <w:pPr>
        <w:pStyle w:val="ListBullet"/>
      </w:pPr>
      <w:r>
        <w:t>I</w:t>
      </w:r>
      <w:r w:rsidR="00C7035E" w:rsidRPr="00916EB2">
        <w:t>nterim and final (primary) analysis of the primary endpoint</w:t>
      </w:r>
      <w:r>
        <w:t>, overall survival</w:t>
      </w:r>
      <w:r w:rsidR="00C7035E" w:rsidRPr="00916EB2">
        <w:t>, and between the primary and the selected secondary endpoints (</w:t>
      </w:r>
      <w:r>
        <w:t>progression</w:t>
      </w:r>
      <w:r w:rsidR="00CC5173">
        <w:t xml:space="preserve"> </w:t>
      </w:r>
      <w:r>
        <w:t>free survival</w:t>
      </w:r>
      <w:r w:rsidR="00C7035E" w:rsidRPr="00916EB2">
        <w:t xml:space="preserve">, </w:t>
      </w:r>
      <w:r>
        <w:t>objective response rate</w:t>
      </w:r>
      <w:r w:rsidR="00C7035E" w:rsidRPr="00916EB2">
        <w:t xml:space="preserve"> and </w:t>
      </w:r>
      <w:r>
        <w:t>disease control rate</w:t>
      </w:r>
      <w:r w:rsidR="00C7035E" w:rsidRPr="00916EB2">
        <w:t>).</w:t>
      </w:r>
    </w:p>
    <w:p w14:paraId="7178E46D" w14:textId="1FFB00C1" w:rsidR="00C7035E" w:rsidRPr="00916EB2" w:rsidRDefault="00C7035E" w:rsidP="00916EB2">
      <w:pPr>
        <w:pStyle w:val="ListBullet"/>
      </w:pPr>
      <w:r w:rsidRPr="00916EB2">
        <w:t>Family</w:t>
      </w:r>
      <w:r w:rsidR="00916EB2">
        <w:t xml:space="preserve"> </w:t>
      </w:r>
      <w:r w:rsidRPr="00916EB2">
        <w:t>wise type I error rate for this study was controlled at 2.5% (</w:t>
      </w:r>
      <w:r w:rsidR="00B26DB1">
        <w:t>one</w:t>
      </w:r>
      <w:r w:rsidR="00916EB2">
        <w:t xml:space="preserve"> </w:t>
      </w:r>
      <w:r w:rsidRPr="00916EB2">
        <w:t>sided)</w:t>
      </w:r>
    </w:p>
    <w:p w14:paraId="45E01AD0" w14:textId="760EA0F1" w:rsidR="00C7035E" w:rsidRPr="00916EB2" w:rsidRDefault="00916EB2" w:rsidP="00916EB2">
      <w:pPr>
        <w:pStyle w:val="ListBullet2"/>
      </w:pPr>
      <w:r>
        <w:t>Overall survival</w:t>
      </w:r>
      <w:r w:rsidR="00C7035E" w:rsidRPr="00916EB2">
        <w:t xml:space="preserve"> formally tested at interim and final analysis (O’Brien-Fleming boundary per Lan-</w:t>
      </w:r>
      <w:proofErr w:type="spellStart"/>
      <w:r w:rsidR="00C7035E" w:rsidRPr="00916EB2">
        <w:t>DeMets</w:t>
      </w:r>
      <w:proofErr w:type="spellEnd"/>
      <w:r w:rsidR="00C7035E" w:rsidRPr="00916EB2">
        <w:t xml:space="preserve"> method)</w:t>
      </w:r>
      <w:r>
        <w:t>.</w:t>
      </w:r>
    </w:p>
    <w:p w14:paraId="41718916" w14:textId="5FE0CE91" w:rsidR="00C7035E" w:rsidRPr="00916EB2" w:rsidRDefault="00C7035E" w:rsidP="00916EB2">
      <w:pPr>
        <w:pStyle w:val="ListBullet2"/>
      </w:pPr>
      <w:r w:rsidRPr="00916EB2">
        <w:t xml:space="preserve">Formal hypothesis testing on the selected secondary endpoints including </w:t>
      </w:r>
      <w:r w:rsidR="00916EB2" w:rsidRPr="00916EB2">
        <w:t>progression</w:t>
      </w:r>
      <w:r w:rsidR="00CC5173">
        <w:t xml:space="preserve"> </w:t>
      </w:r>
      <w:r w:rsidR="00916EB2" w:rsidRPr="00916EB2">
        <w:t>free survival, objective response rate</w:t>
      </w:r>
      <w:r w:rsidR="00916EB2">
        <w:t xml:space="preserve"> </w:t>
      </w:r>
      <w:r w:rsidR="00916EB2" w:rsidRPr="00916EB2">
        <w:t xml:space="preserve">and disease control rate </w:t>
      </w:r>
      <w:r w:rsidRPr="00916EB2">
        <w:t xml:space="preserve">(in that order) if null hypothesis for </w:t>
      </w:r>
      <w:r w:rsidR="00916EB2">
        <w:t>overall survival</w:t>
      </w:r>
      <w:r w:rsidRPr="00916EB2">
        <w:t xml:space="preserve"> rejected</w:t>
      </w:r>
      <w:r w:rsidR="00916EB2">
        <w:t>.</w:t>
      </w:r>
    </w:p>
    <w:p w14:paraId="3BA4DD92" w14:textId="1ECC4A27" w:rsidR="00C7035E" w:rsidRPr="00916EB2" w:rsidRDefault="00916EB2" w:rsidP="00916EB2">
      <w:pPr>
        <w:pStyle w:val="ListBullet2"/>
      </w:pPr>
      <w:r>
        <w:t>P</w:t>
      </w:r>
      <w:r w:rsidRPr="00916EB2">
        <w:t>rogression</w:t>
      </w:r>
      <w:r w:rsidR="00CC5173">
        <w:t xml:space="preserve"> </w:t>
      </w:r>
      <w:r w:rsidRPr="00916EB2">
        <w:t>free survival</w:t>
      </w:r>
      <w:r w:rsidR="00C7035E" w:rsidRPr="00916EB2">
        <w:t xml:space="preserve"> was planned to be tested at either analysis when the null hypothesis for </w:t>
      </w:r>
      <w:r>
        <w:t>overall survival</w:t>
      </w:r>
      <w:r w:rsidR="00C7035E" w:rsidRPr="00916EB2">
        <w:t xml:space="preserve"> was rejected</w:t>
      </w:r>
      <w:r>
        <w:t xml:space="preserve"> (</w:t>
      </w:r>
      <w:r w:rsidR="00C7035E" w:rsidRPr="00916EB2">
        <w:t xml:space="preserve">significance level of </w:t>
      </w:r>
      <w:r w:rsidRPr="00916EB2">
        <w:t>progression</w:t>
      </w:r>
      <w:r w:rsidR="00CC5173">
        <w:t xml:space="preserve"> </w:t>
      </w:r>
      <w:r w:rsidRPr="00916EB2">
        <w:t>free survival</w:t>
      </w:r>
      <w:r w:rsidR="00C7035E" w:rsidRPr="00916EB2">
        <w:t xml:space="preserve"> based on the Pocock boundary per Lan-</w:t>
      </w:r>
      <w:proofErr w:type="spellStart"/>
      <w:r w:rsidR="00C7035E" w:rsidRPr="00916EB2">
        <w:t>DeMets</w:t>
      </w:r>
      <w:proofErr w:type="spellEnd"/>
      <w:r w:rsidR="00C7035E" w:rsidRPr="00916EB2">
        <w:t xml:space="preserve"> method)</w:t>
      </w:r>
      <w:r>
        <w:t>.</w:t>
      </w:r>
    </w:p>
    <w:p w14:paraId="3ED4F5F1" w14:textId="11C6F757" w:rsidR="00C7035E" w:rsidRPr="00916EB2" w:rsidRDefault="00916EB2" w:rsidP="00916EB2">
      <w:pPr>
        <w:pStyle w:val="ListBullet2"/>
      </w:pPr>
      <w:r>
        <w:t>O</w:t>
      </w:r>
      <w:r w:rsidRPr="00916EB2">
        <w:t xml:space="preserve">bjective response rate and disease control rate </w:t>
      </w:r>
      <w:r w:rsidR="00C7035E" w:rsidRPr="00916EB2">
        <w:t xml:space="preserve">tested once both the null hypotheses for </w:t>
      </w:r>
      <w:r w:rsidR="009345C7">
        <w:t>overall survival</w:t>
      </w:r>
      <w:r w:rsidR="00C7035E" w:rsidRPr="00916EB2">
        <w:t xml:space="preserve"> and </w:t>
      </w:r>
      <w:r w:rsidR="009345C7">
        <w:t>progression</w:t>
      </w:r>
      <w:r w:rsidR="00CC5173">
        <w:t xml:space="preserve"> </w:t>
      </w:r>
      <w:r w:rsidR="009345C7">
        <w:t>free survival</w:t>
      </w:r>
      <w:r w:rsidR="00C7035E" w:rsidRPr="00916EB2">
        <w:t xml:space="preserve"> were rejected (significance levels of both </w:t>
      </w:r>
      <w:r w:rsidR="009345C7" w:rsidRPr="009345C7">
        <w:t>objective response rat</w:t>
      </w:r>
      <w:r w:rsidR="009345C7">
        <w:t>e</w:t>
      </w:r>
      <w:r w:rsidR="009345C7" w:rsidRPr="009345C7">
        <w:t xml:space="preserve"> and disease control rate </w:t>
      </w:r>
      <w:r w:rsidR="00C7035E" w:rsidRPr="00916EB2">
        <w:t>were 0.025 (1</w:t>
      </w:r>
      <w:r w:rsidR="009345C7">
        <w:t xml:space="preserve"> </w:t>
      </w:r>
      <w:r w:rsidR="00C7035E" w:rsidRPr="00916EB2">
        <w:t xml:space="preserve">sided) as the </w:t>
      </w:r>
      <w:r w:rsidR="00210893">
        <w:t xml:space="preserve">information fraction </w:t>
      </w:r>
      <w:r w:rsidR="00C7035E" w:rsidRPr="00916EB2">
        <w:t>reached 100% at interim analysis).</w:t>
      </w:r>
    </w:p>
    <w:p w14:paraId="0AEBF878" w14:textId="77777777" w:rsidR="00C7035E" w:rsidRPr="00916EB2" w:rsidRDefault="00C7035E" w:rsidP="009345C7">
      <w:pPr>
        <w:pStyle w:val="Heading5"/>
      </w:pPr>
      <w:r w:rsidRPr="00916EB2">
        <w:t>Analysis populations</w:t>
      </w:r>
    </w:p>
    <w:p w14:paraId="19A7C5E0" w14:textId="40F3DC1E" w:rsidR="00C7035E" w:rsidRPr="009345C7" w:rsidRDefault="00580604" w:rsidP="00580604">
      <w:pPr>
        <w:pStyle w:val="ListBullet"/>
      </w:pPr>
      <w:r>
        <w:t>F</w:t>
      </w:r>
      <w:r w:rsidR="00C7035E" w:rsidRPr="009345C7">
        <w:t>ull analysis set</w:t>
      </w:r>
      <w:r w:rsidR="0039788C">
        <w:t>:</w:t>
      </w:r>
      <w:r w:rsidR="00C7035E" w:rsidRPr="009345C7">
        <w:t xml:space="preserve"> all subjects who were randomised, primary analysis set for efficacy analyses except for response</w:t>
      </w:r>
      <w:r>
        <w:t xml:space="preserve"> </w:t>
      </w:r>
      <w:r w:rsidR="00C7035E" w:rsidRPr="009345C7">
        <w:t>related efficacy endpoints.</w:t>
      </w:r>
    </w:p>
    <w:p w14:paraId="545ED147" w14:textId="3D3FD4A8" w:rsidR="00C7035E" w:rsidRPr="009345C7" w:rsidRDefault="00580604" w:rsidP="00580604">
      <w:pPr>
        <w:pStyle w:val="ListBullet"/>
      </w:pPr>
      <w:r>
        <w:t>S</w:t>
      </w:r>
      <w:r w:rsidR="00C7035E" w:rsidRPr="009345C7">
        <w:t>afety analysis set</w:t>
      </w:r>
      <w:r w:rsidR="0039788C">
        <w:t>:</w:t>
      </w:r>
      <w:r w:rsidR="00C7035E" w:rsidRPr="009345C7">
        <w:t xml:space="preserve"> consisted of all subjects who received any study drug</w:t>
      </w:r>
      <w:r>
        <w:t>.</w:t>
      </w:r>
    </w:p>
    <w:p w14:paraId="548F85C1" w14:textId="45F5B41C" w:rsidR="00C7035E" w:rsidRPr="009345C7" w:rsidRDefault="00580604" w:rsidP="00580604">
      <w:pPr>
        <w:pStyle w:val="ListBullet"/>
      </w:pPr>
      <w:r>
        <w:t>R</w:t>
      </w:r>
      <w:r w:rsidR="00C7035E" w:rsidRPr="009345C7">
        <w:t>esponse evaluable set</w:t>
      </w:r>
      <w:r w:rsidR="0039788C">
        <w:t>:</w:t>
      </w:r>
      <w:r w:rsidR="00C7035E" w:rsidRPr="009345C7">
        <w:t xml:space="preserve"> all subjects in the </w:t>
      </w:r>
      <w:r>
        <w:t>full analysis set</w:t>
      </w:r>
      <w:r w:rsidR="00C7035E" w:rsidRPr="009345C7">
        <w:t xml:space="preserve"> with measurable disease (per RECIST </w:t>
      </w:r>
      <w:r>
        <w:t xml:space="preserve">version </w:t>
      </w:r>
      <w:r w:rsidR="00C7035E" w:rsidRPr="009345C7">
        <w:t>1.1)</w:t>
      </w:r>
      <w:r w:rsidR="0026384C">
        <w:fldChar w:fldCharType="begin"/>
      </w:r>
      <w:r w:rsidR="0026384C">
        <w:instrText xml:space="preserve"> NOTEREF _Ref125383327 \f \h </w:instrText>
      </w:r>
      <w:r w:rsidR="0026384C">
        <w:fldChar w:fldCharType="separate"/>
      </w:r>
      <w:r w:rsidR="00555193" w:rsidRPr="00555193">
        <w:rPr>
          <w:rStyle w:val="FootnoteReference"/>
        </w:rPr>
        <w:t>18</w:t>
      </w:r>
      <w:r w:rsidR="0026384C">
        <w:fldChar w:fldCharType="end"/>
      </w:r>
      <w:r w:rsidR="00C7035E" w:rsidRPr="009345C7">
        <w:t xml:space="preserve"> per investigator </w:t>
      </w:r>
      <w:r w:rsidR="00210893">
        <w:t>a</w:t>
      </w:r>
      <w:r w:rsidR="00C7035E" w:rsidRPr="009345C7">
        <w:t xml:space="preserve">t </w:t>
      </w:r>
      <w:r>
        <w:t>B</w:t>
      </w:r>
      <w:r w:rsidR="00C7035E" w:rsidRPr="009345C7">
        <w:t>aseline, used for analysis of response</w:t>
      </w:r>
      <w:r>
        <w:t xml:space="preserve"> </w:t>
      </w:r>
      <w:r w:rsidR="00C7035E" w:rsidRPr="009345C7">
        <w:t>related endpoints (</w:t>
      </w:r>
      <w:r>
        <w:t>for example</w:t>
      </w:r>
      <w:r w:rsidR="00C7035E" w:rsidRPr="009345C7">
        <w:t xml:space="preserve">, </w:t>
      </w:r>
      <w:r w:rsidRPr="00580604">
        <w:t>objective response rate</w:t>
      </w:r>
      <w:r>
        <w:t>,</w:t>
      </w:r>
      <w:r w:rsidRPr="00580604">
        <w:t xml:space="preserve"> disease control rate</w:t>
      </w:r>
      <w:r w:rsidR="00C7035E" w:rsidRPr="009345C7">
        <w:t>).</w:t>
      </w:r>
    </w:p>
    <w:p w14:paraId="210B2BB6" w14:textId="69FEB56D" w:rsidR="00C7035E" w:rsidRPr="009345C7" w:rsidRDefault="00580604" w:rsidP="00580604">
      <w:pPr>
        <w:pStyle w:val="ListBullet"/>
      </w:pPr>
      <w:r>
        <w:t>P</w:t>
      </w:r>
      <w:r w:rsidR="00C7035E" w:rsidRPr="009345C7">
        <w:t>harmacokinetics analysis set</w:t>
      </w:r>
      <w:r w:rsidR="0039788C">
        <w:t>:</w:t>
      </w:r>
      <w:r w:rsidR="00C7035E" w:rsidRPr="009345C7">
        <w:t xml:space="preserve"> all subjects who received active drug with </w:t>
      </w:r>
      <w:r>
        <w:t>greater than or equal to one</w:t>
      </w:r>
      <w:r w:rsidR="00C7035E" w:rsidRPr="009345C7">
        <w:t xml:space="preserve"> blood sample collected and assayed for measurement of </w:t>
      </w:r>
      <w:r>
        <w:t xml:space="preserve">enfortumab </w:t>
      </w:r>
      <w:r>
        <w:lastRenderedPageBreak/>
        <w:t>vedotin</w:t>
      </w:r>
      <w:r w:rsidR="00C7035E" w:rsidRPr="009345C7">
        <w:t xml:space="preserve"> serum/plasma concentrations and time of sampling and time of dosing on day of sampling known, used for all presentations of PK data.</w:t>
      </w:r>
    </w:p>
    <w:p w14:paraId="44989C7D" w14:textId="437E921F" w:rsidR="00C7035E" w:rsidRDefault="00C7035E" w:rsidP="00580604">
      <w:pPr>
        <w:pStyle w:val="Heading5"/>
      </w:pPr>
      <w:r>
        <w:t xml:space="preserve">Protocol </w:t>
      </w:r>
      <w:r w:rsidR="00B26DB1">
        <w:t>a</w:t>
      </w:r>
      <w:r>
        <w:t xml:space="preserve">mendments and </w:t>
      </w:r>
      <w:r w:rsidR="00B26DB1">
        <w:t>d</w:t>
      </w:r>
      <w:r>
        <w:t>eviations</w:t>
      </w:r>
    </w:p>
    <w:p w14:paraId="7527411C" w14:textId="15E26AF9" w:rsidR="00C7035E" w:rsidRPr="00A16DA0" w:rsidRDefault="00C7035E" w:rsidP="00A16DA0">
      <w:r w:rsidRPr="00781F5F">
        <w:rPr>
          <w:i/>
        </w:rPr>
        <w:t>A</w:t>
      </w:r>
      <w:r w:rsidR="00A16DA0" w:rsidRPr="00781F5F">
        <w:rPr>
          <w:i/>
        </w:rPr>
        <w:t>mendment one</w:t>
      </w:r>
      <w:r w:rsidRPr="00A16DA0">
        <w:t>: numerous including updating exclusion criteria to exclude ongoing immunotherapy</w:t>
      </w:r>
      <w:r w:rsidR="00A16DA0">
        <w:t xml:space="preserve"> </w:t>
      </w:r>
      <w:r w:rsidRPr="00A16DA0">
        <w:t>related myocarditis, clarify when subjects with immunotherapy</w:t>
      </w:r>
      <w:r w:rsidR="00A16DA0">
        <w:t xml:space="preserve"> </w:t>
      </w:r>
      <w:r w:rsidRPr="00A16DA0">
        <w:t>related hypothyroidism or</w:t>
      </w:r>
      <w:r w:rsidR="00A16DA0" w:rsidRPr="00A16DA0">
        <w:t xml:space="preserve"> </w:t>
      </w:r>
      <w:r w:rsidRPr="00A16DA0">
        <w:t>panhypopituitarism or superficial punctate keratitis may be enrolled, to allow subjects who required a strong CYP3A4 inhibitor or inducer</w:t>
      </w:r>
      <w:r w:rsidR="00A16DA0">
        <w:t>.</w:t>
      </w:r>
    </w:p>
    <w:p w14:paraId="7DF9C9FA" w14:textId="69B87997" w:rsidR="00C7035E" w:rsidRPr="00A16DA0" w:rsidRDefault="00A16DA0" w:rsidP="00A16DA0">
      <w:r w:rsidRPr="00781F5F">
        <w:rPr>
          <w:i/>
        </w:rPr>
        <w:t>Amendment two</w:t>
      </w:r>
      <w:r w:rsidR="00C7035E" w:rsidRPr="00A16DA0">
        <w:t xml:space="preserve">: </w:t>
      </w:r>
      <w:r>
        <w:t>i</w:t>
      </w:r>
      <w:r w:rsidR="00C7035E" w:rsidRPr="00A16DA0">
        <w:t xml:space="preserve">ncreased the targeted number of death events </w:t>
      </w:r>
      <w:r w:rsidR="00210893">
        <w:t xml:space="preserve">in the </w:t>
      </w:r>
      <w:r w:rsidR="00C7035E" w:rsidRPr="00A16DA0">
        <w:t>final analysis from 384 to 439 to increase power of study from 80 to 85</w:t>
      </w:r>
      <w:r>
        <w:t>%</w:t>
      </w:r>
      <w:r w:rsidR="00C7035E" w:rsidRPr="00A16DA0">
        <w:t>, increased sample size from 550 to 600</w:t>
      </w:r>
      <w:r w:rsidR="00210893">
        <w:t xml:space="preserve"> death events in the final analysis </w:t>
      </w:r>
      <w:r w:rsidR="00C7035E" w:rsidRPr="00A16DA0">
        <w:t>to maintain analyses timeline.</w:t>
      </w:r>
    </w:p>
    <w:p w14:paraId="72C670EE" w14:textId="3E3F542E" w:rsidR="00C7035E" w:rsidRPr="00A16DA0" w:rsidRDefault="00C7035E" w:rsidP="00A16DA0">
      <w:r w:rsidRPr="00781F5F">
        <w:rPr>
          <w:i/>
        </w:rPr>
        <w:t>A</w:t>
      </w:r>
      <w:r w:rsidR="00A16DA0" w:rsidRPr="00781F5F">
        <w:rPr>
          <w:i/>
        </w:rPr>
        <w:t>mendment three</w:t>
      </w:r>
      <w:r w:rsidRPr="00A16DA0">
        <w:t xml:space="preserve">: </w:t>
      </w:r>
      <w:r w:rsidR="00A16DA0">
        <w:t>a</w:t>
      </w:r>
      <w:r w:rsidRPr="00A16DA0">
        <w:t xml:space="preserve">dded a </w:t>
      </w:r>
      <w:r w:rsidR="00A16DA0">
        <w:t>c</w:t>
      </w:r>
      <w:r w:rsidRPr="00A16DA0">
        <w:t xml:space="preserve">rossover </w:t>
      </w:r>
      <w:r w:rsidR="00A16DA0">
        <w:t>e</w:t>
      </w:r>
      <w:r w:rsidRPr="00A16DA0">
        <w:t>xtension to study design</w:t>
      </w:r>
      <w:r w:rsidR="00A16DA0">
        <w:t>.</w:t>
      </w:r>
    </w:p>
    <w:p w14:paraId="6447F6CB" w14:textId="2B89D50B" w:rsidR="00C7035E" w:rsidRPr="00A16DA0" w:rsidRDefault="00C7035E" w:rsidP="00A16DA0">
      <w:r w:rsidRPr="00781F5F">
        <w:rPr>
          <w:i/>
        </w:rPr>
        <w:t xml:space="preserve">Major </w:t>
      </w:r>
      <w:r w:rsidR="00A16DA0" w:rsidRPr="00781F5F">
        <w:rPr>
          <w:i/>
        </w:rPr>
        <w:t>p</w:t>
      </w:r>
      <w:r w:rsidRPr="00781F5F">
        <w:rPr>
          <w:i/>
        </w:rPr>
        <w:t xml:space="preserve">rotocol </w:t>
      </w:r>
      <w:r w:rsidR="00A16DA0" w:rsidRPr="00781F5F">
        <w:rPr>
          <w:i/>
        </w:rPr>
        <w:t>d</w:t>
      </w:r>
      <w:r w:rsidRPr="00781F5F">
        <w:rPr>
          <w:i/>
        </w:rPr>
        <w:t>eviations</w:t>
      </w:r>
      <w:r w:rsidRPr="00A16DA0">
        <w:t xml:space="preserve">: reported in 7% of Arm A and 3.9% of Arm B. 2.7% of Arm A and 0.7% of Arm B had developed criteria that would trigger withdrawal from the study but were not withdrawn, primarily because they </w:t>
      </w:r>
      <w:proofErr w:type="gramStart"/>
      <w:r w:rsidRPr="00A16DA0">
        <w:t>were considered to be</w:t>
      </w:r>
      <w:proofErr w:type="gramEnd"/>
      <w:r w:rsidRPr="00A16DA0">
        <w:t xml:space="preserve"> deriving clinical benefit by the investigator.</w:t>
      </w:r>
    </w:p>
    <w:p w14:paraId="02FDB945" w14:textId="1F04A77A" w:rsidR="001C558A" w:rsidRDefault="007E75DB" w:rsidP="00AE0175">
      <w:r>
        <w:fldChar w:fldCharType="begin"/>
      </w:r>
      <w:r>
        <w:instrText xml:space="preserve"> REF _Ref124246632 \h </w:instrText>
      </w:r>
      <w:r>
        <w:fldChar w:fldCharType="separate"/>
      </w:r>
      <w:r w:rsidR="00555193">
        <w:t xml:space="preserve">Table </w:t>
      </w:r>
      <w:r w:rsidR="00555193">
        <w:rPr>
          <w:noProof/>
        </w:rPr>
        <w:t>4</w:t>
      </w:r>
      <w:r>
        <w:fldChar w:fldCharType="end"/>
      </w:r>
      <w:r w:rsidR="00B26DB1">
        <w:t>, shown below, summarises</w:t>
      </w:r>
      <w:r>
        <w:t xml:space="preserve"> </w:t>
      </w:r>
      <w:r w:rsidR="00A16DA0" w:rsidRPr="00A16DA0">
        <w:t xml:space="preserve">the </w:t>
      </w:r>
      <w:r w:rsidR="00A16DA0">
        <w:t>b</w:t>
      </w:r>
      <w:r w:rsidR="00A16DA0" w:rsidRPr="00A16DA0">
        <w:t xml:space="preserve">aseline </w:t>
      </w:r>
      <w:r w:rsidR="00A16DA0">
        <w:t>d</w:t>
      </w:r>
      <w:r w:rsidR="00A16DA0" w:rsidRPr="00A16DA0">
        <w:t>emographics of the patient population</w:t>
      </w:r>
      <w:r w:rsidR="00B26DB1">
        <w:t xml:space="preserve"> in Study EV-301.</w:t>
      </w:r>
      <w:r w:rsidR="00A16DA0" w:rsidRPr="00A16DA0">
        <w:t xml:space="preserve"> </w:t>
      </w:r>
      <w:r>
        <w:fldChar w:fldCharType="begin"/>
      </w:r>
      <w:r>
        <w:instrText xml:space="preserve"> REF _Ref124246687 \h </w:instrText>
      </w:r>
      <w:r>
        <w:fldChar w:fldCharType="separate"/>
      </w:r>
      <w:r w:rsidR="00555193">
        <w:t xml:space="preserve">Table </w:t>
      </w:r>
      <w:r w:rsidR="00555193">
        <w:rPr>
          <w:noProof/>
        </w:rPr>
        <w:t>5</w:t>
      </w:r>
      <w:r>
        <w:fldChar w:fldCharType="end"/>
      </w:r>
      <w:r>
        <w:t xml:space="preserve"> </w:t>
      </w:r>
      <w:r w:rsidR="00B26DB1">
        <w:t xml:space="preserve">details </w:t>
      </w:r>
      <w:r w:rsidR="00A16DA0" w:rsidRPr="00A16DA0">
        <w:t xml:space="preserve">the baseline disease characteristics </w:t>
      </w:r>
      <w:r w:rsidR="00B26DB1">
        <w:t>for these subjects.</w:t>
      </w:r>
    </w:p>
    <w:p w14:paraId="51F94867" w14:textId="497AD4F3" w:rsidR="00A16DA0" w:rsidRDefault="007E75DB" w:rsidP="007E75DB">
      <w:pPr>
        <w:pStyle w:val="Tabletitle0"/>
      </w:pPr>
      <w:bookmarkStart w:id="54" w:name="_Ref124246632"/>
      <w:r>
        <w:lastRenderedPageBreak/>
        <w:t xml:space="preserve">Table </w:t>
      </w:r>
      <w:r w:rsidR="00EA2B2C">
        <w:fldChar w:fldCharType="begin"/>
      </w:r>
      <w:r w:rsidR="00EA2B2C">
        <w:instrText xml:space="preserve"> SEQ Table \* ARABIC </w:instrText>
      </w:r>
      <w:r w:rsidR="00EA2B2C">
        <w:fldChar w:fldCharType="separate"/>
      </w:r>
      <w:r w:rsidR="00555193">
        <w:rPr>
          <w:noProof/>
        </w:rPr>
        <w:t>4</w:t>
      </w:r>
      <w:r w:rsidR="00EA2B2C">
        <w:rPr>
          <w:noProof/>
        </w:rPr>
        <w:fldChar w:fldCharType="end"/>
      </w:r>
      <w:bookmarkEnd w:id="54"/>
      <w:r>
        <w:t xml:space="preserve">: </w:t>
      </w:r>
      <w:r w:rsidR="00A16DA0">
        <w:t xml:space="preserve">Study EV-301 </w:t>
      </w:r>
      <w:r w:rsidR="00210893">
        <w:t>B</w:t>
      </w:r>
      <w:r w:rsidR="00A16DA0">
        <w:t>aseline demographics</w:t>
      </w:r>
      <w:r w:rsidR="00B26DB1">
        <w:t xml:space="preserve"> (full analysis population)</w:t>
      </w:r>
    </w:p>
    <w:p w14:paraId="1D2F2DD1" w14:textId="6CB63143" w:rsidR="00A16DA0" w:rsidRDefault="007E75DB" w:rsidP="00AE0175">
      <w:r>
        <w:rPr>
          <w:noProof/>
          <w:lang w:val="en-GB" w:eastAsia="en-GB"/>
        </w:rPr>
        <w:drawing>
          <wp:inline distT="0" distB="0" distL="0" distR="0" wp14:anchorId="44E89683" wp14:editId="153CE4E6">
            <wp:extent cx="5391150" cy="5940717"/>
            <wp:effectExtent l="0" t="0" r="0" b="3175"/>
            <wp:docPr id="14" name="Picture 14" descr="Study EV-301 baselin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EV-301 baseline demographics"/>
                    <pic:cNvPicPr>
                      <a:picLocks noChangeAspect="1" noChangeArrowheads="1"/>
                    </pic:cNvPicPr>
                  </pic:nvPicPr>
                  <pic:blipFill rotWithShape="1">
                    <a:blip r:embed="rId28">
                      <a:extLst>
                        <a:ext uri="{28A0092B-C50C-407E-A947-70E740481C1C}">
                          <a14:useLocalDpi xmlns:a14="http://schemas.microsoft.com/office/drawing/2010/main" val="0"/>
                        </a:ext>
                      </a:extLst>
                    </a:blip>
                    <a:srcRect b="4622"/>
                    <a:stretch/>
                  </pic:blipFill>
                  <pic:spPr bwMode="auto">
                    <a:xfrm>
                      <a:off x="0" y="0"/>
                      <a:ext cx="5395788" cy="5945828"/>
                    </a:xfrm>
                    <a:prstGeom prst="rect">
                      <a:avLst/>
                    </a:prstGeom>
                    <a:noFill/>
                    <a:ln>
                      <a:noFill/>
                    </a:ln>
                    <a:extLst>
                      <a:ext uri="{53640926-AAD7-44D8-BBD7-CCE9431645EC}">
                        <a14:shadowObscured xmlns:a14="http://schemas.microsoft.com/office/drawing/2010/main"/>
                      </a:ext>
                    </a:extLst>
                  </pic:spPr>
                </pic:pic>
              </a:graphicData>
            </a:graphic>
          </wp:inline>
        </w:drawing>
      </w:r>
    </w:p>
    <w:p w14:paraId="2A42C280" w14:textId="6739A7B0" w:rsidR="00A16DA0" w:rsidRDefault="00B26DB1" w:rsidP="007E75DB">
      <w:pPr>
        <w:pStyle w:val="TableDescription"/>
      </w:pPr>
      <w:r>
        <w:t xml:space="preserve">Abbreviations: </w:t>
      </w:r>
      <w:r w:rsidR="007E75DB">
        <w:t>FAS: full analysis set; max: maximum; min: minimum; SD: standard deviation</w:t>
      </w:r>
    </w:p>
    <w:p w14:paraId="5A6B9B87" w14:textId="1A816ECD" w:rsidR="007E75DB" w:rsidRDefault="007E75DB" w:rsidP="007E75DB">
      <w:pPr>
        <w:pStyle w:val="Tabletitle0"/>
      </w:pPr>
      <w:bookmarkStart w:id="55" w:name="_Ref124246687"/>
      <w:r>
        <w:lastRenderedPageBreak/>
        <w:t xml:space="preserve">Table </w:t>
      </w:r>
      <w:r w:rsidR="00EA2B2C">
        <w:fldChar w:fldCharType="begin"/>
      </w:r>
      <w:r w:rsidR="00EA2B2C">
        <w:instrText xml:space="preserve"> SEQ Table \* ARABIC </w:instrText>
      </w:r>
      <w:r w:rsidR="00EA2B2C">
        <w:fldChar w:fldCharType="separate"/>
      </w:r>
      <w:r w:rsidR="00555193">
        <w:rPr>
          <w:noProof/>
        </w:rPr>
        <w:t>5</w:t>
      </w:r>
      <w:r w:rsidR="00EA2B2C">
        <w:rPr>
          <w:noProof/>
        </w:rPr>
        <w:fldChar w:fldCharType="end"/>
      </w:r>
      <w:bookmarkEnd w:id="55"/>
      <w:r>
        <w:t xml:space="preserve">: Study EV-301 </w:t>
      </w:r>
      <w:r w:rsidR="00210893">
        <w:t>B</w:t>
      </w:r>
      <w:r>
        <w:t>aseline disease characteristics</w:t>
      </w:r>
      <w:r w:rsidR="00B26DB1">
        <w:t xml:space="preserve"> (full analysis population)</w:t>
      </w:r>
    </w:p>
    <w:p w14:paraId="1D2C5968" w14:textId="41A45E36" w:rsidR="007E75DB" w:rsidRDefault="007E75DB" w:rsidP="007E75DB">
      <w:r>
        <w:rPr>
          <w:noProof/>
          <w:lang w:val="en-GB" w:eastAsia="en-GB"/>
        </w:rPr>
        <w:drawing>
          <wp:inline distT="0" distB="0" distL="0" distR="0" wp14:anchorId="3A0F2645" wp14:editId="57998CB6">
            <wp:extent cx="5390990" cy="4829175"/>
            <wp:effectExtent l="0" t="0" r="635" b="0"/>
            <wp:docPr id="15" name="Picture 15" descr="Study EV-301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EV-301 baseline disease characteristics"/>
                    <pic:cNvPicPr>
                      <a:picLocks noChangeAspect="1" noChangeArrowheads="1"/>
                    </pic:cNvPicPr>
                  </pic:nvPicPr>
                  <pic:blipFill rotWithShape="1">
                    <a:blip r:embed="rId29">
                      <a:extLst>
                        <a:ext uri="{28A0092B-C50C-407E-A947-70E740481C1C}">
                          <a14:useLocalDpi xmlns:a14="http://schemas.microsoft.com/office/drawing/2010/main" val="0"/>
                        </a:ext>
                      </a:extLst>
                    </a:blip>
                    <a:srcRect b="14685"/>
                    <a:stretch/>
                  </pic:blipFill>
                  <pic:spPr bwMode="auto">
                    <a:xfrm>
                      <a:off x="0" y="0"/>
                      <a:ext cx="5395276" cy="4833014"/>
                    </a:xfrm>
                    <a:prstGeom prst="rect">
                      <a:avLst/>
                    </a:prstGeom>
                    <a:noFill/>
                    <a:ln>
                      <a:noFill/>
                    </a:ln>
                    <a:extLst>
                      <a:ext uri="{53640926-AAD7-44D8-BBD7-CCE9431645EC}">
                        <a14:shadowObscured xmlns:a14="http://schemas.microsoft.com/office/drawing/2010/main"/>
                      </a:ext>
                    </a:extLst>
                  </pic:spPr>
                </pic:pic>
              </a:graphicData>
            </a:graphic>
          </wp:inline>
        </w:drawing>
      </w:r>
    </w:p>
    <w:p w14:paraId="59BF1B34" w14:textId="0E5FC88F" w:rsidR="007E75DB" w:rsidRPr="003013DC" w:rsidRDefault="00210893" w:rsidP="003013DC">
      <w:pPr>
        <w:pStyle w:val="TableDescription"/>
      </w:pPr>
      <w:r>
        <w:t xml:space="preserve">Abbreviations: </w:t>
      </w:r>
      <w:r w:rsidR="007E75DB" w:rsidRPr="003013DC">
        <w:t>ECOG PS: Eastern Cooperative Oncology Group Performance Status; FAS: full analysis set.</w:t>
      </w:r>
    </w:p>
    <w:p w14:paraId="76538A61" w14:textId="4473BC81" w:rsidR="007E75DB" w:rsidRPr="003013DC" w:rsidRDefault="007E75DB" w:rsidP="003013DC">
      <w:pPr>
        <w:pStyle w:val="TableDescription"/>
      </w:pPr>
      <w:r w:rsidRPr="003013DC">
        <w:t>†</w:t>
      </w:r>
      <w:r w:rsidR="003013DC" w:rsidRPr="003013DC">
        <w:t xml:space="preserve"> </w:t>
      </w:r>
      <w:proofErr w:type="spellStart"/>
      <w:r w:rsidR="00E23E16">
        <w:t>Crockfault</w:t>
      </w:r>
      <w:proofErr w:type="spellEnd"/>
      <w:r w:rsidR="00E23E16">
        <w:t xml:space="preserve">-Gault formula was used to estimate creatinine clearance. </w:t>
      </w:r>
      <w:r w:rsidR="003013DC" w:rsidRPr="003013DC">
        <w:t>Upper tract included renal pelvis and ureter. Bladder/</w:t>
      </w:r>
      <w:proofErr w:type="gramStart"/>
      <w:r w:rsidR="003013DC" w:rsidRPr="003013DC">
        <w:t>other</w:t>
      </w:r>
      <w:proofErr w:type="gramEnd"/>
      <w:r w:rsidR="003013DC" w:rsidRPr="003013DC">
        <w:t xml:space="preserve"> included urethra, bladder and other</w:t>
      </w:r>
      <w:r w:rsidR="003013DC">
        <w:t>.</w:t>
      </w:r>
    </w:p>
    <w:p w14:paraId="01D0E901" w14:textId="641EFE15" w:rsidR="007E75DB" w:rsidRPr="003013DC" w:rsidRDefault="00107A6C" w:rsidP="003013DC">
      <w:pPr>
        <w:pStyle w:val="TableDescription"/>
      </w:pPr>
      <w:r w:rsidRPr="00107A6C">
        <w:t>‡</w:t>
      </w:r>
      <w:r>
        <w:t xml:space="preserve"> </w:t>
      </w:r>
      <w:r w:rsidR="003013DC" w:rsidRPr="003013DC">
        <w:t xml:space="preserve">Other </w:t>
      </w:r>
      <w:proofErr w:type="spellStart"/>
      <w:r w:rsidR="003013DC" w:rsidRPr="003013DC">
        <w:t>histologies</w:t>
      </w:r>
      <w:proofErr w:type="spellEnd"/>
      <w:r w:rsidR="003013DC" w:rsidRPr="003013DC">
        <w:t xml:space="preserve"> include adenocarcinoma, squamous cell carcinoma and </w:t>
      </w:r>
      <w:proofErr w:type="spellStart"/>
      <w:r w:rsidR="003013DC" w:rsidRPr="003013DC">
        <w:t>pseudosarcomatic</w:t>
      </w:r>
      <w:proofErr w:type="spellEnd"/>
      <w:r w:rsidR="003013DC" w:rsidRPr="003013DC">
        <w:t xml:space="preserve"> differentiation</w:t>
      </w:r>
      <w:r w:rsidR="003013DC">
        <w:t>.</w:t>
      </w:r>
    </w:p>
    <w:p w14:paraId="15105E40" w14:textId="6008C8F6" w:rsidR="007E75DB" w:rsidRDefault="007E75DB" w:rsidP="003013DC">
      <w:pPr>
        <w:pStyle w:val="TableDescription"/>
      </w:pPr>
      <w:r w:rsidRPr="003013DC">
        <w:t>§</w:t>
      </w:r>
      <w:r w:rsidR="003013DC" w:rsidRPr="003013DC">
        <w:t xml:space="preserve"> Subjects had baseline tumour results at the locations of lung, liver, spleen, adrenal gland, kidney, heart, colon, </w:t>
      </w:r>
      <w:proofErr w:type="gramStart"/>
      <w:r w:rsidR="003013DC" w:rsidRPr="003013DC">
        <w:t>bone</w:t>
      </w:r>
      <w:proofErr w:type="gramEnd"/>
      <w:r w:rsidR="003013DC" w:rsidRPr="003013DC">
        <w:t xml:space="preserve"> or prostate gland.</w:t>
      </w:r>
    </w:p>
    <w:p w14:paraId="5CCDA896" w14:textId="4EF23814" w:rsidR="003013DC" w:rsidRDefault="003013DC" w:rsidP="003013DC">
      <w:r w:rsidRPr="003013DC">
        <w:t xml:space="preserve">All </w:t>
      </w:r>
      <w:r w:rsidR="00B26DB1">
        <w:t>subjects</w:t>
      </w:r>
      <w:r w:rsidR="00B26DB1" w:rsidRPr="003013DC">
        <w:t xml:space="preserve"> </w:t>
      </w:r>
      <w:r w:rsidRPr="003013DC">
        <w:t xml:space="preserve">had prior systemic therapies to be eligible for enrolment. These are summarised in </w:t>
      </w:r>
      <w:r>
        <w:fldChar w:fldCharType="begin"/>
      </w:r>
      <w:r>
        <w:instrText xml:space="preserve"> REF _Ref124247744 \h </w:instrText>
      </w:r>
      <w:r>
        <w:fldChar w:fldCharType="separate"/>
      </w:r>
      <w:r w:rsidR="00555193">
        <w:t xml:space="preserve">Table </w:t>
      </w:r>
      <w:r w:rsidR="00555193">
        <w:rPr>
          <w:noProof/>
        </w:rPr>
        <w:t>6</w:t>
      </w:r>
      <w:r>
        <w:fldChar w:fldCharType="end"/>
      </w:r>
      <w:r w:rsidR="00B26DB1">
        <w:t>, shown below.</w:t>
      </w:r>
    </w:p>
    <w:p w14:paraId="2FE5AAA1" w14:textId="1EFB629A" w:rsidR="003013DC" w:rsidRDefault="003013DC" w:rsidP="003013DC">
      <w:pPr>
        <w:pStyle w:val="Tabletitle0"/>
      </w:pPr>
      <w:bookmarkStart w:id="56" w:name="_Ref124247744"/>
      <w:r>
        <w:lastRenderedPageBreak/>
        <w:t xml:space="preserve">Table </w:t>
      </w:r>
      <w:r w:rsidR="00EA2B2C">
        <w:fldChar w:fldCharType="begin"/>
      </w:r>
      <w:r w:rsidR="00EA2B2C">
        <w:instrText xml:space="preserve"> SEQ Table \* ARABIC </w:instrText>
      </w:r>
      <w:r w:rsidR="00EA2B2C">
        <w:fldChar w:fldCharType="separate"/>
      </w:r>
      <w:r w:rsidR="00555193">
        <w:rPr>
          <w:noProof/>
        </w:rPr>
        <w:t>6</w:t>
      </w:r>
      <w:r w:rsidR="00EA2B2C">
        <w:rPr>
          <w:noProof/>
        </w:rPr>
        <w:fldChar w:fldCharType="end"/>
      </w:r>
      <w:bookmarkEnd w:id="56"/>
      <w:r>
        <w:t xml:space="preserve">: Study EV-301 </w:t>
      </w:r>
      <w:r w:rsidR="00B26DB1">
        <w:t>P</w:t>
      </w:r>
      <w:r>
        <w:t>rior systemic anticancer therapies</w:t>
      </w:r>
      <w:r w:rsidR="00B26DB1">
        <w:t xml:space="preserve"> (full analysis population)</w:t>
      </w:r>
    </w:p>
    <w:p w14:paraId="2F4F9B29" w14:textId="5913DF83" w:rsidR="003013DC" w:rsidRDefault="003013DC" w:rsidP="003013DC">
      <w:r>
        <w:rPr>
          <w:noProof/>
          <w:lang w:val="en-GB" w:eastAsia="en-GB"/>
        </w:rPr>
        <w:drawing>
          <wp:inline distT="0" distB="0" distL="0" distR="0" wp14:anchorId="4EC03BF9" wp14:editId="16E19B89">
            <wp:extent cx="5412740" cy="4838700"/>
            <wp:effectExtent l="0" t="0" r="0" b="0"/>
            <wp:docPr id="16" name="Picture 16" descr="Study EV-301 prior systemic anticance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EV-301 prior systemic anticancer therapies"/>
                    <pic:cNvPicPr>
                      <a:picLocks noChangeAspect="1" noChangeArrowheads="1"/>
                    </pic:cNvPicPr>
                  </pic:nvPicPr>
                  <pic:blipFill rotWithShape="1">
                    <a:blip r:embed="rId30">
                      <a:extLst>
                        <a:ext uri="{28A0092B-C50C-407E-A947-70E740481C1C}">
                          <a14:useLocalDpi xmlns:a14="http://schemas.microsoft.com/office/drawing/2010/main" val="0"/>
                        </a:ext>
                      </a:extLst>
                    </a:blip>
                    <a:srcRect b="16303"/>
                    <a:stretch/>
                  </pic:blipFill>
                  <pic:spPr bwMode="auto">
                    <a:xfrm>
                      <a:off x="0" y="0"/>
                      <a:ext cx="5420414" cy="4845560"/>
                    </a:xfrm>
                    <a:prstGeom prst="rect">
                      <a:avLst/>
                    </a:prstGeom>
                    <a:noFill/>
                    <a:ln>
                      <a:noFill/>
                    </a:ln>
                    <a:extLst>
                      <a:ext uri="{53640926-AAD7-44D8-BBD7-CCE9431645EC}">
                        <a14:shadowObscured xmlns:a14="http://schemas.microsoft.com/office/drawing/2010/main"/>
                      </a:ext>
                    </a:extLst>
                  </pic:spPr>
                </pic:pic>
              </a:graphicData>
            </a:graphic>
          </wp:inline>
        </w:drawing>
      </w:r>
    </w:p>
    <w:p w14:paraId="6A729402" w14:textId="55B3A48D" w:rsidR="003013DC" w:rsidRDefault="00B26DB1" w:rsidP="007E5708">
      <w:pPr>
        <w:pStyle w:val="TableDescription"/>
      </w:pPr>
      <w:r>
        <w:t>Abbreviations:</w:t>
      </w:r>
      <w:r w:rsidR="007E5708">
        <w:t xml:space="preserve"> CPI: checkpoint inhibitor; FAS: full analysis set; PD-1: programmed cell death 1; PD-L1: programmed cell death ligand-1.</w:t>
      </w:r>
    </w:p>
    <w:p w14:paraId="161A531F" w14:textId="3FB95F1C" w:rsidR="00B26DB1" w:rsidRDefault="00B26DB1" w:rsidP="007E5708">
      <w:pPr>
        <w:pStyle w:val="TableDescription"/>
      </w:pPr>
      <w:r>
        <w:t>All subjects who were randomised (FAS). Subjects can be counted in more than 1 row</w:t>
      </w:r>
    </w:p>
    <w:p w14:paraId="04B9B91D" w14:textId="71738207" w:rsidR="007E5708" w:rsidRDefault="007E5708" w:rsidP="007E5708">
      <w:pPr>
        <w:pStyle w:val="TableDescription"/>
      </w:pPr>
      <w:r w:rsidRPr="007E5708">
        <w:t>†</w:t>
      </w:r>
      <w:r>
        <w:t xml:space="preserve"> Including platinum containing therapy in the neoadjuvant/adjuvant setting and the subject progressed within 12 months of therapy completion.</w:t>
      </w:r>
    </w:p>
    <w:p w14:paraId="77502B9E" w14:textId="42F3041B" w:rsidR="007E5708" w:rsidRDefault="00107A6C" w:rsidP="007E5708">
      <w:pPr>
        <w:pStyle w:val="TableDescription"/>
      </w:pPr>
      <w:r w:rsidRPr="00107A6C">
        <w:t>‡</w:t>
      </w:r>
      <w:r>
        <w:t xml:space="preserve"> </w:t>
      </w:r>
      <w:r w:rsidR="007E5708">
        <w:t>One subject did not receive prior CPI therapy.</w:t>
      </w:r>
    </w:p>
    <w:p w14:paraId="56935CDA" w14:textId="7A7B4FF8" w:rsidR="007E5708" w:rsidRDefault="007E5708" w:rsidP="007E5708">
      <w:pPr>
        <w:pStyle w:val="Heading5"/>
      </w:pPr>
      <w:r>
        <w:t>Primary endpoint</w:t>
      </w:r>
    </w:p>
    <w:p w14:paraId="478DB87A" w14:textId="4975C8EF" w:rsidR="007E5708" w:rsidRPr="007E5708" w:rsidRDefault="007E5708" w:rsidP="007E5708">
      <w:r w:rsidRPr="007E5708">
        <w:t xml:space="preserve">The </w:t>
      </w:r>
      <w:r w:rsidR="00210912">
        <w:t>overall survival</w:t>
      </w:r>
      <w:r w:rsidRPr="007E5708">
        <w:t xml:space="preserve"> analysis was conducted after 301 deaths (information fraction</w:t>
      </w:r>
      <w:r w:rsidR="00B26DB1">
        <w:t xml:space="preserve"> =</w:t>
      </w:r>
      <w:r w:rsidRPr="007E5708">
        <w:t xml:space="preserve"> 68.6%) in the </w:t>
      </w:r>
      <w:r w:rsidR="00210912">
        <w:t>full analysis set</w:t>
      </w:r>
      <w:r w:rsidR="00B26DB1">
        <w:t xml:space="preserve"> population</w:t>
      </w:r>
      <w:r w:rsidRPr="007E5708">
        <w:t>, after a median follow</w:t>
      </w:r>
      <w:r w:rsidR="00210912">
        <w:t xml:space="preserve"> </w:t>
      </w:r>
      <w:r w:rsidRPr="007E5708">
        <w:t xml:space="preserve">up of 11.1 months (around </w:t>
      </w:r>
      <w:r w:rsidR="00210912">
        <w:t xml:space="preserve">six </w:t>
      </w:r>
      <w:r w:rsidRPr="007E5708">
        <w:t>months from the enrolment of the last patient):</w:t>
      </w:r>
    </w:p>
    <w:p w14:paraId="22EAFE95" w14:textId="4898212C" w:rsidR="007E5708" w:rsidRPr="007E5708" w:rsidRDefault="00210912" w:rsidP="00210912">
      <w:pPr>
        <w:pStyle w:val="ListBullet"/>
      </w:pPr>
      <w:r>
        <w:t>Hazard ratio</w:t>
      </w:r>
      <w:r w:rsidR="00B26DB1">
        <w:t>:</w:t>
      </w:r>
      <w:r w:rsidR="007E5708" w:rsidRPr="007E5708">
        <w:t xml:space="preserve"> </w:t>
      </w:r>
      <w:r>
        <w:t>enfortumab vedotin</w:t>
      </w:r>
      <w:r w:rsidR="007E5708" w:rsidRPr="007E5708">
        <w:t xml:space="preserve"> (Arm A) v</w:t>
      </w:r>
      <w:r>
        <w:t>ersus c</w:t>
      </w:r>
      <w:r w:rsidR="007E5708" w:rsidRPr="007E5708">
        <w:t>hemotherapy (Arm B) was 0.702 (95% CI: 0.56, 0.89, 1 sided p</w:t>
      </w:r>
      <w:r>
        <w:t xml:space="preserve"> </w:t>
      </w:r>
      <w:r w:rsidR="007E5708" w:rsidRPr="007E5708">
        <w:t>=</w:t>
      </w:r>
      <w:r>
        <w:t xml:space="preserve"> </w:t>
      </w:r>
      <w:r w:rsidR="007E5708" w:rsidRPr="007E5708">
        <w:t>0.00142)</w:t>
      </w:r>
    </w:p>
    <w:p w14:paraId="2C3560F0" w14:textId="0F3D7891" w:rsidR="007E5708" w:rsidRPr="007E5708" w:rsidRDefault="00210912" w:rsidP="00210912">
      <w:pPr>
        <w:pStyle w:val="ListBullet"/>
      </w:pPr>
      <w:r>
        <w:t>M</w:t>
      </w:r>
      <w:r w:rsidR="007E5708" w:rsidRPr="007E5708">
        <w:t xml:space="preserve">edian (95% CI) </w:t>
      </w:r>
      <w:r>
        <w:t>overall survival</w:t>
      </w:r>
      <w:r w:rsidR="00B26DB1">
        <w:t>:</w:t>
      </w:r>
      <w:r w:rsidR="007E5708" w:rsidRPr="007E5708">
        <w:t xml:space="preserve"> 12.88 (95% CI: 10.58, 15.21) months for </w:t>
      </w:r>
      <w:r>
        <w:t>enfortumab vedotin</w:t>
      </w:r>
      <w:r w:rsidR="007E5708" w:rsidRPr="007E5708">
        <w:t xml:space="preserve"> (Arm A); 8.97 (95% CI: 8.05, 10.74) months for </w:t>
      </w:r>
      <w:r>
        <w:t>c</w:t>
      </w:r>
      <w:r w:rsidR="007E5708" w:rsidRPr="007E5708">
        <w:t>hemotherapy (Arm B)</w:t>
      </w:r>
    </w:p>
    <w:p w14:paraId="16D4A39E" w14:textId="44471583" w:rsidR="007E5708" w:rsidRPr="007E5708" w:rsidRDefault="00210912" w:rsidP="00210912">
      <w:pPr>
        <w:pStyle w:val="ListBullet"/>
      </w:pPr>
      <w:proofErr w:type="gramStart"/>
      <w:r>
        <w:t xml:space="preserve">Six </w:t>
      </w:r>
      <w:r w:rsidR="007E5708" w:rsidRPr="007E5708">
        <w:t>month</w:t>
      </w:r>
      <w:proofErr w:type="gramEnd"/>
      <w:r w:rsidR="007E5708" w:rsidRPr="007E5708">
        <w:t xml:space="preserve"> </w:t>
      </w:r>
      <w:r>
        <w:t>overall survival</w:t>
      </w:r>
      <w:r w:rsidR="00B26DB1">
        <w:t xml:space="preserve">: </w:t>
      </w:r>
      <w:r w:rsidR="007E5708" w:rsidRPr="007E5708">
        <w:t xml:space="preserve">77.9% </w:t>
      </w:r>
      <w:r>
        <w:t>enfortumab vedotin</w:t>
      </w:r>
      <w:r w:rsidR="007E5708" w:rsidRPr="007E5708">
        <w:t xml:space="preserve"> (Arm A); 69.5% </w:t>
      </w:r>
      <w:r>
        <w:t>c</w:t>
      </w:r>
      <w:r w:rsidR="007E5708" w:rsidRPr="007E5708">
        <w:t>hemotherapy (Arm B)</w:t>
      </w:r>
    </w:p>
    <w:p w14:paraId="67B7D966" w14:textId="76111D53" w:rsidR="007E5708" w:rsidRDefault="00210912" w:rsidP="00210912">
      <w:pPr>
        <w:pStyle w:val="ListBullet"/>
      </w:pPr>
      <w:proofErr w:type="gramStart"/>
      <w:r>
        <w:t xml:space="preserve">One </w:t>
      </w:r>
      <w:r w:rsidR="007E5708" w:rsidRPr="007E5708">
        <w:t>year</w:t>
      </w:r>
      <w:proofErr w:type="gramEnd"/>
      <w:r w:rsidR="007E5708" w:rsidRPr="007E5708">
        <w:t xml:space="preserve"> </w:t>
      </w:r>
      <w:r>
        <w:t>overall survival</w:t>
      </w:r>
      <w:r w:rsidR="00A1479B">
        <w:t>:</w:t>
      </w:r>
      <w:r w:rsidR="007E5708" w:rsidRPr="007E5708">
        <w:t xml:space="preserve"> 51.5% </w:t>
      </w:r>
      <w:r w:rsidR="00A1479B">
        <w:t xml:space="preserve">with </w:t>
      </w:r>
      <w:r>
        <w:t>enfortumab vedotin</w:t>
      </w:r>
      <w:r w:rsidR="007E5708" w:rsidRPr="007E5708">
        <w:t xml:space="preserve"> (Arm A); 39.2% </w:t>
      </w:r>
      <w:r w:rsidR="00A1479B">
        <w:t xml:space="preserve">with </w:t>
      </w:r>
      <w:r>
        <w:t>c</w:t>
      </w:r>
      <w:r w:rsidR="007E5708" w:rsidRPr="007E5708">
        <w:t>hemotherapy (Arm B)</w:t>
      </w:r>
      <w:r w:rsidR="00A1479B">
        <w:t>.</w:t>
      </w:r>
    </w:p>
    <w:p w14:paraId="6F4A85F2" w14:textId="2711D550" w:rsidR="00210912" w:rsidRDefault="00210912" w:rsidP="00E7586E">
      <w:pPr>
        <w:pStyle w:val="FigureTitle"/>
      </w:pPr>
      <w:r>
        <w:lastRenderedPageBreak/>
        <w:t xml:space="preserve">Figure </w:t>
      </w:r>
      <w:r w:rsidR="00EA2B2C">
        <w:fldChar w:fldCharType="begin"/>
      </w:r>
      <w:r w:rsidR="00EA2B2C">
        <w:instrText xml:space="preserve"> SEQ Figure \* ARABIC </w:instrText>
      </w:r>
      <w:r w:rsidR="00EA2B2C">
        <w:fldChar w:fldCharType="separate"/>
      </w:r>
      <w:r w:rsidR="00555193">
        <w:rPr>
          <w:noProof/>
        </w:rPr>
        <w:t>10</w:t>
      </w:r>
      <w:r w:rsidR="00EA2B2C">
        <w:rPr>
          <w:noProof/>
        </w:rPr>
        <w:fldChar w:fldCharType="end"/>
      </w:r>
      <w:r w:rsidR="00E7586E">
        <w:t>: Study EV-301 Kaplan-Meier plot of overall survival</w:t>
      </w:r>
    </w:p>
    <w:p w14:paraId="326C65D3" w14:textId="3CF40EA7" w:rsidR="00210912" w:rsidRDefault="00210912" w:rsidP="00210912">
      <w:r>
        <w:rPr>
          <w:noProof/>
          <w:lang w:val="en-GB" w:eastAsia="en-GB"/>
        </w:rPr>
        <w:drawing>
          <wp:inline distT="0" distB="0" distL="0" distR="0" wp14:anchorId="551CDF70" wp14:editId="17EB9636">
            <wp:extent cx="5362575" cy="2941047"/>
            <wp:effectExtent l="0" t="0" r="0" b="0"/>
            <wp:docPr id="17" name="Picture 17" descr="Study EV-301 Kaplan-Meier plot of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y EV-301 Kaplan-Meier plot of overall survival"/>
                    <pic:cNvPicPr/>
                  </pic:nvPicPr>
                  <pic:blipFill rotWithShape="1">
                    <a:blip r:embed="rId31"/>
                    <a:srcRect l="4410" r="1399"/>
                    <a:stretch/>
                  </pic:blipFill>
                  <pic:spPr bwMode="auto">
                    <a:xfrm>
                      <a:off x="0" y="0"/>
                      <a:ext cx="5380413" cy="2950830"/>
                    </a:xfrm>
                    <a:prstGeom prst="rect">
                      <a:avLst/>
                    </a:prstGeom>
                    <a:ln>
                      <a:noFill/>
                    </a:ln>
                    <a:extLst>
                      <a:ext uri="{53640926-AAD7-44D8-BBD7-CCE9431645EC}">
                        <a14:shadowObscured xmlns:a14="http://schemas.microsoft.com/office/drawing/2010/main"/>
                      </a:ext>
                    </a:extLst>
                  </pic:spPr>
                </pic:pic>
              </a:graphicData>
            </a:graphic>
          </wp:inline>
        </w:drawing>
      </w:r>
    </w:p>
    <w:p w14:paraId="79E2F7DA" w14:textId="4B83C6A8" w:rsidR="00210912" w:rsidRDefault="00A1479B" w:rsidP="00E7586E">
      <w:pPr>
        <w:pStyle w:val="FigureDescription"/>
      </w:pPr>
      <w:r>
        <w:t xml:space="preserve">Abbreviations: </w:t>
      </w:r>
      <w:r w:rsidR="00210912">
        <w:t>CI: confidence interval; FAS</w:t>
      </w:r>
      <w:r w:rsidR="00E7586E">
        <w:t>: full analysis set; HR: hazard ratio.</w:t>
      </w:r>
    </w:p>
    <w:p w14:paraId="1968EB82" w14:textId="0B71533C" w:rsidR="00A1479B" w:rsidRDefault="00A1479B" w:rsidP="00E7586E">
      <w:pPr>
        <w:pStyle w:val="FigureDescription"/>
      </w:pPr>
      <w:r>
        <w:t>Analysis based on the full analysis set population.</w:t>
      </w:r>
    </w:p>
    <w:p w14:paraId="4DADEEFA" w14:textId="2515F71C" w:rsidR="00A1479B" w:rsidRDefault="00E7586E" w:rsidP="00E7586E">
      <w:r w:rsidRPr="00E7586E">
        <w:t>The subgroup analysis</w:t>
      </w:r>
      <w:r>
        <w:t xml:space="preserve"> for overall safety</w:t>
      </w:r>
      <w:r w:rsidRPr="00E7586E">
        <w:t xml:space="preserve"> for most prespecified subgroups, including age, geographic region, baseline ECOG performance status, liver metastasis, choice of chemotherapy by investigator, primary site of tumo</w:t>
      </w:r>
      <w:r w:rsidR="0039788C">
        <w:t>u</w:t>
      </w:r>
      <w:r w:rsidRPr="00E7586E">
        <w:t xml:space="preserve">r, prior lines of therapy in </w:t>
      </w:r>
      <w:r w:rsidR="00A1479B">
        <w:t xml:space="preserve">the </w:t>
      </w:r>
      <w:r w:rsidRPr="00E7586E">
        <w:t>locally advanced or metastatic setting</w:t>
      </w:r>
      <w:r w:rsidR="00A1479B">
        <w:t>;</w:t>
      </w:r>
      <w:r w:rsidRPr="00E7586E">
        <w:t xml:space="preserve"> and best response to prior PD</w:t>
      </w:r>
      <w:r w:rsidR="00A1479B">
        <w:t>-</w:t>
      </w:r>
      <w:r w:rsidRPr="00E7586E">
        <w:t>1/PD</w:t>
      </w:r>
      <w:r w:rsidR="00A1479B">
        <w:t>-</w:t>
      </w:r>
      <w:r w:rsidRPr="00E7586E">
        <w:t>L1 inhibitor therapy</w:t>
      </w:r>
      <w:r w:rsidR="00A1479B">
        <w:t>,</w:t>
      </w:r>
      <w:r w:rsidRPr="00E7586E">
        <w:t xml:space="preserve"> is generally supportive of </w:t>
      </w:r>
      <w:r>
        <w:t>overall survival</w:t>
      </w:r>
      <w:r w:rsidRPr="00E7586E">
        <w:t xml:space="preserve"> for the study population as a whole</w:t>
      </w:r>
      <w:r>
        <w:t xml:space="preserve"> (</w:t>
      </w:r>
      <w:r w:rsidR="00A1479B">
        <w:t xml:space="preserve">see </w:t>
      </w:r>
      <w:r>
        <w:fldChar w:fldCharType="begin"/>
      </w:r>
      <w:r>
        <w:instrText xml:space="preserve"> REF _Ref124249693 \h </w:instrText>
      </w:r>
      <w:r>
        <w:fldChar w:fldCharType="separate"/>
      </w:r>
      <w:r w:rsidR="00555193">
        <w:t xml:space="preserve">Figure </w:t>
      </w:r>
      <w:r w:rsidR="00555193">
        <w:rPr>
          <w:noProof/>
        </w:rPr>
        <w:t>11</w:t>
      </w:r>
      <w:r>
        <w:fldChar w:fldCharType="end"/>
      </w:r>
      <w:r>
        <w:t>)</w:t>
      </w:r>
      <w:r w:rsidRPr="00E7586E">
        <w:t>.</w:t>
      </w:r>
    </w:p>
    <w:p w14:paraId="5503DD2F" w14:textId="683BD21F" w:rsidR="00E7586E" w:rsidRDefault="00E7586E" w:rsidP="00E7586E">
      <w:r w:rsidRPr="00E7586E">
        <w:t xml:space="preserve">The median </w:t>
      </w:r>
      <w:r>
        <w:t>overall survival</w:t>
      </w:r>
      <w:r w:rsidRPr="00E7586E">
        <w:t xml:space="preserve"> for the subgroup of female subjects was 11.04 months for the 63 Arm A group v</w:t>
      </w:r>
      <w:r>
        <w:t>erves</w:t>
      </w:r>
      <w:r w:rsidRPr="00E7586E">
        <w:t xml:space="preserve"> 10.68 months for the 75 Arm B group (</w:t>
      </w:r>
      <w:r>
        <w:t>hazard ratio</w:t>
      </w:r>
      <w:r w:rsidRPr="00E7586E">
        <w:t xml:space="preserve"> of 1.171 (95%</w:t>
      </w:r>
      <w:r w:rsidR="00A1479B">
        <w:t> </w:t>
      </w:r>
      <w:r w:rsidRPr="00E7586E">
        <w:t>CI: 0.724, 1.894).</w:t>
      </w:r>
    </w:p>
    <w:p w14:paraId="6BD00664" w14:textId="15D74DCE" w:rsidR="00E7586E" w:rsidRDefault="00E7586E" w:rsidP="00E7586E">
      <w:pPr>
        <w:pStyle w:val="FigureTitle"/>
      </w:pPr>
      <w:bookmarkStart w:id="57" w:name="_Ref124249693"/>
      <w:r>
        <w:t xml:space="preserve">Figure </w:t>
      </w:r>
      <w:r w:rsidR="00940D81">
        <w:fldChar w:fldCharType="begin"/>
      </w:r>
      <w:r w:rsidR="00940D81">
        <w:instrText xml:space="preserve"> SEQ Figure \* ARABIC </w:instrText>
      </w:r>
      <w:r w:rsidR="00940D81">
        <w:fldChar w:fldCharType="separate"/>
      </w:r>
      <w:r w:rsidR="00555193">
        <w:rPr>
          <w:noProof/>
        </w:rPr>
        <w:t>11</w:t>
      </w:r>
      <w:r w:rsidR="00940D81">
        <w:rPr>
          <w:noProof/>
        </w:rPr>
        <w:fldChar w:fldCharType="end"/>
      </w:r>
      <w:bookmarkEnd w:id="57"/>
      <w:r>
        <w:t xml:space="preserve">: Study EV-301 </w:t>
      </w:r>
      <w:r w:rsidR="00A1479B">
        <w:t>S</w:t>
      </w:r>
      <w:r>
        <w:t xml:space="preserve">ubgroup analysis </w:t>
      </w:r>
      <w:r w:rsidR="00A1479B">
        <w:t xml:space="preserve">for the </w:t>
      </w:r>
      <w:r>
        <w:t>primary endpoint</w:t>
      </w:r>
    </w:p>
    <w:p w14:paraId="57C2E08C" w14:textId="34A39C57" w:rsidR="00E7586E" w:rsidRDefault="00E7586E" w:rsidP="00E7586E">
      <w:r>
        <w:rPr>
          <w:noProof/>
          <w:lang w:val="en-GB" w:eastAsia="en-GB"/>
        </w:rPr>
        <w:drawing>
          <wp:inline distT="0" distB="0" distL="0" distR="0" wp14:anchorId="64A7590D" wp14:editId="48764186">
            <wp:extent cx="5362575" cy="3133266"/>
            <wp:effectExtent l="0" t="0" r="0" b="0"/>
            <wp:docPr id="18" name="Picture 18" descr="Study EV-301 subgroup analysis of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EV-301 subgroup analysis of primary endpoint"/>
                    <pic:cNvPicPr>
                      <a:picLocks noChangeAspect="1" noChangeArrowheads="1"/>
                    </pic:cNvPicPr>
                  </pic:nvPicPr>
                  <pic:blipFill rotWithShape="1">
                    <a:blip r:embed="rId32">
                      <a:extLst>
                        <a:ext uri="{28A0092B-C50C-407E-A947-70E740481C1C}">
                          <a14:useLocalDpi xmlns:a14="http://schemas.microsoft.com/office/drawing/2010/main" val="0"/>
                        </a:ext>
                      </a:extLst>
                    </a:blip>
                    <a:srcRect l="9676" r="9968" b="16445"/>
                    <a:stretch/>
                  </pic:blipFill>
                  <pic:spPr bwMode="auto">
                    <a:xfrm>
                      <a:off x="0" y="0"/>
                      <a:ext cx="5372884" cy="3139289"/>
                    </a:xfrm>
                    <a:prstGeom prst="rect">
                      <a:avLst/>
                    </a:prstGeom>
                    <a:noFill/>
                    <a:ln>
                      <a:noFill/>
                    </a:ln>
                    <a:extLst>
                      <a:ext uri="{53640926-AAD7-44D8-BBD7-CCE9431645EC}">
                        <a14:shadowObscured xmlns:a14="http://schemas.microsoft.com/office/drawing/2010/main"/>
                      </a:ext>
                    </a:extLst>
                  </pic:spPr>
                </pic:pic>
              </a:graphicData>
            </a:graphic>
          </wp:inline>
        </w:drawing>
      </w:r>
    </w:p>
    <w:p w14:paraId="3D4FCA0D" w14:textId="1628A9BB" w:rsidR="00E7586E" w:rsidRDefault="00E7586E" w:rsidP="00CB0A5F">
      <w:pPr>
        <w:pStyle w:val="FigureDescription"/>
      </w:pPr>
      <w:r>
        <w:lastRenderedPageBreak/>
        <w:t>Chemo: chemotherapy; CPI: checkpoint inhibitor; ECOG PS: Eastern Cooperative Oncology Group Performance Status; EV: enfortumab vedotin; FAS: full analysis set; HR: hazard ratio</w:t>
      </w:r>
      <w:r w:rsidR="00CB0A5F">
        <w:t>; IRT: interactive response technology.</w:t>
      </w:r>
    </w:p>
    <w:p w14:paraId="31041AF7" w14:textId="0333510E" w:rsidR="00A1479B" w:rsidRDefault="00A1479B" w:rsidP="00CB0A5F">
      <w:pPr>
        <w:pStyle w:val="FigureDescription"/>
      </w:pPr>
      <w:r>
        <w:t>Based on all subjects who were randomised (FAS)</w:t>
      </w:r>
    </w:p>
    <w:p w14:paraId="08C258FC" w14:textId="7BBC7F74" w:rsidR="00CB0A5F" w:rsidRDefault="00CB0A5F" w:rsidP="00CB0A5F">
      <w:pPr>
        <w:pStyle w:val="FigureDescription"/>
      </w:pPr>
      <w:r>
        <w:t>[1] In each subgroup, the HR was estimated using unstratified COX proportional hazards model with treatment. Assuming proportional hazards, HR less than 1 indicates a reduction in hazard rate in favour of treatment run.</w:t>
      </w:r>
    </w:p>
    <w:p w14:paraId="4687671C" w14:textId="27616C20" w:rsidR="00CB0A5F" w:rsidRDefault="00CB0A5F" w:rsidP="00CB0A5F">
      <w:pPr>
        <w:pStyle w:val="FigureDescription"/>
      </w:pPr>
      <w:r>
        <w:t>[2] The HR reported for all subjects was based on stratified analysis. Stratification factors were ECOG PG, geographic region, liver metastasis per IRT.</w:t>
      </w:r>
    </w:p>
    <w:p w14:paraId="5D5673E4" w14:textId="1CFFE7BA" w:rsidR="00E7586E" w:rsidRDefault="00E7586E" w:rsidP="00E7586E">
      <w:pPr>
        <w:pStyle w:val="Heading5"/>
      </w:pPr>
      <w:r>
        <w:t>Secondary endpoints</w:t>
      </w:r>
    </w:p>
    <w:p w14:paraId="1C6CEC18" w14:textId="2E83B18E" w:rsidR="00CB0A5F" w:rsidRDefault="00CB0A5F" w:rsidP="00CB0A5F">
      <w:r w:rsidRPr="00CB0A5F">
        <w:t>At the data</w:t>
      </w:r>
      <w:r>
        <w:t xml:space="preserve"> </w:t>
      </w:r>
      <w:r w:rsidRPr="00CB0A5F">
        <w:t>cut</w:t>
      </w:r>
      <w:r w:rsidR="00D64411">
        <w:t xml:space="preserve"> off</w:t>
      </w:r>
      <w:r w:rsidRPr="00CB0A5F">
        <w:t xml:space="preserve">, 201 </w:t>
      </w:r>
      <w:r>
        <w:t>progression free survival</w:t>
      </w:r>
      <w:r w:rsidRPr="00CB0A5F">
        <w:t xml:space="preserve"> events occurred in the </w:t>
      </w:r>
      <w:r>
        <w:t>enfortumab vedotin</w:t>
      </w:r>
      <w:r w:rsidRPr="00CB0A5F">
        <w:t xml:space="preserve"> group (Arm A) (66.8%) v</w:t>
      </w:r>
      <w:r>
        <w:t>ers</w:t>
      </w:r>
      <w:r w:rsidR="00D64411">
        <w:t>u</w:t>
      </w:r>
      <w:r>
        <w:t>s</w:t>
      </w:r>
      <w:r w:rsidRPr="00CB0A5F">
        <w:t xml:space="preserve"> 231 </w:t>
      </w:r>
      <w:r>
        <w:t>progression free survival</w:t>
      </w:r>
      <w:r w:rsidRPr="00CB0A5F">
        <w:t xml:space="preserve"> events </w:t>
      </w:r>
      <w:r>
        <w:t>c</w:t>
      </w:r>
      <w:r w:rsidRPr="00CB0A5F">
        <w:t>hemotherapy group (Arm B). The results of the analysis were:</w:t>
      </w:r>
    </w:p>
    <w:p w14:paraId="19AA1B14" w14:textId="0756FA20" w:rsidR="00CB0A5F" w:rsidRPr="00CB0A5F" w:rsidRDefault="00CB0A5F" w:rsidP="00CB0A5F">
      <w:pPr>
        <w:pStyle w:val="ListBullet"/>
      </w:pPr>
      <w:r>
        <w:t>Hazard ratio</w:t>
      </w:r>
      <w:r w:rsidR="00A1479B">
        <w:t xml:space="preserve">: </w:t>
      </w:r>
      <w:r>
        <w:t>enfortumab vedotin</w:t>
      </w:r>
      <w:r w:rsidRPr="00CB0A5F">
        <w:t xml:space="preserve"> group (Arm A) </w:t>
      </w:r>
      <w:r>
        <w:t>vers</w:t>
      </w:r>
      <w:r w:rsidR="00D64411">
        <w:t>u</w:t>
      </w:r>
      <w:r>
        <w:t>s</w:t>
      </w:r>
      <w:r w:rsidRPr="00CB0A5F">
        <w:t xml:space="preserve"> </w:t>
      </w:r>
      <w:r>
        <w:t>c</w:t>
      </w:r>
      <w:r w:rsidRPr="00CB0A5F">
        <w:t>hemotherapy group (Arm B) was 0.615 (95% CI: 0.505, 0.748, 1 sided p</w:t>
      </w:r>
      <w:r>
        <w:t xml:space="preserve"> less than </w:t>
      </w:r>
      <w:r w:rsidRPr="00CB0A5F">
        <w:t>0.00001)</w:t>
      </w:r>
    </w:p>
    <w:p w14:paraId="2DDD973F" w14:textId="2EC6578C" w:rsidR="00CB0A5F" w:rsidRPr="00CB0A5F" w:rsidRDefault="00CB0A5F" w:rsidP="00CB0A5F">
      <w:pPr>
        <w:pStyle w:val="ListBullet"/>
      </w:pPr>
      <w:r>
        <w:t>M</w:t>
      </w:r>
      <w:r w:rsidRPr="00CB0A5F">
        <w:t xml:space="preserve">edian (95% CI) </w:t>
      </w:r>
      <w:r>
        <w:t>overall survival</w:t>
      </w:r>
      <w:r w:rsidR="00A1479B">
        <w:t xml:space="preserve">: </w:t>
      </w:r>
      <w:r w:rsidRPr="00CB0A5F">
        <w:t xml:space="preserve">5.55 (95% CI: 5.32, 5.82) months for </w:t>
      </w:r>
      <w:r w:rsidR="00272BA8">
        <w:t>enfortumab vedotin</w:t>
      </w:r>
      <w:r w:rsidRPr="00CB0A5F">
        <w:t xml:space="preserve"> (Arm A); 3.71 (95% CI: 3.52, 3.94) months for </w:t>
      </w:r>
      <w:r w:rsidR="00272BA8">
        <w:t>c</w:t>
      </w:r>
      <w:r w:rsidRPr="00CB0A5F">
        <w:t>hemotherapy (Arm B)</w:t>
      </w:r>
    </w:p>
    <w:p w14:paraId="29002295" w14:textId="0A195900" w:rsidR="00CB0A5F" w:rsidRPr="00CB0A5F" w:rsidRDefault="00272BA8" w:rsidP="00272BA8">
      <w:pPr>
        <w:pStyle w:val="ListBullet"/>
      </w:pPr>
      <w:proofErr w:type="gramStart"/>
      <w:r>
        <w:t xml:space="preserve">Six </w:t>
      </w:r>
      <w:r w:rsidR="00CB0A5F" w:rsidRPr="00CB0A5F">
        <w:t>month</w:t>
      </w:r>
      <w:proofErr w:type="gramEnd"/>
      <w:r w:rsidR="00CB0A5F" w:rsidRPr="00CB0A5F">
        <w:t xml:space="preserve"> </w:t>
      </w:r>
      <w:r>
        <w:t>overall survival</w:t>
      </w:r>
      <w:r w:rsidR="00A1479B">
        <w:t xml:space="preserve">: </w:t>
      </w:r>
      <w:r w:rsidR="00CB0A5F" w:rsidRPr="00CB0A5F">
        <w:t xml:space="preserve">44% </w:t>
      </w:r>
      <w:r w:rsidR="00A1479B">
        <w:t xml:space="preserve">for </w:t>
      </w:r>
      <w:r>
        <w:t>enfortumab vedotin</w:t>
      </w:r>
      <w:r w:rsidR="00CB0A5F" w:rsidRPr="00CB0A5F">
        <w:t xml:space="preserve"> (Arm A); 28.2% </w:t>
      </w:r>
      <w:r w:rsidR="00A1479B">
        <w:t xml:space="preserve">for </w:t>
      </w:r>
      <w:r>
        <w:t>c</w:t>
      </w:r>
      <w:r w:rsidR="00CB0A5F" w:rsidRPr="00CB0A5F">
        <w:t>hemotherapy (Arm B)</w:t>
      </w:r>
    </w:p>
    <w:p w14:paraId="206999D9" w14:textId="0977FEE3" w:rsidR="00E7586E" w:rsidRDefault="00272BA8" w:rsidP="00272BA8">
      <w:pPr>
        <w:pStyle w:val="ListBullet"/>
      </w:pPr>
      <w:proofErr w:type="gramStart"/>
      <w:r>
        <w:t xml:space="preserve">One </w:t>
      </w:r>
      <w:r w:rsidR="00CB0A5F" w:rsidRPr="00CB0A5F">
        <w:t>year</w:t>
      </w:r>
      <w:proofErr w:type="gramEnd"/>
      <w:r w:rsidR="00CB0A5F" w:rsidRPr="00CB0A5F">
        <w:t xml:space="preserve"> </w:t>
      </w:r>
      <w:r>
        <w:t>overall survival</w:t>
      </w:r>
      <w:r w:rsidR="00A1479B">
        <w:t xml:space="preserve">: </w:t>
      </w:r>
      <w:r w:rsidR="00CB0A5F" w:rsidRPr="00CB0A5F">
        <w:t xml:space="preserve">21.7% </w:t>
      </w:r>
      <w:r w:rsidR="00A1479B">
        <w:t xml:space="preserve">for </w:t>
      </w:r>
      <w:r>
        <w:t>enfortumab vedotin</w:t>
      </w:r>
      <w:r w:rsidR="00CB0A5F" w:rsidRPr="00CB0A5F">
        <w:t xml:space="preserve"> (Arm A); 8.3% </w:t>
      </w:r>
      <w:r w:rsidR="00A1479B">
        <w:t xml:space="preserve">for </w:t>
      </w:r>
      <w:r>
        <w:t>c</w:t>
      </w:r>
      <w:r w:rsidR="00CB0A5F" w:rsidRPr="00CB0A5F">
        <w:t>hemotherapy (Arm B</w:t>
      </w:r>
    </w:p>
    <w:p w14:paraId="17453041" w14:textId="59B47912" w:rsidR="00272BA8" w:rsidRDefault="00272BA8" w:rsidP="00272BA8">
      <w:pPr>
        <w:pStyle w:val="FigureTitle"/>
      </w:pPr>
      <w:r>
        <w:t xml:space="preserve">Figure </w:t>
      </w:r>
      <w:r w:rsidR="00EA2B2C">
        <w:fldChar w:fldCharType="begin"/>
      </w:r>
      <w:r w:rsidR="00EA2B2C">
        <w:instrText xml:space="preserve"> SEQ Figure \* ARABIC </w:instrText>
      </w:r>
      <w:r w:rsidR="00EA2B2C">
        <w:fldChar w:fldCharType="separate"/>
      </w:r>
      <w:r w:rsidR="00555193">
        <w:rPr>
          <w:noProof/>
        </w:rPr>
        <w:t>12</w:t>
      </w:r>
      <w:r w:rsidR="00EA2B2C">
        <w:rPr>
          <w:noProof/>
        </w:rPr>
        <w:fldChar w:fldCharType="end"/>
      </w:r>
      <w:r>
        <w:t>: Study EV-301 Kaplan-Meier plot of progression free survival</w:t>
      </w:r>
    </w:p>
    <w:p w14:paraId="649CC6A8" w14:textId="30FCB890" w:rsidR="00272BA8" w:rsidRDefault="00272BA8" w:rsidP="00272BA8">
      <w:r>
        <w:rPr>
          <w:noProof/>
          <w:lang w:val="en-GB" w:eastAsia="en-GB"/>
        </w:rPr>
        <w:drawing>
          <wp:inline distT="0" distB="0" distL="0" distR="0" wp14:anchorId="6EF4B3E5" wp14:editId="7BD7F13C">
            <wp:extent cx="5401525" cy="2924175"/>
            <wp:effectExtent l="0" t="0" r="8890" b="0"/>
            <wp:docPr id="19" name="Picture 19" descr="Study EV-301 Kaplan-Meier plot of progression 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EV-301 Kaplan-Meier plot of progression free survival"/>
                    <pic:cNvPicPr/>
                  </pic:nvPicPr>
                  <pic:blipFill rotWithShape="1">
                    <a:blip r:embed="rId33"/>
                    <a:srcRect l="5468"/>
                    <a:stretch/>
                  </pic:blipFill>
                  <pic:spPr bwMode="auto">
                    <a:xfrm>
                      <a:off x="0" y="0"/>
                      <a:ext cx="5408934" cy="2928186"/>
                    </a:xfrm>
                    <a:prstGeom prst="rect">
                      <a:avLst/>
                    </a:prstGeom>
                    <a:ln>
                      <a:noFill/>
                    </a:ln>
                    <a:extLst>
                      <a:ext uri="{53640926-AAD7-44D8-BBD7-CCE9431645EC}">
                        <a14:shadowObscured xmlns:a14="http://schemas.microsoft.com/office/drawing/2010/main"/>
                      </a:ext>
                    </a:extLst>
                  </pic:spPr>
                </pic:pic>
              </a:graphicData>
            </a:graphic>
          </wp:inline>
        </w:drawing>
      </w:r>
    </w:p>
    <w:p w14:paraId="6A413704" w14:textId="092A2243" w:rsidR="00272BA8" w:rsidRDefault="00272BA8" w:rsidP="00272BA8">
      <w:pPr>
        <w:pStyle w:val="FigureDescription"/>
      </w:pPr>
      <w:r>
        <w:t>CI: confidence interval; FAS: full analysis set; HR: hazard ratio; PFS: progression free survival.</w:t>
      </w:r>
    </w:p>
    <w:p w14:paraId="3071186B" w14:textId="1A6CBE27" w:rsidR="00A1479B" w:rsidRDefault="00A1479B" w:rsidP="00272BA8">
      <w:pPr>
        <w:pStyle w:val="FigureDescription"/>
      </w:pPr>
      <w:r>
        <w:t>Based on the full analysis set population.</w:t>
      </w:r>
    </w:p>
    <w:p w14:paraId="32B7C3A3" w14:textId="72361099" w:rsidR="00272BA8" w:rsidRDefault="00272BA8" w:rsidP="00272BA8">
      <w:r w:rsidRPr="00272BA8">
        <w:t>A summary of the results of other secondary endpoints is provided in</w:t>
      </w:r>
      <w:r>
        <w:t xml:space="preserve"> </w:t>
      </w:r>
      <w:r>
        <w:fldChar w:fldCharType="begin"/>
      </w:r>
      <w:r>
        <w:instrText xml:space="preserve"> REF _Ref124250852 \h </w:instrText>
      </w:r>
      <w:r>
        <w:fldChar w:fldCharType="separate"/>
      </w:r>
      <w:r w:rsidR="00555193">
        <w:t xml:space="preserve">Table </w:t>
      </w:r>
      <w:r w:rsidR="00555193">
        <w:rPr>
          <w:noProof/>
        </w:rPr>
        <w:t>7</w:t>
      </w:r>
      <w:r>
        <w:fldChar w:fldCharType="end"/>
      </w:r>
      <w:r w:rsidRPr="00272BA8">
        <w:t>.</w:t>
      </w:r>
    </w:p>
    <w:p w14:paraId="5E0105F1" w14:textId="66AC0BAC" w:rsidR="00272BA8" w:rsidRDefault="00272BA8" w:rsidP="00272BA8">
      <w:pPr>
        <w:pStyle w:val="Tabletitle0"/>
      </w:pPr>
      <w:bookmarkStart w:id="58" w:name="_Ref124250852"/>
      <w:r>
        <w:lastRenderedPageBreak/>
        <w:t xml:space="preserve">Table </w:t>
      </w:r>
      <w:r w:rsidR="00EA2B2C">
        <w:fldChar w:fldCharType="begin"/>
      </w:r>
      <w:r w:rsidR="00EA2B2C">
        <w:instrText xml:space="preserve"> S</w:instrText>
      </w:r>
      <w:r w:rsidR="00EA2B2C">
        <w:instrText xml:space="preserve">EQ Table \* ARABIC </w:instrText>
      </w:r>
      <w:r w:rsidR="00EA2B2C">
        <w:fldChar w:fldCharType="separate"/>
      </w:r>
      <w:r w:rsidR="00555193">
        <w:rPr>
          <w:noProof/>
        </w:rPr>
        <w:t>7</w:t>
      </w:r>
      <w:r w:rsidR="00EA2B2C">
        <w:rPr>
          <w:noProof/>
        </w:rPr>
        <w:fldChar w:fldCharType="end"/>
      </w:r>
      <w:bookmarkEnd w:id="58"/>
      <w:r>
        <w:t>: Study EV-301 other secondary endpoints</w:t>
      </w:r>
    </w:p>
    <w:p w14:paraId="04416007" w14:textId="3D8C69E7" w:rsidR="00272BA8" w:rsidRDefault="00272BA8" w:rsidP="00272BA8">
      <w:r>
        <w:rPr>
          <w:noProof/>
          <w:lang w:val="en-GB" w:eastAsia="en-GB"/>
        </w:rPr>
        <w:drawing>
          <wp:inline distT="0" distB="0" distL="0" distR="0" wp14:anchorId="2C784EEA" wp14:editId="4DE65D76">
            <wp:extent cx="5730875" cy="2171700"/>
            <wp:effectExtent l="0" t="0" r="3175" b="0"/>
            <wp:docPr id="20" name="Picture 20" descr="Study EV-301 other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EV-301 other secondary endpoints"/>
                    <pic:cNvPicPr>
                      <a:picLocks noChangeAspect="1" noChangeArrowheads="1"/>
                    </pic:cNvPicPr>
                  </pic:nvPicPr>
                  <pic:blipFill rotWithShape="1">
                    <a:blip r:embed="rId34">
                      <a:extLst>
                        <a:ext uri="{28A0092B-C50C-407E-A947-70E740481C1C}">
                          <a14:useLocalDpi xmlns:a14="http://schemas.microsoft.com/office/drawing/2010/main" val="0"/>
                        </a:ext>
                      </a:extLst>
                    </a:blip>
                    <a:srcRect b="45025"/>
                    <a:stretch/>
                  </pic:blipFill>
                  <pic:spPr bwMode="auto">
                    <a:xfrm>
                      <a:off x="0" y="0"/>
                      <a:ext cx="5730875"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4EC7A24D" w14:textId="4FD5E9AD" w:rsidR="00272BA8" w:rsidRDefault="00A1479B" w:rsidP="00107A6C">
      <w:pPr>
        <w:pStyle w:val="TableDescription"/>
      </w:pPr>
      <w:r>
        <w:t xml:space="preserve">Abbreviations: </w:t>
      </w:r>
      <w:r w:rsidR="00272BA8">
        <w:t>BOR: best overall response; CI: confidence interval; CMH: Cochran-Mantel-Haenszel; CR: complete response; DCR: disease control rate; ECOG PS: Eastern Cooperative Oncology Group Performance Status; IRT: interactive response technology; ORR: overall response rate; PR: partial response; RECIST: Response Evaluation Criteria in Solid Tumours</w:t>
      </w:r>
      <w:r w:rsidR="00107A6C">
        <w:t>; RES: response evaluable set.</w:t>
      </w:r>
    </w:p>
    <w:p w14:paraId="783C6100" w14:textId="1FA2E152" w:rsidR="00107A6C" w:rsidRDefault="00107A6C" w:rsidP="00107A6C">
      <w:pPr>
        <w:pStyle w:val="TableDescription"/>
      </w:pPr>
      <w:r w:rsidRPr="00107A6C">
        <w:t>†</w:t>
      </w:r>
      <w:r>
        <w:t xml:space="preserve"> The definition of BOR followed RECIST 1.1 CR/PR must have been confirmed by two scans a minimum of four weeks. The minimum duration for stable disease was seven weeks.</w:t>
      </w:r>
    </w:p>
    <w:p w14:paraId="46AAC488" w14:textId="5A90232F" w:rsidR="00107A6C" w:rsidRDefault="00107A6C" w:rsidP="00107A6C">
      <w:pPr>
        <w:pStyle w:val="TableDescription"/>
      </w:pPr>
      <w:r w:rsidRPr="00107A6C">
        <w:t>‡</w:t>
      </w:r>
      <w:r>
        <w:t xml:space="preserve"> Using exact method based on binomial distribution</w:t>
      </w:r>
    </w:p>
    <w:p w14:paraId="2DDAB1E0" w14:textId="167B1AC1" w:rsidR="00107A6C" w:rsidRDefault="00107A6C" w:rsidP="00107A6C">
      <w:pPr>
        <w:pStyle w:val="TableDescription"/>
      </w:pPr>
      <w:r>
        <w:t>§ Based on CMH test. Stratification factors were ECOG PS, geographical region and liver metastasis per IRT. For the p-value of ORR and DCR. *</w:t>
      </w:r>
      <w:proofErr w:type="gramStart"/>
      <w:r>
        <w:t>will</w:t>
      </w:r>
      <w:proofErr w:type="gramEnd"/>
      <w:r>
        <w:t xml:space="preserve"> be shown if the p-values of endpoints are less than or equal to statistical significance level per multiplicity adjustment.</w:t>
      </w:r>
    </w:p>
    <w:p w14:paraId="0BBE20E1" w14:textId="2FAFDFF4" w:rsidR="00107A6C" w:rsidRDefault="00107A6C" w:rsidP="00107A6C">
      <w:pPr>
        <w:pStyle w:val="TableDescription"/>
      </w:pPr>
      <w:r>
        <w:t>¶ DCR was defined as the proportion of subjects who had a BOR of confirmed CR, confirmed PR, or stable disease (greater than or equal to seven weeks).</w:t>
      </w:r>
    </w:p>
    <w:p w14:paraId="36E2BFB9" w14:textId="52113298" w:rsidR="00107A6C" w:rsidRPr="00107A6C" w:rsidRDefault="00107A6C" w:rsidP="00107A6C">
      <w:r w:rsidRPr="00107A6C">
        <w:t xml:space="preserve">The median duration of response for all patients with </w:t>
      </w:r>
      <w:r w:rsidR="0033434C">
        <w:t>complete response</w:t>
      </w:r>
      <w:r w:rsidRPr="00107A6C">
        <w:t xml:space="preserve"> or </w:t>
      </w:r>
      <w:r w:rsidR="0033434C">
        <w:t>partial response</w:t>
      </w:r>
      <w:r w:rsidRPr="00107A6C">
        <w:t xml:space="preserve"> was 7.39 months (95% CI: 5.59, 9.46) for Arm A and 8.11 months (95% CI: 5.65, 9.56) for Arm B.</w:t>
      </w:r>
    </w:p>
    <w:p w14:paraId="092F5701" w14:textId="337BA56A" w:rsidR="00107A6C" w:rsidRDefault="00107A6C" w:rsidP="00107A6C">
      <w:r w:rsidRPr="00107A6C">
        <w:t xml:space="preserve">Nonurothelial histology was recorded for 9% of patients in the </w:t>
      </w:r>
      <w:r w:rsidR="0033434C">
        <w:t>enfortumab vedotin</w:t>
      </w:r>
      <w:r w:rsidRPr="00107A6C">
        <w:t xml:space="preserve"> arm (Arm A) and 13% of patients in Arm B. The sponsor provided results for </w:t>
      </w:r>
      <w:r w:rsidR="0033434C">
        <w:t>objective response rate</w:t>
      </w:r>
      <w:r w:rsidRPr="00107A6C">
        <w:t xml:space="preserve"> for urothelial carcinoma/</w:t>
      </w:r>
      <w:r w:rsidR="0033434C">
        <w:t>transitional cell carcinoma</w:t>
      </w:r>
      <w:r w:rsidRPr="00107A6C">
        <w:t xml:space="preserve">, mixed urothelial carcinoma and other </w:t>
      </w:r>
      <w:proofErr w:type="spellStart"/>
      <w:r w:rsidRPr="00107A6C">
        <w:t>histologies</w:t>
      </w:r>
      <w:proofErr w:type="spellEnd"/>
      <w:r w:rsidR="0067637F">
        <w:t>.</w:t>
      </w:r>
    </w:p>
    <w:p w14:paraId="2985AB07" w14:textId="21832819" w:rsidR="004C79DA" w:rsidRDefault="00B14EDC" w:rsidP="00B14EDC">
      <w:pPr>
        <w:pStyle w:val="Tabletitle0"/>
      </w:pPr>
      <w:r w:rsidRPr="00B14EDC">
        <w:t xml:space="preserve">Table </w:t>
      </w:r>
      <w:r w:rsidR="00EA2B2C">
        <w:fldChar w:fldCharType="begin"/>
      </w:r>
      <w:r w:rsidR="00EA2B2C">
        <w:instrText xml:space="preserve"> SEQ Table \* ARABIC </w:instrText>
      </w:r>
      <w:r w:rsidR="00EA2B2C">
        <w:fldChar w:fldCharType="separate"/>
      </w:r>
      <w:r w:rsidR="00555193">
        <w:rPr>
          <w:noProof/>
        </w:rPr>
        <w:t>8</w:t>
      </w:r>
      <w:r w:rsidR="00EA2B2C">
        <w:rPr>
          <w:noProof/>
        </w:rPr>
        <w:fldChar w:fldCharType="end"/>
      </w:r>
      <w:r w:rsidRPr="00B14EDC">
        <w:t xml:space="preserve">: Study EV-301 </w:t>
      </w:r>
      <w:r w:rsidR="00A1479B">
        <w:t>B</w:t>
      </w:r>
      <w:r w:rsidRPr="00B14EDC">
        <w:t>est overall response and objective response rate by tumour histology enfortumab vedotin treatment</w:t>
      </w:r>
    </w:p>
    <w:tbl>
      <w:tblPr>
        <w:tblStyle w:val="TableGrid"/>
        <w:tblW w:w="0" w:type="auto"/>
        <w:tblLayout w:type="fixed"/>
        <w:tblLook w:val="04A0" w:firstRow="1" w:lastRow="0" w:firstColumn="1" w:lastColumn="0" w:noHBand="0" w:noVBand="1"/>
      </w:tblPr>
      <w:tblGrid>
        <w:gridCol w:w="1205"/>
        <w:gridCol w:w="1319"/>
        <w:gridCol w:w="1052"/>
        <w:gridCol w:w="1129"/>
        <w:gridCol w:w="1102"/>
        <w:gridCol w:w="1134"/>
        <w:gridCol w:w="1553"/>
      </w:tblGrid>
      <w:tr w:rsidR="00C72F00" w14:paraId="66C6FFAA" w14:textId="77777777" w:rsidTr="00C72F00">
        <w:trPr>
          <w:tblHeader/>
        </w:trPr>
        <w:tc>
          <w:tcPr>
            <w:tcW w:w="1205" w:type="dxa"/>
          </w:tcPr>
          <w:p w14:paraId="5C9BAE09" w14:textId="77777777" w:rsidR="00B14EDC" w:rsidRDefault="00B14EDC" w:rsidP="00C97FFB"/>
        </w:tc>
        <w:tc>
          <w:tcPr>
            <w:tcW w:w="1319" w:type="dxa"/>
          </w:tcPr>
          <w:p w14:paraId="5B706955" w14:textId="77777777" w:rsidR="00B14EDC" w:rsidRDefault="00B14EDC" w:rsidP="00C97FFB"/>
        </w:tc>
        <w:tc>
          <w:tcPr>
            <w:tcW w:w="2181" w:type="dxa"/>
            <w:gridSpan w:val="2"/>
          </w:tcPr>
          <w:p w14:paraId="0285C876" w14:textId="77777777" w:rsidR="00B14EDC" w:rsidRDefault="00B14EDC" w:rsidP="00C97FFB">
            <w:pPr>
              <w:jc w:val="center"/>
            </w:pPr>
            <w:r>
              <w:t>Enfortumab vedotin</w:t>
            </w:r>
          </w:p>
        </w:tc>
        <w:tc>
          <w:tcPr>
            <w:tcW w:w="2236" w:type="dxa"/>
            <w:gridSpan w:val="2"/>
          </w:tcPr>
          <w:p w14:paraId="6167FD87" w14:textId="77777777" w:rsidR="00B14EDC" w:rsidRDefault="00B14EDC" w:rsidP="00C97FFB">
            <w:pPr>
              <w:jc w:val="center"/>
            </w:pPr>
            <w:r>
              <w:t>Chemotherapy</w:t>
            </w:r>
          </w:p>
        </w:tc>
        <w:tc>
          <w:tcPr>
            <w:tcW w:w="1553" w:type="dxa"/>
            <w:vMerge w:val="restart"/>
          </w:tcPr>
          <w:p w14:paraId="6D7619C1" w14:textId="77777777" w:rsidR="00B14EDC" w:rsidRDefault="00B14EDC" w:rsidP="00C97FFB">
            <w:r>
              <w:t>Absolute Difference [1] 95% CI</w:t>
            </w:r>
          </w:p>
        </w:tc>
      </w:tr>
      <w:tr w:rsidR="00C72F00" w14:paraId="5FD5277F" w14:textId="77777777" w:rsidTr="00C72F00">
        <w:trPr>
          <w:tblHeader/>
        </w:trPr>
        <w:tc>
          <w:tcPr>
            <w:tcW w:w="1205" w:type="dxa"/>
          </w:tcPr>
          <w:p w14:paraId="7B4B1504" w14:textId="77777777" w:rsidR="00B14EDC" w:rsidRDefault="00B14EDC" w:rsidP="00C97FFB">
            <w:r>
              <w:t>Parameter</w:t>
            </w:r>
          </w:p>
        </w:tc>
        <w:tc>
          <w:tcPr>
            <w:tcW w:w="1319" w:type="dxa"/>
          </w:tcPr>
          <w:p w14:paraId="0A7228C0" w14:textId="77777777" w:rsidR="00B14EDC" w:rsidRDefault="00B14EDC" w:rsidP="00C97FFB">
            <w:r>
              <w:t>Value</w:t>
            </w:r>
          </w:p>
        </w:tc>
        <w:tc>
          <w:tcPr>
            <w:tcW w:w="1052" w:type="dxa"/>
          </w:tcPr>
          <w:p w14:paraId="35198DE8" w14:textId="77777777" w:rsidR="00E23E16" w:rsidRDefault="00B14EDC" w:rsidP="00C97FFB">
            <w:r>
              <w:t>N</w:t>
            </w:r>
          </w:p>
          <w:p w14:paraId="58920F9C" w14:textId="5A8A9C07" w:rsidR="00B14EDC" w:rsidRDefault="00B14EDC" w:rsidP="00C97FFB">
            <w:proofErr w:type="spellStart"/>
            <w:proofErr w:type="gramStart"/>
            <w:r>
              <w:t>ORR,n</w:t>
            </w:r>
            <w:proofErr w:type="spellEnd"/>
            <w:proofErr w:type="gramEnd"/>
            <w:r>
              <w:t xml:space="preserve"> (%)</w:t>
            </w:r>
          </w:p>
        </w:tc>
        <w:tc>
          <w:tcPr>
            <w:tcW w:w="1129" w:type="dxa"/>
          </w:tcPr>
          <w:p w14:paraId="766DC6E9" w14:textId="77777777" w:rsidR="00B14EDC" w:rsidRDefault="00B14EDC" w:rsidP="00C97FFB">
            <w:r>
              <w:t>95% CI</w:t>
            </w:r>
          </w:p>
        </w:tc>
        <w:tc>
          <w:tcPr>
            <w:tcW w:w="1102" w:type="dxa"/>
          </w:tcPr>
          <w:p w14:paraId="09E85025" w14:textId="77777777" w:rsidR="00E23E16" w:rsidRDefault="00B14EDC" w:rsidP="00C97FFB">
            <w:r>
              <w:t>N</w:t>
            </w:r>
          </w:p>
          <w:p w14:paraId="6C74C06B" w14:textId="517FF1ED" w:rsidR="00B14EDC" w:rsidRDefault="00B14EDC" w:rsidP="00C97FFB">
            <w:proofErr w:type="spellStart"/>
            <w:proofErr w:type="gramStart"/>
            <w:r>
              <w:t>ORR,n</w:t>
            </w:r>
            <w:proofErr w:type="spellEnd"/>
            <w:proofErr w:type="gramEnd"/>
            <w:r>
              <w:t xml:space="preserve"> (%)</w:t>
            </w:r>
          </w:p>
        </w:tc>
        <w:tc>
          <w:tcPr>
            <w:tcW w:w="1134" w:type="dxa"/>
          </w:tcPr>
          <w:p w14:paraId="5606B8BD" w14:textId="77777777" w:rsidR="00B14EDC" w:rsidRDefault="00B14EDC" w:rsidP="00C97FFB">
            <w:r w:rsidRPr="000A3E20">
              <w:t>95% CI</w:t>
            </w:r>
          </w:p>
        </w:tc>
        <w:tc>
          <w:tcPr>
            <w:tcW w:w="1553" w:type="dxa"/>
            <w:vMerge/>
          </w:tcPr>
          <w:p w14:paraId="5AEA0BD7" w14:textId="77777777" w:rsidR="00B14EDC" w:rsidRDefault="00B14EDC" w:rsidP="00C97FFB"/>
        </w:tc>
      </w:tr>
      <w:tr w:rsidR="00C72F00" w14:paraId="50B2CDC5" w14:textId="77777777" w:rsidTr="00C72F00">
        <w:tc>
          <w:tcPr>
            <w:tcW w:w="1205" w:type="dxa"/>
            <w:vMerge w:val="restart"/>
          </w:tcPr>
          <w:p w14:paraId="0F591EAA" w14:textId="77777777" w:rsidR="00B14EDC" w:rsidRDefault="00B14EDC" w:rsidP="00C97FFB">
            <w:r>
              <w:t>Histology type at initial diagnosis</w:t>
            </w:r>
          </w:p>
        </w:tc>
        <w:tc>
          <w:tcPr>
            <w:tcW w:w="1319" w:type="dxa"/>
          </w:tcPr>
          <w:p w14:paraId="68FA05F8" w14:textId="77777777" w:rsidR="00B14EDC" w:rsidRDefault="00B14EDC" w:rsidP="00C97FFB">
            <w:r>
              <w:t>Urothelial carcinoma/ transitional Cell</w:t>
            </w:r>
          </w:p>
        </w:tc>
        <w:tc>
          <w:tcPr>
            <w:tcW w:w="1052" w:type="dxa"/>
          </w:tcPr>
          <w:p w14:paraId="2C9FF8E4" w14:textId="77777777" w:rsidR="00E23E16" w:rsidRDefault="00B14EDC" w:rsidP="00C97FFB">
            <w:r>
              <w:t>219</w:t>
            </w:r>
          </w:p>
          <w:p w14:paraId="5AC3ED5C" w14:textId="33A62308" w:rsidR="00B14EDC" w:rsidRDefault="00B14EDC" w:rsidP="00C97FFB">
            <w:r>
              <w:t>94</w:t>
            </w:r>
            <w:r w:rsidR="00E23E16">
              <w:t xml:space="preserve"> </w:t>
            </w:r>
            <w:r>
              <w:t>(42.9%)</w:t>
            </w:r>
          </w:p>
        </w:tc>
        <w:tc>
          <w:tcPr>
            <w:tcW w:w="1129" w:type="dxa"/>
          </w:tcPr>
          <w:p w14:paraId="2975BC56" w14:textId="77777777" w:rsidR="00B14EDC" w:rsidRDefault="00B14EDC" w:rsidP="00C97FFB">
            <w:r>
              <w:t>(36.27%, 49.76%)</w:t>
            </w:r>
          </w:p>
        </w:tc>
        <w:tc>
          <w:tcPr>
            <w:tcW w:w="1102" w:type="dxa"/>
          </w:tcPr>
          <w:p w14:paraId="5E205AFA" w14:textId="77777777" w:rsidR="00E23E16" w:rsidRDefault="00B14EDC" w:rsidP="00C97FFB">
            <w:r>
              <w:t>224</w:t>
            </w:r>
          </w:p>
          <w:p w14:paraId="24C707E2" w14:textId="079AAB66" w:rsidR="00B14EDC" w:rsidRDefault="00B14EDC" w:rsidP="00C97FFB">
            <w:r>
              <w:t>43</w:t>
            </w:r>
            <w:r w:rsidR="00E23E16">
              <w:t xml:space="preserve"> </w:t>
            </w:r>
            <w:r>
              <w:t>(19.2%)</w:t>
            </w:r>
          </w:p>
        </w:tc>
        <w:tc>
          <w:tcPr>
            <w:tcW w:w="1134" w:type="dxa"/>
          </w:tcPr>
          <w:p w14:paraId="02863E60" w14:textId="77777777" w:rsidR="00B14EDC" w:rsidRDefault="00B14EDC" w:rsidP="00C97FFB">
            <w:r>
              <w:t>(14.25%, 24.97%)</w:t>
            </w:r>
          </w:p>
        </w:tc>
        <w:tc>
          <w:tcPr>
            <w:tcW w:w="1553" w:type="dxa"/>
          </w:tcPr>
          <w:p w14:paraId="7313911C" w14:textId="77777777" w:rsidR="00B14EDC" w:rsidRDefault="00B14EDC" w:rsidP="00C97FFB">
            <w:r>
              <w:t>23.7% (14.94%, 32.04%)</w:t>
            </w:r>
          </w:p>
        </w:tc>
      </w:tr>
      <w:tr w:rsidR="00C72F00" w14:paraId="540A6055" w14:textId="77777777" w:rsidTr="00C72F00">
        <w:tc>
          <w:tcPr>
            <w:tcW w:w="1205" w:type="dxa"/>
            <w:vMerge/>
          </w:tcPr>
          <w:p w14:paraId="768CCD03" w14:textId="77777777" w:rsidR="00B14EDC" w:rsidRDefault="00B14EDC" w:rsidP="00C97FFB"/>
        </w:tc>
        <w:tc>
          <w:tcPr>
            <w:tcW w:w="1319" w:type="dxa"/>
          </w:tcPr>
          <w:p w14:paraId="12A1F31D" w14:textId="77777777" w:rsidR="00B14EDC" w:rsidRDefault="00B14EDC" w:rsidP="00C97FFB">
            <w:r>
              <w:t>Urothelial carcinoma mixed</w:t>
            </w:r>
          </w:p>
        </w:tc>
        <w:tc>
          <w:tcPr>
            <w:tcW w:w="1052" w:type="dxa"/>
          </w:tcPr>
          <w:p w14:paraId="0194AE75" w14:textId="77777777" w:rsidR="00E23E16" w:rsidRDefault="00B14EDC" w:rsidP="00C97FFB">
            <w:r>
              <w:t>45</w:t>
            </w:r>
          </w:p>
          <w:p w14:paraId="69F85F4C" w14:textId="53AE1217" w:rsidR="00B14EDC" w:rsidRDefault="00B14EDC" w:rsidP="00C97FFB">
            <w:r>
              <w:t>13 (28.9%)</w:t>
            </w:r>
          </w:p>
        </w:tc>
        <w:tc>
          <w:tcPr>
            <w:tcW w:w="1129" w:type="dxa"/>
          </w:tcPr>
          <w:p w14:paraId="786CD68D" w14:textId="77777777" w:rsidR="00B14EDC" w:rsidRDefault="00B14EDC" w:rsidP="00C97FFB">
            <w:r>
              <w:t>(16.37%, 44.31%)</w:t>
            </w:r>
          </w:p>
        </w:tc>
        <w:tc>
          <w:tcPr>
            <w:tcW w:w="1102" w:type="dxa"/>
          </w:tcPr>
          <w:p w14:paraId="21DC567D" w14:textId="77777777" w:rsidR="00AC03E1" w:rsidRDefault="00B14EDC" w:rsidP="00C97FFB">
            <w:r>
              <w:t>39</w:t>
            </w:r>
          </w:p>
          <w:p w14:paraId="026FC74D" w14:textId="57F8D25F" w:rsidR="00B14EDC" w:rsidRDefault="00B14EDC" w:rsidP="00C97FFB">
            <w:r>
              <w:t>4 (10.3%)</w:t>
            </w:r>
          </w:p>
        </w:tc>
        <w:tc>
          <w:tcPr>
            <w:tcW w:w="1134" w:type="dxa"/>
          </w:tcPr>
          <w:p w14:paraId="153D93FE" w14:textId="77777777" w:rsidR="00B14EDC" w:rsidRDefault="00B14EDC" w:rsidP="00C97FFB">
            <w:r>
              <w:t>(2.87%, 24.22%)</w:t>
            </w:r>
          </w:p>
        </w:tc>
        <w:tc>
          <w:tcPr>
            <w:tcW w:w="1553" w:type="dxa"/>
          </w:tcPr>
          <w:p w14:paraId="76632188" w14:textId="77777777" w:rsidR="00B14EDC" w:rsidRDefault="00B14EDC" w:rsidP="00C97FFB">
            <w:r>
              <w:t>18.6% (0.62%, 35.57%)</w:t>
            </w:r>
          </w:p>
        </w:tc>
      </w:tr>
      <w:tr w:rsidR="00C72F00" w14:paraId="1717E3BC" w14:textId="77777777" w:rsidTr="00C72F00">
        <w:tc>
          <w:tcPr>
            <w:tcW w:w="1205" w:type="dxa"/>
            <w:vMerge/>
          </w:tcPr>
          <w:p w14:paraId="2D1E7585" w14:textId="77777777" w:rsidR="00B14EDC" w:rsidRDefault="00B14EDC" w:rsidP="00C97FFB"/>
        </w:tc>
        <w:tc>
          <w:tcPr>
            <w:tcW w:w="1319" w:type="dxa"/>
          </w:tcPr>
          <w:p w14:paraId="048F4497" w14:textId="6F9E8BB5" w:rsidR="00B14EDC" w:rsidRDefault="00B14EDC" w:rsidP="00C97FFB">
            <w:r>
              <w:t>Other</w:t>
            </w:r>
          </w:p>
        </w:tc>
        <w:tc>
          <w:tcPr>
            <w:tcW w:w="1052" w:type="dxa"/>
          </w:tcPr>
          <w:p w14:paraId="6C64A3E8" w14:textId="77777777" w:rsidR="00AC03E1" w:rsidRPr="00781F5F" w:rsidRDefault="00B14EDC" w:rsidP="00C97FFB">
            <w:pPr>
              <w:rPr>
                <w:i/>
                <w:iCs/>
              </w:rPr>
            </w:pPr>
            <w:r w:rsidRPr="00781F5F">
              <w:rPr>
                <w:i/>
                <w:iCs/>
              </w:rPr>
              <w:t>24</w:t>
            </w:r>
          </w:p>
          <w:p w14:paraId="0746FD19" w14:textId="54673638" w:rsidR="00B14EDC" w:rsidRDefault="00B14EDC" w:rsidP="00C97FFB">
            <w:r>
              <w:t>10 (41.7%)</w:t>
            </w:r>
          </w:p>
        </w:tc>
        <w:tc>
          <w:tcPr>
            <w:tcW w:w="1129" w:type="dxa"/>
          </w:tcPr>
          <w:p w14:paraId="496849F3" w14:textId="77777777" w:rsidR="00B14EDC" w:rsidRDefault="00B14EDC" w:rsidP="00C97FFB">
            <w:r>
              <w:t>(22.11%, 63.36%)</w:t>
            </w:r>
          </w:p>
        </w:tc>
        <w:tc>
          <w:tcPr>
            <w:tcW w:w="1102" w:type="dxa"/>
          </w:tcPr>
          <w:p w14:paraId="192BF9C0" w14:textId="77777777" w:rsidR="00AC03E1" w:rsidRDefault="00B14EDC" w:rsidP="00C97FFB">
            <w:r>
              <w:t>31</w:t>
            </w:r>
          </w:p>
          <w:p w14:paraId="40E9CD03" w14:textId="30628063" w:rsidR="00B14EDC" w:rsidRDefault="00B14EDC" w:rsidP="00C97FFB">
            <w:r>
              <w:t>6 (19.4%)</w:t>
            </w:r>
          </w:p>
        </w:tc>
        <w:tc>
          <w:tcPr>
            <w:tcW w:w="1134" w:type="dxa"/>
          </w:tcPr>
          <w:p w14:paraId="646ACED8" w14:textId="77777777" w:rsidR="00B14EDC" w:rsidRDefault="00B14EDC" w:rsidP="00C97FFB">
            <w:r>
              <w:t>(7.45%, 37.47%)</w:t>
            </w:r>
          </w:p>
        </w:tc>
        <w:tc>
          <w:tcPr>
            <w:tcW w:w="1553" w:type="dxa"/>
          </w:tcPr>
          <w:p w14:paraId="708E1DBE" w14:textId="4DE42384" w:rsidR="00B14EDC" w:rsidRDefault="00B14EDC" w:rsidP="00C97FFB">
            <w:r>
              <w:t>22.3% (</w:t>
            </w:r>
            <w:r w:rsidR="00AC03E1">
              <w:noBreakHyphen/>
            </w:r>
            <w:r>
              <w:t>3.75%, 46.71%)</w:t>
            </w:r>
          </w:p>
        </w:tc>
      </w:tr>
    </w:tbl>
    <w:p w14:paraId="1E04EEA7" w14:textId="38F8F556" w:rsidR="00A1479B" w:rsidRDefault="00A1479B" w:rsidP="00781F5F">
      <w:pPr>
        <w:pStyle w:val="TableDescription"/>
      </w:pPr>
      <w:r>
        <w:t xml:space="preserve">Abbreviations: </w:t>
      </w:r>
      <w:r w:rsidR="00E23E16">
        <w:t xml:space="preserve">N = number of subjects in population; n = number of subjects with specified parameter; </w:t>
      </w:r>
      <w:r>
        <w:t xml:space="preserve">ORR = </w:t>
      </w:r>
      <w:r w:rsidR="00E23E16">
        <w:t>objective</w:t>
      </w:r>
      <w:r>
        <w:t xml:space="preserve"> response rate</w:t>
      </w:r>
      <w:r w:rsidR="00E23E16">
        <w:t>.</w:t>
      </w:r>
    </w:p>
    <w:p w14:paraId="41E8A954" w14:textId="3FFCA38C" w:rsidR="00E23E16" w:rsidRPr="00A1479B" w:rsidRDefault="00E23E16" w:rsidP="00781F5F">
      <w:pPr>
        <w:pStyle w:val="TableDescription"/>
      </w:pPr>
      <w:r>
        <w:t xml:space="preserve">[1] </w:t>
      </w:r>
      <w:proofErr w:type="spellStart"/>
      <w:r>
        <w:t>Enforumab</w:t>
      </w:r>
      <w:proofErr w:type="spellEnd"/>
      <w:r>
        <w:t xml:space="preserve"> </w:t>
      </w:r>
      <w:proofErr w:type="spellStart"/>
      <w:r>
        <w:t>vedotin</w:t>
      </w:r>
      <w:proofErr w:type="spellEnd"/>
      <w:r>
        <w:t xml:space="preserve"> ORR minus chemotherapy ORR.</w:t>
      </w:r>
    </w:p>
    <w:p w14:paraId="7CEEF589" w14:textId="33354781" w:rsidR="0067637F" w:rsidRDefault="0067637F" w:rsidP="0067637F">
      <w:pPr>
        <w:pStyle w:val="Heading4"/>
      </w:pPr>
      <w:r>
        <w:t>Study EV-201</w:t>
      </w:r>
    </w:p>
    <w:p w14:paraId="0A930078" w14:textId="5A77E1BB" w:rsidR="0067637F" w:rsidRPr="0067637F" w:rsidRDefault="0067637F" w:rsidP="0067637F">
      <w:r w:rsidRPr="0067637F">
        <w:t xml:space="preserve">Study EV-201 is a Phase </w:t>
      </w:r>
      <w:r>
        <w:t>II</w:t>
      </w:r>
      <w:r w:rsidRPr="0067637F">
        <w:t>, single</w:t>
      </w:r>
      <w:r>
        <w:t xml:space="preserve"> </w:t>
      </w:r>
      <w:r w:rsidRPr="0067637F">
        <w:t>arm, open</w:t>
      </w:r>
      <w:r>
        <w:t xml:space="preserve"> </w:t>
      </w:r>
      <w:r w:rsidRPr="0067637F">
        <w:t xml:space="preserve">label, multicentre study to investigate </w:t>
      </w:r>
      <w:r>
        <w:t xml:space="preserve">enfortumab vedotin </w:t>
      </w:r>
      <w:r w:rsidRPr="0067637F">
        <w:t>treatment in patients with locally advanced or metastatic urothelial cancer.</w:t>
      </w:r>
    </w:p>
    <w:p w14:paraId="4485BE34" w14:textId="5FF44559" w:rsidR="0067637F" w:rsidRPr="0067637F" w:rsidRDefault="0067637F" w:rsidP="0067637F">
      <w:r w:rsidRPr="0067637F">
        <w:t xml:space="preserve">Cohort 1 (128 </w:t>
      </w:r>
      <w:r w:rsidR="00AC03E1">
        <w:t xml:space="preserve">subjects </w:t>
      </w:r>
      <w:r w:rsidRPr="0067637F">
        <w:t xml:space="preserve">enrolled, 125 treated) were patients previously treated with immune checkpoint inhibitor therapy and </w:t>
      </w:r>
      <w:proofErr w:type="gramStart"/>
      <w:r w:rsidRPr="0067637F">
        <w:t>platinum</w:t>
      </w:r>
      <w:r>
        <w:t xml:space="preserve"> </w:t>
      </w:r>
      <w:r w:rsidRPr="0067637F">
        <w:t>based</w:t>
      </w:r>
      <w:proofErr w:type="gramEnd"/>
      <w:r w:rsidRPr="0067637F">
        <w:t xml:space="preserve"> chemotherapy. This </w:t>
      </w:r>
      <w:r w:rsidR="00DB4B3C">
        <w:t>c</w:t>
      </w:r>
      <w:r w:rsidRPr="0067637F">
        <w:t>ohort provided supportive data for the indication in patients who have received both a platinum based and PD-1/PD-L1 inhibitor.</w:t>
      </w:r>
    </w:p>
    <w:p w14:paraId="2E39B63D" w14:textId="65A33AA3" w:rsidR="0067637F" w:rsidRDefault="0067637F" w:rsidP="0067637F">
      <w:r w:rsidRPr="0067637F">
        <w:t xml:space="preserve">Cohort 2 (91 </w:t>
      </w:r>
      <w:r w:rsidR="00AC03E1">
        <w:t xml:space="preserve">subjects </w:t>
      </w:r>
      <w:r w:rsidRPr="0067637F">
        <w:t xml:space="preserve">enrolled, 89 treated) were a cisplatin ineligible population who had only received prior </w:t>
      </w:r>
      <w:r>
        <w:t>checkpoint inhibitor</w:t>
      </w:r>
      <w:r w:rsidRPr="0067637F">
        <w:t xml:space="preserve"> and provided support for the component of the proposed indication in patients not eligible for cisplatin containing chemotherapy.</w:t>
      </w:r>
    </w:p>
    <w:p w14:paraId="535A4D0D" w14:textId="720F6FE5" w:rsidR="0067637F" w:rsidRDefault="0067637F" w:rsidP="0067637F">
      <w:pPr>
        <w:pStyle w:val="FigureTitle"/>
      </w:pPr>
      <w:r>
        <w:t xml:space="preserve">Figure </w:t>
      </w:r>
      <w:r w:rsidR="00EA2B2C">
        <w:fldChar w:fldCharType="begin"/>
      </w:r>
      <w:r w:rsidR="00EA2B2C">
        <w:instrText xml:space="preserve"> SEQ Figure \* ARABIC </w:instrText>
      </w:r>
      <w:r w:rsidR="00EA2B2C">
        <w:fldChar w:fldCharType="separate"/>
      </w:r>
      <w:r w:rsidR="00555193">
        <w:rPr>
          <w:noProof/>
        </w:rPr>
        <w:t>13</w:t>
      </w:r>
      <w:r w:rsidR="00EA2B2C">
        <w:rPr>
          <w:noProof/>
        </w:rPr>
        <w:fldChar w:fldCharType="end"/>
      </w:r>
      <w:r>
        <w:t xml:space="preserve">: Study EV-201 </w:t>
      </w:r>
      <w:r w:rsidR="00AC03E1">
        <w:t>Study s</w:t>
      </w:r>
      <w:r>
        <w:t>chema</w:t>
      </w:r>
    </w:p>
    <w:p w14:paraId="13526B28" w14:textId="1A833FCE" w:rsidR="0067637F" w:rsidRDefault="0067637F" w:rsidP="0067637F">
      <w:pPr>
        <w:pStyle w:val="FigureTitle"/>
      </w:pPr>
      <w:r>
        <w:rPr>
          <w:noProof/>
          <w:lang w:val="en-GB" w:eastAsia="en-GB"/>
        </w:rPr>
        <w:drawing>
          <wp:inline distT="0" distB="0" distL="0" distR="0" wp14:anchorId="64B0112C" wp14:editId="1B038BBB">
            <wp:extent cx="5330190" cy="1381125"/>
            <wp:effectExtent l="0" t="0" r="3810" b="9525"/>
            <wp:docPr id="21" name="Picture 21" descr="Study EV-201 schema. • Cohort 1: patients who received prior treatment with platinum containing chemotherapy in the adjuvant/neoadjuvant setting with recurrent or progressive disease less than 12 months from completion, or in the locally advanced or metastatic setting. • Cohort 2: subjects with no prior platinum containing or other chemotherapy regimens in the locally advanced or metastatic setting, ineligible to receive cisplatin. All patients received Enfortumab vedotin 1.25 mg/kg intravenous infusion over 30 minutes on Day 1, Day 8 and Day 15 of a 28 day cycle until progressive disease or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EV-201 schema. • Cohort 1: patients who received prior treatment with platinum containing chemotherapy in the adjuvant/neoadjuvant setting with recurrent or progressive disease less than 12 months from completion, or in the locally advanced or metastatic setting. • Cohort 2: subjects with no prior platinum containing or other chemotherapy regimens in the locally advanced or metastatic setting, ineligible to receive cisplatin. All patients received Enfortumab vedotin 1.25 mg/kg intravenous infusion over 30 minutes on Day 1, Day 8 and Day 15 of a 28 day cycle until progressive disease or discontinuation."/>
                    <pic:cNvPicPr>
                      <a:picLocks noChangeAspect="1" noChangeArrowheads="1"/>
                    </pic:cNvPicPr>
                  </pic:nvPicPr>
                  <pic:blipFill rotWithShape="1">
                    <a:blip r:embed="rId35">
                      <a:extLst>
                        <a:ext uri="{28A0092B-C50C-407E-A947-70E740481C1C}">
                          <a14:useLocalDpi xmlns:a14="http://schemas.microsoft.com/office/drawing/2010/main" val="0"/>
                        </a:ext>
                      </a:extLst>
                    </a:blip>
                    <a:srcRect t="12660" b="26139"/>
                    <a:stretch/>
                  </pic:blipFill>
                  <pic:spPr bwMode="auto">
                    <a:xfrm>
                      <a:off x="0" y="0"/>
                      <a:ext cx="5330268" cy="1381145"/>
                    </a:xfrm>
                    <a:prstGeom prst="rect">
                      <a:avLst/>
                    </a:prstGeom>
                    <a:noFill/>
                    <a:ln>
                      <a:noFill/>
                    </a:ln>
                    <a:extLst>
                      <a:ext uri="{53640926-AAD7-44D8-BBD7-CCE9431645EC}">
                        <a14:shadowObscured xmlns:a14="http://schemas.microsoft.com/office/drawing/2010/main"/>
                      </a:ext>
                    </a:extLst>
                  </pic:spPr>
                </pic:pic>
              </a:graphicData>
            </a:graphic>
          </wp:inline>
        </w:drawing>
      </w:r>
    </w:p>
    <w:p w14:paraId="38337DA1" w14:textId="6A01F60F" w:rsidR="0026384C" w:rsidRPr="0026384C" w:rsidRDefault="0026384C" w:rsidP="0026384C">
      <w:pPr>
        <w:pStyle w:val="FigureDescription"/>
      </w:pPr>
      <w:r w:rsidRPr="0026384C">
        <w:t>*After 1 year on study, the frequency of assessments was reduced to every 12 weeks.</w:t>
      </w:r>
    </w:p>
    <w:p w14:paraId="3C946548" w14:textId="702AFA2B" w:rsidR="0026384C" w:rsidRPr="0026384C" w:rsidRDefault="0026384C" w:rsidP="0026384C">
      <w:pPr>
        <w:pStyle w:val="FigureDescription"/>
      </w:pPr>
      <w:r w:rsidRPr="0026384C">
        <w:t>The study was planned to be closed 5 years after enrolment of the last subject, or when no su</w:t>
      </w:r>
      <w:r>
        <w:t>bjects remain in long term follow up, whichever occurs first.</w:t>
      </w:r>
    </w:p>
    <w:p w14:paraId="585BD81B" w14:textId="1C6F4517" w:rsidR="0067637F" w:rsidRDefault="0067637F" w:rsidP="0067637F">
      <w:pPr>
        <w:pStyle w:val="Heading5"/>
      </w:pPr>
      <w:r>
        <w:t>Study population</w:t>
      </w:r>
    </w:p>
    <w:p w14:paraId="16C97D16" w14:textId="1A587F75" w:rsidR="0067637F" w:rsidRPr="0067637F" w:rsidRDefault="0067637F" w:rsidP="0067637F">
      <w:pPr>
        <w:pStyle w:val="ListBullet"/>
      </w:pPr>
      <w:r w:rsidRPr="00781F5F">
        <w:rPr>
          <w:i/>
        </w:rPr>
        <w:t>Cohort 1</w:t>
      </w:r>
      <w:r w:rsidRPr="0067637F">
        <w:t xml:space="preserve">: </w:t>
      </w:r>
      <w:r>
        <w:t>p</w:t>
      </w:r>
      <w:r w:rsidRPr="0067637F">
        <w:t>atients who received prior treatment with platinum</w:t>
      </w:r>
      <w:r>
        <w:t xml:space="preserve"> </w:t>
      </w:r>
      <w:r w:rsidRPr="0067637F">
        <w:t xml:space="preserve">containing chemotherapy in the adjuvant/neoadjuvant setting with recurrent or progressive disease </w:t>
      </w:r>
      <w:r>
        <w:t>less than</w:t>
      </w:r>
      <w:r w:rsidRPr="0067637F">
        <w:t xml:space="preserve"> 12 months from completion, or in the locally advanced or metastatic setting.</w:t>
      </w:r>
    </w:p>
    <w:p w14:paraId="73BA5626" w14:textId="57A70952" w:rsidR="0067637F" w:rsidRDefault="0067637F" w:rsidP="0067637F">
      <w:pPr>
        <w:pStyle w:val="ListBullet"/>
      </w:pPr>
      <w:r w:rsidRPr="00781F5F">
        <w:rPr>
          <w:i/>
        </w:rPr>
        <w:t>Cohort 2</w:t>
      </w:r>
      <w:r w:rsidRPr="0067637F">
        <w:t xml:space="preserve">: </w:t>
      </w:r>
      <w:r>
        <w:t>s</w:t>
      </w:r>
      <w:r w:rsidRPr="0067637F">
        <w:t>ubjects with no prior platinum</w:t>
      </w:r>
      <w:r>
        <w:t xml:space="preserve"> </w:t>
      </w:r>
      <w:r w:rsidRPr="0067637F">
        <w:t xml:space="preserve">containing or other chemotherapy regimens in the locally advanced or metastatic setting, ineligible to receive cisplatin due to at least </w:t>
      </w:r>
      <w:r>
        <w:t>one</w:t>
      </w:r>
      <w:r w:rsidRPr="0067637F">
        <w:t xml:space="preserve"> of: ECOG </w:t>
      </w:r>
      <w:r>
        <w:t>performance status</w:t>
      </w:r>
      <w:r w:rsidRPr="0067637F">
        <w:t xml:space="preserve"> of 2, impaired renal function (defined as </w:t>
      </w:r>
      <w:r w:rsidR="00D64411">
        <w:t>creatinine clearance</w:t>
      </w:r>
      <w:r w:rsidRPr="0067637F">
        <w:t xml:space="preserve"> </w:t>
      </w:r>
      <w:r>
        <w:t xml:space="preserve">greater than or equal to </w:t>
      </w:r>
      <w:r w:rsidRPr="0067637F">
        <w:t>30 and</w:t>
      </w:r>
      <w:r>
        <w:t xml:space="preserve"> less than </w:t>
      </w:r>
      <w:r w:rsidRPr="0067637F">
        <w:t>60 mL</w:t>
      </w:r>
      <w:r>
        <w:t xml:space="preserve"> per </w:t>
      </w:r>
      <w:r w:rsidRPr="0067637F">
        <w:t>min</w:t>
      </w:r>
      <w:r w:rsidR="00881549">
        <w:t>ute</w:t>
      </w:r>
      <w:r w:rsidRPr="0067637F">
        <w:t xml:space="preserve">) or </w:t>
      </w:r>
      <w:r>
        <w:t xml:space="preserve">greater than or equal to a </w:t>
      </w:r>
      <w:r w:rsidRPr="0067637F">
        <w:t xml:space="preserve">Grade 2 hearing loss. Subjects who received platinum in the </w:t>
      </w:r>
      <w:r w:rsidRPr="0067637F">
        <w:lastRenderedPageBreak/>
        <w:t>adjuvant/neoadjuvant setting and did not progress within 12 months of completion were considered platinum</w:t>
      </w:r>
      <w:r>
        <w:t xml:space="preserve"> </w:t>
      </w:r>
      <w:r w:rsidRPr="0067637F">
        <w:t>naïve and eligible for this cohort.</w:t>
      </w:r>
    </w:p>
    <w:p w14:paraId="79EFE2D9" w14:textId="5CAC0946" w:rsidR="0067637F" w:rsidRDefault="0067637F" w:rsidP="0067637F">
      <w:pPr>
        <w:pStyle w:val="Heading5"/>
      </w:pPr>
      <w:r>
        <w:t>Treatment</w:t>
      </w:r>
    </w:p>
    <w:p w14:paraId="4EECAF9A" w14:textId="67BB744A" w:rsidR="0067637F" w:rsidRDefault="0067637F" w:rsidP="0067637F">
      <w:r>
        <w:t xml:space="preserve">Enfortumab vedotin 1.25 mg/kg intravenous infusion over 30 minutes on Day 1, Day 8 and Day 15 of a </w:t>
      </w:r>
      <w:proofErr w:type="gramStart"/>
      <w:r>
        <w:t>28 day</w:t>
      </w:r>
      <w:proofErr w:type="gramEnd"/>
      <w:r>
        <w:t xml:space="preserve"> cycle until progressive disease or discontinuation.</w:t>
      </w:r>
    </w:p>
    <w:p w14:paraId="1D693458" w14:textId="67B7EAF0" w:rsidR="0067637F" w:rsidRDefault="00B12337" w:rsidP="00B12337">
      <w:pPr>
        <w:pStyle w:val="Heading5"/>
      </w:pPr>
      <w:r>
        <w:t>Dose adjustments</w:t>
      </w:r>
    </w:p>
    <w:p w14:paraId="15BCE0D1" w14:textId="55E4C3C3" w:rsidR="00B12337" w:rsidRDefault="00B12337" w:rsidP="00B12337">
      <w:r>
        <w:t>Enfortumab vedotin</w:t>
      </w:r>
      <w:r w:rsidRPr="00B12337">
        <w:t xml:space="preserve"> dose adjustments to 1.0 mg/kg (dose level 1) and 0.75 mg/kg (dose level 2) for haematological and non</w:t>
      </w:r>
      <w:r w:rsidR="00881549">
        <w:t>-</w:t>
      </w:r>
      <w:r w:rsidRPr="00B12337">
        <w:t>haematological toxicities permitted unless toxicity triggered discontinuation</w:t>
      </w:r>
      <w:r>
        <w:t>.</w:t>
      </w:r>
    </w:p>
    <w:p w14:paraId="4436E87B" w14:textId="5E0B290B" w:rsidR="00AC03E1" w:rsidRDefault="00AC03E1" w:rsidP="00781F5F">
      <w:pPr>
        <w:pStyle w:val="Heading5"/>
      </w:pPr>
      <w:r>
        <w:t>Participant flow</w:t>
      </w:r>
    </w:p>
    <w:p w14:paraId="48194042" w14:textId="1A40F07F" w:rsidR="00B12337" w:rsidRDefault="00B12337" w:rsidP="00781F5F">
      <w:r w:rsidRPr="00781F5F">
        <w:rPr>
          <w:i/>
        </w:rPr>
        <w:t>Cohort 1</w:t>
      </w:r>
      <w:r w:rsidR="00AC03E1">
        <w:t>:</w:t>
      </w:r>
    </w:p>
    <w:p w14:paraId="20FEAC66" w14:textId="4856FA00" w:rsidR="00B12337" w:rsidRPr="00B12337" w:rsidRDefault="00B12337" w:rsidP="00D472C1">
      <w:pPr>
        <w:pStyle w:val="ListBullet"/>
      </w:pPr>
      <w:r w:rsidRPr="00B12337">
        <w:t>Total enrolled</w:t>
      </w:r>
      <w:r w:rsidR="00AC03E1">
        <w:t>:</w:t>
      </w:r>
      <w:r w:rsidRPr="00B12337">
        <w:t xml:space="preserve"> 128</w:t>
      </w:r>
      <w:r w:rsidR="00AC03E1">
        <w:t xml:space="preserve"> subjects;</w:t>
      </w:r>
      <w:r w:rsidRPr="00B12337">
        <w:t xml:space="preserve"> total treated</w:t>
      </w:r>
      <w:r w:rsidR="00AC03E1">
        <w:t>:</w:t>
      </w:r>
      <w:r w:rsidRPr="00B12337">
        <w:t xml:space="preserve"> 89</w:t>
      </w:r>
    </w:p>
    <w:p w14:paraId="65287FF2" w14:textId="0F50AC98" w:rsidR="00B12337" w:rsidRPr="00B12337" w:rsidRDefault="00B12337" w:rsidP="00D472C1">
      <w:pPr>
        <w:pStyle w:val="ListBullet"/>
      </w:pPr>
      <w:r w:rsidRPr="00B12337">
        <w:t>Ongoing in study on treatment: 4</w:t>
      </w:r>
    </w:p>
    <w:p w14:paraId="5DC15E46" w14:textId="2820124F" w:rsidR="00B12337" w:rsidRPr="00B12337" w:rsidRDefault="00B12337" w:rsidP="00D472C1">
      <w:pPr>
        <w:pStyle w:val="ListBullet"/>
      </w:pPr>
      <w:r w:rsidRPr="00B12337">
        <w:t>Discontinued because died: 94</w:t>
      </w:r>
    </w:p>
    <w:p w14:paraId="5E4A8AD4" w14:textId="3461EEFA" w:rsidR="00B12337" w:rsidRPr="00B12337" w:rsidRDefault="00B12337" w:rsidP="00D472C1">
      <w:pPr>
        <w:pStyle w:val="ListBullet"/>
      </w:pPr>
      <w:r w:rsidRPr="00B12337">
        <w:t>Discontinued due to progressive disease: 77</w:t>
      </w:r>
    </w:p>
    <w:p w14:paraId="7DEF992B" w14:textId="2B4C871A" w:rsidR="00B12337" w:rsidRDefault="00B12337" w:rsidP="00D472C1">
      <w:pPr>
        <w:pStyle w:val="ListBullet"/>
      </w:pPr>
      <w:r w:rsidRPr="00B12337">
        <w:t>Discontinued because of adverse event: 24</w:t>
      </w:r>
    </w:p>
    <w:p w14:paraId="31E7A951" w14:textId="5DF8DF26" w:rsidR="00D472C1" w:rsidRPr="00D472C1" w:rsidRDefault="00D472C1" w:rsidP="00781F5F">
      <w:r w:rsidRPr="00781F5F">
        <w:rPr>
          <w:i/>
        </w:rPr>
        <w:t>Cohort 2</w:t>
      </w:r>
      <w:r w:rsidR="00AC03E1">
        <w:t>:</w:t>
      </w:r>
    </w:p>
    <w:p w14:paraId="65C0DDED" w14:textId="2F95A499" w:rsidR="00D472C1" w:rsidRPr="00D472C1" w:rsidRDefault="00D472C1" w:rsidP="00D472C1">
      <w:pPr>
        <w:pStyle w:val="ListBullet"/>
      </w:pPr>
      <w:r w:rsidRPr="00D472C1">
        <w:t>Total enrolled</w:t>
      </w:r>
      <w:r w:rsidR="00AC03E1">
        <w:t>:</w:t>
      </w:r>
      <w:r w:rsidRPr="00D472C1">
        <w:t xml:space="preserve"> 91</w:t>
      </w:r>
      <w:r w:rsidR="00AC03E1">
        <w:t xml:space="preserve"> subjects;</w:t>
      </w:r>
      <w:r w:rsidRPr="00D472C1">
        <w:t xml:space="preserve"> total treated</w:t>
      </w:r>
      <w:r w:rsidR="00AC03E1">
        <w:t>:</w:t>
      </w:r>
      <w:r w:rsidRPr="00D472C1">
        <w:t xml:space="preserve"> 89</w:t>
      </w:r>
    </w:p>
    <w:p w14:paraId="330EBA1F" w14:textId="50F35057" w:rsidR="00D472C1" w:rsidRPr="00D472C1" w:rsidRDefault="00D472C1" w:rsidP="00D472C1">
      <w:pPr>
        <w:pStyle w:val="ListBullet"/>
      </w:pPr>
      <w:r w:rsidRPr="00D472C1">
        <w:t>Ongoing in study on treatment: 16</w:t>
      </w:r>
    </w:p>
    <w:p w14:paraId="5706F5C0" w14:textId="2AA2017D" w:rsidR="00D472C1" w:rsidRPr="00D472C1" w:rsidRDefault="00D472C1" w:rsidP="00D472C1">
      <w:pPr>
        <w:pStyle w:val="ListBullet"/>
      </w:pPr>
      <w:r w:rsidRPr="00D472C1">
        <w:t>Discontinued because died: 44</w:t>
      </w:r>
    </w:p>
    <w:p w14:paraId="410EB352" w14:textId="73730E69" w:rsidR="00D472C1" w:rsidRPr="00D472C1" w:rsidRDefault="00D472C1" w:rsidP="00D472C1">
      <w:pPr>
        <w:pStyle w:val="ListBullet"/>
      </w:pPr>
      <w:r w:rsidRPr="00D472C1">
        <w:t>Discontinued due to progressive disease: 45</w:t>
      </w:r>
    </w:p>
    <w:p w14:paraId="2482BCE6" w14:textId="77E0B714" w:rsidR="00D472C1" w:rsidRDefault="00D472C1" w:rsidP="00D472C1">
      <w:pPr>
        <w:pStyle w:val="ListBullet"/>
      </w:pPr>
      <w:r w:rsidRPr="00D472C1">
        <w:t>Discontinued because of adverse event: 21</w:t>
      </w:r>
    </w:p>
    <w:p w14:paraId="02DC6B30" w14:textId="24670EAE" w:rsidR="00D472C1" w:rsidRDefault="00D472C1" w:rsidP="00D472C1">
      <w:pPr>
        <w:pStyle w:val="Heading5"/>
      </w:pPr>
      <w:r>
        <w:t>Key inclusion criteria</w:t>
      </w:r>
    </w:p>
    <w:p w14:paraId="4B03A677" w14:textId="71D64450" w:rsidR="00D472C1" w:rsidRPr="00D472C1" w:rsidRDefault="00D472C1" w:rsidP="00D472C1">
      <w:pPr>
        <w:pStyle w:val="ListBullet"/>
      </w:pPr>
      <w:r>
        <w:t>H</w:t>
      </w:r>
      <w:r w:rsidRPr="00D472C1">
        <w:t>istologically or cytologically confirmed urothelial carcinoma (</w:t>
      </w:r>
      <w:r>
        <w:t>that is</w:t>
      </w:r>
      <w:r w:rsidRPr="00D472C1">
        <w:t xml:space="preserve">, cancer of the bladder, renal pelvis, ureter, or urethra). Urothelial carcinoma (transitional cell) with squamous differentiation or mixed cell types were eligible. </w:t>
      </w:r>
      <w:proofErr w:type="spellStart"/>
      <w:r w:rsidRPr="00D472C1">
        <w:t>Resectable</w:t>
      </w:r>
      <w:proofErr w:type="spellEnd"/>
      <w:r w:rsidRPr="00D472C1">
        <w:t xml:space="preserve"> local disease ineligible</w:t>
      </w:r>
      <w:r>
        <w:t>.</w:t>
      </w:r>
    </w:p>
    <w:p w14:paraId="743011FE" w14:textId="74D79E57" w:rsidR="00D472C1" w:rsidRDefault="00D472C1" w:rsidP="00C97FFB">
      <w:pPr>
        <w:pStyle w:val="ListBullet"/>
      </w:pPr>
      <w:r>
        <w:t>R</w:t>
      </w:r>
      <w:r w:rsidRPr="00D472C1">
        <w:t xml:space="preserve">eceived prior treatment with a </w:t>
      </w:r>
      <w:r>
        <w:t>checkpoint inhibitor</w:t>
      </w:r>
      <w:r w:rsidRPr="00D472C1">
        <w:t xml:space="preserve"> in the locally advanced or metastatic urothelial cancer setting. If received </w:t>
      </w:r>
      <w:r>
        <w:t>checkpoint inhibitor</w:t>
      </w:r>
      <w:r w:rsidRPr="00D472C1">
        <w:t xml:space="preserve"> therapy in the neoadjuvant/adjuvant</w:t>
      </w:r>
      <w:r>
        <w:t xml:space="preserve"> s</w:t>
      </w:r>
      <w:r w:rsidRPr="00D472C1">
        <w:t xml:space="preserve">etting and had recurrent or </w:t>
      </w:r>
      <w:r w:rsidR="00EC3CD4">
        <w:t>progressive disease</w:t>
      </w:r>
      <w:r w:rsidRPr="00D472C1">
        <w:t xml:space="preserve"> either during therapy or </w:t>
      </w:r>
      <w:r>
        <w:t>less than</w:t>
      </w:r>
      <w:r w:rsidRPr="00D472C1">
        <w:t xml:space="preserve"> </w:t>
      </w:r>
      <w:r>
        <w:t>three</w:t>
      </w:r>
      <w:r w:rsidRPr="00D472C1">
        <w:t xml:space="preserve"> months of therapy </w:t>
      </w:r>
      <w:proofErr w:type="gramStart"/>
      <w:r w:rsidRPr="00D472C1">
        <w:t>completion</w:t>
      </w:r>
      <w:proofErr w:type="gramEnd"/>
      <w:r w:rsidRPr="00D472C1">
        <w:t xml:space="preserve"> then were eligible</w:t>
      </w:r>
      <w:r>
        <w:t>.</w:t>
      </w:r>
    </w:p>
    <w:p w14:paraId="1ED15691" w14:textId="1AD85BB9" w:rsidR="00077646" w:rsidRPr="00C83B05" w:rsidRDefault="00077646" w:rsidP="00077646">
      <w:pPr>
        <w:pStyle w:val="ListBullet"/>
        <w:rPr>
          <w:color w:val="12220E" w:themeColor="accent6" w:themeShade="80"/>
        </w:rPr>
      </w:pPr>
      <w:r w:rsidRPr="00BE2B25">
        <w:t xml:space="preserve">setting and had recurrent or </w:t>
      </w:r>
      <w:r w:rsidR="00AC03E1">
        <w:t>progressive disease</w:t>
      </w:r>
      <w:r w:rsidR="00AC03E1" w:rsidRPr="00BE2B25">
        <w:t xml:space="preserve"> </w:t>
      </w:r>
      <w:r w:rsidRPr="00BE2B25">
        <w:t xml:space="preserve">either during therapy or </w:t>
      </w:r>
      <w:r w:rsidR="0026384C">
        <w:t>less than</w:t>
      </w:r>
      <w:r w:rsidRPr="00BE2B25">
        <w:t xml:space="preserve"> 3 months of therapy</w:t>
      </w:r>
      <w:r>
        <w:t xml:space="preserve"> </w:t>
      </w:r>
      <w:r w:rsidRPr="00BE2B25">
        <w:t>completion then were eligible</w:t>
      </w:r>
    </w:p>
    <w:p w14:paraId="732F3C0D" w14:textId="1CD2EEFE" w:rsidR="00D472C1" w:rsidRPr="00D472C1" w:rsidRDefault="00D472C1" w:rsidP="00EC3CD4">
      <w:pPr>
        <w:pStyle w:val="ListBullet"/>
      </w:pPr>
      <w:r w:rsidRPr="00D472C1">
        <w:t>Subjects were one of</w:t>
      </w:r>
      <w:r w:rsidR="00EC3CD4">
        <w:t xml:space="preserve"> either Cohort 1 or Cohort 2.</w:t>
      </w:r>
    </w:p>
    <w:p w14:paraId="5D280DDF" w14:textId="4C87CF8F" w:rsidR="00D472C1" w:rsidRPr="00D472C1" w:rsidRDefault="00EC3CD4" w:rsidP="00EC3CD4">
      <w:pPr>
        <w:pStyle w:val="ListBullet"/>
      </w:pPr>
      <w:r>
        <w:t>P</w:t>
      </w:r>
      <w:r w:rsidR="00D472C1" w:rsidRPr="00D472C1">
        <w:t>rogression or recurrence of urothelial cancer during or following most recent therapy.</w:t>
      </w:r>
    </w:p>
    <w:p w14:paraId="64A90305" w14:textId="397137DB" w:rsidR="00D472C1" w:rsidRPr="00D472C1" w:rsidRDefault="00EC3CD4" w:rsidP="00EC3CD4">
      <w:pPr>
        <w:pStyle w:val="ListBullet"/>
      </w:pPr>
      <w:r>
        <w:t>T</w:t>
      </w:r>
      <w:r w:rsidR="00D472C1" w:rsidRPr="00D472C1">
        <w:t>issue sample available</w:t>
      </w:r>
      <w:r w:rsidR="00881549">
        <w:t>.</w:t>
      </w:r>
    </w:p>
    <w:p w14:paraId="42E5BCF2" w14:textId="40FF9AEE" w:rsidR="00D472C1" w:rsidRPr="00D472C1" w:rsidRDefault="004931F3" w:rsidP="00EC3CD4">
      <w:pPr>
        <w:pStyle w:val="ListBullet"/>
      </w:pPr>
      <w:r>
        <w:t xml:space="preserve">Eastern cooperative oncology group performance status </w:t>
      </w:r>
      <w:r w:rsidR="00AC03E1">
        <w:t>of 1 or less</w:t>
      </w:r>
      <w:r w:rsidR="00D472C1" w:rsidRPr="00D472C1">
        <w:t xml:space="preserve"> (Cohort 1</w:t>
      </w:r>
      <w:proofErr w:type="gramStart"/>
      <w:r w:rsidR="00AC03E1">
        <w:t>);</w:t>
      </w:r>
      <w:r w:rsidR="00D472C1" w:rsidRPr="00D472C1">
        <w:t>,</w:t>
      </w:r>
      <w:proofErr w:type="gramEnd"/>
      <w:r w:rsidR="00D472C1" w:rsidRPr="00D472C1">
        <w:t xml:space="preserve">  2</w:t>
      </w:r>
      <w:r w:rsidR="00AC03E1">
        <w:t xml:space="preserve"> or less</w:t>
      </w:r>
      <w:r w:rsidR="00D472C1" w:rsidRPr="00D472C1">
        <w:t xml:space="preserve"> (Cohort 2)</w:t>
      </w:r>
      <w:r w:rsidR="00881549">
        <w:t>.</w:t>
      </w:r>
      <w:r>
        <w:fldChar w:fldCharType="begin"/>
      </w:r>
      <w:r>
        <w:instrText xml:space="preserve"> NOTEREF _Ref125383910 \f \h </w:instrText>
      </w:r>
      <w:r>
        <w:fldChar w:fldCharType="separate"/>
      </w:r>
      <w:r w:rsidR="00555193" w:rsidRPr="00555193">
        <w:rPr>
          <w:rStyle w:val="FootnoteReference"/>
        </w:rPr>
        <w:t>14</w:t>
      </w:r>
      <w:r>
        <w:fldChar w:fldCharType="end"/>
      </w:r>
    </w:p>
    <w:p w14:paraId="028E597F" w14:textId="56C9CD80" w:rsidR="00D472C1" w:rsidRPr="00D472C1" w:rsidRDefault="00D472C1" w:rsidP="00EC3CD4">
      <w:pPr>
        <w:pStyle w:val="ListBullet"/>
      </w:pPr>
      <w:r w:rsidRPr="00D472C1">
        <w:t>Laboratory data:</w:t>
      </w:r>
    </w:p>
    <w:p w14:paraId="2A0C1EDA" w14:textId="28BE6633" w:rsidR="00D472C1" w:rsidRPr="00D472C1" w:rsidRDefault="00D472C1" w:rsidP="00EC3CD4">
      <w:pPr>
        <w:pStyle w:val="ListBullet2"/>
      </w:pPr>
      <w:r w:rsidRPr="00D472C1">
        <w:t xml:space="preserve">Absolute </w:t>
      </w:r>
      <w:proofErr w:type="gramStart"/>
      <w:r w:rsidRPr="00D472C1">
        <w:t>neutrophil</w:t>
      </w:r>
      <w:proofErr w:type="gramEnd"/>
      <w:r w:rsidRPr="00D472C1">
        <w:t xml:space="preserve"> count </w:t>
      </w:r>
      <w:r w:rsidR="00EC3CD4">
        <w:t>greater than or equal to</w:t>
      </w:r>
      <w:r w:rsidRPr="00D472C1">
        <w:t xml:space="preserve"> 1000</w:t>
      </w:r>
      <w:r w:rsidR="00EC3CD4">
        <w:t xml:space="preserve"> per </w:t>
      </w:r>
      <w:proofErr w:type="spellStart"/>
      <w:r w:rsidRPr="00D472C1">
        <w:t>mL</w:t>
      </w:r>
      <w:r w:rsidR="00EC3CD4">
        <w:t>.</w:t>
      </w:r>
      <w:proofErr w:type="spellEnd"/>
    </w:p>
    <w:p w14:paraId="2E085024" w14:textId="06C86C33" w:rsidR="00D472C1" w:rsidRPr="00D472C1" w:rsidRDefault="00D472C1" w:rsidP="00EC3CD4">
      <w:pPr>
        <w:pStyle w:val="ListBullet2"/>
      </w:pPr>
      <w:r w:rsidRPr="00D472C1">
        <w:lastRenderedPageBreak/>
        <w:t xml:space="preserve">Platelet count </w:t>
      </w:r>
      <w:r w:rsidR="00EC3CD4">
        <w:t>greater than or equal to</w:t>
      </w:r>
      <w:r w:rsidRPr="00D472C1">
        <w:t xml:space="preserve"> 100 </w:t>
      </w:r>
      <w:r w:rsidR="00AC03E1">
        <w:t>x</w:t>
      </w:r>
      <w:r w:rsidR="00AC03E1" w:rsidRPr="00D472C1">
        <w:t xml:space="preserve"> </w:t>
      </w:r>
      <w:r w:rsidRPr="00D472C1">
        <w:t>10</w:t>
      </w:r>
      <w:r w:rsidRPr="0026384C">
        <w:rPr>
          <w:vertAlign w:val="superscript"/>
        </w:rPr>
        <w:t>9</w:t>
      </w:r>
      <w:r w:rsidR="00EC3CD4">
        <w:t xml:space="preserve"> per </w:t>
      </w:r>
      <w:r w:rsidRPr="00D472C1">
        <w:t>L</w:t>
      </w:r>
      <w:r w:rsidR="00EC3CD4">
        <w:t>.</w:t>
      </w:r>
    </w:p>
    <w:p w14:paraId="0FF72F60" w14:textId="74CE71BC" w:rsidR="00D472C1" w:rsidRPr="00D472C1" w:rsidRDefault="00D472C1" w:rsidP="00EC3CD4">
      <w:pPr>
        <w:pStyle w:val="ListBullet2"/>
      </w:pPr>
      <w:r w:rsidRPr="00D472C1">
        <w:t xml:space="preserve">Haemoglobin </w:t>
      </w:r>
      <w:r w:rsidR="00EC3CD4">
        <w:t>greater than or equal to</w:t>
      </w:r>
      <w:r w:rsidRPr="00D472C1">
        <w:t xml:space="preserve"> 9 g/dL</w:t>
      </w:r>
      <w:r w:rsidR="00EC3CD4">
        <w:t>.</w:t>
      </w:r>
    </w:p>
    <w:p w14:paraId="18E1357E" w14:textId="52A3DA4A" w:rsidR="00D472C1" w:rsidRPr="00D472C1" w:rsidRDefault="00D472C1" w:rsidP="00EC3CD4">
      <w:pPr>
        <w:pStyle w:val="ListBullet2"/>
      </w:pPr>
      <w:r w:rsidRPr="00D472C1">
        <w:t xml:space="preserve">Serum total bilirubin 1.5 </w:t>
      </w:r>
      <w:r w:rsidR="00EC3CD4">
        <w:t>time</w:t>
      </w:r>
      <w:r w:rsidR="004B7535">
        <w:t xml:space="preserve">s </w:t>
      </w:r>
      <w:r w:rsidR="00AC03E1">
        <w:t>upper limit of normal (</w:t>
      </w:r>
      <w:r w:rsidR="004B7535" w:rsidRPr="00881549">
        <w:t>ULN</w:t>
      </w:r>
      <w:r w:rsidR="00AC03E1">
        <w:t>)</w:t>
      </w:r>
      <w:r w:rsidRPr="00D472C1">
        <w:t xml:space="preserve"> </w:t>
      </w:r>
      <w:r w:rsidR="00AC03E1">
        <w:t>or less; or</w:t>
      </w:r>
      <w:r w:rsidRPr="00D472C1">
        <w:t xml:space="preserve"> 3</w:t>
      </w:r>
      <w:r w:rsidR="00AC03E1">
        <w:t> </w:t>
      </w:r>
      <w:r w:rsidR="00EC3CD4">
        <w:t xml:space="preserve">times </w:t>
      </w:r>
      <w:r w:rsidR="004B7535">
        <w:t>ULN</w:t>
      </w:r>
      <w:r w:rsidRPr="00D472C1">
        <w:t xml:space="preserve"> </w:t>
      </w:r>
      <w:r w:rsidR="00AC03E1">
        <w:t xml:space="preserve">or less </w:t>
      </w:r>
      <w:r w:rsidRPr="00D472C1">
        <w:t xml:space="preserve">if </w:t>
      </w:r>
      <w:r w:rsidR="00AC03E1">
        <w:t xml:space="preserve">subject had </w:t>
      </w:r>
      <w:r w:rsidRPr="00D472C1">
        <w:t>Gilbert’s disease</w:t>
      </w:r>
      <w:r w:rsidR="00EC3CD4">
        <w:t>.</w:t>
      </w:r>
      <w:r w:rsidR="004B7535">
        <w:fldChar w:fldCharType="begin"/>
      </w:r>
      <w:r w:rsidR="004B7535">
        <w:instrText xml:space="preserve"> NOTEREF _Ref124240419 \f \h </w:instrText>
      </w:r>
      <w:r w:rsidR="004B7535">
        <w:fldChar w:fldCharType="separate"/>
      </w:r>
      <w:r w:rsidR="00555193" w:rsidRPr="00555193">
        <w:rPr>
          <w:rStyle w:val="FootnoteReference"/>
        </w:rPr>
        <w:t>15</w:t>
      </w:r>
      <w:r w:rsidR="004B7535">
        <w:fldChar w:fldCharType="end"/>
      </w:r>
    </w:p>
    <w:p w14:paraId="12CDDE6B" w14:textId="622E59E7" w:rsidR="00D472C1" w:rsidRPr="00D472C1" w:rsidRDefault="00D472C1" w:rsidP="00EC3CD4">
      <w:pPr>
        <w:pStyle w:val="ListBullet2"/>
      </w:pPr>
      <w:r w:rsidRPr="00D472C1">
        <w:t>Creatinine clearance</w:t>
      </w:r>
      <w:r w:rsidR="00881549">
        <w:t xml:space="preserve"> </w:t>
      </w:r>
      <w:r w:rsidR="004B7535">
        <w:t>greater than or equal to</w:t>
      </w:r>
      <w:r w:rsidRPr="00D472C1">
        <w:t xml:space="preserve"> 30 mL</w:t>
      </w:r>
      <w:r w:rsidR="004B7535">
        <w:t xml:space="preserve"> per </w:t>
      </w:r>
      <w:r w:rsidRPr="00D472C1">
        <w:t>min</w:t>
      </w:r>
      <w:r w:rsidR="00881549">
        <w:t>ute</w:t>
      </w:r>
      <w:r w:rsidR="004B7535">
        <w:t>.</w:t>
      </w:r>
    </w:p>
    <w:p w14:paraId="20AAF6EA" w14:textId="4F83F431" w:rsidR="00D472C1" w:rsidRDefault="00881549" w:rsidP="00EC3CD4">
      <w:pPr>
        <w:pStyle w:val="ListBullet2"/>
      </w:pPr>
      <w:r w:rsidRPr="00881549">
        <w:t>Alanine aminotransferase</w:t>
      </w:r>
      <w:r w:rsidR="00D472C1" w:rsidRPr="00D472C1">
        <w:t xml:space="preserve"> and </w:t>
      </w:r>
      <w:r w:rsidRPr="00881549">
        <w:t>aspartate aminotransferase</w:t>
      </w:r>
      <w:r w:rsidR="00D472C1" w:rsidRPr="00D472C1">
        <w:t xml:space="preserve"> 3 </w:t>
      </w:r>
      <w:r w:rsidR="004B7535">
        <w:t>times</w:t>
      </w:r>
      <w:r w:rsidR="00D472C1" w:rsidRPr="00D472C1">
        <w:t xml:space="preserve"> ULN </w:t>
      </w:r>
      <w:r w:rsidR="00AC03E1">
        <w:t xml:space="preserve">or less </w:t>
      </w:r>
      <w:r w:rsidR="00D472C1" w:rsidRPr="00D472C1">
        <w:t>for subjects with liver metastases</w:t>
      </w:r>
      <w:r>
        <w:t>.</w:t>
      </w:r>
    </w:p>
    <w:p w14:paraId="3BEA36D1" w14:textId="533E2F81" w:rsidR="004B7535" w:rsidRDefault="004B7535" w:rsidP="004B7535">
      <w:pPr>
        <w:pStyle w:val="Heading5"/>
      </w:pPr>
      <w:r>
        <w:t>Key exclusion criteria</w:t>
      </w:r>
    </w:p>
    <w:p w14:paraId="12A35EC3" w14:textId="281C5FDA" w:rsidR="004B7535" w:rsidRPr="004B7535" w:rsidRDefault="004B7535" w:rsidP="004B7535">
      <w:pPr>
        <w:pStyle w:val="ListBullet"/>
      </w:pPr>
      <w:r w:rsidRPr="004B7535">
        <w:t xml:space="preserve">Ongoing sensory or motor neuropathy </w:t>
      </w:r>
      <w:r>
        <w:t xml:space="preserve">greater than or equal to </w:t>
      </w:r>
      <w:r w:rsidRPr="004B7535">
        <w:t>Grade 2.</w:t>
      </w:r>
    </w:p>
    <w:p w14:paraId="20772520" w14:textId="480B10F5" w:rsidR="004B7535" w:rsidRDefault="004B7535" w:rsidP="004B7535">
      <w:pPr>
        <w:pStyle w:val="ListBullet"/>
      </w:pPr>
      <w:r>
        <w:t>A</w:t>
      </w:r>
      <w:r w:rsidRPr="004B7535">
        <w:t xml:space="preserve">ctive </w:t>
      </w:r>
      <w:r>
        <w:t>central nervous system</w:t>
      </w:r>
      <w:r w:rsidRPr="004B7535">
        <w:t xml:space="preserve"> metastases. Treated </w:t>
      </w:r>
      <w:r>
        <w:t xml:space="preserve">central nervous system </w:t>
      </w:r>
      <w:r w:rsidRPr="004B7535">
        <w:t>metastases permitted on study if:</w:t>
      </w:r>
    </w:p>
    <w:p w14:paraId="4067373F" w14:textId="77777777" w:rsidR="004B7535" w:rsidRDefault="004B7535" w:rsidP="004B7535">
      <w:pPr>
        <w:pStyle w:val="ListBullet2"/>
      </w:pPr>
      <w:r w:rsidRPr="004B7535">
        <w:t xml:space="preserve">clinically stable for </w:t>
      </w:r>
      <w:r>
        <w:t>greater than or equal to six</w:t>
      </w:r>
      <w:r w:rsidRPr="004B7535">
        <w:t xml:space="preserve"> weeks before screening</w:t>
      </w:r>
    </w:p>
    <w:p w14:paraId="5675ADC5" w14:textId="18B04B5B" w:rsidR="004B7535" w:rsidRDefault="004B7535" w:rsidP="004B7535">
      <w:pPr>
        <w:pStyle w:val="ListBullet2"/>
      </w:pPr>
      <w:r w:rsidRPr="004B7535">
        <w:t xml:space="preserve">on stable steroid dose </w:t>
      </w:r>
      <w:r>
        <w:t>less than or equal to</w:t>
      </w:r>
      <w:r w:rsidRPr="004B7535">
        <w:t xml:space="preserve"> 20 mg</w:t>
      </w:r>
      <w:r>
        <w:t xml:space="preserve"> per </w:t>
      </w:r>
      <w:r w:rsidRPr="004B7535">
        <w:t xml:space="preserve">day of prednisone or equivalent </w:t>
      </w:r>
      <w:r>
        <w:t>greater than or equal to two</w:t>
      </w:r>
      <w:r w:rsidRPr="004B7535">
        <w:t xml:space="preserve"> weeks</w:t>
      </w:r>
    </w:p>
    <w:p w14:paraId="420BA170" w14:textId="77777777" w:rsidR="004B7535" w:rsidRDefault="004B7535" w:rsidP="004B7535">
      <w:pPr>
        <w:pStyle w:val="ListBullet2"/>
      </w:pPr>
      <w:r w:rsidRPr="004B7535">
        <w:t>baseline scans showed no evidence of new or enlarged brain metastasis</w:t>
      </w:r>
    </w:p>
    <w:p w14:paraId="15D7FEA4" w14:textId="533D224C" w:rsidR="004B7535" w:rsidRPr="004B7535" w:rsidRDefault="004B7535" w:rsidP="004B7535">
      <w:pPr>
        <w:pStyle w:val="ListBullet2"/>
      </w:pPr>
      <w:r w:rsidRPr="004B7535">
        <w:t>no leptomeningeal disease</w:t>
      </w:r>
    </w:p>
    <w:p w14:paraId="1A508E08" w14:textId="590C48E4" w:rsidR="004B7535" w:rsidRPr="004B7535" w:rsidRDefault="004B7535" w:rsidP="004B7535">
      <w:pPr>
        <w:pStyle w:val="ListBullet"/>
      </w:pPr>
      <w:r>
        <w:t>O</w:t>
      </w:r>
      <w:r w:rsidRPr="004B7535">
        <w:t>ngoing clinically significant toxicity (generally, with exceptions); ongoing Grade 3</w:t>
      </w:r>
      <w:r w:rsidR="00AC03E1">
        <w:t xml:space="preserve"> or higher</w:t>
      </w:r>
      <w:r w:rsidRPr="004B7535">
        <w:t xml:space="preserve"> immunotherapy</w:t>
      </w:r>
      <w:r>
        <w:t xml:space="preserve"> </w:t>
      </w:r>
      <w:r w:rsidRPr="004B7535">
        <w:t xml:space="preserve">related hypothyroidism or panhypopituitarism excluded; ongoing immunotherapy related colitis, uveitis, myocarditis, or pneumonitis or other immunotherapy related AEs requiring </w:t>
      </w:r>
      <w:r>
        <w:t>greater than</w:t>
      </w:r>
      <w:r w:rsidRPr="004B7535">
        <w:t xml:space="preserve"> 20 mg</w:t>
      </w:r>
      <w:r>
        <w:t xml:space="preserve"> per </w:t>
      </w:r>
      <w:r w:rsidRPr="004B7535">
        <w:t>day of prednisone or equivalent excluded.</w:t>
      </w:r>
    </w:p>
    <w:p w14:paraId="1F658214" w14:textId="62BC6814" w:rsidR="004B7535" w:rsidRPr="004B7535" w:rsidRDefault="004B7535" w:rsidP="004B7535">
      <w:pPr>
        <w:pStyle w:val="ListBullet"/>
      </w:pPr>
      <w:r w:rsidRPr="004B7535">
        <w:t xml:space="preserve">Had received </w:t>
      </w:r>
      <w:r>
        <w:t>greater than one</w:t>
      </w:r>
      <w:r w:rsidRPr="004B7535">
        <w:t xml:space="preserve"> prior chemotherapy regimen for locally advanced or </w:t>
      </w:r>
      <w:r w:rsidRPr="00A66590">
        <w:t>metastatic urothelial cancer</w:t>
      </w:r>
      <w:r w:rsidRPr="004B7535">
        <w:t xml:space="preserve">, including chemotherapy for adjuvant or neoadjuvant disease if recurrence occurred </w:t>
      </w:r>
      <w:r>
        <w:t xml:space="preserve">less than </w:t>
      </w:r>
      <w:r w:rsidRPr="004B7535">
        <w:t>12 months of therapy. Substitution of carboplatin for cisplatin was not considered a new regimen if no new chemotherapeutic agents were added to the regimen.</w:t>
      </w:r>
    </w:p>
    <w:p w14:paraId="143C0373" w14:textId="583DB1D9" w:rsidR="004B7535" w:rsidRPr="004B7535" w:rsidRDefault="004B7535" w:rsidP="00CE670E">
      <w:pPr>
        <w:pStyle w:val="ListBullet"/>
      </w:pPr>
      <w:r w:rsidRPr="004B7535">
        <w:t xml:space="preserve">Another malignancy in </w:t>
      </w:r>
      <w:r w:rsidR="00CE670E">
        <w:t xml:space="preserve">less than three </w:t>
      </w:r>
      <w:r w:rsidRPr="004B7535">
        <w:t>3 years (except nonmelanoma skin cancer, localised prostate cancer treated with curative intent or under active surveillance, carcinoma</w:t>
      </w:r>
      <w:r w:rsidR="002806B7">
        <w:t xml:space="preserve"> </w:t>
      </w:r>
      <w:r w:rsidRPr="004931F3">
        <w:rPr>
          <w:i/>
          <w:iCs/>
        </w:rPr>
        <w:t>in-situ</w:t>
      </w:r>
      <w:r w:rsidRPr="004B7535">
        <w:t xml:space="preserve"> of any type</w:t>
      </w:r>
      <w:r w:rsidR="00CE670E">
        <w:t>).</w:t>
      </w:r>
    </w:p>
    <w:p w14:paraId="5B63D089" w14:textId="04182218" w:rsidR="00CE670E" w:rsidRDefault="004B7535" w:rsidP="00C97FFB">
      <w:pPr>
        <w:pStyle w:val="ListBullet"/>
      </w:pPr>
      <w:r w:rsidRPr="004B7535">
        <w:t xml:space="preserve">History of a stroke, </w:t>
      </w:r>
      <w:r w:rsidR="00CE670E">
        <w:t>t</w:t>
      </w:r>
      <w:r w:rsidR="00CE670E" w:rsidRPr="00A66590">
        <w:t>ransient ischemic attack</w:t>
      </w:r>
      <w:r w:rsidRPr="004B7535">
        <w:t xml:space="preserve">, unstable angina, myocardial infarction, of symptoms consistent with </w:t>
      </w:r>
      <w:r w:rsidR="00CE670E" w:rsidRPr="00CE670E">
        <w:t>New York Heart Association class III to IV within six months of first dose of study drug</w:t>
      </w:r>
      <w:r w:rsidR="00CE670E">
        <w:t>.</w:t>
      </w:r>
      <w:r w:rsidR="00CE670E">
        <w:fldChar w:fldCharType="begin"/>
      </w:r>
      <w:r w:rsidR="00CE670E">
        <w:instrText xml:space="preserve"> NOTEREF _Ref124259472 \f \h </w:instrText>
      </w:r>
      <w:r w:rsidR="00CE670E">
        <w:fldChar w:fldCharType="separate"/>
      </w:r>
      <w:r w:rsidR="00555193" w:rsidRPr="00555193">
        <w:rPr>
          <w:rStyle w:val="FootnoteReference"/>
        </w:rPr>
        <w:t>16</w:t>
      </w:r>
      <w:r w:rsidR="00CE670E">
        <w:fldChar w:fldCharType="end"/>
      </w:r>
    </w:p>
    <w:p w14:paraId="53C308EC" w14:textId="0659466F" w:rsidR="004B7535" w:rsidRPr="004B7535" w:rsidRDefault="004B7535" w:rsidP="00C97FFB">
      <w:pPr>
        <w:pStyle w:val="ListBullet"/>
      </w:pPr>
      <w:r w:rsidRPr="004B7535">
        <w:t>Active infection</w:t>
      </w:r>
      <w:r w:rsidR="00CE670E">
        <w:t>.</w:t>
      </w:r>
    </w:p>
    <w:p w14:paraId="7C3A38BF" w14:textId="76A2ACDD" w:rsidR="004B7535" w:rsidRPr="004B7535" w:rsidRDefault="004B7535" w:rsidP="00CE670E">
      <w:pPr>
        <w:pStyle w:val="ListBullet"/>
      </w:pPr>
      <w:r w:rsidRPr="004B7535">
        <w:t xml:space="preserve">Uncontrolled diabetes HbA1C </w:t>
      </w:r>
      <w:r w:rsidR="00CE670E">
        <w:t>greater than or equal to</w:t>
      </w:r>
      <w:r w:rsidRPr="004B7535">
        <w:t xml:space="preserve"> 8% or 7</w:t>
      </w:r>
      <w:r w:rsidR="00CE670E">
        <w:t xml:space="preserve"> to </w:t>
      </w:r>
      <w:r w:rsidRPr="004B7535">
        <w:t>8% if symptomatic</w:t>
      </w:r>
      <w:r w:rsidR="00CE670E">
        <w:t>.</w:t>
      </w:r>
    </w:p>
    <w:p w14:paraId="609FF09E" w14:textId="05194C4B" w:rsidR="004B7535" w:rsidRPr="004B7535" w:rsidRDefault="004B7535" w:rsidP="00CE670E">
      <w:pPr>
        <w:pStyle w:val="ListBullet"/>
      </w:pPr>
      <w:r w:rsidRPr="004B7535">
        <w:t>Uncontrolled tumour</w:t>
      </w:r>
      <w:r w:rsidR="00CE670E">
        <w:t xml:space="preserve"> </w:t>
      </w:r>
      <w:r w:rsidRPr="004B7535">
        <w:t>related bone</w:t>
      </w:r>
      <w:r w:rsidR="00CE670E">
        <w:t xml:space="preserve"> </w:t>
      </w:r>
      <w:r w:rsidRPr="004B7535">
        <w:t xml:space="preserve">pain or impending spinal cord compression (could be on stable pain medication regimen for </w:t>
      </w:r>
      <w:r w:rsidR="00CE670E">
        <w:t>greater than or equal to two</w:t>
      </w:r>
      <w:r w:rsidRPr="004B7535">
        <w:t xml:space="preserve"> weeks)</w:t>
      </w:r>
      <w:r w:rsidR="00881549">
        <w:t>.</w:t>
      </w:r>
    </w:p>
    <w:p w14:paraId="72DED9B4" w14:textId="3690969D" w:rsidR="004B7535" w:rsidRPr="004B7535" w:rsidRDefault="004B7535" w:rsidP="00CE670E">
      <w:pPr>
        <w:pStyle w:val="ListBullet"/>
      </w:pPr>
      <w:r w:rsidRPr="004B7535">
        <w:t xml:space="preserve">Radiotherapy or surgery </w:t>
      </w:r>
      <w:r w:rsidR="00CE670E">
        <w:t>less than or equal to four</w:t>
      </w:r>
      <w:r w:rsidRPr="004B7535">
        <w:t xml:space="preserve"> weeks prior</w:t>
      </w:r>
      <w:r w:rsidR="00881549">
        <w:t>.</w:t>
      </w:r>
    </w:p>
    <w:p w14:paraId="13B15257" w14:textId="63EED5CE" w:rsidR="004B7535" w:rsidRDefault="004B7535" w:rsidP="00CE670E">
      <w:pPr>
        <w:pStyle w:val="ListBullet"/>
      </w:pPr>
      <w:r w:rsidRPr="004B7535">
        <w:t>Know</w:t>
      </w:r>
      <w:r w:rsidR="00CE670E">
        <w:t>n</w:t>
      </w:r>
      <w:r w:rsidRPr="004B7535">
        <w:t xml:space="preserve"> hypersensitivity to study drug</w:t>
      </w:r>
      <w:r w:rsidR="00881549">
        <w:t>.</w:t>
      </w:r>
    </w:p>
    <w:p w14:paraId="5DAB08CE" w14:textId="17ADA738" w:rsidR="00CE670E" w:rsidRDefault="00CE670E" w:rsidP="00CE670E">
      <w:pPr>
        <w:pStyle w:val="Heading5"/>
      </w:pPr>
      <w:r>
        <w:t>Efficacy endpoints</w:t>
      </w:r>
    </w:p>
    <w:p w14:paraId="7BF4D22D" w14:textId="4D7A614F" w:rsidR="00CE670E" w:rsidRDefault="00CE670E" w:rsidP="00CE670E">
      <w:r w:rsidRPr="00CE670E">
        <w:t xml:space="preserve">Antitumor effect was assessed with scans every </w:t>
      </w:r>
      <w:r>
        <w:t>eight</w:t>
      </w:r>
      <w:r w:rsidRPr="00CE670E">
        <w:t xml:space="preserve"> weeks after </w:t>
      </w:r>
      <w:r w:rsidR="00D4709D">
        <w:t>cycle one day one</w:t>
      </w:r>
      <w:r w:rsidRPr="00CE670E">
        <w:t xml:space="preserve"> for </w:t>
      </w:r>
      <w:r>
        <w:t>one</w:t>
      </w:r>
      <w:r w:rsidRPr="00CE670E">
        <w:t xml:space="preserve"> year and then every 12 weeks until progression.</w:t>
      </w:r>
    </w:p>
    <w:p w14:paraId="19E8928A" w14:textId="5C8D38B2" w:rsidR="00CE670E" w:rsidRDefault="00CE670E" w:rsidP="00CE670E">
      <w:r>
        <w:t>Primary endpoint was the overall response rate</w:t>
      </w:r>
      <w:r w:rsidR="00881549">
        <w:t>.</w:t>
      </w:r>
    </w:p>
    <w:p w14:paraId="3A804B4C" w14:textId="7E3A3B31" w:rsidR="00CE670E" w:rsidRDefault="00CE670E" w:rsidP="00CE670E">
      <w:r w:rsidRPr="00781F5F">
        <w:rPr>
          <w:i/>
        </w:rPr>
        <w:t>Key secondary endpoints</w:t>
      </w:r>
      <w:r>
        <w:t>:</w:t>
      </w:r>
    </w:p>
    <w:p w14:paraId="1AFDB399" w14:textId="30C4DDFB" w:rsidR="00A40EE1" w:rsidRDefault="00A40EE1" w:rsidP="00A40EE1">
      <w:pPr>
        <w:pStyle w:val="ListBullet"/>
      </w:pPr>
      <w:r>
        <w:lastRenderedPageBreak/>
        <w:t>Duration or response (time from documented complete response or partial response until disease progression per RECIST version 1.1 by investigator</w:t>
      </w:r>
      <w:r w:rsidR="00881549">
        <w:t>)</w:t>
      </w:r>
      <w:r>
        <w:t>.</w:t>
      </w:r>
    </w:p>
    <w:p w14:paraId="34316C99" w14:textId="670BEEE6" w:rsidR="00A40EE1" w:rsidRDefault="00A40EE1" w:rsidP="00A40EE1">
      <w:pPr>
        <w:pStyle w:val="ListBullet"/>
      </w:pPr>
      <w:r>
        <w:t>Progression free survival per RECIST version 1.1 by investigator.</w:t>
      </w:r>
    </w:p>
    <w:p w14:paraId="4FD8CCB7" w14:textId="795E13C9" w:rsidR="00A40EE1" w:rsidRDefault="00A40EE1" w:rsidP="00A40EE1">
      <w:pPr>
        <w:pStyle w:val="ListBullet"/>
      </w:pPr>
      <w:r>
        <w:t>Overall survival.</w:t>
      </w:r>
    </w:p>
    <w:p w14:paraId="24F50E13" w14:textId="4AB0F77D" w:rsidR="00CE670E" w:rsidRDefault="00CE670E" w:rsidP="00CE670E">
      <w:pPr>
        <w:pStyle w:val="Heading5"/>
      </w:pPr>
      <w:r>
        <w:t>Statistics</w:t>
      </w:r>
    </w:p>
    <w:p w14:paraId="021355F3" w14:textId="475543D2" w:rsidR="00CE670E" w:rsidRDefault="00AC03E1" w:rsidP="00CE670E">
      <w:r>
        <w:t>The s</w:t>
      </w:r>
      <w:r w:rsidR="00CE670E">
        <w:t xml:space="preserve">ample size was 200 patients, 100 in each cohort. </w:t>
      </w:r>
      <w:r w:rsidR="00CE670E" w:rsidRPr="00CE670E">
        <w:t xml:space="preserve">Using the estimate of approximately 100 subjects in Cohort 1, the study had a 98% power to detect a 15% increase in </w:t>
      </w:r>
      <w:r w:rsidR="00D4709D">
        <w:t>overall response rate</w:t>
      </w:r>
      <w:r w:rsidR="00CE670E" w:rsidRPr="00CE670E">
        <w:t xml:space="preserve"> from 10% to 25%, and 81% power to detect a 10% increase in</w:t>
      </w:r>
      <w:r w:rsidR="00D4709D">
        <w:t xml:space="preserve"> overall response rate</w:t>
      </w:r>
      <w:r w:rsidR="00CE670E" w:rsidRPr="00CE670E">
        <w:t xml:space="preserve"> from 10% to 20%, at a </w:t>
      </w:r>
      <w:proofErr w:type="gramStart"/>
      <w:r w:rsidR="00CE670E" w:rsidRPr="00CE670E">
        <w:t>one</w:t>
      </w:r>
      <w:r w:rsidR="00CE670E">
        <w:t xml:space="preserve"> </w:t>
      </w:r>
      <w:r w:rsidR="00CE670E" w:rsidRPr="00CE670E">
        <w:t>sided</w:t>
      </w:r>
      <w:proofErr w:type="gramEnd"/>
      <w:r w:rsidR="00CE670E" w:rsidRPr="00CE670E">
        <w:t xml:space="preserve"> significant level of 0.025</w:t>
      </w:r>
      <w:r w:rsidR="00CE670E">
        <w:t>.</w:t>
      </w:r>
    </w:p>
    <w:p w14:paraId="76C86384" w14:textId="2929FC42" w:rsidR="00CE670E" w:rsidRDefault="00CE670E" w:rsidP="00CE670E">
      <w:proofErr w:type="gramStart"/>
      <w:r>
        <w:t xml:space="preserve">Two </w:t>
      </w:r>
      <w:r w:rsidRPr="00CE670E">
        <w:t>sided</w:t>
      </w:r>
      <w:proofErr w:type="gramEnd"/>
      <w:r w:rsidRPr="00CE670E">
        <w:t xml:space="preserve"> 95% exact CI using the Clopper-Pearson method were calculated for response rates; for time-to-event endpoints, the median survival time was estimated using the Kaplan-Meier method; the associated 95% CI was calculated based on the complementary lo</w:t>
      </w:r>
      <w:r>
        <w:t>g</w:t>
      </w:r>
      <w:r w:rsidRPr="00CE670E">
        <w:t>-log transformation</w:t>
      </w:r>
      <w:r>
        <w:t>.</w:t>
      </w:r>
    </w:p>
    <w:p w14:paraId="4ABF3BBB" w14:textId="4CC6B867" w:rsidR="00A40EE1" w:rsidRDefault="00A40EE1" w:rsidP="00A40EE1">
      <w:pPr>
        <w:pStyle w:val="Heading5"/>
      </w:pPr>
      <w:r>
        <w:t>Analysis populations</w:t>
      </w:r>
    </w:p>
    <w:p w14:paraId="7E9D33C3" w14:textId="2D17A5D5" w:rsidR="00A40EE1" w:rsidRDefault="00A40EE1" w:rsidP="00CE670E">
      <w:r>
        <w:t>Full analys</w:t>
      </w:r>
      <w:r w:rsidR="00AC03E1">
        <w:t>i</w:t>
      </w:r>
      <w:r>
        <w:t xml:space="preserve">s set and safety analysis set: all enrolled who received any study drug. </w:t>
      </w:r>
    </w:p>
    <w:p w14:paraId="7B0B0746" w14:textId="6A8DB6F7" w:rsidR="00A40EE1" w:rsidRDefault="00A40EE1" w:rsidP="00A40EE1">
      <w:pPr>
        <w:pStyle w:val="Heading5"/>
      </w:pPr>
      <w:r>
        <w:t>Protocol amendments and deviations</w:t>
      </w:r>
    </w:p>
    <w:p w14:paraId="0FC6F70E" w14:textId="7F41AE59" w:rsidR="00A40EE1" w:rsidRDefault="00AC03E1" w:rsidP="00A40EE1">
      <w:r>
        <w:t>There were n</w:t>
      </w:r>
      <w:r w:rsidR="00A40EE1">
        <w:t>umerous amendments to study procedures including those relating to ocular examinations</w:t>
      </w:r>
      <w:r w:rsidR="00D4709D">
        <w:t>.</w:t>
      </w:r>
    </w:p>
    <w:p w14:paraId="5F0097D2" w14:textId="620BE0B4" w:rsidR="00A40EE1" w:rsidRDefault="00A40EE1" w:rsidP="00A40EE1">
      <w:r w:rsidRPr="00781F5F">
        <w:rPr>
          <w:i/>
        </w:rPr>
        <w:t>Amendment four</w:t>
      </w:r>
      <w:r>
        <w:t>: revised study design to consist of two separate cohorts.</w:t>
      </w:r>
    </w:p>
    <w:p w14:paraId="34CD34EC" w14:textId="69DB7371" w:rsidR="00A40EE1" w:rsidRDefault="00A40EE1" w:rsidP="00A40EE1">
      <w:r w:rsidRPr="00781F5F">
        <w:rPr>
          <w:i/>
        </w:rPr>
        <w:t>Amendment five</w:t>
      </w:r>
      <w:r>
        <w:t>: allowed patients with ECOG 2 to enter Cohort 2.</w:t>
      </w:r>
    </w:p>
    <w:p w14:paraId="3F740F36" w14:textId="1DFBF9C5" w:rsidR="00A40EE1" w:rsidRDefault="00A40EE1" w:rsidP="00A40EE1">
      <w:r w:rsidRPr="00781F5F">
        <w:rPr>
          <w:i/>
        </w:rPr>
        <w:t>Amendment six</w:t>
      </w:r>
      <w:r>
        <w:t>: revised timing of Cohort 2 interim analysis to greater than eight months from the first dose of enfortumab vedotin.</w:t>
      </w:r>
    </w:p>
    <w:p w14:paraId="52C4FF94" w14:textId="07303368" w:rsidR="00A40EE1" w:rsidRDefault="00A40EE1" w:rsidP="00A40EE1">
      <w:r w:rsidRPr="00781F5F">
        <w:rPr>
          <w:i/>
        </w:rPr>
        <w:t>Major protocol deviations</w:t>
      </w:r>
      <w:r>
        <w:t>: reported in 6% of Cohort 1 and 2.4% of Arm B.</w:t>
      </w:r>
    </w:p>
    <w:p w14:paraId="31D0F315" w14:textId="55BE5A76" w:rsidR="00CE670E" w:rsidRDefault="00326258" w:rsidP="00A40EE1">
      <w:pPr>
        <w:pStyle w:val="Heading5"/>
      </w:pPr>
      <w:r>
        <w:t xml:space="preserve">Outcomes for </w:t>
      </w:r>
      <w:r w:rsidR="00A40EE1">
        <w:t>Cohort 2</w:t>
      </w:r>
      <w:r>
        <w:t xml:space="preserve"> population</w:t>
      </w:r>
    </w:p>
    <w:p w14:paraId="50D96D32" w14:textId="09900A36" w:rsidR="00550DCA" w:rsidRDefault="00550DCA" w:rsidP="00550DCA">
      <w:r w:rsidRPr="00550DCA">
        <w:t xml:space="preserve">The </w:t>
      </w:r>
      <w:r w:rsidR="00D4709D">
        <w:t>b</w:t>
      </w:r>
      <w:r w:rsidRPr="00550DCA">
        <w:t xml:space="preserve">aseline </w:t>
      </w:r>
      <w:r w:rsidR="00D4709D">
        <w:t>d</w:t>
      </w:r>
      <w:r w:rsidRPr="00550DCA">
        <w:t xml:space="preserve">emographics, tumour characteristics and prior treatments are summarised in </w:t>
      </w:r>
      <w:r>
        <w:fldChar w:fldCharType="begin"/>
      </w:r>
      <w:r>
        <w:instrText xml:space="preserve"> REF _Ref124406093 \h </w:instrText>
      </w:r>
      <w:r>
        <w:fldChar w:fldCharType="separate"/>
      </w:r>
      <w:r w:rsidR="00555193">
        <w:t xml:space="preserve">Table </w:t>
      </w:r>
      <w:r w:rsidR="00555193">
        <w:rPr>
          <w:noProof/>
        </w:rPr>
        <w:t>9</w:t>
      </w:r>
      <w:r>
        <w:fldChar w:fldCharType="end"/>
      </w:r>
      <w:r>
        <w:t xml:space="preserve">, </w:t>
      </w:r>
      <w:r>
        <w:fldChar w:fldCharType="begin"/>
      </w:r>
      <w:r>
        <w:instrText xml:space="preserve"> REF _Ref124406105 \h </w:instrText>
      </w:r>
      <w:r>
        <w:fldChar w:fldCharType="separate"/>
      </w:r>
      <w:r w:rsidR="00555193">
        <w:t xml:space="preserve">Table </w:t>
      </w:r>
      <w:r w:rsidR="00555193">
        <w:rPr>
          <w:noProof/>
        </w:rPr>
        <w:t>10</w:t>
      </w:r>
      <w:r>
        <w:fldChar w:fldCharType="end"/>
      </w:r>
      <w:r>
        <w:t xml:space="preserve"> and </w:t>
      </w:r>
      <w:r>
        <w:fldChar w:fldCharType="begin"/>
      </w:r>
      <w:r>
        <w:instrText xml:space="preserve"> REF _Ref124406114 \h </w:instrText>
      </w:r>
      <w:r>
        <w:fldChar w:fldCharType="separate"/>
      </w:r>
      <w:r w:rsidR="00555193">
        <w:t xml:space="preserve">Table </w:t>
      </w:r>
      <w:r w:rsidR="00555193">
        <w:rPr>
          <w:noProof/>
        </w:rPr>
        <w:t>11</w:t>
      </w:r>
      <w:r>
        <w:fldChar w:fldCharType="end"/>
      </w:r>
      <w:r w:rsidRPr="00550DCA">
        <w:t xml:space="preserve">. </w:t>
      </w:r>
    </w:p>
    <w:p w14:paraId="26681424" w14:textId="29EC9450" w:rsidR="00550DCA" w:rsidRDefault="00550DCA" w:rsidP="008870A3">
      <w:pPr>
        <w:pStyle w:val="Tabletitle0"/>
      </w:pPr>
      <w:bookmarkStart w:id="59" w:name="_Ref124406093"/>
      <w:r>
        <w:lastRenderedPageBreak/>
        <w:t xml:space="preserve">Table </w:t>
      </w:r>
      <w:r w:rsidR="00EA2B2C">
        <w:fldChar w:fldCharType="begin"/>
      </w:r>
      <w:r w:rsidR="00EA2B2C">
        <w:instrText xml:space="preserve"> SEQ Table \* ARABIC </w:instrText>
      </w:r>
      <w:r w:rsidR="00EA2B2C">
        <w:fldChar w:fldCharType="separate"/>
      </w:r>
      <w:r w:rsidR="00555193">
        <w:rPr>
          <w:noProof/>
        </w:rPr>
        <w:t>9</w:t>
      </w:r>
      <w:r w:rsidR="00EA2B2C">
        <w:rPr>
          <w:noProof/>
        </w:rPr>
        <w:fldChar w:fldCharType="end"/>
      </w:r>
      <w:bookmarkEnd w:id="59"/>
      <w:r>
        <w:t xml:space="preserve">: Study EV-201 </w:t>
      </w:r>
      <w:r w:rsidR="00326258">
        <w:t>(</w:t>
      </w:r>
      <w:r>
        <w:t>Cohort 2</w:t>
      </w:r>
      <w:r w:rsidR="00326258">
        <w:t>)</w:t>
      </w:r>
      <w:r>
        <w:t xml:space="preserve"> </w:t>
      </w:r>
      <w:r w:rsidR="00326258">
        <w:t>B</w:t>
      </w:r>
      <w:r>
        <w:t>aseline demographics</w:t>
      </w:r>
    </w:p>
    <w:p w14:paraId="155A42B3" w14:textId="03E63268" w:rsidR="00550DCA" w:rsidRDefault="008870A3" w:rsidP="00550DCA">
      <w:r>
        <w:rPr>
          <w:noProof/>
          <w:lang w:val="en-GB" w:eastAsia="en-GB"/>
        </w:rPr>
        <w:drawing>
          <wp:inline distT="0" distB="0" distL="0" distR="0" wp14:anchorId="4536ACC3" wp14:editId="3688C4EB">
            <wp:extent cx="3824401" cy="6146359"/>
            <wp:effectExtent l="0" t="0" r="5080" b="6985"/>
            <wp:docPr id="23" name="Picture 23" descr="Study EV-201 Cohort 2 baselin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EV-201 Cohort 2 baseline demographics"/>
                    <pic:cNvPicPr>
                      <a:picLocks noChangeAspect="1" noChangeArrowheads="1"/>
                    </pic:cNvPicPr>
                  </pic:nvPicPr>
                  <pic:blipFill rotWithShape="1">
                    <a:blip r:embed="rId36">
                      <a:extLst>
                        <a:ext uri="{28A0092B-C50C-407E-A947-70E740481C1C}">
                          <a14:useLocalDpi xmlns:a14="http://schemas.microsoft.com/office/drawing/2010/main" val="0"/>
                        </a:ext>
                      </a:extLst>
                    </a:blip>
                    <a:srcRect r="7746" b="5996"/>
                    <a:stretch/>
                  </pic:blipFill>
                  <pic:spPr bwMode="auto">
                    <a:xfrm>
                      <a:off x="0" y="0"/>
                      <a:ext cx="3849066" cy="6185999"/>
                    </a:xfrm>
                    <a:prstGeom prst="rect">
                      <a:avLst/>
                    </a:prstGeom>
                    <a:noFill/>
                    <a:ln>
                      <a:noFill/>
                    </a:ln>
                    <a:extLst>
                      <a:ext uri="{53640926-AAD7-44D8-BBD7-CCE9431645EC}">
                        <a14:shadowObscured xmlns:a14="http://schemas.microsoft.com/office/drawing/2010/main"/>
                      </a:ext>
                    </a:extLst>
                  </pic:spPr>
                </pic:pic>
              </a:graphicData>
            </a:graphic>
          </wp:inline>
        </w:drawing>
      </w:r>
    </w:p>
    <w:p w14:paraId="31287E0C" w14:textId="77777777" w:rsidR="008870A3" w:rsidRDefault="008870A3" w:rsidP="009D7033">
      <w:pPr>
        <w:pStyle w:val="TableDescription"/>
      </w:pPr>
      <w:r>
        <w:t>a Baseline HbA1c was not required for subjects enrolled under the original protocol</w:t>
      </w:r>
    </w:p>
    <w:p w14:paraId="20213438" w14:textId="660C24F5" w:rsidR="008870A3" w:rsidRDefault="008870A3" w:rsidP="009D7033">
      <w:pPr>
        <w:pStyle w:val="TableDescription"/>
      </w:pPr>
      <w:r>
        <w:t xml:space="preserve">b </w:t>
      </w:r>
      <w:proofErr w:type="spellStart"/>
      <w:r>
        <w:t>Bellmunt</w:t>
      </w:r>
      <w:proofErr w:type="spellEnd"/>
      <w:r>
        <w:t xml:space="preserve"> risk factors include ECOG performance status greater then 0, </w:t>
      </w:r>
      <w:r w:rsidR="007421D5">
        <w:t>haemoglobin</w:t>
      </w:r>
      <w:r>
        <w:t xml:space="preserve"> less than 10 g/dL, and presence of liver metastasis.</w:t>
      </w:r>
      <w:bookmarkStart w:id="60" w:name="_Ref124411397"/>
      <w:r>
        <w:rPr>
          <w:rStyle w:val="FootnoteReference"/>
        </w:rPr>
        <w:footnoteReference w:id="19"/>
      </w:r>
      <w:bookmarkEnd w:id="60"/>
    </w:p>
    <w:p w14:paraId="086DDE9A" w14:textId="41A92D0D" w:rsidR="009D7033" w:rsidRDefault="00550DCA" w:rsidP="009D7033">
      <w:pPr>
        <w:pStyle w:val="Tabletitle0"/>
      </w:pPr>
      <w:bookmarkStart w:id="61" w:name="_Ref124406105"/>
      <w:r>
        <w:lastRenderedPageBreak/>
        <w:t xml:space="preserve">Table </w:t>
      </w:r>
      <w:r w:rsidR="00EA2B2C">
        <w:fldChar w:fldCharType="begin"/>
      </w:r>
      <w:r w:rsidR="00EA2B2C">
        <w:instrText xml:space="preserve"> SEQ Table \* ARABIC </w:instrText>
      </w:r>
      <w:r w:rsidR="00EA2B2C">
        <w:fldChar w:fldCharType="separate"/>
      </w:r>
      <w:r w:rsidR="00555193">
        <w:rPr>
          <w:noProof/>
        </w:rPr>
        <w:t>10</w:t>
      </w:r>
      <w:r w:rsidR="00EA2B2C">
        <w:rPr>
          <w:noProof/>
        </w:rPr>
        <w:fldChar w:fldCharType="end"/>
      </w:r>
      <w:bookmarkEnd w:id="61"/>
      <w:r w:rsidR="009D7033">
        <w:t xml:space="preserve">: Study EV-201 </w:t>
      </w:r>
      <w:r w:rsidR="00326258">
        <w:t>(</w:t>
      </w:r>
      <w:r w:rsidR="009D7033">
        <w:t>Cohort 2</w:t>
      </w:r>
      <w:r w:rsidR="00326258">
        <w:t>)</w:t>
      </w:r>
      <w:r w:rsidR="009D7033">
        <w:t xml:space="preserve"> </w:t>
      </w:r>
      <w:r w:rsidR="00326258">
        <w:t>Baseline d</w:t>
      </w:r>
      <w:r w:rsidR="009D7033">
        <w:t>isease characteristics</w:t>
      </w:r>
    </w:p>
    <w:p w14:paraId="694AFC49" w14:textId="66766833" w:rsidR="009D7033" w:rsidRDefault="009D7033" w:rsidP="009D7033">
      <w:r>
        <w:rPr>
          <w:noProof/>
          <w:lang w:val="en-GB" w:eastAsia="en-GB"/>
        </w:rPr>
        <w:drawing>
          <wp:inline distT="0" distB="0" distL="0" distR="0" wp14:anchorId="17A6954A" wp14:editId="322A2B9C">
            <wp:extent cx="4004418" cy="3238500"/>
            <wp:effectExtent l="0" t="0" r="0" b="0"/>
            <wp:docPr id="24" name="Picture 24" descr="Study EV-201 Cohort 2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EV-201 Cohort 2 disease characteristics"/>
                    <pic:cNvPicPr>
                      <a:picLocks noChangeAspect="1" noChangeArrowheads="1"/>
                    </pic:cNvPicPr>
                  </pic:nvPicPr>
                  <pic:blipFill rotWithShape="1">
                    <a:blip r:embed="rId37">
                      <a:extLst>
                        <a:ext uri="{28A0092B-C50C-407E-A947-70E740481C1C}">
                          <a14:useLocalDpi xmlns:a14="http://schemas.microsoft.com/office/drawing/2010/main" val="0"/>
                        </a:ext>
                      </a:extLst>
                    </a:blip>
                    <a:srcRect r="20055" b="11537"/>
                    <a:stretch/>
                  </pic:blipFill>
                  <pic:spPr bwMode="auto">
                    <a:xfrm>
                      <a:off x="0" y="0"/>
                      <a:ext cx="4010303" cy="3243260"/>
                    </a:xfrm>
                    <a:prstGeom prst="rect">
                      <a:avLst/>
                    </a:prstGeom>
                    <a:noFill/>
                    <a:ln>
                      <a:noFill/>
                    </a:ln>
                    <a:extLst>
                      <a:ext uri="{53640926-AAD7-44D8-BBD7-CCE9431645EC}">
                        <a14:shadowObscured xmlns:a14="http://schemas.microsoft.com/office/drawing/2010/main"/>
                      </a:ext>
                    </a:extLst>
                  </pic:spPr>
                </pic:pic>
              </a:graphicData>
            </a:graphic>
          </wp:inline>
        </w:drawing>
      </w:r>
    </w:p>
    <w:p w14:paraId="1BCF6A30" w14:textId="77777777" w:rsidR="009D7033" w:rsidRDefault="009D7033" w:rsidP="009D7033">
      <w:pPr>
        <w:pStyle w:val="TableDescription"/>
      </w:pPr>
      <w:proofErr w:type="spellStart"/>
      <w:r>
        <w:t>a</w:t>
      </w:r>
      <w:proofErr w:type="spellEnd"/>
      <w:r>
        <w:t xml:space="preserve"> Includes renal pelvis, </w:t>
      </w:r>
      <w:proofErr w:type="gramStart"/>
      <w:r>
        <w:t>ureter</w:t>
      </w:r>
      <w:proofErr w:type="gramEnd"/>
      <w:r>
        <w:t xml:space="preserve"> and kidney.</w:t>
      </w:r>
    </w:p>
    <w:p w14:paraId="14BF2910" w14:textId="41BA1BF5" w:rsidR="009D7033" w:rsidRPr="009D7033" w:rsidRDefault="009D7033" w:rsidP="009D7033">
      <w:pPr>
        <w:pStyle w:val="TableDescription"/>
      </w:pPr>
      <w:r>
        <w:t>b A subject may have metastatic disease in more than one location.</w:t>
      </w:r>
    </w:p>
    <w:p w14:paraId="01E00D7D" w14:textId="718CB2C0" w:rsidR="00550DCA" w:rsidRDefault="00550DCA" w:rsidP="009D7033">
      <w:pPr>
        <w:pStyle w:val="Tabletitle0"/>
      </w:pPr>
      <w:bookmarkStart w:id="62" w:name="_Ref124406114"/>
      <w:r>
        <w:t xml:space="preserve">Table </w:t>
      </w:r>
      <w:r w:rsidR="00EA2B2C">
        <w:fldChar w:fldCharType="begin"/>
      </w:r>
      <w:r w:rsidR="00EA2B2C">
        <w:instrText xml:space="preserve"> SEQ Table \* ARABIC </w:instrText>
      </w:r>
      <w:r w:rsidR="00EA2B2C">
        <w:fldChar w:fldCharType="separate"/>
      </w:r>
      <w:r w:rsidR="00555193">
        <w:rPr>
          <w:noProof/>
        </w:rPr>
        <w:t>11</w:t>
      </w:r>
      <w:r w:rsidR="00EA2B2C">
        <w:rPr>
          <w:noProof/>
        </w:rPr>
        <w:fldChar w:fldCharType="end"/>
      </w:r>
      <w:bookmarkEnd w:id="62"/>
      <w:r w:rsidR="009D7033">
        <w:t xml:space="preserve">: Study EV-201 </w:t>
      </w:r>
      <w:r w:rsidR="00326258">
        <w:t>(</w:t>
      </w:r>
      <w:r w:rsidR="009D7033">
        <w:t>Cohort 2</w:t>
      </w:r>
      <w:r w:rsidR="00326258">
        <w:t>)</w:t>
      </w:r>
      <w:r w:rsidR="009D7033">
        <w:t xml:space="preserve"> </w:t>
      </w:r>
      <w:r w:rsidR="00326258">
        <w:t>P</w:t>
      </w:r>
      <w:r w:rsidR="009D7033">
        <w:t xml:space="preserve">rior </w:t>
      </w:r>
      <w:r w:rsidR="00326258">
        <w:t xml:space="preserve">systemic </w:t>
      </w:r>
      <w:r w:rsidR="009D7033">
        <w:t>treatments</w:t>
      </w:r>
    </w:p>
    <w:p w14:paraId="4855FB98" w14:textId="42B5FD52" w:rsidR="009D7033" w:rsidRPr="009D7033" w:rsidRDefault="009D7033" w:rsidP="009D7033">
      <w:r>
        <w:rPr>
          <w:noProof/>
          <w:lang w:val="en-GB" w:eastAsia="en-GB"/>
        </w:rPr>
        <w:drawing>
          <wp:inline distT="0" distB="0" distL="0" distR="0" wp14:anchorId="44EF2F27" wp14:editId="1CC5808B">
            <wp:extent cx="4029075" cy="4207956"/>
            <wp:effectExtent l="0" t="0" r="0" b="2540"/>
            <wp:docPr id="25" name="Picture 25" descr="Study EV-201 Cohort 2 prior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EV-201 Cohort 2 prior treatments"/>
                    <pic:cNvPicPr>
                      <a:picLocks noChangeAspect="1" noChangeArrowheads="1"/>
                    </pic:cNvPicPr>
                  </pic:nvPicPr>
                  <pic:blipFill rotWithShape="1">
                    <a:blip r:embed="rId38">
                      <a:extLst>
                        <a:ext uri="{28A0092B-C50C-407E-A947-70E740481C1C}">
                          <a14:useLocalDpi xmlns:a14="http://schemas.microsoft.com/office/drawing/2010/main" val="0"/>
                        </a:ext>
                      </a:extLst>
                    </a:blip>
                    <a:srcRect r="17153" b="16564"/>
                    <a:stretch/>
                  </pic:blipFill>
                  <pic:spPr bwMode="auto">
                    <a:xfrm>
                      <a:off x="0" y="0"/>
                      <a:ext cx="4049067" cy="4228835"/>
                    </a:xfrm>
                    <a:prstGeom prst="rect">
                      <a:avLst/>
                    </a:prstGeom>
                    <a:noFill/>
                    <a:ln>
                      <a:noFill/>
                    </a:ln>
                    <a:extLst>
                      <a:ext uri="{53640926-AAD7-44D8-BBD7-CCE9431645EC}">
                        <a14:shadowObscured xmlns:a14="http://schemas.microsoft.com/office/drawing/2010/main"/>
                      </a:ext>
                    </a:extLst>
                  </pic:spPr>
                </pic:pic>
              </a:graphicData>
            </a:graphic>
          </wp:inline>
        </w:drawing>
      </w:r>
    </w:p>
    <w:p w14:paraId="35491C8F" w14:textId="66A5B4D2" w:rsidR="00550DCA" w:rsidRDefault="009D7033" w:rsidP="002D07CA">
      <w:pPr>
        <w:pStyle w:val="TableDescription"/>
      </w:pPr>
      <w:proofErr w:type="spellStart"/>
      <w:r>
        <w:t>a</w:t>
      </w:r>
      <w:proofErr w:type="spellEnd"/>
      <w:r>
        <w:t xml:space="preserve"> Includes prior systemic therapies in the locally advanced or metastatic setting, or PD-1/PD-L1 containing therapy in the neoadjuvant/adjuvant setting and the subject progressed within 3 months of </w:t>
      </w:r>
      <w:r>
        <w:lastRenderedPageBreak/>
        <w:t xml:space="preserve">therapy completion, or </w:t>
      </w:r>
      <w:proofErr w:type="gramStart"/>
      <w:r>
        <w:t>platinum based</w:t>
      </w:r>
      <w:proofErr w:type="gramEnd"/>
      <w:r>
        <w:t xml:space="preserve"> therapy in the neoadjuvant/adjuvant setting and the subject progressed within 12 months of therapy completion.</w:t>
      </w:r>
    </w:p>
    <w:p w14:paraId="7E16DD2A" w14:textId="5FE12544" w:rsidR="009D7033" w:rsidRDefault="009D7033" w:rsidP="002D07CA">
      <w:pPr>
        <w:pStyle w:val="TableDescription"/>
      </w:pPr>
      <w:r>
        <w:t xml:space="preserve">b </w:t>
      </w:r>
      <w:r w:rsidR="002D07CA">
        <w:t>Specific PD-1/PD-L1 inhibitors were provided by the sponsor.</w:t>
      </w:r>
    </w:p>
    <w:p w14:paraId="3D4A5B5F" w14:textId="645FDE08" w:rsidR="009D7033" w:rsidRDefault="009D7033" w:rsidP="002D07CA">
      <w:pPr>
        <w:pStyle w:val="TableDescription"/>
      </w:pPr>
      <w:r>
        <w:t>c Subjects enrolled prior to amendment 4 (which excluded subjects previously treated with chemotherapy)</w:t>
      </w:r>
      <w:r w:rsidR="002D07CA">
        <w:t>.</w:t>
      </w:r>
    </w:p>
    <w:p w14:paraId="4305F8FA" w14:textId="4CD5BBA9" w:rsidR="009D7033" w:rsidRPr="00550DCA" w:rsidRDefault="002D07CA" w:rsidP="002D07CA">
      <w:pPr>
        <w:pStyle w:val="TableDescription"/>
      </w:pPr>
      <w:r>
        <w:t xml:space="preserve">d ‘Other’ is gemcitabine and </w:t>
      </w:r>
      <w:proofErr w:type="spellStart"/>
      <w:r>
        <w:t>eribulin</w:t>
      </w:r>
      <w:proofErr w:type="spellEnd"/>
      <w:r>
        <w:t>.</w:t>
      </w:r>
    </w:p>
    <w:p w14:paraId="2FB0E7C5" w14:textId="53815ADD" w:rsidR="00985534" w:rsidRPr="00985534" w:rsidRDefault="00985534" w:rsidP="00985534">
      <w:r w:rsidRPr="00985534">
        <w:t>At the time of data cut</w:t>
      </w:r>
      <w:r>
        <w:t xml:space="preserve"> </w:t>
      </w:r>
      <w:r w:rsidRPr="00985534">
        <w:t>off, the median duration of treatment was 5.98 months (range 0.3 to</w:t>
      </w:r>
      <w:r>
        <w:t xml:space="preserve"> </w:t>
      </w:r>
      <w:r w:rsidRPr="00985534">
        <w:t xml:space="preserve">24.6), with a median of 16 infusions administered per patient (range 1 to 60). Just under </w:t>
      </w:r>
      <w:r>
        <w:t xml:space="preserve">half </w:t>
      </w:r>
      <w:r w:rsidRPr="00985534">
        <w:t xml:space="preserve">the patients had </w:t>
      </w:r>
      <w:r>
        <w:t xml:space="preserve">greater than or equal to </w:t>
      </w:r>
      <w:r w:rsidRPr="00985534">
        <w:t xml:space="preserve">6 months of exposure to study treatment. The median </w:t>
      </w:r>
      <w:r w:rsidR="00DC6D7E">
        <w:t>relative dose intensity</w:t>
      </w:r>
      <w:r w:rsidRPr="00985534">
        <w:t xml:space="preserve"> was 79%, but 67% had any </w:t>
      </w:r>
      <w:r>
        <w:t>enfortumab vedotin</w:t>
      </w:r>
      <w:r w:rsidRPr="00985534">
        <w:t xml:space="preserve"> dose modification (dose skipped, cycle delayed, or dose reduced</w:t>
      </w:r>
      <w:r>
        <w:t xml:space="preserve"> </w:t>
      </w:r>
      <w:r w:rsidRPr="00985534">
        <w:t xml:space="preserve">due to </w:t>
      </w:r>
      <w:r w:rsidR="00326258">
        <w:t>adverse events</w:t>
      </w:r>
      <w:r w:rsidR="00D4709D">
        <w:t>)</w:t>
      </w:r>
      <w:r w:rsidRPr="00985534">
        <w:t>.</w:t>
      </w:r>
    </w:p>
    <w:p w14:paraId="30B847A2" w14:textId="062CA706" w:rsidR="00985534" w:rsidRPr="00985534" w:rsidRDefault="00985534" w:rsidP="00985534">
      <w:r w:rsidRPr="00985534">
        <w:t xml:space="preserve">The primary endpoint of </w:t>
      </w:r>
      <w:r>
        <w:t>objective response rate</w:t>
      </w:r>
      <w:r w:rsidRPr="00985534">
        <w:t xml:space="preserve"> (</w:t>
      </w:r>
      <w:r>
        <w:t>complete response plus partial response</w:t>
      </w:r>
      <w:r w:rsidRPr="00985534">
        <w:t>) was reported for 52% (95% CI: 40.8%, 62.4%).</w:t>
      </w:r>
    </w:p>
    <w:p w14:paraId="28A0EE3D" w14:textId="09146A54" w:rsidR="00985534" w:rsidRPr="00985534" w:rsidRDefault="00985534" w:rsidP="00985534">
      <w:r>
        <w:t>Complete response</w:t>
      </w:r>
      <w:r w:rsidR="00326258">
        <w:t>s were reported for 20% of the Cohort 2</w:t>
      </w:r>
      <w:r w:rsidRPr="00985534">
        <w:t xml:space="preserve"> </w:t>
      </w:r>
      <w:r w:rsidR="00326258">
        <w:t>population in</w:t>
      </w:r>
      <w:r w:rsidR="00C72F00">
        <w:t xml:space="preserve"> Study EV-201</w:t>
      </w:r>
      <w:r w:rsidR="00326258">
        <w:t>;</w:t>
      </w:r>
      <w:r w:rsidR="00781F5F">
        <w:t xml:space="preserve"> </w:t>
      </w:r>
      <w:r w:rsidRPr="00985534">
        <w:t>partial response</w:t>
      </w:r>
      <w:r w:rsidR="00326258">
        <w:t>s were reported</w:t>
      </w:r>
      <w:r w:rsidRPr="00985534">
        <w:t xml:space="preserve"> in 32% and stable disease </w:t>
      </w:r>
      <w:r w:rsidR="00326258">
        <w:t>reported for</w:t>
      </w:r>
      <w:r w:rsidR="00326258" w:rsidRPr="00985534">
        <w:t xml:space="preserve"> </w:t>
      </w:r>
      <w:r w:rsidRPr="00985534">
        <w:t>30%</w:t>
      </w:r>
      <w:r w:rsidR="00C72F00">
        <w:t xml:space="preserve"> (</w:t>
      </w:r>
      <w:r w:rsidR="00326258">
        <w:t xml:space="preserve">see </w:t>
      </w:r>
      <w:r w:rsidR="00C72F00">
        <w:fldChar w:fldCharType="begin"/>
      </w:r>
      <w:r w:rsidR="00C72F00">
        <w:instrText xml:space="preserve"> REF _Ref126234234 \h </w:instrText>
      </w:r>
      <w:r w:rsidR="00C72F00">
        <w:fldChar w:fldCharType="separate"/>
      </w:r>
      <w:r w:rsidR="00555193">
        <w:t xml:space="preserve">Table </w:t>
      </w:r>
      <w:r w:rsidR="00555193">
        <w:rPr>
          <w:noProof/>
        </w:rPr>
        <w:t>12</w:t>
      </w:r>
      <w:r w:rsidR="00C72F00">
        <w:fldChar w:fldCharType="end"/>
      </w:r>
      <w:r w:rsidR="00326258">
        <w:t xml:space="preserve"> below</w:t>
      </w:r>
      <w:r w:rsidR="00C72F00">
        <w:t>)</w:t>
      </w:r>
      <w:r w:rsidRPr="00985534">
        <w:t>.</w:t>
      </w:r>
    </w:p>
    <w:p w14:paraId="15B30A91" w14:textId="5694EC81" w:rsidR="00A40EE1" w:rsidRPr="00985534" w:rsidRDefault="00985534" w:rsidP="00985534">
      <w:r w:rsidRPr="00985534">
        <w:t xml:space="preserve">In response to questions primarily about </w:t>
      </w:r>
      <w:r>
        <w:t>S</w:t>
      </w:r>
      <w:r w:rsidRPr="00985534">
        <w:t xml:space="preserve">tudy EV-301 the sponsor presented results for three different tumour </w:t>
      </w:r>
      <w:proofErr w:type="spellStart"/>
      <w:r w:rsidRPr="00985534">
        <w:t>histologies</w:t>
      </w:r>
      <w:proofErr w:type="spellEnd"/>
      <w:r w:rsidRPr="00985534">
        <w:t xml:space="preserve">: </w:t>
      </w:r>
      <w:r>
        <w:t>transitional cell carcinoma</w:t>
      </w:r>
      <w:r w:rsidRPr="00985534">
        <w:t xml:space="preserve"> only, </w:t>
      </w:r>
      <w:r>
        <w:t>transitional cell carcinoma</w:t>
      </w:r>
      <w:r w:rsidRPr="00985534">
        <w:t xml:space="preserve"> with squamous differentiation, and </w:t>
      </w:r>
      <w:r>
        <w:t>transitional cell carcinoma</w:t>
      </w:r>
      <w:r w:rsidRPr="00985534">
        <w:t xml:space="preserve"> with other histological variants. Because the numbers of patients in the groups that had </w:t>
      </w:r>
      <w:proofErr w:type="spellStart"/>
      <w:r w:rsidRPr="00985534">
        <w:t>histologies</w:t>
      </w:r>
      <w:proofErr w:type="spellEnd"/>
      <w:r w:rsidRPr="00985534">
        <w:t xml:space="preserve"> other than </w:t>
      </w:r>
      <w:r>
        <w:t>transitional cell carcinoma</w:t>
      </w:r>
      <w:r w:rsidRPr="00985534">
        <w:t xml:space="preserve"> are small it is difficult to draw meaningful conclusions.</w:t>
      </w:r>
    </w:p>
    <w:p w14:paraId="530AA16A" w14:textId="6393609B" w:rsidR="00CE670E" w:rsidRPr="00CE670E" w:rsidRDefault="00D13684" w:rsidP="00D13684">
      <w:pPr>
        <w:pStyle w:val="Tabletitle0"/>
      </w:pPr>
      <w:bookmarkStart w:id="63" w:name="_Ref126234234"/>
      <w:r>
        <w:t xml:space="preserve">Table </w:t>
      </w:r>
      <w:r w:rsidR="00EA2B2C">
        <w:fldChar w:fldCharType="begin"/>
      </w:r>
      <w:r w:rsidR="00EA2B2C">
        <w:instrText xml:space="preserve"> SEQ Table \* ARABIC </w:instrText>
      </w:r>
      <w:r w:rsidR="00EA2B2C">
        <w:fldChar w:fldCharType="separate"/>
      </w:r>
      <w:r w:rsidR="00555193">
        <w:rPr>
          <w:noProof/>
        </w:rPr>
        <w:t>12</w:t>
      </w:r>
      <w:r w:rsidR="00EA2B2C">
        <w:rPr>
          <w:noProof/>
        </w:rPr>
        <w:fldChar w:fldCharType="end"/>
      </w:r>
      <w:bookmarkEnd w:id="63"/>
      <w:r>
        <w:t xml:space="preserve">: Study EV-201 </w:t>
      </w:r>
      <w:r w:rsidR="00326258">
        <w:t>(</w:t>
      </w:r>
      <w:r>
        <w:t>Cohort 2</w:t>
      </w:r>
      <w:r w:rsidR="00326258">
        <w:t>)</w:t>
      </w:r>
      <w:r>
        <w:t xml:space="preserve"> </w:t>
      </w:r>
      <w:r w:rsidR="00326258">
        <w:t>B</w:t>
      </w:r>
      <w:r>
        <w:t>est overall response and objective response rate by tumour histology enfortumab vedotin treatment</w:t>
      </w:r>
    </w:p>
    <w:p w14:paraId="19EB4557" w14:textId="06DFDE67" w:rsidR="00D13684" w:rsidRDefault="00D13684" w:rsidP="00D13684">
      <w:r>
        <w:rPr>
          <w:noProof/>
          <w:lang w:val="en-GB" w:eastAsia="en-GB"/>
        </w:rPr>
        <w:drawing>
          <wp:inline distT="0" distB="0" distL="0" distR="0" wp14:anchorId="6E79B07B" wp14:editId="1AFC42D1">
            <wp:extent cx="5350646" cy="2095500"/>
            <wp:effectExtent l="0" t="0" r="2540" b="0"/>
            <wp:docPr id="26" name="Picture 26" descr="Study EV-201 Cohort 2 best overall response and objective response rate by tumour histology enfortumab vedoti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EV-201 Cohort 2 best overall response and objective response rate by tumour histology enfortumab vedotin treatment"/>
                    <pic:cNvPicPr>
                      <a:picLocks noChangeAspect="1" noChangeArrowheads="1"/>
                    </pic:cNvPicPr>
                  </pic:nvPicPr>
                  <pic:blipFill rotWithShape="1">
                    <a:blip r:embed="rId39">
                      <a:extLst>
                        <a:ext uri="{28A0092B-C50C-407E-A947-70E740481C1C}">
                          <a14:useLocalDpi xmlns:a14="http://schemas.microsoft.com/office/drawing/2010/main" val="0"/>
                        </a:ext>
                      </a:extLst>
                    </a:blip>
                    <a:srcRect r="6183" b="35247"/>
                    <a:stretch/>
                  </pic:blipFill>
                  <pic:spPr bwMode="auto">
                    <a:xfrm>
                      <a:off x="0" y="0"/>
                      <a:ext cx="5356119" cy="2097643"/>
                    </a:xfrm>
                    <a:prstGeom prst="rect">
                      <a:avLst/>
                    </a:prstGeom>
                    <a:noFill/>
                    <a:ln>
                      <a:noFill/>
                    </a:ln>
                    <a:extLst>
                      <a:ext uri="{53640926-AAD7-44D8-BBD7-CCE9431645EC}">
                        <a14:shadowObscured xmlns:a14="http://schemas.microsoft.com/office/drawing/2010/main"/>
                      </a:ext>
                    </a:extLst>
                  </pic:spPr>
                </pic:pic>
              </a:graphicData>
            </a:graphic>
          </wp:inline>
        </w:drawing>
      </w:r>
    </w:p>
    <w:p w14:paraId="2067C1A7" w14:textId="2E3D1869" w:rsidR="00326258" w:rsidRDefault="00326258" w:rsidP="00D13684">
      <w:pPr>
        <w:pStyle w:val="TableDescription"/>
      </w:pPr>
      <w:r>
        <w:t>Abbreviation: TCC = transitional cell cancer.</w:t>
      </w:r>
    </w:p>
    <w:p w14:paraId="5563B7F5" w14:textId="43DD6B3C" w:rsidR="00D13684" w:rsidRDefault="00D13684" w:rsidP="00D13684">
      <w:pPr>
        <w:pStyle w:val="TableDescription"/>
      </w:pPr>
      <w:r>
        <w:t>a Best overall response according to RECIST version 1.1 complete response or partial response were confirmed with repeat scans greater than or equal to 28 days after initial response.</w:t>
      </w:r>
    </w:p>
    <w:p w14:paraId="3CD367BA" w14:textId="3EAF904D" w:rsidR="00D13684" w:rsidRDefault="00D13684" w:rsidP="00D13684">
      <w:pPr>
        <w:pStyle w:val="TableDescription"/>
      </w:pPr>
      <w:r>
        <w:t>b Computed using the Clopper-Pearson method.</w:t>
      </w:r>
      <w:r>
        <w:rPr>
          <w:rStyle w:val="FootnoteReference"/>
        </w:rPr>
        <w:footnoteReference w:id="20"/>
      </w:r>
    </w:p>
    <w:p w14:paraId="4B5B6719" w14:textId="425FB258" w:rsidR="00D13684" w:rsidRDefault="00D13684" w:rsidP="00D13684">
      <w:pPr>
        <w:pStyle w:val="TableDescription"/>
      </w:pPr>
      <w:r>
        <w:t>c Includes five subjects who did not have response assessment post baseline, two subjects whose post baseline assessment did not meet the minimum interval requirement for stable disease, and one subject whose response ca</w:t>
      </w:r>
      <w:r w:rsidR="00D4709D">
        <w:t>n</w:t>
      </w:r>
      <w:r>
        <w:t>not be assessed due to incomplete anatomy.</w:t>
      </w:r>
    </w:p>
    <w:p w14:paraId="64CA6F50" w14:textId="111B1946" w:rsidR="0013264E" w:rsidRDefault="00BC1DCB" w:rsidP="0013264E">
      <w:pPr>
        <w:pStyle w:val="Heading5"/>
      </w:pPr>
      <w:r>
        <w:lastRenderedPageBreak/>
        <w:t xml:space="preserve">Outcomes for </w:t>
      </w:r>
      <w:r w:rsidR="0013264E">
        <w:t>Cohort 1</w:t>
      </w:r>
      <w:r>
        <w:t xml:space="preserve"> population</w:t>
      </w:r>
    </w:p>
    <w:p w14:paraId="31F50068" w14:textId="42678E4D" w:rsidR="0013264E" w:rsidRPr="0013264E" w:rsidRDefault="0013264E" w:rsidP="0013264E">
      <w:r w:rsidRPr="0013264E">
        <w:t xml:space="preserve">The results from </w:t>
      </w:r>
      <w:r>
        <w:t xml:space="preserve">Cohort 1 </w:t>
      </w:r>
      <w:r w:rsidRPr="0013264E">
        <w:t xml:space="preserve">formed the basis of an accelerated approval in the </w:t>
      </w:r>
      <w:r w:rsidRPr="00AE668F">
        <w:t>USA</w:t>
      </w:r>
      <w:r w:rsidRPr="0013264E">
        <w:t xml:space="preserve"> </w:t>
      </w:r>
      <w:r w:rsidR="00BC1DCB">
        <w:t>of</w:t>
      </w:r>
      <w:r w:rsidR="00BC1DCB" w:rsidRPr="0013264E">
        <w:t xml:space="preserve"> </w:t>
      </w:r>
      <w:r w:rsidRPr="0013264E">
        <w:t>Padcev</w:t>
      </w:r>
      <w:r w:rsidR="00BC1DCB">
        <w:t xml:space="preserve"> (enfortumab vedotin) for use</w:t>
      </w:r>
      <w:r w:rsidRPr="0013264E">
        <w:t xml:space="preserve"> in patients with locally advanced and metastatic urothelial cancer who had received a PD-1/PD-</w:t>
      </w:r>
      <w:r w:rsidR="00292992">
        <w:t>L</w:t>
      </w:r>
      <w:r w:rsidRPr="0013264E">
        <w:t>1 and platinum</w:t>
      </w:r>
      <w:r>
        <w:t xml:space="preserve"> </w:t>
      </w:r>
      <w:r w:rsidRPr="0013264E">
        <w:t>containing chemotherapy in the neoadjuvant/adjuvant, locally advanced or metastatic setting.</w:t>
      </w:r>
    </w:p>
    <w:p w14:paraId="1F1D765E" w14:textId="1C31A2FA" w:rsidR="0013264E" w:rsidRPr="0013264E" w:rsidRDefault="0013264E" w:rsidP="0013264E">
      <w:r w:rsidRPr="0013264E">
        <w:t>The study report in th</w:t>
      </w:r>
      <w:r w:rsidR="00BC1DCB">
        <w:t>is</w:t>
      </w:r>
      <w:r w:rsidRPr="0013264E">
        <w:t xml:space="preserve"> submission provide</w:t>
      </w:r>
      <w:r w:rsidR="00BC1DCB">
        <w:t>d</w:t>
      </w:r>
      <w:r w:rsidRPr="0013264E">
        <w:t xml:space="preserve"> an updated dataset.</w:t>
      </w:r>
    </w:p>
    <w:p w14:paraId="6E1BE7F1" w14:textId="2E66F257" w:rsidR="0013264E" w:rsidRDefault="0013264E" w:rsidP="0013264E">
      <w:r w:rsidRPr="0013264E">
        <w:t xml:space="preserve">The baseline demographics, disease characteristics and prior therapies of </w:t>
      </w:r>
      <w:r>
        <w:t>Cohort 1</w:t>
      </w:r>
      <w:r w:rsidRPr="0013264E">
        <w:t xml:space="preserve"> are summarised in</w:t>
      </w:r>
      <w:r>
        <w:t xml:space="preserve"> </w:t>
      </w:r>
      <w:r>
        <w:fldChar w:fldCharType="begin"/>
      </w:r>
      <w:r>
        <w:instrText xml:space="preserve"> REF _Ref124411212 \h </w:instrText>
      </w:r>
      <w:r>
        <w:fldChar w:fldCharType="separate"/>
      </w:r>
      <w:r w:rsidR="00555193">
        <w:t xml:space="preserve">Table </w:t>
      </w:r>
      <w:r w:rsidR="00555193">
        <w:rPr>
          <w:noProof/>
        </w:rPr>
        <w:t>13</w:t>
      </w:r>
      <w:r>
        <w:fldChar w:fldCharType="end"/>
      </w:r>
      <w:r>
        <w:t xml:space="preserve">, </w:t>
      </w:r>
      <w:r>
        <w:fldChar w:fldCharType="begin"/>
      </w:r>
      <w:r>
        <w:instrText xml:space="preserve"> REF _Ref124411220 \h </w:instrText>
      </w:r>
      <w:r>
        <w:fldChar w:fldCharType="separate"/>
      </w:r>
      <w:r w:rsidR="00555193">
        <w:t xml:space="preserve">Table </w:t>
      </w:r>
      <w:r w:rsidR="00555193">
        <w:rPr>
          <w:noProof/>
        </w:rPr>
        <w:t>14</w:t>
      </w:r>
      <w:r>
        <w:fldChar w:fldCharType="end"/>
      </w:r>
      <w:r>
        <w:t xml:space="preserve"> and </w:t>
      </w:r>
      <w:r>
        <w:fldChar w:fldCharType="begin"/>
      </w:r>
      <w:r>
        <w:instrText xml:space="preserve"> REF _Ref124411228 \h </w:instrText>
      </w:r>
      <w:r>
        <w:fldChar w:fldCharType="separate"/>
      </w:r>
      <w:r w:rsidR="00555193">
        <w:t xml:space="preserve">Table </w:t>
      </w:r>
      <w:r w:rsidR="00555193">
        <w:rPr>
          <w:noProof/>
        </w:rPr>
        <w:t>15</w:t>
      </w:r>
      <w:r>
        <w:fldChar w:fldCharType="end"/>
      </w:r>
      <w:r w:rsidRPr="0013264E">
        <w:t>.</w:t>
      </w:r>
    </w:p>
    <w:p w14:paraId="66FDCB73" w14:textId="0C86BA84" w:rsidR="0013264E" w:rsidRDefault="0013264E" w:rsidP="0025418E">
      <w:pPr>
        <w:pStyle w:val="Tabletitle0"/>
      </w:pPr>
      <w:bookmarkStart w:id="64" w:name="_Ref124411212"/>
      <w:r>
        <w:t xml:space="preserve">Table </w:t>
      </w:r>
      <w:r w:rsidR="00EA2B2C">
        <w:fldChar w:fldCharType="begin"/>
      </w:r>
      <w:r w:rsidR="00EA2B2C">
        <w:instrText xml:space="preserve"> SEQ Table \* ARABIC </w:instrText>
      </w:r>
      <w:r w:rsidR="00EA2B2C">
        <w:fldChar w:fldCharType="separate"/>
      </w:r>
      <w:r w:rsidR="00555193">
        <w:rPr>
          <w:noProof/>
        </w:rPr>
        <w:t>13</w:t>
      </w:r>
      <w:r w:rsidR="00EA2B2C">
        <w:rPr>
          <w:noProof/>
        </w:rPr>
        <w:fldChar w:fldCharType="end"/>
      </w:r>
      <w:bookmarkEnd w:id="64"/>
      <w:r>
        <w:t xml:space="preserve">: Study EV-201 </w:t>
      </w:r>
      <w:r w:rsidR="00BC1DCB">
        <w:t>(</w:t>
      </w:r>
      <w:r>
        <w:t>Cohort 1</w:t>
      </w:r>
      <w:r w:rsidR="00BC1DCB">
        <w:t>)</w:t>
      </w:r>
      <w:r>
        <w:t xml:space="preserve"> </w:t>
      </w:r>
      <w:r w:rsidR="00BC1DCB">
        <w:t>B</w:t>
      </w:r>
      <w:r>
        <w:t>aseline demographics</w:t>
      </w:r>
    </w:p>
    <w:p w14:paraId="62DB1515" w14:textId="377B848B" w:rsidR="0013264E" w:rsidRDefault="0013264E" w:rsidP="0013264E">
      <w:r>
        <w:rPr>
          <w:noProof/>
          <w:lang w:val="en-GB" w:eastAsia="en-GB"/>
        </w:rPr>
        <w:drawing>
          <wp:inline distT="0" distB="0" distL="0" distR="0" wp14:anchorId="780819A1" wp14:editId="67689BD5">
            <wp:extent cx="4581525" cy="5445624"/>
            <wp:effectExtent l="0" t="0" r="0" b="3175"/>
            <wp:docPr id="27" name="Picture 27" descr="Study EV-201 Cohort 1 baselin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EV-201 Cohort 1 baseline demographics"/>
                    <pic:cNvPicPr>
                      <a:picLocks noChangeAspect="1" noChangeArrowheads="1"/>
                    </pic:cNvPicPr>
                  </pic:nvPicPr>
                  <pic:blipFill rotWithShape="1">
                    <a:blip r:embed="rId40">
                      <a:extLst>
                        <a:ext uri="{28A0092B-C50C-407E-A947-70E740481C1C}">
                          <a14:useLocalDpi xmlns:a14="http://schemas.microsoft.com/office/drawing/2010/main" val="0"/>
                        </a:ext>
                      </a:extLst>
                    </a:blip>
                    <a:srcRect r="15402" b="13679"/>
                    <a:stretch/>
                  </pic:blipFill>
                  <pic:spPr bwMode="auto">
                    <a:xfrm>
                      <a:off x="0" y="0"/>
                      <a:ext cx="4583964" cy="5448523"/>
                    </a:xfrm>
                    <a:prstGeom prst="rect">
                      <a:avLst/>
                    </a:prstGeom>
                    <a:noFill/>
                    <a:ln>
                      <a:noFill/>
                    </a:ln>
                    <a:extLst>
                      <a:ext uri="{53640926-AAD7-44D8-BBD7-CCE9431645EC}">
                        <a14:shadowObscured xmlns:a14="http://schemas.microsoft.com/office/drawing/2010/main"/>
                      </a:ext>
                    </a:extLst>
                  </pic:spPr>
                </pic:pic>
              </a:graphicData>
            </a:graphic>
          </wp:inline>
        </w:drawing>
      </w:r>
    </w:p>
    <w:p w14:paraId="1898AC61" w14:textId="3B78221D" w:rsidR="0013264E" w:rsidRDefault="0013264E" w:rsidP="0013264E">
      <w:pPr>
        <w:pStyle w:val="TableDescription"/>
      </w:pPr>
      <w:r>
        <w:t>a Based on central laboratory creatinine results.</w:t>
      </w:r>
    </w:p>
    <w:p w14:paraId="0AC18C3A" w14:textId="3716CA9B" w:rsidR="0013264E" w:rsidRDefault="0013264E" w:rsidP="0013264E">
      <w:pPr>
        <w:pStyle w:val="TableDescription"/>
      </w:pPr>
      <w:r>
        <w:t xml:space="preserve">b Subject was enrolled based on local </w:t>
      </w:r>
      <w:proofErr w:type="gramStart"/>
      <w:r>
        <w:t>24 hour</w:t>
      </w:r>
      <w:proofErr w:type="gramEnd"/>
      <w:r>
        <w:t xml:space="preserve"> urine collection.</w:t>
      </w:r>
    </w:p>
    <w:p w14:paraId="006767FE" w14:textId="45F51FC5" w:rsidR="0013264E" w:rsidRPr="0013264E" w:rsidRDefault="0013264E" w:rsidP="0013264E">
      <w:pPr>
        <w:pStyle w:val="TableDescription"/>
      </w:pPr>
      <w:r>
        <w:t xml:space="preserve">c </w:t>
      </w:r>
      <w:proofErr w:type="spellStart"/>
      <w:r>
        <w:t>Bellmunt</w:t>
      </w:r>
      <w:proofErr w:type="spellEnd"/>
      <w:r>
        <w:t xml:space="preserve"> risk factors include ECOG performance status greater than 0, </w:t>
      </w:r>
      <w:r w:rsidR="00AE668F">
        <w:t>haemoglobin</w:t>
      </w:r>
      <w:r>
        <w:t xml:space="preserve"> less than 10 g/dL and presence of liver metastasis.</w:t>
      </w:r>
      <w:r>
        <w:fldChar w:fldCharType="begin"/>
      </w:r>
      <w:r>
        <w:instrText xml:space="preserve"> NOTEREF _Ref124411397 \f \h  \* MERGEFORMAT </w:instrText>
      </w:r>
      <w:r>
        <w:fldChar w:fldCharType="separate"/>
      </w:r>
      <w:r w:rsidR="00555193" w:rsidRPr="00555193">
        <w:rPr>
          <w:rStyle w:val="FootnoteReference"/>
        </w:rPr>
        <w:t>19</w:t>
      </w:r>
      <w:r>
        <w:fldChar w:fldCharType="end"/>
      </w:r>
      <w:r>
        <w:t xml:space="preserve"> One subject had a missing baseline </w:t>
      </w:r>
      <w:r w:rsidR="00AE668F">
        <w:t>haemoglobin</w:t>
      </w:r>
      <w:r>
        <w:t xml:space="preserve"> due to the central laboratory value not available. </w:t>
      </w:r>
      <w:proofErr w:type="spellStart"/>
      <w:r>
        <w:t>Bellmunt</w:t>
      </w:r>
      <w:proofErr w:type="spellEnd"/>
      <w:r>
        <w:t xml:space="preserve"> risk factors are missing for this subject.</w:t>
      </w:r>
    </w:p>
    <w:p w14:paraId="7864CA6D" w14:textId="22534EFB" w:rsidR="0025418E" w:rsidRDefault="0013264E" w:rsidP="0025418E">
      <w:pPr>
        <w:pStyle w:val="Tabletitle0"/>
      </w:pPr>
      <w:bookmarkStart w:id="65" w:name="_Ref124411220"/>
      <w:r>
        <w:lastRenderedPageBreak/>
        <w:t xml:space="preserve">Table </w:t>
      </w:r>
      <w:r w:rsidR="00EA2B2C">
        <w:fldChar w:fldCharType="begin"/>
      </w:r>
      <w:r w:rsidR="00EA2B2C">
        <w:instrText xml:space="preserve"> SEQ Table \* ARABIC </w:instrText>
      </w:r>
      <w:r w:rsidR="00EA2B2C">
        <w:fldChar w:fldCharType="separate"/>
      </w:r>
      <w:r w:rsidR="00555193">
        <w:rPr>
          <w:noProof/>
        </w:rPr>
        <w:t>14</w:t>
      </w:r>
      <w:r w:rsidR="00EA2B2C">
        <w:rPr>
          <w:noProof/>
        </w:rPr>
        <w:fldChar w:fldCharType="end"/>
      </w:r>
      <w:bookmarkEnd w:id="65"/>
      <w:r>
        <w:t xml:space="preserve">: </w:t>
      </w:r>
      <w:r w:rsidR="0025418E">
        <w:t xml:space="preserve">Study EV-201 </w:t>
      </w:r>
      <w:r w:rsidR="00BC1DCB">
        <w:t>(</w:t>
      </w:r>
      <w:r w:rsidR="0025418E">
        <w:t>Cohort 1</w:t>
      </w:r>
      <w:r w:rsidR="00BC1DCB">
        <w:t>)</w:t>
      </w:r>
      <w:r w:rsidR="0025418E">
        <w:t xml:space="preserve"> </w:t>
      </w:r>
      <w:r w:rsidR="00BC1DCB">
        <w:t xml:space="preserve">Baseline </w:t>
      </w:r>
      <w:r w:rsidR="0025418E">
        <w:t>disease characteristics</w:t>
      </w:r>
    </w:p>
    <w:p w14:paraId="57E206DF" w14:textId="46EE11A2" w:rsidR="0025418E" w:rsidRDefault="0025418E" w:rsidP="0025418E">
      <w:r>
        <w:rPr>
          <w:noProof/>
          <w:lang w:val="en-GB" w:eastAsia="en-GB"/>
        </w:rPr>
        <w:drawing>
          <wp:inline distT="0" distB="0" distL="0" distR="0" wp14:anchorId="16A8BA1C" wp14:editId="7CB98DFB">
            <wp:extent cx="4612179" cy="4162425"/>
            <wp:effectExtent l="0" t="0" r="0" b="0"/>
            <wp:docPr id="28" name="Picture 28" descr="Study EV-201 Cohort 1 patient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EV-201 Cohort 1 patient disease characteristics"/>
                    <pic:cNvPicPr>
                      <a:picLocks noChangeAspect="1" noChangeArrowheads="1"/>
                    </pic:cNvPicPr>
                  </pic:nvPicPr>
                  <pic:blipFill rotWithShape="1">
                    <a:blip r:embed="rId41">
                      <a:extLst>
                        <a:ext uri="{28A0092B-C50C-407E-A947-70E740481C1C}">
                          <a14:useLocalDpi xmlns:a14="http://schemas.microsoft.com/office/drawing/2010/main" val="0"/>
                        </a:ext>
                      </a:extLst>
                    </a:blip>
                    <a:srcRect r="13075" b="18245"/>
                    <a:stretch/>
                  </pic:blipFill>
                  <pic:spPr bwMode="auto">
                    <a:xfrm>
                      <a:off x="0" y="0"/>
                      <a:ext cx="4615456" cy="4165383"/>
                    </a:xfrm>
                    <a:prstGeom prst="rect">
                      <a:avLst/>
                    </a:prstGeom>
                    <a:noFill/>
                    <a:ln>
                      <a:noFill/>
                    </a:ln>
                    <a:extLst>
                      <a:ext uri="{53640926-AAD7-44D8-BBD7-CCE9431645EC}">
                        <a14:shadowObscured xmlns:a14="http://schemas.microsoft.com/office/drawing/2010/main"/>
                      </a:ext>
                    </a:extLst>
                  </pic:spPr>
                </pic:pic>
              </a:graphicData>
            </a:graphic>
          </wp:inline>
        </w:drawing>
      </w:r>
    </w:p>
    <w:p w14:paraId="362741EE" w14:textId="4791D2E3" w:rsidR="0025418E" w:rsidRDefault="0025418E" w:rsidP="0025418E">
      <w:pPr>
        <w:pStyle w:val="TableDescription"/>
      </w:pPr>
      <w:r>
        <w:t>a One subject had an incomplete date of diagnosis (month and day and unknown) therefore, time from diagnosis to enrolment could not be calculated.</w:t>
      </w:r>
    </w:p>
    <w:p w14:paraId="40542F59" w14:textId="16A231CF" w:rsidR="0025418E" w:rsidRDefault="0025418E" w:rsidP="0025418E">
      <w:pPr>
        <w:pStyle w:val="TableDescription"/>
      </w:pPr>
      <w:r>
        <w:t xml:space="preserve">b Includes renal pelvis, </w:t>
      </w:r>
      <w:proofErr w:type="gramStart"/>
      <w:r>
        <w:t>ureter</w:t>
      </w:r>
      <w:proofErr w:type="gramEnd"/>
      <w:r>
        <w:t xml:space="preserve"> and kidney.</w:t>
      </w:r>
    </w:p>
    <w:p w14:paraId="675D7EDB" w14:textId="3E21A99C" w:rsidR="0025418E" w:rsidRDefault="0025418E" w:rsidP="0025418E">
      <w:pPr>
        <w:pStyle w:val="TableDescription"/>
      </w:pPr>
      <w:r>
        <w:t xml:space="preserve">c </w:t>
      </w:r>
      <w:proofErr w:type="gramStart"/>
      <w:r>
        <w:t>The</w:t>
      </w:r>
      <w:proofErr w:type="gramEnd"/>
      <w:r>
        <w:t xml:space="preserve"> primary tumour location was not determined for one subject.</w:t>
      </w:r>
    </w:p>
    <w:p w14:paraId="2C7490FA" w14:textId="22958F45" w:rsidR="0025418E" w:rsidRPr="0025418E" w:rsidRDefault="0025418E" w:rsidP="0025418E">
      <w:pPr>
        <w:pStyle w:val="TableDescription"/>
      </w:pPr>
      <w:r>
        <w:t>d Subjects may have metastatic disease in more than one location.</w:t>
      </w:r>
    </w:p>
    <w:p w14:paraId="17741E56" w14:textId="5DA047B5" w:rsidR="0013264E" w:rsidRDefault="0013264E" w:rsidP="0025418E">
      <w:pPr>
        <w:pStyle w:val="Tabletitle0"/>
      </w:pPr>
      <w:bookmarkStart w:id="66" w:name="_Ref124411228"/>
      <w:r>
        <w:lastRenderedPageBreak/>
        <w:t xml:space="preserve">Table </w:t>
      </w:r>
      <w:r w:rsidR="00EA2B2C">
        <w:fldChar w:fldCharType="begin"/>
      </w:r>
      <w:r w:rsidR="00EA2B2C">
        <w:instrText xml:space="preserve"> SEQ Table \* ARABIC </w:instrText>
      </w:r>
      <w:r w:rsidR="00EA2B2C">
        <w:fldChar w:fldCharType="separate"/>
      </w:r>
      <w:r w:rsidR="00555193">
        <w:rPr>
          <w:noProof/>
        </w:rPr>
        <w:t>15</w:t>
      </w:r>
      <w:r w:rsidR="00EA2B2C">
        <w:rPr>
          <w:noProof/>
        </w:rPr>
        <w:fldChar w:fldCharType="end"/>
      </w:r>
      <w:bookmarkEnd w:id="66"/>
      <w:r w:rsidR="0025418E">
        <w:t xml:space="preserve">: Study EV-201 </w:t>
      </w:r>
      <w:r w:rsidR="00BC1DCB">
        <w:t>(</w:t>
      </w:r>
      <w:r w:rsidR="0025418E">
        <w:t>Cohort 1</w:t>
      </w:r>
      <w:r w:rsidR="00BC1DCB">
        <w:t>)</w:t>
      </w:r>
      <w:r w:rsidR="0025418E">
        <w:t xml:space="preserve"> </w:t>
      </w:r>
      <w:r w:rsidR="00BC1DCB">
        <w:t>P</w:t>
      </w:r>
      <w:r w:rsidR="0025418E">
        <w:t xml:space="preserve">rior </w:t>
      </w:r>
      <w:r w:rsidR="00BC1DCB">
        <w:t xml:space="preserve">systemic </w:t>
      </w:r>
      <w:r w:rsidR="0025418E">
        <w:t>therapies</w:t>
      </w:r>
    </w:p>
    <w:p w14:paraId="69C6F008" w14:textId="22F8863E" w:rsidR="0025418E" w:rsidRDefault="0025418E" w:rsidP="0025418E">
      <w:r>
        <w:rPr>
          <w:noProof/>
          <w:lang w:val="en-GB" w:eastAsia="en-GB"/>
        </w:rPr>
        <w:drawing>
          <wp:inline distT="0" distB="0" distL="0" distR="0" wp14:anchorId="45A9DCAD" wp14:editId="2CFD7B74">
            <wp:extent cx="4581525" cy="5040578"/>
            <wp:effectExtent l="0" t="0" r="0" b="8255"/>
            <wp:docPr id="29" name="Picture 29" descr="Study EV-201 Cohort 1 prio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udy EV-201 Cohort 1 prior therapies"/>
                    <pic:cNvPicPr>
                      <a:picLocks noChangeAspect="1" noChangeArrowheads="1"/>
                    </pic:cNvPicPr>
                  </pic:nvPicPr>
                  <pic:blipFill rotWithShape="1">
                    <a:blip r:embed="rId42">
                      <a:extLst>
                        <a:ext uri="{28A0092B-C50C-407E-A947-70E740481C1C}">
                          <a14:useLocalDpi xmlns:a14="http://schemas.microsoft.com/office/drawing/2010/main" val="0"/>
                        </a:ext>
                      </a:extLst>
                    </a:blip>
                    <a:srcRect r="15402" b="16434"/>
                    <a:stretch/>
                  </pic:blipFill>
                  <pic:spPr bwMode="auto">
                    <a:xfrm>
                      <a:off x="0" y="0"/>
                      <a:ext cx="4590074" cy="5049983"/>
                    </a:xfrm>
                    <a:prstGeom prst="rect">
                      <a:avLst/>
                    </a:prstGeom>
                    <a:noFill/>
                    <a:ln>
                      <a:noFill/>
                    </a:ln>
                    <a:extLst>
                      <a:ext uri="{53640926-AAD7-44D8-BBD7-CCE9431645EC}">
                        <a14:shadowObscured xmlns:a14="http://schemas.microsoft.com/office/drawing/2010/main"/>
                      </a:ext>
                    </a:extLst>
                  </pic:spPr>
                </pic:pic>
              </a:graphicData>
            </a:graphic>
          </wp:inline>
        </w:drawing>
      </w:r>
    </w:p>
    <w:p w14:paraId="3342CE64" w14:textId="542A0790" w:rsidR="0025418E" w:rsidRDefault="0025418E" w:rsidP="0025418E">
      <w:pPr>
        <w:pStyle w:val="TableDescription"/>
      </w:pPr>
      <w:proofErr w:type="spellStart"/>
      <w:r>
        <w:t>a</w:t>
      </w:r>
      <w:proofErr w:type="spellEnd"/>
      <w:r>
        <w:t xml:space="preserve"> Includes prior systemic therapies in the locally advanced or metastatic setting, or anti-PD-1/PD-L1 containing therapy in the neoadjuvant/adjuvant setting and the subject progressed within three months of therapy completion, or </w:t>
      </w:r>
      <w:proofErr w:type="gramStart"/>
      <w:r w:rsidR="007421D5">
        <w:t>platinum</w:t>
      </w:r>
      <w:r>
        <w:t xml:space="preserve"> based</w:t>
      </w:r>
      <w:proofErr w:type="gramEnd"/>
      <w:r>
        <w:t xml:space="preserve"> therapy in the neoadjuvant/adjuvant setting and the subject progressed within 12 months of therapy completion.</w:t>
      </w:r>
    </w:p>
    <w:p w14:paraId="2BC68119" w14:textId="277612C0" w:rsidR="0025418E" w:rsidRDefault="0025418E" w:rsidP="0025418E">
      <w:pPr>
        <w:pStyle w:val="TableDescription"/>
      </w:pPr>
      <w:r>
        <w:t xml:space="preserve">b </w:t>
      </w:r>
      <w:r w:rsidRPr="0025418E">
        <w:t>Specific PD-1/PD-L1 inhibitors were provided by the sponsor.</w:t>
      </w:r>
    </w:p>
    <w:p w14:paraId="77BA053F" w14:textId="7EDB06FA" w:rsidR="0025418E" w:rsidRDefault="0025418E" w:rsidP="0025418E">
      <w:pPr>
        <w:pStyle w:val="TableDescription"/>
      </w:pPr>
      <w:r>
        <w:t>c ‘Other’ is paclitaxel monotherapy.</w:t>
      </w:r>
    </w:p>
    <w:p w14:paraId="0B7DDF63" w14:textId="2D9B4C62" w:rsidR="0025418E" w:rsidRPr="0025418E" w:rsidRDefault="0025418E" w:rsidP="0025418E">
      <w:r w:rsidRPr="0025418E">
        <w:t>At the data cut</w:t>
      </w:r>
      <w:r w:rsidR="00BC1DCB">
        <w:t>-</w:t>
      </w:r>
      <w:r>
        <w:t>off</w:t>
      </w:r>
      <w:r w:rsidR="00265453">
        <w:t xml:space="preserve"> </w:t>
      </w:r>
      <w:r w:rsidRPr="0025418E">
        <w:t xml:space="preserve">the median </w:t>
      </w:r>
      <w:proofErr w:type="gramStart"/>
      <w:r w:rsidRPr="0025418E">
        <w:t>follow</w:t>
      </w:r>
      <w:proofErr w:type="gramEnd"/>
      <w:r>
        <w:t xml:space="preserve"> up</w:t>
      </w:r>
      <w:r w:rsidRPr="0025418E">
        <w:t xml:space="preserve"> time for the 125 treated subjects was 28.4</w:t>
      </w:r>
      <w:r w:rsidR="00BC1DCB">
        <w:t> </w:t>
      </w:r>
      <w:r w:rsidRPr="0025418E">
        <w:t xml:space="preserve">months (range: 0.49, 32.62). The median duration of treatment was 4.6 months, and the </w:t>
      </w:r>
      <w:r w:rsidR="00DC6D7E">
        <w:t>relative dose intensity</w:t>
      </w:r>
      <w:r w:rsidRPr="0025418E">
        <w:t xml:space="preserve"> was 77.8%.</w:t>
      </w:r>
    </w:p>
    <w:p w14:paraId="76EF94FB" w14:textId="1375DC26" w:rsidR="0025418E" w:rsidRPr="0025418E" w:rsidRDefault="0025418E" w:rsidP="0025418E">
      <w:r w:rsidRPr="0025418E">
        <w:t xml:space="preserve">The primary endpoint was </w:t>
      </w:r>
      <w:r w:rsidR="00265453">
        <w:t>overall response rate</w:t>
      </w:r>
      <w:r w:rsidRPr="0025418E">
        <w:t xml:space="preserve"> (</w:t>
      </w:r>
      <w:r w:rsidR="00265453">
        <w:t>complete response plus partial response rate</w:t>
      </w:r>
      <w:r w:rsidRPr="0025418E">
        <w:t>), reported in 44% (95% CI: 35.1%, 53.2%).</w:t>
      </w:r>
    </w:p>
    <w:p w14:paraId="60334DFA" w14:textId="313217BF" w:rsidR="0025418E" w:rsidRPr="0025418E" w:rsidRDefault="00265453" w:rsidP="0025418E">
      <w:r>
        <w:t>Complete response</w:t>
      </w:r>
      <w:r w:rsidR="00BC1DCB">
        <w:t>s</w:t>
      </w:r>
      <w:r w:rsidR="0025418E" w:rsidRPr="0025418E">
        <w:t xml:space="preserve"> w</w:t>
      </w:r>
      <w:r w:rsidR="00BC1DCB">
        <w:t xml:space="preserve">ere </w:t>
      </w:r>
      <w:r w:rsidR="0025418E" w:rsidRPr="0025418E">
        <w:t>reported in 12%, partial response</w:t>
      </w:r>
      <w:r w:rsidR="00BC1DCB">
        <w:t>s</w:t>
      </w:r>
      <w:r w:rsidR="0025418E" w:rsidRPr="0025418E">
        <w:t xml:space="preserve"> in 32%, stable disease in 28% and progressive disease in 18%</w:t>
      </w:r>
      <w:r w:rsidR="00BC1DCB">
        <w:t xml:space="preserve"> of the Cohort 1 population.</w:t>
      </w:r>
    </w:p>
    <w:p w14:paraId="2B436622" w14:textId="2B8B4A77" w:rsidR="0025418E" w:rsidRPr="0025418E" w:rsidRDefault="0025418E" w:rsidP="0025418E">
      <w:r w:rsidRPr="0025418E">
        <w:t>The median duration of response was 7.6 months (95%</w:t>
      </w:r>
      <w:r w:rsidR="00AE668F">
        <w:t xml:space="preserve"> </w:t>
      </w:r>
      <w:r w:rsidRPr="0025418E">
        <w:t>CI: 6.34), with 66% of responders without progressive disease or death at 6 months. Median time from last dose of study drug to first subsequent therapy was 1.68 months (range 0.3 to 21.9) and median time from last dose to first subsequent therapy for progressive disease was 1.81 months (range 0.3 to 10.9).</w:t>
      </w:r>
    </w:p>
    <w:p w14:paraId="33A7AC24" w14:textId="06E99EB7" w:rsidR="0025418E" w:rsidRDefault="0025418E" w:rsidP="0025418E">
      <w:r w:rsidRPr="0025418E">
        <w:lastRenderedPageBreak/>
        <w:t xml:space="preserve">Among the 43% who received subsequent systemic therapy, the most common treatments were combinations of antineoplastic agents (10%), pembrolizumab 8%, docetaxel 6%, and </w:t>
      </w:r>
      <w:proofErr w:type="spellStart"/>
      <w:r w:rsidRPr="0025418E">
        <w:t>sacituzumab</w:t>
      </w:r>
      <w:proofErr w:type="spellEnd"/>
      <w:r w:rsidRPr="0025418E">
        <w:t xml:space="preserve"> </w:t>
      </w:r>
      <w:proofErr w:type="spellStart"/>
      <w:r w:rsidRPr="0025418E">
        <w:t>govitecan</w:t>
      </w:r>
      <w:proofErr w:type="spellEnd"/>
      <w:r w:rsidRPr="0025418E">
        <w:t xml:space="preserve"> 5%. Palliative radiotherapy was received by 23%.</w:t>
      </w:r>
    </w:p>
    <w:p w14:paraId="4B7A7B17" w14:textId="652BCDFC" w:rsidR="00265453" w:rsidRDefault="00265453" w:rsidP="00265453">
      <w:pPr>
        <w:pStyle w:val="Heading5"/>
      </w:pPr>
      <w:r>
        <w:t>Other studies</w:t>
      </w:r>
    </w:p>
    <w:p w14:paraId="6B61D66D" w14:textId="567AFBE3" w:rsidR="00265453" w:rsidRPr="00265453" w:rsidRDefault="00265453" w:rsidP="00265453">
      <w:pPr>
        <w:pStyle w:val="Heading6"/>
      </w:pPr>
      <w:r>
        <w:t xml:space="preserve">Study </w:t>
      </w:r>
      <w:r w:rsidRPr="00265453">
        <w:t>AGS-22M6E-11-1</w:t>
      </w:r>
    </w:p>
    <w:p w14:paraId="236BF202" w14:textId="69C5C3BD" w:rsidR="00265453" w:rsidRPr="00265453" w:rsidRDefault="00265453" w:rsidP="00265453">
      <w:r w:rsidRPr="00265453">
        <w:t xml:space="preserve">This Phase </w:t>
      </w:r>
      <w:r>
        <w:t>I</w:t>
      </w:r>
      <w:r w:rsidRPr="00265453">
        <w:t>, open</w:t>
      </w:r>
      <w:r>
        <w:t xml:space="preserve"> </w:t>
      </w:r>
      <w:r w:rsidRPr="00265453">
        <w:t>label, nonrandomised, multicentre study of the safety and PK of escalating doses of AGS-</w:t>
      </w:r>
      <w:r w:rsidR="00BC1DCB">
        <w:t>2</w:t>
      </w:r>
      <w:r w:rsidRPr="00265453">
        <w:t>2M6E</w:t>
      </w:r>
      <w:r w:rsidR="00BC1DCB">
        <w:t xml:space="preserve"> (drug development code name for the enfortumab vedotin antibody-drug </w:t>
      </w:r>
      <w:r w:rsidR="009855EC">
        <w:t>conjugate</w:t>
      </w:r>
      <w:r w:rsidR="00BC1DCB">
        <w:t>)</w:t>
      </w:r>
      <w:r w:rsidRPr="00265453">
        <w:t xml:space="preserve"> and bridging with </w:t>
      </w:r>
      <w:r>
        <w:t>enfortumab vedotin</w:t>
      </w:r>
      <w:r w:rsidRPr="00265453">
        <w:t xml:space="preserve"> as monotherapy in </w:t>
      </w:r>
      <w:r>
        <w:t>nine</w:t>
      </w:r>
      <w:r w:rsidRPr="00265453">
        <w:t xml:space="preserve"> patients with malignant solid tumours that expressed Nectin-4 tested doses of 0.6 and 1.2</w:t>
      </w:r>
      <w:r w:rsidR="009855EC">
        <w:t> </w:t>
      </w:r>
      <w:r w:rsidRPr="00265453">
        <w:t>mg/kg</w:t>
      </w:r>
      <w:r>
        <w:t xml:space="preserve"> by</w:t>
      </w:r>
      <w:r w:rsidRPr="00265453">
        <w:t xml:space="preserve"> 20</w:t>
      </w:r>
      <w:r>
        <w:t xml:space="preserve"> </w:t>
      </w:r>
      <w:r w:rsidRPr="00265453">
        <w:t xml:space="preserve">minute </w:t>
      </w:r>
      <w:r>
        <w:t>intravenous</w:t>
      </w:r>
      <w:r w:rsidRPr="00265453">
        <w:t xml:space="preserve"> infusion once every </w:t>
      </w:r>
      <w:r>
        <w:t>three</w:t>
      </w:r>
      <w:r w:rsidRPr="00265453">
        <w:t xml:space="preserve"> weeks, until disease progression, intolerability of </w:t>
      </w:r>
      <w:r>
        <w:t>enfortumab vedotin</w:t>
      </w:r>
      <w:r w:rsidRPr="00265453">
        <w:t xml:space="preserve"> or other withdrawal from the study. This study contributed PK, safety, and immunogenicity data.</w:t>
      </w:r>
    </w:p>
    <w:p w14:paraId="7F300B78" w14:textId="768633D2" w:rsidR="00265453" w:rsidRPr="00265453" w:rsidRDefault="00265453" w:rsidP="00265453">
      <w:pPr>
        <w:pStyle w:val="Heading6"/>
      </w:pPr>
      <w:r>
        <w:t xml:space="preserve">Study </w:t>
      </w:r>
      <w:r w:rsidRPr="00265453">
        <w:t>EV-101</w:t>
      </w:r>
    </w:p>
    <w:p w14:paraId="7134E524" w14:textId="4EB9064B" w:rsidR="00265453" w:rsidRPr="00265453" w:rsidRDefault="00265453" w:rsidP="00265453">
      <w:r w:rsidRPr="00265453">
        <w:t xml:space="preserve">This Phase </w:t>
      </w:r>
      <w:r>
        <w:t>I</w:t>
      </w:r>
      <w:r w:rsidRPr="00265453">
        <w:t>, open</w:t>
      </w:r>
      <w:r>
        <w:t xml:space="preserve"> </w:t>
      </w:r>
      <w:r w:rsidRPr="00265453">
        <w:t xml:space="preserve">label, nonrandomised, multicentre study of the safety and PK of escalating doses of </w:t>
      </w:r>
      <w:r>
        <w:t>enfortumab vedotin</w:t>
      </w:r>
      <w:r w:rsidRPr="00265453">
        <w:t xml:space="preserve"> as monotherapy in 213 patients with metastatic urothelial cancer and other metastatic solid tumours that express Nectin-4. The main study was followed by an expansion. Doses tested were 0.5, 0.75, 1.0, 1.25 mg/kg by </w:t>
      </w:r>
      <w:proofErr w:type="gramStart"/>
      <w:r w:rsidRPr="00265453">
        <w:t>30</w:t>
      </w:r>
      <w:r w:rsidR="00AE668F">
        <w:t> </w:t>
      </w:r>
      <w:r w:rsidRPr="00265453">
        <w:t>minute</w:t>
      </w:r>
      <w:proofErr w:type="gramEnd"/>
      <w:r w:rsidRPr="00265453">
        <w:t xml:space="preserve"> </w:t>
      </w:r>
      <w:r>
        <w:t>intravenous</w:t>
      </w:r>
      <w:r w:rsidRPr="00265453">
        <w:t xml:space="preserve"> infusion on </w:t>
      </w:r>
      <w:r w:rsidR="009855EC">
        <w:t>D</w:t>
      </w:r>
      <w:r w:rsidRPr="00265453">
        <w:t>ay</w:t>
      </w:r>
      <w:r>
        <w:t>s</w:t>
      </w:r>
      <w:r w:rsidRPr="00265453">
        <w:t xml:space="preserve"> 1, 8 and 15 of a 28 day cycle, until disease progression, intolerability of </w:t>
      </w:r>
      <w:r>
        <w:t>enfortumab vedotin</w:t>
      </w:r>
      <w:r w:rsidRPr="00265453">
        <w:t xml:space="preserve"> or other withdrawal from the study. This study contributed PK, safety, and immunogenicity data.</w:t>
      </w:r>
    </w:p>
    <w:p w14:paraId="15477B4F" w14:textId="6C9D9BF6" w:rsidR="00265453" w:rsidRPr="00265453" w:rsidRDefault="00265453" w:rsidP="00265453">
      <w:pPr>
        <w:pStyle w:val="Heading6"/>
      </w:pPr>
      <w:r>
        <w:t xml:space="preserve">Study </w:t>
      </w:r>
      <w:r w:rsidRPr="00265453">
        <w:t>EV-102</w:t>
      </w:r>
    </w:p>
    <w:p w14:paraId="5C8A1ABB" w14:textId="2B333B6C" w:rsidR="00265453" w:rsidRDefault="00265453" w:rsidP="00265453">
      <w:r w:rsidRPr="00265453">
        <w:t xml:space="preserve">This Phase </w:t>
      </w:r>
      <w:r>
        <w:t>I</w:t>
      </w:r>
      <w:r w:rsidRPr="00265453">
        <w:t>, open</w:t>
      </w:r>
      <w:r>
        <w:t xml:space="preserve"> </w:t>
      </w:r>
      <w:r w:rsidRPr="00265453">
        <w:t xml:space="preserve">label, randomised, multicentre study of the safety, </w:t>
      </w:r>
      <w:proofErr w:type="gramStart"/>
      <w:r w:rsidRPr="00265453">
        <w:t>tolerability</w:t>
      </w:r>
      <w:proofErr w:type="gramEnd"/>
      <w:r w:rsidRPr="00265453">
        <w:t xml:space="preserve"> and PK of </w:t>
      </w:r>
      <w:r>
        <w:t>two</w:t>
      </w:r>
      <w:r w:rsidRPr="00265453">
        <w:t xml:space="preserve"> doses of </w:t>
      </w:r>
      <w:r>
        <w:t>enfortumab vedotin</w:t>
      </w:r>
      <w:r w:rsidRPr="00265453">
        <w:t xml:space="preserve"> as monotherapy in 19 Japanese patients with locally advanced or </w:t>
      </w:r>
      <w:r>
        <w:t>metastatic urothelial cancer</w:t>
      </w:r>
      <w:r w:rsidRPr="00265453">
        <w:t xml:space="preserve">. Doses tested were 1.0, and 1.25 mg/kg by </w:t>
      </w:r>
      <w:proofErr w:type="gramStart"/>
      <w:r w:rsidRPr="00265453">
        <w:t>30</w:t>
      </w:r>
      <w:r w:rsidR="00AE668F">
        <w:t> </w:t>
      </w:r>
      <w:r w:rsidRPr="00265453">
        <w:t>minute</w:t>
      </w:r>
      <w:proofErr w:type="gramEnd"/>
      <w:r w:rsidRPr="00265453">
        <w:t xml:space="preserve"> </w:t>
      </w:r>
      <w:r>
        <w:t>intravenous</w:t>
      </w:r>
      <w:r w:rsidRPr="00265453">
        <w:t xml:space="preserve"> infusion on </w:t>
      </w:r>
      <w:r w:rsidR="009855EC">
        <w:t>D</w:t>
      </w:r>
      <w:r w:rsidRPr="00265453">
        <w:t>ays 1</w:t>
      </w:r>
      <w:r w:rsidR="00AE668F">
        <w:t>,</w:t>
      </w:r>
      <w:r w:rsidRPr="00265453">
        <w:t xml:space="preserve"> 8 and 15 of a 28 day cycle, until disease progression, intolerability of </w:t>
      </w:r>
      <w:r>
        <w:t>enfortumab vedotin</w:t>
      </w:r>
      <w:r w:rsidRPr="00265453">
        <w:t xml:space="preserve"> or other withdrawal from the study. This study contributed PK, safety, and immunogenicity data in Japanese patients.</w:t>
      </w:r>
    </w:p>
    <w:p w14:paraId="3D002CDD" w14:textId="1700FD10" w:rsidR="00265453" w:rsidRDefault="00265453" w:rsidP="00265453">
      <w:pPr>
        <w:pStyle w:val="Heading4"/>
      </w:pPr>
      <w:r>
        <w:t>Safety</w:t>
      </w:r>
    </w:p>
    <w:p w14:paraId="7D137CDD" w14:textId="2DAFC819" w:rsidR="00E0212C" w:rsidRDefault="00E0212C" w:rsidP="00E0212C">
      <w:r>
        <w:t xml:space="preserve">The safety data were presented in summary form, comprising the two treatment arms of Study EV-301 and the two </w:t>
      </w:r>
      <w:r w:rsidR="009855EC">
        <w:t>c</w:t>
      </w:r>
      <w:r>
        <w:t>ohorts of Study EV-201</w:t>
      </w:r>
      <w:r w:rsidR="00F248EE">
        <w:t xml:space="preserve"> (</w:t>
      </w:r>
      <w:r w:rsidR="00F248EE">
        <w:fldChar w:fldCharType="begin"/>
      </w:r>
      <w:r w:rsidR="00F248EE">
        <w:instrText xml:space="preserve"> REF _Ref124415010 \h </w:instrText>
      </w:r>
      <w:r w:rsidR="00F248EE">
        <w:fldChar w:fldCharType="separate"/>
      </w:r>
      <w:r w:rsidR="00555193">
        <w:t xml:space="preserve">Table </w:t>
      </w:r>
      <w:r w:rsidR="00555193">
        <w:rPr>
          <w:noProof/>
        </w:rPr>
        <w:t>16</w:t>
      </w:r>
      <w:r w:rsidR="00F248EE">
        <w:fldChar w:fldCharType="end"/>
      </w:r>
      <w:r w:rsidR="00F248EE">
        <w:t>)</w:t>
      </w:r>
      <w:r>
        <w:t>.</w:t>
      </w:r>
    </w:p>
    <w:p w14:paraId="1BF90750" w14:textId="7A91DB9C" w:rsidR="00265453" w:rsidRDefault="00E0212C" w:rsidP="00E0212C">
      <w:r>
        <w:t>Overall, 680 patients received at least one dose of enfortumab vedotin at the 1.25 mg/kg dose.</w:t>
      </w:r>
    </w:p>
    <w:p w14:paraId="48A2DB7E" w14:textId="1DA6D778" w:rsidR="00E0212C" w:rsidRDefault="00E0212C" w:rsidP="00E0212C">
      <w:pPr>
        <w:pStyle w:val="Tabletitle0"/>
      </w:pPr>
      <w:bookmarkStart w:id="67" w:name="_Ref124415010"/>
      <w:r>
        <w:t xml:space="preserve">Table </w:t>
      </w:r>
      <w:r w:rsidR="00EA2B2C">
        <w:fldChar w:fldCharType="begin"/>
      </w:r>
      <w:r w:rsidR="00EA2B2C">
        <w:instrText xml:space="preserve"> SEQ Table \* ARABIC </w:instrText>
      </w:r>
      <w:r w:rsidR="00EA2B2C">
        <w:fldChar w:fldCharType="separate"/>
      </w:r>
      <w:r w:rsidR="00555193">
        <w:rPr>
          <w:noProof/>
        </w:rPr>
        <w:t>16</w:t>
      </w:r>
      <w:r w:rsidR="00EA2B2C">
        <w:rPr>
          <w:noProof/>
        </w:rPr>
        <w:fldChar w:fldCharType="end"/>
      </w:r>
      <w:bookmarkEnd w:id="67"/>
      <w:r>
        <w:t>: Stud</w:t>
      </w:r>
      <w:r w:rsidR="009855EC">
        <w:t>ies</w:t>
      </w:r>
      <w:r>
        <w:t xml:space="preserve"> EV-201 and EV-301</w:t>
      </w:r>
      <w:r w:rsidR="009855EC">
        <w:t xml:space="preserve"> Safety summary of enfortumab vedotin</w:t>
      </w:r>
    </w:p>
    <w:tbl>
      <w:tblPr>
        <w:tblStyle w:val="TableTGAblue"/>
        <w:tblW w:w="8810" w:type="dxa"/>
        <w:tblCellMar>
          <w:left w:w="28" w:type="dxa"/>
          <w:right w:w="28" w:type="dxa"/>
        </w:tblCellMar>
        <w:tblLook w:val="04A0" w:firstRow="1" w:lastRow="0" w:firstColumn="1" w:lastColumn="0" w:noHBand="0" w:noVBand="1"/>
      </w:tblPr>
      <w:tblGrid>
        <w:gridCol w:w="3050"/>
        <w:gridCol w:w="1544"/>
        <w:gridCol w:w="1633"/>
        <w:gridCol w:w="1252"/>
        <w:gridCol w:w="1331"/>
      </w:tblGrid>
      <w:tr w:rsidR="00240D77" w:rsidRPr="002D271E" w14:paraId="194FE4EC" w14:textId="77777777" w:rsidTr="00700D74">
        <w:trPr>
          <w:cnfStyle w:val="100000000000" w:firstRow="1" w:lastRow="0" w:firstColumn="0" w:lastColumn="0" w:oddVBand="0" w:evenVBand="0" w:oddHBand="0" w:evenHBand="0" w:firstRowFirstColumn="0" w:firstRowLastColumn="0" w:lastRowFirstColumn="0" w:lastRowLastColumn="0"/>
        </w:trPr>
        <w:tc>
          <w:tcPr>
            <w:tcW w:w="3050" w:type="dxa"/>
            <w:vMerge w:val="restart"/>
            <w:tcBorders>
              <w:right w:val="single" w:sz="4" w:space="0" w:color="auto"/>
            </w:tcBorders>
            <w:shd w:val="clear" w:color="auto" w:fill="0070C0"/>
          </w:tcPr>
          <w:p w14:paraId="3693F639" w14:textId="77777777" w:rsidR="009855EC" w:rsidRPr="005638DF" w:rsidRDefault="009855EC" w:rsidP="00240D77"/>
        </w:tc>
        <w:tc>
          <w:tcPr>
            <w:tcW w:w="3177" w:type="dxa"/>
            <w:gridSpan w:val="2"/>
            <w:tcBorders>
              <w:left w:val="single" w:sz="4" w:space="0" w:color="auto"/>
              <w:right w:val="single" w:sz="4" w:space="0" w:color="auto"/>
            </w:tcBorders>
            <w:shd w:val="clear" w:color="auto" w:fill="0070C0"/>
          </w:tcPr>
          <w:p w14:paraId="40247F8C" w14:textId="7E07EB55" w:rsidR="009855EC" w:rsidRPr="00240D77" w:rsidRDefault="009855EC" w:rsidP="00240D77">
            <w:r>
              <w:t xml:space="preserve">Study </w:t>
            </w:r>
            <w:r w:rsidRPr="00240D77">
              <w:rPr>
                <w:szCs w:val="22"/>
              </w:rPr>
              <w:t>EV-301</w:t>
            </w:r>
          </w:p>
        </w:tc>
        <w:tc>
          <w:tcPr>
            <w:tcW w:w="2583" w:type="dxa"/>
            <w:gridSpan w:val="2"/>
            <w:tcBorders>
              <w:left w:val="single" w:sz="4" w:space="0" w:color="auto"/>
            </w:tcBorders>
            <w:shd w:val="clear" w:color="auto" w:fill="0070C0"/>
          </w:tcPr>
          <w:p w14:paraId="0C68534A" w14:textId="58764076" w:rsidR="009855EC" w:rsidRPr="00240D77" w:rsidRDefault="009855EC" w:rsidP="00240D77">
            <w:r>
              <w:t xml:space="preserve">Study </w:t>
            </w:r>
            <w:r w:rsidRPr="00240D77">
              <w:rPr>
                <w:szCs w:val="22"/>
              </w:rPr>
              <w:t>EV-201</w:t>
            </w:r>
          </w:p>
        </w:tc>
      </w:tr>
      <w:tr w:rsidR="00700D74" w:rsidRPr="002D271E" w14:paraId="6415B68D" w14:textId="77777777" w:rsidTr="00700D74">
        <w:tc>
          <w:tcPr>
            <w:tcW w:w="3050" w:type="dxa"/>
            <w:vMerge/>
            <w:tcBorders>
              <w:right w:val="single" w:sz="4" w:space="0" w:color="auto"/>
            </w:tcBorders>
            <w:shd w:val="clear" w:color="auto" w:fill="0070C0"/>
          </w:tcPr>
          <w:p w14:paraId="290DFD90" w14:textId="77777777" w:rsidR="009855EC" w:rsidRPr="00240D77" w:rsidRDefault="009855EC" w:rsidP="00240D77"/>
        </w:tc>
        <w:tc>
          <w:tcPr>
            <w:tcW w:w="1544" w:type="dxa"/>
            <w:tcBorders>
              <w:left w:val="single" w:sz="4" w:space="0" w:color="auto"/>
            </w:tcBorders>
            <w:shd w:val="clear" w:color="auto" w:fill="0070C0"/>
          </w:tcPr>
          <w:p w14:paraId="64A4D0BC" w14:textId="1D333515" w:rsidR="009855EC" w:rsidRPr="00240D77" w:rsidRDefault="009855EC" w:rsidP="00240D77">
            <w:pPr>
              <w:rPr>
                <w:color w:val="FFFFFF" w:themeColor="background1"/>
                <w:sz w:val="20"/>
              </w:rPr>
            </w:pPr>
            <w:r w:rsidRPr="00240D77">
              <w:rPr>
                <w:color w:val="FFFFFF" w:themeColor="background1"/>
                <w:sz w:val="20"/>
              </w:rPr>
              <w:t>Arm A;</w:t>
            </w:r>
            <w:r w:rsidRPr="00240D77">
              <w:rPr>
                <w:color w:val="FFFFFF" w:themeColor="background1"/>
                <w:sz w:val="20"/>
              </w:rPr>
              <w:br/>
              <w:t>Enfortumab vedotin</w:t>
            </w:r>
          </w:p>
          <w:p w14:paraId="21E8B78E" w14:textId="73D02695" w:rsidR="009855EC" w:rsidRPr="00240D77" w:rsidRDefault="009855EC" w:rsidP="00240D77">
            <w:pPr>
              <w:rPr>
                <w:color w:val="FFFFFF" w:themeColor="background1"/>
                <w:sz w:val="20"/>
              </w:rPr>
            </w:pPr>
            <w:r w:rsidRPr="00240D77">
              <w:rPr>
                <w:color w:val="FFFFFF" w:themeColor="background1"/>
                <w:sz w:val="20"/>
              </w:rPr>
              <w:t>(n</w:t>
            </w:r>
            <w:r w:rsidR="00700D74">
              <w:rPr>
                <w:color w:val="FFFFFF" w:themeColor="background1"/>
                <w:sz w:val="20"/>
              </w:rPr>
              <w:t xml:space="preserve"> </w:t>
            </w:r>
            <w:r w:rsidRPr="00240D77">
              <w:rPr>
                <w:color w:val="FFFFFF" w:themeColor="background1"/>
                <w:sz w:val="20"/>
              </w:rPr>
              <w:t>=</w:t>
            </w:r>
            <w:r w:rsidR="00700D74">
              <w:rPr>
                <w:color w:val="FFFFFF" w:themeColor="background1"/>
                <w:sz w:val="20"/>
              </w:rPr>
              <w:t xml:space="preserve"> </w:t>
            </w:r>
            <w:r w:rsidRPr="00240D77">
              <w:rPr>
                <w:color w:val="FFFFFF" w:themeColor="background1"/>
                <w:sz w:val="20"/>
              </w:rPr>
              <w:t>296)</w:t>
            </w:r>
          </w:p>
        </w:tc>
        <w:tc>
          <w:tcPr>
            <w:tcW w:w="1633" w:type="dxa"/>
            <w:shd w:val="clear" w:color="auto" w:fill="0070C0"/>
          </w:tcPr>
          <w:p w14:paraId="77D694B4" w14:textId="71D3A5F2" w:rsidR="009855EC" w:rsidRPr="00240D77" w:rsidRDefault="009855EC" w:rsidP="00240D77">
            <w:pPr>
              <w:rPr>
                <w:color w:val="FFFFFF" w:themeColor="background1"/>
                <w:sz w:val="20"/>
              </w:rPr>
            </w:pPr>
            <w:r w:rsidRPr="00240D77">
              <w:rPr>
                <w:color w:val="FFFFFF" w:themeColor="background1"/>
                <w:sz w:val="20"/>
              </w:rPr>
              <w:t>Arm B; chemotherapy</w:t>
            </w:r>
          </w:p>
          <w:p w14:paraId="7E13C096" w14:textId="229205AF" w:rsidR="009855EC" w:rsidRPr="00240D77" w:rsidRDefault="009855EC" w:rsidP="00240D77">
            <w:pPr>
              <w:rPr>
                <w:color w:val="FFFFFF" w:themeColor="background1"/>
                <w:sz w:val="20"/>
              </w:rPr>
            </w:pPr>
            <w:r w:rsidRPr="00240D77">
              <w:rPr>
                <w:color w:val="FFFFFF" w:themeColor="background1"/>
                <w:sz w:val="20"/>
              </w:rPr>
              <w:t>(n</w:t>
            </w:r>
            <w:r w:rsidR="00700D74">
              <w:rPr>
                <w:color w:val="FFFFFF" w:themeColor="background1"/>
                <w:sz w:val="20"/>
              </w:rPr>
              <w:t xml:space="preserve"> </w:t>
            </w:r>
            <w:r w:rsidRPr="00240D77">
              <w:rPr>
                <w:color w:val="FFFFFF" w:themeColor="background1"/>
                <w:sz w:val="20"/>
              </w:rPr>
              <w:t>=</w:t>
            </w:r>
            <w:r w:rsidR="00700D74">
              <w:rPr>
                <w:color w:val="FFFFFF" w:themeColor="background1"/>
                <w:sz w:val="20"/>
              </w:rPr>
              <w:t xml:space="preserve"> </w:t>
            </w:r>
            <w:r w:rsidRPr="00240D77">
              <w:rPr>
                <w:color w:val="FFFFFF" w:themeColor="background1"/>
                <w:sz w:val="20"/>
              </w:rPr>
              <w:t>291)</w:t>
            </w:r>
          </w:p>
        </w:tc>
        <w:tc>
          <w:tcPr>
            <w:tcW w:w="1252" w:type="dxa"/>
            <w:shd w:val="clear" w:color="auto" w:fill="0070C0"/>
          </w:tcPr>
          <w:p w14:paraId="56D03CCB" w14:textId="77777777" w:rsidR="009855EC" w:rsidRPr="00240D77" w:rsidRDefault="009855EC" w:rsidP="00240D77">
            <w:pPr>
              <w:rPr>
                <w:color w:val="FFFFFF" w:themeColor="background1"/>
                <w:sz w:val="20"/>
              </w:rPr>
            </w:pPr>
            <w:r w:rsidRPr="00240D77">
              <w:rPr>
                <w:color w:val="FFFFFF" w:themeColor="background1"/>
                <w:sz w:val="20"/>
              </w:rPr>
              <w:t>Cohort 1</w:t>
            </w:r>
          </w:p>
          <w:p w14:paraId="0DB90CCB" w14:textId="5C0279C7" w:rsidR="009855EC" w:rsidRPr="00240D77" w:rsidRDefault="009855EC" w:rsidP="00240D77">
            <w:pPr>
              <w:rPr>
                <w:color w:val="FFFFFF" w:themeColor="background1"/>
                <w:sz w:val="20"/>
              </w:rPr>
            </w:pPr>
            <w:r w:rsidRPr="00240D77">
              <w:rPr>
                <w:color w:val="FFFFFF" w:themeColor="background1"/>
                <w:sz w:val="20"/>
              </w:rPr>
              <w:t>(n</w:t>
            </w:r>
            <w:r w:rsidR="00700D74">
              <w:rPr>
                <w:color w:val="FFFFFF" w:themeColor="background1"/>
                <w:sz w:val="20"/>
              </w:rPr>
              <w:t xml:space="preserve"> </w:t>
            </w:r>
            <w:r w:rsidRPr="00240D77">
              <w:rPr>
                <w:color w:val="FFFFFF" w:themeColor="background1"/>
                <w:sz w:val="20"/>
              </w:rPr>
              <w:t>=</w:t>
            </w:r>
            <w:r w:rsidR="00700D74">
              <w:rPr>
                <w:color w:val="FFFFFF" w:themeColor="background1"/>
                <w:sz w:val="20"/>
              </w:rPr>
              <w:t xml:space="preserve"> </w:t>
            </w:r>
            <w:r w:rsidRPr="00240D77">
              <w:rPr>
                <w:color w:val="FFFFFF" w:themeColor="background1"/>
                <w:sz w:val="20"/>
              </w:rPr>
              <w:t>125)</w:t>
            </w:r>
          </w:p>
        </w:tc>
        <w:tc>
          <w:tcPr>
            <w:tcW w:w="1331" w:type="dxa"/>
            <w:shd w:val="clear" w:color="auto" w:fill="0070C0"/>
          </w:tcPr>
          <w:p w14:paraId="0F2C8172" w14:textId="77777777" w:rsidR="009855EC" w:rsidRPr="00240D77" w:rsidRDefault="009855EC" w:rsidP="00240D77">
            <w:pPr>
              <w:rPr>
                <w:color w:val="FFFFFF" w:themeColor="background1"/>
                <w:sz w:val="20"/>
              </w:rPr>
            </w:pPr>
            <w:r w:rsidRPr="00240D77">
              <w:rPr>
                <w:color w:val="FFFFFF" w:themeColor="background1"/>
                <w:sz w:val="20"/>
              </w:rPr>
              <w:t>Cohort 2</w:t>
            </w:r>
          </w:p>
          <w:p w14:paraId="396EA0A5" w14:textId="50F841B6" w:rsidR="009855EC" w:rsidRPr="00240D77" w:rsidRDefault="009855EC" w:rsidP="00240D77">
            <w:pPr>
              <w:rPr>
                <w:color w:val="FFFFFF" w:themeColor="background1"/>
                <w:sz w:val="20"/>
              </w:rPr>
            </w:pPr>
            <w:r w:rsidRPr="00240D77">
              <w:rPr>
                <w:color w:val="FFFFFF" w:themeColor="background1"/>
                <w:sz w:val="20"/>
              </w:rPr>
              <w:t>(n</w:t>
            </w:r>
            <w:r w:rsidR="00700D74">
              <w:rPr>
                <w:color w:val="FFFFFF" w:themeColor="background1"/>
                <w:sz w:val="20"/>
              </w:rPr>
              <w:t xml:space="preserve"> </w:t>
            </w:r>
            <w:r w:rsidRPr="00240D77">
              <w:rPr>
                <w:color w:val="FFFFFF" w:themeColor="background1"/>
                <w:sz w:val="20"/>
              </w:rPr>
              <w:t>=</w:t>
            </w:r>
            <w:r w:rsidR="00700D74">
              <w:rPr>
                <w:color w:val="FFFFFF" w:themeColor="background1"/>
                <w:sz w:val="20"/>
              </w:rPr>
              <w:t xml:space="preserve"> </w:t>
            </w:r>
            <w:r w:rsidRPr="00240D77">
              <w:rPr>
                <w:color w:val="FFFFFF" w:themeColor="background1"/>
                <w:sz w:val="20"/>
              </w:rPr>
              <w:t>89)</w:t>
            </w:r>
          </w:p>
        </w:tc>
      </w:tr>
      <w:tr w:rsidR="00C203B3" w:rsidRPr="002D271E" w14:paraId="23A0ADB5" w14:textId="77777777" w:rsidTr="00F15683">
        <w:tc>
          <w:tcPr>
            <w:tcW w:w="8810" w:type="dxa"/>
            <w:gridSpan w:val="5"/>
          </w:tcPr>
          <w:p w14:paraId="46ED9602" w14:textId="3CF766CA" w:rsidR="00C203B3" w:rsidRPr="00240D77" w:rsidRDefault="00C203B3" w:rsidP="00240D77">
            <w:pPr>
              <w:rPr>
                <w:sz w:val="20"/>
              </w:rPr>
            </w:pPr>
            <w:r w:rsidRPr="00240D77">
              <w:rPr>
                <w:b/>
                <w:sz w:val="20"/>
              </w:rPr>
              <w:t>Exposure</w:t>
            </w:r>
          </w:p>
        </w:tc>
      </w:tr>
      <w:tr w:rsidR="00700D74" w:rsidRPr="00522C41" w14:paraId="5F717D3F" w14:textId="77777777" w:rsidTr="00700D74">
        <w:tc>
          <w:tcPr>
            <w:tcW w:w="3050" w:type="dxa"/>
          </w:tcPr>
          <w:p w14:paraId="6634D091" w14:textId="77777777" w:rsidR="009855EC" w:rsidRPr="00240D77" w:rsidRDefault="009855EC" w:rsidP="00240D77">
            <w:pPr>
              <w:rPr>
                <w:sz w:val="20"/>
              </w:rPr>
            </w:pPr>
            <w:r w:rsidRPr="00240D77">
              <w:rPr>
                <w:sz w:val="20"/>
              </w:rPr>
              <w:t>Median duration of exposure, months</w:t>
            </w:r>
          </w:p>
        </w:tc>
        <w:tc>
          <w:tcPr>
            <w:tcW w:w="1544" w:type="dxa"/>
          </w:tcPr>
          <w:p w14:paraId="13324663" w14:textId="77777777" w:rsidR="009855EC" w:rsidRPr="00240D77" w:rsidRDefault="009855EC" w:rsidP="00240D77">
            <w:pPr>
              <w:rPr>
                <w:sz w:val="20"/>
              </w:rPr>
            </w:pPr>
            <w:r w:rsidRPr="00240D77">
              <w:rPr>
                <w:sz w:val="20"/>
              </w:rPr>
              <w:t>4.99</w:t>
            </w:r>
          </w:p>
        </w:tc>
        <w:tc>
          <w:tcPr>
            <w:tcW w:w="1633" w:type="dxa"/>
          </w:tcPr>
          <w:p w14:paraId="0AC2F32C" w14:textId="77777777" w:rsidR="009855EC" w:rsidRPr="00240D77" w:rsidRDefault="009855EC" w:rsidP="00240D77">
            <w:pPr>
              <w:rPr>
                <w:sz w:val="20"/>
              </w:rPr>
            </w:pPr>
            <w:r w:rsidRPr="00240D77">
              <w:rPr>
                <w:sz w:val="20"/>
              </w:rPr>
              <w:t>3.45</w:t>
            </w:r>
          </w:p>
        </w:tc>
        <w:tc>
          <w:tcPr>
            <w:tcW w:w="1252" w:type="dxa"/>
          </w:tcPr>
          <w:p w14:paraId="73F7A317" w14:textId="77777777" w:rsidR="009855EC" w:rsidRPr="00240D77" w:rsidRDefault="009855EC" w:rsidP="00240D77">
            <w:pPr>
              <w:rPr>
                <w:sz w:val="20"/>
              </w:rPr>
            </w:pPr>
            <w:r w:rsidRPr="00240D77">
              <w:rPr>
                <w:sz w:val="20"/>
              </w:rPr>
              <w:t>4.6</w:t>
            </w:r>
          </w:p>
        </w:tc>
        <w:tc>
          <w:tcPr>
            <w:tcW w:w="1331" w:type="dxa"/>
          </w:tcPr>
          <w:p w14:paraId="7E38ADD3" w14:textId="77777777" w:rsidR="009855EC" w:rsidRPr="00240D77" w:rsidRDefault="009855EC" w:rsidP="00240D77">
            <w:pPr>
              <w:rPr>
                <w:sz w:val="20"/>
              </w:rPr>
            </w:pPr>
            <w:r w:rsidRPr="00240D77">
              <w:rPr>
                <w:sz w:val="20"/>
              </w:rPr>
              <w:t>5.98</w:t>
            </w:r>
          </w:p>
        </w:tc>
      </w:tr>
      <w:tr w:rsidR="00700D74" w:rsidRPr="00522C41" w14:paraId="5E4CFAA8" w14:textId="77777777" w:rsidTr="00700D74">
        <w:tc>
          <w:tcPr>
            <w:tcW w:w="3050" w:type="dxa"/>
          </w:tcPr>
          <w:p w14:paraId="1FDED4FF" w14:textId="77777777" w:rsidR="009855EC" w:rsidRPr="00240D77" w:rsidRDefault="009855EC" w:rsidP="00240D77">
            <w:pPr>
              <w:rPr>
                <w:sz w:val="20"/>
              </w:rPr>
            </w:pPr>
            <w:r w:rsidRPr="00240D77">
              <w:rPr>
                <w:sz w:val="20"/>
              </w:rPr>
              <w:t xml:space="preserve">Median relative dose intensity </w:t>
            </w:r>
          </w:p>
        </w:tc>
        <w:tc>
          <w:tcPr>
            <w:tcW w:w="1544" w:type="dxa"/>
          </w:tcPr>
          <w:p w14:paraId="429DFED2" w14:textId="77777777" w:rsidR="009855EC" w:rsidRPr="00240D77" w:rsidRDefault="009855EC" w:rsidP="00240D77">
            <w:pPr>
              <w:rPr>
                <w:sz w:val="20"/>
              </w:rPr>
            </w:pPr>
            <w:r w:rsidRPr="00240D77">
              <w:rPr>
                <w:sz w:val="20"/>
              </w:rPr>
              <w:t>80.7%</w:t>
            </w:r>
          </w:p>
        </w:tc>
        <w:tc>
          <w:tcPr>
            <w:tcW w:w="1633" w:type="dxa"/>
          </w:tcPr>
          <w:p w14:paraId="4245A35E" w14:textId="77777777" w:rsidR="009855EC" w:rsidRPr="00240D77" w:rsidRDefault="009855EC" w:rsidP="00240D77">
            <w:pPr>
              <w:rPr>
                <w:sz w:val="20"/>
              </w:rPr>
            </w:pPr>
            <w:r w:rsidRPr="00240D77">
              <w:rPr>
                <w:sz w:val="20"/>
              </w:rPr>
              <w:t>97.4%</w:t>
            </w:r>
          </w:p>
        </w:tc>
        <w:tc>
          <w:tcPr>
            <w:tcW w:w="1252" w:type="dxa"/>
          </w:tcPr>
          <w:p w14:paraId="04992844" w14:textId="77777777" w:rsidR="009855EC" w:rsidRPr="00240D77" w:rsidRDefault="009855EC" w:rsidP="00240D77">
            <w:pPr>
              <w:rPr>
                <w:sz w:val="20"/>
              </w:rPr>
            </w:pPr>
            <w:r w:rsidRPr="00240D77">
              <w:rPr>
                <w:sz w:val="20"/>
              </w:rPr>
              <w:t>78.7%</w:t>
            </w:r>
          </w:p>
        </w:tc>
        <w:tc>
          <w:tcPr>
            <w:tcW w:w="1331" w:type="dxa"/>
          </w:tcPr>
          <w:p w14:paraId="02AA6763" w14:textId="77777777" w:rsidR="009855EC" w:rsidRPr="00240D77" w:rsidRDefault="009855EC" w:rsidP="00240D77">
            <w:pPr>
              <w:rPr>
                <w:sz w:val="20"/>
              </w:rPr>
            </w:pPr>
            <w:r w:rsidRPr="00240D77">
              <w:rPr>
                <w:sz w:val="20"/>
              </w:rPr>
              <w:t>79%</w:t>
            </w:r>
          </w:p>
        </w:tc>
      </w:tr>
      <w:tr w:rsidR="00700D74" w:rsidRPr="002D271E" w14:paraId="56B82603" w14:textId="77777777" w:rsidTr="00F15683">
        <w:tc>
          <w:tcPr>
            <w:tcW w:w="8810" w:type="dxa"/>
            <w:gridSpan w:val="5"/>
          </w:tcPr>
          <w:p w14:paraId="26F9C2F0" w14:textId="5A3ED9FF" w:rsidR="00700D74" w:rsidRPr="00240D77" w:rsidRDefault="00700D74" w:rsidP="008D2D0F">
            <w:pPr>
              <w:ind w:firstLine="69"/>
              <w:rPr>
                <w:b/>
              </w:rPr>
            </w:pPr>
            <w:r w:rsidRPr="00240D77">
              <w:rPr>
                <w:b/>
                <w:sz w:val="20"/>
              </w:rPr>
              <w:lastRenderedPageBreak/>
              <w:t>Deaths</w:t>
            </w:r>
          </w:p>
        </w:tc>
      </w:tr>
      <w:tr w:rsidR="00700D74" w:rsidRPr="00F74B7E" w14:paraId="70AC8FD4" w14:textId="77777777" w:rsidTr="00700D74">
        <w:tc>
          <w:tcPr>
            <w:tcW w:w="3050" w:type="dxa"/>
          </w:tcPr>
          <w:p w14:paraId="71971D19" w14:textId="77777777" w:rsidR="009855EC" w:rsidRPr="00240D77" w:rsidRDefault="009855EC" w:rsidP="008D2D0F">
            <w:pPr>
              <w:spacing w:before="0" w:after="0"/>
              <w:ind w:left="239"/>
              <w:rPr>
                <w:sz w:val="20"/>
              </w:rPr>
            </w:pPr>
            <w:r w:rsidRPr="00240D77">
              <w:rPr>
                <w:sz w:val="20"/>
              </w:rPr>
              <w:t>Patients who had a fatal (treatment-emergent) adverse event, %</w:t>
            </w:r>
          </w:p>
        </w:tc>
        <w:tc>
          <w:tcPr>
            <w:tcW w:w="1544" w:type="dxa"/>
          </w:tcPr>
          <w:p w14:paraId="4D444A62" w14:textId="77777777" w:rsidR="009855EC" w:rsidRPr="00240D77" w:rsidRDefault="009855EC" w:rsidP="008D2D0F">
            <w:pPr>
              <w:spacing w:before="0" w:after="0"/>
              <w:ind w:firstLine="69"/>
              <w:rPr>
                <w:sz w:val="20"/>
              </w:rPr>
            </w:pPr>
            <w:r w:rsidRPr="00240D77">
              <w:rPr>
                <w:sz w:val="20"/>
              </w:rPr>
              <w:t>7.1</w:t>
            </w:r>
          </w:p>
        </w:tc>
        <w:tc>
          <w:tcPr>
            <w:tcW w:w="1633" w:type="dxa"/>
          </w:tcPr>
          <w:p w14:paraId="4FE666A5" w14:textId="77777777" w:rsidR="009855EC" w:rsidRPr="00240D77" w:rsidRDefault="009855EC" w:rsidP="008D2D0F">
            <w:pPr>
              <w:spacing w:before="0" w:after="0"/>
              <w:ind w:firstLine="69"/>
              <w:rPr>
                <w:sz w:val="20"/>
              </w:rPr>
            </w:pPr>
            <w:r w:rsidRPr="00240D77">
              <w:rPr>
                <w:sz w:val="20"/>
              </w:rPr>
              <w:t>5.5</w:t>
            </w:r>
          </w:p>
        </w:tc>
        <w:tc>
          <w:tcPr>
            <w:tcW w:w="1252" w:type="dxa"/>
          </w:tcPr>
          <w:p w14:paraId="54FCA800" w14:textId="77777777" w:rsidR="009855EC" w:rsidRPr="00240D77" w:rsidRDefault="009855EC" w:rsidP="008D2D0F">
            <w:pPr>
              <w:spacing w:before="0" w:after="0"/>
              <w:ind w:firstLine="69"/>
              <w:rPr>
                <w:sz w:val="20"/>
              </w:rPr>
            </w:pPr>
            <w:r w:rsidRPr="00240D77">
              <w:rPr>
                <w:sz w:val="20"/>
              </w:rPr>
              <w:t>5.6</w:t>
            </w:r>
          </w:p>
        </w:tc>
        <w:tc>
          <w:tcPr>
            <w:tcW w:w="1331" w:type="dxa"/>
          </w:tcPr>
          <w:p w14:paraId="7BC5DC97" w14:textId="77777777" w:rsidR="009855EC" w:rsidRPr="00240D77" w:rsidRDefault="009855EC" w:rsidP="008D2D0F">
            <w:pPr>
              <w:spacing w:before="0" w:after="0"/>
              <w:ind w:firstLine="69"/>
              <w:rPr>
                <w:sz w:val="20"/>
              </w:rPr>
            </w:pPr>
            <w:r w:rsidRPr="00240D77">
              <w:rPr>
                <w:sz w:val="20"/>
              </w:rPr>
              <w:t>9.0</w:t>
            </w:r>
          </w:p>
        </w:tc>
      </w:tr>
      <w:tr w:rsidR="00700D74" w:rsidRPr="00F74B7E" w14:paraId="6CB49BCB" w14:textId="77777777" w:rsidTr="00700D74">
        <w:tc>
          <w:tcPr>
            <w:tcW w:w="3050" w:type="dxa"/>
          </w:tcPr>
          <w:p w14:paraId="2716A556" w14:textId="77777777" w:rsidR="009855EC" w:rsidRPr="00240D77" w:rsidRDefault="009855EC" w:rsidP="008D2D0F">
            <w:pPr>
              <w:spacing w:before="0" w:after="0"/>
              <w:ind w:left="239"/>
              <w:rPr>
                <w:sz w:val="20"/>
              </w:rPr>
            </w:pPr>
            <w:r w:rsidRPr="00240D77">
              <w:rPr>
                <w:sz w:val="20"/>
              </w:rPr>
              <w:t>Patients who had a fatal drug related adverse event, %</w:t>
            </w:r>
          </w:p>
        </w:tc>
        <w:tc>
          <w:tcPr>
            <w:tcW w:w="1544" w:type="dxa"/>
          </w:tcPr>
          <w:p w14:paraId="2AD1AEAF" w14:textId="77777777" w:rsidR="009855EC" w:rsidRPr="00240D77" w:rsidRDefault="009855EC" w:rsidP="008D2D0F">
            <w:pPr>
              <w:spacing w:before="0" w:after="0"/>
              <w:ind w:firstLine="69"/>
              <w:rPr>
                <w:sz w:val="20"/>
              </w:rPr>
            </w:pPr>
            <w:r w:rsidRPr="00240D77">
              <w:rPr>
                <w:sz w:val="20"/>
              </w:rPr>
              <w:t>2.4</w:t>
            </w:r>
          </w:p>
        </w:tc>
        <w:tc>
          <w:tcPr>
            <w:tcW w:w="1633" w:type="dxa"/>
          </w:tcPr>
          <w:p w14:paraId="49272C44" w14:textId="77777777" w:rsidR="009855EC" w:rsidRPr="00240D77" w:rsidRDefault="009855EC" w:rsidP="008D2D0F">
            <w:pPr>
              <w:spacing w:before="0" w:after="0"/>
              <w:ind w:firstLine="69"/>
              <w:rPr>
                <w:sz w:val="20"/>
              </w:rPr>
            </w:pPr>
            <w:r w:rsidRPr="00240D77">
              <w:rPr>
                <w:sz w:val="20"/>
              </w:rPr>
              <w:t>1.0</w:t>
            </w:r>
          </w:p>
        </w:tc>
        <w:tc>
          <w:tcPr>
            <w:tcW w:w="1252" w:type="dxa"/>
          </w:tcPr>
          <w:p w14:paraId="7EDA0B7C" w14:textId="77777777" w:rsidR="009855EC" w:rsidRPr="00240D77" w:rsidRDefault="009855EC" w:rsidP="008D2D0F">
            <w:pPr>
              <w:spacing w:before="0" w:after="0"/>
              <w:ind w:firstLine="69"/>
              <w:rPr>
                <w:sz w:val="20"/>
              </w:rPr>
            </w:pPr>
            <w:r w:rsidRPr="00240D77">
              <w:rPr>
                <w:sz w:val="20"/>
              </w:rPr>
              <w:t>0</w:t>
            </w:r>
          </w:p>
        </w:tc>
        <w:tc>
          <w:tcPr>
            <w:tcW w:w="1331" w:type="dxa"/>
          </w:tcPr>
          <w:p w14:paraId="0DF78BA3" w14:textId="77777777" w:rsidR="009855EC" w:rsidRPr="00240D77" w:rsidRDefault="009855EC" w:rsidP="008D2D0F">
            <w:pPr>
              <w:spacing w:before="0" w:after="0"/>
              <w:ind w:firstLine="69"/>
              <w:rPr>
                <w:sz w:val="20"/>
              </w:rPr>
            </w:pPr>
            <w:r w:rsidRPr="00240D77">
              <w:rPr>
                <w:sz w:val="20"/>
              </w:rPr>
              <w:t>3.4</w:t>
            </w:r>
          </w:p>
        </w:tc>
      </w:tr>
      <w:tr w:rsidR="005638DF" w:rsidRPr="002D271E" w14:paraId="768BF9CB" w14:textId="77777777" w:rsidTr="00F15683">
        <w:tc>
          <w:tcPr>
            <w:tcW w:w="8810" w:type="dxa"/>
            <w:gridSpan w:val="5"/>
          </w:tcPr>
          <w:p w14:paraId="51DF1741" w14:textId="0AA88115" w:rsidR="005638DF" w:rsidRPr="00240D77" w:rsidRDefault="005638DF" w:rsidP="008D2D0F">
            <w:pPr>
              <w:ind w:left="239"/>
              <w:rPr>
                <w:b/>
                <w:sz w:val="20"/>
              </w:rPr>
            </w:pPr>
            <w:r w:rsidRPr="00240D77">
              <w:rPr>
                <w:b/>
                <w:sz w:val="20"/>
              </w:rPr>
              <w:t>Treatment-emergent adverse events (TEAEs)</w:t>
            </w:r>
          </w:p>
        </w:tc>
      </w:tr>
      <w:tr w:rsidR="00700D74" w:rsidRPr="00E1162B" w14:paraId="7BFDD4E9" w14:textId="77777777" w:rsidTr="00700D74">
        <w:tc>
          <w:tcPr>
            <w:tcW w:w="3050" w:type="dxa"/>
          </w:tcPr>
          <w:p w14:paraId="72FAD123" w14:textId="77777777" w:rsidR="009855EC" w:rsidRPr="00240D77" w:rsidRDefault="009855EC" w:rsidP="008D2D0F">
            <w:pPr>
              <w:spacing w:before="0" w:after="0"/>
              <w:ind w:left="239"/>
              <w:rPr>
                <w:sz w:val="20"/>
              </w:rPr>
            </w:pPr>
            <w:r w:rsidRPr="00240D77">
              <w:rPr>
                <w:sz w:val="20"/>
              </w:rPr>
              <w:t>Subjects with at least one TEAE, %</w:t>
            </w:r>
          </w:p>
        </w:tc>
        <w:tc>
          <w:tcPr>
            <w:tcW w:w="1544" w:type="dxa"/>
          </w:tcPr>
          <w:p w14:paraId="1B36173D" w14:textId="77777777" w:rsidR="009855EC" w:rsidRPr="00240D77" w:rsidRDefault="009855EC" w:rsidP="008D2D0F">
            <w:pPr>
              <w:spacing w:before="0" w:after="0"/>
              <w:ind w:firstLine="69"/>
              <w:rPr>
                <w:sz w:val="20"/>
              </w:rPr>
            </w:pPr>
            <w:r w:rsidRPr="00240D77">
              <w:rPr>
                <w:sz w:val="20"/>
              </w:rPr>
              <w:t>98</w:t>
            </w:r>
          </w:p>
        </w:tc>
        <w:tc>
          <w:tcPr>
            <w:tcW w:w="1633" w:type="dxa"/>
          </w:tcPr>
          <w:p w14:paraId="05264BD1" w14:textId="77777777" w:rsidR="009855EC" w:rsidRPr="00240D77" w:rsidRDefault="009855EC" w:rsidP="008D2D0F">
            <w:pPr>
              <w:spacing w:before="0" w:after="0"/>
              <w:ind w:firstLine="69"/>
              <w:rPr>
                <w:sz w:val="20"/>
              </w:rPr>
            </w:pPr>
            <w:r w:rsidRPr="00240D77">
              <w:rPr>
                <w:sz w:val="20"/>
              </w:rPr>
              <w:t>99</w:t>
            </w:r>
          </w:p>
        </w:tc>
        <w:tc>
          <w:tcPr>
            <w:tcW w:w="1252" w:type="dxa"/>
          </w:tcPr>
          <w:p w14:paraId="29373D6F" w14:textId="77777777" w:rsidR="009855EC" w:rsidRPr="00240D77" w:rsidRDefault="009855EC" w:rsidP="008D2D0F">
            <w:pPr>
              <w:spacing w:before="0" w:after="0"/>
              <w:ind w:firstLine="69"/>
              <w:rPr>
                <w:sz w:val="20"/>
              </w:rPr>
            </w:pPr>
            <w:r w:rsidRPr="00240D77">
              <w:rPr>
                <w:sz w:val="20"/>
              </w:rPr>
              <w:t>100</w:t>
            </w:r>
          </w:p>
        </w:tc>
        <w:tc>
          <w:tcPr>
            <w:tcW w:w="1331" w:type="dxa"/>
          </w:tcPr>
          <w:p w14:paraId="473CA11E" w14:textId="77777777" w:rsidR="009855EC" w:rsidRPr="00240D77" w:rsidRDefault="009855EC" w:rsidP="008D2D0F">
            <w:pPr>
              <w:spacing w:before="0" w:after="0"/>
              <w:ind w:firstLine="69"/>
              <w:rPr>
                <w:sz w:val="20"/>
              </w:rPr>
            </w:pPr>
            <w:r w:rsidRPr="00240D77">
              <w:rPr>
                <w:sz w:val="20"/>
              </w:rPr>
              <w:t>100</w:t>
            </w:r>
          </w:p>
        </w:tc>
      </w:tr>
      <w:tr w:rsidR="00700D74" w:rsidRPr="002D271E" w14:paraId="6F0C01D5" w14:textId="77777777" w:rsidTr="00F15683">
        <w:tc>
          <w:tcPr>
            <w:tcW w:w="8810" w:type="dxa"/>
            <w:gridSpan w:val="5"/>
          </w:tcPr>
          <w:p w14:paraId="73A07DEE" w14:textId="18690F69" w:rsidR="00700D74" w:rsidRPr="00240D77" w:rsidRDefault="00700D74" w:rsidP="008D2D0F">
            <w:pPr>
              <w:ind w:firstLine="69"/>
              <w:rPr>
                <w:b/>
                <w:sz w:val="20"/>
              </w:rPr>
            </w:pPr>
            <w:r w:rsidRPr="00240D77">
              <w:rPr>
                <w:b/>
                <w:sz w:val="20"/>
              </w:rPr>
              <w:t>Most common TEAEs (&gt;10% in any group</w:t>
            </w:r>
            <w:r w:rsidR="005638DF" w:rsidRPr="005638DF">
              <w:rPr>
                <w:b/>
                <w:sz w:val="20"/>
              </w:rPr>
              <w:t>)</w:t>
            </w:r>
          </w:p>
        </w:tc>
      </w:tr>
      <w:tr w:rsidR="00700D74" w:rsidRPr="005C01CD" w14:paraId="4BD25683" w14:textId="77777777" w:rsidTr="00700D74">
        <w:tc>
          <w:tcPr>
            <w:tcW w:w="3050" w:type="dxa"/>
          </w:tcPr>
          <w:p w14:paraId="3AAF2836" w14:textId="1C394D96" w:rsidR="009855EC" w:rsidRPr="00240D77" w:rsidRDefault="008D2D0F" w:rsidP="008D2D0F">
            <w:pPr>
              <w:spacing w:before="0" w:after="0"/>
              <w:ind w:firstLine="69"/>
              <w:rPr>
                <w:sz w:val="20"/>
              </w:rPr>
            </w:pPr>
            <w:r>
              <w:rPr>
                <w:sz w:val="20"/>
              </w:rPr>
              <w:t>A</w:t>
            </w:r>
            <w:r w:rsidR="009855EC" w:rsidRPr="00240D77">
              <w:rPr>
                <w:sz w:val="20"/>
              </w:rPr>
              <w:t>naemia, %</w:t>
            </w:r>
          </w:p>
        </w:tc>
        <w:tc>
          <w:tcPr>
            <w:tcW w:w="1544" w:type="dxa"/>
          </w:tcPr>
          <w:p w14:paraId="6CA685BE" w14:textId="77777777" w:rsidR="009855EC" w:rsidRPr="00240D77" w:rsidRDefault="009855EC" w:rsidP="00240D77">
            <w:pPr>
              <w:spacing w:before="0" w:after="0"/>
              <w:rPr>
                <w:sz w:val="20"/>
              </w:rPr>
            </w:pPr>
            <w:r w:rsidRPr="00240D77">
              <w:rPr>
                <w:sz w:val="20"/>
              </w:rPr>
              <w:t>19.9</w:t>
            </w:r>
          </w:p>
        </w:tc>
        <w:tc>
          <w:tcPr>
            <w:tcW w:w="1633" w:type="dxa"/>
          </w:tcPr>
          <w:p w14:paraId="4B65B9F7" w14:textId="77777777" w:rsidR="009855EC" w:rsidRPr="00240D77" w:rsidRDefault="009855EC" w:rsidP="00240D77">
            <w:pPr>
              <w:spacing w:before="0" w:after="0"/>
              <w:rPr>
                <w:sz w:val="20"/>
              </w:rPr>
            </w:pPr>
            <w:r w:rsidRPr="00240D77">
              <w:rPr>
                <w:sz w:val="20"/>
              </w:rPr>
              <w:t>29.9</w:t>
            </w:r>
          </w:p>
        </w:tc>
        <w:tc>
          <w:tcPr>
            <w:tcW w:w="1252" w:type="dxa"/>
          </w:tcPr>
          <w:p w14:paraId="189C20F5" w14:textId="77777777" w:rsidR="009855EC" w:rsidRPr="00240D77" w:rsidRDefault="009855EC" w:rsidP="00240D77">
            <w:pPr>
              <w:spacing w:before="0" w:after="0"/>
              <w:rPr>
                <w:sz w:val="20"/>
              </w:rPr>
            </w:pPr>
            <w:r w:rsidRPr="00240D77">
              <w:rPr>
                <w:sz w:val="20"/>
              </w:rPr>
              <w:t>35.2</w:t>
            </w:r>
          </w:p>
        </w:tc>
        <w:tc>
          <w:tcPr>
            <w:tcW w:w="1331" w:type="dxa"/>
          </w:tcPr>
          <w:p w14:paraId="38A923E2" w14:textId="77777777" w:rsidR="009855EC" w:rsidRPr="00240D77" w:rsidRDefault="009855EC" w:rsidP="00240D77">
            <w:pPr>
              <w:spacing w:before="0" w:after="0"/>
              <w:rPr>
                <w:sz w:val="20"/>
              </w:rPr>
            </w:pPr>
            <w:r w:rsidRPr="00240D77">
              <w:rPr>
                <w:sz w:val="20"/>
              </w:rPr>
              <w:t>38.2</w:t>
            </w:r>
          </w:p>
        </w:tc>
      </w:tr>
      <w:tr w:rsidR="00700D74" w:rsidRPr="005C01CD" w14:paraId="004BFB6F" w14:textId="77777777" w:rsidTr="00700D74">
        <w:tc>
          <w:tcPr>
            <w:tcW w:w="3050" w:type="dxa"/>
          </w:tcPr>
          <w:p w14:paraId="5F4DCF62" w14:textId="77777777" w:rsidR="009855EC" w:rsidRPr="00240D77" w:rsidRDefault="009855EC" w:rsidP="008D2D0F">
            <w:pPr>
              <w:spacing w:before="0" w:after="0"/>
              <w:ind w:left="239"/>
              <w:rPr>
                <w:sz w:val="20"/>
              </w:rPr>
            </w:pPr>
            <w:r w:rsidRPr="00240D77">
              <w:rPr>
                <w:sz w:val="20"/>
              </w:rPr>
              <w:t>Lacrimation increased, %</w:t>
            </w:r>
          </w:p>
        </w:tc>
        <w:tc>
          <w:tcPr>
            <w:tcW w:w="1544" w:type="dxa"/>
          </w:tcPr>
          <w:p w14:paraId="4719BCBD" w14:textId="77777777" w:rsidR="009855EC" w:rsidRPr="00240D77" w:rsidRDefault="009855EC" w:rsidP="00240D77">
            <w:pPr>
              <w:spacing w:before="0" w:after="0"/>
              <w:rPr>
                <w:sz w:val="20"/>
              </w:rPr>
            </w:pPr>
            <w:r w:rsidRPr="00240D77">
              <w:rPr>
                <w:sz w:val="20"/>
              </w:rPr>
              <w:t>10.1</w:t>
            </w:r>
          </w:p>
        </w:tc>
        <w:tc>
          <w:tcPr>
            <w:tcW w:w="1633" w:type="dxa"/>
          </w:tcPr>
          <w:p w14:paraId="416A8C35" w14:textId="77777777" w:rsidR="009855EC" w:rsidRPr="00240D77" w:rsidRDefault="009855EC" w:rsidP="00240D77">
            <w:pPr>
              <w:spacing w:before="0" w:after="0"/>
              <w:rPr>
                <w:sz w:val="20"/>
              </w:rPr>
            </w:pPr>
            <w:r w:rsidRPr="00240D77">
              <w:rPr>
                <w:sz w:val="20"/>
              </w:rPr>
              <w:t>4.1</w:t>
            </w:r>
          </w:p>
        </w:tc>
        <w:tc>
          <w:tcPr>
            <w:tcW w:w="1252" w:type="dxa"/>
          </w:tcPr>
          <w:p w14:paraId="2F919629" w14:textId="77777777" w:rsidR="009855EC" w:rsidRPr="00240D77" w:rsidRDefault="009855EC" w:rsidP="00240D77">
            <w:pPr>
              <w:spacing w:before="0" w:after="0"/>
              <w:rPr>
                <w:sz w:val="20"/>
              </w:rPr>
            </w:pPr>
            <w:r w:rsidRPr="00240D77">
              <w:rPr>
                <w:sz w:val="20"/>
              </w:rPr>
              <w:t>16.8</w:t>
            </w:r>
          </w:p>
        </w:tc>
        <w:tc>
          <w:tcPr>
            <w:tcW w:w="1331" w:type="dxa"/>
          </w:tcPr>
          <w:p w14:paraId="7F3A729D" w14:textId="77777777" w:rsidR="009855EC" w:rsidRPr="00240D77" w:rsidRDefault="009855EC" w:rsidP="00240D77">
            <w:pPr>
              <w:spacing w:before="0" w:after="0"/>
              <w:rPr>
                <w:sz w:val="20"/>
              </w:rPr>
            </w:pPr>
            <w:r w:rsidRPr="00240D77">
              <w:rPr>
                <w:sz w:val="20"/>
              </w:rPr>
              <w:t>13.5</w:t>
            </w:r>
          </w:p>
        </w:tc>
      </w:tr>
      <w:tr w:rsidR="00700D74" w:rsidRPr="005C01CD" w14:paraId="61BCD551" w14:textId="77777777" w:rsidTr="00613103">
        <w:tblPrEx>
          <w:tblCellMar>
            <w:left w:w="108" w:type="dxa"/>
            <w:right w:w="108" w:type="dxa"/>
          </w:tblCellMar>
        </w:tblPrEx>
        <w:tc>
          <w:tcPr>
            <w:tcW w:w="0" w:type="dxa"/>
          </w:tcPr>
          <w:p w14:paraId="2AD9E8BB" w14:textId="77777777" w:rsidR="009855EC" w:rsidRPr="00240D77" w:rsidRDefault="009855EC" w:rsidP="008D2D0F">
            <w:pPr>
              <w:spacing w:before="0" w:after="0"/>
              <w:ind w:left="22" w:firstLine="148"/>
              <w:rPr>
                <w:sz w:val="20"/>
              </w:rPr>
            </w:pPr>
            <w:r w:rsidRPr="00240D77">
              <w:rPr>
                <w:sz w:val="20"/>
              </w:rPr>
              <w:t>Dry eye, %</w:t>
            </w:r>
          </w:p>
        </w:tc>
        <w:tc>
          <w:tcPr>
            <w:tcW w:w="0" w:type="dxa"/>
          </w:tcPr>
          <w:p w14:paraId="04C208E8" w14:textId="77777777" w:rsidR="009855EC" w:rsidRPr="00240D77" w:rsidRDefault="009855EC" w:rsidP="00613103">
            <w:pPr>
              <w:spacing w:before="0" w:after="0"/>
              <w:rPr>
                <w:sz w:val="20"/>
              </w:rPr>
            </w:pPr>
            <w:r w:rsidRPr="00240D77">
              <w:rPr>
                <w:sz w:val="20"/>
              </w:rPr>
              <w:t>6.4</w:t>
            </w:r>
          </w:p>
        </w:tc>
        <w:tc>
          <w:tcPr>
            <w:tcW w:w="0" w:type="dxa"/>
          </w:tcPr>
          <w:p w14:paraId="22DC5DE3" w14:textId="77777777" w:rsidR="009855EC" w:rsidRPr="00240D77" w:rsidRDefault="009855EC" w:rsidP="00613103">
            <w:pPr>
              <w:spacing w:before="0" w:after="0"/>
              <w:rPr>
                <w:sz w:val="20"/>
              </w:rPr>
            </w:pPr>
            <w:r w:rsidRPr="00240D77">
              <w:rPr>
                <w:sz w:val="20"/>
              </w:rPr>
              <w:t>1.0</w:t>
            </w:r>
          </w:p>
        </w:tc>
        <w:tc>
          <w:tcPr>
            <w:tcW w:w="1252" w:type="dxa"/>
          </w:tcPr>
          <w:p w14:paraId="7B0A8A61" w14:textId="77777777" w:rsidR="009855EC" w:rsidRPr="00240D77" w:rsidRDefault="009855EC" w:rsidP="00613103">
            <w:pPr>
              <w:spacing w:before="0" w:after="0"/>
              <w:rPr>
                <w:sz w:val="20"/>
              </w:rPr>
            </w:pPr>
            <w:r w:rsidRPr="00240D77">
              <w:rPr>
                <w:sz w:val="20"/>
              </w:rPr>
              <w:t>24.0</w:t>
            </w:r>
          </w:p>
        </w:tc>
        <w:tc>
          <w:tcPr>
            <w:tcW w:w="1331" w:type="dxa"/>
          </w:tcPr>
          <w:p w14:paraId="5E6B9EED" w14:textId="77777777" w:rsidR="009855EC" w:rsidRPr="00240D77" w:rsidRDefault="009855EC" w:rsidP="00613103">
            <w:pPr>
              <w:spacing w:before="0" w:after="0"/>
              <w:rPr>
                <w:sz w:val="20"/>
              </w:rPr>
            </w:pPr>
            <w:r w:rsidRPr="00240D77">
              <w:rPr>
                <w:sz w:val="20"/>
              </w:rPr>
              <w:t>19.1</w:t>
            </w:r>
          </w:p>
        </w:tc>
      </w:tr>
      <w:tr w:rsidR="00700D74" w:rsidRPr="005C01CD" w14:paraId="2CF62E64" w14:textId="77777777" w:rsidTr="00700D74">
        <w:tblPrEx>
          <w:tblCellMar>
            <w:left w:w="108" w:type="dxa"/>
            <w:right w:w="108" w:type="dxa"/>
          </w:tblCellMar>
        </w:tblPrEx>
        <w:trPr>
          <w:trHeight w:val="161"/>
        </w:trPr>
        <w:tc>
          <w:tcPr>
            <w:tcW w:w="3050" w:type="dxa"/>
          </w:tcPr>
          <w:p w14:paraId="245081DC" w14:textId="7F640190" w:rsidR="009855EC" w:rsidRPr="00613103" w:rsidRDefault="008D2D0F" w:rsidP="00613103">
            <w:pPr>
              <w:spacing w:before="0" w:after="0"/>
              <w:rPr>
                <w:sz w:val="20"/>
              </w:rPr>
            </w:pPr>
            <w:r>
              <w:rPr>
                <w:sz w:val="20"/>
              </w:rPr>
              <w:t>D</w:t>
            </w:r>
            <w:r w:rsidR="009855EC" w:rsidRPr="00613103">
              <w:rPr>
                <w:sz w:val="20"/>
              </w:rPr>
              <w:t>iarrhoea, %</w:t>
            </w:r>
          </w:p>
        </w:tc>
        <w:tc>
          <w:tcPr>
            <w:tcW w:w="1544" w:type="dxa"/>
          </w:tcPr>
          <w:p w14:paraId="3F928AF2" w14:textId="77777777" w:rsidR="009855EC" w:rsidRPr="00613103" w:rsidRDefault="009855EC" w:rsidP="00613103">
            <w:pPr>
              <w:spacing w:before="0" w:after="0"/>
              <w:rPr>
                <w:sz w:val="20"/>
              </w:rPr>
            </w:pPr>
            <w:r w:rsidRPr="00613103">
              <w:rPr>
                <w:sz w:val="20"/>
              </w:rPr>
              <w:t>34.8</w:t>
            </w:r>
          </w:p>
        </w:tc>
        <w:tc>
          <w:tcPr>
            <w:tcW w:w="1633" w:type="dxa"/>
          </w:tcPr>
          <w:p w14:paraId="73E93E54" w14:textId="77777777" w:rsidR="009855EC" w:rsidRPr="00613103" w:rsidRDefault="009855EC" w:rsidP="00613103">
            <w:pPr>
              <w:spacing w:before="0" w:after="0"/>
              <w:rPr>
                <w:sz w:val="20"/>
              </w:rPr>
            </w:pPr>
            <w:r w:rsidRPr="00613103">
              <w:rPr>
                <w:sz w:val="20"/>
              </w:rPr>
              <w:t>22.7</w:t>
            </w:r>
          </w:p>
        </w:tc>
        <w:tc>
          <w:tcPr>
            <w:tcW w:w="1252" w:type="dxa"/>
          </w:tcPr>
          <w:p w14:paraId="5609033E" w14:textId="77777777" w:rsidR="009855EC" w:rsidRPr="00613103" w:rsidRDefault="009855EC" w:rsidP="00613103">
            <w:pPr>
              <w:spacing w:before="0" w:after="0"/>
              <w:rPr>
                <w:sz w:val="20"/>
              </w:rPr>
            </w:pPr>
            <w:r w:rsidRPr="00613103">
              <w:rPr>
                <w:sz w:val="20"/>
              </w:rPr>
              <w:t>42.4</w:t>
            </w:r>
          </w:p>
        </w:tc>
        <w:tc>
          <w:tcPr>
            <w:tcW w:w="1331" w:type="dxa"/>
          </w:tcPr>
          <w:p w14:paraId="32CE3C90" w14:textId="77777777" w:rsidR="009855EC" w:rsidRPr="00613103" w:rsidRDefault="009855EC" w:rsidP="00613103">
            <w:pPr>
              <w:spacing w:before="0" w:after="0"/>
              <w:rPr>
                <w:sz w:val="20"/>
              </w:rPr>
            </w:pPr>
            <w:r w:rsidRPr="00613103">
              <w:rPr>
                <w:sz w:val="20"/>
              </w:rPr>
              <w:t>34.8</w:t>
            </w:r>
          </w:p>
        </w:tc>
      </w:tr>
      <w:tr w:rsidR="00700D74" w:rsidRPr="005C01CD" w14:paraId="5BEDF7B2" w14:textId="77777777" w:rsidTr="00700D74">
        <w:tblPrEx>
          <w:tblCellMar>
            <w:left w:w="108" w:type="dxa"/>
            <w:right w:w="108" w:type="dxa"/>
          </w:tblCellMar>
        </w:tblPrEx>
        <w:tc>
          <w:tcPr>
            <w:tcW w:w="3050" w:type="dxa"/>
          </w:tcPr>
          <w:p w14:paraId="7B5E7024" w14:textId="2B1F00B1" w:rsidR="009855EC" w:rsidRPr="00613103" w:rsidRDefault="008D2D0F" w:rsidP="00613103">
            <w:pPr>
              <w:spacing w:before="0" w:after="0"/>
              <w:rPr>
                <w:sz w:val="20"/>
              </w:rPr>
            </w:pPr>
            <w:r>
              <w:rPr>
                <w:sz w:val="20"/>
              </w:rPr>
              <w:t>N</w:t>
            </w:r>
            <w:r w:rsidR="009855EC" w:rsidRPr="00613103">
              <w:rPr>
                <w:sz w:val="20"/>
              </w:rPr>
              <w:t>ausea, %</w:t>
            </w:r>
          </w:p>
        </w:tc>
        <w:tc>
          <w:tcPr>
            <w:tcW w:w="1544" w:type="dxa"/>
          </w:tcPr>
          <w:p w14:paraId="71010FA8" w14:textId="77777777" w:rsidR="009855EC" w:rsidRPr="00613103" w:rsidRDefault="009855EC" w:rsidP="00613103">
            <w:pPr>
              <w:spacing w:before="0" w:after="0"/>
              <w:rPr>
                <w:sz w:val="20"/>
              </w:rPr>
            </w:pPr>
            <w:r w:rsidRPr="00613103">
              <w:rPr>
                <w:sz w:val="20"/>
              </w:rPr>
              <w:t>30.1</w:t>
            </w:r>
          </w:p>
        </w:tc>
        <w:tc>
          <w:tcPr>
            <w:tcW w:w="1633" w:type="dxa"/>
          </w:tcPr>
          <w:p w14:paraId="50C2A687" w14:textId="77777777" w:rsidR="009855EC" w:rsidRPr="00613103" w:rsidRDefault="009855EC" w:rsidP="00613103">
            <w:pPr>
              <w:spacing w:before="0" w:after="0"/>
              <w:rPr>
                <w:sz w:val="20"/>
              </w:rPr>
            </w:pPr>
            <w:r w:rsidRPr="00613103">
              <w:rPr>
                <w:sz w:val="20"/>
              </w:rPr>
              <w:t>25.4</w:t>
            </w:r>
          </w:p>
        </w:tc>
        <w:tc>
          <w:tcPr>
            <w:tcW w:w="1252" w:type="dxa"/>
          </w:tcPr>
          <w:p w14:paraId="567B64AE" w14:textId="77777777" w:rsidR="009855EC" w:rsidRPr="00613103" w:rsidRDefault="009855EC" w:rsidP="00613103">
            <w:pPr>
              <w:spacing w:before="0" w:after="0"/>
              <w:rPr>
                <w:sz w:val="20"/>
                <w:highlight w:val="yellow"/>
              </w:rPr>
            </w:pPr>
            <w:r w:rsidRPr="00613103">
              <w:rPr>
                <w:sz w:val="20"/>
              </w:rPr>
              <w:t>45.6</w:t>
            </w:r>
          </w:p>
        </w:tc>
        <w:tc>
          <w:tcPr>
            <w:tcW w:w="1331" w:type="dxa"/>
          </w:tcPr>
          <w:p w14:paraId="56D246AB" w14:textId="77777777" w:rsidR="009855EC" w:rsidRPr="00613103" w:rsidRDefault="009855EC" w:rsidP="00613103">
            <w:pPr>
              <w:spacing w:before="0" w:after="0"/>
              <w:rPr>
                <w:sz w:val="20"/>
              </w:rPr>
            </w:pPr>
            <w:r w:rsidRPr="00613103">
              <w:rPr>
                <w:sz w:val="20"/>
              </w:rPr>
              <w:t>30.3</w:t>
            </w:r>
          </w:p>
        </w:tc>
      </w:tr>
      <w:tr w:rsidR="00700D74" w:rsidRPr="005C01CD" w14:paraId="50E9E35B" w14:textId="77777777" w:rsidTr="00700D74">
        <w:tblPrEx>
          <w:tblCellMar>
            <w:left w:w="108" w:type="dxa"/>
            <w:right w:w="108" w:type="dxa"/>
          </w:tblCellMar>
        </w:tblPrEx>
        <w:tc>
          <w:tcPr>
            <w:tcW w:w="3050" w:type="dxa"/>
          </w:tcPr>
          <w:p w14:paraId="53443EE1" w14:textId="2BBE1D25" w:rsidR="009855EC" w:rsidRPr="00613103" w:rsidRDefault="008D2D0F" w:rsidP="00613103">
            <w:pPr>
              <w:spacing w:before="0" w:after="0"/>
              <w:rPr>
                <w:sz w:val="20"/>
              </w:rPr>
            </w:pPr>
            <w:r>
              <w:rPr>
                <w:sz w:val="20"/>
              </w:rPr>
              <w:t>C</w:t>
            </w:r>
            <w:r w:rsidR="009855EC" w:rsidRPr="00613103">
              <w:rPr>
                <w:sz w:val="20"/>
              </w:rPr>
              <w:t>onstipation, %</w:t>
            </w:r>
          </w:p>
        </w:tc>
        <w:tc>
          <w:tcPr>
            <w:tcW w:w="1544" w:type="dxa"/>
          </w:tcPr>
          <w:p w14:paraId="7C2D280F" w14:textId="77777777" w:rsidR="009855EC" w:rsidRPr="00613103" w:rsidRDefault="009855EC" w:rsidP="00613103">
            <w:pPr>
              <w:spacing w:before="0" w:after="0"/>
              <w:rPr>
                <w:sz w:val="20"/>
              </w:rPr>
            </w:pPr>
            <w:r w:rsidRPr="00613103">
              <w:rPr>
                <w:sz w:val="20"/>
              </w:rPr>
              <w:t>27.7</w:t>
            </w:r>
          </w:p>
        </w:tc>
        <w:tc>
          <w:tcPr>
            <w:tcW w:w="1633" w:type="dxa"/>
          </w:tcPr>
          <w:p w14:paraId="6B66BDFC" w14:textId="77777777" w:rsidR="009855EC" w:rsidRPr="00613103" w:rsidRDefault="009855EC" w:rsidP="00613103">
            <w:pPr>
              <w:spacing w:before="0" w:after="0"/>
              <w:rPr>
                <w:sz w:val="20"/>
              </w:rPr>
            </w:pPr>
            <w:r w:rsidRPr="00613103">
              <w:rPr>
                <w:sz w:val="20"/>
              </w:rPr>
              <w:t>25.1</w:t>
            </w:r>
          </w:p>
        </w:tc>
        <w:tc>
          <w:tcPr>
            <w:tcW w:w="1252" w:type="dxa"/>
          </w:tcPr>
          <w:p w14:paraId="5F93542C" w14:textId="77777777" w:rsidR="009855EC" w:rsidRPr="00613103" w:rsidRDefault="009855EC" w:rsidP="00613103">
            <w:pPr>
              <w:spacing w:before="0" w:after="0"/>
              <w:rPr>
                <w:sz w:val="20"/>
              </w:rPr>
            </w:pPr>
            <w:r w:rsidRPr="00613103">
              <w:rPr>
                <w:sz w:val="20"/>
              </w:rPr>
              <w:t>28.0</w:t>
            </w:r>
          </w:p>
        </w:tc>
        <w:tc>
          <w:tcPr>
            <w:tcW w:w="1331" w:type="dxa"/>
          </w:tcPr>
          <w:p w14:paraId="3210FDEB" w14:textId="77777777" w:rsidR="009855EC" w:rsidRPr="00613103" w:rsidRDefault="009855EC" w:rsidP="00613103">
            <w:pPr>
              <w:spacing w:before="0" w:after="0"/>
              <w:rPr>
                <w:sz w:val="20"/>
              </w:rPr>
            </w:pPr>
            <w:r w:rsidRPr="00613103">
              <w:rPr>
                <w:sz w:val="20"/>
              </w:rPr>
              <w:t>20.2</w:t>
            </w:r>
          </w:p>
        </w:tc>
      </w:tr>
      <w:tr w:rsidR="00700D74" w:rsidRPr="00164343" w14:paraId="7E93D24C" w14:textId="77777777" w:rsidTr="00700D74">
        <w:tblPrEx>
          <w:tblCellMar>
            <w:left w:w="108" w:type="dxa"/>
            <w:right w:w="108" w:type="dxa"/>
          </w:tblCellMar>
        </w:tblPrEx>
        <w:tc>
          <w:tcPr>
            <w:tcW w:w="3050" w:type="dxa"/>
          </w:tcPr>
          <w:p w14:paraId="37C402BC" w14:textId="77777777" w:rsidR="009855EC" w:rsidRPr="00613103" w:rsidRDefault="009855EC" w:rsidP="00613103">
            <w:pPr>
              <w:spacing w:before="0" w:after="0"/>
              <w:rPr>
                <w:sz w:val="20"/>
              </w:rPr>
            </w:pPr>
            <w:r w:rsidRPr="00613103">
              <w:rPr>
                <w:sz w:val="20"/>
              </w:rPr>
              <w:t>Vomiting, %</w:t>
            </w:r>
          </w:p>
        </w:tc>
        <w:tc>
          <w:tcPr>
            <w:tcW w:w="1544" w:type="dxa"/>
          </w:tcPr>
          <w:p w14:paraId="75A9B69E" w14:textId="77777777" w:rsidR="009855EC" w:rsidRPr="00613103" w:rsidRDefault="009855EC" w:rsidP="00613103">
            <w:pPr>
              <w:spacing w:before="0" w:after="0"/>
              <w:rPr>
                <w:sz w:val="20"/>
              </w:rPr>
            </w:pPr>
            <w:r w:rsidRPr="00613103">
              <w:rPr>
                <w:sz w:val="20"/>
              </w:rPr>
              <w:t>14.2</w:t>
            </w:r>
          </w:p>
        </w:tc>
        <w:tc>
          <w:tcPr>
            <w:tcW w:w="1633" w:type="dxa"/>
          </w:tcPr>
          <w:p w14:paraId="0ACFC0D1" w14:textId="77777777" w:rsidR="009855EC" w:rsidRPr="00613103" w:rsidRDefault="009855EC" w:rsidP="00613103">
            <w:pPr>
              <w:spacing w:before="0" w:after="0"/>
              <w:rPr>
                <w:sz w:val="20"/>
              </w:rPr>
            </w:pPr>
            <w:r w:rsidRPr="00613103">
              <w:rPr>
                <w:sz w:val="20"/>
              </w:rPr>
              <w:t>15.1</w:t>
            </w:r>
          </w:p>
        </w:tc>
        <w:tc>
          <w:tcPr>
            <w:tcW w:w="1252" w:type="dxa"/>
          </w:tcPr>
          <w:p w14:paraId="5F24B750" w14:textId="77777777" w:rsidR="009855EC" w:rsidRPr="00613103" w:rsidRDefault="009855EC" w:rsidP="00613103">
            <w:pPr>
              <w:spacing w:before="0" w:after="0"/>
              <w:rPr>
                <w:sz w:val="20"/>
              </w:rPr>
            </w:pPr>
            <w:r w:rsidRPr="00613103">
              <w:rPr>
                <w:sz w:val="20"/>
              </w:rPr>
              <w:t>20.0</w:t>
            </w:r>
          </w:p>
        </w:tc>
        <w:tc>
          <w:tcPr>
            <w:tcW w:w="1331" w:type="dxa"/>
          </w:tcPr>
          <w:p w14:paraId="1E996A68" w14:textId="77777777" w:rsidR="009855EC" w:rsidRPr="00613103" w:rsidRDefault="009855EC" w:rsidP="00613103">
            <w:pPr>
              <w:spacing w:before="0" w:after="0"/>
              <w:rPr>
                <w:sz w:val="20"/>
              </w:rPr>
            </w:pPr>
            <w:r w:rsidRPr="00613103">
              <w:rPr>
                <w:sz w:val="20"/>
              </w:rPr>
              <w:t>13.5</w:t>
            </w:r>
          </w:p>
        </w:tc>
      </w:tr>
      <w:tr w:rsidR="00700D74" w:rsidRPr="00164343" w14:paraId="00501037" w14:textId="77777777" w:rsidTr="00700D74">
        <w:tblPrEx>
          <w:tblCellMar>
            <w:left w:w="108" w:type="dxa"/>
            <w:right w:w="108" w:type="dxa"/>
          </w:tblCellMar>
        </w:tblPrEx>
        <w:tc>
          <w:tcPr>
            <w:tcW w:w="3050" w:type="dxa"/>
          </w:tcPr>
          <w:p w14:paraId="07F7A87F" w14:textId="77777777" w:rsidR="009855EC" w:rsidRPr="00613103" w:rsidRDefault="009855EC" w:rsidP="00613103">
            <w:pPr>
              <w:spacing w:before="0" w:after="0"/>
              <w:rPr>
                <w:sz w:val="20"/>
              </w:rPr>
            </w:pPr>
            <w:r w:rsidRPr="00613103">
              <w:rPr>
                <w:sz w:val="20"/>
              </w:rPr>
              <w:t>Abdominal pain, %</w:t>
            </w:r>
          </w:p>
        </w:tc>
        <w:tc>
          <w:tcPr>
            <w:tcW w:w="1544" w:type="dxa"/>
          </w:tcPr>
          <w:p w14:paraId="4307BF6B" w14:textId="77777777" w:rsidR="009855EC" w:rsidRPr="00613103" w:rsidRDefault="009855EC" w:rsidP="00613103">
            <w:pPr>
              <w:spacing w:before="0" w:after="0"/>
              <w:rPr>
                <w:sz w:val="20"/>
              </w:rPr>
            </w:pPr>
            <w:r w:rsidRPr="00613103">
              <w:rPr>
                <w:sz w:val="20"/>
              </w:rPr>
              <w:t>13.2</w:t>
            </w:r>
          </w:p>
        </w:tc>
        <w:tc>
          <w:tcPr>
            <w:tcW w:w="1633" w:type="dxa"/>
          </w:tcPr>
          <w:p w14:paraId="1B4736F4" w14:textId="77777777" w:rsidR="009855EC" w:rsidRPr="00613103" w:rsidRDefault="009855EC" w:rsidP="00613103">
            <w:pPr>
              <w:spacing w:before="0" w:after="0"/>
              <w:rPr>
                <w:sz w:val="20"/>
              </w:rPr>
            </w:pPr>
            <w:r w:rsidRPr="00613103">
              <w:rPr>
                <w:sz w:val="20"/>
              </w:rPr>
              <w:t>9.3</w:t>
            </w:r>
          </w:p>
        </w:tc>
        <w:tc>
          <w:tcPr>
            <w:tcW w:w="1252" w:type="dxa"/>
          </w:tcPr>
          <w:p w14:paraId="1613E245" w14:textId="77777777" w:rsidR="009855EC" w:rsidRPr="00613103" w:rsidRDefault="009855EC" w:rsidP="00613103">
            <w:pPr>
              <w:spacing w:before="0" w:after="0"/>
              <w:rPr>
                <w:sz w:val="20"/>
              </w:rPr>
            </w:pPr>
            <w:r w:rsidRPr="00613103">
              <w:rPr>
                <w:sz w:val="20"/>
              </w:rPr>
              <w:t>20.8</w:t>
            </w:r>
          </w:p>
        </w:tc>
        <w:tc>
          <w:tcPr>
            <w:tcW w:w="1331" w:type="dxa"/>
          </w:tcPr>
          <w:p w14:paraId="13DC2A51" w14:textId="77777777" w:rsidR="009855EC" w:rsidRPr="00613103" w:rsidRDefault="009855EC" w:rsidP="00613103">
            <w:pPr>
              <w:spacing w:before="0" w:after="0"/>
              <w:rPr>
                <w:sz w:val="20"/>
              </w:rPr>
            </w:pPr>
            <w:r w:rsidRPr="00613103">
              <w:rPr>
                <w:sz w:val="20"/>
              </w:rPr>
              <w:t>6.7</w:t>
            </w:r>
          </w:p>
        </w:tc>
      </w:tr>
      <w:tr w:rsidR="00700D74" w:rsidRPr="001C2417" w14:paraId="7A77C23D" w14:textId="77777777" w:rsidTr="00700D74">
        <w:tblPrEx>
          <w:tblCellMar>
            <w:left w:w="108" w:type="dxa"/>
            <w:right w:w="108" w:type="dxa"/>
          </w:tblCellMar>
        </w:tblPrEx>
        <w:tc>
          <w:tcPr>
            <w:tcW w:w="3050" w:type="dxa"/>
          </w:tcPr>
          <w:p w14:paraId="1A8AB698" w14:textId="76ABFA2B" w:rsidR="009855EC" w:rsidRPr="00613103" w:rsidRDefault="008D2D0F" w:rsidP="00613103">
            <w:pPr>
              <w:spacing w:before="0" w:after="0"/>
              <w:rPr>
                <w:sz w:val="20"/>
              </w:rPr>
            </w:pPr>
            <w:r>
              <w:rPr>
                <w:sz w:val="20"/>
              </w:rPr>
              <w:t>F</w:t>
            </w:r>
            <w:r w:rsidR="009855EC" w:rsidRPr="00613103">
              <w:rPr>
                <w:sz w:val="20"/>
              </w:rPr>
              <w:t>atigue, %</w:t>
            </w:r>
          </w:p>
        </w:tc>
        <w:tc>
          <w:tcPr>
            <w:tcW w:w="1544" w:type="dxa"/>
          </w:tcPr>
          <w:p w14:paraId="568BA9EE" w14:textId="77777777" w:rsidR="009855EC" w:rsidRPr="00613103" w:rsidRDefault="009855EC" w:rsidP="00613103">
            <w:pPr>
              <w:spacing w:before="0" w:after="0"/>
              <w:rPr>
                <w:sz w:val="20"/>
              </w:rPr>
            </w:pPr>
            <w:r w:rsidRPr="00613103">
              <w:rPr>
                <w:sz w:val="20"/>
              </w:rPr>
              <w:t>36.1</w:t>
            </w:r>
          </w:p>
        </w:tc>
        <w:tc>
          <w:tcPr>
            <w:tcW w:w="1633" w:type="dxa"/>
          </w:tcPr>
          <w:p w14:paraId="4702E6F5" w14:textId="77777777" w:rsidR="009855EC" w:rsidRPr="00613103" w:rsidRDefault="009855EC" w:rsidP="00613103">
            <w:pPr>
              <w:spacing w:before="0" w:after="0"/>
              <w:rPr>
                <w:sz w:val="20"/>
              </w:rPr>
            </w:pPr>
            <w:r w:rsidRPr="00613103">
              <w:rPr>
                <w:sz w:val="20"/>
              </w:rPr>
              <w:t>26.8</w:t>
            </w:r>
          </w:p>
        </w:tc>
        <w:tc>
          <w:tcPr>
            <w:tcW w:w="1252" w:type="dxa"/>
          </w:tcPr>
          <w:p w14:paraId="55632CB4" w14:textId="77777777" w:rsidR="009855EC" w:rsidRPr="00613103" w:rsidRDefault="009855EC" w:rsidP="00613103">
            <w:pPr>
              <w:spacing w:before="0" w:after="0"/>
              <w:rPr>
                <w:sz w:val="20"/>
              </w:rPr>
            </w:pPr>
            <w:r w:rsidRPr="00613103">
              <w:rPr>
                <w:sz w:val="20"/>
              </w:rPr>
              <w:t>55.2</w:t>
            </w:r>
          </w:p>
        </w:tc>
        <w:tc>
          <w:tcPr>
            <w:tcW w:w="1331" w:type="dxa"/>
          </w:tcPr>
          <w:p w14:paraId="58B6DE37" w14:textId="77777777" w:rsidR="009855EC" w:rsidRPr="00613103" w:rsidRDefault="009855EC" w:rsidP="00613103">
            <w:pPr>
              <w:spacing w:before="0" w:after="0"/>
              <w:rPr>
                <w:sz w:val="20"/>
              </w:rPr>
            </w:pPr>
            <w:r w:rsidRPr="00613103">
              <w:rPr>
                <w:sz w:val="20"/>
              </w:rPr>
              <w:t>44.9</w:t>
            </w:r>
          </w:p>
        </w:tc>
      </w:tr>
      <w:tr w:rsidR="00700D74" w:rsidRPr="001C2417" w14:paraId="4642523C" w14:textId="77777777" w:rsidTr="00700D74">
        <w:tblPrEx>
          <w:tblCellMar>
            <w:left w:w="108" w:type="dxa"/>
            <w:right w:w="108" w:type="dxa"/>
          </w:tblCellMar>
        </w:tblPrEx>
        <w:tc>
          <w:tcPr>
            <w:tcW w:w="3050" w:type="dxa"/>
          </w:tcPr>
          <w:p w14:paraId="5F638B54" w14:textId="2C9EB1AE" w:rsidR="009855EC" w:rsidRPr="00613103" w:rsidRDefault="008D2D0F" w:rsidP="00613103">
            <w:pPr>
              <w:spacing w:before="0" w:after="0"/>
              <w:rPr>
                <w:sz w:val="20"/>
              </w:rPr>
            </w:pPr>
            <w:r>
              <w:rPr>
                <w:sz w:val="20"/>
              </w:rPr>
              <w:t>P</w:t>
            </w:r>
            <w:r w:rsidR="009855EC" w:rsidRPr="00613103">
              <w:rPr>
                <w:sz w:val="20"/>
              </w:rPr>
              <w:t>yrexia, %</w:t>
            </w:r>
          </w:p>
        </w:tc>
        <w:tc>
          <w:tcPr>
            <w:tcW w:w="1544" w:type="dxa"/>
          </w:tcPr>
          <w:p w14:paraId="08E50862" w14:textId="77777777" w:rsidR="009855EC" w:rsidRPr="00613103" w:rsidRDefault="009855EC" w:rsidP="00613103">
            <w:pPr>
              <w:spacing w:before="0" w:after="0"/>
              <w:rPr>
                <w:sz w:val="20"/>
              </w:rPr>
            </w:pPr>
            <w:r w:rsidRPr="00613103">
              <w:rPr>
                <w:sz w:val="20"/>
              </w:rPr>
              <w:t>22.0</w:t>
            </w:r>
          </w:p>
        </w:tc>
        <w:tc>
          <w:tcPr>
            <w:tcW w:w="1633" w:type="dxa"/>
          </w:tcPr>
          <w:p w14:paraId="557F5C89" w14:textId="77777777" w:rsidR="009855EC" w:rsidRPr="00613103" w:rsidRDefault="009855EC" w:rsidP="00613103">
            <w:pPr>
              <w:spacing w:before="0" w:after="0"/>
              <w:rPr>
                <w:sz w:val="20"/>
              </w:rPr>
            </w:pPr>
            <w:r w:rsidRPr="00613103">
              <w:rPr>
                <w:sz w:val="20"/>
              </w:rPr>
              <w:t>14.1</w:t>
            </w:r>
          </w:p>
        </w:tc>
        <w:tc>
          <w:tcPr>
            <w:tcW w:w="1252" w:type="dxa"/>
          </w:tcPr>
          <w:p w14:paraId="120DD1CF" w14:textId="77777777" w:rsidR="009855EC" w:rsidRPr="00613103" w:rsidRDefault="009855EC" w:rsidP="00613103">
            <w:pPr>
              <w:spacing w:before="0" w:after="0"/>
              <w:rPr>
                <w:sz w:val="20"/>
              </w:rPr>
            </w:pPr>
            <w:r w:rsidRPr="00613103">
              <w:rPr>
                <w:sz w:val="20"/>
              </w:rPr>
              <w:t>13.6</w:t>
            </w:r>
          </w:p>
        </w:tc>
        <w:tc>
          <w:tcPr>
            <w:tcW w:w="1331" w:type="dxa"/>
          </w:tcPr>
          <w:p w14:paraId="3736A41A" w14:textId="77777777" w:rsidR="009855EC" w:rsidRPr="00613103" w:rsidRDefault="009855EC" w:rsidP="00613103">
            <w:pPr>
              <w:spacing w:before="0" w:after="0"/>
              <w:rPr>
                <w:sz w:val="20"/>
              </w:rPr>
            </w:pPr>
            <w:r w:rsidRPr="00613103">
              <w:rPr>
                <w:sz w:val="20"/>
              </w:rPr>
              <w:t>16.9</w:t>
            </w:r>
          </w:p>
        </w:tc>
      </w:tr>
      <w:tr w:rsidR="00700D74" w:rsidRPr="001C2417" w14:paraId="2723107E" w14:textId="77777777" w:rsidTr="00700D74">
        <w:tblPrEx>
          <w:tblCellMar>
            <w:left w:w="108" w:type="dxa"/>
            <w:right w:w="108" w:type="dxa"/>
          </w:tblCellMar>
        </w:tblPrEx>
        <w:tc>
          <w:tcPr>
            <w:tcW w:w="3050" w:type="dxa"/>
          </w:tcPr>
          <w:p w14:paraId="7959AB00" w14:textId="77777777" w:rsidR="009855EC" w:rsidRPr="00613103" w:rsidRDefault="009855EC" w:rsidP="00613103">
            <w:pPr>
              <w:spacing w:before="0" w:after="0"/>
              <w:rPr>
                <w:sz w:val="20"/>
              </w:rPr>
            </w:pPr>
            <w:r w:rsidRPr="00613103">
              <w:rPr>
                <w:sz w:val="20"/>
              </w:rPr>
              <w:t>Oedema peripheral, %</w:t>
            </w:r>
          </w:p>
        </w:tc>
        <w:tc>
          <w:tcPr>
            <w:tcW w:w="1544" w:type="dxa"/>
          </w:tcPr>
          <w:p w14:paraId="00020BBA" w14:textId="77777777" w:rsidR="009855EC" w:rsidRPr="00613103" w:rsidRDefault="009855EC" w:rsidP="00613103">
            <w:pPr>
              <w:spacing w:before="0" w:after="0"/>
              <w:rPr>
                <w:sz w:val="20"/>
              </w:rPr>
            </w:pPr>
            <w:r w:rsidRPr="00613103">
              <w:rPr>
                <w:sz w:val="20"/>
              </w:rPr>
              <w:t>9.1</w:t>
            </w:r>
          </w:p>
        </w:tc>
        <w:tc>
          <w:tcPr>
            <w:tcW w:w="1633" w:type="dxa"/>
          </w:tcPr>
          <w:p w14:paraId="69888143" w14:textId="77777777" w:rsidR="009855EC" w:rsidRPr="00613103" w:rsidRDefault="009855EC" w:rsidP="00613103">
            <w:pPr>
              <w:spacing w:before="0" w:after="0"/>
              <w:rPr>
                <w:sz w:val="20"/>
              </w:rPr>
            </w:pPr>
            <w:r w:rsidRPr="00613103">
              <w:rPr>
                <w:sz w:val="20"/>
              </w:rPr>
              <w:t>13.4</w:t>
            </w:r>
          </w:p>
        </w:tc>
        <w:tc>
          <w:tcPr>
            <w:tcW w:w="1252" w:type="dxa"/>
          </w:tcPr>
          <w:p w14:paraId="34D3C501" w14:textId="77777777" w:rsidR="009855EC" w:rsidRPr="00613103" w:rsidRDefault="009855EC" w:rsidP="00613103">
            <w:pPr>
              <w:spacing w:before="0" w:after="0"/>
              <w:rPr>
                <w:sz w:val="20"/>
              </w:rPr>
            </w:pPr>
            <w:r w:rsidRPr="00613103">
              <w:rPr>
                <w:sz w:val="20"/>
              </w:rPr>
              <w:t>24.8</w:t>
            </w:r>
          </w:p>
        </w:tc>
        <w:tc>
          <w:tcPr>
            <w:tcW w:w="1331" w:type="dxa"/>
          </w:tcPr>
          <w:p w14:paraId="3B397AA6" w14:textId="77777777" w:rsidR="009855EC" w:rsidRPr="00613103" w:rsidRDefault="009855EC" w:rsidP="00613103">
            <w:pPr>
              <w:spacing w:before="0" w:after="0"/>
              <w:rPr>
                <w:sz w:val="20"/>
              </w:rPr>
            </w:pPr>
            <w:r w:rsidRPr="00613103">
              <w:rPr>
                <w:sz w:val="20"/>
              </w:rPr>
              <w:t>22.5</w:t>
            </w:r>
          </w:p>
        </w:tc>
      </w:tr>
      <w:tr w:rsidR="00700D74" w:rsidRPr="00BA0330" w14:paraId="260CB0B1" w14:textId="77777777" w:rsidTr="00700D74">
        <w:tblPrEx>
          <w:tblCellMar>
            <w:left w:w="108" w:type="dxa"/>
            <w:right w:w="108" w:type="dxa"/>
          </w:tblCellMar>
        </w:tblPrEx>
        <w:tc>
          <w:tcPr>
            <w:tcW w:w="3050" w:type="dxa"/>
          </w:tcPr>
          <w:p w14:paraId="073C719E" w14:textId="77777777" w:rsidR="009855EC" w:rsidRPr="00613103" w:rsidRDefault="009855EC" w:rsidP="00613103">
            <w:pPr>
              <w:spacing w:before="0" w:after="0"/>
              <w:rPr>
                <w:sz w:val="20"/>
              </w:rPr>
            </w:pPr>
            <w:r w:rsidRPr="00613103">
              <w:rPr>
                <w:sz w:val="20"/>
              </w:rPr>
              <w:t>Urinary tract infection, %</w:t>
            </w:r>
          </w:p>
        </w:tc>
        <w:tc>
          <w:tcPr>
            <w:tcW w:w="1544" w:type="dxa"/>
          </w:tcPr>
          <w:p w14:paraId="34DF6496" w14:textId="77777777" w:rsidR="009855EC" w:rsidRPr="00613103" w:rsidRDefault="009855EC" w:rsidP="00613103">
            <w:pPr>
              <w:spacing w:before="0" w:after="0"/>
              <w:rPr>
                <w:sz w:val="20"/>
              </w:rPr>
            </w:pPr>
            <w:r w:rsidRPr="00613103">
              <w:rPr>
                <w:sz w:val="20"/>
              </w:rPr>
              <w:t>8.8</w:t>
            </w:r>
          </w:p>
        </w:tc>
        <w:tc>
          <w:tcPr>
            <w:tcW w:w="1633" w:type="dxa"/>
          </w:tcPr>
          <w:p w14:paraId="79228C15" w14:textId="77777777" w:rsidR="009855EC" w:rsidRPr="00613103" w:rsidRDefault="009855EC" w:rsidP="00613103">
            <w:pPr>
              <w:spacing w:before="0" w:after="0"/>
              <w:rPr>
                <w:sz w:val="20"/>
              </w:rPr>
            </w:pPr>
            <w:r w:rsidRPr="00613103">
              <w:rPr>
                <w:sz w:val="20"/>
              </w:rPr>
              <w:t>6.2</w:t>
            </w:r>
          </w:p>
        </w:tc>
        <w:tc>
          <w:tcPr>
            <w:tcW w:w="1252" w:type="dxa"/>
          </w:tcPr>
          <w:p w14:paraId="3D64E74F" w14:textId="77777777" w:rsidR="009855EC" w:rsidRPr="00613103" w:rsidRDefault="009855EC" w:rsidP="00613103">
            <w:pPr>
              <w:spacing w:before="0" w:after="0"/>
              <w:rPr>
                <w:sz w:val="20"/>
              </w:rPr>
            </w:pPr>
            <w:r w:rsidRPr="00613103">
              <w:rPr>
                <w:sz w:val="20"/>
              </w:rPr>
              <w:t>19.2</w:t>
            </w:r>
          </w:p>
        </w:tc>
        <w:tc>
          <w:tcPr>
            <w:tcW w:w="1331" w:type="dxa"/>
          </w:tcPr>
          <w:p w14:paraId="630A87E8" w14:textId="77777777" w:rsidR="009855EC" w:rsidRPr="00613103" w:rsidRDefault="009855EC" w:rsidP="00613103">
            <w:pPr>
              <w:spacing w:before="0" w:after="0"/>
              <w:rPr>
                <w:sz w:val="20"/>
              </w:rPr>
            </w:pPr>
            <w:r w:rsidRPr="00613103">
              <w:rPr>
                <w:sz w:val="20"/>
              </w:rPr>
              <w:t>14.6</w:t>
            </w:r>
          </w:p>
        </w:tc>
      </w:tr>
      <w:tr w:rsidR="00700D74" w:rsidRPr="00BA0330" w14:paraId="4CC38BE0" w14:textId="77777777" w:rsidTr="00700D74">
        <w:tblPrEx>
          <w:tblCellMar>
            <w:left w:w="108" w:type="dxa"/>
            <w:right w:w="108" w:type="dxa"/>
          </w:tblCellMar>
        </w:tblPrEx>
        <w:tc>
          <w:tcPr>
            <w:tcW w:w="3050" w:type="dxa"/>
          </w:tcPr>
          <w:p w14:paraId="4FE32EDF" w14:textId="77777777" w:rsidR="009855EC" w:rsidRPr="00613103" w:rsidRDefault="009855EC" w:rsidP="00613103">
            <w:pPr>
              <w:spacing w:before="0" w:after="0"/>
              <w:rPr>
                <w:sz w:val="20"/>
              </w:rPr>
            </w:pPr>
            <w:r w:rsidRPr="00613103">
              <w:rPr>
                <w:sz w:val="20"/>
              </w:rPr>
              <w:t>Weight decreased, %</w:t>
            </w:r>
          </w:p>
        </w:tc>
        <w:tc>
          <w:tcPr>
            <w:tcW w:w="1544" w:type="dxa"/>
          </w:tcPr>
          <w:p w14:paraId="598A002B" w14:textId="77777777" w:rsidR="009855EC" w:rsidRPr="00613103" w:rsidRDefault="009855EC" w:rsidP="00613103">
            <w:pPr>
              <w:spacing w:before="0" w:after="0"/>
              <w:rPr>
                <w:sz w:val="20"/>
              </w:rPr>
            </w:pPr>
            <w:r w:rsidRPr="00613103">
              <w:rPr>
                <w:sz w:val="20"/>
              </w:rPr>
              <w:t>15.9</w:t>
            </w:r>
          </w:p>
        </w:tc>
        <w:tc>
          <w:tcPr>
            <w:tcW w:w="1633" w:type="dxa"/>
          </w:tcPr>
          <w:p w14:paraId="1E3565B0" w14:textId="77777777" w:rsidR="009855EC" w:rsidRPr="00613103" w:rsidRDefault="009855EC" w:rsidP="00613103">
            <w:pPr>
              <w:spacing w:before="0" w:after="0"/>
              <w:rPr>
                <w:sz w:val="20"/>
              </w:rPr>
            </w:pPr>
            <w:r w:rsidRPr="00613103">
              <w:rPr>
                <w:sz w:val="20"/>
              </w:rPr>
              <w:t>6.9</w:t>
            </w:r>
          </w:p>
        </w:tc>
        <w:tc>
          <w:tcPr>
            <w:tcW w:w="1252" w:type="dxa"/>
          </w:tcPr>
          <w:p w14:paraId="018AD247" w14:textId="77777777" w:rsidR="009855EC" w:rsidRPr="00613103" w:rsidRDefault="009855EC" w:rsidP="00613103">
            <w:pPr>
              <w:spacing w:before="0" w:after="0"/>
              <w:rPr>
                <w:sz w:val="20"/>
              </w:rPr>
            </w:pPr>
            <w:r w:rsidRPr="00613103">
              <w:rPr>
                <w:sz w:val="20"/>
              </w:rPr>
              <w:t>32.0</w:t>
            </w:r>
          </w:p>
        </w:tc>
        <w:tc>
          <w:tcPr>
            <w:tcW w:w="1331" w:type="dxa"/>
          </w:tcPr>
          <w:p w14:paraId="45B1B041" w14:textId="77777777" w:rsidR="009855EC" w:rsidRPr="00613103" w:rsidRDefault="009855EC" w:rsidP="00613103">
            <w:pPr>
              <w:spacing w:before="0" w:after="0"/>
              <w:rPr>
                <w:sz w:val="20"/>
              </w:rPr>
            </w:pPr>
            <w:r w:rsidRPr="00613103">
              <w:rPr>
                <w:sz w:val="20"/>
              </w:rPr>
              <w:t>34.8</w:t>
            </w:r>
          </w:p>
        </w:tc>
      </w:tr>
      <w:tr w:rsidR="00700D74" w:rsidRPr="00BA0330" w14:paraId="7B23C885" w14:textId="77777777" w:rsidTr="00700D74">
        <w:tblPrEx>
          <w:tblCellMar>
            <w:left w:w="108" w:type="dxa"/>
            <w:right w:w="108" w:type="dxa"/>
          </w:tblCellMar>
        </w:tblPrEx>
        <w:tc>
          <w:tcPr>
            <w:tcW w:w="3050" w:type="dxa"/>
          </w:tcPr>
          <w:p w14:paraId="04D9E2A6" w14:textId="77777777" w:rsidR="009855EC" w:rsidRPr="00613103" w:rsidRDefault="009855EC" w:rsidP="00613103">
            <w:pPr>
              <w:spacing w:before="0" w:after="0"/>
              <w:rPr>
                <w:sz w:val="20"/>
              </w:rPr>
            </w:pPr>
            <w:r w:rsidRPr="00613103">
              <w:rPr>
                <w:sz w:val="20"/>
              </w:rPr>
              <w:t>AST increased, %</w:t>
            </w:r>
          </w:p>
        </w:tc>
        <w:tc>
          <w:tcPr>
            <w:tcW w:w="1544" w:type="dxa"/>
          </w:tcPr>
          <w:p w14:paraId="35D8BEB7" w14:textId="77777777" w:rsidR="009855EC" w:rsidRPr="00613103" w:rsidRDefault="009855EC" w:rsidP="00613103">
            <w:pPr>
              <w:spacing w:before="0" w:after="0"/>
              <w:rPr>
                <w:sz w:val="20"/>
              </w:rPr>
            </w:pPr>
            <w:r w:rsidRPr="00613103">
              <w:rPr>
                <w:sz w:val="20"/>
              </w:rPr>
              <w:t>12.2</w:t>
            </w:r>
          </w:p>
        </w:tc>
        <w:tc>
          <w:tcPr>
            <w:tcW w:w="1633" w:type="dxa"/>
          </w:tcPr>
          <w:p w14:paraId="57194619" w14:textId="77777777" w:rsidR="009855EC" w:rsidRPr="00613103" w:rsidRDefault="009855EC" w:rsidP="00613103">
            <w:pPr>
              <w:spacing w:before="0" w:after="0"/>
              <w:rPr>
                <w:sz w:val="20"/>
              </w:rPr>
            </w:pPr>
            <w:r w:rsidRPr="00613103">
              <w:rPr>
                <w:sz w:val="20"/>
              </w:rPr>
              <w:t>1.7</w:t>
            </w:r>
          </w:p>
        </w:tc>
        <w:tc>
          <w:tcPr>
            <w:tcW w:w="1252" w:type="dxa"/>
          </w:tcPr>
          <w:p w14:paraId="7FA32231" w14:textId="77777777" w:rsidR="009855EC" w:rsidRPr="00613103" w:rsidRDefault="009855EC" w:rsidP="00613103">
            <w:pPr>
              <w:spacing w:before="0" w:after="0"/>
              <w:rPr>
                <w:sz w:val="20"/>
              </w:rPr>
            </w:pPr>
            <w:r w:rsidRPr="00613103">
              <w:rPr>
                <w:sz w:val="20"/>
              </w:rPr>
              <w:t>15.2</w:t>
            </w:r>
          </w:p>
        </w:tc>
        <w:tc>
          <w:tcPr>
            <w:tcW w:w="1331" w:type="dxa"/>
          </w:tcPr>
          <w:p w14:paraId="3063AE55" w14:textId="77777777" w:rsidR="009855EC" w:rsidRPr="00613103" w:rsidRDefault="009855EC" w:rsidP="00613103">
            <w:pPr>
              <w:spacing w:before="0" w:after="0"/>
              <w:rPr>
                <w:sz w:val="20"/>
              </w:rPr>
            </w:pPr>
            <w:r w:rsidRPr="00613103">
              <w:rPr>
                <w:sz w:val="20"/>
              </w:rPr>
              <w:t>12.4</w:t>
            </w:r>
          </w:p>
        </w:tc>
      </w:tr>
      <w:tr w:rsidR="00700D74" w:rsidRPr="00BA0330" w14:paraId="64F72C4D" w14:textId="77777777" w:rsidTr="00700D74">
        <w:tblPrEx>
          <w:tblCellMar>
            <w:left w:w="108" w:type="dxa"/>
            <w:right w:w="108" w:type="dxa"/>
          </w:tblCellMar>
        </w:tblPrEx>
        <w:tc>
          <w:tcPr>
            <w:tcW w:w="3050" w:type="dxa"/>
          </w:tcPr>
          <w:p w14:paraId="26D087C2" w14:textId="77777777" w:rsidR="009855EC" w:rsidRPr="00613103" w:rsidRDefault="009855EC" w:rsidP="00613103">
            <w:pPr>
              <w:spacing w:before="0" w:after="0"/>
              <w:rPr>
                <w:sz w:val="20"/>
              </w:rPr>
            </w:pPr>
            <w:r w:rsidRPr="00613103">
              <w:rPr>
                <w:sz w:val="20"/>
              </w:rPr>
              <w:t>ALT increased, %</w:t>
            </w:r>
          </w:p>
        </w:tc>
        <w:tc>
          <w:tcPr>
            <w:tcW w:w="1544" w:type="dxa"/>
          </w:tcPr>
          <w:p w14:paraId="28F4F79E" w14:textId="77777777" w:rsidR="009855EC" w:rsidRPr="00613103" w:rsidRDefault="009855EC" w:rsidP="00613103">
            <w:pPr>
              <w:spacing w:before="0" w:after="0"/>
              <w:rPr>
                <w:sz w:val="20"/>
              </w:rPr>
            </w:pPr>
            <w:r w:rsidRPr="00613103">
              <w:rPr>
                <w:sz w:val="20"/>
              </w:rPr>
              <w:t>9.1</w:t>
            </w:r>
          </w:p>
        </w:tc>
        <w:tc>
          <w:tcPr>
            <w:tcW w:w="1633" w:type="dxa"/>
          </w:tcPr>
          <w:p w14:paraId="58CC2F94" w14:textId="77777777" w:rsidR="009855EC" w:rsidRPr="00613103" w:rsidRDefault="009855EC" w:rsidP="00613103">
            <w:pPr>
              <w:spacing w:before="0" w:after="0"/>
              <w:rPr>
                <w:sz w:val="20"/>
              </w:rPr>
            </w:pPr>
            <w:r w:rsidRPr="00613103">
              <w:rPr>
                <w:sz w:val="20"/>
              </w:rPr>
              <w:t>1.4</w:t>
            </w:r>
          </w:p>
        </w:tc>
        <w:tc>
          <w:tcPr>
            <w:tcW w:w="1252" w:type="dxa"/>
          </w:tcPr>
          <w:p w14:paraId="2C4A3009" w14:textId="77777777" w:rsidR="009855EC" w:rsidRPr="00613103" w:rsidRDefault="009855EC" w:rsidP="00613103">
            <w:pPr>
              <w:spacing w:before="0" w:after="0"/>
              <w:rPr>
                <w:sz w:val="20"/>
              </w:rPr>
            </w:pPr>
            <w:r w:rsidRPr="00613103">
              <w:rPr>
                <w:sz w:val="20"/>
              </w:rPr>
              <w:t>12.0</w:t>
            </w:r>
          </w:p>
        </w:tc>
        <w:tc>
          <w:tcPr>
            <w:tcW w:w="1331" w:type="dxa"/>
          </w:tcPr>
          <w:p w14:paraId="352198FF" w14:textId="77777777" w:rsidR="009855EC" w:rsidRPr="00613103" w:rsidRDefault="009855EC" w:rsidP="00613103">
            <w:pPr>
              <w:spacing w:before="0" w:after="0"/>
              <w:rPr>
                <w:sz w:val="20"/>
              </w:rPr>
            </w:pPr>
            <w:r w:rsidRPr="00613103">
              <w:rPr>
                <w:sz w:val="20"/>
              </w:rPr>
              <w:t>10.1</w:t>
            </w:r>
          </w:p>
        </w:tc>
      </w:tr>
      <w:tr w:rsidR="00700D74" w:rsidRPr="00BA0330" w14:paraId="0F10524A" w14:textId="77777777" w:rsidTr="00700D74">
        <w:tblPrEx>
          <w:tblCellMar>
            <w:left w:w="108" w:type="dxa"/>
            <w:right w:w="108" w:type="dxa"/>
          </w:tblCellMar>
        </w:tblPrEx>
        <w:tc>
          <w:tcPr>
            <w:tcW w:w="3050" w:type="dxa"/>
          </w:tcPr>
          <w:p w14:paraId="796B729E" w14:textId="77777777" w:rsidR="009855EC" w:rsidRPr="00613103" w:rsidRDefault="009855EC" w:rsidP="00613103">
            <w:pPr>
              <w:spacing w:before="0" w:after="0"/>
              <w:rPr>
                <w:sz w:val="20"/>
              </w:rPr>
            </w:pPr>
            <w:r w:rsidRPr="00613103">
              <w:rPr>
                <w:sz w:val="20"/>
              </w:rPr>
              <w:t>Blood creatinine increased, %</w:t>
            </w:r>
          </w:p>
        </w:tc>
        <w:tc>
          <w:tcPr>
            <w:tcW w:w="1544" w:type="dxa"/>
          </w:tcPr>
          <w:p w14:paraId="2A18FFC6" w14:textId="77777777" w:rsidR="009855EC" w:rsidRPr="00613103" w:rsidRDefault="009855EC" w:rsidP="00613103">
            <w:pPr>
              <w:spacing w:before="0" w:after="0"/>
              <w:rPr>
                <w:sz w:val="20"/>
              </w:rPr>
            </w:pPr>
            <w:r w:rsidRPr="00613103">
              <w:rPr>
                <w:sz w:val="20"/>
              </w:rPr>
              <w:t>8.8</w:t>
            </w:r>
          </w:p>
        </w:tc>
        <w:tc>
          <w:tcPr>
            <w:tcW w:w="1633" w:type="dxa"/>
          </w:tcPr>
          <w:p w14:paraId="1C1929D2" w14:textId="77777777" w:rsidR="009855EC" w:rsidRPr="00613103" w:rsidRDefault="009855EC" w:rsidP="00613103">
            <w:pPr>
              <w:spacing w:before="0" w:after="0"/>
              <w:rPr>
                <w:sz w:val="20"/>
              </w:rPr>
            </w:pPr>
            <w:r w:rsidRPr="00613103">
              <w:rPr>
                <w:sz w:val="20"/>
              </w:rPr>
              <w:t>2.4</w:t>
            </w:r>
          </w:p>
        </w:tc>
        <w:tc>
          <w:tcPr>
            <w:tcW w:w="1252" w:type="dxa"/>
          </w:tcPr>
          <w:p w14:paraId="0C661D6E" w14:textId="77777777" w:rsidR="009855EC" w:rsidRPr="00613103" w:rsidRDefault="009855EC" w:rsidP="00613103">
            <w:pPr>
              <w:spacing w:before="0" w:after="0"/>
              <w:rPr>
                <w:sz w:val="20"/>
              </w:rPr>
            </w:pPr>
            <w:r w:rsidRPr="00613103">
              <w:rPr>
                <w:sz w:val="20"/>
              </w:rPr>
              <w:t>8.0</w:t>
            </w:r>
          </w:p>
        </w:tc>
        <w:tc>
          <w:tcPr>
            <w:tcW w:w="1331" w:type="dxa"/>
          </w:tcPr>
          <w:p w14:paraId="4483CB05" w14:textId="77777777" w:rsidR="009855EC" w:rsidRPr="00613103" w:rsidRDefault="009855EC" w:rsidP="00613103">
            <w:pPr>
              <w:spacing w:before="0" w:after="0"/>
              <w:rPr>
                <w:sz w:val="20"/>
              </w:rPr>
            </w:pPr>
            <w:r w:rsidRPr="00613103">
              <w:rPr>
                <w:sz w:val="20"/>
              </w:rPr>
              <w:t>5.6</w:t>
            </w:r>
          </w:p>
        </w:tc>
      </w:tr>
      <w:tr w:rsidR="00700D74" w:rsidRPr="002F3915" w14:paraId="24DDED6B" w14:textId="77777777" w:rsidTr="00700D74">
        <w:tblPrEx>
          <w:tblCellMar>
            <w:left w:w="108" w:type="dxa"/>
            <w:right w:w="108" w:type="dxa"/>
          </w:tblCellMar>
        </w:tblPrEx>
        <w:tc>
          <w:tcPr>
            <w:tcW w:w="3050" w:type="dxa"/>
          </w:tcPr>
          <w:p w14:paraId="0031A1B3" w14:textId="77777777" w:rsidR="009855EC" w:rsidRPr="00613103" w:rsidRDefault="009855EC" w:rsidP="00613103">
            <w:pPr>
              <w:spacing w:before="0" w:after="0"/>
              <w:rPr>
                <w:sz w:val="20"/>
              </w:rPr>
            </w:pPr>
            <w:r w:rsidRPr="00613103">
              <w:rPr>
                <w:sz w:val="20"/>
              </w:rPr>
              <w:t>Decreased appetite, %</w:t>
            </w:r>
          </w:p>
        </w:tc>
        <w:tc>
          <w:tcPr>
            <w:tcW w:w="1544" w:type="dxa"/>
          </w:tcPr>
          <w:p w14:paraId="0B150814" w14:textId="77777777" w:rsidR="009855EC" w:rsidRPr="00613103" w:rsidRDefault="009855EC" w:rsidP="00613103">
            <w:pPr>
              <w:spacing w:before="0" w:after="0"/>
              <w:rPr>
                <w:sz w:val="20"/>
              </w:rPr>
            </w:pPr>
            <w:r w:rsidRPr="00613103">
              <w:rPr>
                <w:sz w:val="20"/>
              </w:rPr>
              <w:t>40.9</w:t>
            </w:r>
          </w:p>
        </w:tc>
        <w:tc>
          <w:tcPr>
            <w:tcW w:w="1633" w:type="dxa"/>
          </w:tcPr>
          <w:p w14:paraId="40E395A6" w14:textId="77777777" w:rsidR="009855EC" w:rsidRPr="00613103" w:rsidRDefault="009855EC" w:rsidP="00613103">
            <w:pPr>
              <w:spacing w:before="0" w:after="0"/>
              <w:rPr>
                <w:sz w:val="20"/>
              </w:rPr>
            </w:pPr>
            <w:r w:rsidRPr="00613103">
              <w:rPr>
                <w:sz w:val="20"/>
              </w:rPr>
              <w:t>26.8</w:t>
            </w:r>
          </w:p>
        </w:tc>
        <w:tc>
          <w:tcPr>
            <w:tcW w:w="1252" w:type="dxa"/>
          </w:tcPr>
          <w:p w14:paraId="75F0D3DD" w14:textId="77777777" w:rsidR="009855EC" w:rsidRPr="00613103" w:rsidRDefault="009855EC" w:rsidP="00613103">
            <w:pPr>
              <w:spacing w:before="0" w:after="0"/>
              <w:rPr>
                <w:sz w:val="20"/>
              </w:rPr>
            </w:pPr>
            <w:r w:rsidRPr="00613103">
              <w:rPr>
                <w:sz w:val="20"/>
              </w:rPr>
              <w:t>52.0</w:t>
            </w:r>
          </w:p>
        </w:tc>
        <w:tc>
          <w:tcPr>
            <w:tcW w:w="1331" w:type="dxa"/>
          </w:tcPr>
          <w:p w14:paraId="32FCBCA6" w14:textId="77777777" w:rsidR="009855EC" w:rsidRPr="00613103" w:rsidRDefault="009855EC" w:rsidP="00613103">
            <w:pPr>
              <w:spacing w:before="0" w:after="0"/>
              <w:rPr>
                <w:sz w:val="20"/>
              </w:rPr>
            </w:pPr>
            <w:r w:rsidRPr="00613103">
              <w:rPr>
                <w:sz w:val="20"/>
              </w:rPr>
              <w:t>40.4</w:t>
            </w:r>
          </w:p>
        </w:tc>
      </w:tr>
      <w:tr w:rsidR="00700D74" w:rsidRPr="002F3915" w14:paraId="32454F18" w14:textId="77777777" w:rsidTr="00700D74">
        <w:tblPrEx>
          <w:tblCellMar>
            <w:left w:w="108" w:type="dxa"/>
            <w:right w:w="108" w:type="dxa"/>
          </w:tblCellMar>
        </w:tblPrEx>
        <w:tc>
          <w:tcPr>
            <w:tcW w:w="3050" w:type="dxa"/>
          </w:tcPr>
          <w:p w14:paraId="70E9F5CA" w14:textId="10024CE2" w:rsidR="009855EC" w:rsidRPr="00613103" w:rsidRDefault="008D2D0F" w:rsidP="00613103">
            <w:pPr>
              <w:spacing w:before="0" w:after="0"/>
              <w:rPr>
                <w:sz w:val="20"/>
              </w:rPr>
            </w:pPr>
            <w:r>
              <w:rPr>
                <w:sz w:val="20"/>
              </w:rPr>
              <w:t>H</w:t>
            </w:r>
            <w:r w:rsidR="009855EC" w:rsidRPr="00613103">
              <w:rPr>
                <w:sz w:val="20"/>
              </w:rPr>
              <w:t>yperglycaemia, %</w:t>
            </w:r>
          </w:p>
        </w:tc>
        <w:tc>
          <w:tcPr>
            <w:tcW w:w="1544" w:type="dxa"/>
          </w:tcPr>
          <w:p w14:paraId="5A873101" w14:textId="77777777" w:rsidR="009855EC" w:rsidRPr="00613103" w:rsidRDefault="009855EC" w:rsidP="00613103">
            <w:pPr>
              <w:spacing w:before="0" w:after="0"/>
              <w:rPr>
                <w:sz w:val="20"/>
              </w:rPr>
            </w:pPr>
            <w:r w:rsidRPr="00613103">
              <w:rPr>
                <w:sz w:val="20"/>
              </w:rPr>
              <w:t>10.5</w:t>
            </w:r>
          </w:p>
        </w:tc>
        <w:tc>
          <w:tcPr>
            <w:tcW w:w="1633" w:type="dxa"/>
          </w:tcPr>
          <w:p w14:paraId="0F6FDF7D" w14:textId="77777777" w:rsidR="009855EC" w:rsidRPr="00613103" w:rsidRDefault="009855EC" w:rsidP="00613103">
            <w:pPr>
              <w:spacing w:before="0" w:after="0"/>
              <w:rPr>
                <w:sz w:val="20"/>
              </w:rPr>
            </w:pPr>
            <w:r w:rsidRPr="00613103">
              <w:rPr>
                <w:sz w:val="20"/>
              </w:rPr>
              <w:t>2.1</w:t>
            </w:r>
          </w:p>
        </w:tc>
        <w:tc>
          <w:tcPr>
            <w:tcW w:w="1252" w:type="dxa"/>
          </w:tcPr>
          <w:p w14:paraId="51DD7602" w14:textId="77777777" w:rsidR="009855EC" w:rsidRPr="00613103" w:rsidRDefault="009855EC" w:rsidP="00613103">
            <w:pPr>
              <w:spacing w:before="0" w:after="0"/>
              <w:rPr>
                <w:sz w:val="20"/>
              </w:rPr>
            </w:pPr>
            <w:r w:rsidRPr="00613103">
              <w:rPr>
                <w:sz w:val="20"/>
              </w:rPr>
              <w:t>15.2</w:t>
            </w:r>
          </w:p>
        </w:tc>
        <w:tc>
          <w:tcPr>
            <w:tcW w:w="1331" w:type="dxa"/>
          </w:tcPr>
          <w:p w14:paraId="3804FC06" w14:textId="77777777" w:rsidR="009855EC" w:rsidRPr="00613103" w:rsidRDefault="009855EC" w:rsidP="00613103">
            <w:pPr>
              <w:spacing w:before="0" w:after="0"/>
              <w:rPr>
                <w:sz w:val="20"/>
              </w:rPr>
            </w:pPr>
            <w:r w:rsidRPr="00613103">
              <w:rPr>
                <w:sz w:val="20"/>
              </w:rPr>
              <w:t>15.7</w:t>
            </w:r>
          </w:p>
        </w:tc>
      </w:tr>
      <w:tr w:rsidR="00700D74" w:rsidRPr="002F3915" w14:paraId="018DB4F6" w14:textId="77777777" w:rsidTr="00700D74">
        <w:tblPrEx>
          <w:tblCellMar>
            <w:left w:w="108" w:type="dxa"/>
            <w:right w:w="108" w:type="dxa"/>
          </w:tblCellMar>
        </w:tblPrEx>
        <w:tc>
          <w:tcPr>
            <w:tcW w:w="3050" w:type="dxa"/>
          </w:tcPr>
          <w:p w14:paraId="27F80830" w14:textId="66D1E7CD" w:rsidR="009855EC" w:rsidRPr="00613103" w:rsidRDefault="008D2D0F" w:rsidP="00613103">
            <w:pPr>
              <w:spacing w:before="0" w:after="0"/>
              <w:rPr>
                <w:sz w:val="20"/>
              </w:rPr>
            </w:pPr>
            <w:r>
              <w:rPr>
                <w:sz w:val="20"/>
              </w:rPr>
              <w:t>H</w:t>
            </w:r>
            <w:r w:rsidR="009855EC" w:rsidRPr="00613103">
              <w:rPr>
                <w:sz w:val="20"/>
              </w:rPr>
              <w:t>yponatraemia, %</w:t>
            </w:r>
          </w:p>
        </w:tc>
        <w:tc>
          <w:tcPr>
            <w:tcW w:w="1544" w:type="dxa"/>
          </w:tcPr>
          <w:p w14:paraId="715EE350" w14:textId="77777777" w:rsidR="009855EC" w:rsidRPr="00613103" w:rsidRDefault="009855EC" w:rsidP="00613103">
            <w:pPr>
              <w:spacing w:before="0" w:after="0"/>
              <w:rPr>
                <w:sz w:val="20"/>
              </w:rPr>
            </w:pPr>
            <w:r w:rsidRPr="00613103">
              <w:rPr>
                <w:sz w:val="20"/>
              </w:rPr>
              <w:t>6.4</w:t>
            </w:r>
          </w:p>
        </w:tc>
        <w:tc>
          <w:tcPr>
            <w:tcW w:w="1633" w:type="dxa"/>
          </w:tcPr>
          <w:p w14:paraId="60437802" w14:textId="77777777" w:rsidR="009855EC" w:rsidRPr="00613103" w:rsidRDefault="009855EC" w:rsidP="00613103">
            <w:pPr>
              <w:spacing w:before="0" w:after="0"/>
              <w:rPr>
                <w:sz w:val="20"/>
              </w:rPr>
            </w:pPr>
            <w:r w:rsidRPr="00613103">
              <w:rPr>
                <w:sz w:val="20"/>
              </w:rPr>
              <w:t>1.4</w:t>
            </w:r>
          </w:p>
        </w:tc>
        <w:tc>
          <w:tcPr>
            <w:tcW w:w="1252" w:type="dxa"/>
          </w:tcPr>
          <w:p w14:paraId="175FDFFD" w14:textId="77777777" w:rsidR="009855EC" w:rsidRPr="00613103" w:rsidRDefault="009855EC" w:rsidP="00613103">
            <w:pPr>
              <w:spacing w:before="0" w:after="0"/>
              <w:rPr>
                <w:sz w:val="20"/>
              </w:rPr>
            </w:pPr>
            <w:r w:rsidRPr="00613103">
              <w:rPr>
                <w:sz w:val="20"/>
              </w:rPr>
              <w:t>14.4</w:t>
            </w:r>
          </w:p>
        </w:tc>
        <w:tc>
          <w:tcPr>
            <w:tcW w:w="1331" w:type="dxa"/>
          </w:tcPr>
          <w:p w14:paraId="542098AB" w14:textId="77777777" w:rsidR="009855EC" w:rsidRPr="00613103" w:rsidRDefault="009855EC" w:rsidP="00613103">
            <w:pPr>
              <w:spacing w:before="0" w:after="0"/>
              <w:rPr>
                <w:sz w:val="20"/>
              </w:rPr>
            </w:pPr>
            <w:r w:rsidRPr="00613103">
              <w:rPr>
                <w:sz w:val="20"/>
              </w:rPr>
              <w:t>10.1</w:t>
            </w:r>
          </w:p>
        </w:tc>
      </w:tr>
      <w:tr w:rsidR="00700D74" w:rsidRPr="00B6544B" w14:paraId="1CB29B85" w14:textId="77777777" w:rsidTr="00700D74">
        <w:tblPrEx>
          <w:tblCellMar>
            <w:left w:w="108" w:type="dxa"/>
            <w:right w:w="108" w:type="dxa"/>
          </w:tblCellMar>
        </w:tblPrEx>
        <w:tc>
          <w:tcPr>
            <w:tcW w:w="3050" w:type="dxa"/>
          </w:tcPr>
          <w:p w14:paraId="3463F6DE" w14:textId="17EBB489" w:rsidR="009855EC" w:rsidRPr="00613103" w:rsidRDefault="008D2D0F" w:rsidP="00613103">
            <w:pPr>
              <w:spacing w:before="0" w:after="0"/>
              <w:rPr>
                <w:sz w:val="20"/>
              </w:rPr>
            </w:pPr>
            <w:r>
              <w:rPr>
                <w:sz w:val="20"/>
              </w:rPr>
              <w:t>B</w:t>
            </w:r>
            <w:r w:rsidR="009855EC" w:rsidRPr="00613103">
              <w:rPr>
                <w:sz w:val="20"/>
              </w:rPr>
              <w:t>ack pain, %</w:t>
            </w:r>
          </w:p>
        </w:tc>
        <w:tc>
          <w:tcPr>
            <w:tcW w:w="1544" w:type="dxa"/>
          </w:tcPr>
          <w:p w14:paraId="7A0270A6" w14:textId="77777777" w:rsidR="009855EC" w:rsidRPr="00613103" w:rsidRDefault="009855EC" w:rsidP="00613103">
            <w:pPr>
              <w:spacing w:before="0" w:after="0"/>
              <w:rPr>
                <w:sz w:val="20"/>
              </w:rPr>
            </w:pPr>
            <w:r w:rsidRPr="00613103">
              <w:rPr>
                <w:sz w:val="20"/>
              </w:rPr>
              <w:t>8.8</w:t>
            </w:r>
          </w:p>
        </w:tc>
        <w:tc>
          <w:tcPr>
            <w:tcW w:w="1633" w:type="dxa"/>
          </w:tcPr>
          <w:p w14:paraId="4AA87904" w14:textId="77777777" w:rsidR="009855EC" w:rsidRPr="00613103" w:rsidRDefault="009855EC" w:rsidP="00613103">
            <w:pPr>
              <w:spacing w:before="0" w:after="0"/>
              <w:rPr>
                <w:sz w:val="20"/>
              </w:rPr>
            </w:pPr>
            <w:r w:rsidRPr="00613103">
              <w:rPr>
                <w:sz w:val="20"/>
              </w:rPr>
              <w:t>8.9</w:t>
            </w:r>
          </w:p>
        </w:tc>
        <w:tc>
          <w:tcPr>
            <w:tcW w:w="1252" w:type="dxa"/>
          </w:tcPr>
          <w:p w14:paraId="3C37757B" w14:textId="77777777" w:rsidR="009855EC" w:rsidRPr="00613103" w:rsidRDefault="009855EC" w:rsidP="00613103">
            <w:pPr>
              <w:spacing w:before="0" w:after="0"/>
              <w:rPr>
                <w:sz w:val="20"/>
              </w:rPr>
            </w:pPr>
            <w:r w:rsidRPr="00613103">
              <w:rPr>
                <w:sz w:val="20"/>
              </w:rPr>
              <w:t>16.0</w:t>
            </w:r>
          </w:p>
        </w:tc>
        <w:tc>
          <w:tcPr>
            <w:tcW w:w="1331" w:type="dxa"/>
          </w:tcPr>
          <w:p w14:paraId="36A2C028" w14:textId="77777777" w:rsidR="009855EC" w:rsidRPr="00613103" w:rsidRDefault="009855EC" w:rsidP="00613103">
            <w:pPr>
              <w:spacing w:before="0" w:after="0"/>
              <w:rPr>
                <w:sz w:val="20"/>
              </w:rPr>
            </w:pPr>
            <w:r w:rsidRPr="00613103">
              <w:rPr>
                <w:sz w:val="20"/>
              </w:rPr>
              <w:t>4.5</w:t>
            </w:r>
          </w:p>
        </w:tc>
      </w:tr>
      <w:tr w:rsidR="00700D74" w:rsidRPr="00FD5272" w14:paraId="23D3AB83" w14:textId="77777777" w:rsidTr="00700D74">
        <w:tblPrEx>
          <w:tblCellMar>
            <w:left w:w="108" w:type="dxa"/>
            <w:right w:w="108" w:type="dxa"/>
          </w:tblCellMar>
        </w:tblPrEx>
        <w:tc>
          <w:tcPr>
            <w:tcW w:w="3050" w:type="dxa"/>
          </w:tcPr>
          <w:p w14:paraId="0B0500C1" w14:textId="77777777" w:rsidR="009855EC" w:rsidRPr="00613103" w:rsidRDefault="009855EC" w:rsidP="00613103">
            <w:pPr>
              <w:spacing w:before="0" w:after="0"/>
              <w:rPr>
                <w:sz w:val="20"/>
              </w:rPr>
            </w:pPr>
            <w:r w:rsidRPr="00613103">
              <w:rPr>
                <w:sz w:val="20"/>
              </w:rPr>
              <w:t>Peripheral sensory neuropathy, %</w:t>
            </w:r>
          </w:p>
        </w:tc>
        <w:tc>
          <w:tcPr>
            <w:tcW w:w="1544" w:type="dxa"/>
          </w:tcPr>
          <w:p w14:paraId="59FAB1DF" w14:textId="77777777" w:rsidR="009855EC" w:rsidRPr="00613103" w:rsidRDefault="009855EC" w:rsidP="00613103">
            <w:pPr>
              <w:spacing w:before="0" w:after="0"/>
              <w:rPr>
                <w:sz w:val="20"/>
              </w:rPr>
            </w:pPr>
            <w:r w:rsidRPr="00613103">
              <w:rPr>
                <w:sz w:val="20"/>
              </w:rPr>
              <w:t>34.5</w:t>
            </w:r>
          </w:p>
        </w:tc>
        <w:tc>
          <w:tcPr>
            <w:tcW w:w="1633" w:type="dxa"/>
          </w:tcPr>
          <w:p w14:paraId="018695FA" w14:textId="77777777" w:rsidR="009855EC" w:rsidRPr="00613103" w:rsidRDefault="009855EC" w:rsidP="00613103">
            <w:pPr>
              <w:spacing w:before="0" w:after="0"/>
              <w:rPr>
                <w:sz w:val="20"/>
              </w:rPr>
            </w:pPr>
            <w:r w:rsidRPr="00613103">
              <w:rPr>
                <w:sz w:val="20"/>
              </w:rPr>
              <w:t>22.7</w:t>
            </w:r>
          </w:p>
        </w:tc>
        <w:tc>
          <w:tcPr>
            <w:tcW w:w="1252" w:type="dxa"/>
          </w:tcPr>
          <w:p w14:paraId="233442C2" w14:textId="77777777" w:rsidR="009855EC" w:rsidRPr="00613103" w:rsidRDefault="009855EC" w:rsidP="00613103">
            <w:pPr>
              <w:spacing w:before="0" w:after="0"/>
              <w:rPr>
                <w:sz w:val="20"/>
              </w:rPr>
            </w:pPr>
            <w:r w:rsidRPr="00613103">
              <w:rPr>
                <w:sz w:val="20"/>
              </w:rPr>
              <w:t>43.2</w:t>
            </w:r>
          </w:p>
        </w:tc>
        <w:tc>
          <w:tcPr>
            <w:tcW w:w="1331" w:type="dxa"/>
          </w:tcPr>
          <w:p w14:paraId="26F1C307" w14:textId="77777777" w:rsidR="009855EC" w:rsidRPr="00613103" w:rsidRDefault="009855EC" w:rsidP="00613103">
            <w:pPr>
              <w:spacing w:before="0" w:after="0"/>
              <w:rPr>
                <w:sz w:val="20"/>
              </w:rPr>
            </w:pPr>
            <w:r w:rsidRPr="00613103">
              <w:rPr>
                <w:sz w:val="20"/>
              </w:rPr>
              <w:t>49.4</w:t>
            </w:r>
          </w:p>
        </w:tc>
      </w:tr>
      <w:tr w:rsidR="00700D74" w:rsidRPr="00FD5272" w14:paraId="4F51ED1B" w14:textId="77777777" w:rsidTr="00700D74">
        <w:tblPrEx>
          <w:tblCellMar>
            <w:left w:w="108" w:type="dxa"/>
            <w:right w:w="108" w:type="dxa"/>
          </w:tblCellMar>
        </w:tblPrEx>
        <w:tc>
          <w:tcPr>
            <w:tcW w:w="3050" w:type="dxa"/>
          </w:tcPr>
          <w:p w14:paraId="0A67991F" w14:textId="6B92637A" w:rsidR="009855EC" w:rsidRPr="00613103" w:rsidRDefault="008D2D0F" w:rsidP="00613103">
            <w:pPr>
              <w:spacing w:before="0" w:after="0"/>
              <w:rPr>
                <w:sz w:val="20"/>
              </w:rPr>
            </w:pPr>
            <w:r>
              <w:rPr>
                <w:sz w:val="20"/>
              </w:rPr>
              <w:t>D</w:t>
            </w:r>
            <w:r w:rsidR="009855EC" w:rsidRPr="00613103">
              <w:rPr>
                <w:sz w:val="20"/>
              </w:rPr>
              <w:t>ysgeusia, %</w:t>
            </w:r>
          </w:p>
        </w:tc>
        <w:tc>
          <w:tcPr>
            <w:tcW w:w="1544" w:type="dxa"/>
          </w:tcPr>
          <w:p w14:paraId="4369F1E5" w14:textId="77777777" w:rsidR="009855EC" w:rsidRPr="00613103" w:rsidRDefault="009855EC" w:rsidP="00613103">
            <w:pPr>
              <w:spacing w:before="0" w:after="0"/>
              <w:rPr>
                <w:sz w:val="20"/>
              </w:rPr>
            </w:pPr>
            <w:r w:rsidRPr="00613103">
              <w:rPr>
                <w:sz w:val="20"/>
              </w:rPr>
              <w:t>25.0</w:t>
            </w:r>
          </w:p>
        </w:tc>
        <w:tc>
          <w:tcPr>
            <w:tcW w:w="1633" w:type="dxa"/>
          </w:tcPr>
          <w:p w14:paraId="5271C627" w14:textId="77777777" w:rsidR="009855EC" w:rsidRPr="00613103" w:rsidRDefault="009855EC" w:rsidP="00613103">
            <w:pPr>
              <w:spacing w:before="0" w:after="0"/>
              <w:rPr>
                <w:sz w:val="20"/>
              </w:rPr>
            </w:pPr>
            <w:r w:rsidRPr="00613103">
              <w:rPr>
                <w:sz w:val="20"/>
              </w:rPr>
              <w:t>7.9</w:t>
            </w:r>
          </w:p>
        </w:tc>
        <w:tc>
          <w:tcPr>
            <w:tcW w:w="1252" w:type="dxa"/>
          </w:tcPr>
          <w:p w14:paraId="71CBB429" w14:textId="77777777" w:rsidR="009855EC" w:rsidRPr="00613103" w:rsidRDefault="009855EC" w:rsidP="00613103">
            <w:pPr>
              <w:spacing w:before="0" w:after="0"/>
              <w:rPr>
                <w:sz w:val="20"/>
              </w:rPr>
            </w:pPr>
            <w:r w:rsidRPr="00613103">
              <w:rPr>
                <w:sz w:val="20"/>
              </w:rPr>
              <w:t>39.2</w:t>
            </w:r>
          </w:p>
        </w:tc>
        <w:tc>
          <w:tcPr>
            <w:tcW w:w="1331" w:type="dxa"/>
          </w:tcPr>
          <w:p w14:paraId="2ECB7B9C" w14:textId="77777777" w:rsidR="009855EC" w:rsidRPr="00613103" w:rsidRDefault="009855EC" w:rsidP="00613103">
            <w:pPr>
              <w:spacing w:before="0" w:after="0"/>
              <w:rPr>
                <w:sz w:val="20"/>
              </w:rPr>
            </w:pPr>
            <w:r w:rsidRPr="00613103">
              <w:rPr>
                <w:sz w:val="20"/>
              </w:rPr>
              <w:t>29.2</w:t>
            </w:r>
          </w:p>
        </w:tc>
      </w:tr>
      <w:tr w:rsidR="00700D74" w:rsidRPr="00FD5272" w14:paraId="41804D74" w14:textId="77777777" w:rsidTr="00700D74">
        <w:tblPrEx>
          <w:tblCellMar>
            <w:left w:w="108" w:type="dxa"/>
            <w:right w:w="108" w:type="dxa"/>
          </w:tblCellMar>
        </w:tblPrEx>
        <w:tc>
          <w:tcPr>
            <w:tcW w:w="3050" w:type="dxa"/>
          </w:tcPr>
          <w:p w14:paraId="1502120F" w14:textId="65EFEE94" w:rsidR="009855EC" w:rsidRPr="00613103" w:rsidRDefault="008D2D0F" w:rsidP="00613103">
            <w:pPr>
              <w:spacing w:before="0" w:after="0"/>
              <w:rPr>
                <w:sz w:val="20"/>
              </w:rPr>
            </w:pPr>
            <w:r>
              <w:rPr>
                <w:sz w:val="20"/>
              </w:rPr>
              <w:t>D</w:t>
            </w:r>
            <w:r w:rsidR="009855EC" w:rsidRPr="00613103">
              <w:rPr>
                <w:sz w:val="20"/>
              </w:rPr>
              <w:t>izziness, %</w:t>
            </w:r>
          </w:p>
        </w:tc>
        <w:tc>
          <w:tcPr>
            <w:tcW w:w="1544" w:type="dxa"/>
          </w:tcPr>
          <w:p w14:paraId="0B7B767C" w14:textId="77777777" w:rsidR="009855EC" w:rsidRPr="00613103" w:rsidRDefault="009855EC" w:rsidP="00613103">
            <w:pPr>
              <w:spacing w:before="0" w:after="0"/>
              <w:rPr>
                <w:sz w:val="20"/>
              </w:rPr>
            </w:pPr>
            <w:r w:rsidRPr="00613103">
              <w:rPr>
                <w:sz w:val="20"/>
              </w:rPr>
              <w:t>8.8</w:t>
            </w:r>
          </w:p>
        </w:tc>
        <w:tc>
          <w:tcPr>
            <w:tcW w:w="1633" w:type="dxa"/>
          </w:tcPr>
          <w:p w14:paraId="1A7D2CE5" w14:textId="77777777" w:rsidR="009855EC" w:rsidRPr="00613103" w:rsidRDefault="009855EC" w:rsidP="00613103">
            <w:pPr>
              <w:spacing w:before="0" w:after="0"/>
              <w:rPr>
                <w:sz w:val="20"/>
              </w:rPr>
            </w:pPr>
            <w:r w:rsidRPr="00613103">
              <w:rPr>
                <w:sz w:val="20"/>
              </w:rPr>
              <w:t>5.5</w:t>
            </w:r>
          </w:p>
        </w:tc>
        <w:tc>
          <w:tcPr>
            <w:tcW w:w="1252" w:type="dxa"/>
          </w:tcPr>
          <w:p w14:paraId="4F30095C" w14:textId="77777777" w:rsidR="009855EC" w:rsidRPr="00613103" w:rsidRDefault="009855EC" w:rsidP="00613103">
            <w:pPr>
              <w:spacing w:before="0" w:after="0"/>
              <w:rPr>
                <w:sz w:val="20"/>
              </w:rPr>
            </w:pPr>
            <w:r w:rsidRPr="00613103">
              <w:rPr>
                <w:sz w:val="20"/>
              </w:rPr>
              <w:t>16.0</w:t>
            </w:r>
          </w:p>
        </w:tc>
        <w:tc>
          <w:tcPr>
            <w:tcW w:w="1331" w:type="dxa"/>
          </w:tcPr>
          <w:p w14:paraId="00E3E2CC" w14:textId="77777777" w:rsidR="009855EC" w:rsidRPr="00613103" w:rsidRDefault="009855EC" w:rsidP="00613103">
            <w:pPr>
              <w:spacing w:before="0" w:after="0"/>
              <w:rPr>
                <w:sz w:val="20"/>
              </w:rPr>
            </w:pPr>
            <w:r w:rsidRPr="00613103">
              <w:rPr>
                <w:sz w:val="20"/>
              </w:rPr>
              <w:t>11.2</w:t>
            </w:r>
          </w:p>
        </w:tc>
      </w:tr>
      <w:tr w:rsidR="00700D74" w:rsidRPr="00FD5272" w14:paraId="2C774FF9" w14:textId="77777777" w:rsidTr="00700D74">
        <w:tblPrEx>
          <w:tblCellMar>
            <w:left w:w="108" w:type="dxa"/>
            <w:right w:w="108" w:type="dxa"/>
          </w:tblCellMar>
        </w:tblPrEx>
        <w:tc>
          <w:tcPr>
            <w:tcW w:w="3050" w:type="dxa"/>
          </w:tcPr>
          <w:p w14:paraId="72282E76" w14:textId="60747CA1" w:rsidR="009855EC" w:rsidRPr="00613103" w:rsidRDefault="008D2D0F" w:rsidP="00613103">
            <w:pPr>
              <w:spacing w:before="0" w:after="0"/>
              <w:rPr>
                <w:sz w:val="20"/>
              </w:rPr>
            </w:pPr>
            <w:r>
              <w:rPr>
                <w:sz w:val="20"/>
              </w:rPr>
              <w:t>I</w:t>
            </w:r>
            <w:r w:rsidR="009855EC" w:rsidRPr="00613103">
              <w:rPr>
                <w:sz w:val="20"/>
              </w:rPr>
              <w:t>nsomnia %</w:t>
            </w:r>
          </w:p>
        </w:tc>
        <w:tc>
          <w:tcPr>
            <w:tcW w:w="1544" w:type="dxa"/>
          </w:tcPr>
          <w:p w14:paraId="0A8B4993" w14:textId="77777777" w:rsidR="009855EC" w:rsidRPr="00613103" w:rsidRDefault="009855EC" w:rsidP="00613103">
            <w:pPr>
              <w:spacing w:before="0" w:after="0"/>
              <w:rPr>
                <w:sz w:val="20"/>
              </w:rPr>
            </w:pPr>
            <w:r w:rsidRPr="00613103">
              <w:rPr>
                <w:sz w:val="20"/>
              </w:rPr>
              <w:t>10.5</w:t>
            </w:r>
          </w:p>
        </w:tc>
        <w:tc>
          <w:tcPr>
            <w:tcW w:w="1633" w:type="dxa"/>
          </w:tcPr>
          <w:p w14:paraId="1C9244AD" w14:textId="77777777" w:rsidR="009855EC" w:rsidRPr="00613103" w:rsidRDefault="009855EC" w:rsidP="00613103">
            <w:pPr>
              <w:spacing w:before="0" w:after="0"/>
              <w:rPr>
                <w:sz w:val="20"/>
              </w:rPr>
            </w:pPr>
            <w:r w:rsidRPr="00613103">
              <w:rPr>
                <w:sz w:val="20"/>
              </w:rPr>
              <w:t>7.9</w:t>
            </w:r>
          </w:p>
        </w:tc>
        <w:tc>
          <w:tcPr>
            <w:tcW w:w="1252" w:type="dxa"/>
          </w:tcPr>
          <w:p w14:paraId="32616422" w14:textId="77777777" w:rsidR="009855EC" w:rsidRPr="00613103" w:rsidRDefault="009855EC" w:rsidP="00613103">
            <w:pPr>
              <w:spacing w:before="0" w:after="0"/>
              <w:rPr>
                <w:sz w:val="20"/>
              </w:rPr>
            </w:pPr>
            <w:r w:rsidRPr="00613103">
              <w:rPr>
                <w:sz w:val="20"/>
              </w:rPr>
              <w:t>14.4</w:t>
            </w:r>
          </w:p>
        </w:tc>
        <w:tc>
          <w:tcPr>
            <w:tcW w:w="1331" w:type="dxa"/>
          </w:tcPr>
          <w:p w14:paraId="5D4B4A89" w14:textId="77777777" w:rsidR="009855EC" w:rsidRPr="00613103" w:rsidRDefault="009855EC" w:rsidP="00613103">
            <w:pPr>
              <w:spacing w:before="0" w:after="0"/>
              <w:rPr>
                <w:sz w:val="20"/>
              </w:rPr>
            </w:pPr>
            <w:r w:rsidRPr="00613103">
              <w:rPr>
                <w:sz w:val="20"/>
              </w:rPr>
              <w:t>14.6</w:t>
            </w:r>
          </w:p>
        </w:tc>
      </w:tr>
      <w:tr w:rsidR="00700D74" w:rsidRPr="00B6544B" w14:paraId="356BDC5F" w14:textId="77777777" w:rsidTr="00700D74">
        <w:tblPrEx>
          <w:tblCellMar>
            <w:left w:w="108" w:type="dxa"/>
            <w:right w:w="108" w:type="dxa"/>
          </w:tblCellMar>
        </w:tblPrEx>
        <w:tc>
          <w:tcPr>
            <w:tcW w:w="3050" w:type="dxa"/>
          </w:tcPr>
          <w:p w14:paraId="7843D400" w14:textId="3D9C05E2" w:rsidR="009855EC" w:rsidRPr="00613103" w:rsidRDefault="008D2D0F" w:rsidP="00613103">
            <w:pPr>
              <w:spacing w:before="0" w:after="0"/>
              <w:rPr>
                <w:sz w:val="20"/>
              </w:rPr>
            </w:pPr>
            <w:r>
              <w:rPr>
                <w:sz w:val="20"/>
              </w:rPr>
              <w:t>H</w:t>
            </w:r>
            <w:r w:rsidR="009855EC" w:rsidRPr="00613103">
              <w:rPr>
                <w:sz w:val="20"/>
              </w:rPr>
              <w:t>aematuria, %</w:t>
            </w:r>
          </w:p>
        </w:tc>
        <w:tc>
          <w:tcPr>
            <w:tcW w:w="1544" w:type="dxa"/>
          </w:tcPr>
          <w:p w14:paraId="5D290E51" w14:textId="77777777" w:rsidR="009855EC" w:rsidRPr="00613103" w:rsidRDefault="009855EC" w:rsidP="00613103">
            <w:pPr>
              <w:spacing w:before="0" w:after="0"/>
              <w:rPr>
                <w:sz w:val="20"/>
              </w:rPr>
            </w:pPr>
            <w:r w:rsidRPr="00613103">
              <w:rPr>
                <w:sz w:val="20"/>
              </w:rPr>
              <w:t>11.1</w:t>
            </w:r>
          </w:p>
        </w:tc>
        <w:tc>
          <w:tcPr>
            <w:tcW w:w="1633" w:type="dxa"/>
          </w:tcPr>
          <w:p w14:paraId="0B171F42" w14:textId="77777777" w:rsidR="009855EC" w:rsidRPr="00613103" w:rsidRDefault="009855EC" w:rsidP="00613103">
            <w:pPr>
              <w:spacing w:before="0" w:after="0"/>
              <w:rPr>
                <w:sz w:val="20"/>
              </w:rPr>
            </w:pPr>
            <w:r w:rsidRPr="00613103">
              <w:rPr>
                <w:sz w:val="20"/>
              </w:rPr>
              <w:t>8.6</w:t>
            </w:r>
          </w:p>
        </w:tc>
        <w:tc>
          <w:tcPr>
            <w:tcW w:w="1252" w:type="dxa"/>
          </w:tcPr>
          <w:p w14:paraId="1116D4B0" w14:textId="77777777" w:rsidR="009855EC" w:rsidRPr="00613103" w:rsidRDefault="009855EC" w:rsidP="00613103">
            <w:pPr>
              <w:spacing w:before="0" w:after="0"/>
              <w:rPr>
                <w:sz w:val="20"/>
              </w:rPr>
            </w:pPr>
            <w:r w:rsidRPr="00613103">
              <w:rPr>
                <w:sz w:val="20"/>
              </w:rPr>
              <w:t>9.6</w:t>
            </w:r>
          </w:p>
        </w:tc>
        <w:tc>
          <w:tcPr>
            <w:tcW w:w="1331" w:type="dxa"/>
          </w:tcPr>
          <w:p w14:paraId="33EA0FC6" w14:textId="77777777" w:rsidR="009855EC" w:rsidRPr="00613103" w:rsidRDefault="009855EC" w:rsidP="00613103">
            <w:pPr>
              <w:spacing w:before="0" w:after="0"/>
              <w:rPr>
                <w:sz w:val="20"/>
              </w:rPr>
            </w:pPr>
            <w:r w:rsidRPr="00613103">
              <w:rPr>
                <w:sz w:val="20"/>
              </w:rPr>
              <w:t>11.2</w:t>
            </w:r>
          </w:p>
        </w:tc>
      </w:tr>
      <w:tr w:rsidR="00700D74" w:rsidRPr="00B6544B" w14:paraId="201EE8F2" w14:textId="77777777" w:rsidTr="00700D74">
        <w:tblPrEx>
          <w:tblCellMar>
            <w:left w:w="108" w:type="dxa"/>
            <w:right w:w="108" w:type="dxa"/>
          </w:tblCellMar>
        </w:tblPrEx>
        <w:tc>
          <w:tcPr>
            <w:tcW w:w="3050" w:type="dxa"/>
          </w:tcPr>
          <w:p w14:paraId="05F20042" w14:textId="31C53648" w:rsidR="009855EC" w:rsidRPr="00613103" w:rsidRDefault="008D2D0F" w:rsidP="00613103">
            <w:pPr>
              <w:spacing w:before="0" w:after="0"/>
              <w:rPr>
                <w:sz w:val="20"/>
              </w:rPr>
            </w:pPr>
            <w:r>
              <w:rPr>
                <w:sz w:val="20"/>
              </w:rPr>
              <w:t>D</w:t>
            </w:r>
            <w:r w:rsidR="009855EC" w:rsidRPr="00613103">
              <w:rPr>
                <w:sz w:val="20"/>
              </w:rPr>
              <w:t>yspnoea, %</w:t>
            </w:r>
          </w:p>
        </w:tc>
        <w:tc>
          <w:tcPr>
            <w:tcW w:w="1544" w:type="dxa"/>
          </w:tcPr>
          <w:p w14:paraId="30008BFD" w14:textId="77777777" w:rsidR="009855EC" w:rsidRPr="00613103" w:rsidRDefault="009855EC" w:rsidP="00613103">
            <w:pPr>
              <w:spacing w:before="0" w:after="0"/>
              <w:rPr>
                <w:sz w:val="20"/>
              </w:rPr>
            </w:pPr>
            <w:r w:rsidRPr="00613103">
              <w:rPr>
                <w:sz w:val="20"/>
              </w:rPr>
              <w:t>9.5</w:t>
            </w:r>
          </w:p>
        </w:tc>
        <w:tc>
          <w:tcPr>
            <w:tcW w:w="1633" w:type="dxa"/>
          </w:tcPr>
          <w:p w14:paraId="2007429A" w14:textId="77777777" w:rsidR="009855EC" w:rsidRPr="00613103" w:rsidRDefault="009855EC" w:rsidP="00613103">
            <w:pPr>
              <w:spacing w:before="0" w:after="0"/>
              <w:rPr>
                <w:sz w:val="20"/>
              </w:rPr>
            </w:pPr>
            <w:r w:rsidRPr="00613103">
              <w:rPr>
                <w:sz w:val="20"/>
              </w:rPr>
              <w:t>9.6</w:t>
            </w:r>
          </w:p>
        </w:tc>
        <w:tc>
          <w:tcPr>
            <w:tcW w:w="1252" w:type="dxa"/>
          </w:tcPr>
          <w:p w14:paraId="5192D1AE" w14:textId="77777777" w:rsidR="009855EC" w:rsidRPr="00613103" w:rsidRDefault="009855EC" w:rsidP="00613103">
            <w:pPr>
              <w:spacing w:before="0" w:after="0"/>
              <w:rPr>
                <w:sz w:val="20"/>
              </w:rPr>
            </w:pPr>
            <w:r w:rsidRPr="00613103">
              <w:rPr>
                <w:sz w:val="20"/>
              </w:rPr>
              <w:t>16.0</w:t>
            </w:r>
          </w:p>
        </w:tc>
        <w:tc>
          <w:tcPr>
            <w:tcW w:w="1331" w:type="dxa"/>
          </w:tcPr>
          <w:p w14:paraId="0882E1D9" w14:textId="77777777" w:rsidR="009855EC" w:rsidRPr="00613103" w:rsidRDefault="009855EC" w:rsidP="00613103">
            <w:pPr>
              <w:spacing w:before="0" w:after="0"/>
              <w:rPr>
                <w:sz w:val="20"/>
              </w:rPr>
            </w:pPr>
            <w:r w:rsidRPr="00613103">
              <w:rPr>
                <w:sz w:val="20"/>
              </w:rPr>
              <w:t>15.7</w:t>
            </w:r>
          </w:p>
        </w:tc>
      </w:tr>
      <w:tr w:rsidR="00700D74" w:rsidRPr="00B6544B" w14:paraId="07D4537B" w14:textId="77777777" w:rsidTr="00700D74">
        <w:tblPrEx>
          <w:tblCellMar>
            <w:left w:w="108" w:type="dxa"/>
            <w:right w:w="108" w:type="dxa"/>
          </w:tblCellMar>
        </w:tblPrEx>
        <w:tc>
          <w:tcPr>
            <w:tcW w:w="3050" w:type="dxa"/>
          </w:tcPr>
          <w:p w14:paraId="5CDB5EB5" w14:textId="41C1AD15" w:rsidR="009855EC" w:rsidRPr="00613103" w:rsidRDefault="008D2D0F" w:rsidP="00613103">
            <w:pPr>
              <w:spacing w:before="0" w:after="0"/>
              <w:rPr>
                <w:sz w:val="20"/>
              </w:rPr>
            </w:pPr>
            <w:r>
              <w:rPr>
                <w:sz w:val="20"/>
              </w:rPr>
              <w:t>C</w:t>
            </w:r>
            <w:r w:rsidR="009855EC" w:rsidRPr="00613103">
              <w:rPr>
                <w:sz w:val="20"/>
              </w:rPr>
              <w:t>ough, %</w:t>
            </w:r>
          </w:p>
        </w:tc>
        <w:tc>
          <w:tcPr>
            <w:tcW w:w="1544" w:type="dxa"/>
          </w:tcPr>
          <w:p w14:paraId="66CD3AF1" w14:textId="77777777" w:rsidR="009855EC" w:rsidRPr="00613103" w:rsidRDefault="009855EC" w:rsidP="00613103">
            <w:pPr>
              <w:spacing w:before="0" w:after="0"/>
              <w:rPr>
                <w:sz w:val="20"/>
              </w:rPr>
            </w:pPr>
            <w:r w:rsidRPr="00613103">
              <w:rPr>
                <w:sz w:val="20"/>
              </w:rPr>
              <w:t>8.1</w:t>
            </w:r>
          </w:p>
        </w:tc>
        <w:tc>
          <w:tcPr>
            <w:tcW w:w="1633" w:type="dxa"/>
          </w:tcPr>
          <w:p w14:paraId="6A5B0CAF" w14:textId="77777777" w:rsidR="009855EC" w:rsidRPr="00613103" w:rsidRDefault="009855EC" w:rsidP="00613103">
            <w:pPr>
              <w:spacing w:before="0" w:after="0"/>
              <w:rPr>
                <w:sz w:val="20"/>
              </w:rPr>
            </w:pPr>
            <w:r w:rsidRPr="00613103">
              <w:rPr>
                <w:sz w:val="20"/>
              </w:rPr>
              <w:t>6.2</w:t>
            </w:r>
          </w:p>
        </w:tc>
        <w:tc>
          <w:tcPr>
            <w:tcW w:w="1252" w:type="dxa"/>
          </w:tcPr>
          <w:p w14:paraId="42028D4F" w14:textId="77777777" w:rsidR="009855EC" w:rsidRPr="00613103" w:rsidRDefault="009855EC" w:rsidP="00613103">
            <w:pPr>
              <w:spacing w:before="0" w:after="0"/>
              <w:rPr>
                <w:sz w:val="20"/>
              </w:rPr>
            </w:pPr>
            <w:r w:rsidRPr="00613103">
              <w:rPr>
                <w:sz w:val="20"/>
              </w:rPr>
              <w:t>17.6</w:t>
            </w:r>
          </w:p>
        </w:tc>
        <w:tc>
          <w:tcPr>
            <w:tcW w:w="1331" w:type="dxa"/>
          </w:tcPr>
          <w:p w14:paraId="76F3F393" w14:textId="77777777" w:rsidR="009855EC" w:rsidRPr="00613103" w:rsidRDefault="009855EC" w:rsidP="00613103">
            <w:pPr>
              <w:spacing w:before="0" w:after="0"/>
              <w:rPr>
                <w:sz w:val="20"/>
              </w:rPr>
            </w:pPr>
            <w:r w:rsidRPr="00613103">
              <w:rPr>
                <w:sz w:val="20"/>
              </w:rPr>
              <w:t>13.5</w:t>
            </w:r>
          </w:p>
        </w:tc>
      </w:tr>
      <w:tr w:rsidR="00700D74" w:rsidRPr="00B6544B" w14:paraId="10D10FD5" w14:textId="77777777" w:rsidTr="00700D74">
        <w:tblPrEx>
          <w:tblCellMar>
            <w:left w:w="108" w:type="dxa"/>
            <w:right w:w="108" w:type="dxa"/>
          </w:tblCellMar>
        </w:tblPrEx>
        <w:tc>
          <w:tcPr>
            <w:tcW w:w="3050" w:type="dxa"/>
          </w:tcPr>
          <w:p w14:paraId="77933992" w14:textId="77777777" w:rsidR="009855EC" w:rsidRPr="00613103" w:rsidRDefault="009855EC" w:rsidP="00613103">
            <w:pPr>
              <w:spacing w:before="0" w:after="0"/>
              <w:rPr>
                <w:sz w:val="20"/>
              </w:rPr>
            </w:pPr>
            <w:r w:rsidRPr="00613103">
              <w:rPr>
                <w:sz w:val="20"/>
              </w:rPr>
              <w:t>Alopecia, %</w:t>
            </w:r>
          </w:p>
        </w:tc>
        <w:tc>
          <w:tcPr>
            <w:tcW w:w="1544" w:type="dxa"/>
          </w:tcPr>
          <w:p w14:paraId="66149677" w14:textId="77777777" w:rsidR="009855EC" w:rsidRPr="00613103" w:rsidRDefault="009855EC" w:rsidP="00613103">
            <w:pPr>
              <w:spacing w:before="0" w:after="0"/>
              <w:rPr>
                <w:sz w:val="20"/>
              </w:rPr>
            </w:pPr>
            <w:r w:rsidRPr="00613103">
              <w:rPr>
                <w:sz w:val="20"/>
              </w:rPr>
              <w:t>47.0</w:t>
            </w:r>
          </w:p>
        </w:tc>
        <w:tc>
          <w:tcPr>
            <w:tcW w:w="1633" w:type="dxa"/>
          </w:tcPr>
          <w:p w14:paraId="3EDD39F5" w14:textId="77777777" w:rsidR="009855EC" w:rsidRPr="00613103" w:rsidRDefault="009855EC" w:rsidP="00613103">
            <w:pPr>
              <w:spacing w:before="0" w:after="0"/>
              <w:rPr>
                <w:sz w:val="20"/>
              </w:rPr>
            </w:pPr>
            <w:r w:rsidRPr="00613103">
              <w:rPr>
                <w:sz w:val="20"/>
              </w:rPr>
              <w:t>37.8</w:t>
            </w:r>
          </w:p>
        </w:tc>
        <w:tc>
          <w:tcPr>
            <w:tcW w:w="1252" w:type="dxa"/>
          </w:tcPr>
          <w:p w14:paraId="480546F7" w14:textId="77777777" w:rsidR="009855EC" w:rsidRPr="00613103" w:rsidRDefault="009855EC" w:rsidP="00613103">
            <w:pPr>
              <w:spacing w:before="0" w:after="0"/>
              <w:rPr>
                <w:sz w:val="20"/>
              </w:rPr>
            </w:pPr>
            <w:r w:rsidRPr="00613103">
              <w:rPr>
                <w:sz w:val="20"/>
              </w:rPr>
              <w:t>51.2</w:t>
            </w:r>
          </w:p>
        </w:tc>
        <w:tc>
          <w:tcPr>
            <w:tcW w:w="1331" w:type="dxa"/>
          </w:tcPr>
          <w:p w14:paraId="0D805F34" w14:textId="77777777" w:rsidR="009855EC" w:rsidRPr="00613103" w:rsidRDefault="009855EC" w:rsidP="00613103">
            <w:pPr>
              <w:spacing w:before="0" w:after="0"/>
              <w:rPr>
                <w:sz w:val="20"/>
              </w:rPr>
            </w:pPr>
            <w:r w:rsidRPr="00613103">
              <w:rPr>
                <w:sz w:val="20"/>
              </w:rPr>
              <w:t>52.8</w:t>
            </w:r>
          </w:p>
        </w:tc>
      </w:tr>
      <w:tr w:rsidR="00700D74" w:rsidRPr="00B6544B" w14:paraId="09D3683D" w14:textId="77777777" w:rsidTr="00700D74">
        <w:tblPrEx>
          <w:tblCellMar>
            <w:left w:w="108" w:type="dxa"/>
            <w:right w:w="108" w:type="dxa"/>
          </w:tblCellMar>
        </w:tblPrEx>
        <w:tc>
          <w:tcPr>
            <w:tcW w:w="3050" w:type="dxa"/>
          </w:tcPr>
          <w:p w14:paraId="3F590BDC" w14:textId="50D1B65B" w:rsidR="009855EC" w:rsidRPr="00613103" w:rsidRDefault="008D2D0F" w:rsidP="00613103">
            <w:pPr>
              <w:spacing w:before="0" w:after="0"/>
              <w:rPr>
                <w:sz w:val="20"/>
              </w:rPr>
            </w:pPr>
            <w:r>
              <w:rPr>
                <w:sz w:val="20"/>
              </w:rPr>
              <w:t>P</w:t>
            </w:r>
            <w:r w:rsidR="009855EC" w:rsidRPr="00613103">
              <w:rPr>
                <w:sz w:val="20"/>
              </w:rPr>
              <w:t>ruritus, %</w:t>
            </w:r>
          </w:p>
        </w:tc>
        <w:tc>
          <w:tcPr>
            <w:tcW w:w="1544" w:type="dxa"/>
          </w:tcPr>
          <w:p w14:paraId="5628DA93" w14:textId="77777777" w:rsidR="009855EC" w:rsidRPr="00613103" w:rsidRDefault="009855EC" w:rsidP="00613103">
            <w:pPr>
              <w:spacing w:before="0" w:after="0"/>
              <w:rPr>
                <w:sz w:val="20"/>
              </w:rPr>
            </w:pPr>
            <w:r w:rsidRPr="00613103">
              <w:rPr>
                <w:sz w:val="20"/>
              </w:rPr>
              <w:t>34.5</w:t>
            </w:r>
          </w:p>
        </w:tc>
        <w:tc>
          <w:tcPr>
            <w:tcW w:w="1633" w:type="dxa"/>
          </w:tcPr>
          <w:p w14:paraId="78562991" w14:textId="77777777" w:rsidR="009855EC" w:rsidRPr="00613103" w:rsidRDefault="009855EC" w:rsidP="00613103">
            <w:pPr>
              <w:spacing w:before="0" w:after="0"/>
              <w:rPr>
                <w:sz w:val="20"/>
              </w:rPr>
            </w:pPr>
            <w:r w:rsidRPr="00613103">
              <w:rPr>
                <w:sz w:val="20"/>
              </w:rPr>
              <w:t>6.9</w:t>
            </w:r>
          </w:p>
        </w:tc>
        <w:tc>
          <w:tcPr>
            <w:tcW w:w="1252" w:type="dxa"/>
          </w:tcPr>
          <w:p w14:paraId="1C859CA9" w14:textId="77777777" w:rsidR="009855EC" w:rsidRPr="00613103" w:rsidRDefault="009855EC" w:rsidP="00613103">
            <w:pPr>
              <w:spacing w:before="0" w:after="0"/>
              <w:rPr>
                <w:sz w:val="20"/>
              </w:rPr>
            </w:pPr>
            <w:r w:rsidRPr="00613103">
              <w:rPr>
                <w:sz w:val="20"/>
              </w:rPr>
              <w:t>27.2</w:t>
            </w:r>
          </w:p>
        </w:tc>
        <w:tc>
          <w:tcPr>
            <w:tcW w:w="1331" w:type="dxa"/>
          </w:tcPr>
          <w:p w14:paraId="4CD7B1F8" w14:textId="77777777" w:rsidR="009855EC" w:rsidRPr="00613103" w:rsidRDefault="009855EC" w:rsidP="00613103">
            <w:pPr>
              <w:spacing w:before="0" w:after="0"/>
              <w:rPr>
                <w:sz w:val="20"/>
              </w:rPr>
            </w:pPr>
            <w:r w:rsidRPr="00613103">
              <w:rPr>
                <w:sz w:val="20"/>
              </w:rPr>
              <w:t>34.8</w:t>
            </w:r>
          </w:p>
        </w:tc>
      </w:tr>
      <w:tr w:rsidR="00700D74" w:rsidRPr="00B6544B" w14:paraId="59988F9F" w14:textId="77777777" w:rsidTr="00700D74">
        <w:tblPrEx>
          <w:tblCellMar>
            <w:left w:w="108" w:type="dxa"/>
            <w:right w:w="108" w:type="dxa"/>
          </w:tblCellMar>
        </w:tblPrEx>
        <w:tc>
          <w:tcPr>
            <w:tcW w:w="3050" w:type="dxa"/>
          </w:tcPr>
          <w:p w14:paraId="0E52AA47" w14:textId="77777777" w:rsidR="009855EC" w:rsidRPr="00613103" w:rsidRDefault="009855EC" w:rsidP="00613103">
            <w:pPr>
              <w:spacing w:before="0" w:after="0"/>
              <w:rPr>
                <w:sz w:val="20"/>
              </w:rPr>
            </w:pPr>
            <w:r w:rsidRPr="00613103">
              <w:rPr>
                <w:sz w:val="20"/>
              </w:rPr>
              <w:t>Rash maculopapular %</w:t>
            </w:r>
          </w:p>
        </w:tc>
        <w:tc>
          <w:tcPr>
            <w:tcW w:w="1544" w:type="dxa"/>
          </w:tcPr>
          <w:p w14:paraId="145B2F87" w14:textId="77777777" w:rsidR="009855EC" w:rsidRPr="00613103" w:rsidRDefault="009855EC" w:rsidP="00613103">
            <w:pPr>
              <w:spacing w:before="0" w:after="0"/>
              <w:rPr>
                <w:sz w:val="20"/>
              </w:rPr>
            </w:pPr>
            <w:r w:rsidRPr="00613103">
              <w:rPr>
                <w:sz w:val="20"/>
              </w:rPr>
              <w:t>16.9</w:t>
            </w:r>
          </w:p>
        </w:tc>
        <w:tc>
          <w:tcPr>
            <w:tcW w:w="1633" w:type="dxa"/>
          </w:tcPr>
          <w:p w14:paraId="093AF755" w14:textId="77777777" w:rsidR="009855EC" w:rsidRPr="00613103" w:rsidRDefault="009855EC" w:rsidP="00613103">
            <w:pPr>
              <w:spacing w:before="0" w:after="0"/>
              <w:rPr>
                <w:sz w:val="20"/>
              </w:rPr>
            </w:pPr>
            <w:r w:rsidRPr="00613103">
              <w:rPr>
                <w:sz w:val="20"/>
              </w:rPr>
              <w:t>2.1</w:t>
            </w:r>
          </w:p>
        </w:tc>
        <w:tc>
          <w:tcPr>
            <w:tcW w:w="1252" w:type="dxa"/>
          </w:tcPr>
          <w:p w14:paraId="362F2E94" w14:textId="77777777" w:rsidR="009855EC" w:rsidRPr="00613103" w:rsidRDefault="009855EC" w:rsidP="00613103">
            <w:pPr>
              <w:spacing w:before="0" w:after="0"/>
              <w:rPr>
                <w:sz w:val="20"/>
              </w:rPr>
            </w:pPr>
            <w:r w:rsidRPr="00613103">
              <w:rPr>
                <w:sz w:val="20"/>
              </w:rPr>
              <w:t>23.2</w:t>
            </w:r>
          </w:p>
        </w:tc>
        <w:tc>
          <w:tcPr>
            <w:tcW w:w="1331" w:type="dxa"/>
          </w:tcPr>
          <w:p w14:paraId="4B1AAE2B" w14:textId="77777777" w:rsidR="009855EC" w:rsidRPr="00613103" w:rsidRDefault="009855EC" w:rsidP="00613103">
            <w:pPr>
              <w:spacing w:before="0" w:after="0"/>
              <w:rPr>
                <w:sz w:val="20"/>
              </w:rPr>
            </w:pPr>
            <w:r w:rsidRPr="00613103">
              <w:rPr>
                <w:sz w:val="20"/>
              </w:rPr>
              <w:t>32.6</w:t>
            </w:r>
          </w:p>
        </w:tc>
      </w:tr>
      <w:tr w:rsidR="00700D74" w:rsidRPr="00B6544B" w14:paraId="7D8769F6" w14:textId="77777777" w:rsidTr="00700D74">
        <w:tblPrEx>
          <w:tblCellMar>
            <w:left w:w="108" w:type="dxa"/>
            <w:right w:w="108" w:type="dxa"/>
          </w:tblCellMar>
        </w:tblPrEx>
        <w:tc>
          <w:tcPr>
            <w:tcW w:w="3050" w:type="dxa"/>
          </w:tcPr>
          <w:p w14:paraId="4CCAA519" w14:textId="77777777" w:rsidR="009855EC" w:rsidRPr="00613103" w:rsidRDefault="009855EC" w:rsidP="00613103">
            <w:pPr>
              <w:spacing w:before="0" w:after="0"/>
              <w:rPr>
                <w:sz w:val="20"/>
              </w:rPr>
            </w:pPr>
            <w:r w:rsidRPr="00613103">
              <w:rPr>
                <w:sz w:val="20"/>
              </w:rPr>
              <w:t>Dry skin, %</w:t>
            </w:r>
          </w:p>
        </w:tc>
        <w:tc>
          <w:tcPr>
            <w:tcW w:w="1544" w:type="dxa"/>
          </w:tcPr>
          <w:p w14:paraId="152C7DDC" w14:textId="77777777" w:rsidR="009855EC" w:rsidRPr="00613103" w:rsidRDefault="009855EC" w:rsidP="00613103">
            <w:pPr>
              <w:spacing w:before="0" w:after="0"/>
              <w:rPr>
                <w:sz w:val="20"/>
              </w:rPr>
            </w:pPr>
            <w:r w:rsidRPr="00613103">
              <w:rPr>
                <w:sz w:val="20"/>
              </w:rPr>
              <w:t>16.9</w:t>
            </w:r>
          </w:p>
        </w:tc>
        <w:tc>
          <w:tcPr>
            <w:tcW w:w="1633" w:type="dxa"/>
          </w:tcPr>
          <w:p w14:paraId="66E5293A" w14:textId="77777777" w:rsidR="009855EC" w:rsidRPr="00613103" w:rsidRDefault="009855EC" w:rsidP="00613103">
            <w:pPr>
              <w:spacing w:before="0" w:after="0"/>
              <w:rPr>
                <w:sz w:val="20"/>
              </w:rPr>
            </w:pPr>
            <w:r w:rsidRPr="00613103">
              <w:rPr>
                <w:sz w:val="20"/>
              </w:rPr>
              <w:t>3.8</w:t>
            </w:r>
          </w:p>
        </w:tc>
        <w:tc>
          <w:tcPr>
            <w:tcW w:w="1252" w:type="dxa"/>
          </w:tcPr>
          <w:p w14:paraId="006B7AC7" w14:textId="77777777" w:rsidR="009855EC" w:rsidRPr="00613103" w:rsidRDefault="009855EC" w:rsidP="00613103">
            <w:pPr>
              <w:spacing w:before="0" w:after="0"/>
              <w:rPr>
                <w:sz w:val="20"/>
              </w:rPr>
            </w:pPr>
            <w:r w:rsidRPr="00613103">
              <w:rPr>
                <w:sz w:val="20"/>
              </w:rPr>
              <w:t>28.0</w:t>
            </w:r>
          </w:p>
        </w:tc>
        <w:tc>
          <w:tcPr>
            <w:tcW w:w="1331" w:type="dxa"/>
          </w:tcPr>
          <w:p w14:paraId="3651DC91" w14:textId="77777777" w:rsidR="009855EC" w:rsidRPr="00613103" w:rsidRDefault="009855EC" w:rsidP="00613103">
            <w:pPr>
              <w:spacing w:before="0" w:after="0"/>
              <w:rPr>
                <w:sz w:val="20"/>
              </w:rPr>
            </w:pPr>
            <w:r w:rsidRPr="00613103">
              <w:rPr>
                <w:sz w:val="20"/>
              </w:rPr>
              <w:t>19.1</w:t>
            </w:r>
          </w:p>
        </w:tc>
      </w:tr>
      <w:tr w:rsidR="00700D74" w:rsidRPr="00B6544B" w14:paraId="16079212" w14:textId="77777777" w:rsidTr="00700D74">
        <w:tblPrEx>
          <w:tblCellMar>
            <w:left w:w="108" w:type="dxa"/>
            <w:right w:w="108" w:type="dxa"/>
          </w:tblCellMar>
        </w:tblPrEx>
        <w:trPr>
          <w:trHeight w:val="50"/>
        </w:trPr>
        <w:tc>
          <w:tcPr>
            <w:tcW w:w="3050" w:type="dxa"/>
          </w:tcPr>
          <w:p w14:paraId="4EF8EC04" w14:textId="77777777" w:rsidR="009855EC" w:rsidRPr="00613103" w:rsidRDefault="009855EC" w:rsidP="00613103">
            <w:pPr>
              <w:spacing w:before="0" w:after="0"/>
              <w:rPr>
                <w:sz w:val="20"/>
              </w:rPr>
            </w:pPr>
            <w:r w:rsidRPr="00613103">
              <w:rPr>
                <w:sz w:val="20"/>
              </w:rPr>
              <w:t>Rash, %</w:t>
            </w:r>
          </w:p>
        </w:tc>
        <w:tc>
          <w:tcPr>
            <w:tcW w:w="1544" w:type="dxa"/>
          </w:tcPr>
          <w:p w14:paraId="3E8333CA" w14:textId="77777777" w:rsidR="009855EC" w:rsidRPr="00613103" w:rsidRDefault="009855EC" w:rsidP="00613103">
            <w:pPr>
              <w:spacing w:before="0" w:after="0"/>
              <w:rPr>
                <w:sz w:val="20"/>
              </w:rPr>
            </w:pPr>
            <w:r w:rsidRPr="00613103">
              <w:rPr>
                <w:sz w:val="20"/>
              </w:rPr>
              <w:t>16.9</w:t>
            </w:r>
          </w:p>
        </w:tc>
        <w:tc>
          <w:tcPr>
            <w:tcW w:w="1633" w:type="dxa"/>
          </w:tcPr>
          <w:p w14:paraId="4A669A28" w14:textId="77777777" w:rsidR="009855EC" w:rsidRPr="00613103" w:rsidRDefault="009855EC" w:rsidP="00613103">
            <w:pPr>
              <w:spacing w:before="0" w:after="0"/>
              <w:rPr>
                <w:sz w:val="20"/>
              </w:rPr>
            </w:pPr>
            <w:r w:rsidRPr="00613103">
              <w:rPr>
                <w:sz w:val="20"/>
              </w:rPr>
              <w:t>5.5</w:t>
            </w:r>
          </w:p>
        </w:tc>
        <w:tc>
          <w:tcPr>
            <w:tcW w:w="1252" w:type="dxa"/>
          </w:tcPr>
          <w:p w14:paraId="5D34DF33" w14:textId="77777777" w:rsidR="009855EC" w:rsidRPr="00613103" w:rsidRDefault="009855EC" w:rsidP="00613103">
            <w:pPr>
              <w:spacing w:before="0" w:after="0"/>
              <w:rPr>
                <w:sz w:val="20"/>
              </w:rPr>
            </w:pPr>
            <w:r w:rsidRPr="00613103">
              <w:rPr>
                <w:sz w:val="20"/>
              </w:rPr>
              <w:t>1.6</w:t>
            </w:r>
          </w:p>
        </w:tc>
        <w:tc>
          <w:tcPr>
            <w:tcW w:w="1331" w:type="dxa"/>
          </w:tcPr>
          <w:p w14:paraId="50638C3B" w14:textId="77777777" w:rsidR="009855EC" w:rsidRPr="00613103" w:rsidRDefault="009855EC" w:rsidP="00613103">
            <w:pPr>
              <w:spacing w:before="0" w:after="0"/>
              <w:rPr>
                <w:sz w:val="20"/>
              </w:rPr>
            </w:pPr>
            <w:r w:rsidRPr="00613103">
              <w:rPr>
                <w:sz w:val="20"/>
              </w:rPr>
              <w:t>3.4</w:t>
            </w:r>
          </w:p>
        </w:tc>
      </w:tr>
      <w:tr w:rsidR="009855EC" w:rsidRPr="00B6544B" w14:paraId="6B60FEB5" w14:textId="77777777" w:rsidTr="00613103">
        <w:tblPrEx>
          <w:tblCellMar>
            <w:left w:w="108" w:type="dxa"/>
            <w:right w:w="108" w:type="dxa"/>
          </w:tblCellMar>
        </w:tblPrEx>
        <w:trPr>
          <w:trHeight w:val="50"/>
        </w:trPr>
        <w:tc>
          <w:tcPr>
            <w:tcW w:w="8810" w:type="dxa"/>
            <w:gridSpan w:val="5"/>
          </w:tcPr>
          <w:p w14:paraId="6BE2804D" w14:textId="3E74828C" w:rsidR="009855EC" w:rsidRPr="00613103" w:rsidRDefault="009855EC" w:rsidP="00613103">
            <w:pPr>
              <w:rPr>
                <w:b/>
                <w:sz w:val="20"/>
              </w:rPr>
            </w:pPr>
            <w:r w:rsidRPr="00613103">
              <w:rPr>
                <w:b/>
                <w:sz w:val="20"/>
              </w:rPr>
              <w:lastRenderedPageBreak/>
              <w:t>Serious treatment-emergent adverse events (serious adverse events)</w:t>
            </w:r>
          </w:p>
        </w:tc>
      </w:tr>
      <w:tr w:rsidR="00700D74" w:rsidRPr="006F3A0C" w14:paraId="493BEEF1" w14:textId="77777777" w:rsidTr="00700D74">
        <w:tblPrEx>
          <w:tblCellMar>
            <w:left w:w="108" w:type="dxa"/>
            <w:right w:w="108" w:type="dxa"/>
          </w:tblCellMar>
        </w:tblPrEx>
        <w:tc>
          <w:tcPr>
            <w:tcW w:w="3050" w:type="dxa"/>
          </w:tcPr>
          <w:p w14:paraId="333DE0D3" w14:textId="357A3E23" w:rsidR="009855EC" w:rsidRPr="00613103" w:rsidRDefault="009855EC" w:rsidP="00613103">
            <w:pPr>
              <w:spacing w:before="0" w:after="0"/>
              <w:rPr>
                <w:sz w:val="20"/>
              </w:rPr>
            </w:pPr>
            <w:r w:rsidRPr="00613103">
              <w:rPr>
                <w:sz w:val="20"/>
              </w:rPr>
              <w:t xml:space="preserve">Subjects with at least one </w:t>
            </w:r>
            <w:r w:rsidR="00C203B3">
              <w:rPr>
                <w:sz w:val="20"/>
              </w:rPr>
              <w:t>serious adverse event</w:t>
            </w:r>
            <w:r w:rsidRPr="00613103">
              <w:rPr>
                <w:sz w:val="20"/>
              </w:rPr>
              <w:t>, %</w:t>
            </w:r>
          </w:p>
        </w:tc>
        <w:tc>
          <w:tcPr>
            <w:tcW w:w="1544" w:type="dxa"/>
          </w:tcPr>
          <w:p w14:paraId="67E6BDF7" w14:textId="77777777" w:rsidR="009855EC" w:rsidRPr="00613103" w:rsidRDefault="009855EC" w:rsidP="00613103">
            <w:pPr>
              <w:spacing w:before="0" w:after="0"/>
              <w:rPr>
                <w:sz w:val="20"/>
              </w:rPr>
            </w:pPr>
            <w:r w:rsidRPr="00613103">
              <w:rPr>
                <w:sz w:val="20"/>
              </w:rPr>
              <w:t>46.6</w:t>
            </w:r>
          </w:p>
        </w:tc>
        <w:tc>
          <w:tcPr>
            <w:tcW w:w="1633" w:type="dxa"/>
          </w:tcPr>
          <w:p w14:paraId="1A12993B" w14:textId="77777777" w:rsidR="009855EC" w:rsidRPr="00613103" w:rsidRDefault="009855EC" w:rsidP="00613103">
            <w:pPr>
              <w:spacing w:before="0" w:after="0"/>
              <w:rPr>
                <w:sz w:val="20"/>
              </w:rPr>
            </w:pPr>
            <w:r w:rsidRPr="00613103">
              <w:rPr>
                <w:sz w:val="20"/>
              </w:rPr>
              <w:t>44.0</w:t>
            </w:r>
          </w:p>
        </w:tc>
        <w:tc>
          <w:tcPr>
            <w:tcW w:w="1252" w:type="dxa"/>
          </w:tcPr>
          <w:p w14:paraId="568D2082" w14:textId="77777777" w:rsidR="009855EC" w:rsidRPr="00613103" w:rsidRDefault="009855EC" w:rsidP="00613103">
            <w:pPr>
              <w:spacing w:before="0" w:after="0"/>
              <w:rPr>
                <w:sz w:val="20"/>
              </w:rPr>
            </w:pPr>
            <w:r w:rsidRPr="00613103">
              <w:rPr>
                <w:sz w:val="20"/>
              </w:rPr>
              <w:t>47.2</w:t>
            </w:r>
          </w:p>
        </w:tc>
        <w:tc>
          <w:tcPr>
            <w:tcW w:w="1331" w:type="dxa"/>
          </w:tcPr>
          <w:p w14:paraId="7F24FE47" w14:textId="77777777" w:rsidR="009855EC" w:rsidRPr="00613103" w:rsidRDefault="009855EC" w:rsidP="00613103">
            <w:pPr>
              <w:spacing w:before="0" w:after="0"/>
              <w:rPr>
                <w:sz w:val="20"/>
              </w:rPr>
            </w:pPr>
            <w:r w:rsidRPr="00613103">
              <w:rPr>
                <w:sz w:val="20"/>
              </w:rPr>
              <w:t>39.3</w:t>
            </w:r>
          </w:p>
        </w:tc>
      </w:tr>
      <w:tr w:rsidR="00700D74" w:rsidRPr="007635DB" w14:paraId="3B800F9E" w14:textId="77777777" w:rsidTr="00F15683">
        <w:tblPrEx>
          <w:tblCellMar>
            <w:left w:w="108" w:type="dxa"/>
            <w:right w:w="108" w:type="dxa"/>
          </w:tblCellMar>
        </w:tblPrEx>
        <w:tc>
          <w:tcPr>
            <w:tcW w:w="8810" w:type="dxa"/>
            <w:gridSpan w:val="5"/>
          </w:tcPr>
          <w:p w14:paraId="5A9905CA" w14:textId="693A996F" w:rsidR="00700D74" w:rsidRPr="00613103" w:rsidRDefault="00700D74" w:rsidP="00613103">
            <w:pPr>
              <w:rPr>
                <w:b/>
              </w:rPr>
            </w:pPr>
            <w:r w:rsidRPr="00613103">
              <w:rPr>
                <w:rFonts w:cs="Calibri"/>
                <w:b/>
                <w:sz w:val="20"/>
              </w:rPr>
              <w:t xml:space="preserve">Most common </w:t>
            </w:r>
            <w:r w:rsidR="00C203B3">
              <w:rPr>
                <w:rFonts w:cs="Calibri"/>
                <w:b/>
                <w:color w:val="auto"/>
                <w:sz w:val="20"/>
              </w:rPr>
              <w:t>serious adverse events</w:t>
            </w:r>
            <w:r w:rsidRPr="00613103">
              <w:rPr>
                <w:rFonts w:cs="Calibri"/>
                <w:b/>
                <w:sz w:val="20"/>
              </w:rPr>
              <w:t xml:space="preserve"> (≥</w:t>
            </w:r>
            <w:r w:rsidR="00C203B3">
              <w:rPr>
                <w:rFonts w:cs="Calibri"/>
                <w:b/>
                <w:color w:val="auto"/>
                <w:sz w:val="20"/>
              </w:rPr>
              <w:t xml:space="preserve"> </w:t>
            </w:r>
            <w:r w:rsidRPr="00613103">
              <w:rPr>
                <w:rFonts w:cs="Calibri"/>
                <w:b/>
                <w:sz w:val="20"/>
              </w:rPr>
              <w:t>2.5% in any group):</w:t>
            </w:r>
          </w:p>
        </w:tc>
      </w:tr>
      <w:tr w:rsidR="00700D74" w:rsidRPr="007635DB" w14:paraId="3CD4104F" w14:textId="77777777" w:rsidTr="00700D74">
        <w:tblPrEx>
          <w:tblCellMar>
            <w:left w:w="108" w:type="dxa"/>
            <w:right w:w="108" w:type="dxa"/>
          </w:tblCellMar>
        </w:tblPrEx>
        <w:tc>
          <w:tcPr>
            <w:tcW w:w="3050" w:type="dxa"/>
          </w:tcPr>
          <w:p w14:paraId="24FAF146" w14:textId="77777777" w:rsidR="009855EC" w:rsidRPr="00613103" w:rsidRDefault="009855EC" w:rsidP="00613103">
            <w:pPr>
              <w:spacing w:before="0" w:after="0"/>
              <w:rPr>
                <w:sz w:val="20"/>
              </w:rPr>
            </w:pPr>
            <w:r w:rsidRPr="00613103">
              <w:rPr>
                <w:sz w:val="20"/>
              </w:rPr>
              <w:t>Febrile neutropenia, %</w:t>
            </w:r>
          </w:p>
        </w:tc>
        <w:tc>
          <w:tcPr>
            <w:tcW w:w="1544" w:type="dxa"/>
          </w:tcPr>
          <w:p w14:paraId="4A06DF40" w14:textId="77777777" w:rsidR="009855EC" w:rsidRPr="00613103" w:rsidRDefault="009855EC" w:rsidP="00613103">
            <w:pPr>
              <w:spacing w:before="0" w:after="0"/>
              <w:rPr>
                <w:sz w:val="20"/>
              </w:rPr>
            </w:pPr>
            <w:r w:rsidRPr="00613103">
              <w:rPr>
                <w:sz w:val="20"/>
              </w:rPr>
              <w:t>1.4</w:t>
            </w:r>
          </w:p>
        </w:tc>
        <w:tc>
          <w:tcPr>
            <w:tcW w:w="1633" w:type="dxa"/>
          </w:tcPr>
          <w:p w14:paraId="04AF6568" w14:textId="77777777" w:rsidR="009855EC" w:rsidRPr="00613103" w:rsidRDefault="009855EC" w:rsidP="00613103">
            <w:pPr>
              <w:spacing w:before="0" w:after="0"/>
              <w:rPr>
                <w:sz w:val="20"/>
              </w:rPr>
            </w:pPr>
            <w:r w:rsidRPr="00613103">
              <w:rPr>
                <w:sz w:val="20"/>
              </w:rPr>
              <w:t>5.5</w:t>
            </w:r>
          </w:p>
        </w:tc>
        <w:tc>
          <w:tcPr>
            <w:tcW w:w="1252" w:type="dxa"/>
          </w:tcPr>
          <w:p w14:paraId="57D20160" w14:textId="77777777" w:rsidR="009855EC" w:rsidRPr="00613103" w:rsidRDefault="009855EC" w:rsidP="00613103">
            <w:pPr>
              <w:spacing w:before="0" w:after="0"/>
              <w:rPr>
                <w:sz w:val="20"/>
              </w:rPr>
            </w:pPr>
            <w:r w:rsidRPr="00613103">
              <w:rPr>
                <w:sz w:val="20"/>
              </w:rPr>
              <w:t>4.0</w:t>
            </w:r>
          </w:p>
        </w:tc>
        <w:tc>
          <w:tcPr>
            <w:tcW w:w="1331" w:type="dxa"/>
          </w:tcPr>
          <w:p w14:paraId="2E8B9B5D" w14:textId="77777777" w:rsidR="009855EC" w:rsidRPr="00613103" w:rsidRDefault="009855EC" w:rsidP="00613103">
            <w:pPr>
              <w:spacing w:before="0" w:after="0"/>
              <w:rPr>
                <w:sz w:val="20"/>
              </w:rPr>
            </w:pPr>
            <w:r w:rsidRPr="00613103">
              <w:rPr>
                <w:sz w:val="20"/>
              </w:rPr>
              <w:t>1.1</w:t>
            </w:r>
          </w:p>
        </w:tc>
      </w:tr>
      <w:tr w:rsidR="00700D74" w:rsidRPr="007635DB" w14:paraId="5DAC1EB9" w14:textId="77777777" w:rsidTr="00700D74">
        <w:tblPrEx>
          <w:tblCellMar>
            <w:left w:w="108" w:type="dxa"/>
            <w:right w:w="108" w:type="dxa"/>
          </w:tblCellMar>
        </w:tblPrEx>
        <w:tc>
          <w:tcPr>
            <w:tcW w:w="3050" w:type="dxa"/>
          </w:tcPr>
          <w:p w14:paraId="2E827227" w14:textId="6645384E" w:rsidR="009855EC" w:rsidRPr="00613103" w:rsidRDefault="008D2D0F" w:rsidP="00613103">
            <w:pPr>
              <w:spacing w:before="0" w:after="0"/>
              <w:rPr>
                <w:sz w:val="20"/>
              </w:rPr>
            </w:pPr>
            <w:r>
              <w:rPr>
                <w:sz w:val="20"/>
              </w:rPr>
              <w:t>N</w:t>
            </w:r>
            <w:r w:rsidR="009855EC" w:rsidRPr="00613103">
              <w:rPr>
                <w:sz w:val="20"/>
              </w:rPr>
              <w:t>eutropenia, %</w:t>
            </w:r>
          </w:p>
        </w:tc>
        <w:tc>
          <w:tcPr>
            <w:tcW w:w="1544" w:type="dxa"/>
          </w:tcPr>
          <w:p w14:paraId="5D6218A2" w14:textId="77777777" w:rsidR="009855EC" w:rsidRPr="00613103" w:rsidRDefault="009855EC" w:rsidP="00613103">
            <w:pPr>
              <w:spacing w:before="0" w:after="0"/>
              <w:rPr>
                <w:sz w:val="20"/>
              </w:rPr>
            </w:pPr>
            <w:r w:rsidRPr="00613103">
              <w:rPr>
                <w:sz w:val="20"/>
              </w:rPr>
              <w:t>1.4</w:t>
            </w:r>
          </w:p>
        </w:tc>
        <w:tc>
          <w:tcPr>
            <w:tcW w:w="1633" w:type="dxa"/>
          </w:tcPr>
          <w:p w14:paraId="1757F039" w14:textId="77777777" w:rsidR="009855EC" w:rsidRPr="00613103" w:rsidRDefault="009855EC" w:rsidP="00613103">
            <w:pPr>
              <w:spacing w:before="0" w:after="0"/>
              <w:rPr>
                <w:sz w:val="20"/>
              </w:rPr>
            </w:pPr>
            <w:r w:rsidRPr="00613103">
              <w:rPr>
                <w:sz w:val="20"/>
              </w:rPr>
              <w:t>2.7</w:t>
            </w:r>
          </w:p>
        </w:tc>
        <w:tc>
          <w:tcPr>
            <w:tcW w:w="1252" w:type="dxa"/>
          </w:tcPr>
          <w:p w14:paraId="23A7675E" w14:textId="77777777" w:rsidR="009855EC" w:rsidRPr="00613103" w:rsidRDefault="009855EC" w:rsidP="00613103">
            <w:pPr>
              <w:spacing w:before="0" w:after="0"/>
              <w:rPr>
                <w:sz w:val="20"/>
              </w:rPr>
            </w:pPr>
            <w:r w:rsidRPr="00613103">
              <w:rPr>
                <w:sz w:val="20"/>
              </w:rPr>
              <w:t>1.6</w:t>
            </w:r>
          </w:p>
        </w:tc>
        <w:tc>
          <w:tcPr>
            <w:tcW w:w="1331" w:type="dxa"/>
          </w:tcPr>
          <w:p w14:paraId="68353E83" w14:textId="77777777" w:rsidR="009855EC" w:rsidRPr="00613103" w:rsidRDefault="009855EC" w:rsidP="00613103">
            <w:pPr>
              <w:spacing w:before="0" w:after="0"/>
              <w:rPr>
                <w:sz w:val="20"/>
              </w:rPr>
            </w:pPr>
            <w:r w:rsidRPr="00613103">
              <w:rPr>
                <w:sz w:val="20"/>
              </w:rPr>
              <w:t>2.2</w:t>
            </w:r>
          </w:p>
        </w:tc>
      </w:tr>
      <w:tr w:rsidR="00700D74" w:rsidRPr="00E66CED" w14:paraId="75A5C81E" w14:textId="77777777" w:rsidTr="00700D74">
        <w:tblPrEx>
          <w:tblCellMar>
            <w:left w:w="108" w:type="dxa"/>
            <w:right w:w="108" w:type="dxa"/>
          </w:tblCellMar>
        </w:tblPrEx>
        <w:tc>
          <w:tcPr>
            <w:tcW w:w="3050" w:type="dxa"/>
          </w:tcPr>
          <w:p w14:paraId="2F239811" w14:textId="77777777" w:rsidR="009855EC" w:rsidRPr="00613103" w:rsidRDefault="009855EC" w:rsidP="00613103">
            <w:pPr>
              <w:spacing w:before="0" w:after="0"/>
              <w:rPr>
                <w:sz w:val="20"/>
              </w:rPr>
            </w:pPr>
            <w:r w:rsidRPr="00613103">
              <w:rPr>
                <w:sz w:val="20"/>
              </w:rPr>
              <w:t>Diarrhoea, %</w:t>
            </w:r>
          </w:p>
        </w:tc>
        <w:tc>
          <w:tcPr>
            <w:tcW w:w="1544" w:type="dxa"/>
          </w:tcPr>
          <w:p w14:paraId="038D9D7F" w14:textId="77777777" w:rsidR="009855EC" w:rsidRPr="00613103" w:rsidRDefault="009855EC" w:rsidP="00613103">
            <w:pPr>
              <w:spacing w:before="0" w:after="0"/>
              <w:rPr>
                <w:sz w:val="20"/>
              </w:rPr>
            </w:pPr>
            <w:r w:rsidRPr="00613103">
              <w:rPr>
                <w:sz w:val="20"/>
              </w:rPr>
              <w:t>2.4</w:t>
            </w:r>
          </w:p>
        </w:tc>
        <w:tc>
          <w:tcPr>
            <w:tcW w:w="1633" w:type="dxa"/>
          </w:tcPr>
          <w:p w14:paraId="6ADFB207" w14:textId="77777777" w:rsidR="009855EC" w:rsidRPr="00613103" w:rsidRDefault="009855EC" w:rsidP="00613103">
            <w:pPr>
              <w:spacing w:before="0" w:after="0"/>
              <w:rPr>
                <w:sz w:val="20"/>
              </w:rPr>
            </w:pPr>
            <w:r w:rsidRPr="00613103">
              <w:rPr>
                <w:sz w:val="20"/>
              </w:rPr>
              <w:t>1.4</w:t>
            </w:r>
          </w:p>
        </w:tc>
        <w:tc>
          <w:tcPr>
            <w:tcW w:w="1252" w:type="dxa"/>
          </w:tcPr>
          <w:p w14:paraId="22BDACC8" w14:textId="77777777" w:rsidR="009855EC" w:rsidRPr="00613103" w:rsidRDefault="009855EC" w:rsidP="00613103">
            <w:pPr>
              <w:spacing w:before="0" w:after="0"/>
              <w:rPr>
                <w:sz w:val="20"/>
              </w:rPr>
            </w:pPr>
            <w:r w:rsidRPr="00613103">
              <w:rPr>
                <w:sz w:val="20"/>
              </w:rPr>
              <w:t>2.4</w:t>
            </w:r>
          </w:p>
        </w:tc>
        <w:tc>
          <w:tcPr>
            <w:tcW w:w="1331" w:type="dxa"/>
          </w:tcPr>
          <w:p w14:paraId="619A4068" w14:textId="77777777" w:rsidR="009855EC" w:rsidRPr="00613103" w:rsidRDefault="009855EC" w:rsidP="00613103">
            <w:pPr>
              <w:spacing w:before="0" w:after="0"/>
              <w:rPr>
                <w:sz w:val="20"/>
              </w:rPr>
            </w:pPr>
            <w:r w:rsidRPr="00613103">
              <w:rPr>
                <w:sz w:val="20"/>
              </w:rPr>
              <w:t>3.4</w:t>
            </w:r>
          </w:p>
        </w:tc>
      </w:tr>
      <w:tr w:rsidR="00700D74" w:rsidRPr="00C530FA" w14:paraId="7ABBF8D9" w14:textId="77777777" w:rsidTr="00700D74">
        <w:tblPrEx>
          <w:tblCellMar>
            <w:left w:w="108" w:type="dxa"/>
            <w:right w:w="108" w:type="dxa"/>
          </w:tblCellMar>
        </w:tblPrEx>
        <w:tc>
          <w:tcPr>
            <w:tcW w:w="3050" w:type="dxa"/>
          </w:tcPr>
          <w:p w14:paraId="73FB2E24" w14:textId="204A90EA" w:rsidR="009855EC" w:rsidRPr="00613103" w:rsidRDefault="008D2D0F" w:rsidP="00613103">
            <w:pPr>
              <w:spacing w:before="0" w:after="0"/>
              <w:rPr>
                <w:sz w:val="20"/>
              </w:rPr>
            </w:pPr>
            <w:r>
              <w:rPr>
                <w:sz w:val="20"/>
              </w:rPr>
              <w:t>P</w:t>
            </w:r>
            <w:r w:rsidR="009855EC" w:rsidRPr="00613103">
              <w:rPr>
                <w:sz w:val="20"/>
              </w:rPr>
              <w:t>neumonia, %</w:t>
            </w:r>
          </w:p>
        </w:tc>
        <w:tc>
          <w:tcPr>
            <w:tcW w:w="1544" w:type="dxa"/>
          </w:tcPr>
          <w:p w14:paraId="0626160A" w14:textId="77777777" w:rsidR="009855EC" w:rsidRPr="00613103" w:rsidRDefault="009855EC" w:rsidP="00613103">
            <w:pPr>
              <w:spacing w:before="0" w:after="0"/>
              <w:rPr>
                <w:sz w:val="20"/>
              </w:rPr>
            </w:pPr>
            <w:r w:rsidRPr="00613103">
              <w:rPr>
                <w:sz w:val="20"/>
              </w:rPr>
              <w:t>4.1</w:t>
            </w:r>
          </w:p>
        </w:tc>
        <w:tc>
          <w:tcPr>
            <w:tcW w:w="1633" w:type="dxa"/>
          </w:tcPr>
          <w:p w14:paraId="7E2833F4" w14:textId="77777777" w:rsidR="009855EC" w:rsidRPr="00613103" w:rsidRDefault="009855EC" w:rsidP="00613103">
            <w:pPr>
              <w:spacing w:before="0" w:after="0"/>
              <w:rPr>
                <w:sz w:val="20"/>
              </w:rPr>
            </w:pPr>
            <w:r w:rsidRPr="00613103">
              <w:rPr>
                <w:sz w:val="20"/>
              </w:rPr>
              <w:t>2.4</w:t>
            </w:r>
          </w:p>
        </w:tc>
        <w:tc>
          <w:tcPr>
            <w:tcW w:w="1252" w:type="dxa"/>
          </w:tcPr>
          <w:p w14:paraId="675E0BED" w14:textId="77777777" w:rsidR="009855EC" w:rsidRPr="00613103" w:rsidRDefault="009855EC" w:rsidP="00613103">
            <w:pPr>
              <w:spacing w:before="0" w:after="0"/>
              <w:rPr>
                <w:sz w:val="20"/>
              </w:rPr>
            </w:pPr>
            <w:r w:rsidRPr="00613103">
              <w:rPr>
                <w:sz w:val="20"/>
              </w:rPr>
              <w:t>2.4</w:t>
            </w:r>
          </w:p>
        </w:tc>
        <w:tc>
          <w:tcPr>
            <w:tcW w:w="1331" w:type="dxa"/>
          </w:tcPr>
          <w:p w14:paraId="1DFC7FB5" w14:textId="77777777" w:rsidR="009855EC" w:rsidRPr="00613103" w:rsidRDefault="009855EC" w:rsidP="00613103">
            <w:pPr>
              <w:spacing w:before="0" w:after="0"/>
              <w:rPr>
                <w:sz w:val="20"/>
              </w:rPr>
            </w:pPr>
            <w:r w:rsidRPr="00613103">
              <w:rPr>
                <w:sz w:val="20"/>
              </w:rPr>
              <w:t>3.4</w:t>
            </w:r>
          </w:p>
        </w:tc>
      </w:tr>
      <w:tr w:rsidR="00700D74" w:rsidRPr="00BD7C9D" w14:paraId="2B5C20C9" w14:textId="77777777" w:rsidTr="00700D74">
        <w:tblPrEx>
          <w:tblCellMar>
            <w:left w:w="108" w:type="dxa"/>
            <w:right w:w="108" w:type="dxa"/>
          </w:tblCellMar>
        </w:tblPrEx>
        <w:tc>
          <w:tcPr>
            <w:tcW w:w="3050" w:type="dxa"/>
          </w:tcPr>
          <w:p w14:paraId="1846A295" w14:textId="0725763F" w:rsidR="009855EC" w:rsidRPr="00613103" w:rsidRDefault="008D2D0F" w:rsidP="00613103">
            <w:pPr>
              <w:spacing w:before="0" w:after="0"/>
              <w:rPr>
                <w:sz w:val="20"/>
              </w:rPr>
            </w:pPr>
            <w:r>
              <w:rPr>
                <w:sz w:val="20"/>
              </w:rPr>
              <w:t>U</w:t>
            </w:r>
            <w:r w:rsidR="009855EC" w:rsidRPr="00613103">
              <w:rPr>
                <w:sz w:val="20"/>
              </w:rPr>
              <w:t>rinary tract infection, %</w:t>
            </w:r>
          </w:p>
        </w:tc>
        <w:tc>
          <w:tcPr>
            <w:tcW w:w="1544" w:type="dxa"/>
          </w:tcPr>
          <w:p w14:paraId="68D7EA72" w14:textId="77777777" w:rsidR="009855EC" w:rsidRPr="00613103" w:rsidRDefault="009855EC" w:rsidP="00613103">
            <w:pPr>
              <w:spacing w:before="0" w:after="0"/>
              <w:rPr>
                <w:sz w:val="20"/>
              </w:rPr>
            </w:pPr>
            <w:r w:rsidRPr="00613103">
              <w:rPr>
                <w:sz w:val="20"/>
              </w:rPr>
              <w:t>2.4</w:t>
            </w:r>
          </w:p>
        </w:tc>
        <w:tc>
          <w:tcPr>
            <w:tcW w:w="1633" w:type="dxa"/>
          </w:tcPr>
          <w:p w14:paraId="3E49F9B8" w14:textId="77777777" w:rsidR="009855EC" w:rsidRPr="00613103" w:rsidRDefault="009855EC" w:rsidP="00613103">
            <w:pPr>
              <w:spacing w:before="0" w:after="0"/>
              <w:rPr>
                <w:sz w:val="20"/>
              </w:rPr>
            </w:pPr>
            <w:r w:rsidRPr="00613103">
              <w:rPr>
                <w:sz w:val="20"/>
              </w:rPr>
              <w:t>2.1</w:t>
            </w:r>
          </w:p>
        </w:tc>
        <w:tc>
          <w:tcPr>
            <w:tcW w:w="1252" w:type="dxa"/>
          </w:tcPr>
          <w:p w14:paraId="36FDEDAC" w14:textId="77777777" w:rsidR="009855EC" w:rsidRPr="00613103" w:rsidRDefault="009855EC" w:rsidP="00613103">
            <w:pPr>
              <w:spacing w:before="0" w:after="0"/>
              <w:rPr>
                <w:sz w:val="20"/>
              </w:rPr>
            </w:pPr>
            <w:r w:rsidRPr="00613103">
              <w:rPr>
                <w:sz w:val="20"/>
              </w:rPr>
              <w:t>4.8</w:t>
            </w:r>
          </w:p>
        </w:tc>
        <w:tc>
          <w:tcPr>
            <w:tcW w:w="1331" w:type="dxa"/>
          </w:tcPr>
          <w:p w14:paraId="4693B38E" w14:textId="77777777" w:rsidR="009855EC" w:rsidRPr="00613103" w:rsidRDefault="009855EC" w:rsidP="00613103">
            <w:pPr>
              <w:spacing w:before="0" w:after="0"/>
              <w:rPr>
                <w:sz w:val="20"/>
              </w:rPr>
            </w:pPr>
            <w:r w:rsidRPr="00613103">
              <w:rPr>
                <w:sz w:val="20"/>
              </w:rPr>
              <w:t>3.4</w:t>
            </w:r>
          </w:p>
        </w:tc>
      </w:tr>
      <w:tr w:rsidR="00700D74" w:rsidRPr="00BD7C9D" w14:paraId="1B07FB23" w14:textId="77777777" w:rsidTr="00700D74">
        <w:tblPrEx>
          <w:tblCellMar>
            <w:left w:w="108" w:type="dxa"/>
            <w:right w:w="108" w:type="dxa"/>
          </w:tblCellMar>
        </w:tblPrEx>
        <w:tc>
          <w:tcPr>
            <w:tcW w:w="3050" w:type="dxa"/>
          </w:tcPr>
          <w:p w14:paraId="08627C77" w14:textId="467AD4A6" w:rsidR="009855EC" w:rsidRPr="00613103" w:rsidRDefault="008D2D0F" w:rsidP="00613103">
            <w:pPr>
              <w:spacing w:before="0" w:after="0"/>
              <w:rPr>
                <w:sz w:val="20"/>
              </w:rPr>
            </w:pPr>
            <w:r>
              <w:rPr>
                <w:sz w:val="20"/>
              </w:rPr>
              <w:t>S</w:t>
            </w:r>
            <w:r w:rsidR="009855EC" w:rsidRPr="00613103">
              <w:rPr>
                <w:sz w:val="20"/>
              </w:rPr>
              <w:t>epsis, %</w:t>
            </w:r>
          </w:p>
        </w:tc>
        <w:tc>
          <w:tcPr>
            <w:tcW w:w="1544" w:type="dxa"/>
          </w:tcPr>
          <w:p w14:paraId="454D929C" w14:textId="77777777" w:rsidR="009855EC" w:rsidRPr="00613103" w:rsidRDefault="009855EC" w:rsidP="00613103">
            <w:pPr>
              <w:spacing w:before="0" w:after="0"/>
              <w:rPr>
                <w:sz w:val="20"/>
              </w:rPr>
            </w:pPr>
            <w:r w:rsidRPr="00613103">
              <w:rPr>
                <w:sz w:val="20"/>
              </w:rPr>
              <w:t>1.7</w:t>
            </w:r>
          </w:p>
        </w:tc>
        <w:tc>
          <w:tcPr>
            <w:tcW w:w="1633" w:type="dxa"/>
          </w:tcPr>
          <w:p w14:paraId="4BFE390C" w14:textId="77777777" w:rsidR="009855EC" w:rsidRPr="00613103" w:rsidRDefault="009855EC" w:rsidP="00613103">
            <w:pPr>
              <w:spacing w:before="0" w:after="0"/>
              <w:rPr>
                <w:sz w:val="20"/>
              </w:rPr>
            </w:pPr>
            <w:r w:rsidRPr="00613103">
              <w:rPr>
                <w:sz w:val="20"/>
              </w:rPr>
              <w:t>1.0</w:t>
            </w:r>
          </w:p>
        </w:tc>
        <w:tc>
          <w:tcPr>
            <w:tcW w:w="1252" w:type="dxa"/>
          </w:tcPr>
          <w:p w14:paraId="72DF5B0C" w14:textId="77777777" w:rsidR="009855EC" w:rsidRPr="00613103" w:rsidRDefault="009855EC" w:rsidP="00613103">
            <w:pPr>
              <w:spacing w:before="0" w:after="0"/>
              <w:rPr>
                <w:sz w:val="20"/>
              </w:rPr>
            </w:pPr>
            <w:r w:rsidRPr="00613103">
              <w:rPr>
                <w:sz w:val="20"/>
              </w:rPr>
              <w:t>3.2</w:t>
            </w:r>
          </w:p>
        </w:tc>
        <w:tc>
          <w:tcPr>
            <w:tcW w:w="1331" w:type="dxa"/>
          </w:tcPr>
          <w:p w14:paraId="7DB4C574" w14:textId="77777777" w:rsidR="009855EC" w:rsidRPr="00613103" w:rsidRDefault="009855EC" w:rsidP="00613103">
            <w:pPr>
              <w:spacing w:before="0" w:after="0"/>
              <w:rPr>
                <w:sz w:val="20"/>
              </w:rPr>
            </w:pPr>
            <w:r w:rsidRPr="00613103">
              <w:rPr>
                <w:sz w:val="20"/>
              </w:rPr>
              <w:t>4.5</w:t>
            </w:r>
          </w:p>
        </w:tc>
      </w:tr>
      <w:tr w:rsidR="00700D74" w:rsidRPr="00BD7C9D" w14:paraId="1C96DB13" w14:textId="77777777" w:rsidTr="00700D74">
        <w:tblPrEx>
          <w:tblCellMar>
            <w:left w:w="108" w:type="dxa"/>
            <w:right w:w="108" w:type="dxa"/>
          </w:tblCellMar>
        </w:tblPrEx>
        <w:tc>
          <w:tcPr>
            <w:tcW w:w="3050" w:type="dxa"/>
          </w:tcPr>
          <w:p w14:paraId="1C3A3B45" w14:textId="005D134C" w:rsidR="009855EC" w:rsidRPr="00613103" w:rsidRDefault="008D2D0F" w:rsidP="00613103">
            <w:pPr>
              <w:spacing w:before="0" w:after="0"/>
              <w:rPr>
                <w:sz w:val="20"/>
              </w:rPr>
            </w:pPr>
            <w:r>
              <w:rPr>
                <w:sz w:val="20"/>
              </w:rPr>
              <w:t>C</w:t>
            </w:r>
            <w:r w:rsidR="009855EC" w:rsidRPr="00613103">
              <w:rPr>
                <w:sz w:val="20"/>
              </w:rPr>
              <w:t>ellulitis, %</w:t>
            </w:r>
          </w:p>
        </w:tc>
        <w:tc>
          <w:tcPr>
            <w:tcW w:w="1544" w:type="dxa"/>
          </w:tcPr>
          <w:p w14:paraId="01007979" w14:textId="77777777" w:rsidR="009855EC" w:rsidRPr="00613103" w:rsidRDefault="009855EC" w:rsidP="00613103">
            <w:pPr>
              <w:spacing w:before="0" w:after="0"/>
              <w:rPr>
                <w:sz w:val="20"/>
              </w:rPr>
            </w:pPr>
            <w:r w:rsidRPr="00613103">
              <w:rPr>
                <w:sz w:val="20"/>
              </w:rPr>
              <w:t>1.0</w:t>
            </w:r>
          </w:p>
        </w:tc>
        <w:tc>
          <w:tcPr>
            <w:tcW w:w="1633" w:type="dxa"/>
          </w:tcPr>
          <w:p w14:paraId="0A40BB4D" w14:textId="77777777" w:rsidR="009855EC" w:rsidRPr="00613103" w:rsidRDefault="009855EC" w:rsidP="00613103">
            <w:pPr>
              <w:spacing w:before="0" w:after="0"/>
              <w:rPr>
                <w:sz w:val="20"/>
              </w:rPr>
            </w:pPr>
            <w:r w:rsidRPr="00613103">
              <w:rPr>
                <w:sz w:val="20"/>
              </w:rPr>
              <w:t>0.7</w:t>
            </w:r>
          </w:p>
        </w:tc>
        <w:tc>
          <w:tcPr>
            <w:tcW w:w="1252" w:type="dxa"/>
          </w:tcPr>
          <w:p w14:paraId="705E301E" w14:textId="77777777" w:rsidR="009855EC" w:rsidRPr="00613103" w:rsidRDefault="009855EC" w:rsidP="00613103">
            <w:pPr>
              <w:spacing w:before="0" w:after="0"/>
              <w:rPr>
                <w:sz w:val="20"/>
              </w:rPr>
            </w:pPr>
            <w:r w:rsidRPr="00613103">
              <w:rPr>
                <w:sz w:val="20"/>
              </w:rPr>
              <w:t>4.8</w:t>
            </w:r>
          </w:p>
        </w:tc>
        <w:tc>
          <w:tcPr>
            <w:tcW w:w="1331" w:type="dxa"/>
          </w:tcPr>
          <w:p w14:paraId="6868EE9D" w14:textId="77777777" w:rsidR="009855EC" w:rsidRPr="00613103" w:rsidRDefault="009855EC" w:rsidP="00613103">
            <w:pPr>
              <w:spacing w:before="0" w:after="0"/>
              <w:rPr>
                <w:sz w:val="20"/>
              </w:rPr>
            </w:pPr>
            <w:r w:rsidRPr="00613103">
              <w:rPr>
                <w:sz w:val="20"/>
              </w:rPr>
              <w:t>0</w:t>
            </w:r>
          </w:p>
        </w:tc>
      </w:tr>
      <w:tr w:rsidR="00700D74" w:rsidRPr="00BD7C9D" w14:paraId="140E0CC6" w14:textId="77777777" w:rsidTr="00700D74">
        <w:tblPrEx>
          <w:tblCellMar>
            <w:left w:w="108" w:type="dxa"/>
            <w:right w:w="108" w:type="dxa"/>
          </w:tblCellMar>
        </w:tblPrEx>
        <w:tc>
          <w:tcPr>
            <w:tcW w:w="3050" w:type="dxa"/>
          </w:tcPr>
          <w:p w14:paraId="625F19CE" w14:textId="77777777" w:rsidR="009855EC" w:rsidRPr="00613103" w:rsidRDefault="009855EC" w:rsidP="00613103">
            <w:pPr>
              <w:spacing w:before="0" w:after="0"/>
              <w:rPr>
                <w:sz w:val="20"/>
              </w:rPr>
            </w:pPr>
            <w:r w:rsidRPr="00613103">
              <w:rPr>
                <w:sz w:val="20"/>
              </w:rPr>
              <w:t>Malignant neoplasm progression, %</w:t>
            </w:r>
          </w:p>
        </w:tc>
        <w:tc>
          <w:tcPr>
            <w:tcW w:w="1544" w:type="dxa"/>
          </w:tcPr>
          <w:p w14:paraId="756DCC9F" w14:textId="77777777" w:rsidR="009855EC" w:rsidRPr="00613103" w:rsidRDefault="009855EC" w:rsidP="004F29BE">
            <w:pPr>
              <w:spacing w:before="0" w:after="0"/>
              <w:rPr>
                <w:sz w:val="20"/>
              </w:rPr>
            </w:pPr>
            <w:r w:rsidRPr="00613103">
              <w:rPr>
                <w:sz w:val="20"/>
              </w:rPr>
              <w:t>4.1</w:t>
            </w:r>
          </w:p>
        </w:tc>
        <w:tc>
          <w:tcPr>
            <w:tcW w:w="1633" w:type="dxa"/>
          </w:tcPr>
          <w:p w14:paraId="104FF955" w14:textId="77777777" w:rsidR="009855EC" w:rsidRPr="00613103" w:rsidRDefault="009855EC" w:rsidP="004F29BE">
            <w:pPr>
              <w:spacing w:before="0" w:after="0"/>
              <w:rPr>
                <w:sz w:val="20"/>
              </w:rPr>
            </w:pPr>
            <w:r w:rsidRPr="00613103">
              <w:rPr>
                <w:sz w:val="20"/>
              </w:rPr>
              <w:t>2.4</w:t>
            </w:r>
          </w:p>
        </w:tc>
        <w:tc>
          <w:tcPr>
            <w:tcW w:w="1252" w:type="dxa"/>
          </w:tcPr>
          <w:p w14:paraId="671CF83C" w14:textId="77777777" w:rsidR="009855EC" w:rsidRPr="00613103" w:rsidRDefault="009855EC" w:rsidP="004F29BE">
            <w:pPr>
              <w:spacing w:before="0" w:after="0"/>
              <w:rPr>
                <w:sz w:val="20"/>
              </w:rPr>
            </w:pPr>
            <w:r w:rsidRPr="00613103">
              <w:rPr>
                <w:sz w:val="20"/>
              </w:rPr>
              <w:t>0</w:t>
            </w:r>
          </w:p>
        </w:tc>
        <w:tc>
          <w:tcPr>
            <w:tcW w:w="1331" w:type="dxa"/>
          </w:tcPr>
          <w:p w14:paraId="5D6C0524" w14:textId="77777777" w:rsidR="009855EC" w:rsidRPr="00613103" w:rsidRDefault="009855EC" w:rsidP="004F29BE">
            <w:pPr>
              <w:spacing w:before="0" w:after="0"/>
              <w:rPr>
                <w:sz w:val="20"/>
              </w:rPr>
            </w:pPr>
            <w:r w:rsidRPr="00613103">
              <w:rPr>
                <w:sz w:val="20"/>
              </w:rPr>
              <w:t>0</w:t>
            </w:r>
          </w:p>
        </w:tc>
      </w:tr>
      <w:tr w:rsidR="00700D74" w:rsidRPr="00BD7C9D" w14:paraId="691D4FE8" w14:textId="77777777" w:rsidTr="00700D74">
        <w:tblPrEx>
          <w:tblCellMar>
            <w:left w:w="108" w:type="dxa"/>
            <w:right w:w="108" w:type="dxa"/>
          </w:tblCellMar>
        </w:tblPrEx>
        <w:tc>
          <w:tcPr>
            <w:tcW w:w="3050" w:type="dxa"/>
          </w:tcPr>
          <w:p w14:paraId="7A0CC179" w14:textId="77777777" w:rsidR="009855EC" w:rsidRPr="004F29BE" w:rsidRDefault="009855EC" w:rsidP="004F29BE">
            <w:pPr>
              <w:spacing w:before="0" w:after="0"/>
              <w:rPr>
                <w:sz w:val="20"/>
              </w:rPr>
            </w:pPr>
            <w:r w:rsidRPr="004F29BE">
              <w:rPr>
                <w:sz w:val="20"/>
              </w:rPr>
              <w:t>Acute kidney injury, %</w:t>
            </w:r>
          </w:p>
        </w:tc>
        <w:tc>
          <w:tcPr>
            <w:tcW w:w="1544" w:type="dxa"/>
          </w:tcPr>
          <w:p w14:paraId="56672BFA" w14:textId="77777777" w:rsidR="009855EC" w:rsidRPr="004F29BE" w:rsidRDefault="009855EC" w:rsidP="004F29BE">
            <w:pPr>
              <w:spacing w:before="0" w:after="0"/>
              <w:rPr>
                <w:sz w:val="20"/>
              </w:rPr>
            </w:pPr>
            <w:r w:rsidRPr="004F29BE">
              <w:rPr>
                <w:sz w:val="20"/>
              </w:rPr>
              <w:t>6.4</w:t>
            </w:r>
          </w:p>
        </w:tc>
        <w:tc>
          <w:tcPr>
            <w:tcW w:w="1633" w:type="dxa"/>
          </w:tcPr>
          <w:p w14:paraId="4F0EFAC0" w14:textId="77777777" w:rsidR="009855EC" w:rsidRPr="004F29BE" w:rsidRDefault="009855EC" w:rsidP="004F29BE">
            <w:pPr>
              <w:spacing w:before="0" w:after="0"/>
              <w:rPr>
                <w:sz w:val="20"/>
              </w:rPr>
            </w:pPr>
            <w:r w:rsidRPr="004F29BE">
              <w:rPr>
                <w:sz w:val="20"/>
              </w:rPr>
              <w:t>2.4</w:t>
            </w:r>
          </w:p>
        </w:tc>
        <w:tc>
          <w:tcPr>
            <w:tcW w:w="1252" w:type="dxa"/>
          </w:tcPr>
          <w:p w14:paraId="0CB664EE" w14:textId="77777777" w:rsidR="009855EC" w:rsidRPr="004F29BE" w:rsidRDefault="009855EC" w:rsidP="004F29BE">
            <w:pPr>
              <w:spacing w:before="0" w:after="0"/>
              <w:rPr>
                <w:sz w:val="20"/>
              </w:rPr>
            </w:pPr>
            <w:r w:rsidRPr="004F29BE">
              <w:rPr>
                <w:sz w:val="20"/>
              </w:rPr>
              <w:t>3.2</w:t>
            </w:r>
          </w:p>
        </w:tc>
        <w:tc>
          <w:tcPr>
            <w:tcW w:w="1331" w:type="dxa"/>
          </w:tcPr>
          <w:p w14:paraId="4C4AB562" w14:textId="77777777" w:rsidR="009855EC" w:rsidRPr="004F29BE" w:rsidRDefault="009855EC" w:rsidP="004F29BE">
            <w:pPr>
              <w:spacing w:before="0" w:after="0"/>
              <w:rPr>
                <w:sz w:val="20"/>
              </w:rPr>
            </w:pPr>
            <w:r w:rsidRPr="004F29BE">
              <w:rPr>
                <w:sz w:val="20"/>
              </w:rPr>
              <w:t>10.1</w:t>
            </w:r>
          </w:p>
        </w:tc>
      </w:tr>
      <w:tr w:rsidR="00700D74" w:rsidRPr="00BD7C9D" w14:paraId="0DCAE88F" w14:textId="77777777" w:rsidTr="00700D74">
        <w:tblPrEx>
          <w:tblCellMar>
            <w:left w:w="108" w:type="dxa"/>
            <w:right w:w="108" w:type="dxa"/>
          </w:tblCellMar>
        </w:tblPrEx>
        <w:tc>
          <w:tcPr>
            <w:tcW w:w="3050" w:type="dxa"/>
          </w:tcPr>
          <w:p w14:paraId="248F7949" w14:textId="6444E6C1" w:rsidR="009855EC" w:rsidRPr="004F29BE" w:rsidRDefault="008D2D0F" w:rsidP="004F29BE">
            <w:pPr>
              <w:spacing w:before="0" w:after="0"/>
              <w:rPr>
                <w:sz w:val="20"/>
              </w:rPr>
            </w:pPr>
            <w:r>
              <w:rPr>
                <w:sz w:val="20"/>
              </w:rPr>
              <w:t>D</w:t>
            </w:r>
            <w:r w:rsidR="009855EC" w:rsidRPr="004F29BE">
              <w:rPr>
                <w:sz w:val="20"/>
              </w:rPr>
              <w:t>yspnoea, %</w:t>
            </w:r>
          </w:p>
        </w:tc>
        <w:tc>
          <w:tcPr>
            <w:tcW w:w="1544" w:type="dxa"/>
          </w:tcPr>
          <w:p w14:paraId="2F2C9E9E" w14:textId="77777777" w:rsidR="009855EC" w:rsidRPr="004F29BE" w:rsidRDefault="009855EC" w:rsidP="004F29BE">
            <w:pPr>
              <w:spacing w:before="0" w:after="0"/>
              <w:rPr>
                <w:sz w:val="20"/>
              </w:rPr>
            </w:pPr>
            <w:r w:rsidRPr="004F29BE">
              <w:rPr>
                <w:sz w:val="20"/>
              </w:rPr>
              <w:t>1.4</w:t>
            </w:r>
          </w:p>
        </w:tc>
        <w:tc>
          <w:tcPr>
            <w:tcW w:w="1633" w:type="dxa"/>
          </w:tcPr>
          <w:p w14:paraId="5DCDD69C" w14:textId="77777777" w:rsidR="009855EC" w:rsidRPr="004F29BE" w:rsidRDefault="009855EC" w:rsidP="004F29BE">
            <w:pPr>
              <w:spacing w:before="0" w:after="0"/>
              <w:rPr>
                <w:sz w:val="20"/>
              </w:rPr>
            </w:pPr>
            <w:r w:rsidRPr="004F29BE">
              <w:rPr>
                <w:sz w:val="20"/>
              </w:rPr>
              <w:t>1.0</w:t>
            </w:r>
          </w:p>
        </w:tc>
        <w:tc>
          <w:tcPr>
            <w:tcW w:w="1252" w:type="dxa"/>
          </w:tcPr>
          <w:p w14:paraId="3CAEF5E4" w14:textId="77777777" w:rsidR="009855EC" w:rsidRPr="004F29BE" w:rsidRDefault="009855EC" w:rsidP="004F29BE">
            <w:pPr>
              <w:spacing w:before="0" w:after="0"/>
              <w:rPr>
                <w:sz w:val="20"/>
              </w:rPr>
            </w:pPr>
            <w:r w:rsidRPr="004F29BE">
              <w:rPr>
                <w:sz w:val="20"/>
              </w:rPr>
              <w:t>3.2</w:t>
            </w:r>
          </w:p>
        </w:tc>
        <w:tc>
          <w:tcPr>
            <w:tcW w:w="1331" w:type="dxa"/>
          </w:tcPr>
          <w:p w14:paraId="1F1BEFCA" w14:textId="77777777" w:rsidR="009855EC" w:rsidRPr="004F29BE" w:rsidRDefault="009855EC" w:rsidP="004F29BE">
            <w:pPr>
              <w:spacing w:before="0" w:after="0"/>
              <w:rPr>
                <w:sz w:val="20"/>
              </w:rPr>
            </w:pPr>
          </w:p>
        </w:tc>
      </w:tr>
      <w:tr w:rsidR="005638DF" w:rsidRPr="00E343EB" w14:paraId="08DE88EA" w14:textId="77777777" w:rsidTr="00F15683">
        <w:tblPrEx>
          <w:tblCellMar>
            <w:left w:w="108" w:type="dxa"/>
            <w:right w:w="108" w:type="dxa"/>
          </w:tblCellMar>
        </w:tblPrEx>
        <w:tc>
          <w:tcPr>
            <w:tcW w:w="8810" w:type="dxa"/>
            <w:gridSpan w:val="5"/>
          </w:tcPr>
          <w:p w14:paraId="7B084F7E" w14:textId="0B3B6645" w:rsidR="005638DF" w:rsidRPr="004F29BE" w:rsidRDefault="005638DF" w:rsidP="005638DF">
            <w:pPr>
              <w:rPr>
                <w:b/>
                <w:sz w:val="20"/>
              </w:rPr>
            </w:pPr>
            <w:r w:rsidRPr="004F29BE">
              <w:rPr>
                <w:b/>
                <w:sz w:val="20"/>
              </w:rPr>
              <w:t>Higher grade TEAEs</w:t>
            </w:r>
          </w:p>
        </w:tc>
      </w:tr>
      <w:tr w:rsidR="00700D74" w:rsidRPr="00E343EB" w14:paraId="7F65BCCA" w14:textId="77777777" w:rsidTr="00700D74">
        <w:tblPrEx>
          <w:tblCellMar>
            <w:left w:w="108" w:type="dxa"/>
            <w:right w:w="108" w:type="dxa"/>
          </w:tblCellMar>
        </w:tblPrEx>
        <w:tc>
          <w:tcPr>
            <w:tcW w:w="3050" w:type="dxa"/>
          </w:tcPr>
          <w:p w14:paraId="4C5658D8" w14:textId="17BEBCD7" w:rsidR="009855EC" w:rsidRPr="004F29BE" w:rsidRDefault="003833C7" w:rsidP="004F29BE">
            <w:pPr>
              <w:rPr>
                <w:sz w:val="20"/>
              </w:rPr>
            </w:pPr>
            <w:r w:rsidRPr="003833C7">
              <w:rPr>
                <w:sz w:val="20"/>
              </w:rPr>
              <w:t xml:space="preserve">Subjects with </w:t>
            </w:r>
            <w:r w:rsidRPr="00572A60">
              <w:rPr>
                <w:sz w:val="20"/>
              </w:rPr>
              <w:t>at least one</w:t>
            </w:r>
            <w:r w:rsidR="009855EC" w:rsidRPr="004F29BE">
              <w:rPr>
                <w:sz w:val="20"/>
              </w:rPr>
              <w:t xml:space="preserve"> ≥</w:t>
            </w:r>
            <w:r>
              <w:rPr>
                <w:sz w:val="20"/>
              </w:rPr>
              <w:t> </w:t>
            </w:r>
            <w:r w:rsidR="009855EC" w:rsidRPr="004F29BE">
              <w:rPr>
                <w:sz w:val="20"/>
              </w:rPr>
              <w:t>Grade 3 AE, %</w:t>
            </w:r>
          </w:p>
        </w:tc>
        <w:tc>
          <w:tcPr>
            <w:tcW w:w="1544" w:type="dxa"/>
          </w:tcPr>
          <w:p w14:paraId="279B2BF7" w14:textId="77777777" w:rsidR="009855EC" w:rsidRPr="004F29BE" w:rsidRDefault="009855EC" w:rsidP="004F29BE">
            <w:pPr>
              <w:rPr>
                <w:sz w:val="20"/>
              </w:rPr>
            </w:pPr>
            <w:r w:rsidRPr="004F29BE">
              <w:rPr>
                <w:sz w:val="20"/>
              </w:rPr>
              <w:t>50.7</w:t>
            </w:r>
          </w:p>
        </w:tc>
        <w:tc>
          <w:tcPr>
            <w:tcW w:w="1633" w:type="dxa"/>
          </w:tcPr>
          <w:p w14:paraId="06F25FE0" w14:textId="77777777" w:rsidR="009855EC" w:rsidRPr="004F29BE" w:rsidRDefault="009855EC" w:rsidP="004F29BE">
            <w:pPr>
              <w:rPr>
                <w:sz w:val="20"/>
              </w:rPr>
            </w:pPr>
            <w:r w:rsidRPr="004F29BE">
              <w:rPr>
                <w:sz w:val="20"/>
              </w:rPr>
              <w:t>48.8</w:t>
            </w:r>
          </w:p>
        </w:tc>
        <w:tc>
          <w:tcPr>
            <w:tcW w:w="1252" w:type="dxa"/>
          </w:tcPr>
          <w:p w14:paraId="1B54D03F" w14:textId="77777777" w:rsidR="009855EC" w:rsidRPr="004F29BE" w:rsidRDefault="009855EC" w:rsidP="004F29BE">
            <w:pPr>
              <w:rPr>
                <w:sz w:val="20"/>
              </w:rPr>
            </w:pPr>
            <w:r w:rsidRPr="004F29BE">
              <w:rPr>
                <w:sz w:val="20"/>
              </w:rPr>
              <w:t>56.0</w:t>
            </w:r>
          </w:p>
        </w:tc>
        <w:tc>
          <w:tcPr>
            <w:tcW w:w="1331" w:type="dxa"/>
          </w:tcPr>
          <w:p w14:paraId="1FC5B963" w14:textId="77777777" w:rsidR="009855EC" w:rsidRPr="004F29BE" w:rsidRDefault="009855EC" w:rsidP="004F29BE">
            <w:pPr>
              <w:rPr>
                <w:sz w:val="20"/>
              </w:rPr>
            </w:pPr>
            <w:r w:rsidRPr="004F29BE">
              <w:rPr>
                <w:sz w:val="20"/>
              </w:rPr>
              <w:t>55.1</w:t>
            </w:r>
          </w:p>
        </w:tc>
      </w:tr>
      <w:tr w:rsidR="005638DF" w:rsidRPr="008A0AEA" w14:paraId="2A601F5C" w14:textId="77777777" w:rsidTr="00F15683">
        <w:tblPrEx>
          <w:tblCellMar>
            <w:left w:w="108" w:type="dxa"/>
            <w:right w:w="108" w:type="dxa"/>
          </w:tblCellMar>
        </w:tblPrEx>
        <w:tc>
          <w:tcPr>
            <w:tcW w:w="8810" w:type="dxa"/>
            <w:gridSpan w:val="5"/>
          </w:tcPr>
          <w:p w14:paraId="629FDFF8" w14:textId="270C2C89" w:rsidR="005638DF" w:rsidRPr="004F29BE" w:rsidRDefault="005638DF" w:rsidP="005638DF">
            <w:pPr>
              <w:rPr>
                <w:b/>
                <w:sz w:val="20"/>
              </w:rPr>
            </w:pPr>
            <w:r w:rsidRPr="004F29BE">
              <w:rPr>
                <w:b/>
                <w:sz w:val="20"/>
              </w:rPr>
              <w:t>Most common Grade 3 to 4 adverse events (AEs) (≥ 5% in any group)</w:t>
            </w:r>
          </w:p>
        </w:tc>
      </w:tr>
      <w:tr w:rsidR="00700D74" w:rsidRPr="008A0AEA" w14:paraId="77E1B10B" w14:textId="77777777" w:rsidTr="00700D74">
        <w:tblPrEx>
          <w:tblCellMar>
            <w:left w:w="108" w:type="dxa"/>
            <w:right w:w="108" w:type="dxa"/>
          </w:tblCellMar>
        </w:tblPrEx>
        <w:tc>
          <w:tcPr>
            <w:tcW w:w="3050" w:type="dxa"/>
          </w:tcPr>
          <w:p w14:paraId="5DB2E991" w14:textId="1C979BF8" w:rsidR="009855EC" w:rsidRPr="004F29BE" w:rsidRDefault="008D2D0F" w:rsidP="004F29BE">
            <w:pPr>
              <w:spacing w:before="0" w:after="0"/>
              <w:rPr>
                <w:sz w:val="20"/>
              </w:rPr>
            </w:pPr>
            <w:r>
              <w:rPr>
                <w:sz w:val="20"/>
              </w:rPr>
              <w:t>N</w:t>
            </w:r>
            <w:r w:rsidR="009855EC" w:rsidRPr="004F29BE">
              <w:rPr>
                <w:sz w:val="20"/>
              </w:rPr>
              <w:t>eutropenia, %</w:t>
            </w:r>
          </w:p>
        </w:tc>
        <w:tc>
          <w:tcPr>
            <w:tcW w:w="1544" w:type="dxa"/>
          </w:tcPr>
          <w:p w14:paraId="33B73E16" w14:textId="77777777" w:rsidR="009855EC" w:rsidRPr="004F29BE" w:rsidRDefault="009855EC" w:rsidP="004F29BE">
            <w:pPr>
              <w:spacing w:before="0" w:after="0"/>
              <w:rPr>
                <w:sz w:val="20"/>
              </w:rPr>
            </w:pPr>
            <w:r w:rsidRPr="004F29BE">
              <w:rPr>
                <w:sz w:val="20"/>
              </w:rPr>
              <w:t>4.7</w:t>
            </w:r>
          </w:p>
        </w:tc>
        <w:tc>
          <w:tcPr>
            <w:tcW w:w="1633" w:type="dxa"/>
          </w:tcPr>
          <w:p w14:paraId="17D5A6BD" w14:textId="77777777" w:rsidR="009855EC" w:rsidRPr="004F29BE" w:rsidRDefault="009855EC" w:rsidP="004F29BE">
            <w:pPr>
              <w:spacing w:before="0" w:after="0"/>
              <w:rPr>
                <w:sz w:val="20"/>
              </w:rPr>
            </w:pPr>
            <w:r w:rsidRPr="004F29BE">
              <w:rPr>
                <w:sz w:val="20"/>
              </w:rPr>
              <w:t>6.2</w:t>
            </w:r>
          </w:p>
        </w:tc>
        <w:tc>
          <w:tcPr>
            <w:tcW w:w="1252" w:type="dxa"/>
          </w:tcPr>
          <w:p w14:paraId="7A6A64D7" w14:textId="77777777" w:rsidR="009855EC" w:rsidRPr="004F29BE" w:rsidRDefault="009855EC" w:rsidP="004F29BE">
            <w:pPr>
              <w:spacing w:before="0" w:after="0"/>
              <w:rPr>
                <w:sz w:val="20"/>
              </w:rPr>
            </w:pPr>
            <w:r w:rsidRPr="004F29BE">
              <w:rPr>
                <w:sz w:val="20"/>
              </w:rPr>
              <w:t>8.0</w:t>
            </w:r>
          </w:p>
        </w:tc>
        <w:tc>
          <w:tcPr>
            <w:tcW w:w="1331" w:type="dxa"/>
          </w:tcPr>
          <w:p w14:paraId="5EAB978C" w14:textId="77777777" w:rsidR="009855EC" w:rsidRPr="004F29BE" w:rsidRDefault="009855EC" w:rsidP="004F29BE">
            <w:pPr>
              <w:spacing w:before="0" w:after="0"/>
              <w:rPr>
                <w:sz w:val="20"/>
              </w:rPr>
            </w:pPr>
            <w:r w:rsidRPr="004F29BE">
              <w:rPr>
                <w:sz w:val="20"/>
              </w:rPr>
              <w:t>9.0</w:t>
            </w:r>
          </w:p>
        </w:tc>
      </w:tr>
      <w:tr w:rsidR="00700D74" w:rsidRPr="008A0AEA" w14:paraId="586F09D7" w14:textId="77777777" w:rsidTr="00613103">
        <w:tblPrEx>
          <w:tblCellMar>
            <w:left w:w="108" w:type="dxa"/>
            <w:right w:w="108" w:type="dxa"/>
          </w:tblCellMar>
        </w:tblPrEx>
        <w:tc>
          <w:tcPr>
            <w:tcW w:w="3050" w:type="dxa"/>
          </w:tcPr>
          <w:p w14:paraId="01F8212E" w14:textId="02E01634" w:rsidR="009855EC" w:rsidRPr="00613103" w:rsidRDefault="00613103" w:rsidP="00613103">
            <w:pPr>
              <w:spacing w:before="0" w:after="0"/>
              <w:rPr>
                <w:sz w:val="20"/>
              </w:rPr>
            </w:pPr>
            <w:r>
              <w:rPr>
                <w:sz w:val="20"/>
              </w:rPr>
              <w:t>A</w:t>
            </w:r>
            <w:r w:rsidR="009855EC" w:rsidRPr="00613103">
              <w:rPr>
                <w:sz w:val="20"/>
              </w:rPr>
              <w:t>naemia, %</w:t>
            </w:r>
          </w:p>
        </w:tc>
        <w:tc>
          <w:tcPr>
            <w:tcW w:w="1544" w:type="dxa"/>
          </w:tcPr>
          <w:p w14:paraId="271D94E4" w14:textId="77777777" w:rsidR="009855EC" w:rsidRPr="00613103" w:rsidRDefault="009855EC" w:rsidP="00613103">
            <w:pPr>
              <w:spacing w:before="0" w:after="0"/>
              <w:rPr>
                <w:sz w:val="20"/>
              </w:rPr>
            </w:pPr>
            <w:r w:rsidRPr="00613103">
              <w:rPr>
                <w:sz w:val="20"/>
              </w:rPr>
              <w:t>2.7</w:t>
            </w:r>
          </w:p>
        </w:tc>
        <w:tc>
          <w:tcPr>
            <w:tcW w:w="1633" w:type="dxa"/>
          </w:tcPr>
          <w:p w14:paraId="34E5A4A1" w14:textId="77777777" w:rsidR="009855EC" w:rsidRPr="00613103" w:rsidRDefault="009855EC" w:rsidP="00613103">
            <w:pPr>
              <w:spacing w:before="0" w:after="0"/>
              <w:rPr>
                <w:sz w:val="20"/>
              </w:rPr>
            </w:pPr>
            <w:r w:rsidRPr="00613103">
              <w:rPr>
                <w:sz w:val="20"/>
              </w:rPr>
              <w:t>7.6</w:t>
            </w:r>
          </w:p>
        </w:tc>
        <w:tc>
          <w:tcPr>
            <w:tcW w:w="1252" w:type="dxa"/>
          </w:tcPr>
          <w:p w14:paraId="68E98F00" w14:textId="77777777" w:rsidR="009855EC" w:rsidRPr="00613103" w:rsidRDefault="009855EC" w:rsidP="00613103">
            <w:pPr>
              <w:spacing w:before="0" w:after="0"/>
              <w:rPr>
                <w:sz w:val="20"/>
              </w:rPr>
            </w:pPr>
            <w:r w:rsidRPr="00613103">
              <w:rPr>
                <w:sz w:val="20"/>
              </w:rPr>
              <w:t>7.2</w:t>
            </w:r>
          </w:p>
        </w:tc>
        <w:tc>
          <w:tcPr>
            <w:tcW w:w="1331" w:type="dxa"/>
          </w:tcPr>
          <w:p w14:paraId="631FDD06" w14:textId="77777777" w:rsidR="009855EC" w:rsidRPr="004F29BE" w:rsidRDefault="009855EC" w:rsidP="00613103">
            <w:pPr>
              <w:spacing w:before="0" w:after="0"/>
              <w:rPr>
                <w:sz w:val="20"/>
              </w:rPr>
            </w:pPr>
            <w:r w:rsidRPr="004F29BE">
              <w:rPr>
                <w:sz w:val="20"/>
              </w:rPr>
              <w:t>5.6</w:t>
            </w:r>
          </w:p>
        </w:tc>
      </w:tr>
      <w:tr w:rsidR="00700D74" w:rsidRPr="008A0AEA" w14:paraId="7B7C3B6E" w14:textId="77777777" w:rsidTr="00613103">
        <w:tblPrEx>
          <w:tblCellMar>
            <w:left w:w="108" w:type="dxa"/>
            <w:right w:w="108" w:type="dxa"/>
          </w:tblCellMar>
        </w:tblPrEx>
        <w:tc>
          <w:tcPr>
            <w:tcW w:w="3050" w:type="dxa"/>
          </w:tcPr>
          <w:p w14:paraId="36D97511" w14:textId="77777777" w:rsidR="009855EC" w:rsidRPr="004F29BE" w:rsidRDefault="009855EC" w:rsidP="004F29BE">
            <w:pPr>
              <w:spacing w:before="0" w:after="0"/>
              <w:rPr>
                <w:sz w:val="20"/>
              </w:rPr>
            </w:pPr>
            <w:r w:rsidRPr="004F29BE">
              <w:rPr>
                <w:sz w:val="20"/>
              </w:rPr>
              <w:t>Febrile neutropenia %</w:t>
            </w:r>
          </w:p>
        </w:tc>
        <w:tc>
          <w:tcPr>
            <w:tcW w:w="1544" w:type="dxa"/>
          </w:tcPr>
          <w:p w14:paraId="4F6CDF99" w14:textId="77777777" w:rsidR="009855EC" w:rsidRPr="004F29BE" w:rsidRDefault="009855EC" w:rsidP="004F29BE">
            <w:pPr>
              <w:spacing w:before="0" w:after="0"/>
              <w:rPr>
                <w:sz w:val="20"/>
              </w:rPr>
            </w:pPr>
            <w:r w:rsidRPr="004F29BE">
              <w:rPr>
                <w:sz w:val="20"/>
              </w:rPr>
              <w:t>0.7</w:t>
            </w:r>
          </w:p>
        </w:tc>
        <w:tc>
          <w:tcPr>
            <w:tcW w:w="1633" w:type="dxa"/>
          </w:tcPr>
          <w:p w14:paraId="1ECAC2EE" w14:textId="77777777" w:rsidR="009855EC" w:rsidRPr="004F29BE" w:rsidRDefault="009855EC" w:rsidP="004F29BE">
            <w:pPr>
              <w:spacing w:before="0" w:after="0"/>
              <w:rPr>
                <w:sz w:val="20"/>
              </w:rPr>
            </w:pPr>
            <w:r w:rsidRPr="004F29BE">
              <w:rPr>
                <w:sz w:val="20"/>
              </w:rPr>
              <w:t>5.5</w:t>
            </w:r>
          </w:p>
        </w:tc>
        <w:tc>
          <w:tcPr>
            <w:tcW w:w="1252" w:type="dxa"/>
          </w:tcPr>
          <w:p w14:paraId="63A4EFD6" w14:textId="77777777" w:rsidR="009855EC" w:rsidRPr="004F29BE" w:rsidRDefault="009855EC" w:rsidP="004F29BE">
            <w:pPr>
              <w:spacing w:before="0" w:after="0"/>
              <w:rPr>
                <w:sz w:val="20"/>
              </w:rPr>
            </w:pPr>
            <w:r w:rsidRPr="004F29BE">
              <w:rPr>
                <w:sz w:val="20"/>
              </w:rPr>
              <w:t>4.0</w:t>
            </w:r>
          </w:p>
        </w:tc>
        <w:tc>
          <w:tcPr>
            <w:tcW w:w="1331" w:type="dxa"/>
          </w:tcPr>
          <w:p w14:paraId="4991DA9B" w14:textId="77777777" w:rsidR="009855EC" w:rsidRPr="004F29BE" w:rsidRDefault="009855EC" w:rsidP="004F29BE">
            <w:pPr>
              <w:spacing w:before="0" w:after="0"/>
              <w:rPr>
                <w:sz w:val="20"/>
              </w:rPr>
            </w:pPr>
            <w:r w:rsidRPr="004F29BE">
              <w:rPr>
                <w:sz w:val="20"/>
              </w:rPr>
              <w:t>1.1</w:t>
            </w:r>
          </w:p>
        </w:tc>
      </w:tr>
      <w:tr w:rsidR="00700D74" w:rsidRPr="008A0AEA" w14:paraId="33BC433D" w14:textId="77777777" w:rsidTr="00613103">
        <w:tblPrEx>
          <w:tblCellMar>
            <w:left w:w="108" w:type="dxa"/>
            <w:right w:w="108" w:type="dxa"/>
          </w:tblCellMar>
        </w:tblPrEx>
        <w:tc>
          <w:tcPr>
            <w:tcW w:w="3050" w:type="dxa"/>
          </w:tcPr>
          <w:p w14:paraId="6800E3F8" w14:textId="77777777" w:rsidR="009855EC" w:rsidRPr="004F29BE" w:rsidRDefault="009855EC" w:rsidP="004F29BE">
            <w:pPr>
              <w:spacing w:before="0" w:after="0"/>
              <w:rPr>
                <w:sz w:val="20"/>
              </w:rPr>
            </w:pPr>
            <w:r w:rsidRPr="004F29BE">
              <w:rPr>
                <w:sz w:val="20"/>
              </w:rPr>
              <w:t>Diarrhoea, %</w:t>
            </w:r>
          </w:p>
        </w:tc>
        <w:tc>
          <w:tcPr>
            <w:tcW w:w="1544" w:type="dxa"/>
          </w:tcPr>
          <w:p w14:paraId="0536886C" w14:textId="77777777" w:rsidR="009855EC" w:rsidRPr="004F29BE" w:rsidRDefault="009855EC" w:rsidP="004F29BE">
            <w:pPr>
              <w:spacing w:before="0" w:after="0"/>
              <w:rPr>
                <w:sz w:val="20"/>
              </w:rPr>
            </w:pPr>
            <w:r w:rsidRPr="004F29BE">
              <w:rPr>
                <w:sz w:val="20"/>
              </w:rPr>
              <w:t>3.4</w:t>
            </w:r>
          </w:p>
        </w:tc>
        <w:tc>
          <w:tcPr>
            <w:tcW w:w="1633" w:type="dxa"/>
          </w:tcPr>
          <w:p w14:paraId="181C5D38" w14:textId="77777777" w:rsidR="009855EC" w:rsidRPr="004F29BE" w:rsidRDefault="009855EC" w:rsidP="004F29BE">
            <w:pPr>
              <w:spacing w:before="0" w:after="0"/>
              <w:rPr>
                <w:sz w:val="20"/>
              </w:rPr>
            </w:pPr>
            <w:r w:rsidRPr="004F29BE">
              <w:rPr>
                <w:sz w:val="20"/>
              </w:rPr>
              <w:t>1.7</w:t>
            </w:r>
          </w:p>
        </w:tc>
        <w:tc>
          <w:tcPr>
            <w:tcW w:w="1252" w:type="dxa"/>
          </w:tcPr>
          <w:p w14:paraId="1330F9D9" w14:textId="77777777" w:rsidR="009855EC" w:rsidRPr="004F29BE" w:rsidRDefault="009855EC" w:rsidP="004F29BE">
            <w:pPr>
              <w:spacing w:before="0" w:after="0"/>
              <w:rPr>
                <w:sz w:val="20"/>
              </w:rPr>
            </w:pPr>
            <w:r w:rsidRPr="004F29BE">
              <w:rPr>
                <w:sz w:val="20"/>
              </w:rPr>
              <w:t>2.4</w:t>
            </w:r>
          </w:p>
        </w:tc>
        <w:tc>
          <w:tcPr>
            <w:tcW w:w="1331" w:type="dxa"/>
          </w:tcPr>
          <w:p w14:paraId="58EDBEC4" w14:textId="77777777" w:rsidR="009855EC" w:rsidRPr="004F29BE" w:rsidRDefault="009855EC" w:rsidP="004F29BE">
            <w:pPr>
              <w:spacing w:before="0" w:after="0"/>
              <w:rPr>
                <w:sz w:val="20"/>
              </w:rPr>
            </w:pPr>
            <w:r w:rsidRPr="004F29BE">
              <w:rPr>
                <w:sz w:val="20"/>
              </w:rPr>
              <w:t>5.6</w:t>
            </w:r>
          </w:p>
        </w:tc>
      </w:tr>
      <w:tr w:rsidR="00700D74" w:rsidRPr="008A0AEA" w14:paraId="1DAF291F" w14:textId="77777777" w:rsidTr="00613103">
        <w:tblPrEx>
          <w:tblCellMar>
            <w:left w:w="108" w:type="dxa"/>
            <w:right w:w="108" w:type="dxa"/>
          </w:tblCellMar>
        </w:tblPrEx>
        <w:tc>
          <w:tcPr>
            <w:tcW w:w="3050" w:type="dxa"/>
          </w:tcPr>
          <w:p w14:paraId="586C536D" w14:textId="77777777" w:rsidR="009855EC" w:rsidRPr="004F29BE" w:rsidRDefault="009855EC" w:rsidP="004F29BE">
            <w:pPr>
              <w:spacing w:before="0" w:after="0"/>
              <w:rPr>
                <w:sz w:val="20"/>
              </w:rPr>
            </w:pPr>
            <w:r w:rsidRPr="004F29BE">
              <w:rPr>
                <w:sz w:val="20"/>
              </w:rPr>
              <w:t>Fatigue, %</w:t>
            </w:r>
          </w:p>
        </w:tc>
        <w:tc>
          <w:tcPr>
            <w:tcW w:w="1544" w:type="dxa"/>
          </w:tcPr>
          <w:p w14:paraId="4EC95563" w14:textId="77777777" w:rsidR="009855EC" w:rsidRPr="004F29BE" w:rsidRDefault="009855EC" w:rsidP="004F29BE">
            <w:pPr>
              <w:spacing w:before="0" w:after="0"/>
              <w:rPr>
                <w:sz w:val="20"/>
              </w:rPr>
            </w:pPr>
            <w:r w:rsidRPr="004F29BE">
              <w:rPr>
                <w:sz w:val="20"/>
              </w:rPr>
              <w:t>6.4</w:t>
            </w:r>
          </w:p>
        </w:tc>
        <w:tc>
          <w:tcPr>
            <w:tcW w:w="1633" w:type="dxa"/>
          </w:tcPr>
          <w:p w14:paraId="1CDD9A2C" w14:textId="77777777" w:rsidR="009855EC" w:rsidRPr="004F29BE" w:rsidRDefault="009855EC" w:rsidP="004F29BE">
            <w:pPr>
              <w:spacing w:before="0" w:after="0"/>
              <w:rPr>
                <w:sz w:val="20"/>
              </w:rPr>
            </w:pPr>
            <w:r w:rsidRPr="004F29BE">
              <w:rPr>
                <w:sz w:val="20"/>
              </w:rPr>
              <w:t>4.5</w:t>
            </w:r>
          </w:p>
        </w:tc>
        <w:tc>
          <w:tcPr>
            <w:tcW w:w="1252" w:type="dxa"/>
          </w:tcPr>
          <w:p w14:paraId="7C705057" w14:textId="77777777" w:rsidR="009855EC" w:rsidRPr="004F29BE" w:rsidRDefault="009855EC" w:rsidP="004F29BE">
            <w:pPr>
              <w:spacing w:before="0" w:after="0"/>
              <w:rPr>
                <w:sz w:val="20"/>
              </w:rPr>
            </w:pPr>
            <w:r w:rsidRPr="004F29BE">
              <w:rPr>
                <w:sz w:val="20"/>
              </w:rPr>
              <w:t>6.4</w:t>
            </w:r>
          </w:p>
        </w:tc>
        <w:tc>
          <w:tcPr>
            <w:tcW w:w="1331" w:type="dxa"/>
          </w:tcPr>
          <w:p w14:paraId="7BC708F2" w14:textId="77777777" w:rsidR="009855EC" w:rsidRPr="004F29BE" w:rsidRDefault="009855EC" w:rsidP="004F29BE">
            <w:pPr>
              <w:spacing w:before="0" w:after="0"/>
              <w:rPr>
                <w:sz w:val="20"/>
              </w:rPr>
            </w:pPr>
            <w:r w:rsidRPr="004F29BE">
              <w:rPr>
                <w:sz w:val="20"/>
              </w:rPr>
              <w:t>6.7</w:t>
            </w:r>
          </w:p>
        </w:tc>
      </w:tr>
      <w:tr w:rsidR="00700D74" w:rsidRPr="009B346A" w14:paraId="4684F3E7" w14:textId="77777777" w:rsidTr="00613103">
        <w:tblPrEx>
          <w:tblCellMar>
            <w:left w:w="108" w:type="dxa"/>
            <w:right w:w="108" w:type="dxa"/>
          </w:tblCellMar>
        </w:tblPrEx>
        <w:tc>
          <w:tcPr>
            <w:tcW w:w="3050" w:type="dxa"/>
          </w:tcPr>
          <w:p w14:paraId="63C951D1" w14:textId="77777777" w:rsidR="009855EC" w:rsidRPr="004F29BE" w:rsidRDefault="009855EC" w:rsidP="004F29BE">
            <w:pPr>
              <w:spacing w:before="0" w:after="0"/>
              <w:rPr>
                <w:sz w:val="20"/>
              </w:rPr>
            </w:pPr>
            <w:r w:rsidRPr="004F29BE">
              <w:rPr>
                <w:sz w:val="20"/>
              </w:rPr>
              <w:t>Neutrophil count decreased, %</w:t>
            </w:r>
          </w:p>
        </w:tc>
        <w:tc>
          <w:tcPr>
            <w:tcW w:w="1544" w:type="dxa"/>
          </w:tcPr>
          <w:p w14:paraId="3D54AAAC" w14:textId="77777777" w:rsidR="009855EC" w:rsidRPr="004F29BE" w:rsidRDefault="009855EC" w:rsidP="004F29BE">
            <w:pPr>
              <w:spacing w:before="0" w:after="0"/>
              <w:rPr>
                <w:sz w:val="20"/>
              </w:rPr>
            </w:pPr>
            <w:r w:rsidRPr="004F29BE">
              <w:rPr>
                <w:sz w:val="20"/>
              </w:rPr>
              <w:t>6.1</w:t>
            </w:r>
          </w:p>
        </w:tc>
        <w:tc>
          <w:tcPr>
            <w:tcW w:w="1633" w:type="dxa"/>
          </w:tcPr>
          <w:p w14:paraId="742469F7" w14:textId="77777777" w:rsidR="009855EC" w:rsidRPr="004F29BE" w:rsidRDefault="009855EC" w:rsidP="004F29BE">
            <w:pPr>
              <w:spacing w:before="0" w:after="0"/>
              <w:rPr>
                <w:sz w:val="20"/>
              </w:rPr>
            </w:pPr>
            <w:r w:rsidRPr="004F29BE">
              <w:rPr>
                <w:sz w:val="20"/>
              </w:rPr>
              <w:t>13.4</w:t>
            </w:r>
          </w:p>
        </w:tc>
        <w:tc>
          <w:tcPr>
            <w:tcW w:w="1252" w:type="dxa"/>
          </w:tcPr>
          <w:p w14:paraId="34020EA2" w14:textId="77777777" w:rsidR="009855EC" w:rsidRPr="004F29BE" w:rsidRDefault="009855EC" w:rsidP="004F29BE">
            <w:pPr>
              <w:spacing w:before="0" w:after="0"/>
              <w:rPr>
                <w:sz w:val="20"/>
              </w:rPr>
            </w:pPr>
            <w:r w:rsidRPr="004F29BE">
              <w:rPr>
                <w:sz w:val="20"/>
              </w:rPr>
              <w:t>2.4</w:t>
            </w:r>
          </w:p>
        </w:tc>
        <w:tc>
          <w:tcPr>
            <w:tcW w:w="1331" w:type="dxa"/>
          </w:tcPr>
          <w:p w14:paraId="4DF837E4" w14:textId="77777777" w:rsidR="009855EC" w:rsidRPr="004F29BE" w:rsidRDefault="009855EC" w:rsidP="004F29BE">
            <w:pPr>
              <w:spacing w:before="0" w:after="0"/>
              <w:rPr>
                <w:sz w:val="20"/>
              </w:rPr>
            </w:pPr>
            <w:r w:rsidRPr="004F29BE">
              <w:rPr>
                <w:sz w:val="20"/>
              </w:rPr>
              <w:t>3.4</w:t>
            </w:r>
          </w:p>
        </w:tc>
      </w:tr>
      <w:tr w:rsidR="00700D74" w:rsidRPr="009B346A" w14:paraId="3AA817C5" w14:textId="77777777" w:rsidTr="00613103">
        <w:tblPrEx>
          <w:tblCellMar>
            <w:left w:w="108" w:type="dxa"/>
            <w:right w:w="108" w:type="dxa"/>
          </w:tblCellMar>
        </w:tblPrEx>
        <w:tc>
          <w:tcPr>
            <w:tcW w:w="3050" w:type="dxa"/>
          </w:tcPr>
          <w:p w14:paraId="758DC918" w14:textId="77777777" w:rsidR="009855EC" w:rsidRPr="004F29BE" w:rsidRDefault="009855EC" w:rsidP="004F29BE">
            <w:pPr>
              <w:spacing w:before="0" w:after="0"/>
              <w:rPr>
                <w:sz w:val="20"/>
              </w:rPr>
            </w:pPr>
            <w:r w:rsidRPr="004F29BE">
              <w:rPr>
                <w:sz w:val="20"/>
              </w:rPr>
              <w:t>Lipase increased, %</w:t>
            </w:r>
          </w:p>
        </w:tc>
        <w:tc>
          <w:tcPr>
            <w:tcW w:w="1544" w:type="dxa"/>
          </w:tcPr>
          <w:p w14:paraId="5B68984D" w14:textId="77777777" w:rsidR="009855EC" w:rsidRPr="004F29BE" w:rsidRDefault="009855EC" w:rsidP="004F29BE">
            <w:pPr>
              <w:spacing w:before="0" w:after="0"/>
              <w:rPr>
                <w:sz w:val="20"/>
              </w:rPr>
            </w:pPr>
            <w:r w:rsidRPr="004F29BE">
              <w:rPr>
                <w:sz w:val="20"/>
              </w:rPr>
              <w:t>2.0</w:t>
            </w:r>
          </w:p>
        </w:tc>
        <w:tc>
          <w:tcPr>
            <w:tcW w:w="1633" w:type="dxa"/>
          </w:tcPr>
          <w:p w14:paraId="56A7A21B" w14:textId="77777777" w:rsidR="009855EC" w:rsidRPr="004F29BE" w:rsidRDefault="009855EC" w:rsidP="004F29BE">
            <w:pPr>
              <w:spacing w:before="0" w:after="0"/>
              <w:rPr>
                <w:sz w:val="20"/>
              </w:rPr>
            </w:pPr>
            <w:r w:rsidRPr="004F29BE">
              <w:rPr>
                <w:sz w:val="20"/>
              </w:rPr>
              <w:t>1.0</w:t>
            </w:r>
          </w:p>
        </w:tc>
        <w:tc>
          <w:tcPr>
            <w:tcW w:w="1252" w:type="dxa"/>
          </w:tcPr>
          <w:p w14:paraId="7802C15E" w14:textId="77777777" w:rsidR="009855EC" w:rsidRPr="004F29BE" w:rsidRDefault="009855EC" w:rsidP="004F29BE">
            <w:pPr>
              <w:spacing w:before="0" w:after="0"/>
              <w:rPr>
                <w:sz w:val="20"/>
              </w:rPr>
            </w:pPr>
            <w:r w:rsidRPr="004F29BE">
              <w:rPr>
                <w:sz w:val="20"/>
              </w:rPr>
              <w:t>4.0</w:t>
            </w:r>
          </w:p>
        </w:tc>
        <w:tc>
          <w:tcPr>
            <w:tcW w:w="1331" w:type="dxa"/>
          </w:tcPr>
          <w:p w14:paraId="1CC13201" w14:textId="77777777" w:rsidR="009855EC" w:rsidRPr="004F29BE" w:rsidRDefault="009855EC" w:rsidP="004F29BE">
            <w:pPr>
              <w:spacing w:before="0" w:after="0"/>
              <w:rPr>
                <w:sz w:val="20"/>
              </w:rPr>
            </w:pPr>
            <w:r w:rsidRPr="004F29BE">
              <w:rPr>
                <w:sz w:val="20"/>
              </w:rPr>
              <w:t>5.6</w:t>
            </w:r>
          </w:p>
        </w:tc>
      </w:tr>
      <w:tr w:rsidR="00700D74" w:rsidRPr="009B346A" w14:paraId="1F9CC154" w14:textId="77777777" w:rsidTr="00613103">
        <w:tblPrEx>
          <w:tblCellMar>
            <w:left w:w="108" w:type="dxa"/>
            <w:right w:w="108" w:type="dxa"/>
          </w:tblCellMar>
        </w:tblPrEx>
        <w:tc>
          <w:tcPr>
            <w:tcW w:w="3050" w:type="dxa"/>
          </w:tcPr>
          <w:p w14:paraId="5DA4BE60" w14:textId="77777777" w:rsidR="009855EC" w:rsidRPr="004F29BE" w:rsidRDefault="009855EC" w:rsidP="004F29BE">
            <w:pPr>
              <w:spacing w:before="0" w:after="0"/>
              <w:rPr>
                <w:sz w:val="20"/>
              </w:rPr>
            </w:pPr>
            <w:r w:rsidRPr="004F29BE">
              <w:rPr>
                <w:sz w:val="20"/>
              </w:rPr>
              <w:t>White blood cell decreased, %</w:t>
            </w:r>
          </w:p>
        </w:tc>
        <w:tc>
          <w:tcPr>
            <w:tcW w:w="1544" w:type="dxa"/>
          </w:tcPr>
          <w:p w14:paraId="1428529A" w14:textId="77777777" w:rsidR="009855EC" w:rsidRPr="004F29BE" w:rsidRDefault="009855EC" w:rsidP="004F29BE">
            <w:pPr>
              <w:spacing w:before="0" w:after="0"/>
              <w:rPr>
                <w:sz w:val="20"/>
              </w:rPr>
            </w:pPr>
            <w:r w:rsidRPr="004F29BE">
              <w:rPr>
                <w:sz w:val="20"/>
              </w:rPr>
              <w:t>1.4</w:t>
            </w:r>
          </w:p>
        </w:tc>
        <w:tc>
          <w:tcPr>
            <w:tcW w:w="1633" w:type="dxa"/>
          </w:tcPr>
          <w:p w14:paraId="69F59CBC" w14:textId="77777777" w:rsidR="009855EC" w:rsidRPr="004F29BE" w:rsidRDefault="009855EC" w:rsidP="004F29BE">
            <w:pPr>
              <w:spacing w:before="0" w:after="0"/>
              <w:rPr>
                <w:sz w:val="20"/>
              </w:rPr>
            </w:pPr>
            <w:r w:rsidRPr="004F29BE">
              <w:rPr>
                <w:sz w:val="20"/>
              </w:rPr>
              <w:t>6.9</w:t>
            </w:r>
          </w:p>
        </w:tc>
        <w:tc>
          <w:tcPr>
            <w:tcW w:w="1252" w:type="dxa"/>
          </w:tcPr>
          <w:p w14:paraId="0E8ABA62" w14:textId="77777777" w:rsidR="009855EC" w:rsidRPr="004F29BE" w:rsidRDefault="009855EC" w:rsidP="004F29BE">
            <w:pPr>
              <w:spacing w:before="0" w:after="0"/>
              <w:rPr>
                <w:sz w:val="20"/>
              </w:rPr>
            </w:pPr>
            <w:r w:rsidRPr="004F29BE">
              <w:rPr>
                <w:sz w:val="20"/>
              </w:rPr>
              <w:t>0.8</w:t>
            </w:r>
          </w:p>
        </w:tc>
        <w:tc>
          <w:tcPr>
            <w:tcW w:w="1331" w:type="dxa"/>
          </w:tcPr>
          <w:p w14:paraId="7B1CEC28" w14:textId="77777777" w:rsidR="009855EC" w:rsidRPr="004F29BE" w:rsidRDefault="009855EC" w:rsidP="004F29BE">
            <w:pPr>
              <w:spacing w:before="0" w:after="0"/>
              <w:rPr>
                <w:sz w:val="20"/>
              </w:rPr>
            </w:pPr>
            <w:r w:rsidRPr="004F29BE">
              <w:rPr>
                <w:sz w:val="20"/>
              </w:rPr>
              <w:t>2.2</w:t>
            </w:r>
          </w:p>
        </w:tc>
      </w:tr>
      <w:tr w:rsidR="00700D74" w:rsidRPr="00D07B6F" w14:paraId="050E551C" w14:textId="77777777" w:rsidTr="00613103">
        <w:tblPrEx>
          <w:tblCellMar>
            <w:left w:w="108" w:type="dxa"/>
            <w:right w:w="108" w:type="dxa"/>
          </w:tblCellMar>
        </w:tblPrEx>
        <w:tc>
          <w:tcPr>
            <w:tcW w:w="3050" w:type="dxa"/>
          </w:tcPr>
          <w:p w14:paraId="5BB184A9" w14:textId="77777777" w:rsidR="009855EC" w:rsidRPr="004F29BE" w:rsidRDefault="009855EC" w:rsidP="004F29BE">
            <w:pPr>
              <w:spacing w:before="0" w:after="0"/>
              <w:rPr>
                <w:sz w:val="20"/>
              </w:rPr>
            </w:pPr>
            <w:r w:rsidRPr="004F29BE">
              <w:rPr>
                <w:sz w:val="20"/>
              </w:rPr>
              <w:t>Rash maculopapular, %</w:t>
            </w:r>
          </w:p>
        </w:tc>
        <w:tc>
          <w:tcPr>
            <w:tcW w:w="1544" w:type="dxa"/>
          </w:tcPr>
          <w:p w14:paraId="443B3CBB" w14:textId="77777777" w:rsidR="009855EC" w:rsidRPr="004F29BE" w:rsidRDefault="009855EC" w:rsidP="004F29BE">
            <w:pPr>
              <w:spacing w:before="0" w:after="0"/>
              <w:rPr>
                <w:sz w:val="20"/>
              </w:rPr>
            </w:pPr>
            <w:r w:rsidRPr="004F29BE">
              <w:rPr>
                <w:sz w:val="20"/>
              </w:rPr>
              <w:t>7.4</w:t>
            </w:r>
          </w:p>
        </w:tc>
        <w:tc>
          <w:tcPr>
            <w:tcW w:w="1633" w:type="dxa"/>
          </w:tcPr>
          <w:p w14:paraId="2F95BD02" w14:textId="77777777" w:rsidR="009855EC" w:rsidRPr="004F29BE" w:rsidRDefault="009855EC" w:rsidP="004F29BE">
            <w:pPr>
              <w:spacing w:before="0" w:after="0"/>
              <w:rPr>
                <w:sz w:val="20"/>
              </w:rPr>
            </w:pPr>
            <w:r w:rsidRPr="004F29BE">
              <w:rPr>
                <w:sz w:val="20"/>
              </w:rPr>
              <w:t>0</w:t>
            </w:r>
          </w:p>
        </w:tc>
        <w:tc>
          <w:tcPr>
            <w:tcW w:w="1252" w:type="dxa"/>
          </w:tcPr>
          <w:p w14:paraId="1E80BEDC" w14:textId="77777777" w:rsidR="009855EC" w:rsidRPr="004F29BE" w:rsidRDefault="009855EC" w:rsidP="004F29BE">
            <w:pPr>
              <w:spacing w:before="0" w:after="0"/>
              <w:rPr>
                <w:sz w:val="20"/>
              </w:rPr>
            </w:pPr>
            <w:r w:rsidRPr="004F29BE">
              <w:rPr>
                <w:sz w:val="20"/>
              </w:rPr>
              <w:t>4.0</w:t>
            </w:r>
          </w:p>
        </w:tc>
        <w:tc>
          <w:tcPr>
            <w:tcW w:w="1331" w:type="dxa"/>
          </w:tcPr>
          <w:p w14:paraId="4C26BC30" w14:textId="77777777" w:rsidR="009855EC" w:rsidRPr="004F29BE" w:rsidRDefault="009855EC" w:rsidP="004F29BE">
            <w:pPr>
              <w:spacing w:before="0" w:after="0"/>
              <w:rPr>
                <w:sz w:val="20"/>
              </w:rPr>
            </w:pPr>
            <w:r w:rsidRPr="004F29BE">
              <w:rPr>
                <w:sz w:val="20"/>
              </w:rPr>
              <w:t>7.9</w:t>
            </w:r>
          </w:p>
        </w:tc>
      </w:tr>
      <w:tr w:rsidR="005638DF" w:rsidRPr="0072325B" w14:paraId="73DAA9A4" w14:textId="77777777" w:rsidTr="00F15683">
        <w:tblPrEx>
          <w:tblCellMar>
            <w:left w:w="108" w:type="dxa"/>
            <w:right w:w="108" w:type="dxa"/>
          </w:tblCellMar>
        </w:tblPrEx>
        <w:tc>
          <w:tcPr>
            <w:tcW w:w="8810" w:type="dxa"/>
            <w:gridSpan w:val="5"/>
          </w:tcPr>
          <w:p w14:paraId="286989DD" w14:textId="0ABBE688" w:rsidR="005638DF" w:rsidRPr="008D2D0F" w:rsidRDefault="005638DF" w:rsidP="005638DF">
            <w:pPr>
              <w:rPr>
                <w:b/>
                <w:sz w:val="20"/>
              </w:rPr>
            </w:pPr>
            <w:r w:rsidRPr="008D2D0F">
              <w:rPr>
                <w:b/>
                <w:sz w:val="20"/>
              </w:rPr>
              <w:t>Adverse events of special interest</w:t>
            </w:r>
          </w:p>
        </w:tc>
      </w:tr>
      <w:tr w:rsidR="00700D74" w:rsidRPr="0072325B" w14:paraId="35553E26" w14:textId="77777777" w:rsidTr="008D2D0F">
        <w:tblPrEx>
          <w:tblCellMar>
            <w:left w:w="108" w:type="dxa"/>
            <w:right w:w="108" w:type="dxa"/>
          </w:tblCellMar>
        </w:tblPrEx>
        <w:tc>
          <w:tcPr>
            <w:tcW w:w="3050" w:type="dxa"/>
          </w:tcPr>
          <w:p w14:paraId="39675173" w14:textId="77777777" w:rsidR="009855EC" w:rsidRPr="008D2D0F" w:rsidRDefault="009855EC" w:rsidP="008D2D0F">
            <w:pPr>
              <w:spacing w:before="0" w:after="0"/>
              <w:rPr>
                <w:sz w:val="20"/>
              </w:rPr>
            </w:pPr>
            <w:r w:rsidRPr="008D2D0F">
              <w:rPr>
                <w:sz w:val="20"/>
              </w:rPr>
              <w:t>Severe cutaneous adverse reactions, %</w:t>
            </w:r>
          </w:p>
        </w:tc>
        <w:tc>
          <w:tcPr>
            <w:tcW w:w="1544" w:type="dxa"/>
          </w:tcPr>
          <w:p w14:paraId="4BAC79C6" w14:textId="77777777" w:rsidR="009855EC" w:rsidRPr="008D2D0F" w:rsidRDefault="009855EC" w:rsidP="008D2D0F">
            <w:pPr>
              <w:spacing w:before="0" w:after="0"/>
              <w:rPr>
                <w:sz w:val="20"/>
              </w:rPr>
            </w:pPr>
            <w:r w:rsidRPr="008D2D0F">
              <w:rPr>
                <w:sz w:val="20"/>
              </w:rPr>
              <w:t>26.0</w:t>
            </w:r>
          </w:p>
        </w:tc>
        <w:tc>
          <w:tcPr>
            <w:tcW w:w="1633" w:type="dxa"/>
          </w:tcPr>
          <w:p w14:paraId="32C88855" w14:textId="77777777" w:rsidR="009855EC" w:rsidRPr="008D2D0F" w:rsidRDefault="009855EC" w:rsidP="008D2D0F">
            <w:pPr>
              <w:spacing w:before="0" w:after="0"/>
              <w:rPr>
                <w:sz w:val="20"/>
              </w:rPr>
            </w:pPr>
            <w:r w:rsidRPr="008D2D0F">
              <w:rPr>
                <w:sz w:val="20"/>
              </w:rPr>
              <w:t>9.3</w:t>
            </w:r>
          </w:p>
        </w:tc>
        <w:tc>
          <w:tcPr>
            <w:tcW w:w="1252" w:type="dxa"/>
          </w:tcPr>
          <w:p w14:paraId="5222F1D4" w14:textId="77777777" w:rsidR="009855EC" w:rsidRPr="008D2D0F" w:rsidRDefault="009855EC" w:rsidP="008D2D0F">
            <w:pPr>
              <w:spacing w:before="0" w:after="0"/>
              <w:rPr>
                <w:sz w:val="20"/>
              </w:rPr>
            </w:pPr>
            <w:r w:rsidRPr="008D2D0F">
              <w:rPr>
                <w:sz w:val="20"/>
              </w:rPr>
              <w:t>26.4</w:t>
            </w:r>
          </w:p>
        </w:tc>
        <w:tc>
          <w:tcPr>
            <w:tcW w:w="1331" w:type="dxa"/>
          </w:tcPr>
          <w:p w14:paraId="21A440C3" w14:textId="77777777" w:rsidR="009855EC" w:rsidRPr="008D2D0F" w:rsidRDefault="009855EC" w:rsidP="008D2D0F">
            <w:pPr>
              <w:spacing w:before="0" w:after="0"/>
              <w:rPr>
                <w:sz w:val="20"/>
              </w:rPr>
            </w:pPr>
            <w:r w:rsidRPr="008D2D0F">
              <w:rPr>
                <w:sz w:val="20"/>
              </w:rPr>
              <w:t>20.2</w:t>
            </w:r>
          </w:p>
        </w:tc>
      </w:tr>
      <w:tr w:rsidR="00700D74" w:rsidRPr="00156A50" w14:paraId="1485D0EB" w14:textId="77777777" w:rsidTr="008D2D0F">
        <w:tblPrEx>
          <w:tblCellMar>
            <w:left w:w="108" w:type="dxa"/>
            <w:right w:w="108" w:type="dxa"/>
          </w:tblCellMar>
        </w:tblPrEx>
        <w:tc>
          <w:tcPr>
            <w:tcW w:w="3050" w:type="dxa"/>
          </w:tcPr>
          <w:p w14:paraId="223E1252" w14:textId="77777777" w:rsidR="009855EC" w:rsidRPr="008D2D0F" w:rsidRDefault="009855EC" w:rsidP="008D2D0F">
            <w:pPr>
              <w:spacing w:before="0" w:after="0"/>
              <w:rPr>
                <w:sz w:val="20"/>
              </w:rPr>
            </w:pPr>
            <w:r w:rsidRPr="008D2D0F">
              <w:rPr>
                <w:sz w:val="20"/>
              </w:rPr>
              <w:t>Peripheral neuropathy, %</w:t>
            </w:r>
          </w:p>
        </w:tc>
        <w:tc>
          <w:tcPr>
            <w:tcW w:w="1544" w:type="dxa"/>
          </w:tcPr>
          <w:p w14:paraId="42519773" w14:textId="77777777" w:rsidR="009855EC" w:rsidRPr="008D2D0F" w:rsidRDefault="009855EC" w:rsidP="008D2D0F">
            <w:pPr>
              <w:spacing w:before="0" w:after="0"/>
              <w:rPr>
                <w:sz w:val="20"/>
              </w:rPr>
            </w:pPr>
            <w:r w:rsidRPr="008D2D0F">
              <w:rPr>
                <w:sz w:val="20"/>
              </w:rPr>
              <w:t>50.3</w:t>
            </w:r>
          </w:p>
        </w:tc>
        <w:tc>
          <w:tcPr>
            <w:tcW w:w="1633" w:type="dxa"/>
          </w:tcPr>
          <w:p w14:paraId="4F2BF171" w14:textId="77777777" w:rsidR="009855EC" w:rsidRPr="008D2D0F" w:rsidRDefault="009855EC" w:rsidP="008D2D0F">
            <w:pPr>
              <w:spacing w:before="0" w:after="0"/>
              <w:rPr>
                <w:sz w:val="20"/>
              </w:rPr>
            </w:pPr>
            <w:r w:rsidRPr="008D2D0F">
              <w:rPr>
                <w:sz w:val="20"/>
              </w:rPr>
              <w:t xml:space="preserve">34.4 </w:t>
            </w:r>
          </w:p>
        </w:tc>
        <w:tc>
          <w:tcPr>
            <w:tcW w:w="1252" w:type="dxa"/>
          </w:tcPr>
          <w:p w14:paraId="63DA4DA5" w14:textId="77777777" w:rsidR="009855EC" w:rsidRPr="008D2D0F" w:rsidRDefault="009855EC" w:rsidP="008D2D0F">
            <w:pPr>
              <w:spacing w:before="0" w:after="0"/>
              <w:rPr>
                <w:sz w:val="20"/>
              </w:rPr>
            </w:pPr>
            <w:r w:rsidRPr="008D2D0F">
              <w:rPr>
                <w:sz w:val="20"/>
              </w:rPr>
              <w:t>56.0</w:t>
            </w:r>
          </w:p>
        </w:tc>
        <w:tc>
          <w:tcPr>
            <w:tcW w:w="1331" w:type="dxa"/>
          </w:tcPr>
          <w:p w14:paraId="48E1ABBA" w14:textId="77777777" w:rsidR="009855EC" w:rsidRPr="008D2D0F" w:rsidRDefault="009855EC" w:rsidP="008D2D0F">
            <w:pPr>
              <w:spacing w:before="0" w:after="0"/>
              <w:rPr>
                <w:sz w:val="20"/>
              </w:rPr>
            </w:pPr>
            <w:r w:rsidRPr="008D2D0F">
              <w:rPr>
                <w:sz w:val="20"/>
              </w:rPr>
              <w:t>58.4</w:t>
            </w:r>
          </w:p>
        </w:tc>
      </w:tr>
      <w:tr w:rsidR="00700D74" w:rsidRPr="00D9402C" w14:paraId="7678BB41" w14:textId="77777777" w:rsidTr="008D2D0F">
        <w:tblPrEx>
          <w:tblCellMar>
            <w:left w:w="108" w:type="dxa"/>
            <w:right w:w="108" w:type="dxa"/>
          </w:tblCellMar>
        </w:tblPrEx>
        <w:tc>
          <w:tcPr>
            <w:tcW w:w="3050" w:type="dxa"/>
          </w:tcPr>
          <w:p w14:paraId="6CAC92BF" w14:textId="51466681" w:rsidR="009855EC" w:rsidRPr="008D2D0F" w:rsidRDefault="008D2D0F" w:rsidP="008D2D0F">
            <w:pPr>
              <w:spacing w:before="0" w:after="0"/>
              <w:rPr>
                <w:sz w:val="20"/>
              </w:rPr>
            </w:pPr>
            <w:r>
              <w:rPr>
                <w:sz w:val="20"/>
              </w:rPr>
              <w:t>H</w:t>
            </w:r>
            <w:r w:rsidR="009855EC" w:rsidRPr="008D2D0F">
              <w:rPr>
                <w:sz w:val="20"/>
              </w:rPr>
              <w:t>yperglycaemia, %</w:t>
            </w:r>
          </w:p>
        </w:tc>
        <w:tc>
          <w:tcPr>
            <w:tcW w:w="1544" w:type="dxa"/>
          </w:tcPr>
          <w:p w14:paraId="33869F40" w14:textId="77777777" w:rsidR="009855EC" w:rsidRPr="008D2D0F" w:rsidRDefault="009855EC" w:rsidP="008D2D0F">
            <w:pPr>
              <w:spacing w:before="0" w:after="0"/>
              <w:rPr>
                <w:sz w:val="20"/>
              </w:rPr>
            </w:pPr>
            <w:r w:rsidRPr="008D2D0F">
              <w:rPr>
                <w:sz w:val="20"/>
              </w:rPr>
              <w:t>11.8</w:t>
            </w:r>
          </w:p>
        </w:tc>
        <w:tc>
          <w:tcPr>
            <w:tcW w:w="1633" w:type="dxa"/>
          </w:tcPr>
          <w:p w14:paraId="4E982973" w14:textId="77777777" w:rsidR="009855EC" w:rsidRPr="008D2D0F" w:rsidRDefault="009855EC" w:rsidP="008D2D0F">
            <w:pPr>
              <w:spacing w:before="0" w:after="0"/>
              <w:rPr>
                <w:sz w:val="20"/>
              </w:rPr>
            </w:pPr>
            <w:r w:rsidRPr="008D2D0F">
              <w:rPr>
                <w:sz w:val="20"/>
              </w:rPr>
              <w:t>2.7</w:t>
            </w:r>
          </w:p>
        </w:tc>
        <w:tc>
          <w:tcPr>
            <w:tcW w:w="1252" w:type="dxa"/>
          </w:tcPr>
          <w:p w14:paraId="3E7AFA64" w14:textId="77777777" w:rsidR="009855EC" w:rsidRPr="008D2D0F" w:rsidRDefault="009855EC" w:rsidP="008D2D0F">
            <w:pPr>
              <w:spacing w:before="0" w:after="0"/>
              <w:rPr>
                <w:sz w:val="20"/>
              </w:rPr>
            </w:pPr>
            <w:r w:rsidRPr="008D2D0F">
              <w:rPr>
                <w:sz w:val="20"/>
              </w:rPr>
              <w:t>16.0</w:t>
            </w:r>
          </w:p>
        </w:tc>
        <w:tc>
          <w:tcPr>
            <w:tcW w:w="1331" w:type="dxa"/>
          </w:tcPr>
          <w:p w14:paraId="0EE4B176" w14:textId="77777777" w:rsidR="009855EC" w:rsidRPr="008D2D0F" w:rsidRDefault="009855EC" w:rsidP="008D2D0F">
            <w:pPr>
              <w:spacing w:before="0" w:after="0"/>
              <w:rPr>
                <w:sz w:val="20"/>
              </w:rPr>
            </w:pPr>
            <w:r w:rsidRPr="008D2D0F">
              <w:rPr>
                <w:sz w:val="20"/>
              </w:rPr>
              <w:t>18.0</w:t>
            </w:r>
          </w:p>
        </w:tc>
      </w:tr>
      <w:tr w:rsidR="00700D74" w:rsidRPr="00D9402C" w14:paraId="7D4FD7C3" w14:textId="77777777" w:rsidTr="008D2D0F">
        <w:tblPrEx>
          <w:tblCellMar>
            <w:left w:w="108" w:type="dxa"/>
            <w:right w:w="108" w:type="dxa"/>
          </w:tblCellMar>
        </w:tblPrEx>
        <w:tc>
          <w:tcPr>
            <w:tcW w:w="3050" w:type="dxa"/>
          </w:tcPr>
          <w:p w14:paraId="10B4A015" w14:textId="77777777" w:rsidR="009855EC" w:rsidRPr="008D2D0F" w:rsidRDefault="009855EC" w:rsidP="008D2D0F">
            <w:pPr>
              <w:spacing w:before="0" w:after="0"/>
              <w:rPr>
                <w:sz w:val="20"/>
              </w:rPr>
            </w:pPr>
            <w:r w:rsidRPr="008D2D0F">
              <w:rPr>
                <w:sz w:val="20"/>
              </w:rPr>
              <w:t>Infusion-related reactions, %</w:t>
            </w:r>
          </w:p>
        </w:tc>
        <w:tc>
          <w:tcPr>
            <w:tcW w:w="1544" w:type="dxa"/>
          </w:tcPr>
          <w:p w14:paraId="7C6DF5A8" w14:textId="77777777" w:rsidR="009855EC" w:rsidRPr="008D2D0F" w:rsidRDefault="009855EC" w:rsidP="008D2D0F">
            <w:pPr>
              <w:spacing w:before="0" w:after="0"/>
              <w:rPr>
                <w:sz w:val="20"/>
              </w:rPr>
            </w:pPr>
            <w:r w:rsidRPr="008D2D0F">
              <w:rPr>
                <w:sz w:val="20"/>
              </w:rPr>
              <w:t>9.1</w:t>
            </w:r>
          </w:p>
        </w:tc>
        <w:tc>
          <w:tcPr>
            <w:tcW w:w="1633" w:type="dxa"/>
          </w:tcPr>
          <w:p w14:paraId="2176186E" w14:textId="77777777" w:rsidR="009855EC" w:rsidRPr="008D2D0F" w:rsidRDefault="009855EC" w:rsidP="008D2D0F">
            <w:pPr>
              <w:spacing w:before="0" w:after="0"/>
              <w:rPr>
                <w:sz w:val="20"/>
              </w:rPr>
            </w:pPr>
            <w:r w:rsidRPr="008D2D0F">
              <w:rPr>
                <w:sz w:val="20"/>
              </w:rPr>
              <w:t>5.8</w:t>
            </w:r>
          </w:p>
        </w:tc>
        <w:tc>
          <w:tcPr>
            <w:tcW w:w="1252" w:type="dxa"/>
          </w:tcPr>
          <w:p w14:paraId="4A940B1A" w14:textId="77777777" w:rsidR="009855EC" w:rsidRPr="008D2D0F" w:rsidRDefault="009855EC" w:rsidP="008D2D0F">
            <w:pPr>
              <w:spacing w:before="0" w:after="0"/>
              <w:rPr>
                <w:sz w:val="20"/>
              </w:rPr>
            </w:pPr>
            <w:r w:rsidRPr="008D2D0F">
              <w:rPr>
                <w:sz w:val="20"/>
              </w:rPr>
              <w:t>6</w:t>
            </w:r>
          </w:p>
        </w:tc>
        <w:tc>
          <w:tcPr>
            <w:tcW w:w="1331" w:type="dxa"/>
          </w:tcPr>
          <w:p w14:paraId="2C7AC7CD" w14:textId="77777777" w:rsidR="009855EC" w:rsidRPr="008D2D0F" w:rsidRDefault="009855EC" w:rsidP="008D2D0F">
            <w:pPr>
              <w:spacing w:before="0" w:after="0"/>
              <w:rPr>
                <w:sz w:val="20"/>
              </w:rPr>
            </w:pPr>
            <w:r w:rsidRPr="008D2D0F">
              <w:rPr>
                <w:sz w:val="20"/>
              </w:rPr>
              <w:t>6.7</w:t>
            </w:r>
          </w:p>
        </w:tc>
      </w:tr>
      <w:tr w:rsidR="00700D74" w14:paraId="6493D3DF" w14:textId="77777777" w:rsidTr="008D2D0F">
        <w:tblPrEx>
          <w:tblCellMar>
            <w:left w:w="108" w:type="dxa"/>
            <w:right w:w="108" w:type="dxa"/>
          </w:tblCellMar>
        </w:tblPrEx>
        <w:tc>
          <w:tcPr>
            <w:tcW w:w="3050" w:type="dxa"/>
          </w:tcPr>
          <w:p w14:paraId="7B15614D" w14:textId="77777777" w:rsidR="009855EC" w:rsidRPr="008D2D0F" w:rsidRDefault="009855EC" w:rsidP="008D2D0F">
            <w:pPr>
              <w:spacing w:before="0" w:after="0"/>
              <w:rPr>
                <w:sz w:val="20"/>
              </w:rPr>
            </w:pPr>
            <w:r w:rsidRPr="008D2D0F">
              <w:rPr>
                <w:sz w:val="20"/>
              </w:rPr>
              <w:t>Anaemia, %</w:t>
            </w:r>
          </w:p>
        </w:tc>
        <w:tc>
          <w:tcPr>
            <w:tcW w:w="1544" w:type="dxa"/>
          </w:tcPr>
          <w:p w14:paraId="7E42C4C6" w14:textId="77777777" w:rsidR="009855EC" w:rsidRPr="008D2D0F" w:rsidRDefault="009855EC" w:rsidP="008D2D0F">
            <w:pPr>
              <w:spacing w:before="0" w:after="0"/>
              <w:rPr>
                <w:sz w:val="20"/>
              </w:rPr>
            </w:pPr>
            <w:r w:rsidRPr="008D2D0F">
              <w:rPr>
                <w:sz w:val="20"/>
              </w:rPr>
              <w:t>19.9</w:t>
            </w:r>
          </w:p>
        </w:tc>
        <w:tc>
          <w:tcPr>
            <w:tcW w:w="1633" w:type="dxa"/>
          </w:tcPr>
          <w:p w14:paraId="6283DF3B" w14:textId="77777777" w:rsidR="009855EC" w:rsidRPr="008D2D0F" w:rsidRDefault="009855EC" w:rsidP="008D2D0F">
            <w:pPr>
              <w:spacing w:before="0" w:after="0"/>
              <w:rPr>
                <w:sz w:val="20"/>
              </w:rPr>
            </w:pPr>
            <w:r w:rsidRPr="008D2D0F">
              <w:rPr>
                <w:sz w:val="20"/>
              </w:rPr>
              <w:t>30.2</w:t>
            </w:r>
          </w:p>
        </w:tc>
        <w:tc>
          <w:tcPr>
            <w:tcW w:w="1252" w:type="dxa"/>
          </w:tcPr>
          <w:p w14:paraId="7817CBA6" w14:textId="77777777" w:rsidR="009855EC" w:rsidRPr="008D2D0F" w:rsidRDefault="009855EC" w:rsidP="008D2D0F">
            <w:pPr>
              <w:spacing w:before="0" w:after="0"/>
              <w:rPr>
                <w:sz w:val="20"/>
              </w:rPr>
            </w:pPr>
            <w:r w:rsidRPr="008D2D0F">
              <w:rPr>
                <w:sz w:val="20"/>
              </w:rPr>
              <w:t>35.2</w:t>
            </w:r>
          </w:p>
        </w:tc>
        <w:tc>
          <w:tcPr>
            <w:tcW w:w="1331" w:type="dxa"/>
          </w:tcPr>
          <w:p w14:paraId="43EC8AC1" w14:textId="77777777" w:rsidR="009855EC" w:rsidRPr="008D2D0F" w:rsidRDefault="009855EC" w:rsidP="008D2D0F">
            <w:pPr>
              <w:spacing w:before="0" w:after="0"/>
              <w:rPr>
                <w:sz w:val="20"/>
              </w:rPr>
            </w:pPr>
            <w:r w:rsidRPr="008D2D0F">
              <w:rPr>
                <w:sz w:val="20"/>
              </w:rPr>
              <w:t>38.2</w:t>
            </w:r>
          </w:p>
        </w:tc>
      </w:tr>
      <w:tr w:rsidR="00700D74" w:rsidRPr="007D0366" w14:paraId="42C5C5AE" w14:textId="77777777" w:rsidTr="008D2D0F">
        <w:tblPrEx>
          <w:tblCellMar>
            <w:left w:w="108" w:type="dxa"/>
            <w:right w:w="108" w:type="dxa"/>
          </w:tblCellMar>
        </w:tblPrEx>
        <w:tc>
          <w:tcPr>
            <w:tcW w:w="3050" w:type="dxa"/>
          </w:tcPr>
          <w:p w14:paraId="1633EFFA" w14:textId="77777777" w:rsidR="009855EC" w:rsidRPr="008D2D0F" w:rsidRDefault="009855EC" w:rsidP="008D2D0F">
            <w:pPr>
              <w:rPr>
                <w:sz w:val="20"/>
              </w:rPr>
            </w:pPr>
            <w:r w:rsidRPr="008D2D0F">
              <w:rPr>
                <w:sz w:val="20"/>
              </w:rPr>
              <w:t>Neutropenia, %</w:t>
            </w:r>
          </w:p>
        </w:tc>
        <w:tc>
          <w:tcPr>
            <w:tcW w:w="1544" w:type="dxa"/>
          </w:tcPr>
          <w:p w14:paraId="6189F4C1" w14:textId="77777777" w:rsidR="009855EC" w:rsidRPr="008D2D0F" w:rsidRDefault="009855EC" w:rsidP="008D2D0F">
            <w:pPr>
              <w:rPr>
                <w:sz w:val="20"/>
              </w:rPr>
            </w:pPr>
            <w:r w:rsidRPr="008D2D0F">
              <w:rPr>
                <w:sz w:val="20"/>
              </w:rPr>
              <w:t>18.2</w:t>
            </w:r>
          </w:p>
        </w:tc>
        <w:tc>
          <w:tcPr>
            <w:tcW w:w="1633" w:type="dxa"/>
          </w:tcPr>
          <w:p w14:paraId="047F6D07" w14:textId="77777777" w:rsidR="009855EC" w:rsidRPr="008D2D0F" w:rsidRDefault="009855EC" w:rsidP="008D2D0F">
            <w:pPr>
              <w:rPr>
                <w:sz w:val="20"/>
              </w:rPr>
            </w:pPr>
            <w:r w:rsidRPr="008D2D0F">
              <w:rPr>
                <w:sz w:val="20"/>
              </w:rPr>
              <w:t>29.6</w:t>
            </w:r>
          </w:p>
        </w:tc>
        <w:tc>
          <w:tcPr>
            <w:tcW w:w="1252" w:type="dxa"/>
          </w:tcPr>
          <w:p w14:paraId="27866203" w14:textId="77777777" w:rsidR="009855EC" w:rsidRPr="008D2D0F" w:rsidRDefault="009855EC" w:rsidP="008D2D0F">
            <w:pPr>
              <w:rPr>
                <w:sz w:val="20"/>
              </w:rPr>
            </w:pPr>
            <w:r w:rsidRPr="008D2D0F">
              <w:rPr>
                <w:sz w:val="20"/>
              </w:rPr>
              <w:t>16.8</w:t>
            </w:r>
          </w:p>
        </w:tc>
        <w:tc>
          <w:tcPr>
            <w:tcW w:w="1331" w:type="dxa"/>
          </w:tcPr>
          <w:p w14:paraId="696AD6F8" w14:textId="77777777" w:rsidR="009855EC" w:rsidRPr="008D2D0F" w:rsidRDefault="009855EC" w:rsidP="008D2D0F">
            <w:pPr>
              <w:rPr>
                <w:sz w:val="20"/>
              </w:rPr>
            </w:pPr>
            <w:r w:rsidRPr="008D2D0F">
              <w:rPr>
                <w:sz w:val="20"/>
              </w:rPr>
              <w:t>18.0</w:t>
            </w:r>
          </w:p>
        </w:tc>
      </w:tr>
      <w:tr w:rsidR="00700D74" w:rsidRPr="00AB6074" w14:paraId="1DEDB050" w14:textId="77777777" w:rsidTr="008D2D0F">
        <w:tblPrEx>
          <w:tblCellMar>
            <w:left w:w="108" w:type="dxa"/>
            <w:right w:w="108" w:type="dxa"/>
          </w:tblCellMar>
        </w:tblPrEx>
        <w:tc>
          <w:tcPr>
            <w:tcW w:w="3050" w:type="dxa"/>
          </w:tcPr>
          <w:p w14:paraId="383D7908" w14:textId="77777777" w:rsidR="009855EC" w:rsidRPr="008D2D0F" w:rsidRDefault="009855EC" w:rsidP="008D2D0F">
            <w:pPr>
              <w:rPr>
                <w:sz w:val="20"/>
              </w:rPr>
            </w:pPr>
            <w:r w:rsidRPr="008D2D0F">
              <w:rPr>
                <w:sz w:val="20"/>
              </w:rPr>
              <w:t>Diarrhoea, %</w:t>
            </w:r>
          </w:p>
        </w:tc>
        <w:tc>
          <w:tcPr>
            <w:tcW w:w="1544" w:type="dxa"/>
          </w:tcPr>
          <w:p w14:paraId="2958F310" w14:textId="77777777" w:rsidR="009855EC" w:rsidRPr="008D2D0F" w:rsidRDefault="009855EC" w:rsidP="008D2D0F">
            <w:pPr>
              <w:rPr>
                <w:sz w:val="20"/>
              </w:rPr>
            </w:pPr>
            <w:r w:rsidRPr="008D2D0F">
              <w:rPr>
                <w:sz w:val="20"/>
              </w:rPr>
              <w:t>34.8</w:t>
            </w:r>
          </w:p>
        </w:tc>
        <w:tc>
          <w:tcPr>
            <w:tcW w:w="1633" w:type="dxa"/>
          </w:tcPr>
          <w:p w14:paraId="54716768" w14:textId="77777777" w:rsidR="009855EC" w:rsidRPr="008D2D0F" w:rsidRDefault="009855EC" w:rsidP="008D2D0F">
            <w:pPr>
              <w:rPr>
                <w:sz w:val="20"/>
              </w:rPr>
            </w:pPr>
            <w:r w:rsidRPr="008D2D0F">
              <w:rPr>
                <w:sz w:val="20"/>
              </w:rPr>
              <w:t>22.7</w:t>
            </w:r>
          </w:p>
        </w:tc>
        <w:tc>
          <w:tcPr>
            <w:tcW w:w="1252" w:type="dxa"/>
          </w:tcPr>
          <w:p w14:paraId="1D98DC45" w14:textId="77777777" w:rsidR="009855EC" w:rsidRPr="008D2D0F" w:rsidRDefault="009855EC" w:rsidP="008D2D0F">
            <w:pPr>
              <w:rPr>
                <w:sz w:val="20"/>
              </w:rPr>
            </w:pPr>
            <w:r w:rsidRPr="008D2D0F">
              <w:rPr>
                <w:sz w:val="20"/>
              </w:rPr>
              <w:t>42.4</w:t>
            </w:r>
          </w:p>
        </w:tc>
        <w:tc>
          <w:tcPr>
            <w:tcW w:w="1331" w:type="dxa"/>
          </w:tcPr>
          <w:p w14:paraId="0C471498" w14:textId="77777777" w:rsidR="009855EC" w:rsidRPr="008D2D0F" w:rsidRDefault="009855EC" w:rsidP="008D2D0F">
            <w:pPr>
              <w:rPr>
                <w:sz w:val="20"/>
              </w:rPr>
            </w:pPr>
            <w:r w:rsidRPr="008D2D0F">
              <w:rPr>
                <w:sz w:val="20"/>
              </w:rPr>
              <w:t>34.8</w:t>
            </w:r>
          </w:p>
        </w:tc>
      </w:tr>
      <w:tr w:rsidR="00700D74" w:rsidRPr="00825FE1" w14:paraId="5DE529F9" w14:textId="77777777" w:rsidTr="008D2D0F">
        <w:tblPrEx>
          <w:tblCellMar>
            <w:left w:w="108" w:type="dxa"/>
            <w:right w:w="108" w:type="dxa"/>
          </w:tblCellMar>
        </w:tblPrEx>
        <w:tc>
          <w:tcPr>
            <w:tcW w:w="3050" w:type="dxa"/>
          </w:tcPr>
          <w:p w14:paraId="42919D2B" w14:textId="77777777" w:rsidR="009855EC" w:rsidRPr="008D2D0F" w:rsidRDefault="009855EC" w:rsidP="008D2D0F">
            <w:pPr>
              <w:rPr>
                <w:sz w:val="20"/>
              </w:rPr>
            </w:pPr>
            <w:r w:rsidRPr="008D2D0F">
              <w:rPr>
                <w:sz w:val="20"/>
              </w:rPr>
              <w:lastRenderedPageBreak/>
              <w:t>Ocular disorders, %</w:t>
            </w:r>
          </w:p>
        </w:tc>
        <w:tc>
          <w:tcPr>
            <w:tcW w:w="1544" w:type="dxa"/>
          </w:tcPr>
          <w:p w14:paraId="6747459F" w14:textId="77777777" w:rsidR="009855EC" w:rsidRPr="008D2D0F" w:rsidRDefault="009855EC" w:rsidP="008D2D0F">
            <w:pPr>
              <w:rPr>
                <w:sz w:val="20"/>
              </w:rPr>
            </w:pPr>
            <w:r w:rsidRPr="008D2D0F">
              <w:rPr>
                <w:sz w:val="20"/>
              </w:rPr>
              <w:t>28.0</w:t>
            </w:r>
          </w:p>
        </w:tc>
        <w:tc>
          <w:tcPr>
            <w:tcW w:w="1633" w:type="dxa"/>
          </w:tcPr>
          <w:p w14:paraId="3446DE26" w14:textId="77777777" w:rsidR="009855EC" w:rsidRPr="008D2D0F" w:rsidRDefault="009855EC" w:rsidP="008D2D0F">
            <w:pPr>
              <w:rPr>
                <w:sz w:val="20"/>
              </w:rPr>
            </w:pPr>
            <w:r w:rsidRPr="008D2D0F">
              <w:rPr>
                <w:sz w:val="20"/>
              </w:rPr>
              <w:t>7.9</w:t>
            </w:r>
          </w:p>
        </w:tc>
        <w:tc>
          <w:tcPr>
            <w:tcW w:w="1252" w:type="dxa"/>
          </w:tcPr>
          <w:p w14:paraId="1DC5152C" w14:textId="77777777" w:rsidR="009855EC" w:rsidRPr="008D2D0F" w:rsidRDefault="009855EC" w:rsidP="008D2D0F">
            <w:pPr>
              <w:rPr>
                <w:sz w:val="20"/>
              </w:rPr>
            </w:pPr>
            <w:r w:rsidRPr="008D2D0F">
              <w:rPr>
                <w:sz w:val="20"/>
              </w:rPr>
              <w:t>47.2</w:t>
            </w:r>
          </w:p>
        </w:tc>
        <w:tc>
          <w:tcPr>
            <w:tcW w:w="1331" w:type="dxa"/>
          </w:tcPr>
          <w:p w14:paraId="2CCA09C2" w14:textId="77777777" w:rsidR="009855EC" w:rsidRPr="008D2D0F" w:rsidRDefault="009855EC" w:rsidP="008D2D0F">
            <w:pPr>
              <w:rPr>
                <w:sz w:val="20"/>
              </w:rPr>
            </w:pPr>
            <w:r w:rsidRPr="008D2D0F">
              <w:rPr>
                <w:sz w:val="20"/>
              </w:rPr>
              <w:t>34.8</w:t>
            </w:r>
          </w:p>
        </w:tc>
      </w:tr>
      <w:tr w:rsidR="00700D74" w:rsidRPr="00CA0D86" w14:paraId="78F6EDCC" w14:textId="77777777" w:rsidTr="008D2D0F">
        <w:tblPrEx>
          <w:tblCellMar>
            <w:left w:w="108" w:type="dxa"/>
            <w:right w:w="108" w:type="dxa"/>
          </w:tblCellMar>
        </w:tblPrEx>
        <w:tc>
          <w:tcPr>
            <w:tcW w:w="3050" w:type="dxa"/>
          </w:tcPr>
          <w:p w14:paraId="3B880EC6" w14:textId="77777777" w:rsidR="009855EC" w:rsidRPr="008D2D0F" w:rsidRDefault="009855EC" w:rsidP="008D2D0F">
            <w:pPr>
              <w:rPr>
                <w:b/>
                <w:sz w:val="20"/>
              </w:rPr>
            </w:pPr>
            <w:r w:rsidRPr="008D2D0F">
              <w:rPr>
                <w:b/>
                <w:sz w:val="20"/>
              </w:rPr>
              <w:t>Adverse events leading to discontinuation (%)</w:t>
            </w:r>
          </w:p>
        </w:tc>
        <w:tc>
          <w:tcPr>
            <w:tcW w:w="1544" w:type="dxa"/>
          </w:tcPr>
          <w:p w14:paraId="6DAB892F" w14:textId="77777777" w:rsidR="009855EC" w:rsidRPr="008D2D0F" w:rsidRDefault="009855EC" w:rsidP="008D2D0F">
            <w:pPr>
              <w:rPr>
                <w:b/>
                <w:sz w:val="20"/>
              </w:rPr>
            </w:pPr>
            <w:r w:rsidRPr="008D2D0F">
              <w:rPr>
                <w:b/>
                <w:sz w:val="20"/>
              </w:rPr>
              <w:t>17.2</w:t>
            </w:r>
          </w:p>
        </w:tc>
        <w:tc>
          <w:tcPr>
            <w:tcW w:w="1633" w:type="dxa"/>
          </w:tcPr>
          <w:p w14:paraId="68BAC64F" w14:textId="77777777" w:rsidR="009855EC" w:rsidRPr="008D2D0F" w:rsidRDefault="009855EC" w:rsidP="008D2D0F">
            <w:pPr>
              <w:rPr>
                <w:b/>
                <w:sz w:val="20"/>
              </w:rPr>
            </w:pPr>
            <w:r w:rsidRPr="008D2D0F">
              <w:rPr>
                <w:b/>
                <w:sz w:val="20"/>
              </w:rPr>
              <w:t>17.5</w:t>
            </w:r>
          </w:p>
        </w:tc>
        <w:tc>
          <w:tcPr>
            <w:tcW w:w="1252" w:type="dxa"/>
          </w:tcPr>
          <w:p w14:paraId="6056B6D0" w14:textId="77777777" w:rsidR="009855EC" w:rsidRPr="008D2D0F" w:rsidRDefault="009855EC" w:rsidP="008D2D0F">
            <w:pPr>
              <w:rPr>
                <w:b/>
                <w:sz w:val="20"/>
              </w:rPr>
            </w:pPr>
            <w:r w:rsidRPr="008D2D0F">
              <w:rPr>
                <w:b/>
                <w:sz w:val="20"/>
              </w:rPr>
              <w:t>16.8</w:t>
            </w:r>
          </w:p>
        </w:tc>
        <w:tc>
          <w:tcPr>
            <w:tcW w:w="1331" w:type="dxa"/>
          </w:tcPr>
          <w:p w14:paraId="79B03BE6" w14:textId="77777777" w:rsidR="009855EC" w:rsidRPr="008D2D0F" w:rsidRDefault="009855EC" w:rsidP="008D2D0F">
            <w:pPr>
              <w:rPr>
                <w:b/>
                <w:sz w:val="20"/>
              </w:rPr>
            </w:pPr>
            <w:r w:rsidRPr="008D2D0F">
              <w:rPr>
                <w:b/>
                <w:sz w:val="20"/>
              </w:rPr>
              <w:t>20.2</w:t>
            </w:r>
          </w:p>
        </w:tc>
      </w:tr>
      <w:tr w:rsidR="00700D74" w:rsidRPr="00B43E21" w14:paraId="12DCD9FE" w14:textId="77777777" w:rsidTr="008D2D0F">
        <w:tblPrEx>
          <w:tblCellMar>
            <w:left w:w="108" w:type="dxa"/>
            <w:right w:w="108" w:type="dxa"/>
          </w:tblCellMar>
        </w:tblPrEx>
        <w:tc>
          <w:tcPr>
            <w:tcW w:w="3050" w:type="dxa"/>
          </w:tcPr>
          <w:p w14:paraId="340DA611" w14:textId="77777777" w:rsidR="009855EC" w:rsidRPr="008D2D0F" w:rsidRDefault="009855EC" w:rsidP="008D2D0F">
            <w:pPr>
              <w:rPr>
                <w:b/>
                <w:sz w:val="20"/>
              </w:rPr>
            </w:pPr>
            <w:r w:rsidRPr="008D2D0F">
              <w:rPr>
                <w:b/>
                <w:sz w:val="20"/>
              </w:rPr>
              <w:t>Adverse events leading to dose reductions (%)</w:t>
            </w:r>
          </w:p>
        </w:tc>
        <w:tc>
          <w:tcPr>
            <w:tcW w:w="1544" w:type="dxa"/>
          </w:tcPr>
          <w:p w14:paraId="0AA8B6DE" w14:textId="77777777" w:rsidR="009855EC" w:rsidRPr="008D2D0F" w:rsidRDefault="009855EC" w:rsidP="008D2D0F">
            <w:pPr>
              <w:rPr>
                <w:b/>
                <w:sz w:val="20"/>
              </w:rPr>
            </w:pPr>
            <w:r w:rsidRPr="008D2D0F">
              <w:rPr>
                <w:b/>
                <w:sz w:val="20"/>
              </w:rPr>
              <w:t>34.1</w:t>
            </w:r>
          </w:p>
        </w:tc>
        <w:tc>
          <w:tcPr>
            <w:tcW w:w="1633" w:type="dxa"/>
          </w:tcPr>
          <w:p w14:paraId="057C0A37" w14:textId="77777777" w:rsidR="009855EC" w:rsidRPr="008D2D0F" w:rsidRDefault="009855EC" w:rsidP="008D2D0F">
            <w:pPr>
              <w:rPr>
                <w:b/>
                <w:sz w:val="20"/>
              </w:rPr>
            </w:pPr>
            <w:r w:rsidRPr="008D2D0F">
              <w:rPr>
                <w:b/>
                <w:sz w:val="20"/>
              </w:rPr>
              <w:t>27.8</w:t>
            </w:r>
          </w:p>
        </w:tc>
        <w:tc>
          <w:tcPr>
            <w:tcW w:w="1252" w:type="dxa"/>
          </w:tcPr>
          <w:p w14:paraId="02A08FDD" w14:textId="77777777" w:rsidR="009855EC" w:rsidRPr="008D2D0F" w:rsidRDefault="009855EC" w:rsidP="008D2D0F">
            <w:pPr>
              <w:rPr>
                <w:b/>
                <w:sz w:val="20"/>
              </w:rPr>
            </w:pPr>
            <w:r w:rsidRPr="008D2D0F">
              <w:rPr>
                <w:b/>
                <w:sz w:val="20"/>
              </w:rPr>
              <w:t>49.4</w:t>
            </w:r>
          </w:p>
        </w:tc>
        <w:tc>
          <w:tcPr>
            <w:tcW w:w="1331" w:type="dxa"/>
          </w:tcPr>
          <w:p w14:paraId="64BBC762" w14:textId="77777777" w:rsidR="009855EC" w:rsidRPr="008D2D0F" w:rsidRDefault="009855EC" w:rsidP="008D2D0F">
            <w:pPr>
              <w:rPr>
                <w:b/>
                <w:sz w:val="20"/>
              </w:rPr>
            </w:pPr>
            <w:r w:rsidRPr="008D2D0F">
              <w:rPr>
                <w:b/>
                <w:sz w:val="20"/>
              </w:rPr>
              <w:t>33.6</w:t>
            </w:r>
          </w:p>
        </w:tc>
      </w:tr>
      <w:tr w:rsidR="00700D74" w:rsidRPr="00B43E21" w14:paraId="41565EFD" w14:textId="77777777" w:rsidTr="008D2D0F">
        <w:tblPrEx>
          <w:tblCellMar>
            <w:left w:w="108" w:type="dxa"/>
            <w:right w:w="108" w:type="dxa"/>
          </w:tblCellMar>
        </w:tblPrEx>
        <w:tc>
          <w:tcPr>
            <w:tcW w:w="3050" w:type="dxa"/>
          </w:tcPr>
          <w:p w14:paraId="3DA39228" w14:textId="77777777" w:rsidR="009855EC" w:rsidRPr="008D2D0F" w:rsidRDefault="009855EC" w:rsidP="008D2D0F">
            <w:pPr>
              <w:rPr>
                <w:b/>
                <w:sz w:val="20"/>
              </w:rPr>
            </w:pPr>
            <w:r w:rsidRPr="008D2D0F">
              <w:rPr>
                <w:b/>
                <w:sz w:val="20"/>
              </w:rPr>
              <w:t>Adverse events leading to dose interruptions (%)</w:t>
            </w:r>
          </w:p>
        </w:tc>
        <w:tc>
          <w:tcPr>
            <w:tcW w:w="1544" w:type="dxa"/>
          </w:tcPr>
          <w:p w14:paraId="472ADACD" w14:textId="77777777" w:rsidR="009855EC" w:rsidRPr="008D2D0F" w:rsidRDefault="009855EC" w:rsidP="008D2D0F">
            <w:pPr>
              <w:rPr>
                <w:b/>
                <w:sz w:val="20"/>
              </w:rPr>
            </w:pPr>
            <w:r w:rsidRPr="008D2D0F">
              <w:rPr>
                <w:b/>
                <w:sz w:val="20"/>
              </w:rPr>
              <w:t>60.8</w:t>
            </w:r>
          </w:p>
        </w:tc>
        <w:tc>
          <w:tcPr>
            <w:tcW w:w="1633" w:type="dxa"/>
          </w:tcPr>
          <w:p w14:paraId="5218D53F" w14:textId="77777777" w:rsidR="009855EC" w:rsidRPr="008D2D0F" w:rsidRDefault="009855EC" w:rsidP="008D2D0F">
            <w:pPr>
              <w:rPr>
                <w:b/>
                <w:sz w:val="20"/>
              </w:rPr>
            </w:pPr>
            <w:r w:rsidRPr="008D2D0F">
              <w:rPr>
                <w:b/>
                <w:sz w:val="20"/>
              </w:rPr>
              <w:t>29.2</w:t>
            </w:r>
          </w:p>
        </w:tc>
        <w:tc>
          <w:tcPr>
            <w:tcW w:w="1252" w:type="dxa"/>
          </w:tcPr>
          <w:p w14:paraId="1DB9A582" w14:textId="77777777" w:rsidR="009855EC" w:rsidRPr="008D2D0F" w:rsidRDefault="009855EC" w:rsidP="008D2D0F">
            <w:pPr>
              <w:rPr>
                <w:b/>
                <w:sz w:val="20"/>
              </w:rPr>
            </w:pPr>
            <w:r w:rsidRPr="008D2D0F">
              <w:rPr>
                <w:b/>
                <w:sz w:val="20"/>
              </w:rPr>
              <w:t>65.6</w:t>
            </w:r>
          </w:p>
        </w:tc>
        <w:tc>
          <w:tcPr>
            <w:tcW w:w="1331" w:type="dxa"/>
          </w:tcPr>
          <w:p w14:paraId="760F3AF9" w14:textId="77777777" w:rsidR="009855EC" w:rsidRPr="008D2D0F" w:rsidRDefault="009855EC" w:rsidP="008D2D0F">
            <w:pPr>
              <w:rPr>
                <w:b/>
                <w:sz w:val="20"/>
              </w:rPr>
            </w:pPr>
            <w:r w:rsidRPr="008D2D0F">
              <w:rPr>
                <w:b/>
                <w:sz w:val="20"/>
              </w:rPr>
              <w:t>59.6</w:t>
            </w:r>
          </w:p>
        </w:tc>
      </w:tr>
    </w:tbl>
    <w:p w14:paraId="435E3CCB" w14:textId="2D5796FA" w:rsidR="00AE7B8E" w:rsidRPr="00E345B0" w:rsidRDefault="00B7681E" w:rsidP="00E345B0">
      <w:pPr>
        <w:pStyle w:val="TableDescription"/>
      </w:pPr>
      <w:r w:rsidRPr="00E345B0">
        <w:t xml:space="preserve">Abbreviations: </w:t>
      </w:r>
      <w:r w:rsidR="00E345B0" w:rsidRPr="00E345B0">
        <w:t>TEAE: treatment-emergent adverse event, AST: aspartate aminotransferase, ALT: alanine aminotransferase, SAE: serious adverse event, AE: adverse event.</w:t>
      </w:r>
    </w:p>
    <w:p w14:paraId="24B885ED" w14:textId="7CDAF12F" w:rsidR="00E0212C" w:rsidRDefault="00F248EE" w:rsidP="00F248EE">
      <w:pPr>
        <w:pStyle w:val="Tabletitle0"/>
      </w:pPr>
      <w:r>
        <w:t xml:space="preserve">Table </w:t>
      </w:r>
      <w:r w:rsidR="00940D81">
        <w:fldChar w:fldCharType="begin"/>
      </w:r>
      <w:r w:rsidR="00940D81">
        <w:instrText xml:space="preserve"> SEQ Table \* ARABIC </w:instrText>
      </w:r>
      <w:r w:rsidR="00940D81">
        <w:fldChar w:fldCharType="separate"/>
      </w:r>
      <w:r w:rsidR="00555193">
        <w:rPr>
          <w:noProof/>
        </w:rPr>
        <w:t>17</w:t>
      </w:r>
      <w:r w:rsidR="00940D81">
        <w:rPr>
          <w:noProof/>
        </w:rPr>
        <w:fldChar w:fldCharType="end"/>
      </w:r>
      <w:r>
        <w:t xml:space="preserve">: Study EV-301 </w:t>
      </w:r>
      <w:r w:rsidR="00F15683">
        <w:t>L</w:t>
      </w:r>
      <w:r>
        <w:t>aboratory anomalies reported in 15%</w:t>
      </w:r>
      <w:r w:rsidR="00F15683">
        <w:t xml:space="preserve"> or more subjects;</w:t>
      </w:r>
      <w:r>
        <w:t xml:space="preserve"> Grade 2 to 4</w:t>
      </w:r>
      <w:r w:rsidR="00F15683">
        <w:t xml:space="preserve"> anomalies in ab</w:t>
      </w:r>
      <w:r>
        <w:t>5%</w:t>
      </w:r>
      <w:r w:rsidR="00F15683">
        <w:t xml:space="preserve"> or more; and</w:t>
      </w:r>
      <w:r>
        <w:t xml:space="preserve"> Grade 3 to 4</w:t>
      </w:r>
      <w:r w:rsidR="00F15683">
        <w:t xml:space="preserve"> anomalies in any subjects in the</w:t>
      </w:r>
      <w:r>
        <w:t xml:space="preserve"> enfortumab vedotin arm</w:t>
      </w:r>
    </w:p>
    <w:p w14:paraId="7690A228" w14:textId="2D6D9AE6" w:rsidR="00F248EE" w:rsidRDefault="00F248EE" w:rsidP="00F248EE">
      <w:r>
        <w:rPr>
          <w:noProof/>
          <w:lang w:val="en-GB" w:eastAsia="en-GB"/>
        </w:rPr>
        <w:drawing>
          <wp:inline distT="0" distB="0" distL="0" distR="0" wp14:anchorId="17001340" wp14:editId="60DC2C2A">
            <wp:extent cx="5343525" cy="2144395"/>
            <wp:effectExtent l="0" t="0" r="9525" b="8255"/>
            <wp:docPr id="30" name="Picture 30" descr="Study EV-301 laboratory anomalies reported in greater than or equal to 15%, Grade 2 to 4, or greater than or equal to 5%, Grade 3 to 4, of enfortumab vedoti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udy EV-301 laboratory anomalies reported in greater than or equal to 15%, Grade 2 to 4, or greater than or equal to 5%, Grade 3 to 4, of enfortumab vedotin arm"/>
                    <pic:cNvPicPr>
                      <a:picLocks noChangeAspect="1" noChangeArrowheads="1"/>
                    </pic:cNvPicPr>
                  </pic:nvPicPr>
                  <pic:blipFill rotWithShape="1">
                    <a:blip r:embed="rId43">
                      <a:extLst>
                        <a:ext uri="{28A0092B-C50C-407E-A947-70E740481C1C}">
                          <a14:useLocalDpi xmlns:a14="http://schemas.microsoft.com/office/drawing/2010/main" val="0"/>
                        </a:ext>
                      </a:extLst>
                    </a:blip>
                    <a:srcRect r="2258" b="9417"/>
                    <a:stretch/>
                  </pic:blipFill>
                  <pic:spPr bwMode="auto">
                    <a:xfrm>
                      <a:off x="0" y="0"/>
                      <a:ext cx="5353472" cy="2148387"/>
                    </a:xfrm>
                    <a:prstGeom prst="rect">
                      <a:avLst/>
                    </a:prstGeom>
                    <a:noFill/>
                    <a:ln>
                      <a:noFill/>
                    </a:ln>
                    <a:extLst>
                      <a:ext uri="{53640926-AAD7-44D8-BBD7-CCE9431645EC}">
                        <a14:shadowObscured xmlns:a14="http://schemas.microsoft.com/office/drawing/2010/main"/>
                      </a:ext>
                    </a:extLst>
                  </pic:spPr>
                </pic:pic>
              </a:graphicData>
            </a:graphic>
          </wp:inline>
        </w:drawing>
      </w:r>
    </w:p>
    <w:p w14:paraId="707759D1" w14:textId="633BEB58" w:rsidR="00F248EE" w:rsidRPr="00F248EE" w:rsidRDefault="00F248EE" w:rsidP="00F248EE">
      <w:pPr>
        <w:pStyle w:val="TableDescription"/>
      </w:pPr>
      <w:r w:rsidRPr="00F248EE">
        <w:rPr>
          <w:vertAlign w:val="superscript"/>
        </w:rPr>
        <w:t>1</w:t>
      </w:r>
      <w:r>
        <w:t xml:space="preserve"> The denominator used to calculate the rate varied from 262 to 287 based on the number of patients with a baseline value and at least one post treatment value.</w:t>
      </w:r>
    </w:p>
    <w:p w14:paraId="5A591C23" w14:textId="77080FFB" w:rsidR="00F248EE" w:rsidRDefault="00F248EE" w:rsidP="00F248EE">
      <w:pPr>
        <w:pStyle w:val="Heading5"/>
      </w:pPr>
      <w:r>
        <w:t>Deaths and serious adverse events</w:t>
      </w:r>
    </w:p>
    <w:p w14:paraId="29330281" w14:textId="3FCDF57D" w:rsidR="004F3D0D" w:rsidRPr="004F3D0D" w:rsidRDefault="004F3D0D" w:rsidP="004F3D0D">
      <w:r w:rsidRPr="004F3D0D">
        <w:t xml:space="preserve">In Study EV-301, in the </w:t>
      </w:r>
      <w:r>
        <w:t>enfortumab vedotin</w:t>
      </w:r>
      <w:r w:rsidRPr="004F3D0D">
        <w:t xml:space="preserve"> arm 7.1% of subjects and in the chemotherapy arm 5.5% of subjects experienced a </w:t>
      </w:r>
      <w:r>
        <w:t>t</w:t>
      </w:r>
      <w:r w:rsidRPr="004F3D0D">
        <w:t>reatment</w:t>
      </w:r>
      <w:r w:rsidR="00F15683">
        <w:t>-</w:t>
      </w:r>
      <w:r w:rsidRPr="004F3D0D">
        <w:t>emergent serious adverse event</w:t>
      </w:r>
      <w:r>
        <w:t xml:space="preserve"> (</w:t>
      </w:r>
      <w:r w:rsidRPr="004F3D0D">
        <w:t>TEAE</w:t>
      </w:r>
      <w:r>
        <w:t>)</w:t>
      </w:r>
      <w:r w:rsidRPr="004F3D0D">
        <w:t xml:space="preserve"> leading to death, of which malignant neoplasm progression (3.4% </w:t>
      </w:r>
      <w:r>
        <w:t>enfortumab vedotin</w:t>
      </w:r>
      <w:r w:rsidRPr="004F3D0D">
        <w:t xml:space="preserve"> arm and 2.1% of the chemotherapy arm) was the most common. TEAEs occurring in </w:t>
      </w:r>
      <w:r>
        <w:t>greater than or equal to two</w:t>
      </w:r>
      <w:r w:rsidRPr="004F3D0D">
        <w:t xml:space="preserve"> patients in the </w:t>
      </w:r>
      <w:r>
        <w:t>enfortumab vedotin</w:t>
      </w:r>
      <w:r w:rsidRPr="004F3D0D">
        <w:t xml:space="preserve"> arm were multiple organ dysfunction and pneumonia, and sepsis in the chemotherapy arm. In Study EV-201 Cohort</w:t>
      </w:r>
      <w:r>
        <w:t> </w:t>
      </w:r>
      <w:r w:rsidRPr="004F3D0D">
        <w:t xml:space="preserve">2, 9% of patients had a TEAE leading to death, of which the most common (occurring in </w:t>
      </w:r>
      <w:r>
        <w:t>greater than or equal to two</w:t>
      </w:r>
      <w:r w:rsidRPr="004F3D0D">
        <w:t xml:space="preserve"> patients) was acute kidney injury. An additional death in each </w:t>
      </w:r>
      <w:r>
        <w:t>c</w:t>
      </w:r>
      <w:r w:rsidRPr="004F3D0D">
        <w:t xml:space="preserve">ohort of </w:t>
      </w:r>
      <w:r>
        <w:t xml:space="preserve">Study </w:t>
      </w:r>
      <w:r w:rsidRPr="004F3D0D">
        <w:t>EV-201 occurred after the safety reporting period.</w:t>
      </w:r>
    </w:p>
    <w:p w14:paraId="24F3D3A6" w14:textId="690F6337" w:rsidR="004F3D0D" w:rsidRPr="004F3D0D" w:rsidRDefault="004F3D0D" w:rsidP="004F3D0D">
      <w:r w:rsidRPr="004F3D0D">
        <w:t xml:space="preserve">Drug related TEAEs causing death occurred in 2.4%, 1%, and 3.4% of </w:t>
      </w:r>
      <w:r>
        <w:t xml:space="preserve">Study </w:t>
      </w:r>
      <w:r w:rsidRPr="004F3D0D">
        <w:t xml:space="preserve">EV-301 </w:t>
      </w:r>
      <w:r>
        <w:t>enfortumab vedotin</w:t>
      </w:r>
      <w:r w:rsidRPr="004F3D0D">
        <w:t xml:space="preserve"> arm,</w:t>
      </w:r>
      <w:r>
        <w:t xml:space="preserve"> Study</w:t>
      </w:r>
      <w:r w:rsidRPr="004F3D0D">
        <w:t xml:space="preserve"> EV-301 chemotherapy arm and </w:t>
      </w:r>
      <w:r>
        <w:t xml:space="preserve">Study </w:t>
      </w:r>
      <w:r w:rsidRPr="004F3D0D">
        <w:t xml:space="preserve">EV-201 Cohort 2, </w:t>
      </w:r>
      <w:r w:rsidRPr="004F3D0D">
        <w:lastRenderedPageBreak/>
        <w:t xml:space="preserve">respectively. The only event occurring in more than </w:t>
      </w:r>
      <w:r>
        <w:t>one</w:t>
      </w:r>
      <w:r w:rsidRPr="004F3D0D">
        <w:t xml:space="preserve"> patient was multiple organ dysfunction syndrome in </w:t>
      </w:r>
      <w:r>
        <w:t xml:space="preserve">Study </w:t>
      </w:r>
      <w:r w:rsidRPr="004F3D0D">
        <w:t xml:space="preserve">EV-301 </w:t>
      </w:r>
      <w:r>
        <w:t>enfortumab vedotin</w:t>
      </w:r>
      <w:r w:rsidRPr="004F3D0D">
        <w:t xml:space="preserve"> </w:t>
      </w:r>
      <w:r w:rsidR="00AF259B">
        <w:t>a</w:t>
      </w:r>
      <w:r w:rsidRPr="004F3D0D">
        <w:t>rm.</w:t>
      </w:r>
    </w:p>
    <w:p w14:paraId="390B5767" w14:textId="094AF21E" w:rsidR="004F3D0D" w:rsidRDefault="004F3D0D" w:rsidP="004F3D0D">
      <w:r w:rsidRPr="004F3D0D">
        <w:t xml:space="preserve">A summary of the </w:t>
      </w:r>
      <w:r>
        <w:t xml:space="preserve">serious adverse events </w:t>
      </w:r>
      <w:r w:rsidRPr="00AF259B">
        <w:t>(SAEs)</w:t>
      </w:r>
      <w:r w:rsidRPr="004F3D0D">
        <w:t xml:space="preserve"> is included in</w:t>
      </w:r>
      <w:r>
        <w:t xml:space="preserve"> </w:t>
      </w:r>
      <w:r>
        <w:fldChar w:fldCharType="begin"/>
      </w:r>
      <w:r>
        <w:instrText xml:space="preserve"> REF _Ref124415010 \h </w:instrText>
      </w:r>
      <w:r>
        <w:fldChar w:fldCharType="separate"/>
      </w:r>
      <w:r w:rsidR="00555193">
        <w:t xml:space="preserve">Table </w:t>
      </w:r>
      <w:r w:rsidR="00555193">
        <w:rPr>
          <w:noProof/>
        </w:rPr>
        <w:t>16</w:t>
      </w:r>
      <w:r>
        <w:fldChar w:fldCharType="end"/>
      </w:r>
      <w:r w:rsidR="00F15683">
        <w:t>, above</w:t>
      </w:r>
      <w:r w:rsidRPr="004F3D0D">
        <w:t>.</w:t>
      </w:r>
    </w:p>
    <w:p w14:paraId="66295A20" w14:textId="77777777" w:rsidR="004F3D0D" w:rsidRPr="004F3D0D" w:rsidRDefault="004F3D0D" w:rsidP="004F3D0D">
      <w:pPr>
        <w:pStyle w:val="Heading5"/>
      </w:pPr>
      <w:r w:rsidRPr="004F3D0D">
        <w:t>Skin reactions</w:t>
      </w:r>
    </w:p>
    <w:p w14:paraId="5B736BFE" w14:textId="471FABB9" w:rsidR="004F3D0D" w:rsidRPr="004F3D0D" w:rsidRDefault="004F3D0D" w:rsidP="004F3D0D">
      <w:r w:rsidRPr="004F3D0D">
        <w:t xml:space="preserve">Nectin-4 is expressed in skin. </w:t>
      </w:r>
      <w:r>
        <w:t>Enfortumab vedotin</w:t>
      </w:r>
      <w:r w:rsidRPr="004F3D0D">
        <w:t xml:space="preserve"> has been reported to cause a range of reactions, commonly maculopapular or erythematous rash or stomatitis, but on</w:t>
      </w:r>
      <w:r w:rsidR="00AF259B">
        <w:t>e</w:t>
      </w:r>
      <w:r w:rsidRPr="004F3D0D">
        <w:t xml:space="preserve"> case of Stevens Johnson </w:t>
      </w:r>
      <w:r>
        <w:t>s</w:t>
      </w:r>
      <w:r w:rsidRPr="004F3D0D">
        <w:t>yndrome/</w:t>
      </w:r>
      <w:r>
        <w:t>toxic epidermal necrolysis</w:t>
      </w:r>
      <w:r w:rsidRPr="004F3D0D">
        <w:t xml:space="preserve"> was reported in Cohort 1 of </w:t>
      </w:r>
      <w:r>
        <w:t>S</w:t>
      </w:r>
      <w:r w:rsidRPr="004F3D0D">
        <w:t>tudy</w:t>
      </w:r>
      <w:r>
        <w:t> </w:t>
      </w:r>
      <w:r w:rsidRPr="004F3D0D">
        <w:t>EV-201 and it has been reported in the post</w:t>
      </w:r>
      <w:r>
        <w:t>-</w:t>
      </w:r>
      <w:r w:rsidRPr="004F3D0D">
        <w:t>marketing setting.</w:t>
      </w:r>
    </w:p>
    <w:p w14:paraId="7602DE77" w14:textId="250BA2FD" w:rsidR="004F3D0D" w:rsidRPr="004F3D0D" w:rsidRDefault="004F3D0D" w:rsidP="004F3D0D">
      <w:r w:rsidRPr="004F3D0D">
        <w:t xml:space="preserve">In the pooled safety data (680 patients) </w:t>
      </w:r>
      <w:r>
        <w:t>s</w:t>
      </w:r>
      <w:r w:rsidRPr="004F3D0D">
        <w:t xml:space="preserve">kin AEs were reported in 53.7%, 66.3% and 53.6% of </w:t>
      </w:r>
      <w:r>
        <w:t>enfortumab vedotin</w:t>
      </w:r>
      <w:r w:rsidRPr="004F3D0D">
        <w:t xml:space="preserve"> patients in </w:t>
      </w:r>
      <w:r>
        <w:t xml:space="preserve">Study </w:t>
      </w:r>
      <w:r w:rsidRPr="004F3D0D">
        <w:t>EV-301,</w:t>
      </w:r>
      <w:r>
        <w:t xml:space="preserve"> Study</w:t>
      </w:r>
      <w:r w:rsidRPr="004F3D0D">
        <w:t xml:space="preserve"> EV-201 Cohort 2 and </w:t>
      </w:r>
      <w:r>
        <w:t>Study </w:t>
      </w:r>
      <w:r w:rsidRPr="004F3D0D">
        <w:t>EV-201 Cohort 1, respectively. In</w:t>
      </w:r>
      <w:r>
        <w:t xml:space="preserve"> Study</w:t>
      </w:r>
      <w:r w:rsidRPr="004F3D0D">
        <w:t xml:space="preserve"> EV-301, reactions occurred at 3.37 events per </w:t>
      </w:r>
      <w:r>
        <w:t>patient years</w:t>
      </w:r>
      <w:r w:rsidRPr="004F3D0D">
        <w:t xml:space="preserve"> in the </w:t>
      </w:r>
      <w:r>
        <w:t>enfortumab vedotin</w:t>
      </w:r>
      <w:r w:rsidRPr="004F3D0D">
        <w:t xml:space="preserve"> arm and 0.822 events per </w:t>
      </w:r>
      <w:r>
        <w:t>patient years</w:t>
      </w:r>
      <w:r w:rsidRPr="004F3D0D">
        <w:t xml:space="preserve"> in the chemotherapy arm. The median onset to onset was 0.46 months (range 0</w:t>
      </w:r>
      <w:r>
        <w:t xml:space="preserve"> to </w:t>
      </w:r>
      <w:r w:rsidRPr="004F3D0D">
        <w:t xml:space="preserve">12.7). There were similar findings in </w:t>
      </w:r>
      <w:r>
        <w:t xml:space="preserve">Study </w:t>
      </w:r>
      <w:r w:rsidRPr="004F3D0D">
        <w:t>EV-201. The median time to resolution was 0.92 months (range 0.07</w:t>
      </w:r>
      <w:r>
        <w:t xml:space="preserve"> to</w:t>
      </w:r>
      <w:r w:rsidRPr="004F3D0D">
        <w:t xml:space="preserve"> 19.58).</w:t>
      </w:r>
    </w:p>
    <w:p w14:paraId="671D6A59" w14:textId="4A788207" w:rsidR="004F3D0D" w:rsidRPr="004F3D0D" w:rsidRDefault="004F3D0D" w:rsidP="004F3D0D">
      <w:r w:rsidRPr="004F3D0D">
        <w:t>Severe cutaneous reactions occurred in 26% of the</w:t>
      </w:r>
      <w:r>
        <w:t xml:space="preserve"> enfortumab vedotin</w:t>
      </w:r>
      <w:r w:rsidRPr="004F3D0D">
        <w:t xml:space="preserve"> arm and 9.3% of the chemotherapy arm in </w:t>
      </w:r>
      <w:r>
        <w:t xml:space="preserve">Study </w:t>
      </w:r>
      <w:r w:rsidRPr="004F3D0D">
        <w:t xml:space="preserve">EV-301 (1.05 events per </w:t>
      </w:r>
      <w:r>
        <w:t>patient years versus</w:t>
      </w:r>
      <w:r w:rsidRPr="004F3D0D">
        <w:t xml:space="preserve"> 0.375 events per </w:t>
      </w:r>
      <w:r>
        <w:t>patient years</w:t>
      </w:r>
      <w:r w:rsidRPr="004F3D0D">
        <w:t xml:space="preserve">). Of these 5.1% reported Grade 3 events and </w:t>
      </w:r>
      <w:r>
        <w:t>one</w:t>
      </w:r>
      <w:r w:rsidRPr="004F3D0D">
        <w:t xml:space="preserve"> patient reported a Grade 4 event of bullous dermatitis. In Cohort 2 of</w:t>
      </w:r>
      <w:r>
        <w:t xml:space="preserve"> Study</w:t>
      </w:r>
      <w:r w:rsidRPr="004F3D0D">
        <w:t xml:space="preserve"> EV-201 20.2% had severe cutaneous AEs, there were no Grade 3 or 4 events but 2.2% were SAEs.</w:t>
      </w:r>
    </w:p>
    <w:p w14:paraId="6E85C08E" w14:textId="3E514F0E" w:rsidR="004F3D0D" w:rsidRPr="004F3D0D" w:rsidRDefault="004F3D0D" w:rsidP="004F3D0D">
      <w:r w:rsidRPr="004F3D0D">
        <w:t xml:space="preserve">Skin AEs resulted in discontinuation of </w:t>
      </w:r>
      <w:r w:rsidR="00373EBB">
        <w:t>enfortumab vedotin</w:t>
      </w:r>
      <w:r w:rsidRPr="004F3D0D">
        <w:t xml:space="preserve"> in 2.6%. The evaluation found that among the 59 patients who had a dose interruption because of a skin reaction, 24% restart</w:t>
      </w:r>
      <w:r w:rsidR="00373EBB">
        <w:t>ing</w:t>
      </w:r>
      <w:r w:rsidRPr="004F3D0D">
        <w:t xml:space="preserve"> at the same dose and 16% of those restart</w:t>
      </w:r>
      <w:r w:rsidR="00373EBB">
        <w:t>ing</w:t>
      </w:r>
      <w:r w:rsidRPr="004F3D0D">
        <w:t xml:space="preserve"> at a lower dose had a recurrent severe reaction.</w:t>
      </w:r>
    </w:p>
    <w:p w14:paraId="0F4DCDFB" w14:textId="3AEA8E06" w:rsidR="004F3D0D" w:rsidRPr="004F3D0D" w:rsidRDefault="004F3D0D" w:rsidP="004F3D0D">
      <w:r w:rsidRPr="004F3D0D">
        <w:t>Exposure</w:t>
      </w:r>
      <w:r w:rsidR="00373EBB">
        <w:t xml:space="preserve"> </w:t>
      </w:r>
      <w:r w:rsidRPr="004F3D0D">
        <w:t xml:space="preserve">safety analyses suggested that </w:t>
      </w:r>
      <w:r w:rsidR="00373EBB">
        <w:t>average concentration of enfortumab vedotin</w:t>
      </w:r>
      <w:r w:rsidRPr="004F3D0D">
        <w:t xml:space="preserve"> and fre</w:t>
      </w:r>
      <w:r w:rsidR="008B75CB">
        <w:t>e MMAE</w:t>
      </w:r>
      <w:r w:rsidRPr="004F3D0D">
        <w:t xml:space="preserve"> were predictors of rash and severe cutaneous AEs </w:t>
      </w:r>
      <w:r w:rsidR="00373EBB">
        <w:t>greater than or equal to</w:t>
      </w:r>
      <w:r w:rsidRPr="004F3D0D">
        <w:t xml:space="preserve"> </w:t>
      </w:r>
      <w:r w:rsidR="00373EBB">
        <w:t xml:space="preserve">Grade </w:t>
      </w:r>
      <w:r w:rsidRPr="004F3D0D">
        <w:t>3 in exposure</w:t>
      </w:r>
      <w:r w:rsidR="00373EBB">
        <w:t xml:space="preserve"> </w:t>
      </w:r>
      <w:r w:rsidRPr="004F3D0D">
        <w:t>safety analyses.</w:t>
      </w:r>
    </w:p>
    <w:p w14:paraId="71249FFB" w14:textId="60F95948" w:rsidR="00373EBB" w:rsidRPr="00373EBB" w:rsidRDefault="00373EBB" w:rsidP="00373EBB">
      <w:pPr>
        <w:pStyle w:val="Heading5"/>
      </w:pPr>
      <w:r w:rsidRPr="00373EBB">
        <w:t>Hyperglycaemi</w:t>
      </w:r>
      <w:r>
        <w:t>a</w:t>
      </w:r>
    </w:p>
    <w:p w14:paraId="251A487C" w14:textId="00C4512C" w:rsidR="00373EBB" w:rsidRPr="00373EBB" w:rsidRDefault="00373EBB" w:rsidP="00373EBB">
      <w:r w:rsidRPr="00373EBB">
        <w:t xml:space="preserve">No apparent mechanism was found in a review of the nonclinical data. Hyperglycaemia occurred in 11.8% of the </w:t>
      </w:r>
      <w:r>
        <w:t>enfortumab vedotin</w:t>
      </w:r>
      <w:r w:rsidRPr="00373EBB">
        <w:t xml:space="preserve"> arm in Study EV-301, and 18% and 16% in </w:t>
      </w:r>
      <w:r>
        <w:t xml:space="preserve">Study </w:t>
      </w:r>
      <w:r w:rsidRPr="00373EBB">
        <w:t>EV-201</w:t>
      </w:r>
      <w:r>
        <w:t xml:space="preserve"> </w:t>
      </w:r>
      <w:r w:rsidRPr="00373EBB">
        <w:t>Cohorts 2 and 1, respectively. In Stud</w:t>
      </w:r>
      <w:r>
        <w:t xml:space="preserve">y </w:t>
      </w:r>
      <w:r w:rsidRPr="00373EBB">
        <w:t>EV-301</w:t>
      </w:r>
      <w:r>
        <w:t xml:space="preserve"> and Study EV-201</w:t>
      </w:r>
      <w:r w:rsidRPr="00373EBB">
        <w:t xml:space="preserve"> one patient each had fatal events associated hyperglycaemia (the </w:t>
      </w:r>
      <w:r>
        <w:t xml:space="preserve">Study </w:t>
      </w:r>
      <w:r w:rsidRPr="00373EBB">
        <w:t xml:space="preserve">EV-201 </w:t>
      </w:r>
      <w:r>
        <w:t xml:space="preserve">event </w:t>
      </w:r>
      <w:r w:rsidRPr="00373EBB">
        <w:t>was reported as Grade 4 hyperglycaemia and a fatal event of metabolic acidosis).</w:t>
      </w:r>
    </w:p>
    <w:p w14:paraId="7C5B90E3" w14:textId="0C211047" w:rsidR="00373EBB" w:rsidRPr="00373EBB" w:rsidRDefault="00373EBB" w:rsidP="00373EBB">
      <w:r w:rsidRPr="00373EBB">
        <w:t>Pre</w:t>
      </w:r>
      <w:r>
        <w:t>-</w:t>
      </w:r>
      <w:r w:rsidRPr="00373EBB">
        <w:t xml:space="preserve">existing elevated HbA1C, and obesity appeared to be risk factors. For example, hyperglycaemia with </w:t>
      </w:r>
      <w:r>
        <w:t>enfortumab vedotin</w:t>
      </w:r>
      <w:r w:rsidRPr="00373EBB">
        <w:t xml:space="preserve"> occurred in more patients with pre-existing hyperglycaemia (any grade 37.2%; </w:t>
      </w:r>
      <w:r>
        <w:t xml:space="preserve">greater than or equal to </w:t>
      </w:r>
      <w:r w:rsidRPr="00373EBB">
        <w:t xml:space="preserve">Grade 3 19.1%) than with no pre-existing hyperglycaemia (any grade 7.4%; </w:t>
      </w:r>
      <w:r>
        <w:t xml:space="preserve">greater than or equal to </w:t>
      </w:r>
      <w:r w:rsidRPr="00373EBB">
        <w:t>Grade</w:t>
      </w:r>
      <w:r>
        <w:t xml:space="preserve"> </w:t>
      </w:r>
      <w:r w:rsidRPr="00373EBB">
        <w:t>3 2.5%).</w:t>
      </w:r>
    </w:p>
    <w:p w14:paraId="5FD25E7B" w14:textId="5D93EB1D" w:rsidR="00373EBB" w:rsidRPr="00373EBB" w:rsidRDefault="00373EBB" w:rsidP="00373EBB">
      <w:r w:rsidRPr="00373EBB">
        <w:t xml:space="preserve">Events (all events and </w:t>
      </w:r>
      <w:r>
        <w:t xml:space="preserve">greater than or equal to </w:t>
      </w:r>
      <w:r w:rsidRPr="00373EBB">
        <w:t>Grade 3 events) tend to occur in the first weeks of treatment, in</w:t>
      </w:r>
      <w:r>
        <w:t xml:space="preserve"> Study</w:t>
      </w:r>
      <w:r w:rsidRPr="00373EBB">
        <w:t xml:space="preserve"> EV-301</w:t>
      </w:r>
      <w:r>
        <w:t xml:space="preserve"> </w:t>
      </w:r>
      <w:r w:rsidRPr="00373EBB">
        <w:t>and both Cohorts of</w:t>
      </w:r>
      <w:r>
        <w:t xml:space="preserve"> Study</w:t>
      </w:r>
      <w:r w:rsidRPr="00373EBB">
        <w:t xml:space="preserve"> EV-201.</w:t>
      </w:r>
    </w:p>
    <w:p w14:paraId="0B5A1842" w14:textId="6F2B7501" w:rsidR="00F248EE" w:rsidRDefault="00373EBB" w:rsidP="00373EBB">
      <w:r w:rsidRPr="00373EBB">
        <w:t>Exposure</w:t>
      </w:r>
      <w:r>
        <w:t xml:space="preserve"> </w:t>
      </w:r>
      <w:r w:rsidRPr="00373EBB">
        <w:t xml:space="preserve">safety analyses suggested that </w:t>
      </w:r>
      <w:r>
        <w:t>average concentration</w:t>
      </w:r>
      <w:r w:rsidRPr="00373EBB">
        <w:t xml:space="preserve"> of </w:t>
      </w:r>
      <w:r>
        <w:t>enfortumab vedotin</w:t>
      </w:r>
      <w:r w:rsidRPr="00373EBB">
        <w:t xml:space="preserve"> was a statistically significant predictor of </w:t>
      </w:r>
      <w:r>
        <w:t xml:space="preserve">greater than or equal to </w:t>
      </w:r>
      <w:r w:rsidRPr="00373EBB">
        <w:t>Grade</w:t>
      </w:r>
      <w:r>
        <w:t xml:space="preserve"> </w:t>
      </w:r>
      <w:r w:rsidRPr="00373EBB">
        <w:t xml:space="preserve">3 hyperglycaemia, although free </w:t>
      </w:r>
      <w:r w:rsidR="008B75CB">
        <w:t>MMAE</w:t>
      </w:r>
      <w:r w:rsidRPr="00373EBB">
        <w:t xml:space="preserve"> </w:t>
      </w:r>
      <w:r>
        <w:t>average concentration</w:t>
      </w:r>
      <w:r w:rsidRPr="00373EBB">
        <w:t xml:space="preserve"> was not.</w:t>
      </w:r>
    </w:p>
    <w:p w14:paraId="69E5885B" w14:textId="77777777" w:rsidR="00373EBB" w:rsidRPr="00373EBB" w:rsidRDefault="00373EBB" w:rsidP="00373EBB">
      <w:pPr>
        <w:pStyle w:val="Heading5"/>
      </w:pPr>
      <w:r w:rsidRPr="00373EBB">
        <w:t>Ocular toxicity</w:t>
      </w:r>
    </w:p>
    <w:p w14:paraId="25ACE7BF" w14:textId="6B7A1D13" w:rsidR="00373EBB" w:rsidRPr="00373EBB" w:rsidRDefault="00373EBB" w:rsidP="00373EBB">
      <w:r w:rsidRPr="00373EBB">
        <w:t>Nectin</w:t>
      </w:r>
      <w:r>
        <w:t>-</w:t>
      </w:r>
      <w:r w:rsidRPr="00373EBB">
        <w:t xml:space="preserve">4 is expressed in the corneal epithelium. Ocular events occurred in around 40% of </w:t>
      </w:r>
      <w:r>
        <w:t>enfortumab vedotin</w:t>
      </w:r>
      <w:r w:rsidRPr="00373EBB">
        <w:t xml:space="preserve"> treated patients.</w:t>
      </w:r>
    </w:p>
    <w:p w14:paraId="7543584F" w14:textId="0EADCF5C" w:rsidR="00373EBB" w:rsidRPr="00373EBB" w:rsidRDefault="00373EBB" w:rsidP="00373EBB">
      <w:r w:rsidRPr="00373EBB">
        <w:t xml:space="preserve">Corneal keratitis can give dry eye symptoms and can lead to blurred vision. In </w:t>
      </w:r>
      <w:r>
        <w:t>S</w:t>
      </w:r>
      <w:r w:rsidRPr="00373EBB">
        <w:t>tudy</w:t>
      </w:r>
      <w:r>
        <w:t> </w:t>
      </w:r>
      <w:r w:rsidRPr="00373EBB">
        <w:t>EV</w:t>
      </w:r>
      <w:r>
        <w:noBreakHyphen/>
      </w:r>
      <w:r w:rsidRPr="00373EBB">
        <w:t>301 dry eye events were</w:t>
      </w:r>
      <w:r>
        <w:t xml:space="preserve"> more</w:t>
      </w:r>
      <w:r w:rsidRPr="00373EBB">
        <w:t xml:space="preserve"> common in the </w:t>
      </w:r>
      <w:r>
        <w:t>enfortumab vedotin</w:t>
      </w:r>
      <w:r w:rsidRPr="00373EBB">
        <w:t xml:space="preserve"> arm (24%) </w:t>
      </w:r>
      <w:r w:rsidRPr="00373EBB">
        <w:lastRenderedPageBreak/>
        <w:t>than the chemotherapy arm (5.8%). Most were Grade 1</w:t>
      </w:r>
      <w:r>
        <w:t xml:space="preserve"> to </w:t>
      </w:r>
      <w:r w:rsidRPr="00373EBB">
        <w:t xml:space="preserve">2. In </w:t>
      </w:r>
      <w:r>
        <w:t>S</w:t>
      </w:r>
      <w:r w:rsidRPr="00373EBB">
        <w:t xml:space="preserve">tudy EV-201 30.3% of Cohort 2 and 40.8% of Cohort 1 experienced dry eye. Blurred vision occurred in 6.1% of the </w:t>
      </w:r>
      <w:r w:rsidR="0033690E">
        <w:t>enfortumab vedotin</w:t>
      </w:r>
      <w:r w:rsidRPr="00373EBB">
        <w:t xml:space="preserve"> arm in </w:t>
      </w:r>
      <w:r w:rsidR="0033690E">
        <w:t xml:space="preserve">Study </w:t>
      </w:r>
      <w:r w:rsidRPr="00373EBB">
        <w:t xml:space="preserve">EV-301 (2.4% in the chemotherapy arm), and in 10.1% and 16.8% of </w:t>
      </w:r>
      <w:r w:rsidR="0033690E">
        <w:t xml:space="preserve">Study </w:t>
      </w:r>
      <w:r w:rsidRPr="00373EBB">
        <w:t>EV-201 Cohorts 2 and 1, respectively.</w:t>
      </w:r>
    </w:p>
    <w:p w14:paraId="24500BE5" w14:textId="678FD393" w:rsidR="00373EBB" w:rsidRDefault="00373EBB" w:rsidP="00373EBB">
      <w:r w:rsidRPr="00373EBB">
        <w:t xml:space="preserve">The time to onset was around 1.64 months for any event and 2.58 months for </w:t>
      </w:r>
      <w:r w:rsidR="0033690E">
        <w:t xml:space="preserve">greater than or equal to </w:t>
      </w:r>
      <w:r w:rsidRPr="00373EBB">
        <w:t>Grad</w:t>
      </w:r>
      <w:r w:rsidR="0033690E">
        <w:t>e</w:t>
      </w:r>
      <w:r w:rsidRPr="00373EBB">
        <w:t xml:space="preserve"> </w:t>
      </w:r>
      <w:r w:rsidR="0033690E">
        <w:t xml:space="preserve">2 </w:t>
      </w:r>
      <w:r w:rsidRPr="00373EBB">
        <w:t>event. This was of earlier onset than in the chemotherapy arm (3.78 months and 5.03 months, respectively).</w:t>
      </w:r>
    </w:p>
    <w:p w14:paraId="61BDF410" w14:textId="77777777" w:rsidR="0033690E" w:rsidRPr="0033690E" w:rsidRDefault="0033690E" w:rsidP="0033690E">
      <w:pPr>
        <w:pStyle w:val="Heading5"/>
      </w:pPr>
      <w:r w:rsidRPr="0033690E">
        <w:t>Peripheral neuropathy</w:t>
      </w:r>
    </w:p>
    <w:p w14:paraId="4F490405" w14:textId="723CB307" w:rsidR="0033690E" w:rsidRPr="0033690E" w:rsidRDefault="0033690E" w:rsidP="0033690E">
      <w:r w:rsidRPr="0033690E">
        <w:t>Peripheral neuropathy is an anticipated adverse effect in antibody drug conjugates that include</w:t>
      </w:r>
      <w:r>
        <w:t xml:space="preserve"> free </w:t>
      </w:r>
      <w:r w:rsidR="008B75CB">
        <w:t>MMAE</w:t>
      </w:r>
      <w:r w:rsidRPr="0033690E">
        <w:t>. Muscular weakness and gait disturbance were captured in the peripheral neuropathy events.</w:t>
      </w:r>
    </w:p>
    <w:p w14:paraId="5BE07D75" w14:textId="71017152" w:rsidR="0033690E" w:rsidRPr="0033690E" w:rsidRDefault="0033690E" w:rsidP="0033690E">
      <w:r w:rsidRPr="0033690E">
        <w:t xml:space="preserve">In Study EV-301, 50.3% of the </w:t>
      </w:r>
      <w:r>
        <w:t>enfortumab vedotin</w:t>
      </w:r>
      <w:r w:rsidRPr="0033690E">
        <w:t xml:space="preserve"> arm and 34.4% of the chemotherapy arm</w:t>
      </w:r>
      <w:r>
        <w:t xml:space="preserve"> </w:t>
      </w:r>
      <w:r w:rsidRPr="0033690E">
        <w:t xml:space="preserve">experienced peripheral neuropathy </w:t>
      </w:r>
      <w:r>
        <w:t>(</w:t>
      </w:r>
      <w:r w:rsidRPr="0033690E">
        <w:t xml:space="preserve">3.54 events per </w:t>
      </w:r>
      <w:r>
        <w:t>patient years</w:t>
      </w:r>
      <w:r w:rsidRPr="0033690E">
        <w:t xml:space="preserve"> in the </w:t>
      </w:r>
      <w:r>
        <w:t>enfortumab vedotin</w:t>
      </w:r>
      <w:r w:rsidRPr="0033690E">
        <w:t xml:space="preserve"> arm and 1.67 events per </w:t>
      </w:r>
      <w:r>
        <w:t>patient years</w:t>
      </w:r>
      <w:r w:rsidRPr="0033690E">
        <w:t xml:space="preserve"> in the chemotherapy arm</w:t>
      </w:r>
      <w:r>
        <w:t xml:space="preserve">) </w:t>
      </w:r>
      <w:r w:rsidRPr="0033690E">
        <w:t xml:space="preserve">and resulted in treatment withdrawal in 4.7% of the </w:t>
      </w:r>
      <w:r>
        <w:t>enfortumab vedotin</w:t>
      </w:r>
      <w:r w:rsidRPr="0033690E">
        <w:t xml:space="preserve"> arm and 2.7% of the chemotherapy arm. Among patients with no history of peripheral neuropathy, 50.5% experienced events.</w:t>
      </w:r>
    </w:p>
    <w:p w14:paraId="1A184232" w14:textId="22CBB8A3" w:rsidR="0033690E" w:rsidRPr="0033690E" w:rsidRDefault="0033690E" w:rsidP="0033690E">
      <w:r w:rsidRPr="0033690E">
        <w:t xml:space="preserve">The median time to onset was 2.5 months (range: 0 to 12) in the </w:t>
      </w:r>
      <w:r>
        <w:t>enfortumab vedotin</w:t>
      </w:r>
      <w:r w:rsidRPr="0033690E">
        <w:t xml:space="preserve"> arm and 0.8 months (range: 0 to 9.1) in the chemotherapy arm; median time to first onset for a </w:t>
      </w:r>
      <w:r>
        <w:t xml:space="preserve">greater than or equal to </w:t>
      </w:r>
      <w:r w:rsidRPr="0033690E">
        <w:t xml:space="preserve">Grade 3 event was 5.2 months (range: 1.9 to 12) in the </w:t>
      </w:r>
      <w:r>
        <w:t>enfortumab vedotin</w:t>
      </w:r>
      <w:r w:rsidRPr="0033690E">
        <w:t xml:space="preserve"> arm and 3.7 months (range: 0.1 to 6.9) in the chemotherapy arm. The events were more likely to be sensory than motor in either treatment arm. Most were Grade 1 or 2 but 5.1% of the </w:t>
      </w:r>
      <w:r>
        <w:t>enfortumab vedotin</w:t>
      </w:r>
      <w:r w:rsidRPr="0033690E">
        <w:t xml:space="preserve"> arm and 2.7% of the chemotherapy arm reported Grade 3 events.</w:t>
      </w:r>
    </w:p>
    <w:p w14:paraId="161F31E3" w14:textId="53801D9F" w:rsidR="0033690E" w:rsidRPr="0033690E" w:rsidRDefault="0033690E" w:rsidP="0033690E">
      <w:r w:rsidRPr="0033690E">
        <w:t xml:space="preserve">In </w:t>
      </w:r>
      <w:r>
        <w:t xml:space="preserve">Study </w:t>
      </w:r>
      <w:r w:rsidRPr="0033690E">
        <w:t xml:space="preserve">EV-201, Cohort 2, peripheral neuropathy events were reported in 58.4%, and the median time to first onset of an event was shorter than in </w:t>
      </w:r>
      <w:r>
        <w:t xml:space="preserve">Study </w:t>
      </w:r>
      <w:r w:rsidRPr="0033690E">
        <w:t xml:space="preserve">EV-301, at 2.5 months, and the median time to onset for a </w:t>
      </w:r>
      <w:r>
        <w:t xml:space="preserve">greater than or equal to </w:t>
      </w:r>
      <w:r w:rsidRPr="0033690E">
        <w:t xml:space="preserve">Grade </w:t>
      </w:r>
      <w:r>
        <w:t xml:space="preserve">3 </w:t>
      </w:r>
      <w:r w:rsidRPr="0033690E">
        <w:t>event was 7.6 months. In this study 15% had resolution of all events, and 44% had resolution or improvement. The time to resolution was 1.4 months (0.03</w:t>
      </w:r>
      <w:r>
        <w:t xml:space="preserve"> to </w:t>
      </w:r>
      <w:r w:rsidRPr="0033690E">
        <w:t>12.45) and to improvement was 1.8</w:t>
      </w:r>
      <w:r>
        <w:t> </w:t>
      </w:r>
      <w:r w:rsidRPr="0033690E">
        <w:t>months.</w:t>
      </w:r>
    </w:p>
    <w:p w14:paraId="13B49D13" w14:textId="6F0E8BF2" w:rsidR="0033690E" w:rsidRDefault="0033690E" w:rsidP="0033690E">
      <w:r w:rsidRPr="0033690E">
        <w:t>Exposure</w:t>
      </w:r>
      <w:r>
        <w:t xml:space="preserve"> </w:t>
      </w:r>
      <w:r w:rsidRPr="0033690E">
        <w:t xml:space="preserve">safety analyses suggested that </w:t>
      </w:r>
      <w:r>
        <w:t>average concentration</w:t>
      </w:r>
      <w:r w:rsidRPr="0033690E">
        <w:t xml:space="preserve"> of </w:t>
      </w:r>
      <w:r>
        <w:t>enfortumab</w:t>
      </w:r>
      <w:r w:rsidRPr="0033690E">
        <w:t xml:space="preserve"> and free </w:t>
      </w:r>
      <w:r w:rsidR="008B75CB">
        <w:t>MMAE</w:t>
      </w:r>
      <w:r w:rsidRPr="0033690E">
        <w:t xml:space="preserve"> </w:t>
      </w:r>
      <w:r>
        <w:t>concentration average</w:t>
      </w:r>
      <w:r w:rsidRPr="0033690E">
        <w:t xml:space="preserve"> were statistically significant predictors of </w:t>
      </w:r>
      <w:r>
        <w:t xml:space="preserve">greater than or equal to </w:t>
      </w:r>
      <w:r w:rsidRPr="0033690E">
        <w:t>Grade 2 peripheral neuropathy.</w:t>
      </w:r>
    </w:p>
    <w:p w14:paraId="671BE5A3" w14:textId="77777777" w:rsidR="0033690E" w:rsidRPr="0033690E" w:rsidRDefault="0033690E" w:rsidP="0033690E">
      <w:pPr>
        <w:pStyle w:val="Heading5"/>
      </w:pPr>
      <w:r w:rsidRPr="0033690E">
        <w:t>Gastrointestinal events</w:t>
      </w:r>
    </w:p>
    <w:p w14:paraId="3445926E" w14:textId="75AF56D4" w:rsidR="0033690E" w:rsidRPr="0033690E" w:rsidRDefault="0033690E" w:rsidP="0033690E">
      <w:r w:rsidRPr="0033690E">
        <w:t xml:space="preserve">Nectin-4 is expressed in the oesophagus and stomach, and to a lesser extent in the mucosal glands of normal small intestine, colon, and rectum. Gastrointestinal events were expected. More patients experienced diarrhoea in the </w:t>
      </w:r>
      <w:r>
        <w:t>enfortumab vedotin</w:t>
      </w:r>
      <w:r w:rsidRPr="0033690E">
        <w:t xml:space="preserve"> arm (37.8%) than the chemotherapy arm (22.7%) in </w:t>
      </w:r>
      <w:r>
        <w:t xml:space="preserve">Study </w:t>
      </w:r>
      <w:r w:rsidRPr="0033690E">
        <w:t>EV-301, including more Grade 3</w:t>
      </w:r>
      <w:r>
        <w:t xml:space="preserve"> to </w:t>
      </w:r>
      <w:r w:rsidRPr="0033690E">
        <w:t>4 events.</w:t>
      </w:r>
    </w:p>
    <w:p w14:paraId="6C0F553C" w14:textId="2207510C" w:rsidR="0033690E" w:rsidRPr="0033690E" w:rsidRDefault="0033690E" w:rsidP="0033690E">
      <w:pPr>
        <w:pStyle w:val="Heading5"/>
      </w:pPr>
      <w:r w:rsidRPr="0033690E">
        <w:t xml:space="preserve">Haematological </w:t>
      </w:r>
      <w:r>
        <w:t>t</w:t>
      </w:r>
      <w:r w:rsidRPr="0033690E">
        <w:t>oxicity</w:t>
      </w:r>
    </w:p>
    <w:p w14:paraId="45CBCB52" w14:textId="2F894D35" w:rsidR="0033690E" w:rsidRPr="0033690E" w:rsidRDefault="0033690E" w:rsidP="0033690E">
      <w:r w:rsidRPr="0033690E">
        <w:t xml:space="preserve">Anaemia was common in both studies. It was reported in 19.9% of the </w:t>
      </w:r>
      <w:r>
        <w:t>enfortumab vedotin</w:t>
      </w:r>
      <w:r w:rsidRPr="0033690E">
        <w:t xml:space="preserve"> arm in</w:t>
      </w:r>
      <w:r>
        <w:t xml:space="preserve"> Study</w:t>
      </w:r>
      <w:r w:rsidRPr="0033690E">
        <w:t xml:space="preserve"> EV-301 (30.2% in the chemotherapy arm), and in 38.2% and 35.2% of</w:t>
      </w:r>
      <w:r>
        <w:t xml:space="preserve"> Study </w:t>
      </w:r>
      <w:r w:rsidRPr="0033690E">
        <w:t xml:space="preserve">EV-201 Cohorts 2 and 1, respectively. Grade 3 events were reported in 6.4% (11.7% in the chemotherapy arm), and in 38.2% and 35.2% of </w:t>
      </w:r>
      <w:r>
        <w:t xml:space="preserve">Study </w:t>
      </w:r>
      <w:r w:rsidRPr="0033690E">
        <w:t xml:space="preserve">EV-201 Cohorts 2 and 1, respectively. None of these events resulted in the withdrawal of </w:t>
      </w:r>
      <w:r>
        <w:t>enfortumab vedotin</w:t>
      </w:r>
      <w:r w:rsidRPr="0033690E">
        <w:t xml:space="preserve"> treatment.</w:t>
      </w:r>
    </w:p>
    <w:p w14:paraId="683CCAEC" w14:textId="4AF2B85F" w:rsidR="0033690E" w:rsidRPr="0033690E" w:rsidRDefault="0033690E" w:rsidP="0033690E">
      <w:r w:rsidRPr="0033690E">
        <w:t xml:space="preserve">Neutropenia was also common in both studies. It was reported in 18.2% of the </w:t>
      </w:r>
      <w:r>
        <w:t>enfortumab</w:t>
      </w:r>
      <w:r w:rsidRPr="0033690E">
        <w:t xml:space="preserve"> arm in</w:t>
      </w:r>
      <w:r>
        <w:t xml:space="preserve"> Study</w:t>
      </w:r>
      <w:r w:rsidRPr="0033690E">
        <w:t xml:space="preserve"> EV-301 (29.6% in the chemotherapy arm), and in 18.0% and 16.8% of</w:t>
      </w:r>
      <w:r>
        <w:t xml:space="preserve"> Study </w:t>
      </w:r>
      <w:r w:rsidRPr="0033690E">
        <w:t>EV-201 Cohorts 2 and 1, respectively. Febrile neutropenia was more common in the chemotherapy arm of</w:t>
      </w:r>
      <w:r>
        <w:t xml:space="preserve"> Study</w:t>
      </w:r>
      <w:r w:rsidRPr="0033690E">
        <w:t xml:space="preserve"> EV-301 (30% </w:t>
      </w:r>
      <w:r>
        <w:t xml:space="preserve">versus </w:t>
      </w:r>
      <w:r w:rsidRPr="0033690E">
        <w:t xml:space="preserve">14.8%). </w:t>
      </w:r>
      <w:r>
        <w:t>Greater tha</w:t>
      </w:r>
      <w:r w:rsidR="00A42B0D">
        <w:t>n</w:t>
      </w:r>
      <w:r>
        <w:t xml:space="preserve"> or </w:t>
      </w:r>
      <w:r>
        <w:lastRenderedPageBreak/>
        <w:t xml:space="preserve">equal to </w:t>
      </w:r>
      <w:r w:rsidRPr="0033690E">
        <w:t xml:space="preserve">Grade 3 events were reported in 4.7% (7.5% in the chemotherapy arm), and in 10.1% and 6.4% of </w:t>
      </w:r>
      <w:r w:rsidR="00615BBB">
        <w:t xml:space="preserve">Study </w:t>
      </w:r>
      <w:r w:rsidRPr="0033690E">
        <w:t xml:space="preserve">EV-201 Cohorts 2 and 1, respectively. Neutropenia led to the withdrawal of </w:t>
      </w:r>
      <w:r w:rsidR="00615BBB">
        <w:t>enfortumab vedotin</w:t>
      </w:r>
      <w:r w:rsidRPr="0033690E">
        <w:t xml:space="preserve"> treatment in </w:t>
      </w:r>
      <w:r w:rsidR="00615BBB">
        <w:t>two</w:t>
      </w:r>
      <w:r w:rsidRPr="0033690E">
        <w:t xml:space="preserve"> patients.</w:t>
      </w:r>
    </w:p>
    <w:p w14:paraId="4275FEA0" w14:textId="23EBEAEB" w:rsidR="0033690E" w:rsidRDefault="0033690E" w:rsidP="0033690E">
      <w:r w:rsidRPr="0033690E">
        <w:t xml:space="preserve">Infections occurring concurrently with neutropenia were reported for 4.1% of the </w:t>
      </w:r>
      <w:r w:rsidR="00615BBB">
        <w:t>enfortumab vedotin</w:t>
      </w:r>
      <w:r w:rsidRPr="0033690E">
        <w:t xml:space="preserve"> arm in</w:t>
      </w:r>
      <w:r w:rsidR="00615BBB">
        <w:t xml:space="preserve"> Study</w:t>
      </w:r>
      <w:r w:rsidRPr="0033690E">
        <w:t xml:space="preserve"> EV-301 (6.9% in the chemotherapy arm), and in 5.6% and 4.8% of </w:t>
      </w:r>
      <w:r w:rsidR="00615BBB">
        <w:t xml:space="preserve">Study </w:t>
      </w:r>
      <w:r w:rsidRPr="0033690E">
        <w:t xml:space="preserve">EV-201 Cohorts 2 and 1, respectively. </w:t>
      </w:r>
      <w:r w:rsidR="00615BBB">
        <w:t xml:space="preserve">Greater than or equal to </w:t>
      </w:r>
      <w:r w:rsidRPr="0033690E">
        <w:t>Grade</w:t>
      </w:r>
      <w:r w:rsidR="00615BBB">
        <w:t> </w:t>
      </w:r>
      <w:r w:rsidRPr="0033690E">
        <w:t xml:space="preserve">3 infections occurring concurrently with neutropenia were reported for 2.4% of the </w:t>
      </w:r>
      <w:r w:rsidR="00615BBB">
        <w:t>enfortumab vedotin</w:t>
      </w:r>
      <w:r w:rsidRPr="0033690E">
        <w:t xml:space="preserve"> arm in </w:t>
      </w:r>
      <w:r w:rsidR="00615BBB">
        <w:t xml:space="preserve">Study </w:t>
      </w:r>
      <w:r w:rsidRPr="0033690E">
        <w:t xml:space="preserve">EV-301 (1.7% in the chemotherapy arm), and in 4.5% and 1.6% of </w:t>
      </w:r>
      <w:r w:rsidR="00615BBB">
        <w:t xml:space="preserve">Study </w:t>
      </w:r>
      <w:r w:rsidRPr="0033690E">
        <w:t>EV-201 Cohorts 2 and 1, respectively.</w:t>
      </w:r>
    </w:p>
    <w:p w14:paraId="3FE1B863" w14:textId="77777777" w:rsidR="008E7846" w:rsidRPr="002C2753" w:rsidRDefault="00386150" w:rsidP="002C2753">
      <w:pPr>
        <w:pStyle w:val="Heading3"/>
      </w:pPr>
      <w:bookmarkStart w:id="68" w:name="_Toc314842514"/>
      <w:bookmarkStart w:id="69" w:name="_Toc128492524"/>
      <w:r w:rsidRPr="002C2753">
        <w:t>Risk m</w:t>
      </w:r>
      <w:r w:rsidR="008E7846" w:rsidRPr="002C2753">
        <w:t xml:space="preserve">anagement </w:t>
      </w:r>
      <w:r w:rsidRPr="002C2753">
        <w:t>p</w:t>
      </w:r>
      <w:r w:rsidR="008E7846" w:rsidRPr="002C2753">
        <w:t>lan</w:t>
      </w:r>
      <w:bookmarkEnd w:id="68"/>
      <w:bookmarkEnd w:id="69"/>
    </w:p>
    <w:p w14:paraId="19DFDB6A" w14:textId="42E250BC" w:rsidR="00F20221" w:rsidRDefault="00837B50" w:rsidP="00F20221">
      <w:bookmarkStart w:id="70" w:name="_Toc247691531"/>
      <w:bookmarkStart w:id="71" w:name="_Toc314842515"/>
      <w:bookmarkStart w:id="72" w:name="_Toc196046505"/>
      <w:bookmarkStart w:id="73" w:name="_Toc196046949"/>
      <w:r>
        <w:t>The sponsor</w:t>
      </w:r>
      <w:r w:rsidR="00F20221">
        <w:t xml:space="preserve"> has submitted EU-</w:t>
      </w:r>
      <w:r w:rsidR="00F15683">
        <w:t xml:space="preserve"> risk management plan (</w:t>
      </w:r>
      <w:r w:rsidR="00F20221">
        <w:t>RMP</w:t>
      </w:r>
      <w:r w:rsidR="00F15683">
        <w:t>)</w:t>
      </w:r>
      <w:r w:rsidR="00F20221">
        <w:t xml:space="preserve"> version 0.1 (dated 2</w:t>
      </w:r>
      <w:r w:rsidR="00F15683">
        <w:t> </w:t>
      </w:r>
      <w:r w:rsidR="00F20221">
        <w:t xml:space="preserve">February 2021; </w:t>
      </w:r>
      <w:r w:rsidR="00E345B0">
        <w:t>data lock point (</w:t>
      </w:r>
      <w:r w:rsidR="00F20221">
        <w:t>DLP</w:t>
      </w:r>
      <w:r w:rsidR="00E345B0">
        <w:t>)</w:t>
      </w:r>
      <w:r w:rsidR="00F20221">
        <w:t xml:space="preserve"> 15 September 2020) and </w:t>
      </w:r>
      <w:r w:rsidR="00E345B0">
        <w:t>Australia specific annex (</w:t>
      </w:r>
      <w:r w:rsidR="00F20221">
        <w:t>ASA</w:t>
      </w:r>
      <w:r w:rsidR="00E345B0">
        <w:t xml:space="preserve">) </w:t>
      </w:r>
      <w:r w:rsidR="00F20221">
        <w:t xml:space="preserve">version 1.0 (dated 4 February 2021) in support of this application. In its </w:t>
      </w:r>
      <w:r w:rsidR="00F15683">
        <w:t>response to TGA evaluations</w:t>
      </w:r>
      <w:r w:rsidR="00F20221">
        <w:t>, the sponsor has submitted EU-RMP version 0.3 (dated 2 February 2021; DLP 15</w:t>
      </w:r>
      <w:r w:rsidR="00F15683">
        <w:t> </w:t>
      </w:r>
      <w:r w:rsidR="00F20221">
        <w:t>September 2020) and ASA version 2.0 (dated 17 September 2021) in support of this application.</w:t>
      </w:r>
    </w:p>
    <w:p w14:paraId="3BF124FC" w14:textId="7787BD85" w:rsidR="00F20221" w:rsidRDefault="00F20221" w:rsidP="00F20221">
      <w:r>
        <w:t>The sponsor has submitted approved EU-RMP version 1.0 (dated March 2022; DLP 15</w:t>
      </w:r>
      <w:r w:rsidR="00F15683">
        <w:t> </w:t>
      </w:r>
      <w:r>
        <w:t xml:space="preserve">September 2020) and ASA version 3.0 (dated 9 May 2022) in response to changes to the PI/CMI which were requested by the TGA on 4 and 5 May 2022. </w:t>
      </w:r>
    </w:p>
    <w:p w14:paraId="26DD8B9A" w14:textId="628C41CC" w:rsidR="00E345B0" w:rsidRDefault="00F20221" w:rsidP="0074163C">
      <w:r>
        <w:t xml:space="preserve">The sponsor has submitted ASA version 4.0 (dated 24 May 2022) in response to the outstanding issues identified at the </w:t>
      </w:r>
      <w:r w:rsidR="00F15683">
        <w:t>fourth round of RMP</w:t>
      </w:r>
      <w:r>
        <w:t xml:space="preserve"> evaluation. The sponsor has submitted ASA version 5.0 (dated 13 June 2022) in response to the outstanding issue identified at the </w:t>
      </w:r>
      <w:r w:rsidR="00F15683">
        <w:t>fifth round of</w:t>
      </w:r>
      <w:r>
        <w:t xml:space="preserve"> RMP </w:t>
      </w:r>
      <w:r w:rsidR="00F15683">
        <w:t>e</w:t>
      </w:r>
      <w:r>
        <w:t>valuation.</w:t>
      </w:r>
    </w:p>
    <w:p w14:paraId="230F74FD" w14:textId="4D37B2E1" w:rsidR="0074163C" w:rsidRDefault="0074163C" w:rsidP="0074163C">
      <w:r>
        <w:t xml:space="preserve">The summary of safety concerns and their associated risk monitoring and mitigation strategies are summarised in </w:t>
      </w:r>
      <w:r w:rsidR="00C7035E">
        <w:fldChar w:fldCharType="begin"/>
      </w:r>
      <w:r w:rsidR="00C7035E">
        <w:instrText xml:space="preserve"> REF _Ref97629131 \h </w:instrText>
      </w:r>
      <w:r w:rsidR="00C7035E">
        <w:fldChar w:fldCharType="separate"/>
      </w:r>
      <w:r w:rsidR="00555193">
        <w:t xml:space="preserve">Table </w:t>
      </w:r>
      <w:r w:rsidR="00555193">
        <w:rPr>
          <w:noProof/>
        </w:rPr>
        <w:t>18</w:t>
      </w:r>
      <w:r w:rsidR="00C7035E">
        <w:fldChar w:fldCharType="end"/>
      </w:r>
      <w:r w:rsidR="00C7035E">
        <w:t xml:space="preserve">. </w:t>
      </w:r>
      <w:r>
        <w:t xml:space="preserve">Further information regarding </w:t>
      </w:r>
      <w:r w:rsidR="00CC5044">
        <w:t>the TGA</w:t>
      </w:r>
      <w:r w:rsidR="00BF7063">
        <w:t>’</w:t>
      </w:r>
      <w:r w:rsidR="00CC5044">
        <w:t>s r</w:t>
      </w:r>
      <w:r>
        <w:t xml:space="preserve">isk management approach can be found in </w:t>
      </w:r>
      <w:hyperlink r:id="rId44" w:history="1">
        <w:r w:rsidRPr="0023444E">
          <w:rPr>
            <w:rStyle w:val="Hyperlink"/>
          </w:rPr>
          <w:t>risk management plans for medicines and biologicals</w:t>
        </w:r>
      </w:hyperlink>
      <w:r>
        <w:t xml:space="preserve"> and </w:t>
      </w:r>
      <w:hyperlink r:id="rId45" w:history="1">
        <w:r w:rsidRPr="0023444E">
          <w:rPr>
            <w:rStyle w:val="Hyperlink"/>
          </w:rPr>
          <w:t>the TGA's risk management approach</w:t>
        </w:r>
      </w:hyperlink>
      <w:r>
        <w:t>.</w:t>
      </w:r>
    </w:p>
    <w:p w14:paraId="2307C728" w14:textId="0D95856C" w:rsidR="0074163C" w:rsidRDefault="0074163C" w:rsidP="0074163C">
      <w:pPr>
        <w:pStyle w:val="TableTitle"/>
      </w:pPr>
      <w:bookmarkStart w:id="74" w:name="_Ref97629131"/>
      <w:r>
        <w:t xml:space="preserve">Table </w:t>
      </w:r>
      <w:r w:rsidR="00EA2B2C">
        <w:fldChar w:fldCharType="begin"/>
      </w:r>
      <w:r w:rsidR="00EA2B2C">
        <w:instrText xml:space="preserve"> SEQ Table \* ARABIC </w:instrText>
      </w:r>
      <w:r w:rsidR="00EA2B2C">
        <w:fldChar w:fldCharType="separate"/>
      </w:r>
      <w:r w:rsidR="00555193">
        <w:rPr>
          <w:noProof/>
        </w:rPr>
        <w:t>18</w:t>
      </w:r>
      <w:r w:rsidR="00EA2B2C">
        <w:rPr>
          <w:noProof/>
        </w:rPr>
        <w:fldChar w:fldCharType="end"/>
      </w:r>
      <w:bookmarkEnd w:id="74"/>
      <w:r>
        <w:t>: Summary of safety concerns</w:t>
      </w:r>
    </w:p>
    <w:tbl>
      <w:tblPr>
        <w:tblStyle w:val="TableGrid"/>
        <w:tblW w:w="8630"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Pr>
      <w:tblGrid>
        <w:gridCol w:w="1418"/>
        <w:gridCol w:w="3162"/>
        <w:gridCol w:w="900"/>
        <w:gridCol w:w="1170"/>
        <w:gridCol w:w="900"/>
        <w:gridCol w:w="1080"/>
      </w:tblGrid>
      <w:tr w:rsidR="00C7035E" w:rsidRPr="00BF52F4" w14:paraId="46A9596F" w14:textId="77777777" w:rsidTr="008D2D0F">
        <w:trPr>
          <w:trHeight w:val="92"/>
          <w:jc w:val="center"/>
        </w:trPr>
        <w:tc>
          <w:tcPr>
            <w:tcW w:w="4580" w:type="dxa"/>
            <w:gridSpan w:val="2"/>
            <w:vMerge w:val="restart"/>
            <w:tcBorders>
              <w:top w:val="single" w:sz="8" w:space="0" w:color="auto"/>
              <w:right w:val="single" w:sz="4" w:space="0" w:color="auto"/>
            </w:tcBorders>
            <w:shd w:val="clear" w:color="auto" w:fill="006DA7"/>
          </w:tcPr>
          <w:p w14:paraId="013258A1" w14:textId="77777777" w:rsidR="00C7035E" w:rsidRPr="008D2D0F" w:rsidRDefault="00C7035E" w:rsidP="00C97FFB">
            <w:pPr>
              <w:pStyle w:val="Tabletext"/>
              <w:rPr>
                <w:b/>
                <w:color w:val="FFFFFF" w:themeColor="background1"/>
              </w:rPr>
            </w:pPr>
            <w:r w:rsidRPr="008D2D0F">
              <w:rPr>
                <w:b/>
                <w:color w:val="FFFFFF" w:themeColor="background1"/>
              </w:rPr>
              <w:t>Summary of safety concerns</w:t>
            </w:r>
          </w:p>
        </w:tc>
        <w:tc>
          <w:tcPr>
            <w:tcW w:w="2070" w:type="dxa"/>
            <w:gridSpan w:val="2"/>
            <w:tcBorders>
              <w:top w:val="single" w:sz="8" w:space="0" w:color="auto"/>
              <w:left w:val="single" w:sz="4" w:space="0" w:color="auto"/>
              <w:bottom w:val="single" w:sz="4" w:space="0" w:color="auto"/>
            </w:tcBorders>
            <w:shd w:val="clear" w:color="auto" w:fill="006DA7"/>
          </w:tcPr>
          <w:p w14:paraId="037ED629" w14:textId="77777777" w:rsidR="00C7035E" w:rsidRPr="008D2D0F" w:rsidRDefault="00C7035E" w:rsidP="00C97FFB">
            <w:pPr>
              <w:pStyle w:val="Tabletext"/>
              <w:rPr>
                <w:b/>
                <w:color w:val="FFFFFF" w:themeColor="background1"/>
                <w:sz w:val="18"/>
              </w:rPr>
            </w:pPr>
            <w:r w:rsidRPr="008D2D0F">
              <w:rPr>
                <w:b/>
                <w:color w:val="FFFFFF" w:themeColor="background1"/>
                <w:sz w:val="18"/>
              </w:rPr>
              <w:t>Pharmacovigilance</w:t>
            </w:r>
          </w:p>
        </w:tc>
        <w:tc>
          <w:tcPr>
            <w:tcW w:w="1980" w:type="dxa"/>
            <w:gridSpan w:val="2"/>
            <w:tcBorders>
              <w:top w:val="single" w:sz="8" w:space="0" w:color="auto"/>
              <w:left w:val="single" w:sz="4" w:space="0" w:color="auto"/>
              <w:bottom w:val="single" w:sz="4" w:space="0" w:color="auto"/>
            </w:tcBorders>
            <w:shd w:val="clear" w:color="auto" w:fill="006DA7"/>
          </w:tcPr>
          <w:p w14:paraId="33EA82D1" w14:textId="77777777" w:rsidR="00C7035E" w:rsidRPr="008D2D0F" w:rsidRDefault="00C7035E" w:rsidP="00C97FFB">
            <w:pPr>
              <w:pStyle w:val="Tabletext"/>
              <w:rPr>
                <w:b/>
                <w:color w:val="FFFFFF" w:themeColor="background1"/>
                <w:sz w:val="18"/>
              </w:rPr>
            </w:pPr>
            <w:r w:rsidRPr="008D2D0F">
              <w:rPr>
                <w:b/>
                <w:color w:val="FFFFFF" w:themeColor="background1"/>
                <w:sz w:val="18"/>
              </w:rPr>
              <w:t>Risk Minimisation</w:t>
            </w:r>
          </w:p>
        </w:tc>
      </w:tr>
      <w:tr w:rsidR="00C7035E" w:rsidRPr="00BF52F4" w14:paraId="0476DABE" w14:textId="77777777" w:rsidTr="008D2D0F">
        <w:trPr>
          <w:trHeight w:val="106"/>
          <w:jc w:val="center"/>
        </w:trPr>
        <w:tc>
          <w:tcPr>
            <w:tcW w:w="4580" w:type="dxa"/>
            <w:gridSpan w:val="2"/>
            <w:vMerge/>
            <w:tcBorders>
              <w:bottom w:val="single" w:sz="8" w:space="0" w:color="auto"/>
              <w:right w:val="single" w:sz="4" w:space="0" w:color="auto"/>
            </w:tcBorders>
            <w:shd w:val="clear" w:color="auto" w:fill="006DA7"/>
          </w:tcPr>
          <w:p w14:paraId="69D8D924" w14:textId="77777777" w:rsidR="00C7035E" w:rsidRPr="008D2D0F" w:rsidRDefault="00C7035E" w:rsidP="00C97FFB">
            <w:pPr>
              <w:pStyle w:val="Tabletext"/>
              <w:rPr>
                <w:b/>
                <w:color w:val="FFFFFF" w:themeColor="background1"/>
              </w:rPr>
            </w:pPr>
          </w:p>
        </w:tc>
        <w:tc>
          <w:tcPr>
            <w:tcW w:w="900" w:type="dxa"/>
            <w:tcBorders>
              <w:top w:val="single" w:sz="4" w:space="0" w:color="auto"/>
              <w:left w:val="single" w:sz="4" w:space="0" w:color="auto"/>
              <w:bottom w:val="single" w:sz="8" w:space="0" w:color="auto"/>
              <w:right w:val="dotted" w:sz="2" w:space="0" w:color="auto"/>
            </w:tcBorders>
            <w:shd w:val="clear" w:color="auto" w:fill="006DA7"/>
          </w:tcPr>
          <w:p w14:paraId="3F0F2C1F" w14:textId="77777777" w:rsidR="00C7035E" w:rsidRPr="008D2D0F" w:rsidRDefault="00C7035E" w:rsidP="00C97FFB">
            <w:pPr>
              <w:pStyle w:val="Tabletext"/>
              <w:rPr>
                <w:color w:val="FFFFFF" w:themeColor="background1"/>
                <w:szCs w:val="19"/>
              </w:rPr>
            </w:pPr>
            <w:r w:rsidRPr="008D2D0F">
              <w:rPr>
                <w:color w:val="FFFFFF" w:themeColor="background1"/>
                <w:szCs w:val="19"/>
              </w:rPr>
              <w:t>Routine</w:t>
            </w:r>
          </w:p>
        </w:tc>
        <w:tc>
          <w:tcPr>
            <w:tcW w:w="1170" w:type="dxa"/>
            <w:tcBorders>
              <w:top w:val="single" w:sz="4" w:space="0" w:color="auto"/>
              <w:left w:val="dotted" w:sz="2" w:space="0" w:color="auto"/>
              <w:bottom w:val="single" w:sz="8" w:space="0" w:color="auto"/>
            </w:tcBorders>
            <w:shd w:val="clear" w:color="auto" w:fill="006DA7"/>
          </w:tcPr>
          <w:p w14:paraId="441C6645" w14:textId="77777777" w:rsidR="00C7035E" w:rsidRPr="008D2D0F" w:rsidRDefault="00C7035E" w:rsidP="00C97FFB">
            <w:pPr>
              <w:pStyle w:val="Tabletext"/>
              <w:rPr>
                <w:color w:val="FFFFFF" w:themeColor="background1"/>
                <w:szCs w:val="19"/>
              </w:rPr>
            </w:pPr>
            <w:r w:rsidRPr="008D2D0F">
              <w:rPr>
                <w:color w:val="FFFFFF" w:themeColor="background1"/>
                <w:szCs w:val="19"/>
              </w:rPr>
              <w:t>Additional</w:t>
            </w:r>
          </w:p>
        </w:tc>
        <w:tc>
          <w:tcPr>
            <w:tcW w:w="900" w:type="dxa"/>
            <w:tcBorders>
              <w:top w:val="single" w:sz="4" w:space="0" w:color="auto"/>
              <w:left w:val="single" w:sz="4" w:space="0" w:color="auto"/>
              <w:bottom w:val="single" w:sz="8" w:space="0" w:color="auto"/>
              <w:right w:val="dotted" w:sz="2" w:space="0" w:color="auto"/>
            </w:tcBorders>
            <w:shd w:val="clear" w:color="auto" w:fill="006DA7"/>
          </w:tcPr>
          <w:p w14:paraId="108C4A13" w14:textId="77777777" w:rsidR="00C7035E" w:rsidRPr="008D2D0F" w:rsidRDefault="00C7035E" w:rsidP="00C97FFB">
            <w:pPr>
              <w:pStyle w:val="Tabletext"/>
              <w:rPr>
                <w:color w:val="FFFFFF" w:themeColor="background1"/>
                <w:szCs w:val="19"/>
              </w:rPr>
            </w:pPr>
            <w:r w:rsidRPr="008D2D0F">
              <w:rPr>
                <w:color w:val="FFFFFF" w:themeColor="background1"/>
                <w:szCs w:val="19"/>
              </w:rPr>
              <w:t>Routine</w:t>
            </w:r>
          </w:p>
        </w:tc>
        <w:tc>
          <w:tcPr>
            <w:tcW w:w="1080" w:type="dxa"/>
            <w:tcBorders>
              <w:top w:val="single" w:sz="4" w:space="0" w:color="auto"/>
              <w:left w:val="dotted" w:sz="2" w:space="0" w:color="auto"/>
              <w:bottom w:val="single" w:sz="8" w:space="0" w:color="auto"/>
            </w:tcBorders>
            <w:shd w:val="clear" w:color="auto" w:fill="006DA7"/>
          </w:tcPr>
          <w:p w14:paraId="710268AE" w14:textId="77777777" w:rsidR="00C7035E" w:rsidRPr="008D2D0F" w:rsidRDefault="00C7035E" w:rsidP="00C97FFB">
            <w:pPr>
              <w:pStyle w:val="Tabletext"/>
              <w:rPr>
                <w:color w:val="FFFFFF" w:themeColor="background1"/>
                <w:szCs w:val="19"/>
              </w:rPr>
            </w:pPr>
            <w:r w:rsidRPr="008D2D0F">
              <w:rPr>
                <w:color w:val="FFFFFF" w:themeColor="background1"/>
                <w:szCs w:val="19"/>
              </w:rPr>
              <w:t>Additional</w:t>
            </w:r>
          </w:p>
        </w:tc>
      </w:tr>
      <w:tr w:rsidR="00C7035E" w:rsidRPr="00BF52F4" w14:paraId="6A4E9F4D" w14:textId="77777777" w:rsidTr="008D2D0F">
        <w:trPr>
          <w:trHeight w:val="96"/>
          <w:jc w:val="center"/>
        </w:trPr>
        <w:tc>
          <w:tcPr>
            <w:tcW w:w="1418" w:type="dxa"/>
            <w:vMerge w:val="restart"/>
            <w:tcBorders>
              <w:top w:val="single" w:sz="8" w:space="0" w:color="auto"/>
            </w:tcBorders>
          </w:tcPr>
          <w:p w14:paraId="5EB2647E" w14:textId="77777777" w:rsidR="00C7035E" w:rsidRPr="00C7035E" w:rsidRDefault="00C7035E" w:rsidP="00C97FFB">
            <w:pPr>
              <w:pStyle w:val="Tabletext"/>
              <w:rPr>
                <w:b/>
              </w:rPr>
            </w:pPr>
            <w:r w:rsidRPr="00C7035E">
              <w:rPr>
                <w:b/>
              </w:rPr>
              <w:t>Important identified risks</w:t>
            </w:r>
          </w:p>
        </w:tc>
        <w:tc>
          <w:tcPr>
            <w:tcW w:w="3162" w:type="dxa"/>
            <w:tcBorders>
              <w:top w:val="single" w:sz="8" w:space="0" w:color="auto"/>
              <w:bottom w:val="dotted" w:sz="2" w:space="0" w:color="auto"/>
              <w:right w:val="single" w:sz="4" w:space="0" w:color="auto"/>
            </w:tcBorders>
          </w:tcPr>
          <w:p w14:paraId="7CC61BD3" w14:textId="77777777" w:rsidR="00C7035E" w:rsidRPr="00C7035E" w:rsidRDefault="00C7035E" w:rsidP="00C97FFB">
            <w:pPr>
              <w:pStyle w:val="Tabletext"/>
            </w:pPr>
            <w:r w:rsidRPr="00C7035E">
              <w:t>Skin reactions including Stevens-Johnson syndrome (SJS) and Toxic Epidermal Necrolysis (TEN)</w:t>
            </w:r>
          </w:p>
        </w:tc>
        <w:tc>
          <w:tcPr>
            <w:tcW w:w="900" w:type="dxa"/>
            <w:tcBorders>
              <w:top w:val="single" w:sz="8" w:space="0" w:color="auto"/>
              <w:left w:val="single" w:sz="4" w:space="0" w:color="auto"/>
              <w:bottom w:val="dotted" w:sz="2" w:space="0" w:color="auto"/>
              <w:right w:val="dotted" w:sz="2" w:space="0" w:color="auto"/>
            </w:tcBorders>
            <w:vAlign w:val="center"/>
          </w:tcPr>
          <w:p w14:paraId="572656A0" w14:textId="77777777" w:rsidR="00C7035E" w:rsidRPr="00C7035E" w:rsidRDefault="00C7035E" w:rsidP="00C97FFB">
            <w:pPr>
              <w:pStyle w:val="Tabletext"/>
              <w:jc w:val="center"/>
            </w:pPr>
            <w:r w:rsidRPr="00C7035E">
              <w:sym w:font="Wingdings" w:char="F0FC"/>
            </w:r>
          </w:p>
        </w:tc>
        <w:tc>
          <w:tcPr>
            <w:tcW w:w="1170" w:type="dxa"/>
            <w:tcBorders>
              <w:top w:val="single" w:sz="8" w:space="0" w:color="auto"/>
              <w:left w:val="dotted" w:sz="2" w:space="0" w:color="auto"/>
              <w:bottom w:val="dotted" w:sz="2" w:space="0" w:color="auto"/>
            </w:tcBorders>
            <w:vAlign w:val="center"/>
          </w:tcPr>
          <w:p w14:paraId="74D62465" w14:textId="77777777" w:rsidR="00C7035E" w:rsidRPr="00C7035E" w:rsidRDefault="00C7035E" w:rsidP="00C97FFB">
            <w:pPr>
              <w:pStyle w:val="Tabletext"/>
              <w:jc w:val="center"/>
            </w:pPr>
            <w:r w:rsidRPr="00C7035E">
              <w:t>–</w:t>
            </w:r>
          </w:p>
        </w:tc>
        <w:tc>
          <w:tcPr>
            <w:tcW w:w="900" w:type="dxa"/>
            <w:tcBorders>
              <w:top w:val="single" w:sz="8" w:space="0" w:color="auto"/>
              <w:left w:val="single" w:sz="4" w:space="0" w:color="auto"/>
              <w:bottom w:val="dotted" w:sz="2" w:space="0" w:color="auto"/>
              <w:right w:val="dotted" w:sz="2" w:space="0" w:color="auto"/>
            </w:tcBorders>
            <w:vAlign w:val="center"/>
          </w:tcPr>
          <w:p w14:paraId="563F2296" w14:textId="77777777" w:rsidR="00C7035E" w:rsidRPr="00C7035E" w:rsidRDefault="00C7035E" w:rsidP="00C97FFB">
            <w:pPr>
              <w:pStyle w:val="Tabletext"/>
              <w:jc w:val="center"/>
            </w:pPr>
            <w:r w:rsidRPr="00C7035E">
              <w:sym w:font="Wingdings" w:char="F0FC"/>
            </w:r>
          </w:p>
        </w:tc>
        <w:tc>
          <w:tcPr>
            <w:tcW w:w="1080" w:type="dxa"/>
            <w:tcBorders>
              <w:top w:val="single" w:sz="8" w:space="0" w:color="auto"/>
              <w:left w:val="dotted" w:sz="2" w:space="0" w:color="auto"/>
              <w:bottom w:val="dotted" w:sz="2" w:space="0" w:color="auto"/>
            </w:tcBorders>
            <w:vAlign w:val="center"/>
          </w:tcPr>
          <w:p w14:paraId="4F1EC3E9" w14:textId="77777777" w:rsidR="00C7035E" w:rsidRPr="00C7035E" w:rsidRDefault="00C7035E" w:rsidP="00C97FFB">
            <w:pPr>
              <w:pStyle w:val="Tabletext"/>
              <w:jc w:val="center"/>
            </w:pPr>
            <w:r w:rsidRPr="00C7035E">
              <w:sym w:font="Wingdings" w:char="F0FC"/>
            </w:r>
            <w:r w:rsidRPr="00C7035E">
              <w:rPr>
                <w:rFonts w:asciiTheme="majorHAnsi" w:hAnsiTheme="majorHAnsi"/>
                <w:szCs w:val="20"/>
              </w:rPr>
              <w:t>†</w:t>
            </w:r>
          </w:p>
        </w:tc>
      </w:tr>
      <w:tr w:rsidR="00C7035E" w:rsidRPr="00BF52F4" w14:paraId="3F0A7970" w14:textId="77777777" w:rsidTr="008D2D0F">
        <w:trPr>
          <w:trHeight w:val="65"/>
          <w:jc w:val="center"/>
        </w:trPr>
        <w:tc>
          <w:tcPr>
            <w:tcW w:w="1418" w:type="dxa"/>
            <w:vMerge/>
          </w:tcPr>
          <w:p w14:paraId="65424F1F" w14:textId="77777777" w:rsidR="00C7035E" w:rsidRPr="00C7035E" w:rsidRDefault="00C7035E" w:rsidP="00C97FFB">
            <w:pPr>
              <w:pStyle w:val="Tabletext"/>
              <w:rPr>
                <w:b/>
              </w:rPr>
            </w:pPr>
          </w:p>
        </w:tc>
        <w:tc>
          <w:tcPr>
            <w:tcW w:w="3162" w:type="dxa"/>
            <w:tcBorders>
              <w:top w:val="dotted" w:sz="2" w:space="0" w:color="auto"/>
              <w:bottom w:val="dotted" w:sz="2" w:space="0" w:color="auto"/>
              <w:right w:val="single" w:sz="4" w:space="0" w:color="auto"/>
            </w:tcBorders>
          </w:tcPr>
          <w:p w14:paraId="3BE245A8" w14:textId="77777777" w:rsidR="00C7035E" w:rsidRPr="00C7035E" w:rsidRDefault="00C7035E" w:rsidP="00C97FFB">
            <w:pPr>
              <w:pStyle w:val="Tabletext"/>
            </w:pPr>
            <w:r w:rsidRPr="00C7035E">
              <w:t>Hyperglycaemia</w:t>
            </w:r>
          </w:p>
        </w:tc>
        <w:tc>
          <w:tcPr>
            <w:tcW w:w="900" w:type="dxa"/>
            <w:tcBorders>
              <w:top w:val="dotted" w:sz="2" w:space="0" w:color="auto"/>
              <w:left w:val="single" w:sz="4" w:space="0" w:color="auto"/>
              <w:bottom w:val="dotted" w:sz="2" w:space="0" w:color="auto"/>
              <w:right w:val="dotted" w:sz="2" w:space="0" w:color="auto"/>
            </w:tcBorders>
            <w:vAlign w:val="center"/>
          </w:tcPr>
          <w:p w14:paraId="72971F5C" w14:textId="77777777" w:rsidR="00C7035E" w:rsidRPr="00C7035E" w:rsidRDefault="00C7035E" w:rsidP="00C97FFB">
            <w:pPr>
              <w:pStyle w:val="Tabletext"/>
              <w:jc w:val="center"/>
            </w:pPr>
            <w:r w:rsidRPr="00C7035E">
              <w:sym w:font="Wingdings" w:char="F0FC"/>
            </w:r>
          </w:p>
        </w:tc>
        <w:tc>
          <w:tcPr>
            <w:tcW w:w="1170" w:type="dxa"/>
            <w:tcBorders>
              <w:top w:val="dotted" w:sz="2" w:space="0" w:color="auto"/>
              <w:left w:val="dotted" w:sz="2" w:space="0" w:color="auto"/>
              <w:bottom w:val="dotted" w:sz="2" w:space="0" w:color="auto"/>
            </w:tcBorders>
            <w:vAlign w:val="center"/>
          </w:tcPr>
          <w:p w14:paraId="2A9B0AC1" w14:textId="77777777" w:rsidR="00C7035E" w:rsidRPr="00C7035E" w:rsidRDefault="00C7035E" w:rsidP="00C97FFB">
            <w:pPr>
              <w:pStyle w:val="Tabletext"/>
              <w:jc w:val="center"/>
            </w:pPr>
            <w:r w:rsidRPr="00C7035E">
              <w:t>–</w:t>
            </w:r>
          </w:p>
        </w:tc>
        <w:tc>
          <w:tcPr>
            <w:tcW w:w="900" w:type="dxa"/>
            <w:tcBorders>
              <w:top w:val="dotted" w:sz="2" w:space="0" w:color="auto"/>
              <w:left w:val="single" w:sz="4" w:space="0" w:color="auto"/>
              <w:bottom w:val="dotted" w:sz="2" w:space="0" w:color="auto"/>
              <w:right w:val="dotted" w:sz="2" w:space="0" w:color="auto"/>
            </w:tcBorders>
            <w:vAlign w:val="center"/>
          </w:tcPr>
          <w:p w14:paraId="18F84B2F" w14:textId="77777777" w:rsidR="00C7035E" w:rsidRPr="00C7035E" w:rsidRDefault="00C7035E" w:rsidP="00C97FFB">
            <w:pPr>
              <w:pStyle w:val="Tabletext"/>
              <w:jc w:val="center"/>
            </w:pPr>
            <w:r w:rsidRPr="00C7035E">
              <w:sym w:font="Wingdings" w:char="F0FC"/>
            </w:r>
          </w:p>
        </w:tc>
        <w:tc>
          <w:tcPr>
            <w:tcW w:w="1080" w:type="dxa"/>
            <w:tcBorders>
              <w:top w:val="dotted" w:sz="2" w:space="0" w:color="auto"/>
              <w:left w:val="dotted" w:sz="2" w:space="0" w:color="auto"/>
              <w:bottom w:val="dotted" w:sz="2" w:space="0" w:color="auto"/>
            </w:tcBorders>
            <w:vAlign w:val="center"/>
          </w:tcPr>
          <w:p w14:paraId="0868FEFA" w14:textId="77777777" w:rsidR="00C7035E" w:rsidRPr="00C7035E" w:rsidRDefault="00C7035E" w:rsidP="00C97FFB">
            <w:pPr>
              <w:pStyle w:val="Tabletext"/>
              <w:jc w:val="center"/>
            </w:pPr>
            <w:r w:rsidRPr="00C7035E">
              <w:sym w:font="Wingdings" w:char="F0FC"/>
            </w:r>
            <w:r w:rsidRPr="00C7035E">
              <w:rPr>
                <w:rFonts w:asciiTheme="majorHAnsi" w:hAnsiTheme="majorHAnsi"/>
                <w:szCs w:val="20"/>
              </w:rPr>
              <w:t>†</w:t>
            </w:r>
          </w:p>
        </w:tc>
      </w:tr>
      <w:tr w:rsidR="00C7035E" w:rsidRPr="00BF52F4" w14:paraId="55EB4042" w14:textId="77777777" w:rsidTr="008D2D0F">
        <w:trPr>
          <w:trHeight w:val="113"/>
          <w:jc w:val="center"/>
        </w:trPr>
        <w:tc>
          <w:tcPr>
            <w:tcW w:w="1418" w:type="dxa"/>
          </w:tcPr>
          <w:p w14:paraId="0FE19582" w14:textId="77777777" w:rsidR="00C7035E" w:rsidRPr="00C7035E" w:rsidRDefault="00C7035E" w:rsidP="00C97FFB">
            <w:pPr>
              <w:pStyle w:val="Tabletext"/>
              <w:rPr>
                <w:b/>
              </w:rPr>
            </w:pPr>
            <w:r w:rsidRPr="00C7035E">
              <w:rPr>
                <w:b/>
              </w:rPr>
              <w:t>Important potential risks</w:t>
            </w:r>
          </w:p>
        </w:tc>
        <w:tc>
          <w:tcPr>
            <w:tcW w:w="3162" w:type="dxa"/>
            <w:tcBorders>
              <w:bottom w:val="dotted" w:sz="2" w:space="0" w:color="auto"/>
              <w:right w:val="single" w:sz="4" w:space="0" w:color="auto"/>
            </w:tcBorders>
          </w:tcPr>
          <w:p w14:paraId="5C314B35" w14:textId="77777777" w:rsidR="00C7035E" w:rsidRPr="00C7035E" w:rsidRDefault="00C7035E" w:rsidP="00C97FFB">
            <w:pPr>
              <w:pStyle w:val="Tabletext"/>
            </w:pPr>
            <w:r w:rsidRPr="00C7035E">
              <w:t>None</w:t>
            </w:r>
          </w:p>
        </w:tc>
        <w:tc>
          <w:tcPr>
            <w:tcW w:w="900" w:type="dxa"/>
            <w:tcBorders>
              <w:left w:val="single" w:sz="4" w:space="0" w:color="auto"/>
              <w:bottom w:val="dotted" w:sz="2" w:space="0" w:color="auto"/>
              <w:right w:val="dotted" w:sz="2" w:space="0" w:color="auto"/>
            </w:tcBorders>
            <w:vAlign w:val="center"/>
          </w:tcPr>
          <w:p w14:paraId="6A1F05D2" w14:textId="77777777" w:rsidR="00C7035E" w:rsidRPr="00C7035E" w:rsidRDefault="00C7035E" w:rsidP="00C97FFB">
            <w:pPr>
              <w:pStyle w:val="Tabletext"/>
              <w:jc w:val="center"/>
            </w:pPr>
            <w:r w:rsidRPr="00C7035E">
              <w:t>–</w:t>
            </w:r>
          </w:p>
        </w:tc>
        <w:tc>
          <w:tcPr>
            <w:tcW w:w="1170" w:type="dxa"/>
            <w:tcBorders>
              <w:left w:val="dotted" w:sz="2" w:space="0" w:color="auto"/>
              <w:bottom w:val="dotted" w:sz="2" w:space="0" w:color="auto"/>
            </w:tcBorders>
            <w:vAlign w:val="center"/>
          </w:tcPr>
          <w:p w14:paraId="432F33C3" w14:textId="77777777" w:rsidR="00C7035E" w:rsidRPr="00C7035E" w:rsidRDefault="00C7035E" w:rsidP="00C97FFB">
            <w:pPr>
              <w:pStyle w:val="Tabletext"/>
              <w:jc w:val="center"/>
            </w:pPr>
            <w:r w:rsidRPr="00C7035E">
              <w:t>–</w:t>
            </w:r>
          </w:p>
        </w:tc>
        <w:tc>
          <w:tcPr>
            <w:tcW w:w="900" w:type="dxa"/>
            <w:tcBorders>
              <w:left w:val="single" w:sz="4" w:space="0" w:color="auto"/>
              <w:bottom w:val="dotted" w:sz="2" w:space="0" w:color="auto"/>
              <w:right w:val="dotted" w:sz="2" w:space="0" w:color="auto"/>
            </w:tcBorders>
            <w:vAlign w:val="center"/>
          </w:tcPr>
          <w:p w14:paraId="04E19DF4" w14:textId="77777777" w:rsidR="00C7035E" w:rsidRPr="00C7035E" w:rsidRDefault="00C7035E" w:rsidP="00C97FFB">
            <w:pPr>
              <w:pStyle w:val="Tabletext"/>
              <w:jc w:val="center"/>
            </w:pPr>
            <w:r w:rsidRPr="00C7035E">
              <w:t>–</w:t>
            </w:r>
          </w:p>
        </w:tc>
        <w:tc>
          <w:tcPr>
            <w:tcW w:w="1080" w:type="dxa"/>
            <w:tcBorders>
              <w:left w:val="dotted" w:sz="2" w:space="0" w:color="auto"/>
              <w:bottom w:val="dotted" w:sz="2" w:space="0" w:color="auto"/>
            </w:tcBorders>
            <w:vAlign w:val="center"/>
          </w:tcPr>
          <w:p w14:paraId="5E755282" w14:textId="77777777" w:rsidR="00C7035E" w:rsidRPr="00C7035E" w:rsidRDefault="00C7035E" w:rsidP="00C97FFB">
            <w:pPr>
              <w:pStyle w:val="Tabletext"/>
              <w:jc w:val="center"/>
            </w:pPr>
            <w:r w:rsidRPr="00C7035E">
              <w:t>–</w:t>
            </w:r>
          </w:p>
        </w:tc>
      </w:tr>
      <w:tr w:rsidR="00C7035E" w:rsidRPr="00BF52F4" w14:paraId="1A7035BD" w14:textId="77777777" w:rsidTr="008D2D0F">
        <w:trPr>
          <w:trHeight w:val="127"/>
          <w:jc w:val="center"/>
        </w:trPr>
        <w:tc>
          <w:tcPr>
            <w:tcW w:w="1418" w:type="dxa"/>
            <w:tcBorders>
              <w:bottom w:val="single" w:sz="12" w:space="0" w:color="auto"/>
            </w:tcBorders>
          </w:tcPr>
          <w:p w14:paraId="3D0D078F" w14:textId="77777777" w:rsidR="00C7035E" w:rsidRPr="00C7035E" w:rsidRDefault="00C7035E" w:rsidP="00C97FFB">
            <w:pPr>
              <w:pStyle w:val="Tabletext"/>
              <w:rPr>
                <w:b/>
              </w:rPr>
            </w:pPr>
            <w:r w:rsidRPr="00C7035E">
              <w:rPr>
                <w:b/>
              </w:rPr>
              <w:t>Missing information</w:t>
            </w:r>
          </w:p>
        </w:tc>
        <w:tc>
          <w:tcPr>
            <w:tcW w:w="3162" w:type="dxa"/>
            <w:tcBorders>
              <w:bottom w:val="single" w:sz="12" w:space="0" w:color="auto"/>
              <w:right w:val="single" w:sz="4" w:space="0" w:color="auto"/>
            </w:tcBorders>
          </w:tcPr>
          <w:p w14:paraId="37E7BBC9" w14:textId="77777777" w:rsidR="00C7035E" w:rsidRPr="00C7035E" w:rsidRDefault="00C7035E" w:rsidP="00C97FFB">
            <w:pPr>
              <w:pStyle w:val="Tabletext"/>
            </w:pPr>
            <w:r w:rsidRPr="00C7035E">
              <w:t>Long term safety</w:t>
            </w:r>
          </w:p>
        </w:tc>
        <w:tc>
          <w:tcPr>
            <w:tcW w:w="900" w:type="dxa"/>
            <w:tcBorders>
              <w:left w:val="single" w:sz="4" w:space="0" w:color="auto"/>
              <w:bottom w:val="single" w:sz="12" w:space="0" w:color="auto"/>
              <w:right w:val="dotted" w:sz="2" w:space="0" w:color="auto"/>
            </w:tcBorders>
            <w:vAlign w:val="center"/>
          </w:tcPr>
          <w:p w14:paraId="501BE8C2" w14:textId="77777777" w:rsidR="00C7035E" w:rsidRPr="00C7035E" w:rsidRDefault="00C7035E" w:rsidP="00C97FFB">
            <w:pPr>
              <w:pStyle w:val="Tabletext"/>
              <w:jc w:val="center"/>
            </w:pPr>
            <w:r w:rsidRPr="00C7035E">
              <w:sym w:font="Wingdings" w:char="F0FC"/>
            </w:r>
          </w:p>
        </w:tc>
        <w:tc>
          <w:tcPr>
            <w:tcW w:w="1170" w:type="dxa"/>
            <w:tcBorders>
              <w:left w:val="dotted" w:sz="2" w:space="0" w:color="auto"/>
              <w:bottom w:val="single" w:sz="12" w:space="0" w:color="auto"/>
            </w:tcBorders>
            <w:vAlign w:val="center"/>
          </w:tcPr>
          <w:p w14:paraId="59BD330A" w14:textId="77777777" w:rsidR="00C7035E" w:rsidRPr="00C7035E" w:rsidRDefault="00C7035E" w:rsidP="00C97FFB">
            <w:pPr>
              <w:pStyle w:val="Tabletext"/>
              <w:jc w:val="center"/>
            </w:pPr>
            <w:r w:rsidRPr="00C7035E">
              <w:sym w:font="Wingdings" w:char="F0FC"/>
            </w:r>
            <w:r w:rsidRPr="00C7035E">
              <w:t>*</w:t>
            </w:r>
          </w:p>
        </w:tc>
        <w:tc>
          <w:tcPr>
            <w:tcW w:w="900" w:type="dxa"/>
            <w:tcBorders>
              <w:left w:val="single" w:sz="4" w:space="0" w:color="auto"/>
              <w:bottom w:val="single" w:sz="12" w:space="0" w:color="auto"/>
              <w:right w:val="dotted" w:sz="2" w:space="0" w:color="auto"/>
            </w:tcBorders>
            <w:vAlign w:val="center"/>
          </w:tcPr>
          <w:p w14:paraId="4A5BFB4C" w14:textId="77777777" w:rsidR="00C7035E" w:rsidRPr="00C7035E" w:rsidRDefault="00C7035E" w:rsidP="00C97FFB">
            <w:pPr>
              <w:pStyle w:val="Tabletext"/>
              <w:jc w:val="center"/>
            </w:pPr>
            <w:r w:rsidRPr="00C7035E">
              <w:t>–</w:t>
            </w:r>
          </w:p>
        </w:tc>
        <w:tc>
          <w:tcPr>
            <w:tcW w:w="1080" w:type="dxa"/>
            <w:tcBorders>
              <w:left w:val="dotted" w:sz="2" w:space="0" w:color="auto"/>
              <w:bottom w:val="single" w:sz="12" w:space="0" w:color="auto"/>
            </w:tcBorders>
            <w:vAlign w:val="center"/>
          </w:tcPr>
          <w:p w14:paraId="45C46555" w14:textId="77777777" w:rsidR="00C7035E" w:rsidRPr="00C7035E" w:rsidRDefault="00C7035E" w:rsidP="00C97FFB">
            <w:pPr>
              <w:pStyle w:val="Tabletext"/>
              <w:jc w:val="center"/>
            </w:pPr>
            <w:r w:rsidRPr="00C7035E">
              <w:t>–</w:t>
            </w:r>
          </w:p>
        </w:tc>
      </w:tr>
    </w:tbl>
    <w:p w14:paraId="79784AE4" w14:textId="3292C55B" w:rsidR="00C7035E" w:rsidRPr="00C7035E" w:rsidRDefault="00C7035E" w:rsidP="00C7035E">
      <w:pPr>
        <w:pStyle w:val="TableDescription"/>
      </w:pPr>
      <w:r w:rsidRPr="00C7035E">
        <w:t>*Final overall survival report based on the prespecified final number of events for the clinical trial E</w:t>
      </w:r>
      <w:r>
        <w:t>V</w:t>
      </w:r>
      <w:r>
        <w:noBreakHyphen/>
      </w:r>
      <w:r w:rsidRPr="00C7035E">
        <w:t>301.</w:t>
      </w:r>
    </w:p>
    <w:p w14:paraId="3A37AC96" w14:textId="16DE0B89" w:rsidR="00C7035E" w:rsidRPr="00C7035E" w:rsidRDefault="00C7035E" w:rsidP="00C7035E">
      <w:pPr>
        <w:pStyle w:val="TableDescription"/>
      </w:pPr>
      <w:r w:rsidRPr="00C7035E">
        <w:t>† Educational letter regarding the importance of the CMI to be given to the patient.</w:t>
      </w:r>
    </w:p>
    <w:p w14:paraId="7AA7561E" w14:textId="1102D9E5" w:rsidR="00F20221" w:rsidRDefault="00F20221" w:rsidP="00F20221">
      <w:r>
        <w:lastRenderedPageBreak/>
        <w:t xml:space="preserve">The summary of safety concerns in the ASA specify </w:t>
      </w:r>
      <w:r w:rsidR="006109E1">
        <w:t>‘</w:t>
      </w:r>
      <w:r w:rsidR="006109E1" w:rsidRPr="008D2D0F">
        <w:rPr>
          <w:i/>
        </w:rPr>
        <w:t>s</w:t>
      </w:r>
      <w:r w:rsidRPr="008D2D0F">
        <w:rPr>
          <w:i/>
        </w:rPr>
        <w:t xml:space="preserve">kin reactions including Stevens-Johnson syndrome and </w:t>
      </w:r>
      <w:r w:rsidR="00F15683" w:rsidRPr="008D2D0F">
        <w:rPr>
          <w:i/>
        </w:rPr>
        <w:t>t</w:t>
      </w:r>
      <w:r w:rsidRPr="008D2D0F">
        <w:rPr>
          <w:i/>
        </w:rPr>
        <w:t xml:space="preserve">oxic </w:t>
      </w:r>
      <w:r w:rsidR="00F15683" w:rsidRPr="008D2D0F">
        <w:rPr>
          <w:i/>
        </w:rPr>
        <w:t>e</w:t>
      </w:r>
      <w:r w:rsidRPr="008D2D0F">
        <w:rPr>
          <w:i/>
        </w:rPr>
        <w:t xml:space="preserve">pidermal </w:t>
      </w:r>
      <w:r w:rsidR="00F15683" w:rsidRPr="008D2D0F">
        <w:rPr>
          <w:i/>
        </w:rPr>
        <w:t>n</w:t>
      </w:r>
      <w:r w:rsidRPr="008D2D0F">
        <w:rPr>
          <w:i/>
        </w:rPr>
        <w:t>ecrolysis</w:t>
      </w:r>
      <w:r w:rsidR="006109E1" w:rsidRPr="008D2D0F">
        <w:rPr>
          <w:i/>
        </w:rPr>
        <w:t>’</w:t>
      </w:r>
      <w:r>
        <w:t xml:space="preserve"> as an </w:t>
      </w:r>
      <w:r w:rsidR="006109E1">
        <w:t>i</w:t>
      </w:r>
      <w:r>
        <w:t xml:space="preserve">mportant </w:t>
      </w:r>
      <w:r w:rsidR="006109E1">
        <w:t>i</w:t>
      </w:r>
      <w:r>
        <w:t xml:space="preserve">dentified </w:t>
      </w:r>
      <w:r w:rsidR="006109E1">
        <w:t>r</w:t>
      </w:r>
      <w:r>
        <w:t xml:space="preserve">isk and </w:t>
      </w:r>
      <w:r w:rsidR="006109E1">
        <w:t>‘l</w:t>
      </w:r>
      <w:r>
        <w:t>ong terms safety</w:t>
      </w:r>
      <w:r w:rsidR="006109E1">
        <w:t>’</w:t>
      </w:r>
      <w:r>
        <w:t xml:space="preserve"> is now included as </w:t>
      </w:r>
      <w:r w:rsidR="006109E1">
        <w:t>m</w:t>
      </w:r>
      <w:r>
        <w:t xml:space="preserve">issing </w:t>
      </w:r>
      <w:r w:rsidR="006109E1">
        <w:t>i</w:t>
      </w:r>
      <w:r>
        <w:t>nformation in the ASA. The summary of safety concerns is therefore acceptable.</w:t>
      </w:r>
    </w:p>
    <w:p w14:paraId="009FA7C0" w14:textId="4A00FFF9" w:rsidR="00F20221" w:rsidRDefault="00F20221" w:rsidP="00F20221">
      <w:r>
        <w:t xml:space="preserve">Routine pharmacovigilance activities only are proposed. A specific follow-up questionnaire form for skin reactions including Stevens-Johnson syndrome and </w:t>
      </w:r>
      <w:r w:rsidR="00F15683">
        <w:t>t</w:t>
      </w:r>
      <w:r>
        <w:t xml:space="preserve">oxic </w:t>
      </w:r>
      <w:r w:rsidR="00F15683">
        <w:t>e</w:t>
      </w:r>
      <w:r>
        <w:t xml:space="preserve">pidermal </w:t>
      </w:r>
      <w:r w:rsidR="00F15683">
        <w:t>n</w:t>
      </w:r>
      <w:r>
        <w:t xml:space="preserve">ecrolysis is not considered necessary at this stage as the sponsor is collecting information on all adverse events. This will include additional questions regarding skin events such as information regarding dermatology consultation, biopsy results (if performed) and any associated infection. </w:t>
      </w:r>
      <w:r w:rsidR="006109E1">
        <w:t>‘</w:t>
      </w:r>
      <w:r>
        <w:t>Long term safety</w:t>
      </w:r>
      <w:r w:rsidR="006109E1">
        <w:t>’</w:t>
      </w:r>
      <w:r>
        <w:t xml:space="preserve"> </w:t>
      </w:r>
      <w:r w:rsidR="006109E1">
        <w:t>for</w:t>
      </w:r>
      <w:r>
        <w:t xml:space="preserve"> Study</w:t>
      </w:r>
      <w:r w:rsidR="006109E1">
        <w:t xml:space="preserve"> </w:t>
      </w:r>
      <w:r>
        <w:t>EV-301 has been included as additional pharmacovigilance in the ASA (version 4.0), and this now aligns with the approved EU-RMP. The pharmacovigilance plan is acceptable.</w:t>
      </w:r>
    </w:p>
    <w:p w14:paraId="66928D1D" w14:textId="069D1828" w:rsidR="00F20221" w:rsidRDefault="00F20221" w:rsidP="00F20221">
      <w:r>
        <w:t xml:space="preserve">Routine risk minimisation activities only are proposed and are adequate at this stage, given that enfortumab vedotin will be administered in specialised settings. The sponsor has outlined in the ASA how the CMI will be distributed to the patients as provision of the CMI is key to the minimisation of risk regarding severe skin reactions. The sponsor states in ASA that the CMI will be attached to the PI and included in the packaging. The CMI can be detached and provided to the patient. The sponsor also proposes an </w:t>
      </w:r>
      <w:r w:rsidR="006109E1">
        <w:t>e</w:t>
      </w:r>
      <w:r>
        <w:t xml:space="preserve">ducational </w:t>
      </w:r>
      <w:r w:rsidR="006109E1">
        <w:t>l</w:t>
      </w:r>
      <w:r>
        <w:t xml:space="preserve">etter regarding the importance of providing consumers with the CMI for </w:t>
      </w:r>
      <w:r w:rsidR="006109E1">
        <w:t>Padcev</w:t>
      </w:r>
      <w:r>
        <w:t xml:space="preserve"> as an additional risk minimisation activity. The letter will ensure that </w:t>
      </w:r>
      <w:r w:rsidR="006109E1">
        <w:t>health care professionals</w:t>
      </w:r>
      <w:r>
        <w:t>, including pharmacists, who are expected to prescribe or treat patients with P</w:t>
      </w:r>
      <w:r w:rsidR="006109E1">
        <w:t>adcev</w:t>
      </w:r>
      <w:r>
        <w:t xml:space="preserve">, are aware of the importance of discussing the CMI with patients before providing it to them. There will also be a </w:t>
      </w:r>
      <w:r w:rsidR="006109E1">
        <w:t>quick response</w:t>
      </w:r>
      <w:r>
        <w:t xml:space="preserve"> </w:t>
      </w:r>
      <w:r w:rsidR="006109E1">
        <w:t xml:space="preserve">(QR) </w:t>
      </w:r>
      <w:r>
        <w:t xml:space="preserve">code provided in the educational letter which will allow </w:t>
      </w:r>
      <w:r w:rsidR="00731CC6">
        <w:t>health care professionals</w:t>
      </w:r>
      <w:r>
        <w:t xml:space="preserve"> to print additional copies of the CMI as needed for patients. The risk minimisation plan is acceptable.</w:t>
      </w:r>
    </w:p>
    <w:p w14:paraId="4D59992B" w14:textId="6A91F99B" w:rsidR="00D22E6E" w:rsidRDefault="00D22E6E" w:rsidP="0074163C">
      <w:r w:rsidRPr="00D22E6E">
        <w:t>The RMP evaluat</w:t>
      </w:r>
      <w:r w:rsidR="00F15683">
        <w:t>ion</w:t>
      </w:r>
      <w:r w:rsidRPr="00D22E6E">
        <w:t xml:space="preserve"> was satisfied with the proposed pharmacovigilance activities. The RMP evaluat</w:t>
      </w:r>
      <w:r w:rsidR="00F15683">
        <w:t>ion made</w:t>
      </w:r>
      <w:r w:rsidRPr="00D22E6E">
        <w:t xml:space="preserve"> comments about the PI </w:t>
      </w:r>
      <w:r w:rsidR="00837B50">
        <w:t xml:space="preserve">that </w:t>
      </w:r>
      <w:r w:rsidRPr="00D22E6E">
        <w:t>the Delegate will take into consideration during PI negotiations.</w:t>
      </w:r>
    </w:p>
    <w:p w14:paraId="7CBE8CBF" w14:textId="77777777" w:rsidR="008E7846" w:rsidRDefault="00AA0ED0" w:rsidP="008E7846">
      <w:pPr>
        <w:pStyle w:val="Heading3"/>
      </w:pPr>
      <w:bookmarkStart w:id="75" w:name="_Toc128492525"/>
      <w:r>
        <w:t>Risk-benefit a</w:t>
      </w:r>
      <w:r w:rsidR="008E7846">
        <w:t>nalysis</w:t>
      </w:r>
      <w:bookmarkEnd w:id="70"/>
      <w:bookmarkEnd w:id="71"/>
      <w:bookmarkEnd w:id="75"/>
    </w:p>
    <w:p w14:paraId="352A851B" w14:textId="77777777" w:rsidR="0074163C" w:rsidRDefault="0074163C" w:rsidP="0074163C">
      <w:pPr>
        <w:pStyle w:val="Heading4"/>
      </w:pPr>
      <w:bookmarkStart w:id="76" w:name="_Toc98931932"/>
      <w:r>
        <w:t>Delegate’s considerations</w:t>
      </w:r>
      <w:bookmarkEnd w:id="76"/>
    </w:p>
    <w:p w14:paraId="125A3440" w14:textId="6C708BBC" w:rsidR="00615BBB" w:rsidRPr="00615BBB" w:rsidRDefault="00615BBB" w:rsidP="00615BBB">
      <w:r w:rsidRPr="00615BBB">
        <w:t xml:space="preserve">This submission seeks full registration for </w:t>
      </w:r>
      <w:r>
        <w:t>enfortumab vedotin</w:t>
      </w:r>
      <w:r w:rsidRPr="00615BBB">
        <w:t xml:space="preserve"> for locally advanced or metastatic urothelial cancer who have undergone treatment with a PD-1/PD-L1 inhibitor and prior </w:t>
      </w:r>
      <w:proofErr w:type="gramStart"/>
      <w:r w:rsidRPr="00615BBB">
        <w:t>platinu</w:t>
      </w:r>
      <w:r>
        <w:t>m bas</w:t>
      </w:r>
      <w:r w:rsidRPr="00615BBB">
        <w:t>ed</w:t>
      </w:r>
      <w:proofErr w:type="gramEnd"/>
      <w:r w:rsidRPr="00615BBB">
        <w:t xml:space="preserve"> chemotherapy and in patients who have undergone treatment with a PD-1/PD-L1 inhibitor but who are ineligible for cisplatin.</w:t>
      </w:r>
    </w:p>
    <w:p w14:paraId="299342F5" w14:textId="6D11D51D" w:rsidR="00615BBB" w:rsidRPr="00615BBB" w:rsidRDefault="00615BBB" w:rsidP="00615BBB">
      <w:r>
        <w:t xml:space="preserve">Enfortumab vedotin </w:t>
      </w:r>
      <w:r w:rsidRPr="00615BBB">
        <w:t xml:space="preserve">is a new antibody drug conjugate with a </w:t>
      </w:r>
      <w:r w:rsidR="00F15683">
        <w:t>monomethyl auristatin E (</w:t>
      </w:r>
      <w:r w:rsidR="008B75CB">
        <w:t>MMAE</w:t>
      </w:r>
      <w:r w:rsidR="00F15683">
        <w:t>)</w:t>
      </w:r>
      <w:r w:rsidRPr="00615BBB">
        <w:t xml:space="preserve"> payload. The antibody targets Nectin-4 that is highly expressed in most endothelial tumours, the antibody drug conjugate binds, is endocytosed and the </w:t>
      </w:r>
      <w:r w:rsidR="008B75CB">
        <w:t>MMAE</w:t>
      </w:r>
      <w:r w:rsidRPr="00615BBB">
        <w:t xml:space="preserve"> cleaved. </w:t>
      </w:r>
      <w:r w:rsidR="008B75CB">
        <w:t>MMAE</w:t>
      </w:r>
      <w:r w:rsidRPr="00615BBB">
        <w:t xml:space="preserve"> is a </w:t>
      </w:r>
      <w:proofErr w:type="spellStart"/>
      <w:r w:rsidRPr="00615BBB">
        <w:t>microtubulin</w:t>
      </w:r>
      <w:proofErr w:type="spellEnd"/>
      <w:r w:rsidRPr="00615BBB">
        <w:t xml:space="preserve"> inhibitor which disrupts cellular activities and cell death. The concept of this mechanism of action has been established with other molecules such as brentuximab </w:t>
      </w:r>
      <w:proofErr w:type="spellStart"/>
      <w:r w:rsidRPr="00615BBB">
        <w:t>vedotin</w:t>
      </w:r>
      <w:proofErr w:type="spellEnd"/>
      <w:r w:rsidRPr="00615BBB">
        <w:t xml:space="preserve"> and </w:t>
      </w:r>
      <w:proofErr w:type="spellStart"/>
      <w:r w:rsidRPr="00615BBB">
        <w:t>polatuzumab</w:t>
      </w:r>
      <w:proofErr w:type="spellEnd"/>
      <w:r w:rsidRPr="00615BBB">
        <w:t xml:space="preserve"> </w:t>
      </w:r>
      <w:proofErr w:type="spellStart"/>
      <w:r w:rsidRPr="00615BBB">
        <w:t>vedotin</w:t>
      </w:r>
      <w:proofErr w:type="spellEnd"/>
      <w:r w:rsidRPr="00615BBB">
        <w:t>.</w:t>
      </w:r>
    </w:p>
    <w:p w14:paraId="117C8454" w14:textId="2CBC1C01" w:rsidR="00615BBB" w:rsidRPr="00615BBB" w:rsidRDefault="00615BBB" w:rsidP="00615BBB">
      <w:r w:rsidRPr="00615BBB">
        <w:t>Efficacy in the PD-1/PD-L1 and platinum</w:t>
      </w:r>
      <w:r>
        <w:t xml:space="preserve"> </w:t>
      </w:r>
      <w:r w:rsidRPr="00615BBB">
        <w:t>exposed population is primarily derived from Study EV-301, an ongoing, global, open</w:t>
      </w:r>
      <w:r>
        <w:t xml:space="preserve"> </w:t>
      </w:r>
      <w:r w:rsidRPr="00615BBB">
        <w:t xml:space="preserve">label, </w:t>
      </w:r>
      <w:r>
        <w:t>P</w:t>
      </w:r>
      <w:r w:rsidRPr="00615BBB">
        <w:t xml:space="preserve">hase </w:t>
      </w:r>
      <w:r>
        <w:t>III</w:t>
      </w:r>
      <w:r w:rsidRPr="00615BBB">
        <w:t xml:space="preserve"> randomised study of 608 patients with locally advanced or metastatic urothelial cancer who have received a platinum</w:t>
      </w:r>
      <w:r>
        <w:t xml:space="preserve"> </w:t>
      </w:r>
      <w:r w:rsidRPr="00615BBB">
        <w:t xml:space="preserve">containing chemotherapy and a PD-1/PD-L1 inhibitor. Patients in this study were randomised 1:1 to receive either enfortumab vedotin or investigators choice of chemotherapy (docetaxel, paclitaxel, or vinflunine). The comparator chemotherapy agents are single agents. Of the three choices for investigators for chemotherapy agents only the </w:t>
      </w:r>
      <w:proofErr w:type="spellStart"/>
      <w:r w:rsidRPr="00615BBB">
        <w:t>taxanes</w:t>
      </w:r>
      <w:proofErr w:type="spellEnd"/>
      <w:r w:rsidRPr="00615BBB">
        <w:t xml:space="preserve"> are available in Australia, and while not specifically indicated for locally </w:t>
      </w:r>
      <w:r w:rsidRPr="00615BBB">
        <w:lastRenderedPageBreak/>
        <w:t>advanced/metastatic urothelial cancer, are options. There are limited options in this setting, and given the study commenced in 2018 the comparators are not unreasonable.</w:t>
      </w:r>
    </w:p>
    <w:p w14:paraId="70ED3D64" w14:textId="4A6EE420" w:rsidR="00615BBB" w:rsidRPr="00615BBB" w:rsidRDefault="00615BBB" w:rsidP="00615BBB">
      <w:r w:rsidRPr="00615BBB">
        <w:t>The patients in this study had a median age of 68, which is younger than the average age at diagnosis of urothelial cancer. Around 20% of the study population was aged over 75</w:t>
      </w:r>
      <w:r w:rsidR="00F15683">
        <w:t> </w:t>
      </w:r>
      <w:r w:rsidRPr="00615BBB">
        <w:t>years. Although the racial and ethnic mix represents some parts of the Australian population it is noted there were very few Black/African American patients enrolled.</w:t>
      </w:r>
    </w:p>
    <w:p w14:paraId="58590BFB" w14:textId="206D1571" w:rsidR="00615BBB" w:rsidRPr="00615BBB" w:rsidRDefault="00615BBB" w:rsidP="00615BBB">
      <w:r w:rsidRPr="00615BBB">
        <w:t xml:space="preserve">Around 60% </w:t>
      </w:r>
      <w:r w:rsidR="00F15683">
        <w:t>had an</w:t>
      </w:r>
      <w:r w:rsidR="00F15683" w:rsidRPr="00615BBB">
        <w:t xml:space="preserve"> </w:t>
      </w:r>
      <w:r w:rsidRPr="00615BBB">
        <w:t xml:space="preserve">ECOG </w:t>
      </w:r>
      <w:r w:rsidR="00F15683">
        <w:t>performance status score of one</w:t>
      </w:r>
      <w:r w:rsidRPr="00615BBB">
        <w:t xml:space="preserve">, reflecting advanced disease and previous treatment. The study excluded patients with </w:t>
      </w:r>
      <w:proofErr w:type="gramStart"/>
      <w:r w:rsidRPr="00615BBB">
        <w:t>a number of</w:t>
      </w:r>
      <w:proofErr w:type="gramEnd"/>
      <w:r w:rsidRPr="00615BBB">
        <w:t xml:space="preserve"> active conditions, including certain recent manifestations of cardiovascular disease. The exclusion of uncontrolled diabetes is important to highlight and to carefully consider in clinical use given the increased risk of </w:t>
      </w:r>
      <w:proofErr w:type="gramStart"/>
      <w:r w:rsidRPr="00615BBB">
        <w:t xml:space="preserve">higher </w:t>
      </w:r>
      <w:r w:rsidR="00AC32BA">
        <w:t>g</w:t>
      </w:r>
      <w:r w:rsidRPr="00615BBB">
        <w:t>rade</w:t>
      </w:r>
      <w:proofErr w:type="gramEnd"/>
      <w:r w:rsidRPr="00615BBB">
        <w:t xml:space="preserve"> hyperglycaemia event patients with controlled hyperglycaemia. The patient population offered this treatment is likely to be broader that the trial population, but the limitations of the trial population may reflect those better able to tolerate </w:t>
      </w:r>
      <w:r>
        <w:t>enfortumab vedotin</w:t>
      </w:r>
      <w:r w:rsidRPr="00615BBB">
        <w:t>.</w:t>
      </w:r>
    </w:p>
    <w:p w14:paraId="6B2D7053" w14:textId="5056C4F8" w:rsidR="00615BBB" w:rsidRPr="00615BBB" w:rsidRDefault="00615BBB" w:rsidP="00615BBB">
      <w:r w:rsidRPr="00615BBB">
        <w:t xml:space="preserve">Most patients had received </w:t>
      </w:r>
      <w:r>
        <w:t>two</w:t>
      </w:r>
      <w:r w:rsidRPr="00615BBB">
        <w:t xml:space="preserve"> or more lines of therapy in the locally advanced/metastatic setting. Most patients had had a cisplatin containing chemotherapy regimen, in any setting for urothelial cancer. Around half had the best response of progressive disease on PD-1/PD-L1 inhibitors and around 87% had had a PD-1/PD-L1 inhibitor as the most recent </w:t>
      </w:r>
      <w:r w:rsidRPr="00807028">
        <w:t>therapy.</w:t>
      </w:r>
    </w:p>
    <w:p w14:paraId="493B1FAE" w14:textId="2FB71F8B" w:rsidR="00615BBB" w:rsidRPr="00615BBB" w:rsidRDefault="00615BBB" w:rsidP="00615BBB">
      <w:r w:rsidRPr="00615BBB">
        <w:t xml:space="preserve">The study met its primary endpoint, reducing the risk of an </w:t>
      </w:r>
      <w:r w:rsidR="00807028" w:rsidRPr="00807028">
        <w:t>overall survival</w:t>
      </w:r>
      <w:r w:rsidRPr="00615BBB">
        <w:t xml:space="preserve"> event by approximately 30% and providing a median additional 3.91 months survival gain over chemotherapy. The subgroup analysis is generally concordant with the main analysis except for women, who represented only around 20% of the trial population. Apart from small numbers leading imprecision in the estimate no other explanation has been identified by the sponsor.</w:t>
      </w:r>
    </w:p>
    <w:p w14:paraId="7C3B360A" w14:textId="345A596C" w:rsidR="00615BBB" w:rsidRPr="00615BBB" w:rsidRDefault="00615BBB" w:rsidP="00615BBB">
      <w:r w:rsidRPr="00615BBB">
        <w:t>Evidence from Study EV-301 was supplemented by data from Cohort 1 of Study EV-201, a single arm, open</w:t>
      </w:r>
      <w:r w:rsidR="00807028">
        <w:t xml:space="preserve"> </w:t>
      </w:r>
      <w:r w:rsidRPr="00615BBB">
        <w:t>label study in patients with locally advanced and metastatic urothelial cancer who had received prior treatment with platinum</w:t>
      </w:r>
      <w:r w:rsidR="00807028">
        <w:t xml:space="preserve"> </w:t>
      </w:r>
      <w:r w:rsidRPr="00615BBB">
        <w:t xml:space="preserve">containing chemotherapy in the adjuvant/neoadjuvant setting with recurrent or progressive disease </w:t>
      </w:r>
      <w:r w:rsidR="00807028">
        <w:t>less than</w:t>
      </w:r>
      <w:r w:rsidRPr="00615BBB">
        <w:t xml:space="preserve"> 12 months from completion, or in the locally advanced or metastatic setting. This </w:t>
      </w:r>
      <w:r w:rsidR="00807028">
        <w:t>c</w:t>
      </w:r>
      <w:r w:rsidRPr="00615BBB">
        <w:t>ohort supported accelerated approval of enfortumab vedotin in the US</w:t>
      </w:r>
      <w:r w:rsidR="00807028">
        <w:t>A</w:t>
      </w:r>
      <w:r w:rsidRPr="00615BBB">
        <w:t xml:space="preserve"> in locally advanced and metastatic urothelial cancer.</w:t>
      </w:r>
    </w:p>
    <w:p w14:paraId="06952A0D" w14:textId="34A505E1" w:rsidR="00615BBB" w:rsidRPr="00615BBB" w:rsidRDefault="00615BBB" w:rsidP="00615BBB">
      <w:r w:rsidRPr="00615BBB">
        <w:t>The patients were of similar age to the</w:t>
      </w:r>
      <w:r w:rsidR="00807028">
        <w:t xml:space="preserve"> Study</w:t>
      </w:r>
      <w:r w:rsidRPr="00615BBB">
        <w:t xml:space="preserve"> EV-301 patients, were predominantly </w:t>
      </w:r>
      <w:r w:rsidR="00B34271" w:rsidRPr="003F305D">
        <w:t>W</w:t>
      </w:r>
      <w:r w:rsidRPr="003F305D">
        <w:t>hite,</w:t>
      </w:r>
      <w:r w:rsidRPr="00615BBB">
        <w:t xml:space="preserve"> </w:t>
      </w:r>
      <w:proofErr w:type="gramStart"/>
      <w:r w:rsidRPr="00615BBB">
        <w:t>mal</w:t>
      </w:r>
      <w:r w:rsidR="005B2CAA">
        <w:t>e</w:t>
      </w:r>
      <w:proofErr w:type="gramEnd"/>
      <w:r w:rsidRPr="00615BBB">
        <w:t xml:space="preserve"> and mostly from North America. Almost all had had </w:t>
      </w:r>
      <w:r w:rsidR="00807028">
        <w:t>two</w:t>
      </w:r>
      <w:r w:rsidRPr="00615BBB">
        <w:t xml:space="preserve"> prior therapies, 74% had had prior cisplatin and 69% had PD-1/PD-L1 inhibitors a</w:t>
      </w:r>
      <w:r w:rsidR="00A42B0D">
        <w:t>s</w:t>
      </w:r>
      <w:r w:rsidRPr="00615BBB">
        <w:t xml:space="preserve"> their most recent therapy. O</w:t>
      </w:r>
      <w:r w:rsidR="00807028">
        <w:t>verall response rate</w:t>
      </w:r>
      <w:r w:rsidRPr="00615BBB">
        <w:t xml:space="preserve"> was the primary endpoint, which is acceptable in a single arm study as time to event outcomes are difficult to interpret without direct comparative data. The </w:t>
      </w:r>
      <w:r w:rsidR="00807028">
        <w:t>overall response rate</w:t>
      </w:r>
      <w:r w:rsidRPr="00615BBB">
        <w:t xml:space="preserve"> was 44% (95% CI: 35.1%, 53.2%) with </w:t>
      </w:r>
      <w:r w:rsidR="00F11925">
        <w:t>complete response</w:t>
      </w:r>
      <w:r w:rsidRPr="00615BBB">
        <w:t xml:space="preserve"> reported in 12%</w:t>
      </w:r>
      <w:r w:rsidR="00F11925">
        <w:t xml:space="preserve"> and</w:t>
      </w:r>
      <w:r w:rsidRPr="00615BBB">
        <w:t xml:space="preserve"> partial response in 32%. These findings are consistent with the findings from the main study.</w:t>
      </w:r>
    </w:p>
    <w:p w14:paraId="237AF77C" w14:textId="24C77063" w:rsidR="00615BBB" w:rsidRPr="00615BBB" w:rsidRDefault="00615BBB" w:rsidP="00615BBB">
      <w:r w:rsidRPr="00615BBB">
        <w:t xml:space="preserve">The second population for which the sponsor is seeking approval </w:t>
      </w:r>
      <w:r w:rsidR="00C32A90">
        <w:t>is</w:t>
      </w:r>
      <w:r w:rsidRPr="00615BBB">
        <w:t xml:space="preserve"> cisplatin ineligible patients whose disease has progressed after PD-1/PD-L1 inhibitors. The supportive data are from Cohort 2 of Study EV-201; again, these are single arm data. The study enrolled patients who met some, but not all, of the criteria for cisplatin ineligibility described by </w:t>
      </w:r>
      <w:proofErr w:type="spellStart"/>
      <w:r w:rsidRPr="00615BBB">
        <w:t>Galsky</w:t>
      </w:r>
      <w:proofErr w:type="spellEnd"/>
      <w:r w:rsidRPr="00615BBB">
        <w:t xml:space="preserve"> et al</w:t>
      </w:r>
      <w:r w:rsidR="00572A60">
        <w:t>.</w:t>
      </w:r>
      <w:r w:rsidRPr="00615BBB">
        <w:t xml:space="preserve"> in 2011.</w:t>
      </w:r>
      <w:r w:rsidR="00C32A90">
        <w:rPr>
          <w:rStyle w:val="FootnoteReference"/>
        </w:rPr>
        <w:footnoteReference w:id="21"/>
      </w:r>
      <w:r w:rsidRPr="00615BBB">
        <w:t xml:space="preserve"> Specifically, patients with an ECOG of</w:t>
      </w:r>
      <w:r w:rsidR="00C32A90">
        <w:t xml:space="preserve"> greater than </w:t>
      </w:r>
      <w:r w:rsidRPr="00615BBB">
        <w:t xml:space="preserve">2 were not enrolled, the criteria for renal function required a </w:t>
      </w:r>
      <w:r w:rsidR="00C32A90">
        <w:t>c</w:t>
      </w:r>
      <w:r w:rsidR="00C32A90" w:rsidRPr="00FE2253">
        <w:t>reatinine clearance</w:t>
      </w:r>
      <w:r w:rsidRPr="00615BBB">
        <w:t xml:space="preserve"> </w:t>
      </w:r>
      <w:r w:rsidR="00C32A90">
        <w:t xml:space="preserve">greater than </w:t>
      </w:r>
      <w:r w:rsidRPr="00615BBB">
        <w:t>30</w:t>
      </w:r>
      <w:r w:rsidR="00C32A90">
        <w:t> </w:t>
      </w:r>
      <w:r w:rsidRPr="00615BBB">
        <w:t>mL</w:t>
      </w:r>
      <w:r w:rsidR="00C32A90">
        <w:t xml:space="preserve"> per </w:t>
      </w:r>
      <w:r w:rsidRPr="00615BBB">
        <w:t>min</w:t>
      </w:r>
      <w:r w:rsidR="00C32A90">
        <w:t>ute</w:t>
      </w:r>
      <w:r w:rsidRPr="00615BBB">
        <w:t xml:space="preserve"> and patients with heart failure and peripheral neuropathy were specifically </w:t>
      </w:r>
      <w:r w:rsidRPr="00615BBB">
        <w:lastRenderedPageBreak/>
        <w:t>excluded. The study population was therefore narrower than the population claimed in the proposed indication.</w:t>
      </w:r>
    </w:p>
    <w:p w14:paraId="3F7523D1" w14:textId="39DF4F79" w:rsidR="00615BBB" w:rsidRPr="00615BBB" w:rsidRDefault="00615BBB" w:rsidP="00615BBB">
      <w:r w:rsidRPr="00615BBB">
        <w:t xml:space="preserve">The study included only 89 patients and did not meet its enrolment target, but the results were greater than the prespecified acceptance of efficacy, so this is not a major concern. The </w:t>
      </w:r>
      <w:r w:rsidR="00C32A90">
        <w:t>overall response rate</w:t>
      </w:r>
      <w:r w:rsidRPr="00615BBB">
        <w:t xml:space="preserve"> for Cohort 2 was 52% (95% CI: 40.8%, 62.4%) with </w:t>
      </w:r>
      <w:r w:rsidR="00C32A90">
        <w:t>complete response</w:t>
      </w:r>
      <w:r w:rsidRPr="00615BBB">
        <w:t xml:space="preserve"> in 20%, and partial response in 32%.</w:t>
      </w:r>
    </w:p>
    <w:p w14:paraId="0BEBE59E" w14:textId="53F4F7EA" w:rsidR="00615BBB" w:rsidRPr="00615BBB" w:rsidRDefault="00615BBB" w:rsidP="00615BBB">
      <w:r w:rsidRPr="00615BBB">
        <w:t xml:space="preserve">Toxicity is an issue for </w:t>
      </w:r>
      <w:r w:rsidR="00C32A90">
        <w:t>enfortumab vedotin</w:t>
      </w:r>
      <w:r w:rsidRPr="00615BBB">
        <w:t xml:space="preserve">. Almost every patient given </w:t>
      </w:r>
      <w:r w:rsidR="00C32A90">
        <w:t>enfortumab vedotin</w:t>
      </w:r>
      <w:r w:rsidRPr="00615BBB">
        <w:t xml:space="preserve"> in the main trials experienced an adverse event, and over 50% experienced at least </w:t>
      </w:r>
      <w:r w:rsidR="00C32A90">
        <w:t>one greater than or equal to</w:t>
      </w:r>
      <w:r w:rsidRPr="00615BBB">
        <w:t xml:space="preserve"> Grade 3 adverse event, including fatalities from adverse events. Around 60% of patients across the studies had a dose interruption from an adverse event. Patients in Cohort 2 had a higher proportion of deaths, development of sensory neuropathy, </w:t>
      </w:r>
      <w:proofErr w:type="gramStart"/>
      <w:r w:rsidRPr="00615BBB">
        <w:t>neutropenia</w:t>
      </w:r>
      <w:proofErr w:type="gramEnd"/>
      <w:r w:rsidRPr="00615BBB">
        <w:t xml:space="preserve"> and ocular toxicities.</w:t>
      </w:r>
    </w:p>
    <w:p w14:paraId="73D485F5" w14:textId="287BC858" w:rsidR="00615BBB" w:rsidRPr="00615BBB" w:rsidRDefault="00615BBB" w:rsidP="00615BBB">
      <w:r w:rsidRPr="00615BBB">
        <w:t xml:space="preserve">Significant toxicities of special interest include </w:t>
      </w:r>
      <w:r w:rsidR="00C32A90">
        <w:t>s</w:t>
      </w:r>
      <w:r w:rsidRPr="00615BBB">
        <w:t xml:space="preserve">evere skin adverse events such as Stevens Johnson </w:t>
      </w:r>
      <w:r w:rsidR="00C32A90">
        <w:t>s</w:t>
      </w:r>
      <w:r w:rsidRPr="00615BBB">
        <w:t>yndrom</w:t>
      </w:r>
      <w:r w:rsidR="00C32A90">
        <w:t>e</w:t>
      </w:r>
      <w:r w:rsidRPr="00615BBB">
        <w:t xml:space="preserve"> </w:t>
      </w:r>
      <w:r w:rsidRPr="00FC3CFF">
        <w:t xml:space="preserve">and </w:t>
      </w:r>
      <w:r w:rsidR="00FC3CFF" w:rsidRPr="00FC3CFF">
        <w:t>s</w:t>
      </w:r>
      <w:r w:rsidRPr="00FC3CFF">
        <w:t xml:space="preserve">evere </w:t>
      </w:r>
      <w:r w:rsidR="00FC3CFF" w:rsidRPr="00FC3CFF">
        <w:t>c</w:t>
      </w:r>
      <w:r w:rsidRPr="00FC3CFF">
        <w:t xml:space="preserve">utaneous </w:t>
      </w:r>
      <w:r w:rsidR="00FC3CFF" w:rsidRPr="00FC3CFF">
        <w:t>a</w:t>
      </w:r>
      <w:r w:rsidRPr="00FC3CFF">
        <w:t xml:space="preserve">dverse </w:t>
      </w:r>
      <w:r w:rsidR="00FC3CFF" w:rsidRPr="00FC3CFF">
        <w:t>r</w:t>
      </w:r>
      <w:r w:rsidRPr="00FC3CFF">
        <w:t>eactions.</w:t>
      </w:r>
      <w:r w:rsidRPr="00615BBB">
        <w:t xml:space="preserve"> Hyperglycaemia, particularly in patients who were </w:t>
      </w:r>
      <w:proofErr w:type="gramStart"/>
      <w:r w:rsidRPr="00615BBB">
        <w:t>obese</w:t>
      </w:r>
      <w:proofErr w:type="gramEnd"/>
      <w:r w:rsidRPr="00615BBB">
        <w:t xml:space="preserve"> and diabetic is also of concern as there were </w:t>
      </w:r>
      <w:r w:rsidR="00C32A90">
        <w:t xml:space="preserve">greater than or equal to </w:t>
      </w:r>
      <w:r w:rsidRPr="00615BBB">
        <w:t xml:space="preserve">Grade 3 events and fatalities. Haematological toxicity was common and while neutropenia is a </w:t>
      </w:r>
      <w:proofErr w:type="spellStart"/>
      <w:r w:rsidRPr="00615BBB">
        <w:t>well recognised</w:t>
      </w:r>
      <w:proofErr w:type="spellEnd"/>
      <w:r w:rsidRPr="00615BBB">
        <w:t xml:space="preserve"> adverse effect of anticancer agents, in this data set there was an association between neutropenia and an increased rate of infection. Ocular toxicity resulted in dry eye, lacrimal </w:t>
      </w:r>
      <w:proofErr w:type="gramStart"/>
      <w:r w:rsidRPr="00615BBB">
        <w:t>disturbance</w:t>
      </w:r>
      <w:proofErr w:type="gramEnd"/>
      <w:r w:rsidRPr="00615BBB">
        <w:t xml:space="preserve"> and blurred vision. This is problematic for all patients, and an impediment in eyesight is of particular concern in patients who have other disabilities such as deafness and gait disturbance from peripheral neuropathies.</w:t>
      </w:r>
    </w:p>
    <w:p w14:paraId="3B24049C" w14:textId="6E03FFDA" w:rsidR="00615BBB" w:rsidRPr="00615BBB" w:rsidRDefault="00615BBB" w:rsidP="00615BBB">
      <w:r w:rsidRPr="00615BBB">
        <w:t xml:space="preserve">For patients who have had disease progression despite PD-1/PD-L1 inhibitors and platinum chemotherapy at some point in their individual treatment algorithm, and who are seeking additional treatment, and who are well enough and prepared for the potential toxicities </w:t>
      </w:r>
      <w:r w:rsidR="00C32A90">
        <w:t xml:space="preserve">enfortumab vedotin </w:t>
      </w:r>
      <w:r w:rsidRPr="00615BBB">
        <w:t xml:space="preserve">offers a median of almost </w:t>
      </w:r>
      <w:r w:rsidR="00C32A90">
        <w:t>four</w:t>
      </w:r>
      <w:r w:rsidRPr="00615BBB">
        <w:t xml:space="preserve"> additional months of survival benefit. In the context of use the benefit/risk/uncertainty profile is considered acceptable.</w:t>
      </w:r>
    </w:p>
    <w:p w14:paraId="6FD1B135" w14:textId="3D3117FF" w:rsidR="00615BBB" w:rsidRPr="00615BBB" w:rsidRDefault="00615BBB" w:rsidP="00615BBB">
      <w:r w:rsidRPr="00615BBB">
        <w:t xml:space="preserve">For patients who are cisplatin ineligible Cohort 2 of </w:t>
      </w:r>
      <w:r w:rsidR="00EE3F31">
        <w:t>S</w:t>
      </w:r>
      <w:r w:rsidRPr="00615BBB">
        <w:t xml:space="preserve">tudy EV-201 is not fully representative of the population usually understood to be cisplatin ineligible. While there is no reason to suspect </w:t>
      </w:r>
      <w:r w:rsidR="00EE3F31">
        <w:t>enfortumab vedotin</w:t>
      </w:r>
      <w:r w:rsidRPr="00615BBB">
        <w:t xml:space="preserve"> will behave differently from an efficacy perspective, the safety of </w:t>
      </w:r>
      <w:r w:rsidR="00EE3F31">
        <w:t>enfortumab vedotin</w:t>
      </w:r>
      <w:r w:rsidRPr="00615BBB">
        <w:t xml:space="preserve"> has not been characterised in the broader cisplatin ineligible population. There does appear to be some increased risk of toxicities in the subset of cisplatin ineligible patients studied so this lack of data is a significant impediment in the consideration of safety for this aspect of the proposed indication. Additional uncertainties arise from the single arm study from which the data were derived, and the relatively small number of patients studied. In summary, this component of the proposed indication is of concern and the advice of the </w:t>
      </w:r>
      <w:r w:rsidR="00EE3F31">
        <w:t xml:space="preserve">Advisory Committee on Medicines </w:t>
      </w:r>
      <w:r w:rsidR="00EE3F31" w:rsidRPr="008522A6">
        <w:t>(</w:t>
      </w:r>
      <w:r w:rsidRPr="008522A6">
        <w:t>ACM</w:t>
      </w:r>
      <w:r w:rsidR="00EE3F31" w:rsidRPr="008522A6">
        <w:t>)</w:t>
      </w:r>
      <w:r w:rsidRPr="008522A6">
        <w:t xml:space="preserve"> is</w:t>
      </w:r>
      <w:r w:rsidRPr="00615BBB">
        <w:t xml:space="preserve"> sought.</w:t>
      </w:r>
    </w:p>
    <w:p w14:paraId="5A88249B" w14:textId="514D8000" w:rsidR="00615BBB" w:rsidRPr="00615BBB" w:rsidRDefault="00572A60" w:rsidP="00EE3F31">
      <w:pPr>
        <w:pStyle w:val="Heading5"/>
      </w:pPr>
      <w:r>
        <w:t>Proposed i</w:t>
      </w:r>
      <w:r w:rsidR="00615BBB" w:rsidRPr="00615BBB">
        <w:t>ndication</w:t>
      </w:r>
    </w:p>
    <w:p w14:paraId="33F12CF2" w14:textId="7B236564" w:rsidR="00615BBB" w:rsidRPr="00615BBB" w:rsidRDefault="00615BBB" w:rsidP="00615BBB">
      <w:r w:rsidRPr="00615BBB">
        <w:t>The final wording of the indication for this submission will be informed by the advice of the ACM regarding cisplatin</w:t>
      </w:r>
      <w:r w:rsidR="00572A60">
        <w:t>-</w:t>
      </w:r>
      <w:r w:rsidRPr="00615BBB">
        <w:t>ineligible patients.</w:t>
      </w:r>
    </w:p>
    <w:p w14:paraId="46560333" w14:textId="22E62126" w:rsidR="00615BBB" w:rsidRPr="00615BBB" w:rsidRDefault="00572A60" w:rsidP="00EE3F31">
      <w:pPr>
        <w:pStyle w:val="Heading5"/>
      </w:pPr>
      <w:r>
        <w:t>Proposed d</w:t>
      </w:r>
      <w:r w:rsidR="00615BBB" w:rsidRPr="00615BBB">
        <w:t>ose</w:t>
      </w:r>
    </w:p>
    <w:p w14:paraId="6CC599B6" w14:textId="69994EBB" w:rsidR="00615BBB" w:rsidRPr="00615BBB" w:rsidRDefault="00615BBB" w:rsidP="00615BBB">
      <w:r w:rsidRPr="00615BBB">
        <w:t>The maximum tolerated dose has not been established</w:t>
      </w:r>
      <w:r w:rsidR="00EE3F31">
        <w:t>,</w:t>
      </w:r>
      <w:r w:rsidRPr="00615BBB">
        <w:t xml:space="preserve"> </w:t>
      </w:r>
      <w:r w:rsidR="009C6A04" w:rsidRPr="00615BBB">
        <w:t>dose</w:t>
      </w:r>
      <w:r w:rsidR="009C6A04">
        <w:t>s</w:t>
      </w:r>
      <w:r w:rsidRPr="00615BBB">
        <w:t xml:space="preserve"> </w:t>
      </w:r>
      <w:r w:rsidR="00EE3F31">
        <w:t xml:space="preserve">greater than </w:t>
      </w:r>
      <w:r w:rsidRPr="00615BBB">
        <w:t>1.25 mg</w:t>
      </w:r>
      <w:r w:rsidR="00EE3F31">
        <w:t xml:space="preserve"> per </w:t>
      </w:r>
      <w:r w:rsidRPr="00615BBB">
        <w:t xml:space="preserve">day are unlikely to give greater efficacy based on the current understanding of the exposure response relationships and is likely to give greater toxicity. The clinical evidence is based on two main studies using the dose and dosing regimen of 1.25 mg/kg by </w:t>
      </w:r>
      <w:r w:rsidR="00EE3F31">
        <w:t>intravenous</w:t>
      </w:r>
      <w:r w:rsidRPr="00615BBB">
        <w:t xml:space="preserve"> infusion over 30 minutes on </w:t>
      </w:r>
      <w:r w:rsidR="00572A60">
        <w:t>D</w:t>
      </w:r>
      <w:r w:rsidRPr="00615BBB">
        <w:t>ay</w:t>
      </w:r>
      <w:r w:rsidR="00EE3F31">
        <w:t>s</w:t>
      </w:r>
      <w:r w:rsidRPr="00615BBB">
        <w:t xml:space="preserve"> 1, 8 and 15 of a </w:t>
      </w:r>
      <w:proofErr w:type="gramStart"/>
      <w:r w:rsidRPr="00615BBB">
        <w:t>28 day</w:t>
      </w:r>
      <w:proofErr w:type="gramEnd"/>
      <w:r w:rsidRPr="00615BBB">
        <w:t xml:space="preserve"> cycle. Most of the efficacy and safety evidence in the requested population is derived from patients who commenced on this dosing regimen. </w:t>
      </w:r>
    </w:p>
    <w:p w14:paraId="73A6C151" w14:textId="56E1F6BD" w:rsidR="00615BBB" w:rsidRPr="00615BBB" w:rsidRDefault="00615BBB" w:rsidP="00615BBB">
      <w:r w:rsidRPr="00615BBB">
        <w:t xml:space="preserve">In the absence of a </w:t>
      </w:r>
      <w:r w:rsidR="00572A60" w:rsidRPr="00615BBB">
        <w:t>well</w:t>
      </w:r>
      <w:r w:rsidR="00572A60">
        <w:t>-</w:t>
      </w:r>
      <w:r w:rsidR="00572A60" w:rsidRPr="00615BBB">
        <w:t>studied</w:t>
      </w:r>
      <w:r w:rsidRPr="00615BBB">
        <w:t xml:space="preserve"> alternative dosing strategy, this dosing regimen is accepted.</w:t>
      </w:r>
    </w:p>
    <w:p w14:paraId="5F533756" w14:textId="4894C967" w:rsidR="00615BBB" w:rsidRPr="00615BBB" w:rsidRDefault="00572A60" w:rsidP="00EE3F31">
      <w:pPr>
        <w:pStyle w:val="Heading5"/>
      </w:pPr>
      <w:r>
        <w:lastRenderedPageBreak/>
        <w:t>Data in s</w:t>
      </w:r>
      <w:r w:rsidR="00615BBB" w:rsidRPr="00615BBB">
        <w:t>pecial populations</w:t>
      </w:r>
    </w:p>
    <w:p w14:paraId="167EC246" w14:textId="479DA1F0" w:rsidR="00615BBB" w:rsidRPr="00615BBB" w:rsidRDefault="00EE3F31" w:rsidP="00615BBB">
      <w:r>
        <w:t>Pharmacokinetic</w:t>
      </w:r>
      <w:r w:rsidR="00615BBB" w:rsidRPr="00615BBB">
        <w:t xml:space="preserve"> data from patients with mild hepatic impairment contributed to modelling and simulation that did not demonstrate significant differences in enfortumab vedotin or</w:t>
      </w:r>
      <w:r w:rsidRPr="00EE3F31">
        <w:t xml:space="preserve"> </w:t>
      </w:r>
      <w:r w:rsidR="008B75CB">
        <w:t>MMAE</w:t>
      </w:r>
      <w:r w:rsidRPr="00EE3F31">
        <w:t xml:space="preserve"> </w:t>
      </w:r>
      <w:r w:rsidR="00615BBB" w:rsidRPr="00615BBB">
        <w:t>exposures. There are data from only three patients with moderate hepatic impairment, and no data in patients with severe hepatic impairment. Because of the significant exposure</w:t>
      </w:r>
      <w:r>
        <w:t xml:space="preserve"> </w:t>
      </w:r>
      <w:r w:rsidR="00615BBB" w:rsidRPr="00615BBB">
        <w:t xml:space="preserve">safety relationships for both </w:t>
      </w:r>
      <w:r>
        <w:t>enfortumab vedotin</w:t>
      </w:r>
      <w:r w:rsidR="00615BBB" w:rsidRPr="00615BBB">
        <w:t xml:space="preserve"> exposure and free </w:t>
      </w:r>
      <w:r w:rsidR="008B75CB">
        <w:t>MMAE</w:t>
      </w:r>
      <w:r w:rsidR="00615BBB" w:rsidRPr="00615BBB">
        <w:t>, the potential for increased exposure is an important consideration and there should be future quantification of risk in this patient subgroup.</w:t>
      </w:r>
    </w:p>
    <w:p w14:paraId="17EFBDB7" w14:textId="0EFF3EC0" w:rsidR="00615BBB" w:rsidRPr="00615BBB" w:rsidRDefault="00615BBB" w:rsidP="00615BBB">
      <w:r w:rsidRPr="00615BBB">
        <w:t xml:space="preserve">In the meantime, the sponsor seeks to include precautionary statements in the Padcev PI. The sponsor proposes the use of </w:t>
      </w:r>
      <w:r w:rsidR="00EE3F31">
        <w:t>enfortumab</w:t>
      </w:r>
      <w:r w:rsidRPr="00615BBB">
        <w:t xml:space="preserve"> in these patient groups should be undertaken with caution however the Delegate is of the view that because of an increased number of Grade 3 </w:t>
      </w:r>
      <w:r w:rsidR="00572A60">
        <w:t xml:space="preserve">or higher </w:t>
      </w:r>
      <w:r w:rsidRPr="00615BBB">
        <w:t>events and fatal events in patients with moderate and severe hepatic impairment with other products that are conjugated to vedotin, use in these groups is best avoided, in line with the language in the Padcev labelling internationally to date.</w:t>
      </w:r>
    </w:p>
    <w:p w14:paraId="27B20749" w14:textId="078F8D3E" w:rsidR="00615BBB" w:rsidRPr="00615BBB" w:rsidRDefault="00615BBB" w:rsidP="00615BBB">
      <w:r w:rsidRPr="00615BBB">
        <w:t xml:space="preserve">Collected PK data, modelling and simulation support the use in patients with chronic kidney disease without dose modification although data are limited in patients with a </w:t>
      </w:r>
      <w:r w:rsidR="00443568">
        <w:t>creatinine clearance</w:t>
      </w:r>
      <w:r w:rsidR="00572A60">
        <w:t xml:space="preserve"> (estimated glomerular filtration rate) of</w:t>
      </w:r>
      <w:r w:rsidR="00443568">
        <w:t xml:space="preserve"> less than </w:t>
      </w:r>
      <w:r w:rsidRPr="00615BBB">
        <w:t>30 mL</w:t>
      </w:r>
      <w:r w:rsidR="00443568">
        <w:t xml:space="preserve"> per </w:t>
      </w:r>
      <w:r w:rsidRPr="00615BBB">
        <w:t>min</w:t>
      </w:r>
      <w:r w:rsidR="00443568">
        <w:t>ute</w:t>
      </w:r>
      <w:r w:rsidRPr="00615BBB">
        <w:t xml:space="preserve"> and there</w:t>
      </w:r>
      <w:r w:rsidR="00443568">
        <w:t xml:space="preserve"> are</w:t>
      </w:r>
      <w:r w:rsidRPr="00615BBB">
        <w:t xml:space="preserve"> no data from use in patients on any form of dialysis.</w:t>
      </w:r>
    </w:p>
    <w:p w14:paraId="6FF15799" w14:textId="77777777" w:rsidR="0074163C" w:rsidRPr="00F73346" w:rsidRDefault="0074163C" w:rsidP="0074163C">
      <w:pPr>
        <w:pStyle w:val="Heading4"/>
      </w:pPr>
      <w:bookmarkStart w:id="77" w:name="_Toc98931936"/>
      <w:bookmarkStart w:id="78" w:name="_Toc247691532"/>
      <w:bookmarkStart w:id="79" w:name="_Toc314842516"/>
      <w:bookmarkEnd w:id="30"/>
      <w:bookmarkEnd w:id="72"/>
      <w:bookmarkEnd w:id="73"/>
      <w:r w:rsidRPr="00F73346">
        <w:t>Advisory Committee considerations</w:t>
      </w:r>
      <w:bookmarkEnd w:id="77"/>
    </w:p>
    <w:p w14:paraId="18BA7F1F" w14:textId="6CD6495D" w:rsidR="0074163C" w:rsidRDefault="0074163C" w:rsidP="0074163C">
      <w:pPr>
        <w:rPr>
          <w:bCs/>
        </w:rPr>
      </w:pPr>
      <w:r w:rsidRPr="00456765">
        <w:rPr>
          <w:bCs/>
        </w:rPr>
        <w:t xml:space="preserve">The </w:t>
      </w:r>
      <w:hyperlink r:id="rId46"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45AB94EA" w14:textId="77777777" w:rsidR="0074163C" w:rsidRPr="00F73346" w:rsidRDefault="0074163C" w:rsidP="0074163C">
      <w:pPr>
        <w:pStyle w:val="Heading5"/>
      </w:pPr>
      <w:r w:rsidRPr="00F73346">
        <w:t>Specific advice to the Delegate</w:t>
      </w:r>
    </w:p>
    <w:p w14:paraId="17A880CB" w14:textId="77777777" w:rsidR="00443568" w:rsidRDefault="00443568" w:rsidP="00443568">
      <w:r>
        <w:t>The ACM advised the following in response to the Delegate’s specific request for advice:</w:t>
      </w:r>
    </w:p>
    <w:p w14:paraId="3661B986" w14:textId="77777777" w:rsidR="00443568" w:rsidRPr="00610654" w:rsidRDefault="00443568" w:rsidP="00610654">
      <w:pPr>
        <w:pStyle w:val="Numberbullet0"/>
        <w:rPr>
          <w:b/>
          <w:bCs/>
          <w:i/>
          <w:iCs/>
        </w:rPr>
      </w:pPr>
      <w:r w:rsidRPr="00610654">
        <w:rPr>
          <w:b/>
          <w:bCs/>
          <w:i/>
          <w:iCs/>
        </w:rPr>
        <w:t>Has sufficient evidence been provided to support the specific component of the indication that includes cisplatin ineligible patients?</w:t>
      </w:r>
    </w:p>
    <w:p w14:paraId="5E1711FC" w14:textId="6C9CD27A" w:rsidR="00443568" w:rsidRPr="00443568" w:rsidRDefault="00443568" w:rsidP="00443568">
      <w:r w:rsidRPr="00443568">
        <w:t>The ACM was of the view that sufficient evidence has been provided to support the specific component of the indication that includes cisplatin</w:t>
      </w:r>
      <w:r w:rsidR="00572A60">
        <w:t>-</w:t>
      </w:r>
      <w:r w:rsidRPr="00443568">
        <w:t>ineligible patients.</w:t>
      </w:r>
    </w:p>
    <w:p w14:paraId="3619D540" w14:textId="6E71C4CB" w:rsidR="00443568" w:rsidRPr="00443568" w:rsidRDefault="00443568" w:rsidP="00443568">
      <w:r w:rsidRPr="00443568">
        <w:t>The ACM noted that the data in support of the cisplatin</w:t>
      </w:r>
      <w:r w:rsidR="00572A60">
        <w:t>-</w:t>
      </w:r>
      <w:r w:rsidRPr="00443568">
        <w:t xml:space="preserve">ineligible indication is from a single arm Phase </w:t>
      </w:r>
      <w:r>
        <w:t>II</w:t>
      </w:r>
      <w:r w:rsidRPr="00443568">
        <w:t xml:space="preserve"> study and that this results in challenges for interpretation of the significance of the </w:t>
      </w:r>
      <w:r>
        <w:t>overall response rate</w:t>
      </w:r>
      <w:r w:rsidRPr="00443568">
        <w:t xml:space="preserve">. However, on balance the ACM considered the 52% </w:t>
      </w:r>
      <w:r>
        <w:t>overall response rate</w:t>
      </w:r>
      <w:r w:rsidRPr="00443568">
        <w:t xml:space="preserve"> to be clinically meaningful within this patient population.</w:t>
      </w:r>
    </w:p>
    <w:p w14:paraId="1816D6E3" w14:textId="1145D13B" w:rsidR="00443568" w:rsidRPr="00443568" w:rsidRDefault="00443568" w:rsidP="00443568">
      <w:r w:rsidRPr="00443568">
        <w:t>The ACM commented that enfortumab vedotin does not appear to induce remission like immune</w:t>
      </w:r>
      <w:r>
        <w:t xml:space="preserve"> </w:t>
      </w:r>
      <w:r w:rsidRPr="00443568">
        <w:t xml:space="preserve">oncology agents can, however that this drug may be of benefit for those who do not obtain a sustained response with </w:t>
      </w:r>
      <w:r>
        <w:t>immune oncology</w:t>
      </w:r>
      <w:r w:rsidRPr="00443568">
        <w:t xml:space="preserve"> (approximately 20 to 30% of patients).</w:t>
      </w:r>
    </w:p>
    <w:p w14:paraId="3F3E85C0" w14:textId="0B9043A5" w:rsidR="00443568" w:rsidRPr="00443568" w:rsidRDefault="00443568" w:rsidP="00443568">
      <w:r w:rsidRPr="00443568">
        <w:t>The ACM noted the study did not include all patients who might be considered cisplatin</w:t>
      </w:r>
      <w:r w:rsidR="00572A60">
        <w:t>-</w:t>
      </w:r>
      <w:r w:rsidRPr="00443568">
        <w:t>ineligible, such as those who have a</w:t>
      </w:r>
      <w:r>
        <w:t xml:space="preserve"> greater than or equal to</w:t>
      </w:r>
      <w:r w:rsidRPr="00443568">
        <w:t xml:space="preserve"> Grade 2 peripheral neuropathy, advanced heart failure, or estimated glomerular filtration rate</w:t>
      </w:r>
      <w:r>
        <w:t xml:space="preserve"> less than</w:t>
      </w:r>
      <w:r w:rsidRPr="00443568">
        <w:t xml:space="preserve"> 30</w:t>
      </w:r>
      <w:r>
        <w:t> </w:t>
      </w:r>
      <w:r w:rsidRPr="00443568">
        <w:t>mL/min/1.73m</w:t>
      </w:r>
      <w:r w:rsidRPr="00443568">
        <w:rPr>
          <w:vertAlign w:val="superscript"/>
        </w:rPr>
        <w:t>2</w:t>
      </w:r>
      <w:r>
        <w:t xml:space="preserve"> </w:t>
      </w:r>
      <w:r w:rsidRPr="00443568">
        <w:t>but considered oncologists would exercise clinical judgement on the individual patient selection for enfortumab vedotin.</w:t>
      </w:r>
    </w:p>
    <w:p w14:paraId="5C9DF4EF" w14:textId="0F5E137B" w:rsidR="00443568" w:rsidRPr="00443568" w:rsidRDefault="00443568" w:rsidP="00443568">
      <w:r w:rsidRPr="00443568">
        <w:t>Noting the activity of this drug and the area of unmet clinical need the ACM was supportive of the inclusion of both cisplatin</w:t>
      </w:r>
      <w:r w:rsidR="00572A60">
        <w:t>-</w:t>
      </w:r>
      <w:r w:rsidRPr="00443568">
        <w:t xml:space="preserve"> and carboplatin</w:t>
      </w:r>
      <w:r w:rsidR="00572A60">
        <w:t>-</w:t>
      </w:r>
      <w:r w:rsidRPr="00443568">
        <w:t>ineligible patients for ‘platinum ineligible’ rather than ‘cisplatin ineligible’ within the indication, although there are no clinical trial data specifically for carboplatin</w:t>
      </w:r>
      <w:r w:rsidR="00572A60">
        <w:t>-</w:t>
      </w:r>
      <w:r w:rsidRPr="00443568">
        <w:t>ineligible patients.</w:t>
      </w:r>
    </w:p>
    <w:p w14:paraId="32CA5B07" w14:textId="77777777" w:rsidR="00443568" w:rsidRPr="00610654" w:rsidRDefault="00443568" w:rsidP="00610654">
      <w:pPr>
        <w:pStyle w:val="Numberbullet0"/>
        <w:rPr>
          <w:b/>
          <w:bCs/>
          <w:i/>
          <w:iCs/>
        </w:rPr>
      </w:pPr>
      <w:r w:rsidRPr="00610654">
        <w:rPr>
          <w:b/>
          <w:bCs/>
          <w:i/>
          <w:iCs/>
        </w:rPr>
        <w:t>Other advice</w:t>
      </w:r>
    </w:p>
    <w:p w14:paraId="1812EC18" w14:textId="0A093CE5" w:rsidR="00443568" w:rsidRDefault="00443568" w:rsidP="00443568">
      <w:r>
        <w:lastRenderedPageBreak/>
        <w:t>The ACM discussed the significant and severe off</w:t>
      </w:r>
      <w:r w:rsidR="00B06702">
        <w:t>-</w:t>
      </w:r>
      <w:r>
        <w:t>target toxicity associated with enfortumab vedotin, particularly for skin and nerves, and noted that appropriate patient selection and counselling will be critical. Also mentioned in the discussions were the severe skin toxicities that included fatalities. The ACM agreed that a boxed warning would be appropriate in this instance. Additionally, the ACM recommended that an education campaign targeted towards patients and clinicians should be considered to further raise awareness of the off</w:t>
      </w:r>
      <w:r>
        <w:noBreakHyphen/>
        <w:t>target toxicity.</w:t>
      </w:r>
    </w:p>
    <w:p w14:paraId="54067AF9" w14:textId="51EBF1F5" w:rsidR="00443568" w:rsidRPr="00443568" w:rsidRDefault="00443568" w:rsidP="00443568">
      <w:r>
        <w:t>The ACM noted that enfortumab vedotin is not renally excreted and as such commented that there are likely to be limited risks for patients with an</w:t>
      </w:r>
      <w:r w:rsidR="00B06702" w:rsidRPr="00B06702">
        <w:t xml:space="preserve"> estimated glomerular filtration</w:t>
      </w:r>
      <w:r w:rsidR="00B06702">
        <w:t xml:space="preserve"> less than </w:t>
      </w:r>
      <w:r>
        <w:t>30 mL/min/1.73 m</w:t>
      </w:r>
      <w:r>
        <w:rPr>
          <w:vertAlign w:val="superscript"/>
        </w:rPr>
        <w:t>2</w:t>
      </w:r>
      <w:r>
        <w:t>.</w:t>
      </w:r>
    </w:p>
    <w:p w14:paraId="63413888" w14:textId="77777777" w:rsidR="0074163C" w:rsidRPr="00F73346" w:rsidRDefault="0074163C" w:rsidP="0074163C">
      <w:pPr>
        <w:pStyle w:val="Heading5"/>
      </w:pPr>
      <w:r w:rsidRPr="00F73346">
        <w:t>Conclusion</w:t>
      </w:r>
    </w:p>
    <w:p w14:paraId="75EE5F91" w14:textId="77777777" w:rsidR="00B06702" w:rsidRPr="00B06702" w:rsidRDefault="00B06702" w:rsidP="00B06702">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54D538EF" w14:textId="05F09A37" w:rsidR="00B06702" w:rsidRPr="008E029E" w:rsidRDefault="00B06702" w:rsidP="00B06702">
      <w:pPr>
        <w:ind w:left="360"/>
        <w:rPr>
          <w:i/>
        </w:rPr>
      </w:pPr>
      <w:r w:rsidRPr="008E029E">
        <w:rPr>
          <w:i/>
        </w:rPr>
        <w:t>P</w:t>
      </w:r>
      <w:r>
        <w:rPr>
          <w:i/>
        </w:rPr>
        <w:t>adcev</w:t>
      </w:r>
      <w:r w:rsidRPr="008E029E">
        <w:rPr>
          <w:i/>
        </w:rPr>
        <w:t xml:space="preserve"> is indicated for the treatment of adult patients with locally advanced (LA) or metastatic urothelial cancer (</w:t>
      </w:r>
      <w:proofErr w:type="spellStart"/>
      <w:r w:rsidRPr="008E029E">
        <w:rPr>
          <w:i/>
        </w:rPr>
        <w:t>mUC</w:t>
      </w:r>
      <w:proofErr w:type="spellEnd"/>
      <w:r w:rsidRPr="008E029E">
        <w:rPr>
          <w:i/>
        </w:rPr>
        <w:t>) who have received a programmed death receptor</w:t>
      </w:r>
      <w:r>
        <w:rPr>
          <w:i/>
        </w:rPr>
        <w:noBreakHyphen/>
      </w:r>
      <w:r w:rsidRPr="008E029E">
        <w:rPr>
          <w:i/>
        </w:rPr>
        <w:t>1</w:t>
      </w:r>
      <w:r>
        <w:rPr>
          <w:i/>
        </w:rPr>
        <w:t> </w:t>
      </w:r>
      <w:r w:rsidRPr="008E029E">
        <w:rPr>
          <w:i/>
        </w:rPr>
        <w:t>(PD-1) or programmed death-ligand 1 (PD-L1) inhibitor and who:</w:t>
      </w:r>
    </w:p>
    <w:p w14:paraId="12F5FB06" w14:textId="77777777" w:rsidR="00B06702" w:rsidRPr="00610654" w:rsidRDefault="00B06702" w:rsidP="00610654">
      <w:pPr>
        <w:pStyle w:val="ListBullet"/>
        <w:ind w:left="709"/>
        <w:rPr>
          <w:i/>
          <w:iCs/>
          <w:lang w:eastAsia="en-AU"/>
        </w:rPr>
      </w:pPr>
      <w:r w:rsidRPr="00610654">
        <w:rPr>
          <w:i/>
          <w:iCs/>
          <w:lang w:eastAsia="en-AU"/>
        </w:rPr>
        <w:t xml:space="preserve">Have received a platinum containing chemotherapy in the neoadjuvant/adjuvant, </w:t>
      </w:r>
      <w:proofErr w:type="gramStart"/>
      <w:r w:rsidRPr="00610654">
        <w:rPr>
          <w:i/>
          <w:iCs/>
          <w:lang w:eastAsia="en-AU"/>
        </w:rPr>
        <w:t>LA</w:t>
      </w:r>
      <w:proofErr w:type="gramEnd"/>
      <w:r w:rsidRPr="00610654">
        <w:rPr>
          <w:i/>
          <w:iCs/>
          <w:lang w:eastAsia="en-AU"/>
        </w:rPr>
        <w:t xml:space="preserve"> or metastatic setting or</w:t>
      </w:r>
    </w:p>
    <w:p w14:paraId="01ABD2A0" w14:textId="7A58D24B" w:rsidR="00B06702" w:rsidRPr="00610654" w:rsidRDefault="00B06702" w:rsidP="00610654">
      <w:pPr>
        <w:pStyle w:val="ListBullet"/>
        <w:ind w:left="709"/>
        <w:rPr>
          <w:i/>
          <w:iCs/>
          <w:lang w:eastAsia="en-AU"/>
        </w:rPr>
      </w:pPr>
      <w:r w:rsidRPr="00610654">
        <w:rPr>
          <w:i/>
          <w:iCs/>
          <w:lang w:eastAsia="en-AU"/>
        </w:rPr>
        <w:t>Are not eligible for platinum-containing chemotherapy.</w:t>
      </w:r>
    </w:p>
    <w:p w14:paraId="3E88E19A" w14:textId="1797288F" w:rsidR="008E7846" w:rsidRPr="002E238E" w:rsidRDefault="008E7846" w:rsidP="00D212F3">
      <w:pPr>
        <w:pStyle w:val="Heading2"/>
      </w:pPr>
      <w:bookmarkStart w:id="80" w:name="_Toc128492526"/>
      <w:r>
        <w:t>Outcome</w:t>
      </w:r>
      <w:bookmarkEnd w:id="78"/>
      <w:bookmarkEnd w:id="79"/>
      <w:bookmarkEnd w:id="80"/>
    </w:p>
    <w:p w14:paraId="24439D13" w14:textId="459D0AFE" w:rsidR="0074163C" w:rsidRDefault="0074163C" w:rsidP="0074163C">
      <w:bookmarkStart w:id="81" w:name="_Toc247691533"/>
      <w:bookmarkStart w:id="82" w:name="_Toc314842517"/>
      <w:r>
        <w:t xml:space="preserve">Based on a review of quality, </w:t>
      </w:r>
      <w:r w:rsidR="00CC5044">
        <w:t>safety,</w:t>
      </w:r>
      <w:r>
        <w:t xml:space="preserve"> and efficacy, the TGA approved the registration of </w:t>
      </w:r>
      <w:r w:rsidR="00B06702">
        <w:t>Padcev (e</w:t>
      </w:r>
      <w:r w:rsidR="00B06702" w:rsidRPr="005B7C67">
        <w:t>nfortumab vedotin</w:t>
      </w:r>
      <w:r w:rsidR="00B06702">
        <w:t>) 20 mg and 30 mg powder for injection</w:t>
      </w:r>
      <w:r>
        <w:t xml:space="preserve">, indicated </w:t>
      </w:r>
      <w:r w:rsidR="00B06702">
        <w:t>for:</w:t>
      </w:r>
    </w:p>
    <w:p w14:paraId="34BB8DE9" w14:textId="1DEF1CF8" w:rsidR="00B06702" w:rsidRPr="00BB0116" w:rsidRDefault="00BB0116" w:rsidP="00BB0116">
      <w:pPr>
        <w:ind w:left="720"/>
        <w:rPr>
          <w:i/>
          <w:iCs/>
        </w:rPr>
      </w:pPr>
      <w:r w:rsidRPr="00BB0116">
        <w:rPr>
          <w:i/>
          <w:iCs/>
        </w:rPr>
        <w:t>Padcev as monotherapy is indicated for the treatment of adult patients with locally advanced or metastatic urothelial cancer who have previously received a platinum-containing chemotherapy and a programmed receptor-1 or programmed death-ligand-1 inhibitor.</w:t>
      </w:r>
    </w:p>
    <w:p w14:paraId="227C9A1E" w14:textId="77777777" w:rsidR="00D23139" w:rsidRPr="00D23139" w:rsidRDefault="00D23139" w:rsidP="00D212F3">
      <w:pPr>
        <w:pStyle w:val="Heading3"/>
      </w:pPr>
      <w:bookmarkStart w:id="83" w:name="_Toc128492527"/>
      <w:r w:rsidRPr="00D23139">
        <w:t>Specific conditions of registration applying to these goods</w:t>
      </w:r>
      <w:bookmarkEnd w:id="83"/>
    </w:p>
    <w:p w14:paraId="77C2679C" w14:textId="2B0BAACA" w:rsidR="00DC48BC" w:rsidRDefault="00DC48BC" w:rsidP="00C97FFB">
      <w:pPr>
        <w:pStyle w:val="ListBullet"/>
      </w:pPr>
      <w:r>
        <w:t xml:space="preserve">Padcev (enfortumab) is to </w:t>
      </w:r>
      <w:r w:rsidRPr="007421D5">
        <w:t xml:space="preserve">be included in the Black Triangle Scheme. The PI and CMI </w:t>
      </w:r>
      <w:r w:rsidR="0010726D">
        <w:t>[</w:t>
      </w:r>
      <w:r w:rsidR="0010726D" w:rsidRPr="007421D5">
        <w:t>Consumer Medicines Information</w:t>
      </w:r>
      <w:r w:rsidR="0010726D">
        <w:t>]</w:t>
      </w:r>
      <w:r w:rsidR="0010726D" w:rsidRPr="007421D5">
        <w:t xml:space="preserve"> </w:t>
      </w:r>
      <w:r w:rsidRPr="007421D5">
        <w:t>for Padcev must include the black triangle symbol and mandatory accompanying text for five years, which starts from the date that the sponsor notifies the TGA of supply</w:t>
      </w:r>
      <w:r>
        <w:t xml:space="preserve"> of the product.</w:t>
      </w:r>
    </w:p>
    <w:p w14:paraId="780DB308" w14:textId="4E3BEA78" w:rsidR="00DC48BC" w:rsidRDefault="00DC48BC" w:rsidP="00DC48BC">
      <w:pPr>
        <w:pStyle w:val="ListBullet"/>
      </w:pPr>
      <w:r>
        <w:t xml:space="preserve">The Padcev EU-RMP (version 1.0, dated March 2022; DLP 15 September 2020), with </w:t>
      </w:r>
      <w:r w:rsidR="00542550">
        <w:t>ASA</w:t>
      </w:r>
      <w:r>
        <w:t xml:space="preserve"> (version 5.0, dated 13 June 2022), included with submission PM-2021-00635-1-4, and any subsequent revisions, as agreed with the TGA will be implemented in Australia.</w:t>
      </w:r>
    </w:p>
    <w:p w14:paraId="20B893EB" w14:textId="77777777" w:rsidR="00DC48BC" w:rsidRDefault="00DC48BC" w:rsidP="00DC48BC">
      <w:pPr>
        <w:ind w:left="360"/>
      </w:pPr>
      <w:r>
        <w:t xml:space="preserve">An obligatory component of risk management plans is routine pharmacovigilance. Routine pharmacovigilance includes the submission of periodic safety update reports (PSURs). </w:t>
      </w:r>
    </w:p>
    <w:p w14:paraId="312D7093" w14:textId="1705F718" w:rsidR="00DC48BC" w:rsidRDefault="00DC48BC" w:rsidP="00DC48BC">
      <w:pPr>
        <w:ind w:left="360"/>
      </w:pPr>
      <w:r>
        <w:t xml:space="preserve">Reports are to be provided in line with the current published list of EU reference dates and frequency of submission of PSURs until the period covered by such reports is not less than three years from the date of the approval letter. </w:t>
      </w:r>
    </w:p>
    <w:p w14:paraId="50658CFA" w14:textId="5CC28106" w:rsidR="00BB0116" w:rsidRDefault="00DC48BC" w:rsidP="00DC48BC">
      <w:pPr>
        <w:ind w:left="360"/>
      </w:pPr>
      <w:r>
        <w:t xml:space="preserve">The reports are to at least meet the requirements for PSURs as described in the European Medicines Agency’s Guideline on good pharmacovigilance practices (GVP) Module VII-periodic safety update report (Rev 1), Part VII.B Structures and processes. </w:t>
      </w:r>
      <w:r>
        <w:lastRenderedPageBreak/>
        <w:t>Note that submission of a PSUR does not constitute an application to vary the registration.</w:t>
      </w:r>
    </w:p>
    <w:p w14:paraId="2CDC9950" w14:textId="1B850FA5" w:rsidR="00195B81" w:rsidRPr="00195B81" w:rsidRDefault="00195B81" w:rsidP="00195B81">
      <w:pPr>
        <w:pStyle w:val="ListBullet"/>
      </w:pPr>
      <w:r w:rsidRPr="00195B81">
        <w:t>For all injectable products the Product Information must be included with the product as a package insert.</w:t>
      </w:r>
    </w:p>
    <w:p w14:paraId="0E4E1C12" w14:textId="77777777" w:rsidR="008E7846" w:rsidRDefault="00A80B5B" w:rsidP="00D23139">
      <w:pPr>
        <w:pStyle w:val="Heading2"/>
      </w:pPr>
      <w:bookmarkStart w:id="84" w:name="_Toc128492528"/>
      <w:r>
        <w:t xml:space="preserve">Attachment 1. </w:t>
      </w:r>
      <w:r w:rsidR="008E7846">
        <w:t xml:space="preserve">Product </w:t>
      </w:r>
      <w:r w:rsidR="00AA0ED0">
        <w:t>I</w:t>
      </w:r>
      <w:r w:rsidR="008E7846">
        <w:t>nformation</w:t>
      </w:r>
      <w:bookmarkEnd w:id="81"/>
      <w:bookmarkEnd w:id="82"/>
      <w:bookmarkEnd w:id="84"/>
    </w:p>
    <w:p w14:paraId="6E382EF5" w14:textId="73EB6198" w:rsidR="008E7846" w:rsidRPr="00EB36D6" w:rsidRDefault="006136D7" w:rsidP="00EB36D6">
      <w:r w:rsidRPr="002B3624">
        <w:t xml:space="preserve">The </w:t>
      </w:r>
      <w:r>
        <w:t>PI</w:t>
      </w:r>
      <w:r w:rsidRPr="002B3624">
        <w:t xml:space="preserve"> for </w:t>
      </w:r>
      <w:r w:rsidR="00DC48BC">
        <w:t>Padcev</w:t>
      </w:r>
      <w:r w:rsidR="0074163C">
        <w:t xml:space="preserve">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47" w:history="1">
        <w:r w:rsidR="0074163C" w:rsidRPr="008A698E">
          <w:rPr>
            <w:rStyle w:val="Hyperlink"/>
          </w:rPr>
          <w:t>PI/CMI search facility</w:t>
        </w:r>
        <w:r w:rsidR="0074163C" w:rsidRPr="00EB36D6">
          <w:rPr>
            <w:rStyle w:val="Hyperlink"/>
            <w:color w:val="auto"/>
            <w:u w:val="none"/>
          </w:rPr>
          <w:t>.</w:t>
        </w:r>
      </w:hyperlink>
    </w:p>
    <w:p w14:paraId="59C3D794" w14:textId="77777777" w:rsidR="00C80137" w:rsidRPr="001D043B" w:rsidRDefault="00C80137" w:rsidP="003A7F6C">
      <w:pPr>
        <w:pStyle w:val="TableTitle"/>
        <w:sectPr w:rsidR="00C80137" w:rsidRPr="001D043B" w:rsidSect="00B452CE">
          <w:headerReference w:type="even" r:id="rId48"/>
          <w:headerReference w:type="default" r:id="rId49"/>
          <w:headerReference w:type="first" r:id="rId50"/>
          <w:footerReference w:type="first" r:id="rId5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71DDB2D" w14:textId="77777777" w:rsidTr="00A05FA4">
        <w:trPr>
          <w:trHeight w:hRule="exact" w:val="704"/>
        </w:trPr>
        <w:tc>
          <w:tcPr>
            <w:tcW w:w="9175" w:type="dxa"/>
          </w:tcPr>
          <w:p w14:paraId="49323B68" w14:textId="77777777" w:rsidR="001C32CD" w:rsidRPr="00487162" w:rsidRDefault="001C32CD" w:rsidP="00A05FA4">
            <w:pPr>
              <w:pStyle w:val="TGASignoff"/>
            </w:pPr>
            <w:r w:rsidRPr="00487162">
              <w:lastRenderedPageBreak/>
              <w:t>Therapeutic Goods Administration</w:t>
            </w:r>
          </w:p>
        </w:tc>
      </w:tr>
      <w:tr w:rsidR="001C32CD" w:rsidRPr="004C239D" w14:paraId="6EC254AE" w14:textId="77777777" w:rsidTr="00A05FA4">
        <w:trPr>
          <w:trHeight w:val="1221"/>
        </w:trPr>
        <w:tc>
          <w:tcPr>
            <w:tcW w:w="9175" w:type="dxa"/>
            <w:tcMar>
              <w:top w:w="28" w:type="dxa"/>
            </w:tcMar>
          </w:tcPr>
          <w:p w14:paraId="3F6E1162" w14:textId="77777777" w:rsidR="001C32CD" w:rsidRPr="00487162" w:rsidRDefault="001C32CD" w:rsidP="00A05FA4">
            <w:pPr>
              <w:pStyle w:val="Address"/>
            </w:pPr>
            <w:r w:rsidRPr="00487162">
              <w:t>PO Box 100 Woden ACT 2606 Australia</w:t>
            </w:r>
          </w:p>
          <w:p w14:paraId="7C9DB3BD" w14:textId="280C088B" w:rsidR="001C32CD" w:rsidRPr="00487162" w:rsidRDefault="001C32CD" w:rsidP="00A05FA4">
            <w:pPr>
              <w:pStyle w:val="Address"/>
            </w:pPr>
            <w:r w:rsidRPr="00487162">
              <w:t xml:space="preserve">Email: </w:t>
            </w:r>
            <w:hyperlink r:id="rId52"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49056361" w14:textId="70B08DF1" w:rsidR="001C32CD" w:rsidRPr="004C239D" w:rsidRDefault="00EA2B2C" w:rsidP="00A05FA4">
            <w:pPr>
              <w:pStyle w:val="Address"/>
              <w:spacing w:line="260" w:lineRule="atLeast"/>
              <w:rPr>
                <w:b/>
                <w:color w:val="0000FF"/>
                <w:u w:val="single"/>
              </w:rPr>
            </w:pPr>
            <w:hyperlink r:id="rId53" w:history="1">
              <w:r w:rsidR="007C6B9B" w:rsidRPr="007C6B9B">
                <w:rPr>
                  <w:rStyle w:val="Hyperlink"/>
                  <w:b/>
                </w:rPr>
                <w:t>https://www.tga.gov.au</w:t>
              </w:r>
            </w:hyperlink>
          </w:p>
        </w:tc>
      </w:tr>
    </w:tbl>
    <w:p w14:paraId="30378C40" w14:textId="77777777" w:rsidR="00774E1D" w:rsidRPr="008A5E0B" w:rsidRDefault="00774E1D" w:rsidP="004C239D"/>
    <w:sectPr w:rsidR="00774E1D" w:rsidRPr="008A5E0B" w:rsidSect="001C32CD">
      <w:headerReference w:type="even" r:id="rId54"/>
      <w:headerReference w:type="default" r:id="rId55"/>
      <w:footerReference w:type="default" r:id="rId56"/>
      <w:headerReference w:type="first" r:id="rId57"/>
      <w:footerReference w:type="first" r:id="rId5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ACC25" w14:textId="77777777" w:rsidR="00940D81" w:rsidRDefault="00940D81" w:rsidP="00C40A36">
      <w:pPr>
        <w:spacing w:after="0"/>
      </w:pPr>
      <w:r>
        <w:separator/>
      </w:r>
    </w:p>
  </w:endnote>
  <w:endnote w:type="continuationSeparator" w:id="0">
    <w:p w14:paraId="39B02E2B" w14:textId="77777777" w:rsidR="00940D81" w:rsidRDefault="00940D8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15683" w:rsidRPr="00487162" w14:paraId="563FCD7E" w14:textId="77777777" w:rsidTr="00D95FA5">
      <w:trPr>
        <w:trHeight w:val="274"/>
      </w:trPr>
      <w:tc>
        <w:tcPr>
          <w:tcW w:w="7371" w:type="dxa"/>
          <w:tcMar>
            <w:top w:w="142" w:type="dxa"/>
            <w:bottom w:w="0" w:type="dxa"/>
          </w:tcMar>
        </w:tcPr>
        <w:p w14:paraId="57323E1E" w14:textId="47A97FE6" w:rsidR="00F15683" w:rsidRPr="00487162" w:rsidRDefault="00F15683" w:rsidP="00460036">
          <w:pPr>
            <w:pStyle w:val="Footer"/>
          </w:pPr>
          <w:r w:rsidRPr="00487162">
            <w:t>AusPA</w:t>
          </w:r>
          <w:r>
            <w:t xml:space="preserve">R - </w:t>
          </w:r>
          <w:r w:rsidRPr="00083FF3">
            <w:t>P</w:t>
          </w:r>
          <w:r>
            <w:t>adcev</w:t>
          </w:r>
          <w:r w:rsidRPr="00083FF3">
            <w:t xml:space="preserve"> - Enfortumab vedotin - Astellas Pharma Australia Pty Ltd - PM-2021-00635-1-4</w:t>
          </w:r>
          <w:r>
            <w:br/>
          </w:r>
          <w:r w:rsidR="00D95FA5">
            <w:t>Final 27 February 2023</w:t>
          </w:r>
        </w:p>
      </w:tc>
      <w:tc>
        <w:tcPr>
          <w:tcW w:w="1490" w:type="dxa"/>
          <w:tcMar>
            <w:top w:w="142" w:type="dxa"/>
            <w:bottom w:w="0" w:type="dxa"/>
          </w:tcMar>
        </w:tcPr>
        <w:p w14:paraId="3D85EF72" w14:textId="56BB02DD" w:rsidR="00F15683" w:rsidRPr="00487162" w:rsidRDefault="00F15683" w:rsidP="00DB750B">
          <w:pPr>
            <w:pStyle w:val="Footer"/>
            <w:jc w:val="right"/>
          </w:pPr>
          <w:r w:rsidRPr="00487162">
            <w:t xml:space="preserve">Page </w:t>
          </w:r>
          <w:r>
            <w:fldChar w:fldCharType="begin"/>
          </w:r>
          <w:r>
            <w:instrText xml:space="preserve"> PAGE  \* Arabic </w:instrText>
          </w:r>
          <w:r>
            <w:fldChar w:fldCharType="separate"/>
          </w:r>
          <w:r w:rsidR="00572A60">
            <w:rPr>
              <w:noProof/>
            </w:rPr>
            <w:t>60</w:t>
          </w:r>
          <w:r>
            <w:fldChar w:fldCharType="end"/>
          </w:r>
          <w:r w:rsidRPr="00487162">
            <w:t xml:space="preserve"> of </w:t>
          </w:r>
          <w:r w:rsidR="00EA2B2C">
            <w:fldChar w:fldCharType="begin"/>
          </w:r>
          <w:r w:rsidR="00EA2B2C">
            <w:instrText xml:space="preserve"> NUMPAGES  \* Arabic </w:instrText>
          </w:r>
          <w:r w:rsidR="00EA2B2C">
            <w:fldChar w:fldCharType="separate"/>
          </w:r>
          <w:r w:rsidR="00572A60">
            <w:rPr>
              <w:noProof/>
            </w:rPr>
            <w:t>61</w:t>
          </w:r>
          <w:r w:rsidR="00EA2B2C">
            <w:rPr>
              <w:noProof/>
            </w:rPr>
            <w:fldChar w:fldCharType="end"/>
          </w:r>
        </w:p>
      </w:tc>
    </w:tr>
  </w:tbl>
  <w:p w14:paraId="68BB35E2" w14:textId="77777777" w:rsidR="00F15683" w:rsidRDefault="00F15683"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15683" w:rsidRPr="00487162" w14:paraId="69487604" w14:textId="77777777" w:rsidTr="00E45619">
      <w:trPr>
        <w:trHeight w:val="269"/>
      </w:trPr>
      <w:tc>
        <w:tcPr>
          <w:tcW w:w="4519" w:type="dxa"/>
          <w:tcBorders>
            <w:top w:val="single" w:sz="4" w:space="0" w:color="auto"/>
          </w:tcBorders>
          <w:tcMar>
            <w:top w:w="142" w:type="dxa"/>
            <w:bottom w:w="0" w:type="dxa"/>
          </w:tcMar>
        </w:tcPr>
        <w:p w14:paraId="7B1DEE60" w14:textId="77777777" w:rsidR="00F15683" w:rsidRPr="00487162" w:rsidRDefault="00F15683" w:rsidP="00FE1DEE">
          <w:pPr>
            <w:pStyle w:val="Footer"/>
          </w:pPr>
          <w:r w:rsidRPr="00487162">
            <w:t>Document title, Part #, Section # - Section title</w:t>
          </w:r>
        </w:p>
        <w:p w14:paraId="464EC17A" w14:textId="77777777" w:rsidR="00F15683" w:rsidRPr="00487162" w:rsidRDefault="00F15683" w:rsidP="00FE1DEE">
          <w:pPr>
            <w:pStyle w:val="Footer"/>
          </w:pPr>
          <w:r w:rsidRPr="00487162">
            <w:t>V1.0 October 2010</w:t>
          </w:r>
        </w:p>
      </w:tc>
      <w:tc>
        <w:tcPr>
          <w:tcW w:w="4342" w:type="dxa"/>
          <w:tcBorders>
            <w:top w:val="single" w:sz="4" w:space="0" w:color="auto"/>
          </w:tcBorders>
          <w:tcMar>
            <w:top w:w="142" w:type="dxa"/>
            <w:bottom w:w="0" w:type="dxa"/>
          </w:tcMar>
        </w:tcPr>
        <w:p w14:paraId="56612EAD" w14:textId="77777777" w:rsidR="00F15683" w:rsidRPr="00487162" w:rsidRDefault="00F1568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EA2B2C">
            <w:fldChar w:fldCharType="begin"/>
          </w:r>
          <w:r w:rsidR="00EA2B2C">
            <w:instrText xml:space="preserve"> NUMPAGES  </w:instrText>
          </w:r>
          <w:r w:rsidR="00EA2B2C">
            <w:fldChar w:fldCharType="separate"/>
          </w:r>
          <w:r>
            <w:rPr>
              <w:noProof/>
            </w:rPr>
            <w:t>21</w:t>
          </w:r>
          <w:r w:rsidR="00EA2B2C">
            <w:rPr>
              <w:noProof/>
            </w:rPr>
            <w:fldChar w:fldCharType="end"/>
          </w:r>
        </w:p>
      </w:tc>
    </w:tr>
  </w:tbl>
  <w:p w14:paraId="1BE4691F" w14:textId="77777777" w:rsidR="00F15683" w:rsidRDefault="00F156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99B0" w14:textId="77777777" w:rsidR="00F15683" w:rsidRPr="001C32CD" w:rsidRDefault="00F15683"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15683" w14:paraId="28913FCD" w14:textId="77777777" w:rsidTr="0010601F">
      <w:trPr>
        <w:trHeight w:val="108"/>
      </w:trPr>
      <w:tc>
        <w:tcPr>
          <w:tcW w:w="8875" w:type="dxa"/>
          <w:gridSpan w:val="2"/>
          <w:tcBorders>
            <w:bottom w:val="single" w:sz="4" w:space="0" w:color="auto"/>
          </w:tcBorders>
          <w:tcMar>
            <w:right w:w="284" w:type="dxa"/>
          </w:tcMar>
        </w:tcPr>
        <w:p w14:paraId="661560F8" w14:textId="77777777" w:rsidR="00F15683" w:rsidRDefault="00F15683" w:rsidP="006E08B3">
          <w:pPr>
            <w:pStyle w:val="Heading3"/>
          </w:pPr>
          <w:r>
            <w:t>Copyright</w:t>
          </w:r>
        </w:p>
        <w:p w14:paraId="5D360905" w14:textId="77777777" w:rsidR="00F15683" w:rsidRDefault="00F15683" w:rsidP="006E08B3">
          <w:r>
            <w:rPr>
              <w:rFonts w:cs="Arial"/>
            </w:rPr>
            <w:t>©</w:t>
          </w:r>
          <w:r>
            <w:t xml:space="preserve"> Commonwealth of Australia [add year]</w:t>
          </w:r>
        </w:p>
        <w:p w14:paraId="7D04F97A" w14:textId="77777777" w:rsidR="00F15683" w:rsidRDefault="00F15683" w:rsidP="006E08B3"/>
        <w:p w14:paraId="42E3B668" w14:textId="77777777" w:rsidR="00F15683" w:rsidRDefault="00F1568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34D97BA3" w14:textId="77777777" w:rsidR="00F15683" w:rsidRDefault="00F15683" w:rsidP="006E08B3"/>
        <w:p w14:paraId="1668FD7A" w14:textId="77777777" w:rsidR="00F15683" w:rsidRDefault="00F15683" w:rsidP="006E08B3">
          <w:pPr>
            <w:pStyle w:val="Heading3"/>
          </w:pPr>
          <w:r>
            <w:t>Confidentiality</w:t>
          </w:r>
        </w:p>
        <w:p w14:paraId="54D0DBF4" w14:textId="77777777" w:rsidR="00F15683" w:rsidRDefault="00F1568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B93070A" w14:textId="77777777" w:rsidR="00F15683" w:rsidRDefault="00F15683" w:rsidP="006E08B3"/>
        <w:p w14:paraId="0281FDF4" w14:textId="77777777" w:rsidR="00F15683" w:rsidRDefault="00F15683" w:rsidP="006E08B3">
          <w:r>
            <w:t>For submission made by individuals, all personal details, other than your name, will be removed from your submission before it is published on the TGA’s Internet site.</w:t>
          </w:r>
        </w:p>
        <w:p w14:paraId="4FF81BBB" w14:textId="77777777" w:rsidR="00F15683" w:rsidRDefault="00F15683" w:rsidP="006E08B3"/>
        <w:p w14:paraId="7C4CC793" w14:textId="77777777" w:rsidR="00F15683" w:rsidRDefault="00F15683" w:rsidP="006E08B3">
          <w:r>
            <w:t>In addition, a list of parties making submissions will be published. If you do not wish to be identified with your submission you must specifically request this in the space provided in the submission coversheet.</w:t>
          </w:r>
        </w:p>
      </w:tc>
    </w:tr>
    <w:tr w:rsidR="00F15683" w14:paraId="6061F29F" w14:textId="77777777" w:rsidTr="0010601F">
      <w:trPr>
        <w:trHeight w:val="417"/>
      </w:trPr>
      <w:tc>
        <w:tcPr>
          <w:tcW w:w="4519" w:type="dxa"/>
          <w:tcBorders>
            <w:top w:val="single" w:sz="4" w:space="0" w:color="auto"/>
          </w:tcBorders>
          <w:tcMar>
            <w:top w:w="142" w:type="dxa"/>
            <w:bottom w:w="0" w:type="dxa"/>
          </w:tcMar>
        </w:tcPr>
        <w:p w14:paraId="67495670" w14:textId="77777777" w:rsidR="00F15683" w:rsidRDefault="00F15683" w:rsidP="006E08B3">
          <w:r>
            <w:t>Document title, Part #, Section # - Section title</w:t>
          </w:r>
        </w:p>
        <w:p w14:paraId="03860505" w14:textId="77777777" w:rsidR="00F15683" w:rsidRDefault="00F15683" w:rsidP="006E08B3">
          <w:r>
            <w:t>V1.0 October 2010</w:t>
          </w:r>
        </w:p>
      </w:tc>
      <w:tc>
        <w:tcPr>
          <w:tcW w:w="4356" w:type="dxa"/>
          <w:tcBorders>
            <w:top w:val="single" w:sz="4" w:space="0" w:color="auto"/>
          </w:tcBorders>
          <w:tcMar>
            <w:top w:w="142" w:type="dxa"/>
            <w:bottom w:w="0" w:type="dxa"/>
          </w:tcMar>
        </w:tcPr>
        <w:p w14:paraId="477B4DBC" w14:textId="77777777" w:rsidR="00F15683" w:rsidRDefault="00F1568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EA2B2C">
            <w:fldChar w:fldCharType="begin"/>
          </w:r>
          <w:r w:rsidR="00EA2B2C">
            <w:instrText xml:space="preserve"> NUMPAGES  \* Arabic </w:instrText>
          </w:r>
          <w:r w:rsidR="00EA2B2C">
            <w:fldChar w:fldCharType="separate"/>
          </w:r>
          <w:r>
            <w:rPr>
              <w:noProof/>
            </w:rPr>
            <w:t>21</w:t>
          </w:r>
          <w:r w:rsidR="00EA2B2C">
            <w:rPr>
              <w:noProof/>
            </w:rPr>
            <w:fldChar w:fldCharType="end"/>
          </w:r>
          <w:r>
            <w:t xml:space="preserve">  </w:t>
          </w:r>
        </w:p>
      </w:tc>
    </w:tr>
  </w:tbl>
  <w:p w14:paraId="28A5A8FC" w14:textId="77777777" w:rsidR="00F15683" w:rsidRDefault="00F156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F35FE" w14:textId="77777777" w:rsidR="00940D81" w:rsidRDefault="00940D81" w:rsidP="00C40A36">
      <w:pPr>
        <w:spacing w:after="0"/>
      </w:pPr>
      <w:r>
        <w:separator/>
      </w:r>
    </w:p>
  </w:footnote>
  <w:footnote w:type="continuationSeparator" w:id="0">
    <w:p w14:paraId="1DC5FCFF" w14:textId="77777777" w:rsidR="00940D81" w:rsidRDefault="00940D81" w:rsidP="00C40A36">
      <w:pPr>
        <w:spacing w:after="0"/>
      </w:pPr>
      <w:r>
        <w:continuationSeparator/>
      </w:r>
    </w:p>
  </w:footnote>
  <w:footnote w:id="1">
    <w:p w14:paraId="70425B2B" w14:textId="6127B4F9" w:rsidR="00F15683" w:rsidRDefault="00F15683">
      <w:pPr>
        <w:pStyle w:val="FootnoteText"/>
      </w:pPr>
      <w:r>
        <w:rPr>
          <w:rStyle w:val="FootnoteReference"/>
        </w:rPr>
        <w:footnoteRef/>
      </w:r>
      <w:r>
        <w:t xml:space="preserve"> European Society of Medical Oncology (ESMO), Bladder cancer: ESMO Clinical Practice Guideline for diagnosis, treatment and follow up, 2021. Available from ESMO.org.</w:t>
      </w:r>
    </w:p>
  </w:footnote>
  <w:footnote w:id="2">
    <w:p w14:paraId="6E910C20" w14:textId="77777777" w:rsidR="00F15683" w:rsidRDefault="00F15683" w:rsidP="00F47905">
      <w:pPr>
        <w:pStyle w:val="FootnoteText"/>
      </w:pPr>
      <w:r>
        <w:rPr>
          <w:rStyle w:val="FootnoteReference"/>
        </w:rPr>
        <w:footnoteRef/>
      </w:r>
      <w:r>
        <w:t xml:space="preserve"> Australian Institute of Health and Welfare, Cancer in Australia, 2021. Available from AIHW.gov.au</w:t>
      </w:r>
    </w:p>
  </w:footnote>
  <w:footnote w:id="3">
    <w:p w14:paraId="36FEBA51" w14:textId="05DA3478" w:rsidR="00F15683" w:rsidRPr="00A86337" w:rsidRDefault="00F15683">
      <w:pPr>
        <w:pStyle w:val="FootnoteText"/>
        <w:rPr>
          <w:lang w:val="en-GB"/>
        </w:rPr>
      </w:pPr>
      <w:r>
        <w:rPr>
          <w:rStyle w:val="FootnoteReference"/>
        </w:rPr>
        <w:footnoteRef/>
      </w:r>
      <w:r>
        <w:t xml:space="preserve"> </w:t>
      </w:r>
      <w:r w:rsidRPr="006A122B">
        <w:t xml:space="preserve">Miyazaki J, Nishiyama H. Epidemiology of urothelial carcinoma. </w:t>
      </w:r>
      <w:r w:rsidRPr="00A86337">
        <w:rPr>
          <w:i/>
        </w:rPr>
        <w:t>International journal of urology: official journal of the Japanese Urological Association</w:t>
      </w:r>
      <w:r w:rsidRPr="006A122B">
        <w:t>. 2017;24(10):730-4.</w:t>
      </w:r>
    </w:p>
  </w:footnote>
  <w:footnote w:id="4">
    <w:p w14:paraId="7DF690F6" w14:textId="0ABFE73C" w:rsidR="00F15683" w:rsidRPr="00A86337" w:rsidRDefault="00F15683">
      <w:pPr>
        <w:pStyle w:val="FootnoteText"/>
        <w:rPr>
          <w:lang w:val="en-GB"/>
        </w:rPr>
      </w:pPr>
      <w:r>
        <w:rPr>
          <w:rStyle w:val="FootnoteReference"/>
        </w:rPr>
        <w:footnoteRef/>
      </w:r>
      <w:r>
        <w:t xml:space="preserve"> </w:t>
      </w:r>
      <w:r w:rsidRPr="00DD672D">
        <w:t>Siegel R.L., Miller K.D., Jemal A. Cancer statistics, 2019</w:t>
      </w:r>
      <w:r w:rsidRPr="00A86337">
        <w:rPr>
          <w:i/>
        </w:rPr>
        <w:t>. CA Cancer J. Clin.</w:t>
      </w:r>
      <w:r w:rsidRPr="00DD672D">
        <w:t xml:space="preserve"> </w:t>
      </w:r>
      <w:r w:rsidR="00A86337" w:rsidRPr="00DD672D">
        <w:t>2019; 69:7</w:t>
      </w:r>
      <w:r w:rsidRPr="00DD672D">
        <w:t>–34.</w:t>
      </w:r>
    </w:p>
  </w:footnote>
  <w:footnote w:id="5">
    <w:p w14:paraId="550A2A6E" w14:textId="49EBE7E8" w:rsidR="00F15683" w:rsidRPr="00A86337" w:rsidRDefault="00F15683">
      <w:pPr>
        <w:pStyle w:val="FootnoteText"/>
        <w:rPr>
          <w:lang w:val="en-GB"/>
        </w:rPr>
      </w:pPr>
      <w:r>
        <w:rPr>
          <w:rStyle w:val="FootnoteReference"/>
        </w:rPr>
        <w:footnoteRef/>
      </w:r>
      <w:r>
        <w:t xml:space="preserve"> </w:t>
      </w:r>
      <w:r w:rsidRPr="00DD672D">
        <w:t xml:space="preserve">Chin JL, Siddiqui KM, Tran K-C. Metastatic Bladder Cancer. In: Ahmad A, ed. Introduction to Cancer Metastasis. </w:t>
      </w:r>
      <w:r w:rsidRPr="00A86337">
        <w:rPr>
          <w:i/>
        </w:rPr>
        <w:t>Elsevier, Inc</w:t>
      </w:r>
      <w:r w:rsidRPr="00DD672D">
        <w:t>., London, United Kingdom. 2017:177-98.</w:t>
      </w:r>
    </w:p>
  </w:footnote>
  <w:footnote w:id="6">
    <w:p w14:paraId="5A72ED07" w14:textId="7F16B17A" w:rsidR="00F15683" w:rsidRDefault="00F15683">
      <w:pPr>
        <w:pStyle w:val="FootnoteText"/>
      </w:pPr>
      <w:r>
        <w:rPr>
          <w:rStyle w:val="FootnoteReference"/>
        </w:rPr>
        <w:footnoteRef/>
      </w:r>
      <w:r>
        <w:t xml:space="preserve"> </w:t>
      </w:r>
      <w:r w:rsidRPr="0004441B">
        <w:t>Cisplatin ineligibility was described by Galsky et al in 2011 and defines a group of patients more at risk of toxicity from cisplatin. These criteria include Eastern Cooperative Oncology Group (ECOG) performance status ≥</w:t>
      </w:r>
      <w:r>
        <w:t> </w:t>
      </w:r>
      <w:r w:rsidRPr="0004441B">
        <w:t xml:space="preserve">2; Creatinine clearance &lt; 60 mL/min; Hearing loss (at audiometry) 25 dB at two contiguous frequencies; Grade ≥ 2 peripheral neuropathy; </w:t>
      </w:r>
      <w:r>
        <w:t>New York Heart Association</w:t>
      </w:r>
      <w:r w:rsidRPr="0004441B">
        <w:t xml:space="preserve"> Class ≥ III heart failure</w:t>
      </w:r>
    </w:p>
  </w:footnote>
  <w:footnote w:id="7">
    <w:p w14:paraId="266FAB0B" w14:textId="45976073" w:rsidR="00F15683" w:rsidRDefault="00F15683">
      <w:pPr>
        <w:pStyle w:val="FootnoteText"/>
      </w:pPr>
      <w:r>
        <w:rPr>
          <w:rStyle w:val="FootnoteReference"/>
        </w:rPr>
        <w:footnoteRef/>
      </w:r>
      <w:r>
        <w:t xml:space="preserve"> </w:t>
      </w:r>
      <w:r w:rsidRPr="007D18C0">
        <w:t>Erdafitinib is not registered in Australia</w:t>
      </w:r>
    </w:p>
  </w:footnote>
  <w:footnote w:id="8">
    <w:p w14:paraId="19FF821A" w14:textId="77777777" w:rsidR="00F15683" w:rsidRPr="00E41C7C" w:rsidRDefault="00F15683" w:rsidP="00E23914">
      <w:pPr>
        <w:pStyle w:val="FootnoteText"/>
        <w:rPr>
          <w:lang w:val="en-GB"/>
        </w:rPr>
      </w:pPr>
      <w:r>
        <w:rPr>
          <w:rStyle w:val="FootnoteReference"/>
        </w:rPr>
        <w:footnoteRef/>
      </w:r>
      <w:r>
        <w:t xml:space="preserve"> Bellmunt J. </w:t>
      </w:r>
      <w:r w:rsidRPr="00E23914">
        <w:t>Treatment of metastatic urothelial cancer of the bladder and urinary tract</w:t>
      </w:r>
      <w:r>
        <w:t>; in Lerner</w:t>
      </w:r>
      <w:r w:rsidRPr="00E23914">
        <w:t xml:space="preserve"> </w:t>
      </w:r>
      <w:r>
        <w:t xml:space="preserve">S ed, Shah S ed. </w:t>
      </w:r>
      <w:r w:rsidRPr="00E41C7C">
        <w:rPr>
          <w:i/>
        </w:rPr>
        <w:t>UpToDate</w:t>
      </w:r>
      <w:r>
        <w:rPr>
          <w:i/>
        </w:rPr>
        <w:t xml:space="preserve">. </w:t>
      </w:r>
      <w:r>
        <w:t>Waltham, Mass.: UpToDate 2022.</w:t>
      </w:r>
    </w:p>
  </w:footnote>
  <w:footnote w:id="9">
    <w:p w14:paraId="6DD2B00B" w14:textId="2A0BEBFA" w:rsidR="00F15683" w:rsidRDefault="00F15683">
      <w:pPr>
        <w:pStyle w:val="FootnoteText"/>
      </w:pPr>
      <w:r>
        <w:rPr>
          <w:rStyle w:val="FootnoteReference"/>
        </w:rPr>
        <w:footnoteRef/>
      </w:r>
      <w:r>
        <w:t xml:space="preserve"> European Medicines Agency (EMA), Committee for Medicinal Products for Human Use (CHMP), </w:t>
      </w:r>
      <w:hyperlink r:id="rId1" w:history="1">
        <w:r w:rsidRPr="000652EB">
          <w:rPr>
            <w:rStyle w:val="Hyperlink"/>
          </w:rPr>
          <w:t>Guideline on nonclinical evaluation for anticancer pharmaceuticals EMA/CHMP/ICH/646107/2008</w:t>
        </w:r>
      </w:hyperlink>
      <w:r>
        <w:t>, May 2010.</w:t>
      </w:r>
    </w:p>
  </w:footnote>
  <w:footnote w:id="10">
    <w:p w14:paraId="4FE2E0ED" w14:textId="63E7BE09" w:rsidR="00F15683" w:rsidRDefault="00F15683">
      <w:pPr>
        <w:pStyle w:val="FootnoteText"/>
      </w:pPr>
      <w:r>
        <w:rPr>
          <w:rStyle w:val="FootnoteReference"/>
        </w:rPr>
        <w:footnoteRef/>
      </w:r>
      <w:r>
        <w:t xml:space="preserve"> European Medicines Agency (EMA), Committee for Medicinal Products for Human Use (CHMP), </w:t>
      </w:r>
      <w:hyperlink r:id="rId2" w:history="1">
        <w:r w:rsidRPr="000652EB">
          <w:rPr>
            <w:rStyle w:val="Hyperlink"/>
          </w:rPr>
          <w:t>Guideline on preclinical safety evaluation of biotechnology-derived pharmaceuticals EMA/CHMP/ICH/731268/1998</w:t>
        </w:r>
      </w:hyperlink>
      <w:r>
        <w:t>, December 2011.</w:t>
      </w:r>
    </w:p>
  </w:footnote>
  <w:footnote w:id="11">
    <w:p w14:paraId="4F4FDC87" w14:textId="60CD51C2" w:rsidR="00F15683" w:rsidRPr="00565C2C" w:rsidRDefault="00F15683" w:rsidP="00565C2C">
      <w:pPr>
        <w:pStyle w:val="FootnoteText"/>
      </w:pPr>
      <w:r>
        <w:rPr>
          <w:rStyle w:val="FootnoteReference"/>
        </w:rPr>
        <w:footnoteRef/>
      </w:r>
      <w:r>
        <w:t xml:space="preserve"> </w:t>
      </w:r>
      <w:r w:rsidRPr="00565C2C">
        <w:t>Cytochrome P450 (CYP) enzymes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55A8EADE" w14:textId="45CC0800" w:rsidR="00F15683" w:rsidRDefault="00F15683" w:rsidP="00565C2C">
      <w:pPr>
        <w:pStyle w:val="FootnoteText"/>
      </w:pPr>
      <w:r w:rsidRPr="00565C2C">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2">
    <w:p w14:paraId="270AFD8E" w14:textId="3A0C0286" w:rsidR="00F15683" w:rsidRDefault="00F15683" w:rsidP="006926B4">
      <w:pPr>
        <w:pStyle w:val="FootnoteText"/>
        <w:tabs>
          <w:tab w:val="left" w:pos="1185"/>
        </w:tabs>
      </w:pPr>
      <w:r w:rsidRPr="00CF3A09">
        <w:rPr>
          <w:rStyle w:val="FootnoteReference"/>
        </w:rPr>
        <w:footnoteRef/>
      </w:r>
      <w:r w:rsidRPr="00CF3A09">
        <w:t xml:space="preserve"> </w:t>
      </w:r>
      <w:r w:rsidRPr="006C38DB">
        <w:t>Common Terminology Criteria for Adverse Events ( CTCAE )</w:t>
      </w:r>
      <w:r>
        <w:t xml:space="preserve"> grading: </w:t>
      </w:r>
      <w:r w:rsidRPr="00CF3A09">
        <w:t>Grade 1 is</w:t>
      </w:r>
      <w:r>
        <w:t xml:space="preserve"> mild, Grade 2 is moderate, Grade 3 is severe and Grade 4 is life-threatening.</w:t>
      </w:r>
    </w:p>
  </w:footnote>
  <w:footnote w:id="13">
    <w:p w14:paraId="27E72551" w14:textId="34C02DA6" w:rsidR="00F15683" w:rsidRDefault="00F15683" w:rsidP="00AE0175">
      <w:pPr>
        <w:pStyle w:val="FootnoteText"/>
        <w:tabs>
          <w:tab w:val="left" w:pos="1800"/>
        </w:tabs>
      </w:pPr>
      <w:r>
        <w:rPr>
          <w:rStyle w:val="FootnoteReference"/>
        </w:rPr>
        <w:footnoteRef/>
      </w:r>
      <w:r>
        <w:t xml:space="preserve"> </w:t>
      </w:r>
      <w:r w:rsidRPr="00AE0175">
        <w:t>The QT interval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footnote>
  <w:footnote w:id="14">
    <w:p w14:paraId="35C55F32" w14:textId="77777777" w:rsidR="00F15683" w:rsidRDefault="00F15683" w:rsidP="00565C2C">
      <w:pPr>
        <w:pStyle w:val="FootnoteText"/>
      </w:pPr>
      <w:r>
        <w:rPr>
          <w:rStyle w:val="FootnoteReference"/>
        </w:rPr>
        <w:footnoteRef/>
      </w:r>
      <w:r>
        <w:t xml:space="preserve"> Eastern Cooperative Oncology Group Performance Status (ECOG PS): The ECOG has developed criteria used by doctors and researchers to assess how a patient's disease is progressing, assess how the disease affects the daily living abilities of the patient, and determine appropriate treatment and prognosis. The following are used: </w:t>
      </w:r>
    </w:p>
    <w:p w14:paraId="6FE1C472" w14:textId="77777777" w:rsidR="00F15683" w:rsidRDefault="00F15683" w:rsidP="00565C2C">
      <w:pPr>
        <w:pStyle w:val="FootnoteText"/>
      </w:pPr>
      <w:r>
        <w:t>0 - Fully active, able to carry on all pre-disease performance without restriction</w:t>
      </w:r>
    </w:p>
    <w:p w14:paraId="433A4DF6" w14:textId="77777777" w:rsidR="00F15683" w:rsidRDefault="00F15683" w:rsidP="00565C2C">
      <w:pPr>
        <w:pStyle w:val="FootnoteText"/>
      </w:pPr>
      <w:r>
        <w:t>1- Restricted in physically strenuous activity but ambulatory and able to carry out work of a light or sedentary nature, for example, light house work, office work</w:t>
      </w:r>
    </w:p>
    <w:p w14:paraId="2ECDBCA5" w14:textId="77777777" w:rsidR="00F15683" w:rsidRDefault="00F15683" w:rsidP="00565C2C">
      <w:pPr>
        <w:pStyle w:val="FootnoteText"/>
      </w:pPr>
      <w:r>
        <w:t>2 - Ambulatory and capable of all selfcare but unable to carry out any work activities. Up and about more than 50% of waking hours</w:t>
      </w:r>
    </w:p>
    <w:p w14:paraId="25CADD76" w14:textId="77777777" w:rsidR="00F15683" w:rsidRDefault="00F15683" w:rsidP="00565C2C">
      <w:pPr>
        <w:pStyle w:val="FootnoteText"/>
      </w:pPr>
      <w:r>
        <w:t>3 - Capable of only limited selfcare, confined to bed or chair more than 50% of waking hours</w:t>
      </w:r>
    </w:p>
    <w:p w14:paraId="729EB156" w14:textId="77777777" w:rsidR="00F15683" w:rsidRDefault="00F15683" w:rsidP="00565C2C">
      <w:pPr>
        <w:pStyle w:val="FootnoteText"/>
      </w:pPr>
      <w:r>
        <w:t>4 - Completely disabled. Cannot carry on any selfcare. Totally confined to bed or chair</w:t>
      </w:r>
    </w:p>
    <w:p w14:paraId="1265F41E" w14:textId="4D06164B" w:rsidR="00F15683" w:rsidRDefault="00F15683" w:rsidP="00565C2C">
      <w:pPr>
        <w:pStyle w:val="FootnoteText"/>
      </w:pPr>
      <w:r>
        <w:t>5 – Dead</w:t>
      </w:r>
    </w:p>
  </w:footnote>
  <w:footnote w:id="15">
    <w:p w14:paraId="22682C28" w14:textId="52942EFF" w:rsidR="00F15683" w:rsidRDefault="00F15683">
      <w:pPr>
        <w:pStyle w:val="FootnoteText"/>
      </w:pPr>
      <w:r>
        <w:rPr>
          <w:rStyle w:val="FootnoteReference"/>
        </w:rPr>
        <w:footnoteRef/>
      </w:r>
      <w:r>
        <w:t xml:space="preserve"> </w:t>
      </w:r>
      <w:r w:rsidRPr="00FE2253">
        <w:t xml:space="preserve">Docetaxel was not to be chosen as a comparator if </w:t>
      </w:r>
      <w:r>
        <w:t>total bilirubin</w:t>
      </w:r>
      <w:r w:rsidRPr="00FE2253">
        <w:t xml:space="preserve"> </w:t>
      </w:r>
      <w:r>
        <w:t>greater than</w:t>
      </w:r>
      <w:r w:rsidRPr="00FE2253">
        <w:t xml:space="preserve"> </w:t>
      </w:r>
      <w:r>
        <w:t>upper limit of normal (ULN)</w:t>
      </w:r>
      <w:r w:rsidRPr="00FE2253">
        <w:t xml:space="preserve">, or </w:t>
      </w:r>
      <w:r>
        <w:t>aspartate transaminase (</w:t>
      </w:r>
      <w:r w:rsidRPr="00FE2253">
        <w:t>AST</w:t>
      </w:r>
      <w:r>
        <w:t>)</w:t>
      </w:r>
      <w:r w:rsidRPr="00FE2253">
        <w:t xml:space="preserve"> and/or </w:t>
      </w:r>
      <w:r>
        <w:t>alanine transaminase (</w:t>
      </w:r>
      <w:r w:rsidRPr="00FE2253">
        <w:t>ALT</w:t>
      </w:r>
      <w:r>
        <w:t>)</w:t>
      </w:r>
      <w:r w:rsidRPr="00FE2253">
        <w:t xml:space="preserve"> </w:t>
      </w:r>
      <w:r>
        <w:t>greater than</w:t>
      </w:r>
      <w:r w:rsidRPr="00FE2253">
        <w:t xml:space="preserve"> 1.5 </w:t>
      </w:r>
      <w:r>
        <w:t xml:space="preserve">times </w:t>
      </w:r>
      <w:r w:rsidRPr="00FE2253">
        <w:t xml:space="preserve">ULN with </w:t>
      </w:r>
      <w:r>
        <w:t>alkaline phosphatase (</w:t>
      </w:r>
      <w:r w:rsidRPr="00FE2253">
        <w:t>ALP</w:t>
      </w:r>
      <w:r>
        <w:t>)</w:t>
      </w:r>
      <w:r w:rsidRPr="00FE2253">
        <w:t xml:space="preserve"> </w:t>
      </w:r>
      <w:r>
        <w:t>greater than</w:t>
      </w:r>
      <w:r w:rsidRPr="00FE2253">
        <w:t xml:space="preserve"> 2.5 </w:t>
      </w:r>
      <w:r>
        <w:t xml:space="preserve">times </w:t>
      </w:r>
      <w:r w:rsidRPr="00FE2253">
        <w:t>ULN.</w:t>
      </w:r>
    </w:p>
  </w:footnote>
  <w:footnote w:id="16">
    <w:p w14:paraId="380E5971" w14:textId="73253C01" w:rsidR="00F15683" w:rsidRDefault="00F15683" w:rsidP="00CC5173">
      <w:pPr>
        <w:pStyle w:val="FootnoteText"/>
      </w:pPr>
      <w:r>
        <w:rPr>
          <w:rStyle w:val="FootnoteReference"/>
        </w:rPr>
        <w:footnoteRef/>
      </w:r>
      <w:r>
        <w:t xml:space="preserve"> New York Heart Association (NYHA) classification: </w:t>
      </w:r>
    </w:p>
    <w:p w14:paraId="198A0AA3" w14:textId="77777777" w:rsidR="00F15683" w:rsidRDefault="00F15683" w:rsidP="00CC5173">
      <w:pPr>
        <w:pStyle w:val="FootnoteText"/>
      </w:pPr>
      <w:r>
        <w:t xml:space="preserve">Class I: No limitations. Ordinary physical activity does not cause undue fatigue, dyspnoea or palpitations (asymptomatic left ventricular dysfunction). Metabolic equivalent (MET) &gt; 7. </w:t>
      </w:r>
    </w:p>
    <w:p w14:paraId="5FC6C6BC" w14:textId="77777777" w:rsidR="00F15683" w:rsidRDefault="00F15683" w:rsidP="00CC5173">
      <w:pPr>
        <w:pStyle w:val="FootnoteText"/>
      </w:pPr>
      <w:r>
        <w:t>Class II: Slight limitation of physical activity. Ordinary physical activity results in fatigue, palpitation, dyspnoea or angina pectoris (mild congestive heart failure). MET = 5.</w:t>
      </w:r>
    </w:p>
    <w:p w14:paraId="67C30AFD" w14:textId="77777777" w:rsidR="00F15683" w:rsidRDefault="00F15683" w:rsidP="00CC5173">
      <w:pPr>
        <w:pStyle w:val="FootnoteText"/>
      </w:pPr>
      <w:r>
        <w:t>Class III: Marked limitation of physical activity. Less than ordinary physical activity leads to symptoms (moderate congestive heart failure). MET = 2–3.</w:t>
      </w:r>
    </w:p>
    <w:p w14:paraId="4ED153C7" w14:textId="40896CF1" w:rsidR="00F15683" w:rsidRDefault="00F15683" w:rsidP="00CC5173">
      <w:pPr>
        <w:pStyle w:val="FootnoteText"/>
      </w:pPr>
      <w:r>
        <w:t>Class IV: Unable to carry on any physical activity without discomfort. Symptoms of congestive heart failure present at rest (severe congestive heart failure). MET = 1.6.</w:t>
      </w:r>
    </w:p>
  </w:footnote>
  <w:footnote w:id="17">
    <w:p w14:paraId="196A2A71" w14:textId="1C3D3E5E" w:rsidR="00F15683" w:rsidRDefault="00F15683" w:rsidP="00CC5173">
      <w:pPr>
        <w:pStyle w:val="FootnoteText"/>
      </w:pPr>
      <w:r>
        <w:rPr>
          <w:rStyle w:val="FootnoteReference"/>
        </w:rPr>
        <w:footnoteRef/>
      </w:r>
      <w:r>
        <w:t xml:space="preserve"> </w:t>
      </w:r>
      <w:r w:rsidRPr="00CC5173">
        <w:t>Haemoglobin A1c or glycated haemoglobin (HbA1c) is a minor component of haemoglobin chemically linked to glucose. Levels of HbA1c vary and are relative to the overall blood glucose concentration. Unlike a blood glucose concentration, levels of HbA1c are not influenced by daily fluctuations in the blood glucose concentration but reflect the average glucose levels over the prior 6 to 8 weeks. Measurement of HbA1c is used in the diagnosis of diabetes mellitus and is useful indicator of how well the blood glucose level has been controlled in the recent past and may be used to monitor the effects of diet, exercise, and drug therapy on blood glucose in patients with diabetes. In healthy people without diabetes, the HbA1c level is less than 7 percent of total haemoglobin.</w:t>
      </w:r>
    </w:p>
  </w:footnote>
  <w:footnote w:id="18">
    <w:p w14:paraId="0A384BE5" w14:textId="662A4A63" w:rsidR="00F15683" w:rsidRDefault="00F15683">
      <w:pPr>
        <w:pStyle w:val="FootnoteText"/>
      </w:pPr>
      <w:r>
        <w:rPr>
          <w:rStyle w:val="FootnoteReference"/>
        </w:rPr>
        <w:footnoteRef/>
      </w:r>
      <w:r>
        <w:t xml:space="preserve"> </w:t>
      </w:r>
      <w:r w:rsidRPr="00CC5173">
        <w:t xml:space="preserve">The Response Evaluation Criteria </w:t>
      </w:r>
      <w:r>
        <w:t>i</w:t>
      </w:r>
      <w:r w:rsidRPr="00CC5173">
        <w:t>n Solid Tumours (RECIST)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the majority of clinical trials evaluating cancer treatments for objective response in solid tumours use RECIST. These criteria were developed and published in February 2000, and subsequently updated in 2009.</w:t>
      </w:r>
    </w:p>
    <w:p w14:paraId="75EBF99C" w14:textId="77777777" w:rsidR="00F15683" w:rsidRDefault="00F15683">
      <w:pPr>
        <w:pStyle w:val="FootnoteText"/>
      </w:pPr>
    </w:p>
  </w:footnote>
  <w:footnote w:id="19">
    <w:p w14:paraId="2C8F5179" w14:textId="348F4026" w:rsidR="00F15683" w:rsidRPr="009D7033" w:rsidRDefault="00F15683" w:rsidP="009D7033">
      <w:pPr>
        <w:pStyle w:val="FootnoteText"/>
      </w:pPr>
      <w:r w:rsidRPr="009D7033">
        <w:rPr>
          <w:rStyle w:val="FootnoteReference"/>
          <w:vertAlign w:val="baseline"/>
        </w:rPr>
        <w:footnoteRef/>
      </w:r>
      <w:r w:rsidRPr="009D7033">
        <w:t xml:space="preserve"> Bellmunt, J et al. Prognostic factors in patients with advanced transitional cell carcinoma of the urothelial tract experiencing treatment failure with platinum-containing regimens</w:t>
      </w:r>
      <w:r>
        <w:t xml:space="preserve">, </w:t>
      </w:r>
      <w:r w:rsidRPr="0013264E">
        <w:rPr>
          <w:i/>
          <w:iCs/>
        </w:rPr>
        <w:t>Journal o</w:t>
      </w:r>
      <w:r>
        <w:rPr>
          <w:i/>
          <w:iCs/>
        </w:rPr>
        <w:t>f</w:t>
      </w:r>
      <w:r w:rsidRPr="0013264E">
        <w:rPr>
          <w:i/>
          <w:iCs/>
        </w:rPr>
        <w:t xml:space="preserve"> Clinical Oncology</w:t>
      </w:r>
      <w:r>
        <w:t>, 2010; 28(11): 1850-1855.</w:t>
      </w:r>
    </w:p>
  </w:footnote>
  <w:footnote w:id="20">
    <w:p w14:paraId="16DD2CFA" w14:textId="46C683DF" w:rsidR="00F15683" w:rsidRPr="0013264E" w:rsidRDefault="00F15683">
      <w:pPr>
        <w:pStyle w:val="FootnoteText"/>
      </w:pPr>
      <w:r>
        <w:rPr>
          <w:rStyle w:val="FootnoteReference"/>
        </w:rPr>
        <w:footnoteRef/>
      </w:r>
      <w:r>
        <w:t xml:space="preserve"> Cloper, C.J. et al. The use of confidence of fiducial limits illustrcaptionszated in the case of the binomial, </w:t>
      </w:r>
      <w:r>
        <w:rPr>
          <w:i/>
          <w:iCs/>
        </w:rPr>
        <w:t xml:space="preserve">Biometrika, </w:t>
      </w:r>
      <w:r>
        <w:t>1934; 6(4): 404-413.</w:t>
      </w:r>
    </w:p>
  </w:footnote>
  <w:footnote w:id="21">
    <w:p w14:paraId="011E3271" w14:textId="259D6FE0" w:rsidR="00F15683" w:rsidRPr="00A63F00" w:rsidRDefault="00F15683" w:rsidP="00A63F00">
      <w:pPr>
        <w:pStyle w:val="FootnoteText"/>
        <w:tabs>
          <w:tab w:val="left" w:pos="1470"/>
          <w:tab w:val="left" w:pos="6435"/>
        </w:tabs>
      </w:pPr>
      <w:r>
        <w:rPr>
          <w:rStyle w:val="FootnoteReference"/>
        </w:rPr>
        <w:footnoteRef/>
      </w:r>
      <w:r>
        <w:t xml:space="preserve"> </w:t>
      </w:r>
      <w:r w:rsidRPr="00A63F00">
        <w:t>Galskym M. D. et al. A consensus definition of patients with metastatic urothelial carcinoma who are unfit for cisplatin-based chemotherapy, The Lancet, 2011; 12: 211-214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1169" w14:textId="77777777" w:rsidR="00F15683" w:rsidRDefault="00F15683"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CD48" w14:textId="77777777" w:rsidR="00F15683" w:rsidRDefault="00F15683">
    <w:pPr>
      <w:rPr>
        <w:noProof/>
        <w:lang w:eastAsia="en-AU"/>
      </w:rPr>
    </w:pPr>
    <w:r w:rsidRPr="00347824">
      <w:rPr>
        <w:noProof/>
        <w:lang w:val="en-GB" w:eastAsia="en-GB"/>
      </w:rPr>
      <w:drawing>
        <wp:anchor distT="0" distB="0" distL="114300" distR="114300" simplePos="0" relativeHeight="251659264" behindDoc="1" locked="0" layoutInCell="1" allowOverlap="1" wp14:anchorId="28F030BA" wp14:editId="218A16E7">
          <wp:simplePos x="0" y="0"/>
          <wp:positionH relativeFrom="column">
            <wp:posOffset>-1089660</wp:posOffset>
          </wp:positionH>
          <wp:positionV relativeFrom="paragraph">
            <wp:posOffset>-585470</wp:posOffset>
          </wp:positionV>
          <wp:extent cx="7572375" cy="10706100"/>
          <wp:effectExtent l="19050" t="0" r="0" b="0"/>
          <wp:wrapNone/>
          <wp:docPr id="3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88A7" w14:textId="77777777" w:rsidR="00F15683" w:rsidRDefault="00F156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C6B1" w14:textId="77777777" w:rsidR="00F15683" w:rsidRDefault="00F15683">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9813" w14:textId="77777777" w:rsidR="00F15683" w:rsidRDefault="00F1568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48FD" w14:textId="77777777" w:rsidR="00F15683" w:rsidRDefault="00F156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6145" w14:textId="77777777" w:rsidR="00F15683" w:rsidRDefault="00F15683"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A04D" w14:textId="77777777" w:rsidR="00F15683" w:rsidRDefault="00F15683" w:rsidP="006E08B3">
    <w:r>
      <w:t>Therapeutic Goods Administration</w:t>
    </w:r>
  </w:p>
  <w:p w14:paraId="115F8D8E" w14:textId="77777777" w:rsidR="00F15683" w:rsidRDefault="00F15683"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254B8A"/>
    <w:multiLevelType w:val="hybridMultilevel"/>
    <w:tmpl w:val="4274D0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FC0A7E"/>
    <w:multiLevelType w:val="hybridMultilevel"/>
    <w:tmpl w:val="69D811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5201CF"/>
    <w:multiLevelType w:val="hybridMultilevel"/>
    <w:tmpl w:val="78888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2920CFB"/>
    <w:multiLevelType w:val="hybridMultilevel"/>
    <w:tmpl w:val="CA4C7878"/>
    <w:lvl w:ilvl="0" w:tplc="0C09000F">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5"/>
  </w:num>
  <w:num w:numId="17">
    <w:abstractNumId w:val="5"/>
  </w:num>
  <w:num w:numId="18">
    <w:abstractNumId w:val="5"/>
  </w:num>
  <w:num w:numId="19">
    <w:abstractNumId w:val="8"/>
  </w:num>
  <w:num w:numId="20">
    <w:abstractNumId w:val="8"/>
  </w:num>
  <w:num w:numId="21">
    <w:abstractNumId w:val="8"/>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5"/>
  </w:num>
  <w:num w:numId="29">
    <w:abstractNumId w:val="6"/>
  </w:num>
  <w:num w:numId="30">
    <w:abstractNumId w:val="11"/>
  </w:num>
  <w:num w:numId="31">
    <w:abstractNumId w:val="4"/>
  </w:num>
  <w:num w:numId="32">
    <w:abstractNumId w:val="13"/>
  </w:num>
  <w:num w:numId="33">
    <w:abstractNumId w:val="14"/>
  </w:num>
  <w:num w:numId="34">
    <w:abstractNumId w:val="7"/>
  </w:num>
  <w:num w:numId="35">
    <w:abstractNumId w:val="9"/>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165"/>
    <w:rsid w:val="00002031"/>
    <w:rsid w:val="00004734"/>
    <w:rsid w:val="00006B22"/>
    <w:rsid w:val="00006FAB"/>
    <w:rsid w:val="0001276A"/>
    <w:rsid w:val="00014D0C"/>
    <w:rsid w:val="00015D51"/>
    <w:rsid w:val="000246AE"/>
    <w:rsid w:val="00025C67"/>
    <w:rsid w:val="00040624"/>
    <w:rsid w:val="0004441B"/>
    <w:rsid w:val="00044772"/>
    <w:rsid w:val="0004541C"/>
    <w:rsid w:val="0005559E"/>
    <w:rsid w:val="000604D6"/>
    <w:rsid w:val="00062719"/>
    <w:rsid w:val="000652EB"/>
    <w:rsid w:val="00066EBB"/>
    <w:rsid w:val="00067E4D"/>
    <w:rsid w:val="000734D8"/>
    <w:rsid w:val="00077646"/>
    <w:rsid w:val="00077775"/>
    <w:rsid w:val="00083FF3"/>
    <w:rsid w:val="00090471"/>
    <w:rsid w:val="00096AA7"/>
    <w:rsid w:val="000A3AED"/>
    <w:rsid w:val="000B3532"/>
    <w:rsid w:val="000B3A75"/>
    <w:rsid w:val="000C00C2"/>
    <w:rsid w:val="000C690F"/>
    <w:rsid w:val="000D1295"/>
    <w:rsid w:val="000D391B"/>
    <w:rsid w:val="000D3D6D"/>
    <w:rsid w:val="000D4FC7"/>
    <w:rsid w:val="000E6196"/>
    <w:rsid w:val="000F3564"/>
    <w:rsid w:val="000F4869"/>
    <w:rsid w:val="000F5B42"/>
    <w:rsid w:val="000F6E6F"/>
    <w:rsid w:val="000F7349"/>
    <w:rsid w:val="0010601F"/>
    <w:rsid w:val="0010726D"/>
    <w:rsid w:val="0010788A"/>
    <w:rsid w:val="00107A31"/>
    <w:rsid w:val="00107A6C"/>
    <w:rsid w:val="00110EA5"/>
    <w:rsid w:val="00112F56"/>
    <w:rsid w:val="00117C1F"/>
    <w:rsid w:val="00122C2E"/>
    <w:rsid w:val="00124ACD"/>
    <w:rsid w:val="00125318"/>
    <w:rsid w:val="001305A2"/>
    <w:rsid w:val="0013264E"/>
    <w:rsid w:val="00133238"/>
    <w:rsid w:val="00133A1B"/>
    <w:rsid w:val="0014197B"/>
    <w:rsid w:val="001447CD"/>
    <w:rsid w:val="001516B1"/>
    <w:rsid w:val="00153A48"/>
    <w:rsid w:val="00154EBB"/>
    <w:rsid w:val="001560F9"/>
    <w:rsid w:val="00156316"/>
    <w:rsid w:val="00161181"/>
    <w:rsid w:val="00161D56"/>
    <w:rsid w:val="00162D14"/>
    <w:rsid w:val="00163780"/>
    <w:rsid w:val="00165389"/>
    <w:rsid w:val="0017693F"/>
    <w:rsid w:val="0018110E"/>
    <w:rsid w:val="00181684"/>
    <w:rsid w:val="001843C6"/>
    <w:rsid w:val="001850E0"/>
    <w:rsid w:val="00185407"/>
    <w:rsid w:val="00195B81"/>
    <w:rsid w:val="001A03AF"/>
    <w:rsid w:val="001A2158"/>
    <w:rsid w:val="001A525F"/>
    <w:rsid w:val="001A5A00"/>
    <w:rsid w:val="001A66B8"/>
    <w:rsid w:val="001B09F9"/>
    <w:rsid w:val="001B1DA4"/>
    <w:rsid w:val="001B5070"/>
    <w:rsid w:val="001B5C90"/>
    <w:rsid w:val="001B6448"/>
    <w:rsid w:val="001C32CD"/>
    <w:rsid w:val="001C3F0C"/>
    <w:rsid w:val="001C558A"/>
    <w:rsid w:val="001C5E83"/>
    <w:rsid w:val="001D2984"/>
    <w:rsid w:val="001E07CF"/>
    <w:rsid w:val="001E359E"/>
    <w:rsid w:val="001E4519"/>
    <w:rsid w:val="001E4BB8"/>
    <w:rsid w:val="001E59F1"/>
    <w:rsid w:val="001E6781"/>
    <w:rsid w:val="001F2CEE"/>
    <w:rsid w:val="001F49EB"/>
    <w:rsid w:val="001F6CBA"/>
    <w:rsid w:val="00201D4E"/>
    <w:rsid w:val="00206935"/>
    <w:rsid w:val="002076C9"/>
    <w:rsid w:val="00210893"/>
    <w:rsid w:val="00210912"/>
    <w:rsid w:val="0021285F"/>
    <w:rsid w:val="00220B8A"/>
    <w:rsid w:val="002257F3"/>
    <w:rsid w:val="0022781B"/>
    <w:rsid w:val="002314EA"/>
    <w:rsid w:val="00233456"/>
    <w:rsid w:val="002339A5"/>
    <w:rsid w:val="00240D77"/>
    <w:rsid w:val="00250271"/>
    <w:rsid w:val="00250F35"/>
    <w:rsid w:val="002533B6"/>
    <w:rsid w:val="00253401"/>
    <w:rsid w:val="0025418E"/>
    <w:rsid w:val="00257848"/>
    <w:rsid w:val="002578E8"/>
    <w:rsid w:val="0026384C"/>
    <w:rsid w:val="00265453"/>
    <w:rsid w:val="0027084A"/>
    <w:rsid w:val="00271E85"/>
    <w:rsid w:val="00272BA8"/>
    <w:rsid w:val="00275986"/>
    <w:rsid w:val="00280265"/>
    <w:rsid w:val="002806B7"/>
    <w:rsid w:val="002831C0"/>
    <w:rsid w:val="00286434"/>
    <w:rsid w:val="00286C59"/>
    <w:rsid w:val="00291957"/>
    <w:rsid w:val="00292992"/>
    <w:rsid w:val="002942D1"/>
    <w:rsid w:val="0029501A"/>
    <w:rsid w:val="0029777B"/>
    <w:rsid w:val="002A3721"/>
    <w:rsid w:val="002B1638"/>
    <w:rsid w:val="002B3624"/>
    <w:rsid w:val="002C2753"/>
    <w:rsid w:val="002C52E0"/>
    <w:rsid w:val="002C530E"/>
    <w:rsid w:val="002D07CA"/>
    <w:rsid w:val="002D0952"/>
    <w:rsid w:val="002E2C65"/>
    <w:rsid w:val="002E40B3"/>
    <w:rsid w:val="002E4C9A"/>
    <w:rsid w:val="002F11F8"/>
    <w:rsid w:val="002F3F56"/>
    <w:rsid w:val="002F44B5"/>
    <w:rsid w:val="002F5122"/>
    <w:rsid w:val="003013DC"/>
    <w:rsid w:val="00311AC0"/>
    <w:rsid w:val="003176FC"/>
    <w:rsid w:val="00317A62"/>
    <w:rsid w:val="00321651"/>
    <w:rsid w:val="003222F9"/>
    <w:rsid w:val="00324E45"/>
    <w:rsid w:val="0032583B"/>
    <w:rsid w:val="00326258"/>
    <w:rsid w:val="00327883"/>
    <w:rsid w:val="00332715"/>
    <w:rsid w:val="0033434C"/>
    <w:rsid w:val="00335504"/>
    <w:rsid w:val="0033690E"/>
    <w:rsid w:val="00340C18"/>
    <w:rsid w:val="003442FD"/>
    <w:rsid w:val="00347824"/>
    <w:rsid w:val="00350567"/>
    <w:rsid w:val="003521E8"/>
    <w:rsid w:val="00370CE3"/>
    <w:rsid w:val="003728F3"/>
    <w:rsid w:val="003735BC"/>
    <w:rsid w:val="00373EBB"/>
    <w:rsid w:val="0037496E"/>
    <w:rsid w:val="00383063"/>
    <w:rsid w:val="00383221"/>
    <w:rsid w:val="003833C7"/>
    <w:rsid w:val="00386150"/>
    <w:rsid w:val="00386346"/>
    <w:rsid w:val="00386A7B"/>
    <w:rsid w:val="003874CE"/>
    <w:rsid w:val="00390900"/>
    <w:rsid w:val="0039788C"/>
    <w:rsid w:val="003A7F6C"/>
    <w:rsid w:val="003B4D60"/>
    <w:rsid w:val="003B7E39"/>
    <w:rsid w:val="003C589E"/>
    <w:rsid w:val="003C58DC"/>
    <w:rsid w:val="003D1E62"/>
    <w:rsid w:val="003D227B"/>
    <w:rsid w:val="003E0B99"/>
    <w:rsid w:val="003E2486"/>
    <w:rsid w:val="003E3208"/>
    <w:rsid w:val="003F0B04"/>
    <w:rsid w:val="003F305D"/>
    <w:rsid w:val="0040134E"/>
    <w:rsid w:val="004334C7"/>
    <w:rsid w:val="00440A2D"/>
    <w:rsid w:val="00441C3F"/>
    <w:rsid w:val="00443568"/>
    <w:rsid w:val="00444D1A"/>
    <w:rsid w:val="0045186A"/>
    <w:rsid w:val="00454BDC"/>
    <w:rsid w:val="004564A7"/>
    <w:rsid w:val="00456765"/>
    <w:rsid w:val="00460036"/>
    <w:rsid w:val="004617BF"/>
    <w:rsid w:val="00463658"/>
    <w:rsid w:val="004637A0"/>
    <w:rsid w:val="00471D87"/>
    <w:rsid w:val="004722CC"/>
    <w:rsid w:val="00490483"/>
    <w:rsid w:val="004931F3"/>
    <w:rsid w:val="004936E4"/>
    <w:rsid w:val="00494E60"/>
    <w:rsid w:val="00497487"/>
    <w:rsid w:val="004A2771"/>
    <w:rsid w:val="004A6189"/>
    <w:rsid w:val="004A7390"/>
    <w:rsid w:val="004B7535"/>
    <w:rsid w:val="004B7B76"/>
    <w:rsid w:val="004C239D"/>
    <w:rsid w:val="004C2B1B"/>
    <w:rsid w:val="004C2DCA"/>
    <w:rsid w:val="004C4FBE"/>
    <w:rsid w:val="004C61D2"/>
    <w:rsid w:val="004C79DA"/>
    <w:rsid w:val="004F0C4A"/>
    <w:rsid w:val="004F0F38"/>
    <w:rsid w:val="004F29BE"/>
    <w:rsid w:val="004F3D0D"/>
    <w:rsid w:val="004F47D6"/>
    <w:rsid w:val="00500337"/>
    <w:rsid w:val="00501921"/>
    <w:rsid w:val="00505417"/>
    <w:rsid w:val="00520BB3"/>
    <w:rsid w:val="0052149B"/>
    <w:rsid w:val="00523A21"/>
    <w:rsid w:val="00530354"/>
    <w:rsid w:val="005311A6"/>
    <w:rsid w:val="00535C92"/>
    <w:rsid w:val="0053625B"/>
    <w:rsid w:val="00542550"/>
    <w:rsid w:val="005434C6"/>
    <w:rsid w:val="005435D9"/>
    <w:rsid w:val="00543B39"/>
    <w:rsid w:val="00545CDB"/>
    <w:rsid w:val="00546154"/>
    <w:rsid w:val="00550096"/>
    <w:rsid w:val="00550DCA"/>
    <w:rsid w:val="00555193"/>
    <w:rsid w:val="00555280"/>
    <w:rsid w:val="00557FF9"/>
    <w:rsid w:val="00562327"/>
    <w:rsid w:val="005638DF"/>
    <w:rsid w:val="00565C2C"/>
    <w:rsid w:val="005711D5"/>
    <w:rsid w:val="00572A60"/>
    <w:rsid w:val="00576378"/>
    <w:rsid w:val="00577130"/>
    <w:rsid w:val="00577945"/>
    <w:rsid w:val="00577D99"/>
    <w:rsid w:val="00577E38"/>
    <w:rsid w:val="00580604"/>
    <w:rsid w:val="00585322"/>
    <w:rsid w:val="005857C6"/>
    <w:rsid w:val="00592F6E"/>
    <w:rsid w:val="00593AD1"/>
    <w:rsid w:val="005A1F5E"/>
    <w:rsid w:val="005A68B6"/>
    <w:rsid w:val="005A79F5"/>
    <w:rsid w:val="005B2CAA"/>
    <w:rsid w:val="005B7C67"/>
    <w:rsid w:val="005C494B"/>
    <w:rsid w:val="005C5570"/>
    <w:rsid w:val="005C5B66"/>
    <w:rsid w:val="005C79A4"/>
    <w:rsid w:val="005D5442"/>
    <w:rsid w:val="00603F32"/>
    <w:rsid w:val="00605AD4"/>
    <w:rsid w:val="00607286"/>
    <w:rsid w:val="00610654"/>
    <w:rsid w:val="006109E1"/>
    <w:rsid w:val="00612CC8"/>
    <w:rsid w:val="00613103"/>
    <w:rsid w:val="006136D7"/>
    <w:rsid w:val="00615BBB"/>
    <w:rsid w:val="00625A6E"/>
    <w:rsid w:val="0062626B"/>
    <w:rsid w:val="00632398"/>
    <w:rsid w:val="00640FC3"/>
    <w:rsid w:val="00642020"/>
    <w:rsid w:val="006430EE"/>
    <w:rsid w:val="00643CE5"/>
    <w:rsid w:val="006458DE"/>
    <w:rsid w:val="00652782"/>
    <w:rsid w:val="0065337B"/>
    <w:rsid w:val="0065419D"/>
    <w:rsid w:val="006603BC"/>
    <w:rsid w:val="006604D8"/>
    <w:rsid w:val="00664A3B"/>
    <w:rsid w:val="00664A5B"/>
    <w:rsid w:val="0066735C"/>
    <w:rsid w:val="006711DC"/>
    <w:rsid w:val="0067637F"/>
    <w:rsid w:val="006763D2"/>
    <w:rsid w:val="00680C08"/>
    <w:rsid w:val="006826FA"/>
    <w:rsid w:val="006901BA"/>
    <w:rsid w:val="006916A0"/>
    <w:rsid w:val="006926B4"/>
    <w:rsid w:val="006931B1"/>
    <w:rsid w:val="006A122B"/>
    <w:rsid w:val="006A15C0"/>
    <w:rsid w:val="006A4410"/>
    <w:rsid w:val="006A58A8"/>
    <w:rsid w:val="006C200E"/>
    <w:rsid w:val="006C38DB"/>
    <w:rsid w:val="006C3E2A"/>
    <w:rsid w:val="006C4915"/>
    <w:rsid w:val="006C642F"/>
    <w:rsid w:val="006D03E5"/>
    <w:rsid w:val="006D5AEF"/>
    <w:rsid w:val="006D5D3E"/>
    <w:rsid w:val="006E08B3"/>
    <w:rsid w:val="006E7D4A"/>
    <w:rsid w:val="006F17AC"/>
    <w:rsid w:val="006F25B8"/>
    <w:rsid w:val="006F27C6"/>
    <w:rsid w:val="006F572E"/>
    <w:rsid w:val="00700D74"/>
    <w:rsid w:val="007046D6"/>
    <w:rsid w:val="00705DB0"/>
    <w:rsid w:val="007104CC"/>
    <w:rsid w:val="00717CCF"/>
    <w:rsid w:val="0072292E"/>
    <w:rsid w:val="00722B57"/>
    <w:rsid w:val="007251A9"/>
    <w:rsid w:val="00730F8A"/>
    <w:rsid w:val="00731CC6"/>
    <w:rsid w:val="00735A8C"/>
    <w:rsid w:val="0074163C"/>
    <w:rsid w:val="007421D5"/>
    <w:rsid w:val="0074253D"/>
    <w:rsid w:val="00744121"/>
    <w:rsid w:val="0074429B"/>
    <w:rsid w:val="007615BC"/>
    <w:rsid w:val="00762F05"/>
    <w:rsid w:val="007652FF"/>
    <w:rsid w:val="007703EF"/>
    <w:rsid w:val="00770CAC"/>
    <w:rsid w:val="00770EF1"/>
    <w:rsid w:val="0077131A"/>
    <w:rsid w:val="00773EF7"/>
    <w:rsid w:val="00774E1D"/>
    <w:rsid w:val="007765D8"/>
    <w:rsid w:val="0077675A"/>
    <w:rsid w:val="00780355"/>
    <w:rsid w:val="007819FD"/>
    <w:rsid w:val="00781F5F"/>
    <w:rsid w:val="00785717"/>
    <w:rsid w:val="00785721"/>
    <w:rsid w:val="0078786A"/>
    <w:rsid w:val="00793A59"/>
    <w:rsid w:val="007A419D"/>
    <w:rsid w:val="007A46F5"/>
    <w:rsid w:val="007A6505"/>
    <w:rsid w:val="007B0B60"/>
    <w:rsid w:val="007B6132"/>
    <w:rsid w:val="007B6E9F"/>
    <w:rsid w:val="007C0D27"/>
    <w:rsid w:val="007C1216"/>
    <w:rsid w:val="007C1AF7"/>
    <w:rsid w:val="007C33A7"/>
    <w:rsid w:val="007C6B9B"/>
    <w:rsid w:val="007D18C0"/>
    <w:rsid w:val="007D53B6"/>
    <w:rsid w:val="007E2720"/>
    <w:rsid w:val="007E5708"/>
    <w:rsid w:val="007E75DB"/>
    <w:rsid w:val="007F1412"/>
    <w:rsid w:val="007F605F"/>
    <w:rsid w:val="00804D99"/>
    <w:rsid w:val="00805D27"/>
    <w:rsid w:val="00806DCB"/>
    <w:rsid w:val="00807028"/>
    <w:rsid w:val="008110BC"/>
    <w:rsid w:val="00813E4C"/>
    <w:rsid w:val="00820084"/>
    <w:rsid w:val="00821776"/>
    <w:rsid w:val="00825935"/>
    <w:rsid w:val="008321F5"/>
    <w:rsid w:val="00832369"/>
    <w:rsid w:val="00833ED8"/>
    <w:rsid w:val="00834660"/>
    <w:rsid w:val="00836BC2"/>
    <w:rsid w:val="00837B50"/>
    <w:rsid w:val="0084619C"/>
    <w:rsid w:val="0085156D"/>
    <w:rsid w:val="008522A6"/>
    <w:rsid w:val="00852B28"/>
    <w:rsid w:val="0085641B"/>
    <w:rsid w:val="00857136"/>
    <w:rsid w:val="00865B03"/>
    <w:rsid w:val="00875A6B"/>
    <w:rsid w:val="00881549"/>
    <w:rsid w:val="00885B11"/>
    <w:rsid w:val="00886D15"/>
    <w:rsid w:val="008870A3"/>
    <w:rsid w:val="00887DD8"/>
    <w:rsid w:val="00890502"/>
    <w:rsid w:val="00891BA9"/>
    <w:rsid w:val="00896018"/>
    <w:rsid w:val="008960DD"/>
    <w:rsid w:val="0089635C"/>
    <w:rsid w:val="008A2B9D"/>
    <w:rsid w:val="008A3D9F"/>
    <w:rsid w:val="008A5E0B"/>
    <w:rsid w:val="008A6D59"/>
    <w:rsid w:val="008B4B03"/>
    <w:rsid w:val="008B596F"/>
    <w:rsid w:val="008B75CB"/>
    <w:rsid w:val="008C159F"/>
    <w:rsid w:val="008C1623"/>
    <w:rsid w:val="008C1850"/>
    <w:rsid w:val="008C37DF"/>
    <w:rsid w:val="008C51A9"/>
    <w:rsid w:val="008C537E"/>
    <w:rsid w:val="008D2D0F"/>
    <w:rsid w:val="008E7846"/>
    <w:rsid w:val="008F02E5"/>
    <w:rsid w:val="008F1CCC"/>
    <w:rsid w:val="008F2967"/>
    <w:rsid w:val="008F6943"/>
    <w:rsid w:val="00902A21"/>
    <w:rsid w:val="0091523F"/>
    <w:rsid w:val="00916EB2"/>
    <w:rsid w:val="00920330"/>
    <w:rsid w:val="009219D7"/>
    <w:rsid w:val="00922D53"/>
    <w:rsid w:val="00923B70"/>
    <w:rsid w:val="00924482"/>
    <w:rsid w:val="00930237"/>
    <w:rsid w:val="009345C7"/>
    <w:rsid w:val="00937C17"/>
    <w:rsid w:val="00940A89"/>
    <w:rsid w:val="00940D81"/>
    <w:rsid w:val="00941F77"/>
    <w:rsid w:val="00946EA5"/>
    <w:rsid w:val="009556D7"/>
    <w:rsid w:val="00960520"/>
    <w:rsid w:val="00963C08"/>
    <w:rsid w:val="009752A5"/>
    <w:rsid w:val="00985534"/>
    <w:rsid w:val="009855EC"/>
    <w:rsid w:val="0098585A"/>
    <w:rsid w:val="00993831"/>
    <w:rsid w:val="009A00B8"/>
    <w:rsid w:val="009A4CED"/>
    <w:rsid w:val="009A690D"/>
    <w:rsid w:val="009B1D12"/>
    <w:rsid w:val="009B416B"/>
    <w:rsid w:val="009C4BD5"/>
    <w:rsid w:val="009C6A04"/>
    <w:rsid w:val="009D3190"/>
    <w:rsid w:val="009D7033"/>
    <w:rsid w:val="009D7B77"/>
    <w:rsid w:val="009E0BB0"/>
    <w:rsid w:val="009E3FBB"/>
    <w:rsid w:val="009E5A87"/>
    <w:rsid w:val="009F2673"/>
    <w:rsid w:val="009F7353"/>
    <w:rsid w:val="00A04F85"/>
    <w:rsid w:val="00A05FA4"/>
    <w:rsid w:val="00A102E4"/>
    <w:rsid w:val="00A1219C"/>
    <w:rsid w:val="00A12C42"/>
    <w:rsid w:val="00A1479B"/>
    <w:rsid w:val="00A14DF7"/>
    <w:rsid w:val="00A16DA0"/>
    <w:rsid w:val="00A22D57"/>
    <w:rsid w:val="00A3246D"/>
    <w:rsid w:val="00A36FA7"/>
    <w:rsid w:val="00A40EE1"/>
    <w:rsid w:val="00A42B0D"/>
    <w:rsid w:val="00A44DDB"/>
    <w:rsid w:val="00A475B7"/>
    <w:rsid w:val="00A47AF7"/>
    <w:rsid w:val="00A47C3E"/>
    <w:rsid w:val="00A50226"/>
    <w:rsid w:val="00A60BAD"/>
    <w:rsid w:val="00A62BF7"/>
    <w:rsid w:val="00A63F00"/>
    <w:rsid w:val="00A66590"/>
    <w:rsid w:val="00A70F60"/>
    <w:rsid w:val="00A71146"/>
    <w:rsid w:val="00A73854"/>
    <w:rsid w:val="00A77F87"/>
    <w:rsid w:val="00A80B5B"/>
    <w:rsid w:val="00A83B4F"/>
    <w:rsid w:val="00A84E36"/>
    <w:rsid w:val="00A86337"/>
    <w:rsid w:val="00A964D1"/>
    <w:rsid w:val="00A9771D"/>
    <w:rsid w:val="00AA0ED0"/>
    <w:rsid w:val="00AA29F6"/>
    <w:rsid w:val="00AC03E1"/>
    <w:rsid w:val="00AC2B40"/>
    <w:rsid w:val="00AC2BB2"/>
    <w:rsid w:val="00AC2C3C"/>
    <w:rsid w:val="00AC32BA"/>
    <w:rsid w:val="00AC512D"/>
    <w:rsid w:val="00AD0083"/>
    <w:rsid w:val="00AD37FB"/>
    <w:rsid w:val="00AD3935"/>
    <w:rsid w:val="00AE0175"/>
    <w:rsid w:val="00AE65EB"/>
    <w:rsid w:val="00AE668F"/>
    <w:rsid w:val="00AE67A7"/>
    <w:rsid w:val="00AE799A"/>
    <w:rsid w:val="00AE7B8E"/>
    <w:rsid w:val="00AF1D94"/>
    <w:rsid w:val="00AF2313"/>
    <w:rsid w:val="00AF259B"/>
    <w:rsid w:val="00AF60C5"/>
    <w:rsid w:val="00AF775E"/>
    <w:rsid w:val="00B009C6"/>
    <w:rsid w:val="00B01548"/>
    <w:rsid w:val="00B06702"/>
    <w:rsid w:val="00B12337"/>
    <w:rsid w:val="00B130C5"/>
    <w:rsid w:val="00B13EBD"/>
    <w:rsid w:val="00B1406F"/>
    <w:rsid w:val="00B14EDC"/>
    <w:rsid w:val="00B15F28"/>
    <w:rsid w:val="00B21D29"/>
    <w:rsid w:val="00B25034"/>
    <w:rsid w:val="00B26DB1"/>
    <w:rsid w:val="00B33588"/>
    <w:rsid w:val="00B33863"/>
    <w:rsid w:val="00B34271"/>
    <w:rsid w:val="00B37D17"/>
    <w:rsid w:val="00B4175E"/>
    <w:rsid w:val="00B41C85"/>
    <w:rsid w:val="00B44665"/>
    <w:rsid w:val="00B452CE"/>
    <w:rsid w:val="00B5219D"/>
    <w:rsid w:val="00B54C25"/>
    <w:rsid w:val="00B55C35"/>
    <w:rsid w:val="00B72165"/>
    <w:rsid w:val="00B7681E"/>
    <w:rsid w:val="00B76B91"/>
    <w:rsid w:val="00B77EB1"/>
    <w:rsid w:val="00B811C6"/>
    <w:rsid w:val="00B855B0"/>
    <w:rsid w:val="00B92E08"/>
    <w:rsid w:val="00BA6485"/>
    <w:rsid w:val="00BB0116"/>
    <w:rsid w:val="00BB0B78"/>
    <w:rsid w:val="00BB75D6"/>
    <w:rsid w:val="00BC1DCB"/>
    <w:rsid w:val="00BC622A"/>
    <w:rsid w:val="00BC79D4"/>
    <w:rsid w:val="00BE0A78"/>
    <w:rsid w:val="00BE6542"/>
    <w:rsid w:val="00BE79F0"/>
    <w:rsid w:val="00BF046D"/>
    <w:rsid w:val="00BF1190"/>
    <w:rsid w:val="00BF3774"/>
    <w:rsid w:val="00BF5D04"/>
    <w:rsid w:val="00BF7063"/>
    <w:rsid w:val="00C009AA"/>
    <w:rsid w:val="00C02B18"/>
    <w:rsid w:val="00C1164D"/>
    <w:rsid w:val="00C16861"/>
    <w:rsid w:val="00C203B3"/>
    <w:rsid w:val="00C32A90"/>
    <w:rsid w:val="00C34133"/>
    <w:rsid w:val="00C346AB"/>
    <w:rsid w:val="00C34F31"/>
    <w:rsid w:val="00C404A6"/>
    <w:rsid w:val="00C40A36"/>
    <w:rsid w:val="00C43DC0"/>
    <w:rsid w:val="00C44419"/>
    <w:rsid w:val="00C45E7B"/>
    <w:rsid w:val="00C471B1"/>
    <w:rsid w:val="00C476BA"/>
    <w:rsid w:val="00C525A2"/>
    <w:rsid w:val="00C52CF4"/>
    <w:rsid w:val="00C52E24"/>
    <w:rsid w:val="00C6316B"/>
    <w:rsid w:val="00C634A9"/>
    <w:rsid w:val="00C64586"/>
    <w:rsid w:val="00C7035E"/>
    <w:rsid w:val="00C70A36"/>
    <w:rsid w:val="00C70D53"/>
    <w:rsid w:val="00C72F00"/>
    <w:rsid w:val="00C73D0B"/>
    <w:rsid w:val="00C74F5C"/>
    <w:rsid w:val="00C772FF"/>
    <w:rsid w:val="00C80137"/>
    <w:rsid w:val="00C801AF"/>
    <w:rsid w:val="00C80256"/>
    <w:rsid w:val="00C85B87"/>
    <w:rsid w:val="00C94CD4"/>
    <w:rsid w:val="00C9747E"/>
    <w:rsid w:val="00C97FFB"/>
    <w:rsid w:val="00CB0A5F"/>
    <w:rsid w:val="00CB6BC0"/>
    <w:rsid w:val="00CC1B7C"/>
    <w:rsid w:val="00CC5044"/>
    <w:rsid w:val="00CC5173"/>
    <w:rsid w:val="00CC727F"/>
    <w:rsid w:val="00CD711D"/>
    <w:rsid w:val="00CE670E"/>
    <w:rsid w:val="00CF15C3"/>
    <w:rsid w:val="00CF2B6F"/>
    <w:rsid w:val="00CF2F3E"/>
    <w:rsid w:val="00CF3A09"/>
    <w:rsid w:val="00CF58B6"/>
    <w:rsid w:val="00CF5DAD"/>
    <w:rsid w:val="00CF78B7"/>
    <w:rsid w:val="00D0062D"/>
    <w:rsid w:val="00D017ED"/>
    <w:rsid w:val="00D019BF"/>
    <w:rsid w:val="00D040D3"/>
    <w:rsid w:val="00D04C65"/>
    <w:rsid w:val="00D13684"/>
    <w:rsid w:val="00D153D8"/>
    <w:rsid w:val="00D201D2"/>
    <w:rsid w:val="00D212F3"/>
    <w:rsid w:val="00D224FE"/>
    <w:rsid w:val="00D22E6E"/>
    <w:rsid w:val="00D23139"/>
    <w:rsid w:val="00D425BB"/>
    <w:rsid w:val="00D453FA"/>
    <w:rsid w:val="00D4709D"/>
    <w:rsid w:val="00D472C1"/>
    <w:rsid w:val="00D500FB"/>
    <w:rsid w:val="00D56348"/>
    <w:rsid w:val="00D64411"/>
    <w:rsid w:val="00D6493E"/>
    <w:rsid w:val="00D7195D"/>
    <w:rsid w:val="00D72CBA"/>
    <w:rsid w:val="00D7301E"/>
    <w:rsid w:val="00D83AE1"/>
    <w:rsid w:val="00D854AC"/>
    <w:rsid w:val="00D855D4"/>
    <w:rsid w:val="00D902C9"/>
    <w:rsid w:val="00D93466"/>
    <w:rsid w:val="00D95FA5"/>
    <w:rsid w:val="00DA1124"/>
    <w:rsid w:val="00DA64CB"/>
    <w:rsid w:val="00DA79F2"/>
    <w:rsid w:val="00DB06B8"/>
    <w:rsid w:val="00DB4B3C"/>
    <w:rsid w:val="00DB6124"/>
    <w:rsid w:val="00DB750B"/>
    <w:rsid w:val="00DB75B7"/>
    <w:rsid w:val="00DC0A2F"/>
    <w:rsid w:val="00DC1948"/>
    <w:rsid w:val="00DC48BC"/>
    <w:rsid w:val="00DC6D7E"/>
    <w:rsid w:val="00DC6E02"/>
    <w:rsid w:val="00DD28CD"/>
    <w:rsid w:val="00DD4361"/>
    <w:rsid w:val="00DD672D"/>
    <w:rsid w:val="00DE02AE"/>
    <w:rsid w:val="00DE39D1"/>
    <w:rsid w:val="00DF1744"/>
    <w:rsid w:val="00DF1D7F"/>
    <w:rsid w:val="00DF4BE4"/>
    <w:rsid w:val="00DF7C6F"/>
    <w:rsid w:val="00E0212C"/>
    <w:rsid w:val="00E02382"/>
    <w:rsid w:val="00E02FB4"/>
    <w:rsid w:val="00E04F15"/>
    <w:rsid w:val="00E123EB"/>
    <w:rsid w:val="00E13FC7"/>
    <w:rsid w:val="00E20571"/>
    <w:rsid w:val="00E20AB2"/>
    <w:rsid w:val="00E235F7"/>
    <w:rsid w:val="00E23659"/>
    <w:rsid w:val="00E23914"/>
    <w:rsid w:val="00E239D4"/>
    <w:rsid w:val="00E23E16"/>
    <w:rsid w:val="00E26130"/>
    <w:rsid w:val="00E33D42"/>
    <w:rsid w:val="00E345B0"/>
    <w:rsid w:val="00E40B22"/>
    <w:rsid w:val="00E44ED1"/>
    <w:rsid w:val="00E45619"/>
    <w:rsid w:val="00E4588F"/>
    <w:rsid w:val="00E46DA3"/>
    <w:rsid w:val="00E51BB1"/>
    <w:rsid w:val="00E54835"/>
    <w:rsid w:val="00E55CB0"/>
    <w:rsid w:val="00E624A5"/>
    <w:rsid w:val="00E64BA4"/>
    <w:rsid w:val="00E7344E"/>
    <w:rsid w:val="00E7586E"/>
    <w:rsid w:val="00E82665"/>
    <w:rsid w:val="00EA2B2C"/>
    <w:rsid w:val="00EB0798"/>
    <w:rsid w:val="00EB36D6"/>
    <w:rsid w:val="00EB40AD"/>
    <w:rsid w:val="00EB586E"/>
    <w:rsid w:val="00EB5FC8"/>
    <w:rsid w:val="00EC168A"/>
    <w:rsid w:val="00EC3CD4"/>
    <w:rsid w:val="00EC463D"/>
    <w:rsid w:val="00EC7A85"/>
    <w:rsid w:val="00ED1F5C"/>
    <w:rsid w:val="00ED2922"/>
    <w:rsid w:val="00ED3CAD"/>
    <w:rsid w:val="00ED5A41"/>
    <w:rsid w:val="00EE0764"/>
    <w:rsid w:val="00EE1DE8"/>
    <w:rsid w:val="00EE27C2"/>
    <w:rsid w:val="00EE3F31"/>
    <w:rsid w:val="00EF4BAD"/>
    <w:rsid w:val="00EF59DC"/>
    <w:rsid w:val="00F033EC"/>
    <w:rsid w:val="00F04F68"/>
    <w:rsid w:val="00F11925"/>
    <w:rsid w:val="00F12670"/>
    <w:rsid w:val="00F14B27"/>
    <w:rsid w:val="00F15683"/>
    <w:rsid w:val="00F20221"/>
    <w:rsid w:val="00F248EE"/>
    <w:rsid w:val="00F30FE8"/>
    <w:rsid w:val="00F3148D"/>
    <w:rsid w:val="00F325C5"/>
    <w:rsid w:val="00F32FE0"/>
    <w:rsid w:val="00F35298"/>
    <w:rsid w:val="00F400D1"/>
    <w:rsid w:val="00F47333"/>
    <w:rsid w:val="00F47905"/>
    <w:rsid w:val="00F47E37"/>
    <w:rsid w:val="00F53C07"/>
    <w:rsid w:val="00F54B65"/>
    <w:rsid w:val="00F63DBF"/>
    <w:rsid w:val="00F640B6"/>
    <w:rsid w:val="00F66DF2"/>
    <w:rsid w:val="00F731DD"/>
    <w:rsid w:val="00F80E40"/>
    <w:rsid w:val="00F848D9"/>
    <w:rsid w:val="00F90106"/>
    <w:rsid w:val="00F931CE"/>
    <w:rsid w:val="00FA4BBA"/>
    <w:rsid w:val="00FA5069"/>
    <w:rsid w:val="00FA5B82"/>
    <w:rsid w:val="00FA639E"/>
    <w:rsid w:val="00FC1FCA"/>
    <w:rsid w:val="00FC25E4"/>
    <w:rsid w:val="00FC3CFF"/>
    <w:rsid w:val="00FC432B"/>
    <w:rsid w:val="00FC4EF7"/>
    <w:rsid w:val="00FD0824"/>
    <w:rsid w:val="00FD119B"/>
    <w:rsid w:val="00FD1EDC"/>
    <w:rsid w:val="00FE1DEE"/>
    <w:rsid w:val="00FE2253"/>
    <w:rsid w:val="00FE5094"/>
    <w:rsid w:val="00FE7320"/>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486A52"/>
  <w15:docId w15:val="{28DB8D62-0240-4538-800A-F2A9867B5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character" w:customStyle="1" w:styleId="TabletextChar">
    <w:name w:val="Table text Char"/>
    <w:basedOn w:val="DefaultParagraphFont"/>
    <w:link w:val="Tabletext"/>
    <w:rsid w:val="00C7035E"/>
    <w:rPr>
      <w:rFonts w:ascii="Cambria" w:eastAsia="Cambria" w:hAnsi="Cambria" w:cs="Times New Roman"/>
      <w:sz w:val="19"/>
    </w:rPr>
  </w:style>
  <w:style w:type="paragraph" w:styleId="ListParagraph">
    <w:name w:val="List Paragraph"/>
    <w:basedOn w:val="Normal"/>
    <w:link w:val="ListParagraphChar"/>
    <w:uiPriority w:val="34"/>
    <w:qFormat/>
    <w:rsid w:val="00443568"/>
    <w:pPr>
      <w:ind w:left="720"/>
      <w:contextualSpacing/>
    </w:pPr>
  </w:style>
  <w:style w:type="character" w:customStyle="1" w:styleId="ListParagraphChar">
    <w:name w:val="List Paragraph Char"/>
    <w:basedOn w:val="DefaultParagraphFont"/>
    <w:link w:val="ListParagraph"/>
    <w:uiPriority w:val="34"/>
    <w:rsid w:val="00443568"/>
    <w:rPr>
      <w:rFonts w:ascii="Cambria" w:eastAsia="Cambria" w:hAnsi="Cambria" w:cs="Times New Roman"/>
    </w:rPr>
  </w:style>
  <w:style w:type="character" w:styleId="Emphasis">
    <w:name w:val="Emphasis"/>
    <w:basedOn w:val="DefaultParagraphFont"/>
    <w:uiPriority w:val="20"/>
    <w:qFormat/>
    <w:rsid w:val="00DA79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996883284">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81613872">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tga.gov.au/picmi-search-facility" TargetMode="External"/><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icmi-search-facility"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tga.gov.au/committee/advisory-committee-medicines-ac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ject-orbis"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tga.gov.au/tgas-risk-management-approach" TargetMode="External"/><Relationship Id="rId53" Type="http://schemas.openxmlformats.org/officeDocument/2006/relationships/hyperlink" Target="https://www.tga.gov.au"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4.xml"/><Relationship Id="rId57"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hyperlink" Target="http://www.tga.gov.au/ws-labs-index" TargetMode="External"/><Relationship Id="rId31" Type="http://schemas.openxmlformats.org/officeDocument/2006/relationships/image" Target="media/image15.png"/><Relationship Id="rId44" Type="http://schemas.openxmlformats.org/officeDocument/2006/relationships/hyperlink" Target="https://www.tga.gov.au/publication/risk-management-plans-medicines-and-biologicals" TargetMode="External"/><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hyperlink" Target="https://www.tga.gov.au" TargetMode="External"/><Relationship Id="rId51"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tga.gov.au/resources/resource/international-scientific-guidelines/international-scientific-guideline-ich-guideline-s6-r1-preclinical-safety-evaluation-biotechnology-derived-pharmaceuticals" TargetMode="External"/><Relationship Id="rId1" Type="http://schemas.openxmlformats.org/officeDocument/2006/relationships/hyperlink" Target="https://www.tga.gov.au/resources/resource/international-scientific-guidelines/international-scientific-guideline-ich-topic-s-9-note-guidance-non-clinical-evaluation-anticancer-pharmaceutica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UMMV\AppData\Local\Hewlett-Packard\HP%20TRIM\TEMP\HPTRIM.16840\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0BA30-BEC9-46D1-9432-197E3BEA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626</TotalTime>
  <Pages>59</Pages>
  <Words>17433</Words>
  <Characters>95711</Characters>
  <Application>Microsoft Office Word</Application>
  <DocSecurity>0</DocSecurity>
  <Lines>1679</Lines>
  <Paragraphs>729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Padcev</dc:title>
  <dc:subject>prescription medicine regulation</dc:subject>
  <dc:creator>Therapeutic Goods Administration</dc:creator>
  <cp:keywords/>
  <cp:lastModifiedBy>PITKIN, Brendan</cp:lastModifiedBy>
  <cp:revision>12</cp:revision>
  <cp:lastPrinted>2019-08-14T04:30:00Z</cp:lastPrinted>
  <dcterms:created xsi:type="dcterms:W3CDTF">2023-02-17T03:10:00Z</dcterms:created>
  <dcterms:modified xsi:type="dcterms:W3CDTF">2023-03-07T03:38:00Z</dcterms:modified>
  <cp:category/>
</cp:coreProperties>
</file>