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217B" w14:textId="14D9AE8B" w:rsidR="00BE3FB3" w:rsidRPr="00BE3FB3" w:rsidRDefault="00BE3FB3" w:rsidP="0F27FC57">
      <w:pPr>
        <w:tabs>
          <w:tab w:val="left" w:pos="284"/>
        </w:tabs>
        <w:spacing w:after="480" w:line="240" w:lineRule="auto"/>
        <w:rPr>
          <w:rFonts w:asciiTheme="majorHAnsi" w:eastAsia="Times New Roman" w:hAnsiTheme="majorHAnsi"/>
          <w:lang w:bidi="th-TH"/>
        </w:rPr>
      </w:pPr>
      <w:r w:rsidRPr="00BE3FB3">
        <w:rPr>
          <w:rFonts w:eastAsia="Times New Roman"/>
          <w:noProof/>
          <w:lang w:val="en-US"/>
        </w:rPr>
        <mc:AlternateContent>
          <mc:Choice Requires="wps">
            <w:drawing>
              <wp:inline distT="0" distB="0" distL="0" distR="0" wp14:anchorId="50A437EA" wp14:editId="4701E360">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wps:spPr>
                      <wps:txbx>
                        <w:txbxContent>
                          <w:p w14:paraId="2444E4F4" w14:textId="77777777" w:rsidR="006C1078" w:rsidRPr="00BE2A26" w:rsidRDefault="006C1078" w:rsidP="00BE3FB3">
                            <w:pPr>
                              <w:spacing w:after="0"/>
                              <w:rPr>
                                <w:rFonts w:ascii="Wingdings 3" w:hAnsi="Wingdings 3"/>
                                <w:sz w:val="24"/>
                                <w:lang w:bidi="th-TH"/>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0A437EA"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2444E4F4" w14:textId="77777777" w:rsidR="006C1078" w:rsidRPr="00BE2A26" w:rsidRDefault="006C1078" w:rsidP="00BE3FB3">
                      <w:pPr>
                        <w:spacing w:after="0"/>
                        <w:rPr>
                          <w:rFonts w:ascii="Wingdings 3" w:hAnsi="Wingdings 3"/>
                          <w:sz w:val="24"/>
                          <w:lang w:bidi="th-TH"/>
                        </w:rPr>
                      </w:pPr>
                      <w:r w:rsidRPr="00BE2A26">
                        <w:rPr>
                          <w:rFonts w:ascii="SimSun" w:eastAsia="SimSun" w:hAnsi="SimSun" w:cs="Arial" w:hint="eastAsia"/>
                          <w:sz w:val="40"/>
                        </w:rPr>
                        <w:t>▼</w:t>
                      </w:r>
                    </w:p>
                  </w:txbxContent>
                </v:textbox>
                <w10:anchorlock/>
              </v:shape>
            </w:pict>
          </mc:Fallback>
        </mc:AlternateContent>
      </w:r>
      <w:r w:rsidRPr="0F27FC57">
        <w:rPr>
          <w:rFonts w:asciiTheme="majorHAnsi" w:eastAsia="Times New Roman" w:hAnsiTheme="majorHAnsi"/>
          <w:lang w:bidi="th-TH"/>
        </w:rPr>
        <w:t xml:space="preserve">This medicinal product is subject to </w:t>
      </w:r>
      <w:proofErr w:type="spellStart"/>
      <w:r w:rsidR="42871C34" w:rsidRPr="0F27FC57">
        <w:rPr>
          <w:rFonts w:asciiTheme="majorHAnsi" w:eastAsia="Times New Roman" w:hAnsiTheme="majorHAnsi"/>
          <w:lang w:bidi="th-TH"/>
        </w:rPr>
        <w:t>hyper</w:t>
      </w:r>
      <w:r w:rsidRPr="0F27FC57">
        <w:rPr>
          <w:rFonts w:asciiTheme="majorHAnsi" w:eastAsia="Times New Roman" w:hAnsiTheme="majorHAnsi"/>
          <w:lang w:bidi="th-TH"/>
        </w:rPr>
        <w:t>additional</w:t>
      </w:r>
      <w:proofErr w:type="spellEnd"/>
      <w:r w:rsidRPr="0F27FC57">
        <w:rPr>
          <w:rFonts w:asciiTheme="majorHAnsi" w:eastAsia="Times New Roman" w:hAnsiTheme="majorHAnsi"/>
          <w:lang w:bidi="th-TH"/>
        </w:rPr>
        <w:t xml:space="preserve"> monitoring in Australia. This will allow quick identification of new safety information. Healthcare professionals are asked to report any suspected adverse events at </w:t>
      </w:r>
      <w:hyperlink r:id="rId18" w:history="1">
        <w:r w:rsidRPr="0F27FC57">
          <w:rPr>
            <w:rFonts w:asciiTheme="majorHAnsi" w:eastAsia="Times New Roman" w:hAnsiTheme="majorHAnsi"/>
            <w:color w:val="0000FF" w:themeColor="hyperlink"/>
            <w:u w:val="single"/>
            <w:lang w:bidi="th-TH"/>
          </w:rPr>
          <w:t>www.tga.gov.au/reporting-problems</w:t>
        </w:r>
      </w:hyperlink>
      <w:r w:rsidRPr="0F27FC57">
        <w:rPr>
          <w:rFonts w:asciiTheme="majorHAnsi" w:eastAsia="Times New Roman" w:hAnsiTheme="majorHAnsi"/>
          <w:lang w:bidi="th-TH"/>
        </w:rPr>
        <w:t>.</w:t>
      </w:r>
    </w:p>
    <w:p w14:paraId="2D0345E6" w14:textId="77DCC486" w:rsidR="00BE3FB3" w:rsidRDefault="00CD2383" w:rsidP="00BE3FB3">
      <w:pPr>
        <w:pStyle w:val="Title"/>
      </w:pPr>
      <w:r w:rsidRPr="00AC6FFE">
        <w:t>Australian</w:t>
      </w:r>
      <w:r w:rsidRPr="00C633CA">
        <w:t xml:space="preserve"> Product Information </w:t>
      </w:r>
      <w:r w:rsidRPr="0062486E">
        <w:t>-</w:t>
      </w:r>
      <w:r>
        <w:t xml:space="preserve"> </w:t>
      </w:r>
      <w:r w:rsidR="00BE3FB3" w:rsidRPr="00BE3FB3">
        <w:t>Padcev</w:t>
      </w:r>
      <w:r w:rsidR="00BE3FB3" w:rsidRPr="00BE3FB3">
        <w:rPr>
          <w:vertAlign w:val="superscript"/>
        </w:rPr>
        <w:t>®</w:t>
      </w:r>
      <w:r w:rsidR="00BE3FB3" w:rsidRPr="00BE3FB3">
        <w:t xml:space="preserve"> (Enfortumab Vedotin)</w:t>
      </w:r>
    </w:p>
    <w:p w14:paraId="469FF3BC" w14:textId="015647F8" w:rsidR="00A872A1" w:rsidRDefault="00A872A1"/>
    <w:p w14:paraId="55AD8016" w14:textId="77777777" w:rsidR="00FB6D37" w:rsidRPr="00FB6D37" w:rsidRDefault="00FB6D37" w:rsidP="00943D65">
      <w:pPr>
        <w:pBdr>
          <w:top w:val="single" w:sz="12" w:space="1" w:color="auto"/>
          <w:left w:val="single" w:sz="12" w:space="4" w:color="auto"/>
          <w:bottom w:val="single" w:sz="12" w:space="1" w:color="auto"/>
          <w:right w:val="single" w:sz="12" w:space="4" w:color="auto"/>
        </w:pBdr>
        <w:rPr>
          <w:rFonts w:asciiTheme="majorHAnsi" w:hAnsiTheme="majorHAnsi"/>
          <w:b/>
        </w:rPr>
      </w:pPr>
      <w:r w:rsidRPr="00FB6D37">
        <w:rPr>
          <w:rFonts w:asciiTheme="majorHAnsi" w:hAnsiTheme="majorHAnsi"/>
          <w:b/>
        </w:rPr>
        <w:t>WARNING</w:t>
      </w:r>
    </w:p>
    <w:p w14:paraId="24E21C61" w14:textId="3261314F" w:rsidR="008F6566" w:rsidRPr="00F070A1" w:rsidRDefault="008F6566" w:rsidP="00943D65">
      <w:pPr>
        <w:pBdr>
          <w:top w:val="single" w:sz="12" w:space="1" w:color="auto"/>
          <w:left w:val="single" w:sz="12" w:space="4" w:color="auto"/>
          <w:bottom w:val="single" w:sz="12" w:space="1" w:color="auto"/>
          <w:right w:val="single" w:sz="12" w:space="4" w:color="auto"/>
        </w:pBdr>
        <w:rPr>
          <w:rFonts w:asciiTheme="majorHAnsi" w:hAnsiTheme="majorHAnsi"/>
          <w:b/>
        </w:rPr>
      </w:pPr>
      <w:r w:rsidRPr="00F070A1">
        <w:rPr>
          <w:rFonts w:asciiTheme="majorHAnsi" w:hAnsiTheme="majorHAnsi"/>
          <w:b/>
          <w:i/>
          <w:iCs/>
        </w:rPr>
        <w:t>S</w:t>
      </w:r>
      <w:r w:rsidRPr="00C10DFC">
        <w:rPr>
          <w:rFonts w:asciiTheme="majorHAnsi" w:hAnsiTheme="majorHAnsi"/>
          <w:b/>
          <w:i/>
        </w:rPr>
        <w:t>ERIOUS SKIN REACTIONS</w:t>
      </w:r>
    </w:p>
    <w:p w14:paraId="4EA24525" w14:textId="7AB7BF11" w:rsidR="00943D65" w:rsidRPr="00C10DFC" w:rsidRDefault="00943D65" w:rsidP="00F070A1">
      <w:pPr>
        <w:pBdr>
          <w:top w:val="single" w:sz="12" w:space="1" w:color="auto"/>
          <w:left w:val="single" w:sz="12" w:space="4" w:color="auto"/>
          <w:bottom w:val="single" w:sz="12" w:space="1" w:color="auto"/>
          <w:right w:val="single" w:sz="12" w:space="4" w:color="auto"/>
        </w:pBdr>
        <w:spacing w:after="0" w:line="240" w:lineRule="auto"/>
        <w:rPr>
          <w:rFonts w:asciiTheme="majorHAnsi" w:hAnsiTheme="majorHAnsi"/>
        </w:rPr>
      </w:pPr>
      <w:r w:rsidRPr="00C10DFC">
        <w:rPr>
          <w:rFonts w:asciiTheme="majorHAnsi" w:hAnsiTheme="majorHAnsi"/>
        </w:rPr>
        <w:t>• PADCEV can cause severe and fatal cutaneous adverse reactions, including Stevens-Johnson syndrome (SJS) and Toxic Epidermal Necrolysis (TEN).</w:t>
      </w:r>
    </w:p>
    <w:p w14:paraId="424373A8" w14:textId="2AF74391" w:rsidR="00943D65" w:rsidRPr="00C10DFC" w:rsidRDefault="00943D65" w:rsidP="00F070A1">
      <w:pPr>
        <w:pBdr>
          <w:top w:val="single" w:sz="12" w:space="1" w:color="auto"/>
          <w:left w:val="single" w:sz="12" w:space="4" w:color="auto"/>
          <w:bottom w:val="single" w:sz="12" w:space="1" w:color="auto"/>
          <w:right w:val="single" w:sz="12" w:space="4" w:color="auto"/>
        </w:pBdr>
        <w:spacing w:after="0" w:line="240" w:lineRule="auto"/>
        <w:rPr>
          <w:rFonts w:asciiTheme="majorHAnsi" w:hAnsiTheme="majorHAnsi"/>
        </w:rPr>
      </w:pPr>
      <w:r w:rsidRPr="00C10DFC">
        <w:rPr>
          <w:rFonts w:asciiTheme="majorHAnsi" w:hAnsiTheme="majorHAnsi"/>
        </w:rPr>
        <w:t xml:space="preserve">• </w:t>
      </w:r>
      <w:r w:rsidR="0074657B" w:rsidRPr="00C10DFC">
        <w:rPr>
          <w:rFonts w:asciiTheme="majorHAnsi" w:hAnsiTheme="majorHAnsi"/>
        </w:rPr>
        <w:t>W</w:t>
      </w:r>
      <w:r w:rsidRPr="00C10DFC">
        <w:rPr>
          <w:rFonts w:asciiTheme="majorHAnsi" w:hAnsiTheme="majorHAnsi"/>
        </w:rPr>
        <w:t>ithhold PADCEV and consider referral for specialized care for suspected SJS or TEN or severe skin reactions.</w:t>
      </w:r>
    </w:p>
    <w:p w14:paraId="654828AF" w14:textId="09A16A0E" w:rsidR="00154A8E" w:rsidRPr="00C10DFC" w:rsidRDefault="00943D65" w:rsidP="00C85119">
      <w:pPr>
        <w:pBdr>
          <w:top w:val="single" w:sz="12" w:space="1" w:color="auto"/>
          <w:left w:val="single" w:sz="12" w:space="4" w:color="auto"/>
          <w:bottom w:val="single" w:sz="12" w:space="1" w:color="auto"/>
          <w:right w:val="single" w:sz="12" w:space="4" w:color="auto"/>
        </w:pBdr>
        <w:spacing w:after="0" w:line="240" w:lineRule="auto"/>
        <w:rPr>
          <w:rFonts w:asciiTheme="majorHAnsi" w:hAnsiTheme="majorHAnsi"/>
        </w:rPr>
      </w:pPr>
      <w:r w:rsidRPr="00C10DFC">
        <w:rPr>
          <w:rFonts w:asciiTheme="majorHAnsi" w:hAnsiTheme="majorHAnsi"/>
        </w:rPr>
        <w:t xml:space="preserve">• Permanently discontinue PADCEV in patients with confirmed SJS or TEN; Grade 4 or recurrent Grade 3 skin reactions. </w:t>
      </w:r>
    </w:p>
    <w:p w14:paraId="0BA3F55F" w14:textId="6CE41929" w:rsidR="000B0851" w:rsidRDefault="000B0851" w:rsidP="00C85119">
      <w:pPr>
        <w:pBdr>
          <w:top w:val="single" w:sz="12" w:space="1" w:color="auto"/>
          <w:left w:val="single" w:sz="12" w:space="4" w:color="auto"/>
          <w:bottom w:val="single" w:sz="12" w:space="1" w:color="auto"/>
          <w:right w:val="single" w:sz="12" w:space="4" w:color="auto"/>
        </w:pBdr>
        <w:spacing w:after="0" w:line="240" w:lineRule="auto"/>
        <w:rPr>
          <w:rFonts w:asciiTheme="majorHAnsi" w:hAnsiTheme="majorHAnsi"/>
        </w:rPr>
      </w:pPr>
    </w:p>
    <w:p w14:paraId="05A61E01" w14:textId="1F85DA1B" w:rsidR="000B0851" w:rsidRPr="00C10DFC" w:rsidRDefault="000B0851" w:rsidP="000B0851">
      <w:pPr>
        <w:pBdr>
          <w:top w:val="single" w:sz="12" w:space="1" w:color="auto"/>
          <w:left w:val="single" w:sz="12" w:space="4" w:color="auto"/>
          <w:bottom w:val="single" w:sz="12" w:space="1" w:color="auto"/>
          <w:right w:val="single" w:sz="12" w:space="4" w:color="auto"/>
        </w:pBdr>
        <w:rPr>
          <w:rFonts w:asciiTheme="majorHAnsi" w:hAnsiTheme="majorHAnsi"/>
        </w:rPr>
      </w:pPr>
      <w:r w:rsidRPr="00C10DFC">
        <w:rPr>
          <w:rFonts w:asciiTheme="majorHAnsi" w:hAnsiTheme="majorHAnsi"/>
        </w:rPr>
        <w:t xml:space="preserve">(See sections 4.2 Dose and method of administration, </w:t>
      </w:r>
      <w:r>
        <w:rPr>
          <w:rFonts w:asciiTheme="majorHAnsi" w:hAnsiTheme="majorHAnsi"/>
        </w:rPr>
        <w:t xml:space="preserve">and </w:t>
      </w:r>
      <w:r w:rsidRPr="00C10DFC">
        <w:rPr>
          <w:rFonts w:asciiTheme="majorHAnsi" w:hAnsiTheme="majorHAnsi"/>
        </w:rPr>
        <w:t>4.4 Special warnings and precautions for use</w:t>
      </w:r>
      <w:r>
        <w:rPr>
          <w:rFonts w:asciiTheme="majorHAnsi" w:hAnsiTheme="majorHAnsi"/>
        </w:rPr>
        <w:t>.)</w:t>
      </w:r>
    </w:p>
    <w:p w14:paraId="39F0CD7E" w14:textId="49BE7C45" w:rsidR="00A872A1" w:rsidRDefault="00A872A1"/>
    <w:p w14:paraId="719D56B4" w14:textId="6B361D9F" w:rsidR="00CD2383" w:rsidRPr="00FC060A" w:rsidRDefault="00CD2383" w:rsidP="0022163F">
      <w:pPr>
        <w:pStyle w:val="Heading1"/>
      </w:pPr>
      <w:r>
        <w:t>Name of the medicine</w:t>
      </w:r>
    </w:p>
    <w:p w14:paraId="3C14228A" w14:textId="17F0D454" w:rsidR="00BE3FB3" w:rsidRPr="00BE3FB3" w:rsidRDefault="00BE3FB3" w:rsidP="00BE3FB3">
      <w:pPr>
        <w:pStyle w:val="NormalWeb"/>
        <w:rPr>
          <w:rFonts w:asciiTheme="majorHAnsi" w:eastAsia="Times New Roman" w:hAnsiTheme="majorHAnsi"/>
        </w:rPr>
      </w:pPr>
      <w:proofErr w:type="spellStart"/>
      <w:r w:rsidRPr="00BE3FB3">
        <w:rPr>
          <w:rFonts w:asciiTheme="majorHAnsi" w:eastAsia="MS PGothic" w:hAnsiTheme="majorHAnsi" w:cs="Calibri"/>
          <w:sz w:val="22"/>
          <w:szCs w:val="22"/>
          <w:lang w:val="en-US" w:eastAsia="ja-JP"/>
        </w:rPr>
        <w:t>Enfortumab</w:t>
      </w:r>
      <w:proofErr w:type="spellEnd"/>
      <w:r w:rsidRPr="00BE3FB3">
        <w:rPr>
          <w:rFonts w:asciiTheme="majorHAnsi" w:eastAsia="MS PGothic" w:hAnsiTheme="majorHAnsi" w:cs="Calibri"/>
          <w:sz w:val="22"/>
          <w:szCs w:val="22"/>
          <w:lang w:val="en-US" w:eastAsia="ja-JP"/>
        </w:rPr>
        <w:t xml:space="preserve"> </w:t>
      </w:r>
      <w:proofErr w:type="spellStart"/>
      <w:r w:rsidRPr="00BE3FB3">
        <w:rPr>
          <w:rFonts w:asciiTheme="majorHAnsi" w:eastAsia="MS PGothic" w:hAnsiTheme="majorHAnsi" w:cs="Calibri"/>
          <w:sz w:val="22"/>
          <w:szCs w:val="22"/>
          <w:lang w:val="en-US" w:eastAsia="ja-JP"/>
        </w:rPr>
        <w:t>vedotin</w:t>
      </w:r>
      <w:proofErr w:type="spellEnd"/>
    </w:p>
    <w:p w14:paraId="6B7DD861" w14:textId="1179D9FA" w:rsidR="00CD2383" w:rsidRPr="00FC060A" w:rsidRDefault="00CD2383" w:rsidP="00FC060A">
      <w:pPr>
        <w:pStyle w:val="Heading1"/>
      </w:pPr>
      <w:r w:rsidRPr="00FC060A">
        <w:t>Qualitative and quantitative composition</w:t>
      </w:r>
    </w:p>
    <w:p w14:paraId="55E2EFAE" w14:textId="5D30A6B8" w:rsidR="00BE3FB3" w:rsidRPr="00BE3FB3" w:rsidRDefault="00BE3FB3" w:rsidP="00BE3FB3">
      <w:pPr>
        <w:pStyle w:val="NormalWeb"/>
        <w:rPr>
          <w:rFonts w:asciiTheme="majorHAnsi" w:eastAsia="MS PGothic" w:hAnsiTheme="majorHAnsi" w:cs="Calibri"/>
          <w:sz w:val="22"/>
          <w:szCs w:val="22"/>
          <w:lang w:val="en-US" w:eastAsia="ja-JP"/>
        </w:rPr>
      </w:pPr>
      <w:r w:rsidRPr="00BE3FB3">
        <w:rPr>
          <w:rFonts w:asciiTheme="majorHAnsi" w:eastAsia="Times New Roman" w:hAnsiTheme="majorHAnsi"/>
          <w:noProof/>
          <w:sz w:val="22"/>
          <w:szCs w:val="22"/>
        </w:rPr>
        <w:t>Each vial of powder for concentrate for infusion contains either 20 mg or 30 mg enfortumab vedotin. After reconstitution, each mL contains 10 mg of enfortumab vedotin.</w:t>
      </w:r>
    </w:p>
    <w:p w14:paraId="7E11DC85" w14:textId="3B523E66" w:rsidR="00CD2383" w:rsidRPr="00BE3FB3" w:rsidRDefault="00BE3FB3" w:rsidP="0062486E">
      <w:pPr>
        <w:rPr>
          <w:rFonts w:asciiTheme="majorHAnsi" w:eastAsia="Times New Roman" w:hAnsiTheme="majorHAnsi" w:cs="Times New Roman"/>
          <w:sz w:val="24"/>
          <w:szCs w:val="24"/>
        </w:rPr>
      </w:pPr>
      <w:r w:rsidRPr="00BE3FB3">
        <w:rPr>
          <w:rFonts w:asciiTheme="majorHAnsi" w:eastAsia="Times New Roman" w:hAnsiTheme="majorHAnsi" w:cs="Times New Roman"/>
          <w:noProof/>
        </w:rPr>
        <w:t>Enfortumab vedotin is a Nectin-4 targeted antibody drug conjugate (ADC) comprised of a fully human IgG1 kappa antibody, conjugated to the microtubule-disrupting agent monomethyl auristatin E (MMAE) via a protease-cleavable vc maleimidocaproyl linker.</w:t>
      </w:r>
    </w:p>
    <w:p w14:paraId="0E45D341" w14:textId="0FE9EF08" w:rsidR="00BE3FB3" w:rsidRPr="00BE3FB3" w:rsidRDefault="00CD2383" w:rsidP="00BE3FB3">
      <w:r w:rsidRPr="00BE3FB3">
        <w:rPr>
          <w:rFonts w:asciiTheme="majorHAnsi" w:hAnsiTheme="majorHAnsi"/>
        </w:rPr>
        <w:t>For the full list of excipients, see Section 6.1 List of excipients.</w:t>
      </w:r>
    </w:p>
    <w:p w14:paraId="27C61EAF" w14:textId="42D35020" w:rsidR="00CD2383" w:rsidRPr="00FC060A" w:rsidRDefault="00CD2383" w:rsidP="009F0623">
      <w:pPr>
        <w:pStyle w:val="Heading1"/>
      </w:pPr>
      <w:r w:rsidRPr="00FC060A">
        <w:t>Pharmaceutical form</w:t>
      </w:r>
    </w:p>
    <w:p w14:paraId="7693F0A5" w14:textId="16A8C3A8" w:rsidR="00BE3FB3" w:rsidRDefault="00BE3FB3" w:rsidP="00BE3FB3">
      <w:pPr>
        <w:pStyle w:val="NormalWeb"/>
        <w:rPr>
          <w:rFonts w:asciiTheme="majorHAnsi" w:eastAsia="MS PGothic" w:hAnsiTheme="majorHAnsi" w:cs="Calibri"/>
          <w:sz w:val="22"/>
          <w:szCs w:val="22"/>
          <w:lang w:val="en-US" w:eastAsia="ja-JP"/>
        </w:rPr>
      </w:pPr>
      <w:r w:rsidRPr="00BE3FB3">
        <w:rPr>
          <w:rFonts w:asciiTheme="majorHAnsi" w:eastAsia="MS PGothic" w:hAnsiTheme="majorHAnsi" w:cs="Calibri"/>
          <w:sz w:val="22"/>
          <w:szCs w:val="22"/>
          <w:lang w:val="en-US" w:eastAsia="ja-JP"/>
        </w:rPr>
        <w:t>Powder for injection vial. White to off-white lyophilized powder.</w:t>
      </w:r>
    </w:p>
    <w:p w14:paraId="6366B362" w14:textId="77777777" w:rsidR="00580CD8" w:rsidRPr="00BE3FB3" w:rsidRDefault="00580CD8" w:rsidP="00BE3FB3">
      <w:pPr>
        <w:pStyle w:val="NormalWeb"/>
        <w:rPr>
          <w:rFonts w:asciiTheme="majorHAnsi" w:eastAsia="MS PGothic" w:hAnsiTheme="majorHAnsi" w:cs="MS PGothic"/>
          <w:lang w:val="en-US" w:eastAsia="ja-JP"/>
        </w:rPr>
      </w:pPr>
    </w:p>
    <w:p w14:paraId="2483D850" w14:textId="76BC5B2E" w:rsidR="00CD2383" w:rsidRPr="00701C26" w:rsidRDefault="00CD2383" w:rsidP="0062486E">
      <w:pPr>
        <w:pStyle w:val="Heading1"/>
      </w:pPr>
      <w:r w:rsidRPr="00FC060A">
        <w:lastRenderedPageBreak/>
        <w:t>Clinical particulars</w:t>
      </w:r>
    </w:p>
    <w:p w14:paraId="710E3DF7" w14:textId="21B5F716" w:rsidR="00CD2383" w:rsidRPr="00FC060A" w:rsidRDefault="00CD2383" w:rsidP="008923BE">
      <w:pPr>
        <w:pStyle w:val="Heading2"/>
      </w:pPr>
      <w:r w:rsidRPr="00FC060A">
        <w:t xml:space="preserve">Therapeutic </w:t>
      </w:r>
      <w:r>
        <w:t>indications</w:t>
      </w:r>
    </w:p>
    <w:p w14:paraId="2C1F704A" w14:textId="22DCEFED" w:rsidR="00CD2383" w:rsidRPr="00BE3FB3" w:rsidRDefault="00E81FB0" w:rsidP="00E81FB0">
      <w:pPr>
        <w:rPr>
          <w:rFonts w:asciiTheme="majorHAnsi" w:eastAsia="Times New Roman" w:hAnsiTheme="majorHAnsi" w:cs="Times New Roman"/>
          <w:sz w:val="24"/>
          <w:szCs w:val="24"/>
        </w:rPr>
      </w:pPr>
      <w:r w:rsidRPr="008F39A2">
        <w:rPr>
          <w:rFonts w:asciiTheme="majorHAnsi" w:eastAsia="MS PGothic" w:hAnsiTheme="majorHAnsi" w:cs="Calibri"/>
          <w:lang w:val="en-US" w:eastAsia="ja-JP"/>
        </w:rPr>
        <w:t xml:space="preserve">PADCEV as monotherapy is indicated for the treatment of adult patients with locally advanced or metastatic urothelial cancer who have previously received a platinum-containing chemotherapy and a programmed </w:t>
      </w:r>
      <w:r w:rsidR="003D3947">
        <w:rPr>
          <w:rFonts w:asciiTheme="majorHAnsi" w:eastAsia="MS PGothic" w:hAnsiTheme="majorHAnsi" w:cs="Calibri"/>
          <w:lang w:val="en-US" w:eastAsia="ja-JP"/>
        </w:rPr>
        <w:t xml:space="preserve">death </w:t>
      </w:r>
      <w:r w:rsidRPr="008F39A2">
        <w:rPr>
          <w:rFonts w:asciiTheme="majorHAnsi" w:eastAsia="MS PGothic" w:hAnsiTheme="majorHAnsi" w:cs="Calibri"/>
          <w:lang w:val="en-US" w:eastAsia="ja-JP"/>
        </w:rPr>
        <w:t>receptor-1 or programmed death-ligand-1 inhibitor.</w:t>
      </w:r>
      <w:r w:rsidR="00BE3FB3" w:rsidRPr="00BE3FB3">
        <w:rPr>
          <w:rFonts w:asciiTheme="majorHAnsi" w:eastAsia="Times New Roman" w:hAnsiTheme="majorHAnsi" w:cs="Times New Roman"/>
          <w:sz w:val="24"/>
          <w:szCs w:val="24"/>
        </w:rPr>
        <w:t xml:space="preserve"> </w:t>
      </w:r>
    </w:p>
    <w:p w14:paraId="4D2388E5" w14:textId="5AB9FCAA" w:rsidR="00CD2383" w:rsidRPr="00FC060A" w:rsidRDefault="00CD2383" w:rsidP="00FC060A">
      <w:pPr>
        <w:pStyle w:val="Heading2"/>
      </w:pPr>
      <w:r w:rsidRPr="00FC060A">
        <w:t>Do</w:t>
      </w:r>
      <w:r>
        <w:t>se and method of administration</w:t>
      </w:r>
    </w:p>
    <w:p w14:paraId="67479401" w14:textId="60488AEA" w:rsidR="00BE3FB3" w:rsidRPr="00BE3FB3" w:rsidRDefault="00BE3FB3" w:rsidP="00BE3FB3">
      <w:pPr>
        <w:pStyle w:val="NormalWeb"/>
        <w:rPr>
          <w:rFonts w:asciiTheme="majorHAnsi" w:eastAsia="Times New Roman" w:hAnsiTheme="majorHAnsi" w:cs="Cordia New"/>
          <w:b/>
          <w:bCs/>
          <w:sz w:val="22"/>
          <w:szCs w:val="22"/>
          <w:u w:val="single"/>
          <w:lang w:bidi="th-TH"/>
        </w:rPr>
      </w:pPr>
      <w:r w:rsidRPr="00BE3FB3">
        <w:rPr>
          <w:rFonts w:asciiTheme="majorHAnsi" w:eastAsia="Times New Roman" w:hAnsiTheme="majorHAnsi" w:cs="Cordia New"/>
          <w:b/>
          <w:bCs/>
          <w:sz w:val="22"/>
          <w:szCs w:val="22"/>
          <w:u w:val="single"/>
          <w:lang w:bidi="th-TH"/>
        </w:rPr>
        <w:t>General</w:t>
      </w:r>
    </w:p>
    <w:p w14:paraId="4005C9E6" w14:textId="26293D77" w:rsidR="00BE3FB3" w:rsidRDefault="00BE3FB3" w:rsidP="00BE3FB3">
      <w:pPr>
        <w:rPr>
          <w:rFonts w:asciiTheme="majorHAnsi" w:eastAsia="MS PGothic" w:hAnsiTheme="majorHAnsi" w:cs="Calibri"/>
          <w:lang w:val="en-US" w:eastAsia="ja-JP"/>
        </w:rPr>
      </w:pPr>
      <w:r w:rsidRPr="00BE3FB3">
        <w:rPr>
          <w:rFonts w:asciiTheme="majorHAnsi" w:eastAsia="MS PGothic" w:hAnsiTheme="majorHAnsi" w:cs="Calibri"/>
          <w:lang w:val="en-US" w:eastAsia="ja-JP"/>
        </w:rPr>
        <w:t xml:space="preserve">Prior to administration, the PADCEV vial is reconstituted with Sterile Water for Injection (SWFI). The reconstituted solution is </w:t>
      </w:r>
      <w:r w:rsidRPr="00BE3FB3">
        <w:rPr>
          <w:rFonts w:asciiTheme="majorHAnsi" w:eastAsia="Times New Roman" w:hAnsiTheme="majorHAnsi" w:cs="Times New Roman"/>
          <w:lang w:eastAsia="ja-JP"/>
        </w:rPr>
        <w:t xml:space="preserve">transferred to an intravenous infusion bag containing sterile 5% Dextrose </w:t>
      </w:r>
      <w:r w:rsidRPr="00BE3FB3">
        <w:rPr>
          <w:rFonts w:asciiTheme="majorHAnsi" w:eastAsia="Times New Roman" w:hAnsiTheme="majorHAnsi" w:cs="Times New Roman"/>
        </w:rPr>
        <w:t xml:space="preserve">Injection, sterile 0.9% Sodium Chloride </w:t>
      </w:r>
      <w:r w:rsidRPr="00BE3FB3">
        <w:rPr>
          <w:rFonts w:asciiTheme="majorHAnsi" w:eastAsia="Times New Roman" w:hAnsiTheme="majorHAnsi" w:cs="Times New Roman"/>
          <w:lang w:eastAsia="ja-JP"/>
        </w:rPr>
        <w:t>injection or sterile Lactated Ringer’s injection for administration.</w:t>
      </w:r>
      <w:r w:rsidRPr="00BE3FB3">
        <w:rPr>
          <w:rFonts w:asciiTheme="majorHAnsi" w:eastAsia="MS PGothic" w:hAnsiTheme="majorHAnsi" w:cs="Calibri"/>
          <w:lang w:val="en-US" w:eastAsia="ja-JP"/>
        </w:rPr>
        <w:t> </w:t>
      </w:r>
    </w:p>
    <w:p w14:paraId="1727C68A" w14:textId="4C37AEDA" w:rsidR="000E13C4" w:rsidRPr="00BE3FB3" w:rsidRDefault="000E13C4" w:rsidP="00BE3FB3">
      <w:pPr>
        <w:rPr>
          <w:rFonts w:asciiTheme="majorHAnsi" w:eastAsia="MS PGothic" w:hAnsiTheme="majorHAnsi" w:cs="Calibri"/>
          <w:lang w:val="en-US" w:eastAsia="ja-JP"/>
        </w:rPr>
      </w:pPr>
      <w:r w:rsidRPr="000E13C4">
        <w:rPr>
          <w:rFonts w:asciiTheme="majorHAnsi" w:eastAsia="MS PGothic" w:hAnsiTheme="majorHAnsi" w:cs="Calibri"/>
          <w:lang w:val="en-US" w:eastAsia="ja-JP"/>
        </w:rPr>
        <w:t>Product is for single use in one patient only</w:t>
      </w:r>
      <w:r w:rsidRPr="00F47AE0">
        <w:rPr>
          <w:rFonts w:asciiTheme="majorHAnsi" w:eastAsia="Times New Roman" w:hAnsiTheme="majorHAnsi" w:cs="Times New Roman"/>
          <w:lang w:eastAsia="ja-JP"/>
        </w:rPr>
        <w:t>.</w:t>
      </w:r>
      <w:r w:rsidR="00EB3F55" w:rsidRPr="00F47AE0">
        <w:rPr>
          <w:rFonts w:asciiTheme="majorHAnsi" w:eastAsia="Times New Roman" w:hAnsiTheme="majorHAnsi" w:cs="Times New Roman"/>
          <w:lang w:eastAsia="ja-JP"/>
        </w:rPr>
        <w:t xml:space="preserve"> Discard any residue.</w:t>
      </w:r>
    </w:p>
    <w:p w14:paraId="391F46BC" w14:textId="77777777" w:rsidR="00BE3FB3" w:rsidRPr="00BE3FB3" w:rsidRDefault="00BE3FB3" w:rsidP="00BE3FB3">
      <w:pPr>
        <w:rPr>
          <w:rFonts w:asciiTheme="majorHAnsi" w:eastAsia="MS PGothic" w:hAnsiTheme="majorHAnsi" w:cs="Calibri"/>
          <w:lang w:val="en-US" w:eastAsia="ja-JP"/>
        </w:rPr>
      </w:pPr>
      <w:r w:rsidRPr="00BE3FB3">
        <w:rPr>
          <w:rFonts w:asciiTheme="majorHAnsi" w:eastAsia="MS PGothic" w:hAnsiTheme="majorHAnsi" w:cs="Calibri"/>
          <w:lang w:val="en-US" w:eastAsia="ja-JP"/>
        </w:rPr>
        <w:t xml:space="preserve">Treatment with PADCEV should be initiated and supervised by a physician experienced in the use of anti-cancer therapies. </w:t>
      </w:r>
    </w:p>
    <w:p w14:paraId="7FE96D64" w14:textId="77777777" w:rsidR="00BE3FB3" w:rsidRPr="00BE3FB3" w:rsidRDefault="00BE3FB3" w:rsidP="00BE3FB3">
      <w:pPr>
        <w:rPr>
          <w:rFonts w:asciiTheme="majorHAnsi" w:eastAsia="MS PGothic" w:hAnsiTheme="majorHAnsi" w:cs="Calibri"/>
          <w:lang w:val="en-US" w:eastAsia="ja-JP"/>
        </w:rPr>
      </w:pPr>
      <w:r w:rsidRPr="00BE3FB3">
        <w:rPr>
          <w:rFonts w:asciiTheme="majorHAnsi" w:eastAsia="Times New Roman" w:hAnsiTheme="majorHAnsi" w:cs="Times New Roman"/>
          <w:b/>
          <w:bCs/>
          <w:u w:val="single"/>
        </w:rPr>
        <w:t>Dosage</w:t>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r>
      <w:r w:rsidRPr="00BE3FB3">
        <w:rPr>
          <w:rFonts w:asciiTheme="majorHAnsi" w:eastAsia="Times New Roman" w:hAnsiTheme="majorHAnsi" w:cs="Times New Roman"/>
          <w:sz w:val="24"/>
          <w:szCs w:val="24"/>
        </w:rPr>
        <w:tab/>
        <w:t xml:space="preserve">               </w:t>
      </w:r>
      <w:r w:rsidRPr="00BE3FB3">
        <w:rPr>
          <w:rFonts w:asciiTheme="majorHAnsi" w:eastAsia="MS PGothic" w:hAnsiTheme="majorHAnsi" w:cs="Calibri"/>
          <w:lang w:val="en-US" w:eastAsia="ja-JP"/>
        </w:rPr>
        <w:t>The recommended dose of PADCEV is 1.25 mg/kg (up to a maximum of 125 mg for patients ≥100 kg) administered as an intravenous infusion over 30 minutes on Days 1, 8 and 15 of a 28-day cycle until disease progression or unacceptable toxicity.</w:t>
      </w:r>
    </w:p>
    <w:p w14:paraId="39168007" w14:textId="6650B672" w:rsidR="00BE3FB3" w:rsidRPr="00BE3FB3" w:rsidRDefault="00BE3FB3" w:rsidP="00480E06">
      <w:pPr>
        <w:pStyle w:val="Caption"/>
        <w:keepNext/>
        <w:rPr>
          <w:rFonts w:asciiTheme="majorHAnsi" w:eastAsia="MS PGothic" w:hAnsiTheme="majorHAnsi" w:cs="Calibri"/>
          <w:bCs w:val="0"/>
          <w:lang w:val="en-US" w:eastAsia="ja-JP"/>
        </w:rPr>
      </w:pPr>
      <w:r w:rsidRPr="00BE3FB3">
        <w:rPr>
          <w:rFonts w:asciiTheme="majorHAnsi" w:eastAsia="MS PGothic" w:hAnsiTheme="majorHAnsi" w:cs="Calibri"/>
          <w:bCs w:val="0"/>
          <w:lang w:val="en-US" w:eastAsia="ja-JP"/>
        </w:rPr>
        <w:t xml:space="preserve">Table </w:t>
      </w:r>
      <w:r w:rsidRPr="00BE3FB3">
        <w:rPr>
          <w:rFonts w:asciiTheme="majorHAnsi" w:eastAsia="MS PGothic" w:hAnsiTheme="majorHAnsi" w:cs="Calibri"/>
          <w:bCs w:val="0"/>
          <w:lang w:val="en-US" w:eastAsia="ja-JP"/>
        </w:rPr>
        <w:fldChar w:fldCharType="begin"/>
      </w:r>
      <w:r w:rsidRPr="00BE3FB3">
        <w:rPr>
          <w:rFonts w:asciiTheme="majorHAnsi" w:eastAsia="MS PGothic" w:hAnsiTheme="majorHAnsi" w:cs="Calibri"/>
          <w:bCs w:val="0"/>
          <w:lang w:val="en-US" w:eastAsia="ja-JP"/>
        </w:rPr>
        <w:instrText xml:space="preserve"> SEQ Table \* ARABIC </w:instrText>
      </w:r>
      <w:r w:rsidRPr="00BE3FB3">
        <w:rPr>
          <w:rFonts w:asciiTheme="majorHAnsi" w:eastAsia="MS PGothic" w:hAnsiTheme="majorHAnsi" w:cs="Calibri"/>
          <w:bCs w:val="0"/>
          <w:lang w:val="en-US" w:eastAsia="ja-JP"/>
        </w:rPr>
        <w:fldChar w:fldCharType="separate"/>
      </w:r>
      <w:r w:rsidR="000F0B8F">
        <w:rPr>
          <w:rFonts w:asciiTheme="majorHAnsi" w:eastAsia="MS PGothic" w:hAnsiTheme="majorHAnsi" w:cs="Calibri"/>
          <w:bCs w:val="0"/>
          <w:noProof/>
          <w:lang w:val="en-US" w:eastAsia="ja-JP"/>
        </w:rPr>
        <w:t>1</w:t>
      </w:r>
      <w:r w:rsidRPr="00BE3FB3">
        <w:rPr>
          <w:rFonts w:asciiTheme="majorHAnsi" w:eastAsia="MS PGothic" w:hAnsiTheme="majorHAnsi" w:cs="Calibri"/>
          <w:bCs w:val="0"/>
          <w:lang w:val="en-US" w:eastAsia="ja-JP"/>
        </w:rPr>
        <w:fldChar w:fldCharType="end"/>
      </w:r>
      <w:r w:rsidRPr="00BE3FB3">
        <w:rPr>
          <w:rFonts w:asciiTheme="majorHAnsi" w:eastAsia="MS PGothic" w:hAnsiTheme="majorHAnsi" w:cs="Calibri"/>
          <w:bCs w:val="0"/>
          <w:lang w:val="en-US" w:eastAsia="ja-JP"/>
        </w:rPr>
        <w:t>. Recommended Dose Reduction Schedule for Adverse Events</w:t>
      </w:r>
    </w:p>
    <w:tbl>
      <w:tblPr>
        <w:tblStyle w:val="TableGrid2"/>
        <w:tblW w:w="0" w:type="auto"/>
        <w:tblInd w:w="250" w:type="dxa"/>
        <w:tblLook w:val="04A0" w:firstRow="1" w:lastRow="0" w:firstColumn="1" w:lastColumn="0" w:noHBand="0" w:noVBand="1"/>
      </w:tblPr>
      <w:tblGrid>
        <w:gridCol w:w="4368"/>
        <w:gridCol w:w="4399"/>
      </w:tblGrid>
      <w:tr w:rsidR="00BE3FB3" w:rsidRPr="00BE3FB3" w14:paraId="04FA7D11" w14:textId="77777777" w:rsidTr="00851E7A">
        <w:tc>
          <w:tcPr>
            <w:tcW w:w="4378" w:type="dxa"/>
          </w:tcPr>
          <w:p w14:paraId="2F3A5932" w14:textId="77777777" w:rsidR="00BE3FB3" w:rsidRPr="00BE3FB3" w:rsidRDefault="00BE3FB3" w:rsidP="00BE3FB3">
            <w:pPr>
              <w:spacing w:before="100" w:beforeAutospacing="1" w:after="100" w:afterAutospacing="1"/>
              <w:ind w:leftChars="82" w:left="180"/>
              <w:rPr>
                <w:rFonts w:asciiTheme="majorHAnsi" w:eastAsia="MS PGothic" w:hAnsiTheme="majorHAnsi" w:cs="Times New Roman"/>
                <w:b/>
                <w:lang w:eastAsia="ja-JP"/>
              </w:rPr>
            </w:pPr>
          </w:p>
        </w:tc>
        <w:tc>
          <w:tcPr>
            <w:tcW w:w="4411" w:type="dxa"/>
          </w:tcPr>
          <w:p w14:paraId="6C7CA608" w14:textId="77777777" w:rsidR="00BE3FB3" w:rsidRPr="00BE3FB3" w:rsidRDefault="00BE3FB3" w:rsidP="00BE3FB3">
            <w:pPr>
              <w:spacing w:before="100" w:beforeAutospacing="1" w:after="100" w:afterAutospacing="1"/>
              <w:ind w:leftChars="82" w:left="180"/>
              <w:jc w:val="center"/>
              <w:rPr>
                <w:rFonts w:asciiTheme="majorHAnsi" w:eastAsia="MS PGothic" w:hAnsiTheme="majorHAnsi" w:cs="Times New Roman"/>
                <w:b/>
                <w:lang w:eastAsia="ja-JP"/>
              </w:rPr>
            </w:pPr>
            <w:r w:rsidRPr="00BE3FB3">
              <w:rPr>
                <w:rFonts w:asciiTheme="majorHAnsi" w:eastAsia="MS PGothic" w:hAnsiTheme="majorHAnsi" w:cs="Times New Roman"/>
                <w:b/>
                <w:lang w:eastAsia="ja-JP"/>
              </w:rPr>
              <w:t>Dose Level</w:t>
            </w:r>
          </w:p>
        </w:tc>
      </w:tr>
      <w:tr w:rsidR="00BE3FB3" w:rsidRPr="00BE3FB3" w14:paraId="1A312017" w14:textId="77777777" w:rsidTr="00851E7A">
        <w:tc>
          <w:tcPr>
            <w:tcW w:w="4378" w:type="dxa"/>
          </w:tcPr>
          <w:p w14:paraId="189CA7E8" w14:textId="77777777" w:rsidR="00BE3FB3" w:rsidRPr="00BE3FB3" w:rsidRDefault="00BE3FB3" w:rsidP="00BE3FB3">
            <w:pPr>
              <w:spacing w:before="100" w:beforeAutospacing="1" w:after="100" w:afterAutospacing="1"/>
              <w:ind w:leftChars="82" w:left="180"/>
              <w:rPr>
                <w:rFonts w:asciiTheme="majorHAnsi" w:eastAsia="MS PGothic" w:hAnsiTheme="majorHAnsi" w:cs="Arial"/>
                <w:lang w:eastAsia="ja-JP"/>
              </w:rPr>
            </w:pPr>
            <w:r w:rsidRPr="00BE3FB3">
              <w:rPr>
                <w:rFonts w:asciiTheme="majorHAnsi" w:eastAsia="MS PGothic" w:hAnsiTheme="majorHAnsi" w:cs="Arial"/>
                <w:lang w:eastAsia="ja-JP"/>
              </w:rPr>
              <w:t>Starting dose</w:t>
            </w:r>
          </w:p>
        </w:tc>
        <w:tc>
          <w:tcPr>
            <w:tcW w:w="4411" w:type="dxa"/>
          </w:tcPr>
          <w:p w14:paraId="4CE221A2" w14:textId="77777777" w:rsidR="00BE3FB3" w:rsidRPr="00BE3FB3" w:rsidRDefault="00BE3FB3" w:rsidP="00BE3FB3">
            <w:pPr>
              <w:spacing w:before="100" w:beforeAutospacing="1" w:after="100" w:afterAutospacing="1"/>
              <w:ind w:leftChars="82" w:left="180"/>
              <w:jc w:val="center"/>
              <w:rPr>
                <w:rFonts w:asciiTheme="majorHAnsi" w:eastAsia="MS PGothic" w:hAnsiTheme="majorHAnsi" w:cs="Arial"/>
                <w:lang w:eastAsia="ja-JP"/>
              </w:rPr>
            </w:pPr>
            <w:r w:rsidRPr="00BE3FB3">
              <w:rPr>
                <w:rFonts w:asciiTheme="majorHAnsi" w:eastAsia="MS PGothic" w:hAnsiTheme="majorHAnsi" w:cs="Arial"/>
                <w:lang w:eastAsia="ja-JP"/>
              </w:rPr>
              <w:t>1.25 mg/kg up to 125 mg</w:t>
            </w:r>
          </w:p>
        </w:tc>
      </w:tr>
      <w:tr w:rsidR="00BE3FB3" w:rsidRPr="00BE3FB3" w14:paraId="66C21E8B" w14:textId="77777777" w:rsidTr="00851E7A">
        <w:tc>
          <w:tcPr>
            <w:tcW w:w="4378" w:type="dxa"/>
          </w:tcPr>
          <w:p w14:paraId="69A8DCD5" w14:textId="77777777" w:rsidR="00BE3FB3" w:rsidRPr="00BE3FB3" w:rsidRDefault="00BE3FB3" w:rsidP="00BE3FB3">
            <w:pPr>
              <w:spacing w:before="100" w:beforeAutospacing="1" w:after="100" w:afterAutospacing="1"/>
              <w:ind w:leftChars="82" w:left="180"/>
              <w:rPr>
                <w:rFonts w:asciiTheme="majorHAnsi" w:eastAsia="MS PGothic" w:hAnsiTheme="majorHAnsi" w:cs="Arial"/>
                <w:lang w:eastAsia="ja-JP"/>
              </w:rPr>
            </w:pPr>
            <w:r w:rsidRPr="00BE3FB3">
              <w:rPr>
                <w:rFonts w:asciiTheme="majorHAnsi" w:eastAsia="MS PGothic" w:hAnsiTheme="majorHAnsi" w:cs="Arial"/>
                <w:lang w:eastAsia="ja-JP"/>
              </w:rPr>
              <w:t>First dose reduction</w:t>
            </w:r>
          </w:p>
        </w:tc>
        <w:tc>
          <w:tcPr>
            <w:tcW w:w="4411" w:type="dxa"/>
          </w:tcPr>
          <w:p w14:paraId="0E2CC65A" w14:textId="77777777" w:rsidR="00BE3FB3" w:rsidRPr="00BE3FB3" w:rsidRDefault="00BE3FB3" w:rsidP="00BE3FB3">
            <w:pPr>
              <w:spacing w:before="100" w:beforeAutospacing="1" w:after="100" w:afterAutospacing="1"/>
              <w:ind w:leftChars="82" w:left="180"/>
              <w:jc w:val="center"/>
              <w:rPr>
                <w:rFonts w:asciiTheme="majorHAnsi" w:eastAsia="MS PGothic" w:hAnsiTheme="majorHAnsi" w:cs="Arial"/>
                <w:lang w:eastAsia="ja-JP"/>
              </w:rPr>
            </w:pPr>
            <w:r w:rsidRPr="00BE3FB3">
              <w:rPr>
                <w:rFonts w:asciiTheme="majorHAnsi" w:eastAsia="MS PGothic" w:hAnsiTheme="majorHAnsi" w:cs="Arial"/>
                <w:lang w:eastAsia="ja-JP"/>
              </w:rPr>
              <w:t>1.0 mg/kg up to 100 mg</w:t>
            </w:r>
          </w:p>
        </w:tc>
      </w:tr>
      <w:tr w:rsidR="00BE3FB3" w:rsidRPr="00BE3FB3" w14:paraId="7E4BC378" w14:textId="77777777" w:rsidTr="00851E7A">
        <w:tc>
          <w:tcPr>
            <w:tcW w:w="4378" w:type="dxa"/>
          </w:tcPr>
          <w:p w14:paraId="401AAF03" w14:textId="77777777" w:rsidR="00BE3FB3" w:rsidRPr="00BE3FB3" w:rsidRDefault="00BE3FB3" w:rsidP="00BE3FB3">
            <w:pPr>
              <w:spacing w:before="100" w:beforeAutospacing="1" w:after="100" w:afterAutospacing="1"/>
              <w:ind w:leftChars="82" w:left="180"/>
              <w:rPr>
                <w:rFonts w:asciiTheme="majorHAnsi" w:eastAsia="MS PGothic" w:hAnsiTheme="majorHAnsi" w:cs="Arial"/>
                <w:lang w:eastAsia="ja-JP"/>
              </w:rPr>
            </w:pPr>
            <w:r w:rsidRPr="00BE3FB3">
              <w:rPr>
                <w:rFonts w:asciiTheme="majorHAnsi" w:eastAsia="MS PGothic" w:hAnsiTheme="majorHAnsi" w:cs="Arial"/>
                <w:lang w:eastAsia="ja-JP"/>
              </w:rPr>
              <w:t>Second dose reduction</w:t>
            </w:r>
          </w:p>
        </w:tc>
        <w:tc>
          <w:tcPr>
            <w:tcW w:w="4411" w:type="dxa"/>
          </w:tcPr>
          <w:p w14:paraId="5AB8CADF" w14:textId="77777777" w:rsidR="00BE3FB3" w:rsidRPr="00BE3FB3" w:rsidRDefault="00BE3FB3" w:rsidP="00BE3FB3">
            <w:pPr>
              <w:spacing w:before="100" w:beforeAutospacing="1" w:after="100" w:afterAutospacing="1"/>
              <w:ind w:leftChars="82" w:left="180"/>
              <w:jc w:val="center"/>
              <w:rPr>
                <w:rFonts w:asciiTheme="majorHAnsi" w:eastAsia="MS PGothic" w:hAnsiTheme="majorHAnsi" w:cs="Arial"/>
                <w:lang w:eastAsia="ja-JP"/>
              </w:rPr>
            </w:pPr>
            <w:r w:rsidRPr="00BE3FB3">
              <w:rPr>
                <w:rFonts w:asciiTheme="majorHAnsi" w:eastAsia="MS PGothic" w:hAnsiTheme="majorHAnsi" w:cs="Arial"/>
                <w:lang w:eastAsia="ja-JP"/>
              </w:rPr>
              <w:t>0.75 mg/kg up to 75 mg</w:t>
            </w:r>
          </w:p>
        </w:tc>
      </w:tr>
      <w:tr w:rsidR="00BE3FB3" w:rsidRPr="00BE3FB3" w14:paraId="118F7B51" w14:textId="77777777" w:rsidTr="00851E7A">
        <w:tc>
          <w:tcPr>
            <w:tcW w:w="4378" w:type="dxa"/>
          </w:tcPr>
          <w:p w14:paraId="3B96D977" w14:textId="77777777" w:rsidR="00BE3FB3" w:rsidRPr="00BE3FB3" w:rsidRDefault="00BE3FB3" w:rsidP="00BE3FB3">
            <w:pPr>
              <w:spacing w:before="100" w:beforeAutospacing="1" w:after="100" w:afterAutospacing="1"/>
              <w:ind w:leftChars="82" w:left="180"/>
              <w:rPr>
                <w:rFonts w:asciiTheme="majorHAnsi" w:eastAsia="MS PGothic" w:hAnsiTheme="majorHAnsi" w:cs="Arial"/>
                <w:lang w:eastAsia="ja-JP"/>
              </w:rPr>
            </w:pPr>
            <w:r w:rsidRPr="00BE3FB3">
              <w:rPr>
                <w:rFonts w:asciiTheme="majorHAnsi" w:eastAsia="MS PGothic" w:hAnsiTheme="majorHAnsi" w:cs="Arial"/>
                <w:lang w:eastAsia="ja-JP"/>
              </w:rPr>
              <w:t>Third dose reduction</w:t>
            </w:r>
          </w:p>
        </w:tc>
        <w:tc>
          <w:tcPr>
            <w:tcW w:w="4411" w:type="dxa"/>
          </w:tcPr>
          <w:p w14:paraId="25218246" w14:textId="77777777" w:rsidR="00BE3FB3" w:rsidRPr="00BE3FB3" w:rsidRDefault="00BE3FB3" w:rsidP="00BE3FB3">
            <w:pPr>
              <w:spacing w:before="100" w:beforeAutospacing="1" w:after="100" w:afterAutospacing="1"/>
              <w:ind w:leftChars="82" w:left="180"/>
              <w:jc w:val="center"/>
              <w:rPr>
                <w:rFonts w:asciiTheme="majorHAnsi" w:eastAsia="MS PGothic" w:hAnsiTheme="majorHAnsi" w:cs="Arial"/>
                <w:lang w:eastAsia="ja-JP"/>
              </w:rPr>
            </w:pPr>
            <w:r w:rsidRPr="00BE3FB3">
              <w:rPr>
                <w:rFonts w:asciiTheme="majorHAnsi" w:eastAsia="MS PGothic" w:hAnsiTheme="majorHAnsi" w:cs="Arial"/>
                <w:lang w:eastAsia="ja-JP"/>
              </w:rPr>
              <w:t>0.5 mg/kg up to 50 mg</w:t>
            </w:r>
          </w:p>
        </w:tc>
      </w:tr>
    </w:tbl>
    <w:p w14:paraId="487A9BA1" w14:textId="77777777" w:rsidR="00BE3FB3" w:rsidRPr="00BE3FB3" w:rsidRDefault="00BE3FB3" w:rsidP="00BE3FB3">
      <w:pPr>
        <w:spacing w:before="240" w:after="120"/>
        <w:rPr>
          <w:rFonts w:asciiTheme="majorHAnsi" w:eastAsia="MS PGothic" w:hAnsiTheme="majorHAnsi" w:cs="Calibri"/>
          <w:i/>
          <w:iCs/>
          <w:lang w:val="en-US" w:eastAsia="ja-JP"/>
        </w:rPr>
      </w:pPr>
      <w:r w:rsidRPr="00BE3FB3">
        <w:rPr>
          <w:rFonts w:asciiTheme="majorHAnsi" w:eastAsia="MS PGothic" w:hAnsiTheme="majorHAnsi" w:cs="Calibri"/>
          <w:i/>
          <w:iCs/>
          <w:lang w:val="en-US" w:eastAsia="ja-JP"/>
        </w:rPr>
        <w:t>Dose Modifications</w:t>
      </w:r>
    </w:p>
    <w:p w14:paraId="22B15B16" w14:textId="1D2D0ACB" w:rsidR="00BE3FB3" w:rsidRPr="00BE3FB3" w:rsidRDefault="00BE3FB3" w:rsidP="00BE3FB3">
      <w:pPr>
        <w:pStyle w:val="Caption"/>
        <w:keepNext/>
        <w:rPr>
          <w:rFonts w:asciiTheme="majorHAnsi" w:eastAsia="MS PGothic" w:hAnsiTheme="majorHAnsi" w:cs="Calibri"/>
          <w:bCs w:val="0"/>
          <w:lang w:val="en-US" w:eastAsia="ja-JP"/>
        </w:rPr>
      </w:pPr>
      <w:r w:rsidRPr="00BE3FB3">
        <w:rPr>
          <w:rFonts w:asciiTheme="majorHAnsi" w:eastAsia="MS PGothic" w:hAnsiTheme="majorHAnsi" w:cs="Calibri"/>
          <w:bCs w:val="0"/>
          <w:lang w:val="en-US" w:eastAsia="ja-JP"/>
        </w:rPr>
        <w:t xml:space="preserve">Table </w:t>
      </w:r>
      <w:r w:rsidRPr="00BE3FB3">
        <w:rPr>
          <w:rFonts w:asciiTheme="majorHAnsi" w:eastAsia="MS PGothic" w:hAnsiTheme="majorHAnsi" w:cs="Calibri"/>
          <w:bCs w:val="0"/>
          <w:lang w:val="en-US" w:eastAsia="ja-JP"/>
        </w:rPr>
        <w:fldChar w:fldCharType="begin"/>
      </w:r>
      <w:r w:rsidRPr="00BE3FB3">
        <w:rPr>
          <w:rFonts w:asciiTheme="majorHAnsi" w:eastAsia="MS PGothic" w:hAnsiTheme="majorHAnsi" w:cs="Calibri"/>
          <w:bCs w:val="0"/>
          <w:lang w:val="en-US" w:eastAsia="ja-JP"/>
        </w:rPr>
        <w:instrText xml:space="preserve"> SEQ Table \* ARABIC </w:instrText>
      </w:r>
      <w:r w:rsidRPr="00BE3FB3">
        <w:rPr>
          <w:rFonts w:asciiTheme="majorHAnsi" w:eastAsia="MS PGothic" w:hAnsiTheme="majorHAnsi" w:cs="Calibri"/>
          <w:bCs w:val="0"/>
          <w:lang w:val="en-US" w:eastAsia="ja-JP"/>
        </w:rPr>
        <w:fldChar w:fldCharType="separate"/>
      </w:r>
      <w:r w:rsidR="000F0B8F">
        <w:rPr>
          <w:rFonts w:asciiTheme="majorHAnsi" w:eastAsia="MS PGothic" w:hAnsiTheme="majorHAnsi" w:cs="Calibri"/>
          <w:bCs w:val="0"/>
          <w:noProof/>
          <w:lang w:val="en-US" w:eastAsia="ja-JP"/>
        </w:rPr>
        <w:t>2</w:t>
      </w:r>
      <w:r w:rsidRPr="00BE3FB3">
        <w:rPr>
          <w:rFonts w:asciiTheme="majorHAnsi" w:eastAsia="MS PGothic" w:hAnsiTheme="majorHAnsi" w:cs="Calibri"/>
          <w:bCs w:val="0"/>
          <w:lang w:val="en-US" w:eastAsia="ja-JP"/>
        </w:rPr>
        <w:fldChar w:fldCharType="end"/>
      </w:r>
      <w:r w:rsidRPr="00BE3FB3">
        <w:rPr>
          <w:rFonts w:asciiTheme="majorHAnsi" w:eastAsia="MS PGothic" w:hAnsiTheme="majorHAnsi" w:cs="Calibri"/>
          <w:bCs w:val="0"/>
          <w:lang w:val="en-US" w:eastAsia="ja-JP"/>
        </w:rPr>
        <w:t xml:space="preserve">. </w:t>
      </w:r>
      <w:r w:rsidR="00475C74">
        <w:rPr>
          <w:rFonts w:asciiTheme="majorHAnsi" w:eastAsia="MS PGothic" w:hAnsiTheme="majorHAnsi" w:cs="Calibri"/>
          <w:bCs w:val="0"/>
          <w:lang w:val="en-US" w:eastAsia="ja-JP"/>
        </w:rPr>
        <w:t>PADCEV</w:t>
      </w:r>
      <w:r w:rsidR="00475C74" w:rsidRPr="00BE3FB3">
        <w:rPr>
          <w:rFonts w:asciiTheme="majorHAnsi" w:eastAsia="MS PGothic" w:hAnsiTheme="majorHAnsi" w:cs="Calibri"/>
          <w:bCs w:val="0"/>
          <w:lang w:val="en-US" w:eastAsia="ja-JP"/>
        </w:rPr>
        <w:t xml:space="preserve"> </w:t>
      </w:r>
      <w:r w:rsidRPr="00BE3FB3">
        <w:rPr>
          <w:rFonts w:asciiTheme="majorHAnsi" w:eastAsia="MS PGothic" w:hAnsiTheme="majorHAnsi" w:cs="Calibri"/>
          <w:bCs w:val="0"/>
          <w:lang w:val="en-US" w:eastAsia="ja-JP"/>
        </w:rPr>
        <w:t xml:space="preserve">dose interruption, </w:t>
      </w:r>
      <w:proofErr w:type="gramStart"/>
      <w:r w:rsidRPr="00BE3FB3">
        <w:rPr>
          <w:rFonts w:asciiTheme="majorHAnsi" w:eastAsia="MS PGothic" w:hAnsiTheme="majorHAnsi" w:cs="Calibri"/>
          <w:bCs w:val="0"/>
          <w:lang w:val="en-US" w:eastAsia="ja-JP"/>
        </w:rPr>
        <w:t>reduction</w:t>
      </w:r>
      <w:proofErr w:type="gramEnd"/>
      <w:r w:rsidRPr="00BE3FB3">
        <w:rPr>
          <w:rFonts w:asciiTheme="majorHAnsi" w:eastAsia="MS PGothic" w:hAnsiTheme="majorHAnsi" w:cs="Calibri"/>
          <w:bCs w:val="0"/>
          <w:lang w:val="en-US" w:eastAsia="ja-JP"/>
        </w:rPr>
        <w:t xml:space="preserve"> and discontinuation recommendations in patients with LA or </w:t>
      </w:r>
      <w:proofErr w:type="spellStart"/>
      <w:r w:rsidRPr="00BE3FB3">
        <w:rPr>
          <w:rFonts w:asciiTheme="majorHAnsi" w:eastAsia="MS PGothic" w:hAnsiTheme="majorHAnsi" w:cs="Calibri"/>
          <w:bCs w:val="0"/>
          <w:lang w:val="en-US" w:eastAsia="ja-JP"/>
        </w:rPr>
        <w:t>mUC</w:t>
      </w:r>
      <w:proofErr w:type="spellEnd"/>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3219"/>
        <w:gridCol w:w="4063"/>
      </w:tblGrid>
      <w:tr w:rsidR="00BE3FB3" w:rsidRPr="00BE3FB3" w14:paraId="1EF95ABB" w14:textId="77777777" w:rsidTr="00BE3FB3">
        <w:trPr>
          <w:trHeight w:val="431"/>
          <w:jc w:val="center"/>
        </w:trPr>
        <w:tc>
          <w:tcPr>
            <w:tcW w:w="1861" w:type="dxa"/>
          </w:tcPr>
          <w:p w14:paraId="09002E8A" w14:textId="77777777" w:rsidR="00BE3FB3" w:rsidRPr="00BE3FB3" w:rsidRDefault="00BE3FB3" w:rsidP="00BE3FB3">
            <w:pPr>
              <w:spacing w:before="120" w:after="120"/>
              <w:rPr>
                <w:rFonts w:asciiTheme="majorHAnsi" w:eastAsia="MS Mincho" w:hAnsiTheme="majorHAnsi" w:cs="Times New Roman"/>
                <w:b/>
                <w:lang w:val="en-US" w:eastAsia="ja-JP"/>
              </w:rPr>
            </w:pPr>
            <w:r w:rsidRPr="00BE3FB3">
              <w:rPr>
                <w:rFonts w:asciiTheme="majorHAnsi" w:eastAsia="MS Mincho" w:hAnsiTheme="majorHAnsi" w:cs="Times New Roman"/>
                <w:b/>
                <w:lang w:val="en-US" w:eastAsia="ja-JP"/>
              </w:rPr>
              <w:t>Adverse Reaction</w:t>
            </w:r>
          </w:p>
        </w:tc>
        <w:tc>
          <w:tcPr>
            <w:tcW w:w="3219" w:type="dxa"/>
          </w:tcPr>
          <w:p w14:paraId="67062BE9" w14:textId="77777777" w:rsidR="00BE3FB3" w:rsidRPr="00BE3FB3" w:rsidRDefault="00BE3FB3" w:rsidP="00BE3FB3">
            <w:pPr>
              <w:spacing w:before="120" w:after="120"/>
              <w:rPr>
                <w:rFonts w:asciiTheme="majorHAnsi" w:eastAsia="MS Mincho" w:hAnsiTheme="majorHAnsi" w:cs="Times New Roman"/>
                <w:b/>
                <w:lang w:val="en-US" w:eastAsia="ja-JP"/>
              </w:rPr>
            </w:pPr>
            <w:r w:rsidRPr="00BE3FB3">
              <w:rPr>
                <w:rFonts w:asciiTheme="majorHAnsi" w:eastAsia="MS Mincho" w:hAnsiTheme="majorHAnsi" w:cs="Times New Roman"/>
                <w:b/>
                <w:lang w:val="en-US" w:eastAsia="ja-JP"/>
              </w:rPr>
              <w:t>Severity*</w:t>
            </w:r>
          </w:p>
        </w:tc>
        <w:tc>
          <w:tcPr>
            <w:tcW w:w="4063" w:type="dxa"/>
          </w:tcPr>
          <w:p w14:paraId="72CF8A4B" w14:textId="77777777" w:rsidR="00BE3FB3" w:rsidRPr="00BE3FB3" w:rsidRDefault="00BE3FB3" w:rsidP="00BE3FB3">
            <w:pPr>
              <w:spacing w:before="120" w:after="120"/>
              <w:rPr>
                <w:rFonts w:asciiTheme="majorHAnsi" w:eastAsia="MS Mincho" w:hAnsiTheme="majorHAnsi" w:cs="Times New Roman"/>
                <w:b/>
                <w:lang w:val="en-US" w:eastAsia="ja-JP"/>
              </w:rPr>
            </w:pPr>
            <w:r w:rsidRPr="00BE3FB3">
              <w:rPr>
                <w:rFonts w:asciiTheme="majorHAnsi" w:eastAsia="MS Mincho" w:hAnsiTheme="majorHAnsi" w:cs="Times New Roman"/>
                <w:b/>
                <w:lang w:val="en-US" w:eastAsia="ja-JP"/>
              </w:rPr>
              <w:t>Dose Modification*</w:t>
            </w:r>
          </w:p>
        </w:tc>
      </w:tr>
      <w:tr w:rsidR="005C1AE3" w:rsidRPr="00BE3FB3" w14:paraId="2F25FA3C" w14:textId="77777777" w:rsidTr="00BE3FB3">
        <w:trPr>
          <w:trHeight w:val="944"/>
          <w:jc w:val="center"/>
        </w:trPr>
        <w:tc>
          <w:tcPr>
            <w:tcW w:w="1861" w:type="dxa"/>
            <w:vMerge w:val="restart"/>
            <w:vAlign w:val="center"/>
          </w:tcPr>
          <w:p w14:paraId="400BBFF8" w14:textId="566CA5D6" w:rsidR="005C1AE3" w:rsidRPr="00BE3FB3" w:rsidRDefault="005C1AE3" w:rsidP="00BE3FB3">
            <w:pPr>
              <w:spacing w:after="0"/>
              <w:rPr>
                <w:rFonts w:asciiTheme="majorHAnsi" w:eastAsia="MS Mincho" w:hAnsiTheme="majorHAnsi" w:cs="Times New Roman"/>
                <w:b/>
                <w:lang w:val="en-US" w:eastAsia="ja-JP"/>
              </w:rPr>
            </w:pPr>
            <w:r w:rsidRPr="00BE3FB3">
              <w:rPr>
                <w:rFonts w:asciiTheme="majorHAnsi" w:eastAsia="MS Mincho" w:hAnsiTheme="majorHAnsi" w:cs="Times New Roman"/>
                <w:b/>
                <w:lang w:val="en-US" w:eastAsia="ja-JP"/>
              </w:rPr>
              <w:t>Skin Reactions</w:t>
            </w:r>
          </w:p>
        </w:tc>
        <w:tc>
          <w:tcPr>
            <w:tcW w:w="3219" w:type="dxa"/>
            <w:vAlign w:val="center"/>
          </w:tcPr>
          <w:p w14:paraId="1DD06D4E" w14:textId="539E45E0" w:rsidR="005C1AE3" w:rsidRPr="00BE3FB3" w:rsidRDefault="005C1AE3" w:rsidP="00BE3FB3">
            <w:pPr>
              <w:spacing w:after="0"/>
              <w:rPr>
                <w:rFonts w:asciiTheme="majorHAnsi" w:eastAsia="MS Mincho" w:hAnsiTheme="majorHAnsi" w:cs="Times New Roman"/>
                <w:lang w:val="en-US" w:eastAsia="ja-JP"/>
              </w:rPr>
            </w:pPr>
            <w:r w:rsidRPr="005C1AE3">
              <w:rPr>
                <w:rFonts w:asciiTheme="majorHAnsi" w:eastAsia="MS Mincho" w:hAnsiTheme="majorHAnsi" w:cs="Times New Roman"/>
                <w:lang w:val="en-US" w:eastAsia="ja-JP"/>
              </w:rPr>
              <w:t>Grade 2 worsening skin reactions</w:t>
            </w:r>
          </w:p>
        </w:tc>
        <w:tc>
          <w:tcPr>
            <w:tcW w:w="4063" w:type="dxa"/>
            <w:vAlign w:val="center"/>
          </w:tcPr>
          <w:p w14:paraId="5FFE0580" w14:textId="27543EBA" w:rsidR="005C1AE3" w:rsidRPr="00BE3FB3" w:rsidRDefault="005C1AE3" w:rsidP="00B462DF">
            <w:pPr>
              <w:spacing w:after="0"/>
              <w:rPr>
                <w:rFonts w:asciiTheme="majorHAnsi" w:eastAsia="MS Mincho" w:hAnsiTheme="majorHAnsi" w:cs="Times New Roman"/>
                <w:lang w:val="en-US" w:eastAsia="ja-JP"/>
              </w:rPr>
            </w:pPr>
            <w:r w:rsidRPr="005C1AE3">
              <w:rPr>
                <w:rFonts w:asciiTheme="majorHAnsi" w:eastAsia="MS Mincho" w:hAnsiTheme="majorHAnsi" w:cs="Times New Roman"/>
                <w:lang w:val="en-US" w:eastAsia="ja-JP"/>
              </w:rPr>
              <w:t xml:space="preserve">Consider withholding </w:t>
            </w:r>
            <w:r w:rsidR="0099507B">
              <w:rPr>
                <w:rFonts w:asciiTheme="majorHAnsi" w:eastAsia="MS Mincho" w:hAnsiTheme="majorHAnsi" w:cs="Times New Roman"/>
                <w:lang w:val="en-US" w:eastAsia="ja-JP"/>
              </w:rPr>
              <w:t>PADCEV</w:t>
            </w:r>
            <w:r w:rsidRPr="005C1AE3">
              <w:rPr>
                <w:rFonts w:asciiTheme="majorHAnsi" w:eastAsia="MS Mincho" w:hAnsiTheme="majorHAnsi" w:cs="Times New Roman"/>
                <w:lang w:val="en-US" w:eastAsia="ja-JP"/>
              </w:rPr>
              <w:t xml:space="preserve"> until toxicity is Grade ≤1</w:t>
            </w:r>
            <w:r w:rsidR="00475C74">
              <w:rPr>
                <w:rFonts w:asciiTheme="majorHAnsi" w:eastAsia="MS Mincho" w:hAnsiTheme="majorHAnsi" w:cs="Times New Roman"/>
                <w:lang w:val="en-US" w:eastAsia="ja-JP"/>
              </w:rPr>
              <w:t>.</w:t>
            </w:r>
          </w:p>
        </w:tc>
      </w:tr>
      <w:tr w:rsidR="003C73D9" w:rsidRPr="00BE3FB3" w14:paraId="5183B604" w14:textId="77777777" w:rsidTr="00BE3FB3">
        <w:trPr>
          <w:trHeight w:val="944"/>
          <w:jc w:val="center"/>
        </w:trPr>
        <w:tc>
          <w:tcPr>
            <w:tcW w:w="1861" w:type="dxa"/>
            <w:vMerge/>
            <w:vAlign w:val="center"/>
          </w:tcPr>
          <w:p w14:paraId="502D1AE3" w14:textId="77777777" w:rsidR="003C73D9" w:rsidRPr="00BE3FB3" w:rsidRDefault="003C73D9" w:rsidP="003C73D9">
            <w:pPr>
              <w:spacing w:after="0"/>
              <w:rPr>
                <w:rFonts w:asciiTheme="majorHAnsi" w:eastAsia="MS Mincho" w:hAnsiTheme="majorHAnsi" w:cs="Times New Roman"/>
                <w:b/>
                <w:lang w:val="en-US" w:eastAsia="ja-JP"/>
              </w:rPr>
            </w:pPr>
          </w:p>
        </w:tc>
        <w:tc>
          <w:tcPr>
            <w:tcW w:w="3219" w:type="dxa"/>
            <w:vAlign w:val="center"/>
          </w:tcPr>
          <w:p w14:paraId="6D6D4DAE" w14:textId="382C5FC4" w:rsidR="003C73D9" w:rsidRPr="005C1AE3" w:rsidRDefault="003C73D9" w:rsidP="003C73D9">
            <w:pPr>
              <w:spacing w:after="0"/>
              <w:rPr>
                <w:rFonts w:asciiTheme="majorHAnsi" w:eastAsia="MS Mincho" w:hAnsiTheme="majorHAnsi" w:cs="Times New Roman"/>
                <w:lang w:val="en-US" w:eastAsia="ja-JP"/>
              </w:rPr>
            </w:pPr>
            <w:r w:rsidRPr="00B462DF">
              <w:rPr>
                <w:rFonts w:asciiTheme="majorHAnsi" w:eastAsia="MS Mincho" w:hAnsiTheme="majorHAnsi" w:cs="Times New Roman"/>
                <w:lang w:val="en-US" w:eastAsia="ja-JP"/>
              </w:rPr>
              <w:t>Grade 3 (severe) skin reactions</w:t>
            </w:r>
          </w:p>
        </w:tc>
        <w:tc>
          <w:tcPr>
            <w:tcW w:w="4063" w:type="dxa"/>
            <w:vAlign w:val="center"/>
          </w:tcPr>
          <w:p w14:paraId="1549F68A" w14:textId="78A74844" w:rsidR="003C73D9" w:rsidRPr="005C1AE3" w:rsidRDefault="003C73D9" w:rsidP="003C73D9">
            <w:pPr>
              <w:spacing w:after="0"/>
              <w:rPr>
                <w:rFonts w:asciiTheme="majorHAnsi" w:eastAsia="MS Mincho" w:hAnsiTheme="majorHAnsi" w:cs="Times New Roman"/>
                <w:lang w:val="en-US" w:eastAsia="ja-JP"/>
              </w:rPr>
            </w:pPr>
            <w:r w:rsidRPr="00B462DF">
              <w:rPr>
                <w:rFonts w:asciiTheme="majorHAnsi" w:eastAsia="MS Mincho" w:hAnsiTheme="majorHAnsi" w:cs="Times New Roman"/>
                <w:lang w:val="en-US" w:eastAsia="ja-JP"/>
              </w:rPr>
              <w:t>Withhold until Grade ≤1, then resume at the same dose level or consider dose reduction by one dose level.</w:t>
            </w:r>
          </w:p>
        </w:tc>
      </w:tr>
      <w:tr w:rsidR="003C73D9" w:rsidRPr="00BE3FB3" w14:paraId="6E514F5C" w14:textId="77777777" w:rsidTr="003C73D9">
        <w:trPr>
          <w:trHeight w:val="1477"/>
          <w:jc w:val="center"/>
        </w:trPr>
        <w:tc>
          <w:tcPr>
            <w:tcW w:w="1861" w:type="dxa"/>
            <w:vMerge/>
            <w:vAlign w:val="center"/>
          </w:tcPr>
          <w:p w14:paraId="5F1A7898" w14:textId="44FBE2C0" w:rsidR="003C73D9" w:rsidRPr="00BE3FB3" w:rsidRDefault="003C73D9" w:rsidP="003C73D9">
            <w:pPr>
              <w:spacing w:after="0"/>
              <w:rPr>
                <w:rFonts w:asciiTheme="majorHAnsi" w:eastAsia="MS Mincho" w:hAnsiTheme="majorHAnsi" w:cs="Times New Roman"/>
                <w:b/>
                <w:lang w:val="en-US" w:eastAsia="ja-JP"/>
              </w:rPr>
            </w:pPr>
          </w:p>
        </w:tc>
        <w:tc>
          <w:tcPr>
            <w:tcW w:w="3219" w:type="dxa"/>
            <w:vAlign w:val="center"/>
          </w:tcPr>
          <w:p w14:paraId="1591560F" w14:textId="5492EC06" w:rsidR="003C73D9" w:rsidRPr="00BE3FB3" w:rsidRDefault="003C73D9" w:rsidP="003C73D9">
            <w:pPr>
              <w:spacing w:after="0"/>
              <w:rPr>
                <w:rFonts w:asciiTheme="majorHAnsi" w:eastAsia="MS Mincho" w:hAnsiTheme="majorHAnsi" w:cs="Times New Roman"/>
                <w:lang w:val="en-US"/>
              </w:rPr>
            </w:pPr>
            <w:r w:rsidRPr="00BE3FB3">
              <w:rPr>
                <w:rFonts w:asciiTheme="majorHAnsi" w:eastAsia="MS Mincho" w:hAnsiTheme="majorHAnsi" w:cs="Times New Roman"/>
                <w:lang w:val="en-US" w:eastAsia="ja-JP"/>
              </w:rPr>
              <w:t>Suspected Stevens-Johnson syndrome (SJS) or toxic epidermal necrolysis (TEN)</w:t>
            </w:r>
          </w:p>
        </w:tc>
        <w:tc>
          <w:tcPr>
            <w:tcW w:w="4063" w:type="dxa"/>
            <w:vAlign w:val="center"/>
          </w:tcPr>
          <w:p w14:paraId="15A48951" w14:textId="12A1206C" w:rsidR="003C73D9" w:rsidRDefault="003C73D9" w:rsidP="003C73D9">
            <w:pPr>
              <w:spacing w:after="0"/>
              <w:rPr>
                <w:rFonts w:asciiTheme="majorHAnsi" w:eastAsia="MS Mincho" w:hAnsiTheme="majorHAnsi" w:cs="Times New Roman"/>
                <w:lang w:val="en-US"/>
              </w:rPr>
            </w:pPr>
            <w:r w:rsidRPr="00B462DF">
              <w:rPr>
                <w:rFonts w:asciiTheme="majorHAnsi" w:eastAsia="MS Mincho" w:hAnsiTheme="majorHAnsi" w:cs="Times New Roman"/>
                <w:lang w:val="en-US"/>
              </w:rPr>
              <w:t>Immediately withhold until diagnosis established.</w:t>
            </w:r>
          </w:p>
          <w:p w14:paraId="0D9D8057" w14:textId="65F73285" w:rsidR="003C73D9" w:rsidRPr="00BE3FB3" w:rsidRDefault="003C73D9" w:rsidP="00475C74">
            <w:pPr>
              <w:spacing w:after="0"/>
              <w:rPr>
                <w:rFonts w:asciiTheme="majorHAnsi" w:eastAsia="MS Mincho" w:hAnsiTheme="majorHAnsi" w:cs="Times New Roman"/>
                <w:lang w:val="en-US"/>
              </w:rPr>
            </w:pPr>
            <w:r w:rsidRPr="00B462DF">
              <w:rPr>
                <w:rFonts w:asciiTheme="majorHAnsi" w:eastAsia="MS Mincho" w:hAnsiTheme="majorHAnsi" w:cs="Times New Roman"/>
                <w:lang w:val="en-US"/>
              </w:rPr>
              <w:t>If not SJS/TEN see Grade 3 skin reactions</w:t>
            </w:r>
            <w:r w:rsidR="00475C74">
              <w:rPr>
                <w:rFonts w:asciiTheme="majorHAnsi" w:eastAsia="MS Mincho" w:hAnsiTheme="majorHAnsi" w:cs="Times New Roman"/>
                <w:lang w:val="en-US"/>
              </w:rPr>
              <w:t>.</w:t>
            </w:r>
          </w:p>
        </w:tc>
      </w:tr>
      <w:tr w:rsidR="003C73D9" w:rsidRPr="00BE3FB3" w14:paraId="3334B9A9" w14:textId="77777777" w:rsidTr="00BE3FB3">
        <w:trPr>
          <w:trHeight w:val="944"/>
          <w:jc w:val="center"/>
        </w:trPr>
        <w:tc>
          <w:tcPr>
            <w:tcW w:w="1861" w:type="dxa"/>
            <w:vMerge/>
          </w:tcPr>
          <w:p w14:paraId="405E80BF" w14:textId="77777777" w:rsidR="003C73D9" w:rsidRPr="00BE3FB3" w:rsidRDefault="003C73D9" w:rsidP="003C73D9">
            <w:pPr>
              <w:spacing w:after="0"/>
              <w:rPr>
                <w:rFonts w:asciiTheme="majorHAnsi" w:eastAsia="MS Mincho" w:hAnsiTheme="majorHAnsi" w:cs="Times New Roman"/>
                <w:b/>
                <w:lang w:val="en-US" w:eastAsia="ja-JP"/>
              </w:rPr>
            </w:pPr>
          </w:p>
        </w:tc>
        <w:tc>
          <w:tcPr>
            <w:tcW w:w="3219" w:type="dxa"/>
            <w:vAlign w:val="center"/>
          </w:tcPr>
          <w:p w14:paraId="047DF0D6" w14:textId="77777777" w:rsidR="003C73D9" w:rsidRPr="00BE3FB3" w:rsidRDefault="003C73D9" w:rsidP="003C73D9">
            <w:pPr>
              <w:spacing w:after="0"/>
              <w:rPr>
                <w:rFonts w:asciiTheme="majorHAnsi" w:eastAsia="MS Mincho" w:hAnsiTheme="majorHAnsi" w:cs="Times New Roman"/>
                <w:lang w:val="en-US"/>
              </w:rPr>
            </w:pPr>
            <w:r w:rsidRPr="00BE3FB3">
              <w:rPr>
                <w:rFonts w:asciiTheme="majorHAnsi" w:eastAsia="MS Mincho" w:hAnsiTheme="majorHAnsi" w:cs="Times New Roman"/>
                <w:lang w:val="en-US" w:eastAsia="ja-JP"/>
              </w:rPr>
              <w:t>Confirmed SJS or TEN; Grade 4 or recurrent Grade 3</w:t>
            </w:r>
          </w:p>
        </w:tc>
        <w:tc>
          <w:tcPr>
            <w:tcW w:w="4063" w:type="dxa"/>
            <w:vAlign w:val="center"/>
          </w:tcPr>
          <w:p w14:paraId="6E8D0639" w14:textId="77777777" w:rsidR="003C73D9" w:rsidRPr="00BE3FB3" w:rsidRDefault="003C73D9" w:rsidP="003C73D9">
            <w:pPr>
              <w:spacing w:after="0"/>
              <w:rPr>
                <w:rFonts w:asciiTheme="majorHAnsi" w:eastAsia="MS Mincho" w:hAnsiTheme="majorHAnsi" w:cs="Times New Roman"/>
                <w:lang w:val="en-US"/>
              </w:rPr>
            </w:pPr>
            <w:r w:rsidRPr="00BE3FB3">
              <w:rPr>
                <w:rFonts w:asciiTheme="majorHAnsi" w:eastAsia="MS Mincho" w:hAnsiTheme="majorHAnsi" w:cs="Times New Roman"/>
                <w:lang w:val="en-US" w:eastAsia="ja-JP"/>
              </w:rPr>
              <w:t>Permanently discontinue.</w:t>
            </w:r>
          </w:p>
        </w:tc>
      </w:tr>
      <w:tr w:rsidR="003C73D9" w:rsidRPr="00BE3FB3" w14:paraId="56792B73" w14:textId="77777777" w:rsidTr="00BE3FB3">
        <w:trPr>
          <w:trHeight w:val="944"/>
          <w:jc w:val="center"/>
        </w:trPr>
        <w:tc>
          <w:tcPr>
            <w:tcW w:w="1861" w:type="dxa"/>
            <w:vAlign w:val="center"/>
          </w:tcPr>
          <w:p w14:paraId="08C3531A" w14:textId="18CA873A" w:rsidR="003C73D9" w:rsidRPr="00BE3FB3" w:rsidRDefault="003C73D9" w:rsidP="003C73D9">
            <w:pPr>
              <w:spacing w:after="0"/>
              <w:rPr>
                <w:rFonts w:asciiTheme="majorHAnsi" w:eastAsia="MS Mincho" w:hAnsiTheme="majorHAnsi" w:cs="Times New Roman"/>
                <w:b/>
                <w:lang w:val="en-US" w:eastAsia="ja-JP"/>
              </w:rPr>
            </w:pPr>
            <w:proofErr w:type="spellStart"/>
            <w:r w:rsidRPr="00BE3FB3">
              <w:rPr>
                <w:rFonts w:asciiTheme="majorHAnsi" w:eastAsia="MS Mincho" w:hAnsiTheme="majorHAnsi" w:cs="Times New Roman"/>
                <w:b/>
                <w:lang w:val="en-US" w:eastAsia="ja-JP"/>
              </w:rPr>
              <w:t>Hyperglycaemia</w:t>
            </w:r>
            <w:proofErr w:type="spellEnd"/>
          </w:p>
        </w:tc>
        <w:tc>
          <w:tcPr>
            <w:tcW w:w="3219" w:type="dxa"/>
            <w:vAlign w:val="center"/>
          </w:tcPr>
          <w:p w14:paraId="4857C398" w14:textId="77777777" w:rsidR="003C73D9" w:rsidRPr="00BE3FB3" w:rsidRDefault="003C73D9" w:rsidP="003C73D9">
            <w:pPr>
              <w:spacing w:after="0"/>
              <w:rPr>
                <w:rFonts w:asciiTheme="majorHAnsi" w:eastAsia="MS Mincho" w:hAnsiTheme="majorHAnsi" w:cs="Times New Roman"/>
                <w:lang w:val="en-US"/>
              </w:rPr>
            </w:pPr>
            <w:r w:rsidRPr="00BE3FB3">
              <w:rPr>
                <w:rFonts w:asciiTheme="majorHAnsi" w:eastAsia="MS Mincho" w:hAnsiTheme="majorHAnsi" w:cs="Times New Roman"/>
                <w:lang w:val="en-US"/>
              </w:rPr>
              <w:t>Blood glucose</w:t>
            </w:r>
          </w:p>
          <w:p w14:paraId="69F76C11" w14:textId="77777777" w:rsidR="003C73D9" w:rsidRPr="00BE3FB3" w:rsidRDefault="003C73D9" w:rsidP="003C73D9">
            <w:pPr>
              <w:spacing w:after="0"/>
              <w:rPr>
                <w:rFonts w:asciiTheme="majorHAnsi" w:eastAsia="MS Mincho" w:hAnsiTheme="majorHAnsi" w:cs="Times New Roman"/>
                <w:lang w:val="en-US" w:eastAsia="ja-JP"/>
              </w:rPr>
            </w:pPr>
            <w:r w:rsidRPr="00BE3FB3">
              <w:rPr>
                <w:rFonts w:asciiTheme="majorHAnsi" w:eastAsia="MS Mincho" w:hAnsiTheme="majorHAnsi" w:cs="Times New Roman"/>
                <w:lang w:val="en-US"/>
              </w:rPr>
              <w:t>&gt;13.9 mmol/L (&gt;250 mg/dL)</w:t>
            </w:r>
          </w:p>
        </w:tc>
        <w:tc>
          <w:tcPr>
            <w:tcW w:w="4063" w:type="dxa"/>
            <w:vAlign w:val="center"/>
          </w:tcPr>
          <w:p w14:paraId="53F9BDD0" w14:textId="575A070F" w:rsidR="003C73D9" w:rsidRDefault="003C73D9" w:rsidP="003C73D9">
            <w:pPr>
              <w:spacing w:after="0"/>
              <w:rPr>
                <w:rFonts w:asciiTheme="majorHAnsi" w:eastAsia="MS Mincho" w:hAnsiTheme="majorHAnsi" w:cs="Times New Roman"/>
                <w:lang w:val="en-US"/>
              </w:rPr>
            </w:pPr>
            <w:r w:rsidRPr="00BE3FB3">
              <w:rPr>
                <w:rFonts w:asciiTheme="majorHAnsi" w:eastAsia="MS Mincho" w:hAnsiTheme="majorHAnsi" w:cs="Times New Roman"/>
                <w:lang w:val="en-US"/>
              </w:rPr>
              <w:t>Withhold until elevated blood glucose has improved to ≤13.9</w:t>
            </w:r>
            <w:r>
              <w:rPr>
                <w:rFonts w:asciiTheme="majorHAnsi" w:eastAsia="MS Mincho" w:hAnsiTheme="majorHAnsi" w:cs="Times New Roman"/>
                <w:lang w:val="en-US"/>
              </w:rPr>
              <w:t> </w:t>
            </w:r>
            <w:r w:rsidRPr="00BE3FB3">
              <w:rPr>
                <w:rFonts w:asciiTheme="majorHAnsi" w:eastAsia="MS Mincho" w:hAnsiTheme="majorHAnsi" w:cs="Times New Roman"/>
                <w:lang w:val="en-US"/>
              </w:rPr>
              <w:t>mmol/L (≤250 mg/dL)</w:t>
            </w:r>
            <w:r w:rsidR="00475C74">
              <w:rPr>
                <w:rFonts w:asciiTheme="majorHAnsi" w:eastAsia="MS Mincho" w:hAnsiTheme="majorHAnsi" w:cs="Times New Roman"/>
                <w:lang w:val="en-US"/>
              </w:rPr>
              <w:t>.</w:t>
            </w:r>
          </w:p>
          <w:p w14:paraId="25C936CB" w14:textId="77777777" w:rsidR="003C73D9" w:rsidRPr="00BE3FB3" w:rsidRDefault="003C73D9" w:rsidP="003C73D9">
            <w:pPr>
              <w:spacing w:after="0"/>
              <w:rPr>
                <w:rFonts w:asciiTheme="majorHAnsi" w:eastAsia="MS Mincho" w:hAnsiTheme="majorHAnsi" w:cs="Times New Roman"/>
                <w:lang w:val="en-US"/>
              </w:rPr>
            </w:pPr>
          </w:p>
          <w:p w14:paraId="2EF3B525" w14:textId="33CDB61F" w:rsidR="003C73D9" w:rsidRPr="00BE3FB3" w:rsidRDefault="003C73D9" w:rsidP="003C73D9">
            <w:pPr>
              <w:spacing w:after="0"/>
              <w:rPr>
                <w:rFonts w:asciiTheme="majorHAnsi" w:eastAsia="MS Mincho" w:hAnsiTheme="majorHAnsi" w:cs="Times New Roman"/>
                <w:lang w:val="en-US" w:eastAsia="ja-JP"/>
              </w:rPr>
            </w:pPr>
            <w:r w:rsidRPr="00BE3FB3">
              <w:rPr>
                <w:rFonts w:asciiTheme="majorHAnsi" w:eastAsia="MS Mincho" w:hAnsiTheme="majorHAnsi" w:cs="Times New Roman"/>
                <w:lang w:val="en-US"/>
              </w:rPr>
              <w:t>Resume treatment at the same dose level</w:t>
            </w:r>
            <w:r w:rsidR="00475C74">
              <w:rPr>
                <w:rFonts w:asciiTheme="majorHAnsi" w:eastAsia="MS Mincho" w:hAnsiTheme="majorHAnsi" w:cs="Times New Roman"/>
                <w:lang w:val="en-US"/>
              </w:rPr>
              <w:t>.</w:t>
            </w:r>
            <w:r w:rsidRPr="00BE3FB3">
              <w:rPr>
                <w:rFonts w:asciiTheme="majorHAnsi" w:eastAsia="MS Mincho" w:hAnsiTheme="majorHAnsi" w:cs="Times New Roman"/>
                <w:lang w:val="en-US"/>
              </w:rPr>
              <w:t xml:space="preserve"> </w:t>
            </w:r>
          </w:p>
        </w:tc>
      </w:tr>
      <w:tr w:rsidR="003C73D9" w:rsidRPr="00BE3FB3" w14:paraId="6E872E60" w14:textId="77777777" w:rsidTr="00BE3FB3">
        <w:trPr>
          <w:trHeight w:val="944"/>
          <w:jc w:val="center"/>
        </w:trPr>
        <w:tc>
          <w:tcPr>
            <w:tcW w:w="1861" w:type="dxa"/>
            <w:vMerge w:val="restart"/>
            <w:vAlign w:val="center"/>
          </w:tcPr>
          <w:p w14:paraId="47D2A2F5" w14:textId="058B3EB3" w:rsidR="003C73D9" w:rsidRPr="00BE3FB3" w:rsidRDefault="003C73D9" w:rsidP="003C73D9">
            <w:pPr>
              <w:spacing w:after="0"/>
              <w:rPr>
                <w:rFonts w:asciiTheme="majorHAnsi" w:eastAsia="MS Mincho" w:hAnsiTheme="majorHAnsi" w:cs="Times New Roman"/>
                <w:b/>
                <w:lang w:val="en-US" w:eastAsia="ja-JP"/>
              </w:rPr>
            </w:pPr>
            <w:r w:rsidRPr="00021C70">
              <w:rPr>
                <w:rFonts w:asciiTheme="majorHAnsi" w:eastAsia="MS Mincho" w:hAnsiTheme="majorHAnsi" w:cs="Times New Roman"/>
                <w:b/>
                <w:lang w:val="en-US" w:eastAsia="ja-JP"/>
              </w:rPr>
              <w:t>Pneumonitis</w:t>
            </w:r>
          </w:p>
        </w:tc>
        <w:tc>
          <w:tcPr>
            <w:tcW w:w="3219" w:type="dxa"/>
            <w:vAlign w:val="center"/>
          </w:tcPr>
          <w:p w14:paraId="76C27CD3" w14:textId="5D1C9BA4" w:rsidR="003C73D9" w:rsidRPr="00BE3FB3" w:rsidRDefault="003C73D9" w:rsidP="003C73D9">
            <w:pPr>
              <w:spacing w:after="0"/>
              <w:rPr>
                <w:rFonts w:asciiTheme="majorHAnsi" w:eastAsia="MS Mincho" w:hAnsiTheme="majorHAnsi" w:cs="Times New Roman"/>
                <w:lang w:val="en-US"/>
              </w:rPr>
            </w:pPr>
            <w:r>
              <w:rPr>
                <w:rFonts w:asciiTheme="majorHAnsi" w:eastAsia="MS Mincho" w:hAnsiTheme="majorHAnsi" w:cs="Times New Roman"/>
                <w:lang w:val="en-US"/>
              </w:rPr>
              <w:t>Grade 2</w:t>
            </w:r>
          </w:p>
        </w:tc>
        <w:tc>
          <w:tcPr>
            <w:tcW w:w="4063" w:type="dxa"/>
            <w:vAlign w:val="center"/>
          </w:tcPr>
          <w:p w14:paraId="1E3B931B" w14:textId="43B81BB0" w:rsidR="003C73D9" w:rsidRPr="00BE3FB3" w:rsidRDefault="003C73D9" w:rsidP="003C73D9">
            <w:pPr>
              <w:spacing w:after="0"/>
              <w:rPr>
                <w:rFonts w:asciiTheme="majorHAnsi" w:eastAsia="MS Mincho" w:hAnsiTheme="majorHAnsi" w:cs="Times New Roman"/>
                <w:lang w:val="en-US"/>
              </w:rPr>
            </w:pPr>
            <w:r w:rsidRPr="00021C70">
              <w:rPr>
                <w:rFonts w:asciiTheme="majorHAnsi" w:eastAsia="MS Mincho" w:hAnsiTheme="majorHAnsi" w:cs="Times New Roman"/>
                <w:lang w:val="en-US"/>
              </w:rPr>
              <w:t xml:space="preserve">Withhold until Grade </w:t>
            </w:r>
            <w:r w:rsidRPr="00F070A1">
              <w:rPr>
                <w:rFonts w:asciiTheme="majorHAnsi" w:eastAsia="MS Mincho" w:hAnsiTheme="majorHAnsi" w:cs="Times New Roman"/>
                <w:lang w:val="en-US"/>
              </w:rPr>
              <w:t>≤</w:t>
            </w:r>
            <w:r w:rsidRPr="00021C70">
              <w:rPr>
                <w:rFonts w:asciiTheme="majorHAnsi" w:eastAsia="MS Mincho" w:hAnsiTheme="majorHAnsi" w:cs="Times New Roman"/>
                <w:lang w:val="en-US"/>
              </w:rPr>
              <w:t>1 for</w:t>
            </w:r>
            <w:r>
              <w:rPr>
                <w:rFonts w:asciiTheme="majorHAnsi" w:eastAsia="MS Mincho" w:hAnsiTheme="majorHAnsi" w:cs="Times New Roman"/>
                <w:lang w:val="en-US"/>
              </w:rPr>
              <w:t xml:space="preserve"> </w:t>
            </w:r>
            <w:r w:rsidRPr="00021C70">
              <w:rPr>
                <w:rFonts w:asciiTheme="majorHAnsi" w:eastAsia="MS Mincho" w:hAnsiTheme="majorHAnsi" w:cs="Times New Roman"/>
                <w:lang w:val="en-US"/>
              </w:rPr>
              <w:t>persistent or recurrent Grade 2</w:t>
            </w:r>
            <w:r>
              <w:rPr>
                <w:rFonts w:asciiTheme="majorHAnsi" w:eastAsia="MS Mincho" w:hAnsiTheme="majorHAnsi" w:cs="Times New Roman"/>
                <w:lang w:val="en-US"/>
              </w:rPr>
              <w:t xml:space="preserve"> </w:t>
            </w:r>
            <w:r w:rsidRPr="00021C70">
              <w:rPr>
                <w:rFonts w:asciiTheme="majorHAnsi" w:eastAsia="MS Mincho" w:hAnsiTheme="majorHAnsi" w:cs="Times New Roman"/>
                <w:lang w:val="en-US"/>
              </w:rPr>
              <w:t>pneumonitis, consider dose</w:t>
            </w:r>
            <w:r>
              <w:rPr>
                <w:rFonts w:asciiTheme="majorHAnsi" w:eastAsia="MS Mincho" w:hAnsiTheme="majorHAnsi" w:cs="Times New Roman"/>
                <w:lang w:val="en-US"/>
              </w:rPr>
              <w:t xml:space="preserve"> </w:t>
            </w:r>
            <w:r w:rsidRPr="00021C70">
              <w:rPr>
                <w:rFonts w:asciiTheme="majorHAnsi" w:eastAsia="MS Mincho" w:hAnsiTheme="majorHAnsi" w:cs="Times New Roman"/>
                <w:lang w:val="en-US"/>
              </w:rPr>
              <w:t>reduction by one dose level.</w:t>
            </w:r>
          </w:p>
        </w:tc>
      </w:tr>
      <w:tr w:rsidR="003C73D9" w:rsidRPr="00BE3FB3" w14:paraId="1F06BBCC" w14:textId="77777777" w:rsidTr="00BE3FB3">
        <w:trPr>
          <w:trHeight w:val="944"/>
          <w:jc w:val="center"/>
        </w:trPr>
        <w:tc>
          <w:tcPr>
            <w:tcW w:w="1861" w:type="dxa"/>
            <w:vMerge/>
            <w:vAlign w:val="center"/>
          </w:tcPr>
          <w:p w14:paraId="2B199EEE" w14:textId="77777777" w:rsidR="003C73D9" w:rsidRPr="00BE3FB3" w:rsidRDefault="003C73D9" w:rsidP="003C73D9">
            <w:pPr>
              <w:spacing w:after="0"/>
              <w:rPr>
                <w:rFonts w:asciiTheme="majorHAnsi" w:eastAsia="MS Mincho" w:hAnsiTheme="majorHAnsi" w:cs="Times New Roman"/>
                <w:b/>
                <w:lang w:val="en-US" w:eastAsia="ja-JP"/>
              </w:rPr>
            </w:pPr>
          </w:p>
        </w:tc>
        <w:tc>
          <w:tcPr>
            <w:tcW w:w="3219" w:type="dxa"/>
            <w:vAlign w:val="center"/>
          </w:tcPr>
          <w:p w14:paraId="10F2DCF7" w14:textId="6862DD07" w:rsidR="003C73D9" w:rsidRPr="00BE3FB3" w:rsidRDefault="003C73D9" w:rsidP="003C73D9">
            <w:pPr>
              <w:spacing w:after="0"/>
              <w:rPr>
                <w:rFonts w:asciiTheme="majorHAnsi" w:eastAsia="MS Mincho" w:hAnsiTheme="majorHAnsi" w:cs="Times New Roman"/>
                <w:lang w:val="en-US"/>
              </w:rPr>
            </w:pPr>
            <w:r w:rsidRPr="00BE3FB3">
              <w:rPr>
                <w:rFonts w:asciiTheme="majorHAnsi" w:eastAsia="MS Mincho" w:hAnsiTheme="majorHAnsi" w:cs="Times New Roman"/>
                <w:lang w:val="en-US" w:eastAsia="ja-JP"/>
              </w:rPr>
              <w:t xml:space="preserve">Grade </w:t>
            </w:r>
            <w:r w:rsidRPr="00BE3FB3">
              <w:rPr>
                <w:rFonts w:asciiTheme="majorHAnsi" w:eastAsia="MS Mincho" w:hAnsiTheme="majorHAnsi" w:cs="Times New Roman"/>
                <w:lang w:val="en-US"/>
              </w:rPr>
              <w:t>≥3</w:t>
            </w:r>
          </w:p>
        </w:tc>
        <w:tc>
          <w:tcPr>
            <w:tcW w:w="4063" w:type="dxa"/>
            <w:vAlign w:val="center"/>
          </w:tcPr>
          <w:p w14:paraId="5013B4AA" w14:textId="4772DC66" w:rsidR="003C73D9" w:rsidRPr="00BE3FB3" w:rsidRDefault="003C73D9" w:rsidP="003C73D9">
            <w:pPr>
              <w:spacing w:after="0"/>
              <w:rPr>
                <w:rFonts w:asciiTheme="majorHAnsi" w:eastAsia="MS Mincho" w:hAnsiTheme="majorHAnsi" w:cs="Times New Roman"/>
                <w:lang w:val="en-US"/>
              </w:rPr>
            </w:pPr>
            <w:r w:rsidRPr="00021C70">
              <w:rPr>
                <w:rFonts w:asciiTheme="majorHAnsi" w:eastAsia="MS Mincho" w:hAnsiTheme="majorHAnsi" w:cs="Times New Roman"/>
                <w:lang w:val="en-US"/>
              </w:rPr>
              <w:t>Permanently discontinue.</w:t>
            </w:r>
          </w:p>
        </w:tc>
      </w:tr>
      <w:tr w:rsidR="003C73D9" w:rsidRPr="00BE3FB3" w14:paraId="64DA3926" w14:textId="77777777" w:rsidTr="00BE3FB3">
        <w:trPr>
          <w:trHeight w:val="944"/>
          <w:jc w:val="center"/>
        </w:trPr>
        <w:tc>
          <w:tcPr>
            <w:tcW w:w="1861" w:type="dxa"/>
            <w:vMerge w:val="restart"/>
            <w:vAlign w:val="center"/>
          </w:tcPr>
          <w:p w14:paraId="0184C0E9" w14:textId="77777777" w:rsidR="003C73D9" w:rsidRPr="00BE3FB3" w:rsidRDefault="003C73D9" w:rsidP="003C73D9">
            <w:pPr>
              <w:spacing w:after="0"/>
              <w:rPr>
                <w:rFonts w:asciiTheme="majorHAnsi" w:eastAsia="MS Mincho" w:hAnsiTheme="majorHAnsi" w:cs="Times New Roman"/>
                <w:b/>
                <w:lang w:val="en-US" w:eastAsia="ja-JP"/>
              </w:rPr>
            </w:pPr>
            <w:r w:rsidRPr="00BE3FB3">
              <w:rPr>
                <w:rFonts w:asciiTheme="majorHAnsi" w:eastAsia="MS Mincho" w:hAnsiTheme="majorHAnsi" w:cs="Times New Roman"/>
                <w:b/>
                <w:lang w:val="en-US" w:eastAsia="ja-JP"/>
              </w:rPr>
              <w:t>Peripheral Neuropathy</w:t>
            </w:r>
          </w:p>
        </w:tc>
        <w:tc>
          <w:tcPr>
            <w:tcW w:w="3219" w:type="dxa"/>
            <w:vAlign w:val="center"/>
          </w:tcPr>
          <w:p w14:paraId="5CE94DDC" w14:textId="77777777" w:rsidR="003C73D9" w:rsidRPr="00BE3FB3" w:rsidRDefault="003C73D9" w:rsidP="003C73D9">
            <w:pPr>
              <w:spacing w:after="0"/>
              <w:rPr>
                <w:rFonts w:asciiTheme="majorHAnsi" w:eastAsia="MS Mincho" w:hAnsiTheme="majorHAnsi" w:cs="Times New Roman"/>
                <w:lang w:val="en-US" w:eastAsia="ja-JP"/>
              </w:rPr>
            </w:pPr>
            <w:r w:rsidRPr="00BE3FB3">
              <w:rPr>
                <w:rFonts w:asciiTheme="majorHAnsi" w:eastAsia="MS Mincho" w:hAnsiTheme="majorHAnsi" w:cs="Times New Roman"/>
                <w:lang w:val="en-US" w:eastAsia="ja-JP"/>
              </w:rPr>
              <w:t>Grade 2</w:t>
            </w:r>
          </w:p>
        </w:tc>
        <w:tc>
          <w:tcPr>
            <w:tcW w:w="4063" w:type="dxa"/>
            <w:vAlign w:val="center"/>
          </w:tcPr>
          <w:p w14:paraId="7D5CD8FF" w14:textId="3347D460" w:rsidR="003C73D9" w:rsidRPr="00BE3FB3" w:rsidRDefault="003C73D9" w:rsidP="003C73D9">
            <w:pPr>
              <w:spacing w:after="0"/>
              <w:rPr>
                <w:rFonts w:asciiTheme="majorHAnsi" w:eastAsia="MS Mincho" w:hAnsiTheme="majorHAnsi" w:cs="Times New Roman"/>
                <w:lang w:val="en-US" w:eastAsia="ja-JP"/>
              </w:rPr>
            </w:pPr>
            <w:r w:rsidRPr="00BE3FB3">
              <w:rPr>
                <w:rFonts w:asciiTheme="majorHAnsi" w:eastAsia="MS Mincho" w:hAnsiTheme="majorHAnsi" w:cs="Times New Roman"/>
                <w:lang w:val="en-US" w:eastAsia="ja-JP"/>
              </w:rPr>
              <w:t xml:space="preserve">Withhold until </w:t>
            </w:r>
            <w:r w:rsidRPr="00BE3FB3">
              <w:rPr>
                <w:rFonts w:asciiTheme="majorHAnsi" w:eastAsia="MS Mincho" w:hAnsiTheme="majorHAnsi" w:cs="Times New Roman"/>
                <w:lang w:val="en-US"/>
              </w:rPr>
              <w:t>Grade ≤1</w:t>
            </w:r>
            <w:r>
              <w:rPr>
                <w:rFonts w:asciiTheme="majorHAnsi" w:eastAsia="MS Mincho" w:hAnsiTheme="majorHAnsi" w:cs="Times New Roman"/>
                <w:lang w:val="en-US"/>
              </w:rPr>
              <w:t>.</w:t>
            </w:r>
          </w:p>
          <w:p w14:paraId="6DFD9F67" w14:textId="65AB3D6A" w:rsidR="003C73D9" w:rsidRPr="00BE3FB3" w:rsidRDefault="003C73D9" w:rsidP="003C73D9">
            <w:pPr>
              <w:spacing w:after="0"/>
              <w:rPr>
                <w:rFonts w:asciiTheme="majorHAnsi" w:eastAsia="MS Mincho" w:hAnsiTheme="majorHAnsi" w:cs="Times New Roman"/>
                <w:lang w:val="en-US" w:eastAsia="ja-JP"/>
              </w:rPr>
            </w:pPr>
            <w:r w:rsidRPr="00BE3FB3">
              <w:rPr>
                <w:rFonts w:asciiTheme="majorHAnsi" w:eastAsia="MS Mincho" w:hAnsiTheme="majorHAnsi" w:cs="Times New Roman"/>
                <w:lang w:val="en-US"/>
              </w:rPr>
              <w:t>For first occurrence, resume treatment at the same dose level</w:t>
            </w:r>
            <w:r>
              <w:rPr>
                <w:rFonts w:asciiTheme="majorHAnsi" w:eastAsia="MS Mincho" w:hAnsiTheme="majorHAnsi" w:cs="Times New Roman"/>
                <w:lang w:val="en-US"/>
              </w:rPr>
              <w:t>.</w:t>
            </w:r>
          </w:p>
          <w:p w14:paraId="35D91A7F" w14:textId="4A65888E" w:rsidR="003C73D9" w:rsidRPr="00BE3FB3" w:rsidRDefault="003C73D9" w:rsidP="003C73D9">
            <w:pPr>
              <w:spacing w:after="0"/>
              <w:rPr>
                <w:rFonts w:asciiTheme="majorHAnsi" w:eastAsia="MS Mincho" w:hAnsiTheme="majorHAnsi" w:cs="Times New Roman"/>
                <w:lang w:val="en-US" w:eastAsia="ja-JP"/>
              </w:rPr>
            </w:pPr>
            <w:r w:rsidRPr="00BE3FB3">
              <w:rPr>
                <w:rFonts w:asciiTheme="majorHAnsi" w:eastAsia="MS Mincho" w:hAnsiTheme="majorHAnsi" w:cs="Times New Roman"/>
                <w:lang w:val="en-US"/>
              </w:rPr>
              <w:t>For a recurrence, withhold until Grade ≤1</w:t>
            </w:r>
            <w:r w:rsidR="00475C74" w:rsidRPr="00BE3FB3">
              <w:rPr>
                <w:rFonts w:asciiTheme="majorHAnsi" w:eastAsia="MS Mincho" w:hAnsiTheme="majorHAnsi" w:cs="Times New Roman"/>
                <w:lang w:val="en-US"/>
              </w:rPr>
              <w:t>,</w:t>
            </w:r>
            <w:r w:rsidRPr="00BE3FB3">
              <w:rPr>
                <w:rFonts w:asciiTheme="majorHAnsi" w:eastAsia="MS Mincho" w:hAnsiTheme="majorHAnsi" w:cs="Times New Roman"/>
                <w:lang w:val="en-US"/>
              </w:rPr>
              <w:t xml:space="preserve"> then resume treatment reduced by one dose level (see Table</w:t>
            </w:r>
            <w:r>
              <w:rPr>
                <w:rFonts w:asciiTheme="majorHAnsi" w:eastAsia="MS Mincho" w:hAnsiTheme="majorHAnsi" w:cs="Times New Roman"/>
                <w:lang w:val="en-US"/>
              </w:rPr>
              <w:t> </w:t>
            </w:r>
            <w:r w:rsidRPr="00BE3FB3">
              <w:rPr>
                <w:rFonts w:asciiTheme="majorHAnsi" w:eastAsia="MS Mincho" w:hAnsiTheme="majorHAnsi" w:cs="Times New Roman"/>
                <w:lang w:val="en-US"/>
              </w:rPr>
              <w:t>1)</w:t>
            </w:r>
            <w:r>
              <w:rPr>
                <w:rFonts w:asciiTheme="majorHAnsi" w:eastAsia="MS Mincho" w:hAnsiTheme="majorHAnsi" w:cs="Times New Roman"/>
                <w:lang w:val="en-US"/>
              </w:rPr>
              <w:t>.</w:t>
            </w:r>
          </w:p>
        </w:tc>
      </w:tr>
      <w:tr w:rsidR="003C73D9" w:rsidRPr="00BE3FB3" w14:paraId="75AF45B2" w14:textId="77777777" w:rsidTr="00BE3FB3">
        <w:trPr>
          <w:trHeight w:val="440"/>
          <w:jc w:val="center"/>
        </w:trPr>
        <w:tc>
          <w:tcPr>
            <w:tcW w:w="1861" w:type="dxa"/>
            <w:vMerge/>
          </w:tcPr>
          <w:p w14:paraId="22CF5DCB" w14:textId="77777777" w:rsidR="003C73D9" w:rsidRPr="00BE3FB3" w:rsidRDefault="003C73D9" w:rsidP="003C73D9">
            <w:pPr>
              <w:spacing w:after="0"/>
              <w:rPr>
                <w:rFonts w:asciiTheme="majorHAnsi" w:eastAsia="MS Mincho" w:hAnsiTheme="majorHAnsi" w:cs="Times New Roman"/>
                <w:b/>
                <w:lang w:val="en-US" w:eastAsia="ja-JP"/>
              </w:rPr>
            </w:pPr>
          </w:p>
        </w:tc>
        <w:tc>
          <w:tcPr>
            <w:tcW w:w="3219" w:type="dxa"/>
            <w:vAlign w:val="center"/>
          </w:tcPr>
          <w:p w14:paraId="084DF94F" w14:textId="77777777" w:rsidR="003C73D9" w:rsidRPr="00BE3FB3" w:rsidRDefault="003C73D9" w:rsidP="003C73D9">
            <w:pPr>
              <w:spacing w:after="0"/>
              <w:rPr>
                <w:rFonts w:asciiTheme="majorHAnsi" w:eastAsia="MS Mincho" w:hAnsiTheme="majorHAnsi" w:cs="Times New Roman"/>
                <w:lang w:val="en-US" w:eastAsia="ja-JP"/>
              </w:rPr>
            </w:pPr>
            <w:r w:rsidRPr="00BE3FB3">
              <w:rPr>
                <w:rFonts w:asciiTheme="majorHAnsi" w:eastAsia="MS Mincho" w:hAnsiTheme="majorHAnsi" w:cs="Times New Roman"/>
                <w:lang w:val="en-US" w:eastAsia="ja-JP"/>
              </w:rPr>
              <w:t xml:space="preserve">Grade </w:t>
            </w:r>
            <w:r w:rsidRPr="00BE3FB3">
              <w:rPr>
                <w:rFonts w:asciiTheme="majorHAnsi" w:eastAsia="MS Mincho" w:hAnsiTheme="majorHAnsi" w:cs="Times New Roman"/>
                <w:lang w:val="en-US"/>
              </w:rPr>
              <w:t>≥3</w:t>
            </w:r>
          </w:p>
        </w:tc>
        <w:tc>
          <w:tcPr>
            <w:tcW w:w="4063" w:type="dxa"/>
            <w:vAlign w:val="center"/>
          </w:tcPr>
          <w:p w14:paraId="326206E5" w14:textId="77777777" w:rsidR="003C73D9" w:rsidRPr="00BE3FB3" w:rsidRDefault="003C73D9" w:rsidP="003C73D9">
            <w:pPr>
              <w:spacing w:after="0"/>
              <w:rPr>
                <w:rFonts w:asciiTheme="majorHAnsi" w:eastAsia="MS Mincho" w:hAnsiTheme="majorHAnsi" w:cs="Times New Roman"/>
                <w:lang w:val="en-US" w:eastAsia="ja-JP"/>
              </w:rPr>
            </w:pPr>
            <w:r w:rsidRPr="00BE3FB3">
              <w:rPr>
                <w:rFonts w:asciiTheme="majorHAnsi" w:eastAsia="MS Mincho" w:hAnsiTheme="majorHAnsi" w:cs="Times New Roman"/>
                <w:lang w:val="en-US" w:eastAsia="ja-JP"/>
              </w:rPr>
              <w:t>Permanently discontinue.</w:t>
            </w:r>
          </w:p>
        </w:tc>
      </w:tr>
      <w:tr w:rsidR="003C73D9" w:rsidRPr="00BE3FB3" w14:paraId="233DA45E" w14:textId="77777777" w:rsidTr="00851E7A">
        <w:trPr>
          <w:jc w:val="center"/>
        </w:trPr>
        <w:tc>
          <w:tcPr>
            <w:tcW w:w="9143" w:type="dxa"/>
            <w:gridSpan w:val="3"/>
            <w:tcBorders>
              <w:left w:val="nil"/>
              <w:bottom w:val="nil"/>
              <w:right w:val="nil"/>
            </w:tcBorders>
          </w:tcPr>
          <w:p w14:paraId="6011BAF1" w14:textId="77777777" w:rsidR="003C73D9" w:rsidRPr="00BE3FB3" w:rsidRDefault="003C73D9" w:rsidP="003C73D9">
            <w:pPr>
              <w:rPr>
                <w:rFonts w:asciiTheme="majorHAnsi" w:eastAsia="Times New Roman" w:hAnsiTheme="majorHAnsi" w:cs="Times New Roman"/>
                <w:sz w:val="20"/>
                <w:szCs w:val="20"/>
              </w:rPr>
            </w:pPr>
            <w:r w:rsidRPr="00BE3FB3">
              <w:rPr>
                <w:rFonts w:asciiTheme="majorHAnsi" w:eastAsia="Times New Roman" w:hAnsiTheme="majorHAnsi" w:cs="Times New Roman"/>
                <w:sz w:val="20"/>
                <w:szCs w:val="20"/>
                <w:lang w:eastAsia="ko-KR"/>
              </w:rPr>
              <w:t>*Grade 1 is mild, Grade 2 is moderate, Grade 3 is severe, Grade 4 is life-threatening</w:t>
            </w:r>
          </w:p>
        </w:tc>
      </w:tr>
    </w:tbl>
    <w:p w14:paraId="1AD73ECD" w14:textId="77777777" w:rsidR="008B0E84" w:rsidRDefault="008B0E84" w:rsidP="00BE3FB3">
      <w:pPr>
        <w:rPr>
          <w:rFonts w:asciiTheme="majorHAnsi" w:eastAsia="MS PGothic" w:hAnsiTheme="majorHAnsi" w:cs="Calibri"/>
          <w:i/>
          <w:iCs/>
          <w:lang w:val="en-US" w:eastAsia="ja-JP"/>
        </w:rPr>
      </w:pPr>
    </w:p>
    <w:p w14:paraId="6FF08EC0" w14:textId="763CF02F" w:rsidR="00BE3FB3" w:rsidRPr="00BE3FB3" w:rsidRDefault="00BE3FB3" w:rsidP="00B462DF">
      <w:pPr>
        <w:keepNext/>
        <w:keepLines/>
        <w:rPr>
          <w:rFonts w:asciiTheme="majorHAnsi" w:eastAsia="MS PGothic" w:hAnsiTheme="majorHAnsi" w:cs="Calibri"/>
          <w:i/>
          <w:iCs/>
          <w:lang w:val="en-US" w:eastAsia="ja-JP"/>
        </w:rPr>
      </w:pPr>
      <w:r w:rsidRPr="00BE3FB3">
        <w:rPr>
          <w:rFonts w:asciiTheme="majorHAnsi" w:eastAsia="MS PGothic" w:hAnsiTheme="majorHAnsi" w:cs="Calibri"/>
          <w:i/>
          <w:iCs/>
          <w:lang w:val="en-US" w:eastAsia="ja-JP"/>
        </w:rPr>
        <w:lastRenderedPageBreak/>
        <w:t>Elderly</w:t>
      </w:r>
    </w:p>
    <w:p w14:paraId="7AA15428" w14:textId="77777777" w:rsidR="00BE3FB3" w:rsidRPr="00BE3FB3" w:rsidRDefault="00BE3FB3" w:rsidP="00B462DF">
      <w:pPr>
        <w:keepNext/>
        <w:keepLines/>
        <w:rPr>
          <w:rFonts w:asciiTheme="majorHAnsi" w:eastAsia="MS PGothic" w:hAnsiTheme="majorHAnsi" w:cs="Calibri"/>
          <w:lang w:val="en-US" w:eastAsia="ja-JP"/>
        </w:rPr>
      </w:pPr>
      <w:r w:rsidRPr="00BE3FB3">
        <w:rPr>
          <w:rFonts w:asciiTheme="majorHAnsi" w:eastAsia="MS PGothic" w:hAnsiTheme="majorHAnsi" w:cs="Calibri"/>
          <w:lang w:val="en-US" w:eastAsia="ja-JP"/>
        </w:rPr>
        <w:t>No dose adjustment is required in patients ≥65 years of age (see section 5.2 Pharmacokinetic properties).</w:t>
      </w:r>
    </w:p>
    <w:p w14:paraId="1A267ED7" w14:textId="77777777" w:rsidR="00BE3FB3" w:rsidRPr="00BE3FB3" w:rsidRDefault="00BE3FB3" w:rsidP="00863A70">
      <w:pPr>
        <w:keepNext/>
        <w:keepLines/>
        <w:rPr>
          <w:rFonts w:asciiTheme="majorHAnsi" w:eastAsia="MS PGothic" w:hAnsiTheme="majorHAnsi" w:cs="Calibri"/>
          <w:i/>
          <w:iCs/>
          <w:lang w:val="en-US" w:eastAsia="ja-JP"/>
        </w:rPr>
      </w:pPr>
      <w:r w:rsidRPr="00BE3FB3">
        <w:rPr>
          <w:rFonts w:asciiTheme="majorHAnsi" w:eastAsia="MS PGothic" w:hAnsiTheme="majorHAnsi" w:cs="Calibri"/>
          <w:i/>
          <w:iCs/>
          <w:lang w:val="en-US" w:eastAsia="ja-JP"/>
        </w:rPr>
        <w:t>Children</w:t>
      </w:r>
    </w:p>
    <w:p w14:paraId="51DCBEC5" w14:textId="77777777" w:rsidR="00BE3FB3" w:rsidRPr="00BE3FB3" w:rsidRDefault="00BE3FB3" w:rsidP="00863A70">
      <w:pPr>
        <w:keepNext/>
        <w:keepLines/>
        <w:rPr>
          <w:rFonts w:asciiTheme="majorHAnsi" w:eastAsia="MS PGothic" w:hAnsiTheme="majorHAnsi" w:cs="Calibri"/>
          <w:lang w:val="en-US" w:eastAsia="ja-JP"/>
        </w:rPr>
      </w:pPr>
      <w:r w:rsidRPr="00BE3FB3">
        <w:rPr>
          <w:rFonts w:asciiTheme="majorHAnsi" w:eastAsia="MS PGothic" w:hAnsiTheme="majorHAnsi" w:cs="Calibri"/>
          <w:lang w:val="en-US" w:eastAsia="ja-JP"/>
        </w:rPr>
        <w:t xml:space="preserve">The safety and efficacy of </w:t>
      </w:r>
      <w:r w:rsidRPr="00BE3FB3">
        <w:rPr>
          <w:rFonts w:asciiTheme="majorHAnsi" w:eastAsia="Times New Roman" w:hAnsiTheme="majorHAnsi"/>
          <w:lang w:bidi="th-TH"/>
        </w:rPr>
        <w:t>PADCEV</w:t>
      </w:r>
      <w:r w:rsidRPr="00BE3FB3">
        <w:rPr>
          <w:rFonts w:asciiTheme="majorHAnsi" w:eastAsia="MS PGothic" w:hAnsiTheme="majorHAnsi" w:cs="Calibri"/>
          <w:lang w:val="en-US" w:eastAsia="ja-JP"/>
        </w:rPr>
        <w:t xml:space="preserve"> in pediatric patients have not been established. </w:t>
      </w:r>
    </w:p>
    <w:p w14:paraId="1C8F5C0B" w14:textId="77777777" w:rsidR="00BE3FB3" w:rsidRPr="00BE3FB3" w:rsidRDefault="00BE3FB3" w:rsidP="00BE3FB3">
      <w:pPr>
        <w:keepNext/>
        <w:rPr>
          <w:rFonts w:asciiTheme="majorHAnsi" w:eastAsia="MS PGothic" w:hAnsiTheme="majorHAnsi" w:cs="Calibri"/>
          <w:i/>
          <w:iCs/>
          <w:lang w:val="en-US" w:eastAsia="ja-JP"/>
        </w:rPr>
      </w:pPr>
      <w:r w:rsidRPr="00BE3FB3">
        <w:rPr>
          <w:rFonts w:asciiTheme="majorHAnsi" w:eastAsia="MS PGothic" w:hAnsiTheme="majorHAnsi" w:cs="Calibri"/>
          <w:i/>
          <w:iCs/>
          <w:lang w:val="en-US" w:eastAsia="ja-JP"/>
        </w:rPr>
        <w:t>Patients with Renal Impairment</w:t>
      </w:r>
    </w:p>
    <w:p w14:paraId="42CAC89E" w14:textId="5BB9D617" w:rsidR="00BE3FB3" w:rsidRPr="005850BD" w:rsidRDefault="00BE3FB3" w:rsidP="00BE3FB3">
      <w:pPr>
        <w:rPr>
          <w:rFonts w:asciiTheme="majorHAnsi" w:eastAsia="MS PGothic" w:hAnsiTheme="majorHAnsi" w:cs="Calibri"/>
          <w:lang w:eastAsia="ja-JP"/>
        </w:rPr>
      </w:pPr>
      <w:r w:rsidRPr="00BE3FB3">
        <w:rPr>
          <w:rFonts w:asciiTheme="majorHAnsi" w:eastAsia="MS PGothic" w:hAnsiTheme="majorHAnsi" w:cs="Calibri"/>
          <w:lang w:val="en-US" w:eastAsia="ja-JP"/>
        </w:rPr>
        <w:t>No dose adjustment is necessary in patients with mild [creatinine clearance (</w:t>
      </w:r>
      <w:proofErr w:type="spellStart"/>
      <w:r w:rsidRPr="00BE3FB3">
        <w:rPr>
          <w:rFonts w:asciiTheme="majorHAnsi" w:eastAsia="MS PGothic" w:hAnsiTheme="majorHAnsi" w:cs="Calibri"/>
          <w:lang w:val="en-US" w:eastAsia="ja-JP"/>
        </w:rPr>
        <w:t>CrCL</w:t>
      </w:r>
      <w:proofErr w:type="spellEnd"/>
      <w:r w:rsidRPr="00BE3FB3">
        <w:rPr>
          <w:rFonts w:asciiTheme="majorHAnsi" w:eastAsia="MS PGothic" w:hAnsiTheme="majorHAnsi" w:cs="Calibri"/>
          <w:lang w:val="en-US" w:eastAsia="ja-JP"/>
        </w:rPr>
        <w:t>) &gt;60–90</w:t>
      </w:r>
      <w:r w:rsidR="008B0E84">
        <w:rPr>
          <w:rFonts w:asciiTheme="majorHAnsi" w:eastAsia="MS PGothic" w:hAnsiTheme="majorHAnsi" w:cs="Calibri"/>
          <w:lang w:val="en-US" w:eastAsia="ja-JP"/>
        </w:rPr>
        <w:t> </w:t>
      </w:r>
      <w:r w:rsidRPr="00BE3FB3">
        <w:rPr>
          <w:rFonts w:asciiTheme="majorHAnsi" w:eastAsia="MS PGothic" w:hAnsiTheme="majorHAnsi" w:cs="Calibri"/>
          <w:lang w:val="en-US" w:eastAsia="ja-JP"/>
        </w:rPr>
        <w:t>mL/min], moderate (</w:t>
      </w:r>
      <w:proofErr w:type="spellStart"/>
      <w:r w:rsidRPr="00BE3FB3">
        <w:rPr>
          <w:rFonts w:asciiTheme="majorHAnsi" w:eastAsia="MS PGothic" w:hAnsiTheme="majorHAnsi" w:cs="Calibri"/>
          <w:lang w:val="en-US" w:eastAsia="ja-JP"/>
        </w:rPr>
        <w:t>CrCL</w:t>
      </w:r>
      <w:proofErr w:type="spellEnd"/>
      <w:r w:rsidRPr="00BE3FB3">
        <w:rPr>
          <w:rFonts w:asciiTheme="majorHAnsi" w:eastAsia="MS PGothic" w:hAnsiTheme="majorHAnsi" w:cs="Calibri"/>
          <w:lang w:val="en-US" w:eastAsia="ja-JP"/>
        </w:rPr>
        <w:t xml:space="preserve"> 30–60 mL/min)</w:t>
      </w:r>
      <w:r w:rsidRPr="00BE3FB3" w:rsidDel="00143C86">
        <w:rPr>
          <w:rFonts w:asciiTheme="majorHAnsi" w:eastAsia="MS PGothic" w:hAnsiTheme="majorHAnsi" w:cs="Calibri"/>
          <w:lang w:val="en-US" w:eastAsia="ja-JP"/>
        </w:rPr>
        <w:t xml:space="preserve"> </w:t>
      </w:r>
      <w:r w:rsidRPr="00BE3FB3">
        <w:rPr>
          <w:rFonts w:asciiTheme="majorHAnsi" w:eastAsia="MS PGothic" w:hAnsiTheme="majorHAnsi" w:cs="Calibri"/>
          <w:lang w:val="en-US" w:eastAsia="ja-JP"/>
        </w:rPr>
        <w:t>or severe (</w:t>
      </w:r>
      <w:proofErr w:type="spellStart"/>
      <w:r w:rsidRPr="00BE3FB3">
        <w:rPr>
          <w:rFonts w:asciiTheme="majorHAnsi" w:eastAsia="MS PGothic" w:hAnsiTheme="majorHAnsi" w:cs="Calibri"/>
          <w:lang w:val="en-US" w:eastAsia="ja-JP"/>
        </w:rPr>
        <w:t>CrCL</w:t>
      </w:r>
      <w:proofErr w:type="spellEnd"/>
      <w:r w:rsidRPr="00BE3FB3">
        <w:rPr>
          <w:rFonts w:asciiTheme="majorHAnsi" w:eastAsia="MS PGothic" w:hAnsiTheme="majorHAnsi" w:cs="Calibri"/>
          <w:lang w:val="en-US" w:eastAsia="ja-JP"/>
        </w:rPr>
        <w:t xml:space="preserve"> </w:t>
      </w:r>
      <w:r w:rsidR="004605FF">
        <w:rPr>
          <w:rFonts w:asciiTheme="majorHAnsi" w:eastAsia="MS PGothic" w:hAnsiTheme="majorHAnsi" w:cs="Calibri"/>
          <w:lang w:val="en-US" w:eastAsia="ja-JP"/>
        </w:rPr>
        <w:t>15-</w:t>
      </w:r>
      <w:r w:rsidRPr="00BE3FB3">
        <w:rPr>
          <w:rFonts w:asciiTheme="majorHAnsi" w:eastAsia="MS PGothic" w:hAnsiTheme="majorHAnsi" w:cs="Calibri"/>
          <w:lang w:val="en-US" w:eastAsia="ja-JP"/>
        </w:rPr>
        <w:t>&lt;30 mL/min)</w:t>
      </w:r>
      <w:r w:rsidRPr="00BE3FB3" w:rsidDel="00143C86">
        <w:rPr>
          <w:rFonts w:asciiTheme="majorHAnsi" w:eastAsia="MS PGothic" w:hAnsiTheme="majorHAnsi" w:cs="Calibri"/>
          <w:lang w:val="en-US" w:eastAsia="ja-JP"/>
        </w:rPr>
        <w:t xml:space="preserve"> </w:t>
      </w:r>
      <w:r w:rsidRPr="00BE3FB3">
        <w:rPr>
          <w:rFonts w:asciiTheme="majorHAnsi" w:eastAsia="MS PGothic" w:hAnsiTheme="majorHAnsi" w:cs="Calibri"/>
          <w:lang w:val="en-US" w:eastAsia="ja-JP"/>
        </w:rPr>
        <w:t>renal impairment</w:t>
      </w:r>
      <w:r w:rsidR="005850BD">
        <w:rPr>
          <w:rFonts w:asciiTheme="majorHAnsi" w:eastAsia="MS PGothic" w:hAnsiTheme="majorHAnsi" w:cs="Calibri"/>
          <w:lang w:val="en-US" w:eastAsia="ja-JP"/>
        </w:rPr>
        <w:t>. PADCEV has not been evaluated in patients with end stage renal disease.</w:t>
      </w:r>
      <w:r w:rsidRPr="00BE3FB3">
        <w:rPr>
          <w:rFonts w:asciiTheme="majorHAnsi" w:eastAsia="MS PGothic" w:hAnsiTheme="majorHAnsi" w:cs="Calibri"/>
          <w:lang w:val="en-US" w:eastAsia="ja-JP"/>
        </w:rPr>
        <w:t xml:space="preserve"> (</w:t>
      </w:r>
      <w:proofErr w:type="gramStart"/>
      <w:r w:rsidRPr="00BE3FB3">
        <w:rPr>
          <w:rFonts w:asciiTheme="majorHAnsi" w:eastAsia="MS PGothic" w:hAnsiTheme="majorHAnsi" w:cs="Calibri"/>
          <w:lang w:val="en-US" w:eastAsia="ja-JP"/>
        </w:rPr>
        <w:t>see</w:t>
      </w:r>
      <w:proofErr w:type="gramEnd"/>
      <w:r w:rsidRPr="00BE3FB3">
        <w:rPr>
          <w:rFonts w:asciiTheme="majorHAnsi" w:eastAsia="MS PGothic" w:hAnsiTheme="majorHAnsi" w:cs="Calibri"/>
          <w:lang w:val="en-US" w:eastAsia="ja-JP"/>
        </w:rPr>
        <w:t xml:space="preserve"> section 5.2 Pharmacokinetic properties).</w:t>
      </w:r>
      <w:r w:rsidR="005850BD" w:rsidDel="005850BD">
        <w:rPr>
          <w:rFonts w:asciiTheme="majorHAnsi" w:eastAsia="MS PGothic" w:hAnsiTheme="majorHAnsi" w:cs="Calibri"/>
          <w:lang w:val="en-US" w:eastAsia="ja-JP"/>
        </w:rPr>
        <w:t xml:space="preserve"> </w:t>
      </w:r>
    </w:p>
    <w:p w14:paraId="787F3F32" w14:textId="77777777" w:rsidR="00BE3FB3" w:rsidRPr="00BE3FB3" w:rsidRDefault="00BE3FB3" w:rsidP="00BE3FB3">
      <w:pPr>
        <w:rPr>
          <w:rFonts w:asciiTheme="majorHAnsi" w:eastAsia="MS PGothic" w:hAnsiTheme="majorHAnsi" w:cs="Calibri"/>
          <w:i/>
          <w:iCs/>
          <w:lang w:val="en-US" w:eastAsia="ja-JP"/>
        </w:rPr>
      </w:pPr>
      <w:r w:rsidRPr="00BE3FB3">
        <w:rPr>
          <w:rFonts w:asciiTheme="majorHAnsi" w:eastAsia="MS PGothic" w:hAnsiTheme="majorHAnsi" w:cs="Calibri"/>
          <w:i/>
          <w:iCs/>
          <w:lang w:val="en-US" w:eastAsia="ja-JP"/>
        </w:rPr>
        <w:t>Patients with Hepatic Impairment</w:t>
      </w:r>
    </w:p>
    <w:p w14:paraId="44A84D49" w14:textId="74B0A82E" w:rsidR="00BE3FB3" w:rsidRPr="00BE3FB3" w:rsidRDefault="00BE3FB3" w:rsidP="007F283D">
      <w:pPr>
        <w:spacing w:before="240" w:after="120"/>
        <w:rPr>
          <w:rFonts w:asciiTheme="majorHAnsi" w:eastAsia="MS PGothic" w:hAnsiTheme="majorHAnsi" w:cs="Calibri"/>
          <w:lang w:val="en-US" w:eastAsia="ja-JP"/>
        </w:rPr>
      </w:pPr>
      <w:r w:rsidRPr="00BE3FB3">
        <w:rPr>
          <w:rFonts w:asciiTheme="majorHAnsi" w:eastAsia="MS PGothic" w:hAnsiTheme="majorHAnsi" w:cs="Calibri"/>
          <w:lang w:val="en-US" w:eastAsia="ja-JP"/>
        </w:rPr>
        <w:t>No dose adjustment is required in patients with mild hepatic impairment. PADCEV has only been evaluated in a limited number of patients with moderate hepatic impairment and has not been evaluated in patients with severe hepatic impairment</w:t>
      </w:r>
      <w:r w:rsidR="00474D97">
        <w:rPr>
          <w:rFonts w:asciiTheme="majorHAnsi" w:eastAsia="MS PGothic" w:hAnsiTheme="majorHAnsi" w:cs="Calibri"/>
          <w:lang w:val="en-US" w:eastAsia="ja-JP"/>
        </w:rPr>
        <w:t xml:space="preserve">. </w:t>
      </w:r>
      <w:r w:rsidR="00474D97" w:rsidRPr="00787C11">
        <w:rPr>
          <w:rFonts w:asciiTheme="majorHAnsi" w:eastAsia="MS PGothic" w:hAnsiTheme="majorHAnsi" w:cs="Calibri"/>
          <w:lang w:val="en-US" w:eastAsia="ja-JP"/>
        </w:rPr>
        <w:t>A</w:t>
      </w:r>
      <w:r w:rsidR="009B5742">
        <w:rPr>
          <w:rFonts w:asciiTheme="majorHAnsi" w:eastAsia="MS PGothic" w:hAnsiTheme="majorHAnsi" w:cs="Calibri"/>
          <w:lang w:val="en-US" w:eastAsia="ja-JP"/>
        </w:rPr>
        <w:t>s there is limited to no data available,</w:t>
      </w:r>
      <w:r w:rsidR="00474D97" w:rsidRPr="00787C11">
        <w:rPr>
          <w:rFonts w:asciiTheme="majorHAnsi" w:eastAsia="MS PGothic" w:hAnsiTheme="majorHAnsi" w:cs="Calibri"/>
          <w:lang w:val="en-US" w:eastAsia="ja-JP"/>
        </w:rPr>
        <w:t xml:space="preserve"> use PADCEV </w:t>
      </w:r>
      <w:r w:rsidR="009B5742">
        <w:rPr>
          <w:rFonts w:asciiTheme="majorHAnsi" w:eastAsia="MS PGothic" w:hAnsiTheme="majorHAnsi" w:cs="Calibri"/>
          <w:lang w:val="en-US" w:eastAsia="ja-JP"/>
        </w:rPr>
        <w:t>with caution</w:t>
      </w:r>
      <w:r w:rsidR="00474D97" w:rsidRPr="00787C11">
        <w:rPr>
          <w:rFonts w:asciiTheme="majorHAnsi" w:eastAsia="MS PGothic" w:hAnsiTheme="majorHAnsi" w:cs="Calibri"/>
          <w:lang w:val="en-US" w:eastAsia="ja-JP"/>
        </w:rPr>
        <w:t xml:space="preserve"> in patients with moderate or severe hepatic impairment (</w:t>
      </w:r>
      <w:r w:rsidR="00474D97" w:rsidRPr="00787C11" w:rsidDel="00DE12E2">
        <w:rPr>
          <w:rFonts w:asciiTheme="majorHAnsi" w:eastAsia="MS PGothic" w:hAnsiTheme="majorHAnsi" w:cs="Calibri"/>
          <w:lang w:val="en-US" w:eastAsia="ja-JP"/>
        </w:rPr>
        <w:t xml:space="preserve">total bilirubin &gt;1.5 x ULN and AST </w:t>
      </w:r>
      <w:r w:rsidR="0055707F">
        <w:rPr>
          <w:rFonts w:asciiTheme="majorHAnsi" w:eastAsia="MS PGothic" w:hAnsiTheme="majorHAnsi" w:cs="Calibri"/>
          <w:lang w:val="en-US" w:eastAsia="ja-JP"/>
        </w:rPr>
        <w:t xml:space="preserve">of </w:t>
      </w:r>
      <w:r w:rsidR="00474D97" w:rsidRPr="00787C11" w:rsidDel="00DE12E2">
        <w:rPr>
          <w:rFonts w:asciiTheme="majorHAnsi" w:eastAsia="MS PGothic" w:hAnsiTheme="majorHAnsi" w:cs="Calibri"/>
          <w:lang w:val="en-US" w:eastAsia="ja-JP"/>
        </w:rPr>
        <w:t>any</w:t>
      </w:r>
      <w:r w:rsidR="0055707F">
        <w:rPr>
          <w:rFonts w:asciiTheme="majorHAnsi" w:eastAsia="MS PGothic" w:hAnsiTheme="majorHAnsi" w:cs="Calibri"/>
          <w:lang w:val="en-US" w:eastAsia="ja-JP"/>
        </w:rPr>
        <w:t xml:space="preserve"> level</w:t>
      </w:r>
      <w:r w:rsidR="00474D97" w:rsidRPr="00787C11">
        <w:rPr>
          <w:rFonts w:asciiTheme="majorHAnsi" w:eastAsia="MS PGothic" w:hAnsiTheme="majorHAnsi" w:cs="Calibri"/>
          <w:lang w:val="en-US" w:eastAsia="ja-JP"/>
        </w:rPr>
        <w:t>)</w:t>
      </w:r>
      <w:r w:rsidRPr="00BE3FB3">
        <w:rPr>
          <w:rFonts w:asciiTheme="majorHAnsi" w:eastAsia="MS PGothic" w:hAnsiTheme="majorHAnsi" w:cs="Calibri"/>
          <w:lang w:val="en-US" w:eastAsia="ja-JP"/>
        </w:rPr>
        <w:t xml:space="preserve"> (see section 5.2 </w:t>
      </w:r>
      <w:r w:rsidRPr="0081265D">
        <w:rPr>
          <w:rFonts w:asciiTheme="majorHAnsi" w:eastAsia="MS PGothic" w:hAnsiTheme="majorHAnsi" w:cs="Calibri"/>
          <w:lang w:val="en-US" w:eastAsia="ja-JP"/>
        </w:rPr>
        <w:t>Pharmacokinetic properties</w:t>
      </w:r>
      <w:r w:rsidRPr="00BE3FB3">
        <w:rPr>
          <w:rFonts w:asciiTheme="majorHAnsi" w:eastAsia="MS PGothic" w:hAnsiTheme="majorHAnsi" w:cs="Calibri"/>
          <w:lang w:val="en-US" w:eastAsia="ja-JP"/>
        </w:rPr>
        <w:t>).</w:t>
      </w:r>
    </w:p>
    <w:p w14:paraId="5D619940" w14:textId="77777777" w:rsidR="00CF200B" w:rsidRPr="00CF200B" w:rsidRDefault="00CF200B" w:rsidP="00CF200B">
      <w:pPr>
        <w:spacing w:after="0" w:line="360" w:lineRule="auto"/>
        <w:rPr>
          <w:rFonts w:asciiTheme="majorHAnsi" w:eastAsia="Times New Roman" w:hAnsiTheme="majorHAnsi"/>
          <w:lang w:bidi="th-TH"/>
        </w:rPr>
      </w:pPr>
      <w:r w:rsidRPr="00CF200B">
        <w:rPr>
          <w:rFonts w:asciiTheme="majorHAnsi" w:eastAsia="Times New Roman" w:hAnsiTheme="majorHAnsi" w:cs="Times New Roman"/>
          <w:b/>
          <w:bCs/>
          <w:lang w:val="en-GB"/>
        </w:rPr>
        <w:t>Method of administration</w:t>
      </w:r>
      <w:r w:rsidRPr="00CF200B">
        <w:rPr>
          <w:rFonts w:asciiTheme="majorHAnsi" w:eastAsia="MS PGothic" w:hAnsiTheme="majorHAnsi" w:cs="Calibri"/>
          <w:u w:val="single"/>
          <w:lang w:val="en-US" w:eastAsia="ja-JP"/>
        </w:rPr>
        <w:t xml:space="preserve"> </w:t>
      </w:r>
    </w:p>
    <w:p w14:paraId="044103C5" w14:textId="77777777" w:rsidR="00CF200B" w:rsidRPr="00CF200B" w:rsidRDefault="00CF200B" w:rsidP="00CF200B">
      <w:pPr>
        <w:spacing w:before="100" w:beforeAutospacing="1" w:after="100" w:afterAutospacing="1" w:line="240" w:lineRule="auto"/>
        <w:rPr>
          <w:rFonts w:asciiTheme="majorHAnsi" w:eastAsia="MS PGothic" w:hAnsiTheme="majorHAnsi" w:cs="Calibri"/>
          <w:i/>
          <w:lang w:val="en-US" w:eastAsia="ja-JP"/>
        </w:rPr>
      </w:pPr>
      <w:r w:rsidRPr="00CF200B">
        <w:rPr>
          <w:rFonts w:asciiTheme="majorHAnsi" w:eastAsia="MS PGothic" w:hAnsiTheme="majorHAnsi" w:cs="Calibri"/>
          <w:i/>
          <w:lang w:val="en-US" w:eastAsia="ja-JP"/>
        </w:rPr>
        <w:t xml:space="preserve">Reconstitution in single-dose vial </w:t>
      </w:r>
    </w:p>
    <w:p w14:paraId="4D3A5609"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1. Follow procedures for proper handling and disposal of anticancer drugs. </w:t>
      </w:r>
    </w:p>
    <w:p w14:paraId="52037D52"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2. Use appropriate aseptic technique for reconstitution and preparation of dosing solutions. </w:t>
      </w:r>
    </w:p>
    <w:p w14:paraId="6AEB9BC3"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3. Calculate the recommended dose based on the patient’s weight to determine the number and strength (20 mg or 30 mg) of vials needed. </w:t>
      </w:r>
    </w:p>
    <w:p w14:paraId="6BC37409"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4. Reconstitute each vial as follows and, if possible, direct the stream of SWFI along the walls of the vial and not directly onto the lyophilized powder: </w:t>
      </w:r>
    </w:p>
    <w:p w14:paraId="44476233" w14:textId="77777777" w:rsidR="00CF200B" w:rsidRPr="00CF200B" w:rsidRDefault="00CF200B" w:rsidP="00CF200B">
      <w:pPr>
        <w:spacing w:before="100" w:beforeAutospacing="1" w:after="100" w:afterAutospacing="1" w:line="240" w:lineRule="auto"/>
        <w:ind w:leftChars="182" w:left="40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a. 20 mg vial:  Add 2.3 mL of SWFI, resulting in 10 mg/mL PADCEV.  </w:t>
      </w:r>
    </w:p>
    <w:p w14:paraId="018F0BC8" w14:textId="77777777" w:rsidR="00CF200B" w:rsidRPr="00CF200B" w:rsidRDefault="00CF200B" w:rsidP="00CF200B">
      <w:pPr>
        <w:spacing w:before="100" w:beforeAutospacing="1" w:after="100" w:afterAutospacing="1" w:line="240" w:lineRule="auto"/>
        <w:ind w:leftChars="182" w:left="40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b. 30 mg vial:  Add 3.3 mL of SWFI, resulting in 10 mg/mL PADCEV. </w:t>
      </w:r>
    </w:p>
    <w:p w14:paraId="67C3B58B"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5. Slowly swirl each vial until the contents are completely dissolved. Allow the reconstituted vial(s) to settle for at least 1 minute until the bubbles are gone. DO NOT SHAKE THE VIAL. </w:t>
      </w:r>
    </w:p>
    <w:p w14:paraId="5A18970C"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6. Visually inspect the solution for particulate matter and discoloration. The reconstituted solution should be clear to slightly opalescent, colorless to light yellow and free of visible particles. Discard any vial with visible particles or discoloration. </w:t>
      </w:r>
    </w:p>
    <w:p w14:paraId="7C678ED5"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lastRenderedPageBreak/>
        <w:t xml:space="preserve">7. Based upon the calculated dose amount, the reconstituted solution from the vial(s) should be added to the infusion bag immediately. This product does not contain a preservative. If not used immediately, reconstituted vials may be stored for up to 24 hours in refrigeration at 2 to 8°C. DO NOT FREEZE. Discard unused vials with reconstituted solution beyond the recommended storage time. </w:t>
      </w:r>
    </w:p>
    <w:p w14:paraId="2BDF7BAA" w14:textId="77777777" w:rsidR="00CF200B" w:rsidRPr="00CF200B" w:rsidRDefault="00CF200B" w:rsidP="00863A70">
      <w:pPr>
        <w:keepNext/>
        <w:keepLines/>
        <w:spacing w:before="100" w:beforeAutospacing="1" w:after="100" w:afterAutospacing="1" w:line="240" w:lineRule="auto"/>
        <w:rPr>
          <w:rFonts w:asciiTheme="majorHAnsi" w:eastAsia="MS PGothic" w:hAnsiTheme="majorHAnsi" w:cs="Calibri"/>
          <w:i/>
          <w:lang w:val="en-US" w:eastAsia="ja-JP"/>
        </w:rPr>
      </w:pPr>
      <w:r w:rsidRPr="00CF200B">
        <w:rPr>
          <w:rFonts w:asciiTheme="majorHAnsi" w:eastAsia="MS PGothic" w:hAnsiTheme="majorHAnsi" w:cs="Calibri"/>
          <w:i/>
          <w:lang w:val="en-US" w:eastAsia="ja-JP"/>
        </w:rPr>
        <w:t xml:space="preserve">Dilution in infusion bag </w:t>
      </w:r>
    </w:p>
    <w:p w14:paraId="3797ED05" w14:textId="77777777" w:rsidR="00CF200B" w:rsidRPr="00CF200B" w:rsidRDefault="00CF200B" w:rsidP="00863A70">
      <w:pPr>
        <w:keepNext/>
        <w:keepLines/>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8. Withdraw the calculated dose amount of reconstituted solution from the vial(s) and transfer into an infusion bag.  </w:t>
      </w:r>
    </w:p>
    <w:p w14:paraId="5A6C9E80"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9. Dilute PADCEV with 5% Dextrose Injection, 0.9% Sodium Chloride Injection or Lactated Ringer’s Injection. The infusion bag size should allow enough diluent to achieve a final concentration of 0.3 mg/mL to 4 mg/mL PADCEV.  </w:t>
      </w:r>
    </w:p>
    <w:p w14:paraId="14096B7F"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10. Mix diluted solution by gentle inversion. DO NOT SHAKE THE BAG.  </w:t>
      </w:r>
    </w:p>
    <w:p w14:paraId="486D9631"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11. Visually inspect the infusion bag for any particulate matter or discoloration prior to use. The reconstituted solution should be clear to slightly opalescent, colorless to light yellow and free of visible particles. DO NOT USE the infusion bag if particulate matter or discoloration is observed. </w:t>
      </w:r>
    </w:p>
    <w:p w14:paraId="2F27B257"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12. Discard any unused portion left in the single-dose vials. </w:t>
      </w:r>
    </w:p>
    <w:p w14:paraId="20F17399" w14:textId="43FEEBF3"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13. The prepared infusion bag should not be stored longer than 16 hours under refrigeration at 2°C to 8°C</w:t>
      </w:r>
      <w:r w:rsidR="00592438">
        <w:rPr>
          <w:rFonts w:asciiTheme="majorHAnsi" w:eastAsia="MS PGothic" w:hAnsiTheme="majorHAnsi" w:cs="Calibri"/>
          <w:lang w:val="en-US" w:eastAsia="ja-JP"/>
        </w:rPr>
        <w:t xml:space="preserve"> including infusion time</w:t>
      </w:r>
      <w:r w:rsidRPr="00CF200B">
        <w:rPr>
          <w:rFonts w:asciiTheme="majorHAnsi" w:eastAsia="MS PGothic" w:hAnsiTheme="majorHAnsi" w:cs="Calibri"/>
          <w:lang w:val="en-US" w:eastAsia="ja-JP"/>
        </w:rPr>
        <w:t>. DO NOT FREEZE.</w:t>
      </w:r>
    </w:p>
    <w:p w14:paraId="69EC6CB3" w14:textId="77777777" w:rsidR="00CF200B" w:rsidRPr="00CF200B" w:rsidRDefault="00CF200B" w:rsidP="00CF200B">
      <w:pPr>
        <w:spacing w:before="100" w:beforeAutospacing="1" w:after="100" w:afterAutospacing="1" w:line="240" w:lineRule="auto"/>
        <w:rPr>
          <w:rFonts w:asciiTheme="majorHAnsi" w:eastAsia="MS PGothic" w:hAnsiTheme="majorHAnsi" w:cs="Calibri"/>
          <w:i/>
          <w:lang w:val="en-US" w:eastAsia="ja-JP"/>
        </w:rPr>
      </w:pPr>
      <w:r w:rsidRPr="00CF200B">
        <w:rPr>
          <w:rFonts w:asciiTheme="majorHAnsi" w:eastAsia="MS PGothic" w:hAnsiTheme="majorHAnsi" w:cs="Calibri"/>
          <w:i/>
          <w:lang w:val="en-US" w:eastAsia="ja-JP"/>
        </w:rPr>
        <w:t xml:space="preserve">Administration </w:t>
      </w:r>
    </w:p>
    <w:p w14:paraId="2E13111B" w14:textId="77777777" w:rsidR="00CF200B"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14. Administer the infusion over 30 minutes through an intravenous line. DO NOT administer as an IV push or bolus. </w:t>
      </w:r>
    </w:p>
    <w:p w14:paraId="2C83F8E0" w14:textId="65F417F9" w:rsidR="00CD2383" w:rsidRPr="00CF200B" w:rsidRDefault="00CF200B" w:rsidP="00CF200B">
      <w:pPr>
        <w:spacing w:before="100" w:beforeAutospacing="1" w:after="100" w:afterAutospacing="1" w:line="240" w:lineRule="auto"/>
        <w:ind w:leftChars="82" w:left="180"/>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15. DO NOT co-administer other drugs through the same infusion line. </w:t>
      </w:r>
    </w:p>
    <w:p w14:paraId="5DEF6877" w14:textId="2DBD0EBF" w:rsidR="00CD2383" w:rsidRPr="009063E0" w:rsidRDefault="00CD2383" w:rsidP="008923BE">
      <w:pPr>
        <w:pStyle w:val="Heading2"/>
      </w:pPr>
      <w:r w:rsidRPr="009063E0">
        <w:t>Contraindications</w:t>
      </w:r>
    </w:p>
    <w:p w14:paraId="448774D2" w14:textId="25F0513F" w:rsidR="00CD2383" w:rsidRPr="008B0E84" w:rsidRDefault="00CF200B" w:rsidP="00CF200B">
      <w:pPr>
        <w:pStyle w:val="NormalWeb"/>
        <w:rPr>
          <w:rFonts w:asciiTheme="majorHAnsi" w:eastAsia="Times New Roman" w:hAnsiTheme="majorHAnsi"/>
          <w:sz w:val="22"/>
          <w:szCs w:val="22"/>
        </w:rPr>
      </w:pPr>
      <w:r w:rsidRPr="008B0E84">
        <w:rPr>
          <w:rFonts w:asciiTheme="majorHAnsi" w:eastAsia="Times New Roman" w:hAnsiTheme="majorHAnsi"/>
          <w:sz w:val="22"/>
          <w:szCs w:val="22"/>
        </w:rPr>
        <w:t xml:space="preserve">PADCEV is contraindicated in patients with known hypersensitivity to </w:t>
      </w:r>
      <w:proofErr w:type="spellStart"/>
      <w:r w:rsidRPr="008B0E84">
        <w:rPr>
          <w:rFonts w:asciiTheme="majorHAnsi" w:eastAsia="Times New Roman" w:hAnsiTheme="majorHAnsi"/>
          <w:sz w:val="22"/>
          <w:szCs w:val="22"/>
        </w:rPr>
        <w:t>enfortumab</w:t>
      </w:r>
      <w:proofErr w:type="spellEnd"/>
      <w:r w:rsidRPr="008B0E84">
        <w:rPr>
          <w:rFonts w:asciiTheme="majorHAnsi" w:eastAsia="Times New Roman" w:hAnsiTheme="majorHAnsi"/>
          <w:sz w:val="22"/>
          <w:szCs w:val="22"/>
        </w:rPr>
        <w:t xml:space="preserve"> </w:t>
      </w:r>
      <w:proofErr w:type="spellStart"/>
      <w:r w:rsidRPr="008B0E84">
        <w:rPr>
          <w:rFonts w:asciiTheme="majorHAnsi" w:eastAsia="Times New Roman" w:hAnsiTheme="majorHAnsi"/>
          <w:sz w:val="22"/>
          <w:szCs w:val="22"/>
        </w:rPr>
        <w:t>vedotin</w:t>
      </w:r>
      <w:proofErr w:type="spellEnd"/>
      <w:r w:rsidRPr="008B0E84">
        <w:rPr>
          <w:rFonts w:asciiTheme="majorHAnsi" w:eastAsia="Times New Roman" w:hAnsiTheme="majorHAnsi"/>
          <w:sz w:val="22"/>
          <w:szCs w:val="22"/>
        </w:rPr>
        <w:t xml:space="preserve"> or to any of the excipients in the formulation (Refer to Section 6.1 – List of excipients).</w:t>
      </w:r>
    </w:p>
    <w:p w14:paraId="1B998318" w14:textId="26427890" w:rsidR="00CD2383" w:rsidRPr="00FC060A" w:rsidRDefault="00CD2383" w:rsidP="0062486E">
      <w:pPr>
        <w:pStyle w:val="Heading2"/>
      </w:pPr>
      <w:r w:rsidRPr="00FC060A">
        <w:t>Special warnings and precautions for use</w:t>
      </w:r>
    </w:p>
    <w:p w14:paraId="6B46EB49" w14:textId="291B1100" w:rsidR="00CF200B" w:rsidRDefault="00CF200B" w:rsidP="00CF200B">
      <w:pPr>
        <w:pStyle w:val="Heading3"/>
      </w:pPr>
      <w:r w:rsidRPr="00CF200B">
        <w:t>Skin Reactions</w:t>
      </w:r>
    </w:p>
    <w:p w14:paraId="1ABD38DF" w14:textId="09A48CE2" w:rsidR="00CF200B" w:rsidRPr="00CF200B" w:rsidRDefault="00CF200B" w:rsidP="00CF200B">
      <w:pPr>
        <w:spacing w:before="100" w:beforeAutospacing="1" w:after="100" w:afterAutospacing="1"/>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Skin reactions are anticipated on-target events, as Nectin-4 is expressed in the skin. </w:t>
      </w:r>
    </w:p>
    <w:p w14:paraId="683B8579" w14:textId="77777777" w:rsidR="00CF200B" w:rsidRPr="00CF200B" w:rsidRDefault="00CF200B" w:rsidP="00CF200B">
      <w:pPr>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Skin reactions, predominantly mild to moderate maculopapular rash, have occurred with PADCEV. Severe cutaneous adverse reactions, including SJS and TEN, with fatal outcome have </w:t>
      </w:r>
      <w:r w:rsidRPr="00CF200B">
        <w:rPr>
          <w:rFonts w:asciiTheme="majorHAnsi" w:eastAsia="MS PGothic" w:hAnsiTheme="majorHAnsi" w:cs="Calibri"/>
          <w:lang w:val="en-US" w:eastAsia="ja-JP"/>
        </w:rPr>
        <w:lastRenderedPageBreak/>
        <w:t>also occurred in patients treated with PADCEV, predominantly during the first cycle of treatment.</w:t>
      </w:r>
    </w:p>
    <w:p w14:paraId="4E7C5137" w14:textId="62B40032" w:rsidR="00CF200B" w:rsidRPr="00CF200B" w:rsidRDefault="00CF200B" w:rsidP="00CF200B">
      <w:pPr>
        <w:rPr>
          <w:rFonts w:asciiTheme="majorHAnsi" w:eastAsia="MS PGothic" w:hAnsiTheme="majorHAnsi" w:cs="Calibri"/>
          <w:lang w:val="en-US" w:eastAsia="ja-JP"/>
        </w:rPr>
      </w:pPr>
      <w:r w:rsidRPr="00CF200B">
        <w:rPr>
          <w:rFonts w:asciiTheme="majorHAnsi" w:eastAsia="MS PGothic" w:hAnsiTheme="majorHAnsi" w:cs="Calibri"/>
          <w:lang w:val="en-US" w:eastAsia="ja-JP"/>
        </w:rPr>
        <w:t xml:space="preserve">Starting with the first cycle and throughout treatment, monitor patients for skin reactions. Consider appropriate treatment such as topical corticosteroids and antihistamines for mild to moderate skin reactions. </w:t>
      </w:r>
      <w:r w:rsidR="008F2A05" w:rsidRPr="008F2A05">
        <w:rPr>
          <w:rFonts w:asciiTheme="majorHAnsi" w:eastAsia="MS PGothic" w:hAnsiTheme="majorHAnsi" w:cs="Calibri"/>
          <w:lang w:val="en-US" w:eastAsia="ja-JP"/>
        </w:rPr>
        <w:t>For Grade 2 worsening skin reactions, consider withholding P</w:t>
      </w:r>
      <w:r w:rsidR="008F2A05">
        <w:rPr>
          <w:rFonts w:asciiTheme="majorHAnsi" w:eastAsia="MS PGothic" w:hAnsiTheme="majorHAnsi" w:cs="Calibri"/>
          <w:lang w:val="en-US" w:eastAsia="ja-JP"/>
        </w:rPr>
        <w:t>ADCEV</w:t>
      </w:r>
      <w:r w:rsidR="008F2A05" w:rsidRPr="008F2A05">
        <w:rPr>
          <w:rFonts w:asciiTheme="majorHAnsi" w:eastAsia="MS PGothic" w:hAnsiTheme="majorHAnsi" w:cs="Calibri"/>
          <w:lang w:val="en-US" w:eastAsia="ja-JP"/>
        </w:rPr>
        <w:t xml:space="preserve"> until toxicity is Grade ≤1. </w:t>
      </w:r>
      <w:r w:rsidRPr="00CF200B">
        <w:rPr>
          <w:rFonts w:asciiTheme="majorHAnsi" w:eastAsia="MS PGothic" w:hAnsiTheme="majorHAnsi" w:cs="Calibri"/>
          <w:lang w:val="en-US" w:eastAsia="ja-JP"/>
        </w:rPr>
        <w:t>For severe (Grade 3) skin reactions, suspected SJS or TEN, withhold PADCEV and consider referral for specialized care. Permanently discontinue PADCEV for confirmed SJS or TEN; Grade 4 or recurrent Grade 3 skin reactions (see section 4.2 Dose and method of administration).</w:t>
      </w:r>
    </w:p>
    <w:p w14:paraId="12449827" w14:textId="4D4ACCC8" w:rsidR="00CF200B" w:rsidRDefault="00CF200B" w:rsidP="00CF200B">
      <w:pPr>
        <w:pStyle w:val="Heading3"/>
      </w:pPr>
      <w:r w:rsidRPr="00CF200B">
        <w:t>Hyperglycaemia</w:t>
      </w:r>
    </w:p>
    <w:p w14:paraId="6C8DDC98" w14:textId="1517B4C2" w:rsidR="00CF200B" w:rsidRPr="00CF200B" w:rsidRDefault="00CF200B" w:rsidP="00CF200B">
      <w:pPr>
        <w:pStyle w:val="Heading3"/>
        <w:ind w:left="0"/>
        <w:rPr>
          <w:rFonts w:asciiTheme="majorHAnsi" w:eastAsia="MS PGothic" w:hAnsiTheme="majorHAnsi" w:cs="Calibri"/>
          <w:b w:val="0"/>
          <w:bCs w:val="0"/>
          <w:lang w:val="en-US" w:eastAsia="ja-JP"/>
        </w:rPr>
      </w:pPr>
      <w:proofErr w:type="spellStart"/>
      <w:r w:rsidRPr="00CF200B">
        <w:rPr>
          <w:rFonts w:asciiTheme="majorHAnsi" w:eastAsia="MS PGothic" w:hAnsiTheme="majorHAnsi" w:cs="Calibri"/>
          <w:b w:val="0"/>
          <w:bCs w:val="0"/>
          <w:lang w:val="en-US" w:eastAsia="ja-JP"/>
        </w:rPr>
        <w:t>Hyperglycaemia</w:t>
      </w:r>
      <w:proofErr w:type="spellEnd"/>
      <w:r w:rsidRPr="00CF200B">
        <w:rPr>
          <w:rFonts w:asciiTheme="majorHAnsi" w:eastAsia="MS PGothic" w:hAnsiTheme="majorHAnsi" w:cs="Calibri"/>
          <w:b w:val="0"/>
          <w:bCs w:val="0"/>
          <w:lang w:val="en-US" w:eastAsia="ja-JP"/>
        </w:rPr>
        <w:t xml:space="preserve"> </w:t>
      </w:r>
      <w:r w:rsidRPr="00CF200B">
        <w:rPr>
          <w:b w:val="0"/>
          <w:bCs w:val="0"/>
          <w:lang w:bidi="th-TH"/>
        </w:rPr>
        <w:t xml:space="preserve">and diabetic ketoacidosis (DKA) including fatal events, </w:t>
      </w:r>
      <w:r w:rsidRPr="00CF200B">
        <w:rPr>
          <w:rFonts w:asciiTheme="majorHAnsi" w:eastAsia="MS PGothic" w:hAnsiTheme="majorHAnsi" w:cs="Calibri"/>
          <w:b w:val="0"/>
          <w:bCs w:val="0"/>
          <w:lang w:val="en-US" w:eastAsia="ja-JP"/>
        </w:rPr>
        <w:t xml:space="preserve">occurred in patients with and without pre-existing diabetes mellitus, treated with PADCEV. </w:t>
      </w:r>
      <w:r w:rsidRPr="00CF200B">
        <w:rPr>
          <w:b w:val="0"/>
          <w:bCs w:val="0"/>
          <w:lang w:bidi="th-TH"/>
        </w:rPr>
        <w:t>Hyperglycaemia occurred more frequently in patients with pre-existing hyperglycaemia or a high body mass index (</w:t>
      </w:r>
      <w:r w:rsidRPr="00CF200B">
        <w:rPr>
          <w:rFonts w:cs="Times New Roman"/>
          <w:b w:val="0"/>
          <w:bCs w:val="0"/>
        </w:rPr>
        <w:t>≥</w:t>
      </w:r>
      <w:r w:rsidRPr="00CF200B">
        <w:rPr>
          <w:b w:val="0"/>
          <w:bCs w:val="0"/>
          <w:lang w:bidi="th-TH"/>
        </w:rPr>
        <w:t>30 kg/m</w:t>
      </w:r>
      <w:r w:rsidRPr="00CF200B">
        <w:rPr>
          <w:b w:val="0"/>
          <w:bCs w:val="0"/>
          <w:vertAlign w:val="superscript"/>
          <w:lang w:bidi="th-TH"/>
        </w:rPr>
        <w:t>2</w:t>
      </w:r>
      <w:r w:rsidRPr="00CF200B">
        <w:rPr>
          <w:b w:val="0"/>
          <w:bCs w:val="0"/>
          <w:lang w:bidi="th-TH"/>
        </w:rPr>
        <w:t>)</w:t>
      </w:r>
      <w:r w:rsidR="00475C74">
        <w:rPr>
          <w:b w:val="0"/>
          <w:bCs w:val="0"/>
          <w:lang w:bidi="th-TH"/>
        </w:rPr>
        <w:t>.</w:t>
      </w:r>
      <w:r w:rsidRPr="00CF200B">
        <w:rPr>
          <w:b w:val="0"/>
          <w:bCs w:val="0"/>
          <w:lang w:bidi="th-TH"/>
        </w:rPr>
        <w:t xml:space="preserve"> </w:t>
      </w:r>
      <w:r w:rsidRPr="00CF200B">
        <w:rPr>
          <w:rFonts w:asciiTheme="majorHAnsi" w:eastAsia="MS PGothic" w:hAnsiTheme="majorHAnsi" w:cs="Calibri"/>
          <w:b w:val="0"/>
          <w:bCs w:val="0"/>
          <w:lang w:val="en-US" w:eastAsia="ja-JP"/>
        </w:rPr>
        <w:t xml:space="preserve">Blood glucose levels should be monitored regularly in patients with or at risk for diabetes mellitus or </w:t>
      </w:r>
      <w:proofErr w:type="spellStart"/>
      <w:r w:rsidRPr="00CF200B">
        <w:rPr>
          <w:rFonts w:asciiTheme="majorHAnsi" w:eastAsia="MS PGothic" w:hAnsiTheme="majorHAnsi" w:cs="Calibri"/>
          <w:b w:val="0"/>
          <w:bCs w:val="0"/>
          <w:lang w:val="en-US" w:eastAsia="ja-JP"/>
        </w:rPr>
        <w:t>hyperglycaemia</w:t>
      </w:r>
      <w:proofErr w:type="spellEnd"/>
      <w:r w:rsidRPr="00CF200B">
        <w:rPr>
          <w:rFonts w:asciiTheme="majorHAnsi" w:eastAsia="MS PGothic" w:hAnsiTheme="majorHAnsi" w:cs="Calibri"/>
          <w:b w:val="0"/>
          <w:bCs w:val="0"/>
          <w:lang w:val="en-US" w:eastAsia="ja-JP"/>
        </w:rPr>
        <w:t>. If blood glucose is elevated (&gt;13.9 mmol/L; &gt;250</w:t>
      </w:r>
      <w:r w:rsidR="006F351A">
        <w:rPr>
          <w:rFonts w:asciiTheme="majorHAnsi" w:eastAsia="MS PGothic" w:hAnsiTheme="majorHAnsi" w:cs="Calibri"/>
          <w:b w:val="0"/>
          <w:bCs w:val="0"/>
          <w:lang w:val="en-US" w:eastAsia="ja-JP"/>
        </w:rPr>
        <w:t> </w:t>
      </w:r>
      <w:r w:rsidRPr="00CF200B">
        <w:rPr>
          <w:rFonts w:asciiTheme="majorHAnsi" w:eastAsia="MS PGothic" w:hAnsiTheme="majorHAnsi" w:cs="Calibri"/>
          <w:b w:val="0"/>
          <w:bCs w:val="0"/>
          <w:lang w:val="en-US" w:eastAsia="ja-JP"/>
        </w:rPr>
        <w:t>mg/dL), withhold PADCEV (see sections 4.2 Dose and method of administration and 5.1 Pharmacodynamic Properties).</w:t>
      </w:r>
    </w:p>
    <w:p w14:paraId="5AF4E64A" w14:textId="309B56DB" w:rsidR="007262EA" w:rsidRDefault="007262EA" w:rsidP="00CF200B">
      <w:pPr>
        <w:pStyle w:val="Heading3"/>
      </w:pPr>
      <w:r>
        <w:t>Pneumonitis</w:t>
      </w:r>
    </w:p>
    <w:p w14:paraId="527A51EA" w14:textId="742EA781" w:rsidR="007262EA" w:rsidRPr="007262EA" w:rsidRDefault="007262EA" w:rsidP="007262EA">
      <w:pPr>
        <w:rPr>
          <w:rFonts w:asciiTheme="majorHAnsi" w:eastAsia="MS PGothic" w:hAnsiTheme="majorHAnsi" w:cs="Calibri"/>
          <w:lang w:val="en-US" w:eastAsia="ja-JP"/>
        </w:rPr>
      </w:pPr>
      <w:r w:rsidRPr="007262EA">
        <w:rPr>
          <w:rFonts w:asciiTheme="majorHAnsi" w:eastAsia="MS PGothic" w:hAnsiTheme="majorHAnsi" w:cs="Calibri"/>
          <w:lang w:val="en-US" w:eastAsia="ja-JP"/>
        </w:rPr>
        <w:t xml:space="preserve">Severe, </w:t>
      </w:r>
      <w:proofErr w:type="gramStart"/>
      <w:r w:rsidRPr="007262EA">
        <w:rPr>
          <w:rFonts w:asciiTheme="majorHAnsi" w:eastAsia="MS PGothic" w:hAnsiTheme="majorHAnsi" w:cs="Calibri"/>
          <w:lang w:val="en-US" w:eastAsia="ja-JP"/>
        </w:rPr>
        <w:t>life-threatening</w:t>
      </w:r>
      <w:proofErr w:type="gramEnd"/>
      <w:r w:rsidRPr="007262EA">
        <w:rPr>
          <w:rFonts w:asciiTheme="majorHAnsi" w:eastAsia="MS PGothic" w:hAnsiTheme="majorHAnsi" w:cs="Calibri"/>
          <w:lang w:val="en-US" w:eastAsia="ja-JP"/>
        </w:rPr>
        <w:t xml:space="preserve"> or fatal pneumonitis occurred in patients treated with PADCEV. In clinical trials, 3.1% of the 680 patients treated with PADCEV had pneumonitis of any grade and 0.7% had Grade 3-4. In clinical trials, the median time to onset of pneumonitis was 2.9 months (range: 0.6 to 6 months). Two patients </w:t>
      </w:r>
      <w:r>
        <w:rPr>
          <w:rFonts w:asciiTheme="majorHAnsi" w:eastAsia="MS PGothic" w:hAnsiTheme="majorHAnsi" w:cs="Calibri"/>
          <w:lang w:val="en-US" w:eastAsia="ja-JP"/>
        </w:rPr>
        <w:t xml:space="preserve">(0.3%) </w:t>
      </w:r>
      <w:r w:rsidRPr="007262EA">
        <w:rPr>
          <w:rFonts w:asciiTheme="majorHAnsi" w:eastAsia="MS PGothic" w:hAnsiTheme="majorHAnsi" w:cs="Calibri"/>
          <w:lang w:val="en-US" w:eastAsia="ja-JP"/>
        </w:rPr>
        <w:t xml:space="preserve">on trial also experienced fatal events. Monitor patients for signs and symptoms indicative of pneumonitis such as hypoxia, cough, </w:t>
      </w:r>
      <w:proofErr w:type="gramStart"/>
      <w:r w:rsidRPr="007262EA">
        <w:rPr>
          <w:rFonts w:asciiTheme="majorHAnsi" w:eastAsia="MS PGothic" w:hAnsiTheme="majorHAnsi" w:cs="Calibri"/>
          <w:lang w:val="en-US" w:eastAsia="ja-JP"/>
        </w:rPr>
        <w:t>dyspnea</w:t>
      </w:r>
      <w:proofErr w:type="gramEnd"/>
      <w:r w:rsidRPr="007262EA">
        <w:rPr>
          <w:rFonts w:asciiTheme="majorHAnsi" w:eastAsia="MS PGothic" w:hAnsiTheme="majorHAnsi" w:cs="Calibri"/>
          <w:lang w:val="en-US" w:eastAsia="ja-JP"/>
        </w:rPr>
        <w:t xml:space="preserve"> or interstitial infiltrates on radiologic exams. Evaluate and exclude infectious, </w:t>
      </w:r>
      <w:proofErr w:type="gramStart"/>
      <w:r w:rsidRPr="007262EA">
        <w:rPr>
          <w:rFonts w:asciiTheme="majorHAnsi" w:eastAsia="MS PGothic" w:hAnsiTheme="majorHAnsi" w:cs="Calibri"/>
          <w:lang w:val="en-US" w:eastAsia="ja-JP"/>
        </w:rPr>
        <w:t>neoplastic</w:t>
      </w:r>
      <w:proofErr w:type="gramEnd"/>
      <w:r w:rsidRPr="007262EA">
        <w:rPr>
          <w:rFonts w:asciiTheme="majorHAnsi" w:eastAsia="MS PGothic" w:hAnsiTheme="majorHAnsi" w:cs="Calibri"/>
          <w:lang w:val="en-US" w:eastAsia="ja-JP"/>
        </w:rPr>
        <w:t xml:space="preserve"> and other causes for such signs and symptoms through appropriate investigations. Withhold PADCEV for patients who develop persistent or recurrent Grade 2 pneumonitis and consider dose reduction. Permanently discontinue PADCEV in all patients with Grade 3 or 4 pneumonitis (see </w:t>
      </w:r>
      <w:r w:rsidR="00C10DFC">
        <w:rPr>
          <w:rFonts w:asciiTheme="majorHAnsi" w:eastAsia="MS PGothic" w:hAnsiTheme="majorHAnsi" w:cs="Calibri"/>
          <w:lang w:val="en-US" w:eastAsia="ja-JP"/>
        </w:rPr>
        <w:t xml:space="preserve">section 4.2 </w:t>
      </w:r>
      <w:r w:rsidR="00C10DFC" w:rsidRPr="00C10DFC">
        <w:rPr>
          <w:rFonts w:asciiTheme="majorHAnsi" w:hAnsiTheme="majorHAnsi"/>
        </w:rPr>
        <w:t>Dose and method of administration</w:t>
      </w:r>
      <w:r w:rsidRPr="007262EA">
        <w:rPr>
          <w:rFonts w:asciiTheme="majorHAnsi" w:eastAsia="MS PGothic" w:hAnsiTheme="majorHAnsi" w:cs="Calibri"/>
          <w:lang w:val="en-US" w:eastAsia="ja-JP"/>
        </w:rPr>
        <w:t>).</w:t>
      </w:r>
    </w:p>
    <w:p w14:paraId="1954978D" w14:textId="72484E68" w:rsidR="00CF200B" w:rsidRDefault="00CF200B" w:rsidP="00CF200B">
      <w:pPr>
        <w:pStyle w:val="Heading3"/>
      </w:pPr>
      <w:r w:rsidRPr="00CF200B">
        <w:t>Peripheral neuropathy</w:t>
      </w:r>
    </w:p>
    <w:p w14:paraId="5D46B817" w14:textId="6404EBA3" w:rsidR="00CF200B" w:rsidRPr="00CF200B" w:rsidRDefault="00CF200B" w:rsidP="00CF200B">
      <w:pPr>
        <w:rPr>
          <w:rFonts w:eastAsia="MS Mincho"/>
          <w:b/>
          <w:bCs/>
          <w:lang w:val="en-US" w:eastAsia="ja-JP" w:bidi="th-TH"/>
        </w:rPr>
      </w:pPr>
      <w:r w:rsidRPr="00CF200B">
        <w:rPr>
          <w:rFonts w:asciiTheme="majorHAnsi" w:eastAsia="MS PGothic" w:hAnsiTheme="majorHAnsi" w:cs="Calibri"/>
          <w:lang w:val="en-US" w:eastAsia="ja-JP"/>
        </w:rPr>
        <w:t>Peripheral neuropathy, predominantly sensory, has occurred with PADCEV, including Grade ≥3 reactions. Monitor patients for symptoms of new or worsening peripheral neuropathy as these patients may require a delay, dose reduction or discontinuation of PADCEV (see sections 4.2 Dose and method of administration and 5.1 Pharmacodynamic properties).</w:t>
      </w:r>
    </w:p>
    <w:p w14:paraId="7D112936" w14:textId="7B024CE1" w:rsidR="00CF200B" w:rsidRDefault="00851E7A" w:rsidP="00851E7A">
      <w:pPr>
        <w:pStyle w:val="Heading3"/>
      </w:pPr>
      <w:r w:rsidRPr="00851E7A">
        <w:t>Ocular disorders</w:t>
      </w:r>
    </w:p>
    <w:p w14:paraId="4D18B950" w14:textId="0C135A0D" w:rsidR="00851E7A" w:rsidRPr="00851E7A" w:rsidRDefault="00851E7A" w:rsidP="00851E7A">
      <w:pPr>
        <w:pStyle w:val="NormalWeb"/>
        <w:rPr>
          <w:rFonts w:asciiTheme="majorHAnsi" w:eastAsia="MS PGothic" w:hAnsiTheme="majorHAnsi" w:cs="Calibri"/>
          <w:sz w:val="22"/>
          <w:szCs w:val="22"/>
          <w:lang w:val="en-US" w:eastAsia="ja-JP"/>
        </w:rPr>
      </w:pPr>
      <w:r w:rsidRPr="00851E7A">
        <w:rPr>
          <w:rFonts w:asciiTheme="majorHAnsi" w:eastAsia="MS PGothic" w:hAnsiTheme="majorHAnsi" w:cs="Calibri"/>
          <w:sz w:val="22"/>
          <w:szCs w:val="22"/>
          <w:lang w:val="en-US" w:eastAsia="ja-JP"/>
        </w:rPr>
        <w:t xml:space="preserve">Ocular disorders, predominantly dry eye, occurred in patients treated with PADCEV. Severe (Grade 3) ocular disorders only occurred in 3 patients (0.4%). </w:t>
      </w:r>
    </w:p>
    <w:p w14:paraId="1666FB2D" w14:textId="48BCBFB5" w:rsidR="00CF200B" w:rsidRPr="00851E7A" w:rsidRDefault="00851E7A" w:rsidP="00CF200B">
      <w:pPr>
        <w:rPr>
          <w:rFonts w:asciiTheme="majorHAnsi" w:eastAsia="MS PGothic" w:hAnsiTheme="majorHAnsi" w:cs="Calibri"/>
          <w:lang w:val="en-US" w:eastAsia="ja-JP"/>
        </w:rPr>
      </w:pPr>
      <w:r w:rsidRPr="00851E7A">
        <w:rPr>
          <w:rFonts w:asciiTheme="majorHAnsi" w:eastAsia="MS PGothic" w:hAnsiTheme="majorHAnsi" w:cs="Calibri"/>
          <w:lang w:val="en-US" w:eastAsia="ja-JP"/>
        </w:rPr>
        <w:lastRenderedPageBreak/>
        <w:t>Monitor patients for ocular disorders such as dry eye. Consider artificial tears for prophylaxis of dry eye and refer patient for ophthalmologic evaluation if ocular symptoms do not resolve or worsen.</w:t>
      </w:r>
    </w:p>
    <w:p w14:paraId="7C385381" w14:textId="5DD23499" w:rsidR="00851E7A" w:rsidRDefault="00851E7A" w:rsidP="00851E7A">
      <w:pPr>
        <w:pStyle w:val="Heading3"/>
      </w:pPr>
      <w:r w:rsidRPr="00851E7A">
        <w:t>Infusion Site Extravasation</w:t>
      </w:r>
    </w:p>
    <w:p w14:paraId="36517E37" w14:textId="3A3C734E" w:rsidR="00851E7A" w:rsidRDefault="00851E7A" w:rsidP="00851E7A">
      <w:pPr>
        <w:spacing w:after="0"/>
        <w:rPr>
          <w:rFonts w:asciiTheme="majorHAnsi" w:eastAsia="MS PGothic" w:hAnsiTheme="majorHAnsi" w:cs="Calibri"/>
          <w:lang w:val="en-US" w:eastAsia="ja-JP"/>
        </w:rPr>
      </w:pPr>
      <w:r w:rsidRPr="00851E7A">
        <w:rPr>
          <w:rFonts w:asciiTheme="majorHAnsi" w:eastAsia="MS PGothic" w:hAnsiTheme="majorHAnsi" w:cs="Calibri"/>
          <w:lang w:val="en-US" w:eastAsia="ja-JP"/>
        </w:rPr>
        <w:t xml:space="preserve">Skin and soft tissue injury following PADCEV administration has been observed when extravasation occurred. Ensure good venous access prior to starting PADCEV and monitor for possible infusion site extravasation during administration. If extravasation occurs, stop the </w:t>
      </w:r>
      <w:proofErr w:type="gramStart"/>
      <w:r w:rsidRPr="00851E7A">
        <w:rPr>
          <w:rFonts w:asciiTheme="majorHAnsi" w:eastAsia="MS PGothic" w:hAnsiTheme="majorHAnsi" w:cs="Calibri"/>
          <w:lang w:val="en-US" w:eastAsia="ja-JP"/>
        </w:rPr>
        <w:t>infusion</w:t>
      </w:r>
      <w:proofErr w:type="gramEnd"/>
      <w:r w:rsidRPr="00851E7A">
        <w:rPr>
          <w:rFonts w:asciiTheme="majorHAnsi" w:eastAsia="MS PGothic" w:hAnsiTheme="majorHAnsi" w:cs="Calibri"/>
          <w:lang w:val="en-US" w:eastAsia="ja-JP"/>
        </w:rPr>
        <w:t xml:space="preserve"> and monitor for adverse reactions. </w:t>
      </w:r>
    </w:p>
    <w:p w14:paraId="3C2042F0" w14:textId="77777777" w:rsidR="00041981" w:rsidRPr="00851E7A" w:rsidRDefault="00041981" w:rsidP="00851E7A">
      <w:pPr>
        <w:spacing w:after="0"/>
        <w:rPr>
          <w:rFonts w:asciiTheme="majorHAnsi" w:eastAsia="MS PGothic" w:hAnsiTheme="majorHAnsi" w:cs="Calibri"/>
          <w:lang w:val="en-US" w:eastAsia="ja-JP"/>
        </w:rPr>
      </w:pPr>
    </w:p>
    <w:p w14:paraId="3BA3F415" w14:textId="6A258869" w:rsidR="00851E7A" w:rsidRDefault="00851E7A" w:rsidP="00782B99">
      <w:pPr>
        <w:pStyle w:val="Heading3"/>
        <w:keepNext/>
        <w:keepLines/>
      </w:pPr>
      <w:r w:rsidRPr="00851E7A">
        <w:t xml:space="preserve">Use in hepatic </w:t>
      </w:r>
      <w:proofErr w:type="gramStart"/>
      <w:r w:rsidRPr="00851E7A">
        <w:t>impairment</w:t>
      </w:r>
      <w:proofErr w:type="gramEnd"/>
    </w:p>
    <w:p w14:paraId="522A1269" w14:textId="49FC95D4" w:rsidR="00851E7A" w:rsidRDefault="00851E7A" w:rsidP="00782B99">
      <w:pPr>
        <w:pStyle w:val="Heading3"/>
        <w:keepNext/>
        <w:keepLines/>
        <w:ind w:left="0"/>
      </w:pPr>
      <w:r w:rsidRPr="00851E7A">
        <w:rPr>
          <w:rFonts w:asciiTheme="majorHAnsi" w:eastAsia="MS PGothic" w:hAnsiTheme="majorHAnsi" w:cs="Calibri"/>
          <w:b w:val="0"/>
          <w:bCs w:val="0"/>
          <w:lang w:val="en-US" w:eastAsia="ja-JP"/>
        </w:rPr>
        <w:t xml:space="preserve">Based on population pharmacokinetics analysis using data from clinical studies in patients with metastatic UC, there was no significant differences in </w:t>
      </w:r>
      <w:proofErr w:type="spellStart"/>
      <w:r w:rsidRPr="00851E7A">
        <w:rPr>
          <w:rFonts w:asciiTheme="majorHAnsi" w:eastAsia="MS PGothic" w:hAnsiTheme="majorHAnsi" w:cs="Calibri"/>
          <w:b w:val="0"/>
          <w:bCs w:val="0"/>
          <w:lang w:val="en-US" w:eastAsia="ja-JP"/>
        </w:rPr>
        <w:t>enfortumab</w:t>
      </w:r>
      <w:proofErr w:type="spellEnd"/>
      <w:r w:rsidRPr="00851E7A">
        <w:rPr>
          <w:rFonts w:asciiTheme="majorHAnsi" w:eastAsia="MS PGothic" w:hAnsiTheme="majorHAnsi" w:cs="Calibri"/>
          <w:b w:val="0"/>
          <w:bCs w:val="0"/>
          <w:lang w:val="en-US" w:eastAsia="ja-JP"/>
        </w:rPr>
        <w:t xml:space="preserve"> </w:t>
      </w:r>
      <w:proofErr w:type="spellStart"/>
      <w:r w:rsidRPr="00851E7A">
        <w:rPr>
          <w:rFonts w:asciiTheme="majorHAnsi" w:eastAsia="MS PGothic" w:hAnsiTheme="majorHAnsi" w:cs="Calibri"/>
          <w:b w:val="0"/>
          <w:bCs w:val="0"/>
          <w:lang w:val="en-US" w:eastAsia="ja-JP"/>
        </w:rPr>
        <w:t>vedotin</w:t>
      </w:r>
      <w:proofErr w:type="spellEnd"/>
      <w:r w:rsidRPr="00851E7A">
        <w:rPr>
          <w:rFonts w:asciiTheme="majorHAnsi" w:eastAsia="MS PGothic" w:hAnsiTheme="majorHAnsi" w:cs="Calibri"/>
          <w:b w:val="0"/>
          <w:bCs w:val="0"/>
          <w:lang w:val="en-US" w:eastAsia="ja-JP"/>
        </w:rPr>
        <w:t xml:space="preserve"> exposure and a 37% increase in MMAE AUC were observed in patients with mild hepatic impairment (</w:t>
      </w:r>
      <w:r w:rsidR="00041981">
        <w:rPr>
          <w:rFonts w:asciiTheme="majorHAnsi" w:eastAsia="MS PGothic" w:hAnsiTheme="majorHAnsi" w:cs="Calibri"/>
          <w:b w:val="0"/>
          <w:bCs w:val="0"/>
          <w:lang w:val="en-US" w:eastAsia="ja-JP"/>
        </w:rPr>
        <w:t xml:space="preserve">total </w:t>
      </w:r>
      <w:r w:rsidRPr="00851E7A">
        <w:rPr>
          <w:rFonts w:asciiTheme="majorHAnsi" w:eastAsia="MS PGothic" w:hAnsiTheme="majorHAnsi" w:cs="Calibri"/>
          <w:b w:val="0"/>
          <w:bCs w:val="0"/>
          <w:lang w:val="en-US" w:eastAsia="ja-JP"/>
        </w:rPr>
        <w:t xml:space="preserve">bilirubin 1 to 1.5 × ULN and AST </w:t>
      </w:r>
      <w:r w:rsidR="0002340D">
        <w:rPr>
          <w:rFonts w:asciiTheme="majorHAnsi" w:eastAsia="MS PGothic" w:hAnsiTheme="majorHAnsi" w:cs="Calibri"/>
          <w:b w:val="0"/>
          <w:bCs w:val="0"/>
          <w:lang w:val="en-US" w:eastAsia="ja-JP"/>
        </w:rPr>
        <w:t xml:space="preserve">of </w:t>
      </w:r>
      <w:r w:rsidR="00041981">
        <w:rPr>
          <w:rFonts w:asciiTheme="majorHAnsi" w:eastAsia="MS PGothic" w:hAnsiTheme="majorHAnsi" w:cs="Calibri"/>
          <w:b w:val="0"/>
          <w:bCs w:val="0"/>
          <w:lang w:val="en-US" w:eastAsia="ja-JP"/>
        </w:rPr>
        <w:t>any</w:t>
      </w:r>
      <w:r w:rsidR="0002340D">
        <w:rPr>
          <w:rFonts w:asciiTheme="majorHAnsi" w:eastAsia="MS PGothic" w:hAnsiTheme="majorHAnsi" w:cs="Calibri"/>
          <w:b w:val="0"/>
          <w:bCs w:val="0"/>
          <w:lang w:val="en-US" w:eastAsia="ja-JP"/>
        </w:rPr>
        <w:t xml:space="preserve"> level</w:t>
      </w:r>
      <w:r w:rsidRPr="00851E7A">
        <w:rPr>
          <w:rFonts w:asciiTheme="majorHAnsi" w:eastAsia="MS PGothic" w:hAnsiTheme="majorHAnsi" w:cs="Calibri"/>
          <w:b w:val="0"/>
          <w:bCs w:val="0"/>
          <w:lang w:val="en-US" w:eastAsia="ja-JP"/>
        </w:rPr>
        <w:t xml:space="preserve">, or </w:t>
      </w:r>
      <w:r w:rsidR="00041981">
        <w:rPr>
          <w:rFonts w:asciiTheme="majorHAnsi" w:eastAsia="MS PGothic" w:hAnsiTheme="majorHAnsi" w:cs="Calibri"/>
          <w:b w:val="0"/>
          <w:bCs w:val="0"/>
          <w:lang w:val="en-US" w:eastAsia="ja-JP"/>
        </w:rPr>
        <w:t xml:space="preserve">total </w:t>
      </w:r>
      <w:r w:rsidRPr="00851E7A">
        <w:rPr>
          <w:rFonts w:asciiTheme="majorHAnsi" w:eastAsia="MS PGothic" w:hAnsiTheme="majorHAnsi" w:cs="Calibri"/>
          <w:b w:val="0"/>
          <w:bCs w:val="0"/>
          <w:lang w:val="en-US" w:eastAsia="ja-JP"/>
        </w:rPr>
        <w:t xml:space="preserve">bilirubin ≤ ULN and AST &gt; ULN, n=65) compared to patients with normal hepatic function. </w:t>
      </w:r>
      <w:r w:rsidR="00B428FF">
        <w:rPr>
          <w:rFonts w:asciiTheme="majorHAnsi" w:eastAsia="MS PGothic" w:hAnsiTheme="majorHAnsi" w:cs="Calibri"/>
          <w:b w:val="0"/>
          <w:bCs w:val="0"/>
          <w:lang w:val="en-US" w:eastAsia="ja-JP"/>
        </w:rPr>
        <w:t xml:space="preserve">As </w:t>
      </w:r>
      <w:r w:rsidRPr="00851E7A">
        <w:rPr>
          <w:rFonts w:asciiTheme="majorHAnsi" w:eastAsia="MS PGothic" w:hAnsiTheme="majorHAnsi" w:cs="Calibri"/>
          <w:b w:val="0"/>
          <w:bCs w:val="0"/>
          <w:lang w:val="en-US" w:eastAsia="ja-JP"/>
        </w:rPr>
        <w:t xml:space="preserve">PADCEV has only been studied in a limited number of patients with moderate </w:t>
      </w:r>
      <w:r w:rsidRPr="00851E7A">
        <w:rPr>
          <w:rFonts w:eastAsia="MS Mincho" w:cs="Times New Roman"/>
          <w:b w:val="0"/>
          <w:bCs w:val="0"/>
          <w:szCs w:val="24"/>
          <w:lang w:eastAsia="ja-JP"/>
        </w:rPr>
        <w:t>hepatic impairment (n=3) and has not been evaluated in patients with</w:t>
      </w:r>
      <w:r w:rsidRPr="00851E7A">
        <w:rPr>
          <w:rFonts w:asciiTheme="majorHAnsi" w:eastAsia="MS PGothic" w:hAnsiTheme="majorHAnsi" w:cs="Calibri"/>
          <w:b w:val="0"/>
          <w:bCs w:val="0"/>
          <w:lang w:val="en-US" w:eastAsia="ja-JP"/>
        </w:rPr>
        <w:t xml:space="preserve"> severe hepatic impairment</w:t>
      </w:r>
      <w:r w:rsidR="00041981">
        <w:rPr>
          <w:rFonts w:asciiTheme="majorHAnsi" w:eastAsia="MS PGothic" w:hAnsiTheme="majorHAnsi" w:cs="Calibri"/>
          <w:b w:val="0"/>
          <w:bCs w:val="0"/>
          <w:lang w:val="en-US" w:eastAsia="ja-JP"/>
        </w:rPr>
        <w:t xml:space="preserve"> (</w:t>
      </w:r>
      <w:r w:rsidR="00041981" w:rsidDel="007F283D">
        <w:rPr>
          <w:rFonts w:asciiTheme="majorHAnsi" w:eastAsia="MS PGothic" w:hAnsiTheme="majorHAnsi" w:cs="Calibri"/>
          <w:b w:val="0"/>
          <w:bCs w:val="0"/>
          <w:lang w:val="en-US" w:eastAsia="ja-JP"/>
        </w:rPr>
        <w:t xml:space="preserve">total bilirubin </w:t>
      </w:r>
      <w:r w:rsidR="00041981" w:rsidRPr="00851E7A" w:rsidDel="007F283D">
        <w:rPr>
          <w:rFonts w:asciiTheme="majorHAnsi" w:eastAsia="MS PGothic" w:hAnsiTheme="majorHAnsi" w:cs="Calibri"/>
          <w:b w:val="0"/>
          <w:bCs w:val="0"/>
          <w:lang w:val="en-US" w:eastAsia="ja-JP"/>
        </w:rPr>
        <w:t>&gt;</w:t>
      </w:r>
      <w:r w:rsidR="00041981" w:rsidDel="007F283D">
        <w:rPr>
          <w:rFonts w:asciiTheme="majorHAnsi" w:eastAsia="MS PGothic" w:hAnsiTheme="majorHAnsi" w:cs="Calibri"/>
          <w:b w:val="0"/>
          <w:bCs w:val="0"/>
          <w:lang w:val="en-US" w:eastAsia="ja-JP"/>
        </w:rPr>
        <w:t>1.5</w:t>
      </w:r>
      <w:r w:rsidR="00041981" w:rsidRPr="00851E7A" w:rsidDel="007F283D">
        <w:rPr>
          <w:rFonts w:asciiTheme="majorHAnsi" w:eastAsia="MS PGothic" w:hAnsiTheme="majorHAnsi" w:cs="Calibri"/>
          <w:b w:val="0"/>
          <w:bCs w:val="0"/>
          <w:lang w:val="en-US" w:eastAsia="ja-JP"/>
        </w:rPr>
        <w:t xml:space="preserve"> ×</w:t>
      </w:r>
      <w:r w:rsidR="00041981" w:rsidDel="007F283D">
        <w:rPr>
          <w:rFonts w:asciiTheme="majorHAnsi" w:eastAsia="MS PGothic" w:hAnsiTheme="majorHAnsi" w:cs="Calibri"/>
          <w:b w:val="0"/>
          <w:bCs w:val="0"/>
          <w:lang w:val="en-US" w:eastAsia="ja-JP"/>
        </w:rPr>
        <w:t xml:space="preserve"> ULN and AST </w:t>
      </w:r>
      <w:r w:rsidR="00021C70">
        <w:rPr>
          <w:rFonts w:asciiTheme="majorHAnsi" w:eastAsia="MS PGothic" w:hAnsiTheme="majorHAnsi" w:cs="Calibri"/>
          <w:b w:val="0"/>
          <w:bCs w:val="0"/>
          <w:lang w:val="en-US" w:eastAsia="ja-JP"/>
        </w:rPr>
        <w:t xml:space="preserve">of </w:t>
      </w:r>
      <w:r w:rsidR="00041981" w:rsidDel="007F283D">
        <w:rPr>
          <w:rFonts w:asciiTheme="majorHAnsi" w:eastAsia="MS PGothic" w:hAnsiTheme="majorHAnsi" w:cs="Calibri"/>
          <w:b w:val="0"/>
          <w:bCs w:val="0"/>
          <w:lang w:val="en-US" w:eastAsia="ja-JP"/>
        </w:rPr>
        <w:t>any</w:t>
      </w:r>
      <w:r w:rsidR="00021C70">
        <w:rPr>
          <w:rFonts w:asciiTheme="majorHAnsi" w:eastAsia="MS PGothic" w:hAnsiTheme="majorHAnsi" w:cs="Calibri"/>
          <w:b w:val="0"/>
          <w:bCs w:val="0"/>
          <w:lang w:val="en-US" w:eastAsia="ja-JP"/>
        </w:rPr>
        <w:t xml:space="preserve"> level</w:t>
      </w:r>
      <w:r w:rsidR="00041981">
        <w:rPr>
          <w:rFonts w:asciiTheme="majorHAnsi" w:eastAsia="MS PGothic" w:hAnsiTheme="majorHAnsi" w:cs="Calibri"/>
          <w:b w:val="0"/>
          <w:bCs w:val="0"/>
          <w:lang w:val="en-US" w:eastAsia="ja-JP"/>
        </w:rPr>
        <w:t>)</w:t>
      </w:r>
      <w:r w:rsidR="00B428FF">
        <w:rPr>
          <w:rFonts w:asciiTheme="majorHAnsi" w:eastAsia="MS PGothic" w:hAnsiTheme="majorHAnsi" w:cs="Calibri"/>
          <w:b w:val="0"/>
          <w:bCs w:val="0"/>
          <w:lang w:val="en-US" w:eastAsia="ja-JP"/>
        </w:rPr>
        <w:t>, use PADCEV with caution in these patients</w:t>
      </w:r>
      <w:r w:rsidRPr="00851E7A">
        <w:rPr>
          <w:rFonts w:asciiTheme="majorHAnsi" w:eastAsia="MS PGothic" w:hAnsiTheme="majorHAnsi" w:cs="Calibri"/>
          <w:b w:val="0"/>
          <w:bCs w:val="0"/>
          <w:lang w:val="en-US" w:eastAsia="ja-JP"/>
        </w:rPr>
        <w:t>.</w:t>
      </w:r>
      <w:r w:rsidR="003E546B">
        <w:rPr>
          <w:rFonts w:asciiTheme="majorHAnsi" w:eastAsia="MS PGothic" w:hAnsiTheme="majorHAnsi" w:cs="Calibri"/>
          <w:b w:val="0"/>
          <w:bCs w:val="0"/>
          <w:lang w:val="en-US" w:eastAsia="ja-JP"/>
        </w:rPr>
        <w:t xml:space="preserve"> </w:t>
      </w:r>
    </w:p>
    <w:p w14:paraId="07BE98E2" w14:textId="47535939" w:rsidR="00CD2383" w:rsidRPr="00FC060A" w:rsidRDefault="00CD2383" w:rsidP="009063E0">
      <w:pPr>
        <w:pStyle w:val="Heading3"/>
      </w:pPr>
      <w:r w:rsidRPr="00FC060A">
        <w:t xml:space="preserve">Use in renal </w:t>
      </w:r>
      <w:proofErr w:type="gramStart"/>
      <w:r w:rsidRPr="00FC060A">
        <w:t>impairment</w:t>
      </w:r>
      <w:proofErr w:type="gramEnd"/>
    </w:p>
    <w:p w14:paraId="14D0A223" w14:textId="5DF5D28A" w:rsidR="00851E7A" w:rsidRDefault="00851E7A" w:rsidP="00851E7A">
      <w:pPr>
        <w:spacing w:after="0"/>
        <w:rPr>
          <w:rFonts w:asciiTheme="majorHAnsi" w:eastAsia="MS PGothic" w:hAnsiTheme="majorHAnsi" w:cs="Calibri"/>
          <w:lang w:val="en-US" w:eastAsia="ja-JP"/>
        </w:rPr>
      </w:pPr>
      <w:r w:rsidRPr="00851E7A">
        <w:rPr>
          <w:rFonts w:asciiTheme="majorHAnsi" w:eastAsia="MS PGothic" w:hAnsiTheme="majorHAnsi" w:cs="Calibri"/>
          <w:lang w:val="en-US" w:eastAsia="ja-JP"/>
        </w:rPr>
        <w:t xml:space="preserve">No significant differences in the safety and efficacy of PADCEV in patients with mild (creatinine clearance; </w:t>
      </w:r>
      <w:proofErr w:type="spellStart"/>
      <w:r w:rsidRPr="00851E7A">
        <w:rPr>
          <w:rFonts w:asciiTheme="majorHAnsi" w:eastAsia="MS PGothic" w:hAnsiTheme="majorHAnsi" w:cs="Calibri"/>
          <w:lang w:val="en-US" w:eastAsia="ja-JP"/>
        </w:rPr>
        <w:t>CrCL</w:t>
      </w:r>
      <w:proofErr w:type="spellEnd"/>
      <w:r w:rsidRPr="00851E7A">
        <w:rPr>
          <w:rFonts w:asciiTheme="majorHAnsi" w:eastAsia="MS PGothic" w:hAnsiTheme="majorHAnsi" w:cs="Calibri"/>
          <w:lang w:val="en-US" w:eastAsia="ja-JP"/>
        </w:rPr>
        <w:t xml:space="preserve"> &gt;60–90 mL/min), moderate (</w:t>
      </w:r>
      <w:proofErr w:type="spellStart"/>
      <w:r w:rsidRPr="00851E7A">
        <w:rPr>
          <w:rFonts w:asciiTheme="majorHAnsi" w:eastAsia="MS PGothic" w:hAnsiTheme="majorHAnsi" w:cs="Calibri"/>
          <w:lang w:val="en-US" w:eastAsia="ja-JP"/>
        </w:rPr>
        <w:t>CrCL</w:t>
      </w:r>
      <w:proofErr w:type="spellEnd"/>
      <w:r w:rsidRPr="00851E7A">
        <w:rPr>
          <w:rFonts w:asciiTheme="majorHAnsi" w:eastAsia="MS PGothic" w:hAnsiTheme="majorHAnsi" w:cs="Calibri"/>
          <w:lang w:val="en-US" w:eastAsia="ja-JP"/>
        </w:rPr>
        <w:t xml:space="preserve"> 30–60 mL/min) and severe (</w:t>
      </w:r>
      <w:proofErr w:type="spellStart"/>
      <w:r w:rsidRPr="00851E7A">
        <w:rPr>
          <w:rFonts w:asciiTheme="majorHAnsi" w:eastAsia="MS PGothic" w:hAnsiTheme="majorHAnsi" w:cs="Calibri"/>
          <w:lang w:val="en-US" w:eastAsia="ja-JP"/>
        </w:rPr>
        <w:t>CrCL</w:t>
      </w:r>
      <w:proofErr w:type="spellEnd"/>
      <w:r w:rsidRPr="00851E7A">
        <w:rPr>
          <w:rFonts w:asciiTheme="majorHAnsi" w:eastAsia="MS PGothic" w:hAnsiTheme="majorHAnsi" w:cs="Calibri"/>
          <w:lang w:val="en-US" w:eastAsia="ja-JP"/>
        </w:rPr>
        <w:t xml:space="preserve"> </w:t>
      </w:r>
      <w:r w:rsidR="004605FF">
        <w:rPr>
          <w:rFonts w:asciiTheme="majorHAnsi" w:eastAsia="MS PGothic" w:hAnsiTheme="majorHAnsi" w:cs="Calibri"/>
          <w:lang w:val="en-US" w:eastAsia="ja-JP"/>
        </w:rPr>
        <w:t>15</w:t>
      </w:r>
      <w:r w:rsidR="004605FF">
        <w:rPr>
          <w:rFonts w:asciiTheme="majorHAnsi" w:eastAsia="MS PGothic" w:hAnsiTheme="majorHAnsi" w:cs="Calibri"/>
          <w:lang w:val="en-US" w:eastAsia="ja-JP"/>
        </w:rPr>
        <w:noBreakHyphen/>
      </w:r>
      <w:r w:rsidRPr="00851E7A">
        <w:rPr>
          <w:rFonts w:asciiTheme="majorHAnsi" w:eastAsia="MS PGothic" w:hAnsiTheme="majorHAnsi" w:cs="Calibri"/>
          <w:lang w:val="en-US" w:eastAsia="ja-JP"/>
        </w:rPr>
        <w:t>&lt;30</w:t>
      </w:r>
      <w:r w:rsidR="006F351A">
        <w:rPr>
          <w:rFonts w:asciiTheme="majorHAnsi" w:eastAsia="MS PGothic" w:hAnsiTheme="majorHAnsi" w:cs="Calibri"/>
          <w:lang w:val="en-US" w:eastAsia="ja-JP"/>
        </w:rPr>
        <w:t> </w:t>
      </w:r>
      <w:r w:rsidRPr="00851E7A">
        <w:rPr>
          <w:rFonts w:asciiTheme="majorHAnsi" w:eastAsia="MS PGothic" w:hAnsiTheme="majorHAnsi" w:cs="Calibri"/>
          <w:lang w:val="en-US" w:eastAsia="ja-JP"/>
        </w:rPr>
        <w:t>mL/min) renal impairment were observed</w:t>
      </w:r>
      <w:r w:rsidR="00041981">
        <w:rPr>
          <w:rFonts w:asciiTheme="majorHAnsi" w:eastAsia="MS PGothic" w:hAnsiTheme="majorHAnsi" w:cs="Calibri"/>
          <w:lang w:val="en-US" w:eastAsia="ja-JP"/>
        </w:rPr>
        <w:t>.</w:t>
      </w:r>
      <w:r w:rsidRPr="00851E7A">
        <w:rPr>
          <w:rFonts w:asciiTheme="majorHAnsi" w:eastAsia="MS PGothic" w:hAnsiTheme="majorHAnsi" w:cs="Calibri"/>
          <w:lang w:val="en-US" w:eastAsia="ja-JP"/>
        </w:rPr>
        <w:t xml:space="preserve"> </w:t>
      </w:r>
      <w:proofErr w:type="spellStart"/>
      <w:r w:rsidR="00041981">
        <w:rPr>
          <w:rFonts w:asciiTheme="majorHAnsi" w:eastAsia="MS PGothic" w:hAnsiTheme="majorHAnsi" w:cs="Calibri"/>
          <w:lang w:val="en-US" w:eastAsia="ja-JP"/>
        </w:rPr>
        <w:t>Enfortumab</w:t>
      </w:r>
      <w:proofErr w:type="spellEnd"/>
      <w:r w:rsidR="00041981">
        <w:rPr>
          <w:rFonts w:asciiTheme="majorHAnsi" w:eastAsia="MS PGothic" w:hAnsiTheme="majorHAnsi" w:cs="Calibri"/>
          <w:lang w:val="en-US" w:eastAsia="ja-JP"/>
        </w:rPr>
        <w:t xml:space="preserve"> </w:t>
      </w:r>
      <w:proofErr w:type="spellStart"/>
      <w:r w:rsidR="00041981">
        <w:rPr>
          <w:rFonts w:asciiTheme="majorHAnsi" w:eastAsia="MS PGothic" w:hAnsiTheme="majorHAnsi" w:cs="Calibri"/>
          <w:lang w:val="en-US" w:eastAsia="ja-JP"/>
        </w:rPr>
        <w:t>vedotin</w:t>
      </w:r>
      <w:proofErr w:type="spellEnd"/>
      <w:r w:rsidR="00041981">
        <w:rPr>
          <w:rFonts w:asciiTheme="majorHAnsi" w:eastAsia="MS PGothic" w:hAnsiTheme="majorHAnsi" w:cs="Calibri"/>
          <w:lang w:val="en-US" w:eastAsia="ja-JP"/>
        </w:rPr>
        <w:t xml:space="preserve"> has not been evaluated in patients with end stage renal disease </w:t>
      </w:r>
      <w:r w:rsidR="00041981" w:rsidRPr="00851E7A">
        <w:rPr>
          <w:rFonts w:asciiTheme="majorHAnsi" w:eastAsia="MS PGothic" w:hAnsiTheme="majorHAnsi" w:cs="Calibri"/>
          <w:lang w:val="en-US" w:eastAsia="ja-JP"/>
        </w:rPr>
        <w:t>(</w:t>
      </w:r>
      <w:proofErr w:type="spellStart"/>
      <w:r w:rsidR="00041981" w:rsidRPr="00851E7A">
        <w:rPr>
          <w:rFonts w:asciiTheme="majorHAnsi" w:eastAsia="MS PGothic" w:hAnsiTheme="majorHAnsi" w:cs="Calibri"/>
          <w:lang w:val="en-US" w:eastAsia="ja-JP"/>
        </w:rPr>
        <w:t>CrCL</w:t>
      </w:r>
      <w:proofErr w:type="spellEnd"/>
      <w:r w:rsidR="00041981" w:rsidRPr="00851E7A">
        <w:rPr>
          <w:rFonts w:asciiTheme="majorHAnsi" w:eastAsia="MS PGothic" w:hAnsiTheme="majorHAnsi" w:cs="Calibri"/>
          <w:lang w:val="en-US" w:eastAsia="ja-JP"/>
        </w:rPr>
        <w:t xml:space="preserve"> &lt;</w:t>
      </w:r>
      <w:r w:rsidR="00041981">
        <w:rPr>
          <w:rFonts w:asciiTheme="majorHAnsi" w:eastAsia="MS PGothic" w:hAnsiTheme="majorHAnsi" w:cs="Calibri"/>
          <w:lang w:val="en-US" w:eastAsia="ja-JP"/>
        </w:rPr>
        <w:t>15</w:t>
      </w:r>
      <w:r w:rsidR="00041981" w:rsidRPr="00851E7A">
        <w:rPr>
          <w:rFonts w:asciiTheme="majorHAnsi" w:eastAsia="MS PGothic" w:hAnsiTheme="majorHAnsi" w:cs="Calibri"/>
          <w:lang w:val="en-US" w:eastAsia="ja-JP"/>
        </w:rPr>
        <w:t xml:space="preserve"> mL/min) </w:t>
      </w:r>
      <w:r w:rsidRPr="00851E7A">
        <w:rPr>
          <w:rFonts w:asciiTheme="majorHAnsi" w:eastAsia="MS PGothic" w:hAnsiTheme="majorHAnsi" w:cs="Calibri"/>
          <w:lang w:val="en-US" w:eastAsia="ja-JP"/>
        </w:rPr>
        <w:t>(see sections 4.2 Special populations and 5.2 Pharmacokinetics in special populations).</w:t>
      </w:r>
      <w:r w:rsidR="00041981">
        <w:rPr>
          <w:rFonts w:asciiTheme="majorHAnsi" w:eastAsia="MS PGothic" w:hAnsiTheme="majorHAnsi" w:cs="Calibri"/>
          <w:lang w:val="en-US" w:eastAsia="ja-JP"/>
        </w:rPr>
        <w:t xml:space="preserve"> </w:t>
      </w:r>
    </w:p>
    <w:p w14:paraId="5118FAD3" w14:textId="77777777" w:rsidR="00041981" w:rsidRPr="00851E7A" w:rsidRDefault="00041981" w:rsidP="00851E7A">
      <w:pPr>
        <w:spacing w:after="0"/>
        <w:rPr>
          <w:rFonts w:asciiTheme="majorHAnsi" w:eastAsia="MS PGothic" w:hAnsiTheme="majorHAnsi" w:cs="Calibri"/>
          <w:lang w:val="en-US" w:eastAsia="ja-JP"/>
        </w:rPr>
      </w:pPr>
    </w:p>
    <w:p w14:paraId="07C4D74D" w14:textId="11D776FA" w:rsidR="00851E7A" w:rsidRDefault="00851E7A" w:rsidP="00851E7A">
      <w:pPr>
        <w:pStyle w:val="Heading3"/>
      </w:pPr>
      <w:r w:rsidRPr="00851E7A">
        <w:t>Embryofetal Toxicity and Contraception</w:t>
      </w:r>
    </w:p>
    <w:p w14:paraId="3F155025" w14:textId="4A9C6493" w:rsidR="00851E7A" w:rsidRPr="00851E7A" w:rsidRDefault="00851E7A" w:rsidP="00851E7A">
      <w:pPr>
        <w:spacing w:after="0"/>
        <w:rPr>
          <w:rFonts w:asciiTheme="majorHAnsi" w:eastAsia="Times New Roman" w:hAnsiTheme="majorHAnsi"/>
          <w:lang w:bidi="th-TH"/>
        </w:rPr>
      </w:pPr>
      <w:r w:rsidRPr="00851E7A">
        <w:rPr>
          <w:rFonts w:asciiTheme="majorHAnsi" w:eastAsia="MS PGothic" w:hAnsiTheme="majorHAnsi" w:cs="Calibri"/>
          <w:lang w:val="en-US" w:eastAsia="ja-JP"/>
        </w:rPr>
        <w:t xml:space="preserve">Pregnant women should be informed of the potential risk to a fetus (see sections 4.6 Fertility, </w:t>
      </w:r>
      <w:proofErr w:type="gramStart"/>
      <w:r w:rsidRPr="00851E7A">
        <w:rPr>
          <w:rFonts w:asciiTheme="majorHAnsi" w:eastAsia="MS PGothic" w:hAnsiTheme="majorHAnsi" w:cs="Calibri"/>
          <w:lang w:val="en-US" w:eastAsia="ja-JP"/>
        </w:rPr>
        <w:t>pregnancy</w:t>
      </w:r>
      <w:proofErr w:type="gramEnd"/>
      <w:r w:rsidRPr="00851E7A">
        <w:rPr>
          <w:rFonts w:asciiTheme="majorHAnsi" w:eastAsia="MS PGothic" w:hAnsiTheme="majorHAnsi" w:cs="Calibri"/>
          <w:lang w:val="en-US" w:eastAsia="ja-JP"/>
        </w:rPr>
        <w:t xml:space="preserve"> and lactation). Females of reproductive potential should be advised to have a pregnancy test within 7 days prior to starting treatment with PADCEV, to use effective contraception during treatment and for at least </w:t>
      </w:r>
      <w:r w:rsidR="000950CB">
        <w:rPr>
          <w:rFonts w:asciiTheme="majorHAnsi" w:eastAsia="MS PGothic" w:hAnsiTheme="majorHAnsi" w:cs="Calibri"/>
          <w:lang w:val="en-US" w:eastAsia="ja-JP"/>
        </w:rPr>
        <w:t>7</w:t>
      </w:r>
      <w:r w:rsidRPr="00851E7A">
        <w:rPr>
          <w:rFonts w:asciiTheme="majorHAnsi" w:eastAsia="MS PGothic" w:hAnsiTheme="majorHAnsi" w:cs="Calibri"/>
          <w:lang w:val="en-US" w:eastAsia="ja-JP"/>
        </w:rPr>
        <w:t xml:space="preserve"> months after stopping treatment. Males with female partners of reproductive potential should be advised to use effective contraception during treatment and for at least </w:t>
      </w:r>
      <w:r w:rsidR="00A86D1D">
        <w:rPr>
          <w:rFonts w:asciiTheme="majorHAnsi" w:eastAsia="MS PGothic" w:hAnsiTheme="majorHAnsi" w:cs="Calibri"/>
          <w:lang w:val="en-US" w:eastAsia="ja-JP"/>
        </w:rPr>
        <w:t>6</w:t>
      </w:r>
      <w:r w:rsidRPr="00851E7A">
        <w:rPr>
          <w:rFonts w:asciiTheme="majorHAnsi" w:eastAsia="MS PGothic" w:hAnsiTheme="majorHAnsi" w:cs="Calibri"/>
          <w:lang w:val="en-US" w:eastAsia="ja-JP"/>
        </w:rPr>
        <w:t xml:space="preserve"> months after the last dose of PADCEV.</w:t>
      </w:r>
    </w:p>
    <w:p w14:paraId="0457A1F2" w14:textId="534E2D2A" w:rsidR="00851E7A" w:rsidRDefault="00851E7A" w:rsidP="00851E7A">
      <w:pPr>
        <w:spacing w:after="0"/>
      </w:pPr>
    </w:p>
    <w:p w14:paraId="1A81C122" w14:textId="79DF2F2B" w:rsidR="00CD2383" w:rsidRPr="00FC060A" w:rsidRDefault="00CD2383" w:rsidP="009063E0">
      <w:pPr>
        <w:pStyle w:val="Heading3"/>
      </w:pPr>
      <w:r w:rsidRPr="00FC060A">
        <w:t xml:space="preserve">Use in the </w:t>
      </w:r>
      <w:proofErr w:type="gramStart"/>
      <w:r w:rsidRPr="00FC060A">
        <w:t>elderly</w:t>
      </w:r>
      <w:proofErr w:type="gramEnd"/>
    </w:p>
    <w:p w14:paraId="74125B15" w14:textId="75FCAF02" w:rsidR="00851E7A" w:rsidRDefault="00851E7A" w:rsidP="00851E7A">
      <w:pPr>
        <w:rPr>
          <w:rFonts w:asciiTheme="majorHAnsi" w:hAnsiTheme="majorHAnsi"/>
          <w:lang w:val="en-US"/>
        </w:rPr>
      </w:pPr>
      <w:r w:rsidRPr="00851E7A">
        <w:rPr>
          <w:rFonts w:asciiTheme="majorHAnsi" w:hAnsiTheme="majorHAnsi"/>
          <w:lang w:val="en-US"/>
        </w:rPr>
        <w:t>No overall differences in safety or efficacy were observed between patients ≥65 years of age and younger patients (see sections 4.2 Special populations and 5.2 Pharmacokinetics in special populations).</w:t>
      </w:r>
    </w:p>
    <w:p w14:paraId="79D2DBF4" w14:textId="77777777" w:rsidR="00580CD8" w:rsidRPr="00851E7A" w:rsidRDefault="00580CD8" w:rsidP="00851E7A">
      <w:pPr>
        <w:rPr>
          <w:lang w:val="en-US"/>
        </w:rPr>
      </w:pPr>
    </w:p>
    <w:p w14:paraId="32F152D9" w14:textId="20A7C632" w:rsidR="00CD2383" w:rsidRPr="00FC060A" w:rsidRDefault="00CD2383" w:rsidP="009063E0">
      <w:pPr>
        <w:pStyle w:val="Heading3"/>
      </w:pPr>
      <w:r w:rsidRPr="00FC060A">
        <w:lastRenderedPageBreak/>
        <w:t>Paediatric use</w:t>
      </w:r>
    </w:p>
    <w:p w14:paraId="25E970F6" w14:textId="464CCADF" w:rsidR="00851E7A" w:rsidRPr="00851E7A" w:rsidRDefault="00851E7A" w:rsidP="00851E7A">
      <w:pPr>
        <w:rPr>
          <w:rFonts w:asciiTheme="majorHAnsi" w:eastAsia="MS PGothic" w:hAnsiTheme="majorHAnsi" w:cs="Calibri"/>
          <w:lang w:val="en-US" w:eastAsia="ja-JP"/>
        </w:rPr>
      </w:pPr>
      <w:r w:rsidRPr="00851E7A">
        <w:rPr>
          <w:rFonts w:asciiTheme="majorHAnsi" w:eastAsia="MS PGothic" w:hAnsiTheme="majorHAnsi" w:cs="Calibri"/>
          <w:lang w:val="en-US" w:eastAsia="ja-JP"/>
        </w:rPr>
        <w:t xml:space="preserve">There is no relevant use of </w:t>
      </w:r>
      <w:proofErr w:type="spellStart"/>
      <w:r w:rsidRPr="00851E7A">
        <w:rPr>
          <w:rFonts w:asciiTheme="majorHAnsi" w:eastAsia="MS PGothic" w:hAnsiTheme="majorHAnsi" w:cs="Calibri"/>
          <w:lang w:val="en-US" w:eastAsia="ja-JP"/>
        </w:rPr>
        <w:t>enfortumab</w:t>
      </w:r>
      <w:proofErr w:type="spellEnd"/>
      <w:r w:rsidRPr="00851E7A">
        <w:rPr>
          <w:rFonts w:asciiTheme="majorHAnsi" w:eastAsia="MS PGothic" w:hAnsiTheme="majorHAnsi" w:cs="Calibri"/>
          <w:lang w:val="en-US" w:eastAsia="ja-JP"/>
        </w:rPr>
        <w:t xml:space="preserve"> </w:t>
      </w:r>
      <w:proofErr w:type="spellStart"/>
      <w:r w:rsidRPr="00851E7A">
        <w:rPr>
          <w:rFonts w:asciiTheme="majorHAnsi" w:eastAsia="MS PGothic" w:hAnsiTheme="majorHAnsi" w:cs="Calibri"/>
          <w:lang w:val="en-US" w:eastAsia="ja-JP"/>
        </w:rPr>
        <w:t>vedotin</w:t>
      </w:r>
      <w:proofErr w:type="spellEnd"/>
      <w:r w:rsidRPr="00851E7A">
        <w:rPr>
          <w:rFonts w:asciiTheme="majorHAnsi" w:eastAsia="MS PGothic" w:hAnsiTheme="majorHAnsi" w:cs="Calibri"/>
          <w:lang w:val="en-US" w:eastAsia="ja-JP"/>
        </w:rPr>
        <w:t xml:space="preserve"> in the </w:t>
      </w:r>
      <w:proofErr w:type="spellStart"/>
      <w:r w:rsidRPr="00851E7A">
        <w:rPr>
          <w:rFonts w:asciiTheme="majorHAnsi" w:eastAsia="MS PGothic" w:hAnsiTheme="majorHAnsi" w:cs="Calibri"/>
          <w:lang w:val="en-US" w:eastAsia="ja-JP"/>
        </w:rPr>
        <w:t>paediatric</w:t>
      </w:r>
      <w:proofErr w:type="spellEnd"/>
      <w:r w:rsidRPr="00851E7A">
        <w:rPr>
          <w:rFonts w:asciiTheme="majorHAnsi" w:eastAsia="MS PGothic" w:hAnsiTheme="majorHAnsi" w:cs="Calibri"/>
          <w:lang w:val="en-US" w:eastAsia="ja-JP"/>
        </w:rPr>
        <w:t xml:space="preserve"> population for the indication of LA or </w:t>
      </w:r>
      <w:proofErr w:type="spellStart"/>
      <w:r w:rsidRPr="00851E7A">
        <w:rPr>
          <w:rFonts w:asciiTheme="majorHAnsi" w:eastAsia="MS PGothic" w:hAnsiTheme="majorHAnsi" w:cs="Calibri"/>
          <w:lang w:val="en-US" w:eastAsia="ja-JP"/>
        </w:rPr>
        <w:t>mUC</w:t>
      </w:r>
      <w:proofErr w:type="spellEnd"/>
      <w:r w:rsidRPr="00851E7A">
        <w:rPr>
          <w:rFonts w:asciiTheme="majorHAnsi" w:eastAsia="MS PGothic" w:hAnsiTheme="majorHAnsi" w:cs="Calibri"/>
          <w:lang w:val="en-US" w:eastAsia="ja-JP"/>
        </w:rPr>
        <w:t>.</w:t>
      </w:r>
    </w:p>
    <w:p w14:paraId="0B267C5A" w14:textId="7041B62E" w:rsidR="00CD2383" w:rsidRPr="00FC060A" w:rsidRDefault="00CD2383" w:rsidP="009063E0">
      <w:pPr>
        <w:pStyle w:val="Heading3"/>
      </w:pPr>
      <w:r w:rsidRPr="00FC060A">
        <w:t>Effects on laboratory tests</w:t>
      </w:r>
    </w:p>
    <w:p w14:paraId="5E7D4BC1" w14:textId="78FF467E" w:rsidR="00CD2383" w:rsidRPr="00851E7A" w:rsidRDefault="00851E7A" w:rsidP="00851E7A">
      <w:pPr>
        <w:spacing w:after="240"/>
        <w:rPr>
          <w:rFonts w:asciiTheme="majorHAnsi" w:eastAsia="Times New Roman" w:hAnsiTheme="majorHAnsi"/>
          <w:lang w:bidi="th-TH"/>
        </w:rPr>
      </w:pPr>
      <w:r w:rsidRPr="00851E7A">
        <w:rPr>
          <w:rFonts w:asciiTheme="majorHAnsi" w:eastAsia="Times New Roman" w:hAnsiTheme="majorHAnsi" w:cs="Myanmar Text"/>
          <w:bCs/>
          <w:iCs/>
          <w:lang w:bidi="th-TH"/>
        </w:rPr>
        <w:t>No data available.</w:t>
      </w:r>
    </w:p>
    <w:p w14:paraId="07D01AC3" w14:textId="25168E8F" w:rsidR="00CD2383" w:rsidRPr="009063E0" w:rsidRDefault="00CD2383" w:rsidP="009063E0">
      <w:pPr>
        <w:pStyle w:val="Heading2"/>
      </w:pPr>
      <w:r w:rsidRPr="009063E0">
        <w:t>Interactions with other medicines and other forms of interactions</w:t>
      </w:r>
    </w:p>
    <w:p w14:paraId="33B6FBE2" w14:textId="48288605" w:rsidR="00851E7A" w:rsidRPr="00851E7A" w:rsidRDefault="00851E7A" w:rsidP="00851E7A">
      <w:pPr>
        <w:pStyle w:val="NormalWeb"/>
        <w:rPr>
          <w:rFonts w:eastAsia="Times New Roman"/>
          <w:lang w:eastAsia="ja-JP"/>
        </w:rPr>
      </w:pPr>
      <w:r w:rsidRPr="00851E7A">
        <w:rPr>
          <w:rFonts w:asciiTheme="majorHAnsi" w:eastAsia="MS PGothic" w:hAnsiTheme="majorHAnsi" w:cs="Calibri"/>
          <w:sz w:val="22"/>
          <w:szCs w:val="22"/>
          <w:lang w:val="en-US" w:eastAsia="ja-JP"/>
        </w:rPr>
        <w:t xml:space="preserve">Formal drug-drug interaction studies with </w:t>
      </w:r>
      <w:proofErr w:type="spellStart"/>
      <w:r w:rsidRPr="00851E7A">
        <w:rPr>
          <w:rFonts w:asciiTheme="majorHAnsi" w:eastAsia="MS PGothic" w:hAnsiTheme="majorHAnsi" w:cs="Calibri"/>
          <w:sz w:val="22"/>
          <w:szCs w:val="22"/>
          <w:lang w:val="en-US" w:eastAsia="ja-JP"/>
        </w:rPr>
        <w:t>enfortumab</w:t>
      </w:r>
      <w:proofErr w:type="spellEnd"/>
      <w:r w:rsidRPr="00851E7A">
        <w:rPr>
          <w:rFonts w:asciiTheme="majorHAnsi" w:eastAsia="MS PGothic" w:hAnsiTheme="majorHAnsi" w:cs="Calibri"/>
          <w:sz w:val="22"/>
          <w:szCs w:val="22"/>
          <w:lang w:val="en-US" w:eastAsia="ja-JP"/>
        </w:rPr>
        <w:t xml:space="preserve"> </w:t>
      </w:r>
      <w:proofErr w:type="spellStart"/>
      <w:r w:rsidRPr="00851E7A">
        <w:rPr>
          <w:rFonts w:asciiTheme="majorHAnsi" w:eastAsia="MS PGothic" w:hAnsiTheme="majorHAnsi" w:cs="Calibri"/>
          <w:sz w:val="22"/>
          <w:szCs w:val="22"/>
          <w:lang w:val="en-US" w:eastAsia="ja-JP"/>
        </w:rPr>
        <w:t>vedotin</w:t>
      </w:r>
      <w:proofErr w:type="spellEnd"/>
      <w:r w:rsidRPr="00851E7A">
        <w:rPr>
          <w:rFonts w:asciiTheme="majorHAnsi" w:eastAsia="MS PGothic" w:hAnsiTheme="majorHAnsi" w:cs="Calibri"/>
          <w:sz w:val="22"/>
          <w:szCs w:val="22"/>
          <w:lang w:val="en-US" w:eastAsia="ja-JP"/>
        </w:rPr>
        <w:t xml:space="preserve"> have not been conducted. To evaluate the drug-drug interaction potential of unconjugated MMAE, </w:t>
      </w:r>
      <w:proofErr w:type="gramStart"/>
      <w:r w:rsidRPr="00851E7A">
        <w:rPr>
          <w:rFonts w:asciiTheme="majorHAnsi" w:eastAsia="MS PGothic" w:hAnsiTheme="majorHAnsi" w:cs="Calibri"/>
          <w:sz w:val="22"/>
          <w:szCs w:val="22"/>
          <w:lang w:val="en-US" w:eastAsia="ja-JP"/>
        </w:rPr>
        <w:t>physiologically-based</w:t>
      </w:r>
      <w:proofErr w:type="gramEnd"/>
      <w:r w:rsidRPr="00851E7A">
        <w:rPr>
          <w:rFonts w:asciiTheme="majorHAnsi" w:eastAsia="MS PGothic" w:hAnsiTheme="majorHAnsi" w:cs="Calibri"/>
          <w:sz w:val="22"/>
          <w:szCs w:val="22"/>
          <w:lang w:val="en-US" w:eastAsia="ja-JP"/>
        </w:rPr>
        <w:t xml:space="preserve"> pharmacokinetic (PBPK) modeling was conducted to predict the drug-drug interaction potential of </w:t>
      </w:r>
      <w:proofErr w:type="spellStart"/>
      <w:r w:rsidRPr="00851E7A">
        <w:rPr>
          <w:rFonts w:asciiTheme="majorHAnsi" w:eastAsia="MS PGothic" w:hAnsiTheme="majorHAnsi" w:cs="Calibri"/>
          <w:sz w:val="22"/>
          <w:szCs w:val="22"/>
          <w:lang w:val="en-US" w:eastAsia="ja-JP"/>
        </w:rPr>
        <w:t>enfortumab</w:t>
      </w:r>
      <w:proofErr w:type="spellEnd"/>
      <w:r w:rsidRPr="00851E7A">
        <w:rPr>
          <w:rFonts w:asciiTheme="majorHAnsi" w:eastAsia="MS PGothic" w:hAnsiTheme="majorHAnsi" w:cs="Calibri"/>
          <w:sz w:val="22"/>
          <w:szCs w:val="22"/>
          <w:lang w:val="en-US" w:eastAsia="ja-JP"/>
        </w:rPr>
        <w:t xml:space="preserve"> </w:t>
      </w:r>
      <w:proofErr w:type="spellStart"/>
      <w:r w:rsidRPr="00851E7A">
        <w:rPr>
          <w:rFonts w:asciiTheme="majorHAnsi" w:eastAsia="MS PGothic" w:hAnsiTheme="majorHAnsi" w:cs="Calibri"/>
          <w:sz w:val="22"/>
          <w:szCs w:val="22"/>
          <w:lang w:val="en-US" w:eastAsia="ja-JP"/>
        </w:rPr>
        <w:t>vedotin</w:t>
      </w:r>
      <w:proofErr w:type="spellEnd"/>
      <w:r w:rsidRPr="00851E7A">
        <w:rPr>
          <w:rFonts w:asciiTheme="majorHAnsi" w:eastAsia="MS PGothic" w:hAnsiTheme="majorHAnsi" w:cs="Calibri"/>
          <w:sz w:val="22"/>
          <w:szCs w:val="22"/>
          <w:lang w:val="en-US" w:eastAsia="ja-JP"/>
        </w:rPr>
        <w:t xml:space="preserve"> following co</w:t>
      </w:r>
      <w:r w:rsidR="00863A70">
        <w:rPr>
          <w:rFonts w:asciiTheme="majorHAnsi" w:eastAsia="MS PGothic" w:hAnsiTheme="majorHAnsi" w:cs="Calibri"/>
          <w:sz w:val="22"/>
          <w:szCs w:val="22"/>
          <w:lang w:val="en-US" w:eastAsia="ja-JP"/>
        </w:rPr>
        <w:t>-</w:t>
      </w:r>
      <w:r w:rsidRPr="00851E7A">
        <w:rPr>
          <w:rFonts w:asciiTheme="majorHAnsi" w:eastAsia="MS PGothic" w:hAnsiTheme="majorHAnsi" w:cs="Calibri"/>
          <w:sz w:val="22"/>
          <w:szCs w:val="22"/>
          <w:lang w:val="en-US" w:eastAsia="ja-JP"/>
        </w:rPr>
        <w:t>administration with other drugs.</w:t>
      </w:r>
    </w:p>
    <w:p w14:paraId="0DE9DC14" w14:textId="77777777" w:rsidR="00851E7A" w:rsidRPr="00851E7A" w:rsidRDefault="00851E7A" w:rsidP="00782B99">
      <w:pPr>
        <w:keepNext/>
        <w:keepLines/>
        <w:spacing w:before="100" w:beforeAutospacing="1" w:after="100" w:afterAutospacing="1" w:line="240" w:lineRule="auto"/>
        <w:rPr>
          <w:rFonts w:asciiTheme="majorHAnsi" w:eastAsia="MS PGothic" w:hAnsiTheme="majorHAnsi" w:cs="Calibri"/>
          <w:b/>
          <w:lang w:val="en-US" w:eastAsia="ja-JP"/>
        </w:rPr>
      </w:pPr>
      <w:r w:rsidRPr="00851E7A">
        <w:rPr>
          <w:rFonts w:asciiTheme="majorHAnsi" w:eastAsia="MS PGothic" w:hAnsiTheme="majorHAnsi" w:cs="Calibri"/>
          <w:b/>
          <w:lang w:val="en-US" w:eastAsia="ja-JP"/>
        </w:rPr>
        <w:t>Effects of other Medicines on PADCEV</w:t>
      </w:r>
    </w:p>
    <w:p w14:paraId="5FACAFF9" w14:textId="46CA954C" w:rsidR="00851E7A" w:rsidRPr="00851E7A" w:rsidRDefault="00591A82" w:rsidP="00782B99">
      <w:pPr>
        <w:keepNext/>
        <w:keepLines/>
        <w:spacing w:before="100" w:beforeAutospacing="1" w:after="100" w:afterAutospacing="1" w:line="240" w:lineRule="auto"/>
        <w:rPr>
          <w:rFonts w:asciiTheme="majorHAnsi" w:eastAsia="MS PGothic" w:hAnsiTheme="majorHAnsi" w:cs="Calibri"/>
          <w:i/>
          <w:iCs/>
          <w:u w:val="single"/>
          <w:lang w:val="en-US" w:eastAsia="ja-JP"/>
        </w:rPr>
      </w:pPr>
      <w:r>
        <w:rPr>
          <w:rFonts w:asciiTheme="majorHAnsi" w:eastAsia="MS PGothic" w:hAnsiTheme="majorHAnsi" w:cs="Calibri"/>
          <w:i/>
          <w:iCs/>
          <w:u w:val="single"/>
          <w:lang w:val="en-US" w:eastAsia="ja-JP"/>
        </w:rPr>
        <w:t xml:space="preserve">Drug interactions with co-medications that are </w:t>
      </w:r>
      <w:r w:rsidR="00851E7A" w:rsidRPr="00851E7A">
        <w:rPr>
          <w:rFonts w:asciiTheme="majorHAnsi" w:eastAsia="MS PGothic" w:hAnsiTheme="majorHAnsi" w:cs="Calibri"/>
          <w:i/>
          <w:iCs/>
          <w:u w:val="single"/>
          <w:lang w:val="en-US" w:eastAsia="ja-JP"/>
        </w:rPr>
        <w:t xml:space="preserve">CYP3A4 </w:t>
      </w:r>
      <w:proofErr w:type="gramStart"/>
      <w:r w:rsidR="00851E7A" w:rsidRPr="00851E7A">
        <w:rPr>
          <w:rFonts w:asciiTheme="majorHAnsi" w:eastAsia="MS PGothic" w:hAnsiTheme="majorHAnsi" w:cs="Calibri"/>
          <w:i/>
          <w:iCs/>
          <w:u w:val="single"/>
          <w:lang w:val="en-US" w:eastAsia="ja-JP"/>
        </w:rPr>
        <w:t>inhibitors</w:t>
      </w:r>
      <w:proofErr w:type="gramEnd"/>
    </w:p>
    <w:p w14:paraId="559F50AD" w14:textId="343487B4" w:rsidR="00CD2383" w:rsidRDefault="00851E7A" w:rsidP="00782B99">
      <w:pPr>
        <w:keepNext/>
        <w:keepLines/>
        <w:spacing w:before="120" w:after="120" w:line="300" w:lineRule="atLeast"/>
        <w:rPr>
          <w:rFonts w:asciiTheme="majorHAnsi" w:eastAsia="MS Mincho" w:hAnsiTheme="majorHAnsi" w:cs="Calibri"/>
          <w:lang w:val="en-US" w:eastAsia="ja-JP"/>
        </w:rPr>
      </w:pPr>
      <w:r w:rsidRPr="00851E7A">
        <w:rPr>
          <w:rFonts w:asciiTheme="majorHAnsi" w:eastAsia="MS Mincho" w:hAnsiTheme="majorHAnsi" w:cs="Calibri"/>
          <w:lang w:val="en-US" w:eastAsia="ja-JP"/>
        </w:rPr>
        <w:t xml:space="preserve">Concomitant use of </w:t>
      </w:r>
      <w:proofErr w:type="spellStart"/>
      <w:r w:rsidRPr="00851E7A">
        <w:rPr>
          <w:rFonts w:asciiTheme="majorHAnsi" w:eastAsia="MS Mincho" w:hAnsiTheme="majorHAnsi" w:cs="Calibri"/>
          <w:lang w:val="en-US"/>
        </w:rPr>
        <w:t>enfortumab</w:t>
      </w:r>
      <w:proofErr w:type="spellEnd"/>
      <w:r w:rsidRPr="00851E7A">
        <w:rPr>
          <w:rFonts w:asciiTheme="majorHAnsi" w:eastAsia="MS Mincho" w:hAnsiTheme="majorHAnsi" w:cs="Calibri"/>
          <w:lang w:val="en-US" w:eastAsia="ja-JP"/>
        </w:rPr>
        <w:t xml:space="preserve"> </w:t>
      </w:r>
      <w:proofErr w:type="spellStart"/>
      <w:r w:rsidRPr="00851E7A">
        <w:rPr>
          <w:rFonts w:asciiTheme="majorHAnsi" w:eastAsia="MS Mincho" w:hAnsiTheme="majorHAnsi" w:cs="Calibri"/>
          <w:lang w:val="en-US" w:eastAsia="ja-JP"/>
        </w:rPr>
        <w:t>vedotin</w:t>
      </w:r>
      <w:proofErr w:type="spellEnd"/>
      <w:r w:rsidRPr="00851E7A">
        <w:rPr>
          <w:rFonts w:asciiTheme="majorHAnsi" w:eastAsia="MS Mincho" w:hAnsiTheme="majorHAnsi" w:cs="Calibri"/>
          <w:lang w:val="en-US" w:eastAsia="ja-JP"/>
        </w:rPr>
        <w:t xml:space="preserve"> with ketoconazole (a combined P-</w:t>
      </w:r>
      <w:proofErr w:type="spellStart"/>
      <w:r w:rsidRPr="00851E7A">
        <w:rPr>
          <w:rFonts w:asciiTheme="majorHAnsi" w:eastAsia="MS Mincho" w:hAnsiTheme="majorHAnsi" w:cs="Calibri"/>
          <w:lang w:val="en-US" w:eastAsia="ja-JP"/>
        </w:rPr>
        <w:t>gp</w:t>
      </w:r>
      <w:proofErr w:type="spellEnd"/>
      <w:r w:rsidRPr="00851E7A">
        <w:rPr>
          <w:rFonts w:asciiTheme="majorHAnsi" w:eastAsia="MS Mincho" w:hAnsiTheme="majorHAnsi" w:cs="Calibri"/>
          <w:lang w:val="en-US" w:eastAsia="ja-JP"/>
        </w:rPr>
        <w:t xml:space="preserve"> and strong CYP3A inhibitor) is predicted to increase unconjugated MMAE </w:t>
      </w:r>
      <w:proofErr w:type="spellStart"/>
      <w:r w:rsidRPr="00851E7A">
        <w:rPr>
          <w:rFonts w:asciiTheme="majorHAnsi" w:eastAsia="MS Mincho" w:hAnsiTheme="majorHAnsi" w:cs="Calibri"/>
          <w:lang w:val="en-US"/>
        </w:rPr>
        <w:t>C</w:t>
      </w:r>
      <w:r w:rsidRPr="00851E7A">
        <w:rPr>
          <w:rFonts w:asciiTheme="majorHAnsi" w:eastAsia="MS Mincho" w:hAnsiTheme="majorHAnsi" w:cs="Calibri"/>
          <w:lang w:val="en-US"/>
        </w:rPr>
        <w:softHyphen/>
      </w:r>
      <w:r w:rsidRPr="00851E7A">
        <w:rPr>
          <w:rFonts w:asciiTheme="majorHAnsi" w:eastAsia="MS Mincho" w:hAnsiTheme="majorHAnsi" w:cs="Calibri"/>
          <w:vertAlign w:val="subscript"/>
          <w:lang w:val="en-US"/>
        </w:rPr>
        <w:t>max</w:t>
      </w:r>
      <w:proofErr w:type="spellEnd"/>
      <w:r w:rsidRPr="00851E7A">
        <w:rPr>
          <w:rFonts w:asciiTheme="majorHAnsi" w:eastAsia="MS Mincho" w:hAnsiTheme="majorHAnsi" w:cs="Calibri"/>
          <w:lang w:val="en-US"/>
        </w:rPr>
        <w:t xml:space="preserve"> by 15% and </w:t>
      </w:r>
      <w:r w:rsidRPr="00851E7A">
        <w:rPr>
          <w:rFonts w:asciiTheme="majorHAnsi" w:eastAsia="MS Mincho" w:hAnsiTheme="majorHAnsi" w:cs="Calibri"/>
          <w:lang w:val="en-US" w:eastAsia="ja-JP"/>
        </w:rPr>
        <w:t xml:space="preserve">AUC by 38%, </w:t>
      </w:r>
      <w:r w:rsidRPr="00851E7A">
        <w:rPr>
          <w:rFonts w:asciiTheme="majorHAnsi" w:eastAsia="MS Mincho" w:hAnsiTheme="majorHAnsi" w:cs="Calibri"/>
          <w:lang w:val="en-US"/>
        </w:rPr>
        <w:t xml:space="preserve">with no change in ADC exposure. </w:t>
      </w:r>
      <w:r w:rsidRPr="00851E7A">
        <w:rPr>
          <w:rFonts w:asciiTheme="majorHAnsi" w:eastAsia="MS Mincho" w:hAnsiTheme="majorHAnsi" w:cs="Calibri"/>
          <w:lang w:val="en-US" w:eastAsia="ja-JP"/>
        </w:rPr>
        <w:t xml:space="preserve">Closely monitor for adverse reactions when </w:t>
      </w:r>
      <w:r w:rsidR="00475C74">
        <w:rPr>
          <w:rFonts w:asciiTheme="majorHAnsi" w:eastAsia="MS Mincho" w:hAnsiTheme="majorHAnsi" w:cs="Calibri"/>
          <w:lang w:val="en-US" w:eastAsia="ja-JP"/>
        </w:rPr>
        <w:t>PADCEV</w:t>
      </w:r>
      <w:r w:rsidR="00475C74" w:rsidRPr="00851E7A">
        <w:rPr>
          <w:rFonts w:asciiTheme="majorHAnsi" w:eastAsia="MS Mincho" w:hAnsiTheme="majorHAnsi" w:cs="Calibri"/>
          <w:lang w:val="en-US" w:eastAsia="ja-JP"/>
        </w:rPr>
        <w:t xml:space="preserve"> </w:t>
      </w:r>
      <w:r w:rsidRPr="00851E7A">
        <w:rPr>
          <w:rFonts w:asciiTheme="majorHAnsi" w:eastAsia="MS Mincho" w:hAnsiTheme="majorHAnsi" w:cs="Calibri"/>
          <w:lang w:val="en-US" w:eastAsia="ja-JP"/>
        </w:rPr>
        <w:t xml:space="preserve">is given concomitantly with strong CYP3A4 inhibitors (see section 5.2 </w:t>
      </w:r>
      <w:r w:rsidRPr="00652C13">
        <w:rPr>
          <w:rFonts w:asciiTheme="majorHAnsi" w:eastAsia="MS PGothic" w:hAnsiTheme="majorHAnsi" w:cs="Calibri"/>
          <w:lang w:val="en-US" w:eastAsia="ja-JP"/>
        </w:rPr>
        <w:t>Pharmacokinetics in special populations</w:t>
      </w:r>
      <w:r w:rsidRPr="00851E7A">
        <w:rPr>
          <w:rFonts w:asciiTheme="majorHAnsi" w:eastAsia="MS Mincho" w:hAnsiTheme="majorHAnsi" w:cs="Calibri"/>
          <w:lang w:val="en-US" w:eastAsia="ja-JP"/>
        </w:rPr>
        <w:t>).</w:t>
      </w:r>
    </w:p>
    <w:p w14:paraId="48D61AA6" w14:textId="77777777" w:rsidR="00591A82" w:rsidRDefault="00591A82" w:rsidP="00AD0081">
      <w:pPr>
        <w:keepNext/>
        <w:keepLines/>
        <w:spacing w:before="120" w:after="120" w:line="300" w:lineRule="atLeast"/>
      </w:pPr>
      <w:r w:rsidRPr="00591A82">
        <w:rPr>
          <w:rFonts w:asciiTheme="majorHAnsi" w:eastAsia="MS PGothic" w:hAnsiTheme="majorHAnsi" w:cs="Calibri"/>
          <w:i/>
          <w:iCs/>
          <w:u w:val="single"/>
          <w:lang w:val="en-US" w:eastAsia="ja-JP"/>
        </w:rPr>
        <w:t>Co-administration with other CYP substrates</w:t>
      </w:r>
      <w:r>
        <w:t xml:space="preserve"> </w:t>
      </w:r>
    </w:p>
    <w:p w14:paraId="6603C3F5" w14:textId="756F47E2" w:rsidR="00F3088E" w:rsidRDefault="00591A82" w:rsidP="00AD0081">
      <w:pPr>
        <w:keepNext/>
        <w:keepLines/>
        <w:spacing w:before="120" w:after="120" w:line="300" w:lineRule="atLeast"/>
        <w:rPr>
          <w:rFonts w:asciiTheme="majorHAnsi" w:eastAsia="MS Mincho" w:hAnsiTheme="majorHAnsi" w:cs="Calibri"/>
          <w:lang w:val="en-US" w:eastAsia="ja-JP"/>
        </w:rPr>
      </w:pPr>
      <w:r w:rsidRPr="00F3088E">
        <w:rPr>
          <w:rFonts w:asciiTheme="majorHAnsi" w:eastAsia="MS Mincho" w:hAnsiTheme="majorHAnsi" w:cs="Calibri"/>
          <w:i/>
          <w:iCs/>
          <w:lang w:val="en-US" w:eastAsia="ja-JP"/>
        </w:rPr>
        <w:t>In vitro</w:t>
      </w:r>
      <w:r w:rsidRPr="00591A82">
        <w:rPr>
          <w:rFonts w:asciiTheme="majorHAnsi" w:eastAsia="MS Mincho" w:hAnsiTheme="majorHAnsi" w:cs="Calibri"/>
          <w:lang w:val="en-US" w:eastAsia="ja-JP"/>
        </w:rPr>
        <w:t xml:space="preserve"> studies indicated that clinical drug-drug interactions are unlikely to occur </w:t>
      </w:r>
      <w:proofErr w:type="gramStart"/>
      <w:r w:rsidRPr="00591A82">
        <w:rPr>
          <w:rFonts w:asciiTheme="majorHAnsi" w:eastAsia="MS Mincho" w:hAnsiTheme="majorHAnsi" w:cs="Calibri"/>
          <w:lang w:val="en-US" w:eastAsia="ja-JP"/>
        </w:rPr>
        <w:t>as a result of</w:t>
      </w:r>
      <w:proofErr w:type="gramEnd"/>
      <w:r w:rsidRPr="00591A82">
        <w:rPr>
          <w:rFonts w:asciiTheme="majorHAnsi" w:eastAsia="MS Mincho" w:hAnsiTheme="majorHAnsi" w:cs="Calibri"/>
          <w:lang w:val="en-US" w:eastAsia="ja-JP"/>
        </w:rPr>
        <w:t xml:space="preserve"> MMAE-mediated inhibition of CYP1A2, CYP2B6, CYP2C8, CYP2C9, CYP2C19 or CYP2D6. MMAE does not induce CYP1A2, CYP2B6 or CYP3A4/5. </w:t>
      </w:r>
    </w:p>
    <w:p w14:paraId="3670A482" w14:textId="77777777" w:rsidR="00F3088E" w:rsidRPr="007F0DE3" w:rsidRDefault="00591A82" w:rsidP="00851E7A">
      <w:pPr>
        <w:spacing w:before="120" w:after="120" w:line="300" w:lineRule="atLeast"/>
        <w:rPr>
          <w:rFonts w:asciiTheme="majorHAnsi" w:eastAsia="MS Mincho" w:hAnsiTheme="majorHAnsi" w:cs="Calibri"/>
          <w:i/>
          <w:iCs/>
          <w:u w:val="single"/>
          <w:lang w:val="en-US" w:eastAsia="ja-JP"/>
        </w:rPr>
      </w:pPr>
      <w:r w:rsidRPr="007F0DE3">
        <w:rPr>
          <w:rFonts w:asciiTheme="majorHAnsi" w:eastAsia="MS Mincho" w:hAnsiTheme="majorHAnsi" w:cs="Calibri"/>
          <w:i/>
          <w:iCs/>
          <w:u w:val="single"/>
          <w:lang w:val="en-US" w:eastAsia="ja-JP"/>
        </w:rPr>
        <w:t xml:space="preserve">Co-administration with drugs that are substrates of </w:t>
      </w:r>
      <w:proofErr w:type="gramStart"/>
      <w:r w:rsidRPr="007F0DE3">
        <w:rPr>
          <w:rFonts w:asciiTheme="majorHAnsi" w:eastAsia="MS Mincho" w:hAnsiTheme="majorHAnsi" w:cs="Calibri"/>
          <w:i/>
          <w:iCs/>
          <w:u w:val="single"/>
          <w:lang w:val="en-US" w:eastAsia="ja-JP"/>
        </w:rPr>
        <w:t>transporters</w:t>
      </w:r>
      <w:proofErr w:type="gramEnd"/>
      <w:r w:rsidRPr="007F0DE3">
        <w:rPr>
          <w:rFonts w:asciiTheme="majorHAnsi" w:eastAsia="MS Mincho" w:hAnsiTheme="majorHAnsi" w:cs="Calibri"/>
          <w:i/>
          <w:iCs/>
          <w:u w:val="single"/>
          <w:lang w:val="en-US" w:eastAsia="ja-JP"/>
        </w:rPr>
        <w:t xml:space="preserve"> </w:t>
      </w:r>
    </w:p>
    <w:p w14:paraId="4AC8734F" w14:textId="1E5390F0" w:rsidR="007F0DE3" w:rsidRDefault="00591A82" w:rsidP="00851E7A">
      <w:pPr>
        <w:spacing w:before="120" w:after="120" w:line="300" w:lineRule="atLeast"/>
        <w:rPr>
          <w:rFonts w:asciiTheme="majorHAnsi" w:eastAsia="MS Mincho" w:hAnsiTheme="majorHAnsi" w:cs="Calibri"/>
          <w:lang w:val="en-US" w:eastAsia="ja-JP"/>
        </w:rPr>
      </w:pPr>
      <w:r w:rsidRPr="00F3088E">
        <w:rPr>
          <w:rFonts w:asciiTheme="majorHAnsi" w:eastAsia="MS Mincho" w:hAnsiTheme="majorHAnsi" w:cs="Calibri"/>
          <w:i/>
          <w:iCs/>
          <w:lang w:val="en-US" w:eastAsia="ja-JP"/>
        </w:rPr>
        <w:t>In vitro</w:t>
      </w:r>
      <w:r w:rsidRPr="00591A82">
        <w:rPr>
          <w:rFonts w:asciiTheme="majorHAnsi" w:eastAsia="MS Mincho" w:hAnsiTheme="majorHAnsi" w:cs="Calibri"/>
          <w:lang w:val="en-US" w:eastAsia="ja-JP"/>
        </w:rPr>
        <w:t xml:space="preserve"> data indicate that MMAE is a P-</w:t>
      </w:r>
      <w:proofErr w:type="spellStart"/>
      <w:r w:rsidRPr="00591A82">
        <w:rPr>
          <w:rFonts w:asciiTheme="majorHAnsi" w:eastAsia="MS Mincho" w:hAnsiTheme="majorHAnsi" w:cs="Calibri"/>
          <w:lang w:val="en-US" w:eastAsia="ja-JP"/>
        </w:rPr>
        <w:t>gp</w:t>
      </w:r>
      <w:proofErr w:type="spellEnd"/>
      <w:r w:rsidRPr="00591A82">
        <w:rPr>
          <w:rFonts w:asciiTheme="majorHAnsi" w:eastAsia="MS Mincho" w:hAnsiTheme="majorHAnsi" w:cs="Calibri"/>
          <w:lang w:val="en-US" w:eastAsia="ja-JP"/>
        </w:rPr>
        <w:t xml:space="preserve"> substrate but does not inhibit P-</w:t>
      </w:r>
      <w:proofErr w:type="spellStart"/>
      <w:r w:rsidRPr="00591A82">
        <w:rPr>
          <w:rFonts w:asciiTheme="majorHAnsi" w:eastAsia="MS Mincho" w:hAnsiTheme="majorHAnsi" w:cs="Calibri"/>
          <w:lang w:val="en-US" w:eastAsia="ja-JP"/>
        </w:rPr>
        <w:t>gp</w:t>
      </w:r>
      <w:proofErr w:type="spellEnd"/>
      <w:r w:rsidRPr="00591A82">
        <w:rPr>
          <w:rFonts w:asciiTheme="majorHAnsi" w:eastAsia="MS Mincho" w:hAnsiTheme="majorHAnsi" w:cs="Calibri"/>
          <w:lang w:val="en-US" w:eastAsia="ja-JP"/>
        </w:rPr>
        <w:t xml:space="preserve"> at clinically relevant concentrations. MMAE was not a substrate or inhibitor for the BCRP, MRP2, OATP1B1, OATP1B3, OAT1</w:t>
      </w:r>
      <w:r w:rsidR="00822F85">
        <w:rPr>
          <w:rFonts w:asciiTheme="majorHAnsi" w:eastAsia="MS Mincho" w:hAnsiTheme="majorHAnsi" w:cs="Calibri"/>
          <w:lang w:val="en-US" w:eastAsia="ja-JP"/>
        </w:rPr>
        <w:t>,</w:t>
      </w:r>
      <w:r w:rsidRPr="00591A82">
        <w:rPr>
          <w:rFonts w:asciiTheme="majorHAnsi" w:eastAsia="MS Mincho" w:hAnsiTheme="majorHAnsi" w:cs="Calibri"/>
          <w:lang w:val="en-US" w:eastAsia="ja-JP"/>
        </w:rPr>
        <w:t xml:space="preserve"> OCT2</w:t>
      </w:r>
      <w:r w:rsidR="00822F85">
        <w:rPr>
          <w:rFonts w:asciiTheme="majorHAnsi" w:eastAsia="MS Mincho" w:hAnsiTheme="majorHAnsi" w:cs="Calibri"/>
          <w:lang w:val="en-US" w:eastAsia="ja-JP"/>
        </w:rPr>
        <w:t xml:space="preserve"> or OAT3</w:t>
      </w:r>
      <w:r w:rsidRPr="00591A82">
        <w:rPr>
          <w:rFonts w:asciiTheme="majorHAnsi" w:eastAsia="MS Mincho" w:hAnsiTheme="majorHAnsi" w:cs="Calibri"/>
          <w:lang w:val="en-US" w:eastAsia="ja-JP"/>
        </w:rPr>
        <w:t xml:space="preserve"> transporters. MMAE was also not an inhibitor of BSEP or O</w:t>
      </w:r>
      <w:r w:rsidR="00822F85">
        <w:rPr>
          <w:rFonts w:asciiTheme="majorHAnsi" w:eastAsia="MS Mincho" w:hAnsiTheme="majorHAnsi" w:cs="Calibri"/>
          <w:lang w:val="en-US" w:eastAsia="ja-JP"/>
        </w:rPr>
        <w:t>CT1</w:t>
      </w:r>
      <w:r w:rsidRPr="00591A82">
        <w:rPr>
          <w:rFonts w:asciiTheme="majorHAnsi" w:eastAsia="MS Mincho" w:hAnsiTheme="majorHAnsi" w:cs="Calibri"/>
          <w:lang w:val="en-US" w:eastAsia="ja-JP"/>
        </w:rPr>
        <w:t>.</w:t>
      </w:r>
    </w:p>
    <w:p w14:paraId="5BE6F2A2" w14:textId="5AFD333D" w:rsidR="00CD2383" w:rsidRDefault="00ED43BA" w:rsidP="009063E0">
      <w:pPr>
        <w:pStyle w:val="Heading2"/>
      </w:pPr>
      <w:r w:rsidRPr="00591A82" w:rsidDel="00ED43BA">
        <w:rPr>
          <w:rFonts w:asciiTheme="majorHAnsi" w:eastAsia="MS Mincho" w:hAnsiTheme="majorHAnsi" w:cs="Calibri"/>
          <w:lang w:val="en-US" w:eastAsia="ja-JP"/>
        </w:rPr>
        <w:t xml:space="preserve"> </w:t>
      </w:r>
      <w:r w:rsidR="00CD2383" w:rsidRPr="00FC060A">
        <w:t>Fer</w:t>
      </w:r>
      <w:r w:rsidR="00CD2383">
        <w:t>tility, pregnancy and lactation</w:t>
      </w:r>
    </w:p>
    <w:p w14:paraId="347B5648" w14:textId="739901E3" w:rsidR="00CD2383" w:rsidRPr="00FC060A" w:rsidRDefault="00CD2383" w:rsidP="009063E0">
      <w:pPr>
        <w:pStyle w:val="Heading3"/>
        <w:rPr>
          <w:lang w:eastAsia="ja-JP"/>
        </w:rPr>
      </w:pPr>
      <w:r w:rsidRPr="00FC060A">
        <w:t>Effects on fertility</w:t>
      </w:r>
    </w:p>
    <w:p w14:paraId="08FA3F63" w14:textId="4B665E23" w:rsidR="0037188B" w:rsidRDefault="00DA62D5" w:rsidP="00F66D9E">
      <w:pPr>
        <w:pStyle w:val="NormalWeb"/>
        <w:rPr>
          <w:rFonts w:asciiTheme="majorHAnsi" w:eastAsia="MS PGothic" w:hAnsiTheme="majorHAnsi" w:cs="Calibri"/>
          <w:sz w:val="22"/>
          <w:szCs w:val="22"/>
          <w:lang w:val="en-US" w:eastAsia="ja-JP"/>
        </w:rPr>
      </w:pPr>
      <w:r w:rsidRPr="00DA62D5">
        <w:rPr>
          <w:rFonts w:asciiTheme="majorHAnsi" w:eastAsia="MS PGothic" w:hAnsiTheme="majorHAnsi" w:cs="Calibri"/>
          <w:sz w:val="22"/>
          <w:szCs w:val="22"/>
          <w:lang w:val="en-US" w:eastAsia="ja-JP"/>
        </w:rPr>
        <w:t>The effects of PADCEV on human male and female fertility have not been studied</w:t>
      </w:r>
      <w:r w:rsidR="004248EE">
        <w:rPr>
          <w:rFonts w:asciiTheme="majorHAnsi" w:eastAsia="MS PGothic" w:hAnsiTheme="majorHAnsi" w:cs="Calibri"/>
          <w:sz w:val="22"/>
          <w:szCs w:val="22"/>
          <w:lang w:val="en-US" w:eastAsia="ja-JP"/>
        </w:rPr>
        <w:t xml:space="preserve">. </w:t>
      </w:r>
      <w:r w:rsidR="0037188B">
        <w:rPr>
          <w:rFonts w:asciiTheme="majorHAnsi" w:eastAsia="MS PGothic" w:hAnsiTheme="majorHAnsi" w:cs="Calibri"/>
          <w:sz w:val="22"/>
          <w:szCs w:val="22"/>
          <w:lang w:val="en-US" w:eastAsia="ja-JP"/>
        </w:rPr>
        <w:t xml:space="preserve">MMAE, </w:t>
      </w:r>
      <w:r w:rsidR="004248EE">
        <w:rPr>
          <w:rFonts w:asciiTheme="majorHAnsi" w:eastAsia="MS PGothic" w:hAnsiTheme="majorHAnsi" w:cs="Calibri"/>
          <w:sz w:val="22"/>
          <w:szCs w:val="22"/>
          <w:lang w:val="en-US" w:eastAsia="ja-JP"/>
        </w:rPr>
        <w:t xml:space="preserve">the </w:t>
      </w:r>
      <w:r w:rsidR="0037188B">
        <w:rPr>
          <w:rFonts w:asciiTheme="majorHAnsi" w:eastAsia="MS PGothic" w:hAnsiTheme="majorHAnsi" w:cs="Calibri"/>
          <w:sz w:val="22"/>
          <w:szCs w:val="22"/>
          <w:lang w:val="en-US" w:eastAsia="ja-JP"/>
        </w:rPr>
        <w:t xml:space="preserve">cytotoxic moiety of </w:t>
      </w:r>
      <w:proofErr w:type="spellStart"/>
      <w:r w:rsidR="0037188B">
        <w:rPr>
          <w:rFonts w:asciiTheme="majorHAnsi" w:eastAsia="MS PGothic" w:hAnsiTheme="majorHAnsi" w:cs="Calibri"/>
          <w:sz w:val="22"/>
          <w:szCs w:val="22"/>
          <w:lang w:val="en-US" w:eastAsia="ja-JP"/>
        </w:rPr>
        <w:t>enfortumab</w:t>
      </w:r>
      <w:proofErr w:type="spellEnd"/>
      <w:r w:rsidR="0037188B">
        <w:rPr>
          <w:rFonts w:asciiTheme="majorHAnsi" w:eastAsia="MS PGothic" w:hAnsiTheme="majorHAnsi" w:cs="Calibri"/>
          <w:sz w:val="22"/>
          <w:szCs w:val="22"/>
          <w:lang w:val="en-US" w:eastAsia="ja-JP"/>
        </w:rPr>
        <w:t xml:space="preserve"> </w:t>
      </w:r>
      <w:proofErr w:type="spellStart"/>
      <w:r w:rsidR="0037188B">
        <w:rPr>
          <w:rFonts w:asciiTheme="majorHAnsi" w:eastAsia="MS PGothic" w:hAnsiTheme="majorHAnsi" w:cs="Calibri"/>
          <w:sz w:val="22"/>
          <w:szCs w:val="22"/>
          <w:lang w:val="en-US" w:eastAsia="ja-JP"/>
        </w:rPr>
        <w:t>vedotin</w:t>
      </w:r>
      <w:proofErr w:type="spellEnd"/>
      <w:r w:rsidR="0037188B">
        <w:rPr>
          <w:rFonts w:asciiTheme="majorHAnsi" w:eastAsia="MS PGothic" w:hAnsiTheme="majorHAnsi" w:cs="Calibri"/>
          <w:sz w:val="22"/>
          <w:szCs w:val="22"/>
          <w:lang w:val="en-US" w:eastAsia="ja-JP"/>
        </w:rPr>
        <w:t xml:space="preserve">, acts via an </w:t>
      </w:r>
      <w:proofErr w:type="spellStart"/>
      <w:r w:rsidR="0037188B">
        <w:rPr>
          <w:rFonts w:asciiTheme="majorHAnsi" w:eastAsia="MS PGothic" w:hAnsiTheme="majorHAnsi" w:cs="Calibri"/>
          <w:sz w:val="22"/>
          <w:szCs w:val="22"/>
          <w:lang w:val="en-US" w:eastAsia="ja-JP"/>
        </w:rPr>
        <w:t>aneugenic</w:t>
      </w:r>
      <w:proofErr w:type="spellEnd"/>
      <w:r w:rsidR="0037188B">
        <w:rPr>
          <w:rFonts w:asciiTheme="majorHAnsi" w:eastAsia="MS PGothic" w:hAnsiTheme="majorHAnsi" w:cs="Calibri"/>
          <w:sz w:val="22"/>
          <w:szCs w:val="22"/>
          <w:lang w:val="en-US" w:eastAsia="ja-JP"/>
        </w:rPr>
        <w:t xml:space="preserve"> mechanism</w:t>
      </w:r>
      <w:r w:rsidR="004248EE">
        <w:rPr>
          <w:rFonts w:asciiTheme="majorHAnsi" w:eastAsia="MS PGothic" w:hAnsiTheme="majorHAnsi" w:cs="Calibri"/>
          <w:sz w:val="22"/>
          <w:szCs w:val="22"/>
          <w:lang w:val="en-US" w:eastAsia="ja-JP"/>
        </w:rPr>
        <w:t xml:space="preserve"> and may affect fertility</w:t>
      </w:r>
      <w:r w:rsidRPr="00DA62D5">
        <w:rPr>
          <w:rFonts w:asciiTheme="majorHAnsi" w:eastAsia="MS PGothic" w:hAnsiTheme="majorHAnsi" w:cs="Calibri"/>
          <w:sz w:val="22"/>
          <w:szCs w:val="22"/>
          <w:lang w:val="en-US" w:eastAsia="ja-JP"/>
        </w:rPr>
        <w:t xml:space="preserve">. </w:t>
      </w:r>
      <w:r w:rsidR="0037188B">
        <w:rPr>
          <w:rFonts w:asciiTheme="majorHAnsi" w:eastAsia="MS PGothic" w:hAnsiTheme="majorHAnsi" w:cs="Calibri"/>
          <w:sz w:val="22"/>
          <w:szCs w:val="22"/>
          <w:lang w:val="en-US" w:eastAsia="ja-JP"/>
        </w:rPr>
        <w:t>R</w:t>
      </w:r>
      <w:r w:rsidRPr="00DA62D5">
        <w:rPr>
          <w:rFonts w:asciiTheme="majorHAnsi" w:eastAsia="MS PGothic" w:hAnsiTheme="majorHAnsi" w:cs="Calibri"/>
          <w:sz w:val="22"/>
          <w:szCs w:val="22"/>
          <w:lang w:val="en-US" w:eastAsia="ja-JP"/>
        </w:rPr>
        <w:t xml:space="preserve">esults from a repeat-dose toxicity study in rats indicate the potential for </w:t>
      </w:r>
      <w:proofErr w:type="spellStart"/>
      <w:r w:rsidRPr="00DA62D5">
        <w:rPr>
          <w:rFonts w:asciiTheme="majorHAnsi" w:eastAsia="MS PGothic" w:hAnsiTheme="majorHAnsi" w:cs="Calibri"/>
          <w:sz w:val="22"/>
          <w:szCs w:val="22"/>
          <w:lang w:val="en-US" w:eastAsia="ja-JP"/>
        </w:rPr>
        <w:t>enfortumab</w:t>
      </w:r>
      <w:proofErr w:type="spellEnd"/>
      <w:r w:rsidRPr="00DA62D5">
        <w:rPr>
          <w:rFonts w:asciiTheme="majorHAnsi" w:eastAsia="MS PGothic" w:hAnsiTheme="majorHAnsi" w:cs="Calibri"/>
          <w:sz w:val="22"/>
          <w:szCs w:val="22"/>
          <w:lang w:val="en-US" w:eastAsia="ja-JP"/>
        </w:rPr>
        <w:t xml:space="preserve"> </w:t>
      </w:r>
      <w:proofErr w:type="spellStart"/>
      <w:r w:rsidRPr="00DA62D5">
        <w:rPr>
          <w:rFonts w:asciiTheme="majorHAnsi" w:eastAsia="MS PGothic" w:hAnsiTheme="majorHAnsi" w:cs="Calibri"/>
          <w:sz w:val="22"/>
          <w:szCs w:val="22"/>
          <w:lang w:val="en-US" w:eastAsia="ja-JP"/>
        </w:rPr>
        <w:t>vedotin</w:t>
      </w:r>
      <w:proofErr w:type="spellEnd"/>
      <w:r w:rsidRPr="00DA62D5">
        <w:rPr>
          <w:rFonts w:asciiTheme="majorHAnsi" w:eastAsia="MS PGothic" w:hAnsiTheme="majorHAnsi" w:cs="Calibri"/>
          <w:sz w:val="22"/>
          <w:szCs w:val="22"/>
          <w:lang w:val="en-US" w:eastAsia="ja-JP"/>
        </w:rPr>
        <w:t xml:space="preserve"> to impair male reproductive function and fertility. </w:t>
      </w:r>
    </w:p>
    <w:p w14:paraId="539CEF58" w14:textId="6C38DAC7" w:rsidR="00CE3C68" w:rsidRDefault="00DA62D5" w:rsidP="00F66D9E">
      <w:pPr>
        <w:pStyle w:val="NormalWeb"/>
      </w:pPr>
      <w:r w:rsidRPr="00DA62D5">
        <w:rPr>
          <w:rFonts w:asciiTheme="majorHAnsi" w:eastAsia="MS PGothic" w:hAnsiTheme="majorHAnsi" w:cs="Calibri"/>
          <w:sz w:val="22"/>
          <w:szCs w:val="22"/>
          <w:lang w:val="en-US" w:eastAsia="ja-JP"/>
        </w:rPr>
        <w:t>In rats given weekly IV doses</w:t>
      </w:r>
      <w:r w:rsidR="0037188B">
        <w:rPr>
          <w:rFonts w:asciiTheme="majorHAnsi" w:eastAsia="MS PGothic" w:hAnsiTheme="majorHAnsi" w:cs="Calibri"/>
          <w:sz w:val="22"/>
          <w:szCs w:val="22"/>
          <w:lang w:val="en-US" w:eastAsia="ja-JP"/>
        </w:rPr>
        <w:t xml:space="preserve"> of </w:t>
      </w:r>
      <w:r w:rsidR="004248EE" w:rsidRPr="00DA62D5">
        <w:rPr>
          <w:rFonts w:asciiTheme="majorHAnsi" w:eastAsia="MS PGothic" w:hAnsiTheme="majorHAnsi" w:cs="Calibri"/>
          <w:sz w:val="22"/>
          <w:szCs w:val="22"/>
          <w:lang w:val="en-US" w:eastAsia="ja-JP"/>
        </w:rPr>
        <w:t>≥2 mg/kg</w:t>
      </w:r>
      <w:r w:rsidR="004248EE">
        <w:rPr>
          <w:rFonts w:asciiTheme="majorHAnsi" w:eastAsia="MS PGothic" w:hAnsiTheme="majorHAnsi" w:cs="Calibri"/>
          <w:sz w:val="22"/>
          <w:szCs w:val="22"/>
          <w:lang w:val="en-US" w:eastAsia="ja-JP"/>
        </w:rPr>
        <w:t xml:space="preserve"> </w:t>
      </w:r>
      <w:proofErr w:type="spellStart"/>
      <w:r w:rsidR="0037188B">
        <w:rPr>
          <w:rFonts w:asciiTheme="majorHAnsi" w:eastAsia="MS PGothic" w:hAnsiTheme="majorHAnsi" w:cs="Calibri"/>
          <w:sz w:val="22"/>
          <w:szCs w:val="22"/>
          <w:lang w:val="en-US" w:eastAsia="ja-JP"/>
        </w:rPr>
        <w:t>enfortumab</w:t>
      </w:r>
      <w:proofErr w:type="spellEnd"/>
      <w:r w:rsidR="0037188B">
        <w:rPr>
          <w:rFonts w:asciiTheme="majorHAnsi" w:eastAsia="MS PGothic" w:hAnsiTheme="majorHAnsi" w:cs="Calibri"/>
          <w:sz w:val="22"/>
          <w:szCs w:val="22"/>
          <w:lang w:val="en-US" w:eastAsia="ja-JP"/>
        </w:rPr>
        <w:t xml:space="preserve"> </w:t>
      </w:r>
      <w:proofErr w:type="spellStart"/>
      <w:r w:rsidR="0037188B">
        <w:rPr>
          <w:rFonts w:asciiTheme="majorHAnsi" w:eastAsia="MS PGothic" w:hAnsiTheme="majorHAnsi" w:cs="Calibri"/>
          <w:sz w:val="22"/>
          <w:szCs w:val="22"/>
          <w:lang w:val="en-US" w:eastAsia="ja-JP"/>
        </w:rPr>
        <w:t>vedotin</w:t>
      </w:r>
      <w:proofErr w:type="spellEnd"/>
      <w:r w:rsidR="0037188B">
        <w:rPr>
          <w:rFonts w:asciiTheme="majorHAnsi" w:eastAsia="MS PGothic" w:hAnsiTheme="majorHAnsi" w:cs="Calibri"/>
          <w:sz w:val="22"/>
          <w:szCs w:val="22"/>
          <w:lang w:val="en-US" w:eastAsia="ja-JP"/>
        </w:rPr>
        <w:t xml:space="preserve"> </w:t>
      </w:r>
      <w:r w:rsidR="004248EE">
        <w:rPr>
          <w:rFonts w:asciiTheme="majorHAnsi" w:eastAsia="MS PGothic" w:hAnsiTheme="majorHAnsi" w:cs="Calibri"/>
          <w:sz w:val="22"/>
          <w:szCs w:val="22"/>
          <w:lang w:val="en-US" w:eastAsia="ja-JP"/>
        </w:rPr>
        <w:t xml:space="preserve">resulting in </w:t>
      </w:r>
      <w:r w:rsidR="0037188B">
        <w:rPr>
          <w:rFonts w:asciiTheme="majorHAnsi" w:eastAsia="MS PGothic" w:hAnsiTheme="majorHAnsi" w:cs="Calibri"/>
          <w:sz w:val="22"/>
          <w:szCs w:val="22"/>
          <w:lang w:val="en-US" w:eastAsia="ja-JP"/>
        </w:rPr>
        <w:t>systemic exposures below the clinical exposure levels at the recommended clinical dose resulted in</w:t>
      </w:r>
      <w:r w:rsidRPr="00DA62D5">
        <w:rPr>
          <w:rFonts w:asciiTheme="majorHAnsi" w:eastAsia="MS PGothic" w:hAnsiTheme="majorHAnsi" w:cs="Calibri"/>
          <w:sz w:val="22"/>
          <w:szCs w:val="22"/>
          <w:lang w:val="en-US" w:eastAsia="ja-JP"/>
        </w:rPr>
        <w:t xml:space="preserve"> dose-dependent testicular seminiferous tubule degeneration with abnormal lumen contents and </w:t>
      </w:r>
      <w:proofErr w:type="spellStart"/>
      <w:r w:rsidRPr="00DA62D5">
        <w:rPr>
          <w:rFonts w:asciiTheme="majorHAnsi" w:eastAsia="MS PGothic" w:hAnsiTheme="majorHAnsi" w:cs="Calibri"/>
          <w:sz w:val="22"/>
          <w:szCs w:val="22"/>
          <w:lang w:val="en-US" w:eastAsia="ja-JP"/>
        </w:rPr>
        <w:t>hypospermia</w:t>
      </w:r>
      <w:proofErr w:type="spellEnd"/>
      <w:r w:rsidR="0037188B">
        <w:rPr>
          <w:rFonts w:asciiTheme="majorHAnsi" w:eastAsia="MS PGothic" w:hAnsiTheme="majorHAnsi" w:cs="Calibri"/>
          <w:sz w:val="22"/>
          <w:szCs w:val="22"/>
          <w:lang w:val="en-US" w:eastAsia="ja-JP"/>
        </w:rPr>
        <w:t>.</w:t>
      </w:r>
      <w:r w:rsidRPr="00DA62D5">
        <w:rPr>
          <w:rFonts w:asciiTheme="majorHAnsi" w:eastAsia="MS PGothic" w:hAnsiTheme="majorHAnsi" w:cs="Calibri"/>
          <w:sz w:val="22"/>
          <w:szCs w:val="22"/>
          <w:lang w:val="en-US" w:eastAsia="ja-JP"/>
        </w:rPr>
        <w:t xml:space="preserve"> </w:t>
      </w:r>
      <w:r w:rsidRPr="00DA62D5">
        <w:rPr>
          <w:rFonts w:asciiTheme="majorHAnsi" w:eastAsia="MS PGothic" w:hAnsiTheme="majorHAnsi" w:cs="Calibri"/>
          <w:sz w:val="22"/>
          <w:szCs w:val="22"/>
          <w:lang w:val="en-US" w:eastAsia="ja-JP"/>
        </w:rPr>
        <w:lastRenderedPageBreak/>
        <w:t xml:space="preserve">These findings were partially reversed following a 24-week </w:t>
      </w:r>
      <w:r w:rsidR="00561C90">
        <w:rPr>
          <w:rFonts w:asciiTheme="majorHAnsi" w:eastAsia="MS PGothic" w:hAnsiTheme="majorHAnsi" w:cs="Calibri"/>
          <w:sz w:val="22"/>
          <w:szCs w:val="22"/>
          <w:lang w:val="en-US" w:eastAsia="ja-JP"/>
        </w:rPr>
        <w:t xml:space="preserve">treatment-free </w:t>
      </w:r>
      <w:r w:rsidR="0037188B">
        <w:rPr>
          <w:rFonts w:asciiTheme="majorHAnsi" w:eastAsia="MS PGothic" w:hAnsiTheme="majorHAnsi" w:cs="Calibri"/>
          <w:sz w:val="22"/>
          <w:szCs w:val="22"/>
          <w:lang w:val="en-US" w:eastAsia="ja-JP"/>
        </w:rPr>
        <w:t>period.</w:t>
      </w:r>
      <w:r w:rsidRPr="00DA62D5">
        <w:rPr>
          <w:rFonts w:asciiTheme="majorHAnsi" w:eastAsia="MS PGothic" w:hAnsiTheme="majorHAnsi" w:cs="Calibri"/>
          <w:sz w:val="22"/>
          <w:szCs w:val="22"/>
          <w:lang w:val="en-US" w:eastAsia="ja-JP"/>
        </w:rPr>
        <w:t xml:space="preserve"> </w:t>
      </w:r>
      <w:r w:rsidR="004A1DFA">
        <w:rPr>
          <w:rFonts w:asciiTheme="majorHAnsi" w:eastAsia="MS PGothic" w:hAnsiTheme="majorHAnsi" w:cs="Calibri"/>
          <w:sz w:val="22"/>
          <w:szCs w:val="22"/>
          <w:lang w:val="en-US" w:eastAsia="ja-JP"/>
        </w:rPr>
        <w:t xml:space="preserve">Repeat dose studies in female rats </w:t>
      </w:r>
      <w:r w:rsidR="000950CB" w:rsidRPr="000950CB">
        <w:rPr>
          <w:rFonts w:asciiTheme="majorHAnsi" w:eastAsia="MS PGothic" w:hAnsiTheme="majorHAnsi" w:cs="Calibri"/>
          <w:sz w:val="22"/>
          <w:szCs w:val="22"/>
          <w:lang w:val="en-US" w:eastAsia="ja-JP"/>
        </w:rPr>
        <w:t xml:space="preserve">at IV doses ≤5 mg/kg </w:t>
      </w:r>
      <w:proofErr w:type="spellStart"/>
      <w:r w:rsidR="000950CB" w:rsidRPr="000950CB">
        <w:rPr>
          <w:rFonts w:asciiTheme="majorHAnsi" w:eastAsia="MS PGothic" w:hAnsiTheme="majorHAnsi" w:cs="Calibri"/>
          <w:sz w:val="22"/>
          <w:szCs w:val="22"/>
          <w:lang w:val="en-US" w:eastAsia="ja-JP"/>
        </w:rPr>
        <w:t>enfortumab</w:t>
      </w:r>
      <w:proofErr w:type="spellEnd"/>
      <w:r w:rsidR="000950CB" w:rsidRPr="000950CB">
        <w:rPr>
          <w:rFonts w:asciiTheme="majorHAnsi" w:eastAsia="MS PGothic" w:hAnsiTheme="majorHAnsi" w:cs="Calibri"/>
          <w:sz w:val="22"/>
          <w:szCs w:val="22"/>
          <w:lang w:val="en-US" w:eastAsia="ja-JP"/>
        </w:rPr>
        <w:t xml:space="preserve"> </w:t>
      </w:r>
      <w:proofErr w:type="spellStart"/>
      <w:r w:rsidR="000950CB" w:rsidRPr="000950CB">
        <w:rPr>
          <w:rFonts w:asciiTheme="majorHAnsi" w:eastAsia="MS PGothic" w:hAnsiTheme="majorHAnsi" w:cs="Calibri"/>
          <w:sz w:val="22"/>
          <w:szCs w:val="22"/>
          <w:lang w:val="en-US" w:eastAsia="ja-JP"/>
        </w:rPr>
        <w:t>vedotin</w:t>
      </w:r>
      <w:proofErr w:type="spellEnd"/>
      <w:r w:rsidR="000950CB" w:rsidRPr="000950CB">
        <w:rPr>
          <w:rFonts w:asciiTheme="majorHAnsi" w:eastAsia="MS PGothic" w:hAnsiTheme="majorHAnsi" w:cs="Calibri"/>
          <w:sz w:val="22"/>
          <w:szCs w:val="22"/>
          <w:lang w:val="en-US" w:eastAsia="ja-JP"/>
        </w:rPr>
        <w:t xml:space="preserve"> (resulting in subclinical exposures)</w:t>
      </w:r>
      <w:r w:rsidR="000950CB">
        <w:rPr>
          <w:rFonts w:asciiTheme="majorHAnsi" w:eastAsia="MS PGothic" w:hAnsiTheme="majorHAnsi" w:cs="Calibri"/>
          <w:sz w:val="22"/>
          <w:szCs w:val="22"/>
          <w:lang w:val="en-US" w:eastAsia="ja-JP"/>
        </w:rPr>
        <w:t xml:space="preserve"> </w:t>
      </w:r>
      <w:r w:rsidR="004A1DFA">
        <w:rPr>
          <w:rFonts w:asciiTheme="majorHAnsi" w:eastAsia="MS PGothic" w:hAnsiTheme="majorHAnsi" w:cs="Calibri"/>
          <w:sz w:val="22"/>
          <w:szCs w:val="22"/>
          <w:lang w:val="en-US" w:eastAsia="ja-JP"/>
        </w:rPr>
        <w:t xml:space="preserve">showed </w:t>
      </w:r>
      <w:r w:rsidRPr="00DA62D5">
        <w:rPr>
          <w:rFonts w:asciiTheme="majorHAnsi" w:eastAsia="MS PGothic" w:hAnsiTheme="majorHAnsi" w:cs="Calibri"/>
          <w:sz w:val="22"/>
          <w:szCs w:val="22"/>
          <w:lang w:val="en-US" w:eastAsia="ja-JP"/>
        </w:rPr>
        <w:t xml:space="preserve">no histological abnormalities in female reproductive organs </w:t>
      </w:r>
      <w:r w:rsidR="004A1DFA">
        <w:rPr>
          <w:rFonts w:asciiTheme="majorHAnsi" w:eastAsia="MS PGothic" w:hAnsiTheme="majorHAnsi" w:cs="Calibri"/>
          <w:sz w:val="22"/>
          <w:szCs w:val="22"/>
          <w:lang w:val="en-US" w:eastAsia="ja-JP"/>
        </w:rPr>
        <w:t xml:space="preserve">however, </w:t>
      </w:r>
      <w:r w:rsidRPr="00DA62D5">
        <w:rPr>
          <w:rFonts w:asciiTheme="majorHAnsi" w:eastAsia="MS PGothic" w:hAnsiTheme="majorHAnsi" w:cs="Calibri"/>
          <w:sz w:val="22"/>
          <w:szCs w:val="22"/>
          <w:lang w:val="en-US" w:eastAsia="ja-JP"/>
        </w:rPr>
        <w:t xml:space="preserve">dedicated fertility studies </w:t>
      </w:r>
      <w:r w:rsidR="004A1DFA">
        <w:rPr>
          <w:rFonts w:asciiTheme="majorHAnsi" w:eastAsia="MS PGothic" w:hAnsiTheme="majorHAnsi" w:cs="Calibri"/>
          <w:sz w:val="22"/>
          <w:szCs w:val="22"/>
          <w:lang w:val="en-US" w:eastAsia="ja-JP"/>
        </w:rPr>
        <w:t>have not been conducted</w:t>
      </w:r>
      <w:r w:rsidR="006163AF">
        <w:rPr>
          <w:rFonts w:asciiTheme="majorHAnsi" w:eastAsia="MS PGothic" w:hAnsiTheme="majorHAnsi" w:cs="Calibri"/>
          <w:sz w:val="22"/>
          <w:szCs w:val="22"/>
          <w:lang w:val="en-US" w:eastAsia="ja-JP"/>
        </w:rPr>
        <w:t>.</w:t>
      </w:r>
      <w:r w:rsidRPr="00DA62D5">
        <w:rPr>
          <w:rFonts w:asciiTheme="majorHAnsi" w:eastAsia="MS PGothic" w:hAnsiTheme="majorHAnsi" w:cs="Calibri"/>
          <w:sz w:val="22"/>
          <w:szCs w:val="22"/>
          <w:lang w:val="en-US" w:eastAsia="ja-JP"/>
        </w:rPr>
        <w:t xml:space="preserve"> Therefore, men being treated with PADCEV are advised to have sperm samples frozen and stored before treatment. Men being treated with PADCEV are advised to use effective contraception during treatment with PADCEV and not to father a child during treatment and for up to 6 months following the last dose.</w:t>
      </w:r>
      <w:r w:rsidR="000950CB" w:rsidRPr="000950CB">
        <w:t xml:space="preserve"> </w:t>
      </w:r>
      <w:r w:rsidR="000950CB" w:rsidRPr="000950CB">
        <w:rPr>
          <w:rFonts w:asciiTheme="majorHAnsi" w:eastAsia="MS PGothic" w:hAnsiTheme="majorHAnsi" w:cs="Calibri"/>
          <w:sz w:val="22"/>
          <w:szCs w:val="22"/>
          <w:lang w:val="en-US" w:eastAsia="ja-JP"/>
        </w:rPr>
        <w:t>Effects on spermatogenesis cannot be excluded after a 6-month treatment-free period</w:t>
      </w:r>
      <w:r w:rsidR="000950CB">
        <w:rPr>
          <w:rFonts w:asciiTheme="majorHAnsi" w:eastAsia="MS PGothic" w:hAnsiTheme="majorHAnsi" w:cs="Calibri"/>
          <w:sz w:val="22"/>
          <w:szCs w:val="22"/>
          <w:lang w:val="en-US" w:eastAsia="ja-JP"/>
        </w:rPr>
        <w:t>.</w:t>
      </w:r>
      <w:r w:rsidRPr="00DA62D5">
        <w:rPr>
          <w:rFonts w:asciiTheme="majorHAnsi" w:eastAsia="MS PGothic" w:hAnsiTheme="majorHAnsi" w:cs="Calibri"/>
          <w:sz w:val="22"/>
          <w:szCs w:val="22"/>
          <w:lang w:val="en-US" w:eastAsia="ja-JP"/>
        </w:rPr>
        <w:t xml:space="preserve"> </w:t>
      </w:r>
    </w:p>
    <w:p w14:paraId="5E843105" w14:textId="09084EF2" w:rsidR="00CD2383" w:rsidRPr="009063E0" w:rsidRDefault="00CD2383" w:rsidP="009063E0">
      <w:pPr>
        <w:pStyle w:val="Heading3"/>
      </w:pPr>
      <w:r w:rsidRPr="009063E0">
        <w:t>Use in pregnancy</w:t>
      </w:r>
      <w:r w:rsidR="00F66D9E">
        <w:t xml:space="preserve"> </w:t>
      </w:r>
      <w:r w:rsidR="00F66D9E" w:rsidRPr="00F66D9E">
        <w:t>– Pregnancy Category D</w:t>
      </w:r>
    </w:p>
    <w:p w14:paraId="52FF9DCA" w14:textId="5C2E06E5" w:rsidR="00EB45F5" w:rsidRDefault="00EB45F5" w:rsidP="00F66D9E">
      <w:pPr>
        <w:pStyle w:val="NormalWeb"/>
        <w:rPr>
          <w:rFonts w:asciiTheme="majorHAnsi" w:eastAsia="MS PGothic" w:hAnsiTheme="majorHAnsi" w:cs="Calibri"/>
          <w:sz w:val="22"/>
          <w:szCs w:val="22"/>
          <w:lang w:val="en-US" w:eastAsia="ja-JP"/>
        </w:rPr>
      </w:pPr>
      <w:r w:rsidRPr="00EB45F5">
        <w:rPr>
          <w:rFonts w:asciiTheme="majorHAnsi" w:eastAsia="MS PGothic" w:hAnsiTheme="majorHAnsi" w:cs="Calibri"/>
          <w:sz w:val="22"/>
          <w:szCs w:val="22"/>
          <w:lang w:val="en-US" w:eastAsia="ja-JP"/>
        </w:rPr>
        <w:t xml:space="preserve">There are no adequate or well-controlled studies with PADCEV in pregnant women. However, based on its mechanism of action and findings in animals, PADCEV can cause fetal harm when administered to a pregnant woman. PADCEV is contraindicated in pregnancy. MMAE, the main </w:t>
      </w:r>
      <w:r w:rsidR="00BF14AA">
        <w:rPr>
          <w:rFonts w:asciiTheme="majorHAnsi" w:eastAsia="MS PGothic" w:hAnsiTheme="majorHAnsi" w:cs="Calibri"/>
          <w:sz w:val="22"/>
          <w:szCs w:val="22"/>
          <w:lang w:val="en-US" w:eastAsia="ja-JP"/>
        </w:rPr>
        <w:t>cytotoxic moiety</w:t>
      </w:r>
      <w:r w:rsidRPr="00EB45F5">
        <w:rPr>
          <w:rFonts w:asciiTheme="majorHAnsi" w:eastAsia="MS PGothic" w:hAnsiTheme="majorHAnsi" w:cs="Calibri"/>
          <w:sz w:val="22"/>
          <w:szCs w:val="22"/>
          <w:lang w:val="en-US" w:eastAsia="ja-JP"/>
        </w:rPr>
        <w:t xml:space="preserve"> of </w:t>
      </w:r>
      <w:proofErr w:type="spellStart"/>
      <w:r w:rsidRPr="00EB45F5">
        <w:rPr>
          <w:rFonts w:asciiTheme="majorHAnsi" w:eastAsia="MS PGothic" w:hAnsiTheme="majorHAnsi" w:cs="Calibri"/>
          <w:sz w:val="22"/>
          <w:szCs w:val="22"/>
          <w:lang w:val="en-US" w:eastAsia="ja-JP"/>
        </w:rPr>
        <w:t>enfortumab</w:t>
      </w:r>
      <w:proofErr w:type="spellEnd"/>
      <w:r w:rsidRPr="00EB45F5">
        <w:rPr>
          <w:rFonts w:asciiTheme="majorHAnsi" w:eastAsia="MS PGothic" w:hAnsiTheme="majorHAnsi" w:cs="Calibri"/>
          <w:sz w:val="22"/>
          <w:szCs w:val="22"/>
          <w:lang w:val="en-US" w:eastAsia="ja-JP"/>
        </w:rPr>
        <w:t xml:space="preserve"> </w:t>
      </w:r>
      <w:proofErr w:type="spellStart"/>
      <w:r w:rsidRPr="00EB45F5">
        <w:rPr>
          <w:rFonts w:asciiTheme="majorHAnsi" w:eastAsia="MS PGothic" w:hAnsiTheme="majorHAnsi" w:cs="Calibri"/>
          <w:sz w:val="22"/>
          <w:szCs w:val="22"/>
          <w:lang w:val="en-US" w:eastAsia="ja-JP"/>
        </w:rPr>
        <w:t>vedotin</w:t>
      </w:r>
      <w:proofErr w:type="spellEnd"/>
      <w:r w:rsidRPr="00EB45F5">
        <w:rPr>
          <w:rFonts w:asciiTheme="majorHAnsi" w:eastAsia="MS PGothic" w:hAnsiTheme="majorHAnsi" w:cs="Calibri"/>
          <w:sz w:val="22"/>
          <w:szCs w:val="22"/>
          <w:lang w:val="en-US" w:eastAsia="ja-JP"/>
        </w:rPr>
        <w:t xml:space="preserve">, was shown to cross the placenta in rats. In pregnant rats, administration of MMAE (0.2 mg/kg IV) or </w:t>
      </w:r>
      <w:proofErr w:type="spellStart"/>
      <w:r w:rsidRPr="00EB45F5">
        <w:rPr>
          <w:rFonts w:asciiTheme="majorHAnsi" w:eastAsia="MS PGothic" w:hAnsiTheme="majorHAnsi" w:cs="Calibri"/>
          <w:sz w:val="22"/>
          <w:szCs w:val="22"/>
          <w:lang w:val="en-US" w:eastAsia="ja-JP"/>
        </w:rPr>
        <w:t>enfortumab</w:t>
      </w:r>
      <w:proofErr w:type="spellEnd"/>
      <w:r w:rsidRPr="00EB45F5">
        <w:rPr>
          <w:rFonts w:asciiTheme="majorHAnsi" w:eastAsia="MS PGothic" w:hAnsiTheme="majorHAnsi" w:cs="Calibri"/>
          <w:sz w:val="22"/>
          <w:szCs w:val="22"/>
          <w:lang w:val="en-US" w:eastAsia="ja-JP"/>
        </w:rPr>
        <w:t xml:space="preserve"> </w:t>
      </w:r>
      <w:proofErr w:type="spellStart"/>
      <w:r w:rsidRPr="00EB45F5">
        <w:rPr>
          <w:rFonts w:asciiTheme="majorHAnsi" w:eastAsia="MS PGothic" w:hAnsiTheme="majorHAnsi" w:cs="Calibri"/>
          <w:sz w:val="22"/>
          <w:szCs w:val="22"/>
          <w:lang w:val="en-US" w:eastAsia="ja-JP"/>
        </w:rPr>
        <w:t>vedotin</w:t>
      </w:r>
      <w:proofErr w:type="spellEnd"/>
      <w:r w:rsidRPr="00EB45F5">
        <w:rPr>
          <w:rFonts w:asciiTheme="majorHAnsi" w:eastAsia="MS PGothic" w:hAnsiTheme="majorHAnsi" w:cs="Calibri"/>
          <w:sz w:val="22"/>
          <w:szCs w:val="22"/>
          <w:lang w:val="en-US" w:eastAsia="ja-JP"/>
        </w:rPr>
        <w:t xml:space="preserve"> (2</w:t>
      </w:r>
      <w:r w:rsidR="00BA67AD">
        <w:rPr>
          <w:rFonts w:asciiTheme="majorHAnsi" w:eastAsia="MS PGothic" w:hAnsiTheme="majorHAnsi" w:cs="Calibri"/>
          <w:sz w:val="22"/>
          <w:szCs w:val="22"/>
          <w:lang w:val="en-US" w:eastAsia="ja-JP"/>
        </w:rPr>
        <w:t>.</w:t>
      </w:r>
      <w:r w:rsidRPr="00EB45F5">
        <w:rPr>
          <w:rFonts w:asciiTheme="majorHAnsi" w:eastAsia="MS PGothic" w:hAnsiTheme="majorHAnsi" w:cs="Calibri"/>
          <w:sz w:val="22"/>
          <w:szCs w:val="22"/>
          <w:lang w:val="en-US" w:eastAsia="ja-JP"/>
        </w:rPr>
        <w:t xml:space="preserve">5 mg/kg IV) during the period of organogenesis, caused embryofetal lethality and toxicity and included an increased incidence of resorptions, pre- and post-implantation loss, and decreased litter size. There was also a reduction in mean fetal weight and an increased incidence of fetal malformations (protruding tongue, </w:t>
      </w:r>
      <w:proofErr w:type="spellStart"/>
      <w:r w:rsidRPr="00EB45F5">
        <w:rPr>
          <w:rFonts w:asciiTheme="majorHAnsi" w:eastAsia="MS PGothic" w:hAnsiTheme="majorHAnsi" w:cs="Calibri"/>
          <w:sz w:val="22"/>
          <w:szCs w:val="22"/>
          <w:lang w:val="en-US" w:eastAsia="ja-JP"/>
        </w:rPr>
        <w:t>malrotated</w:t>
      </w:r>
      <w:proofErr w:type="spellEnd"/>
      <w:r w:rsidRPr="00EB45F5">
        <w:rPr>
          <w:rFonts w:asciiTheme="majorHAnsi" w:eastAsia="MS PGothic" w:hAnsiTheme="majorHAnsi" w:cs="Calibri"/>
          <w:sz w:val="22"/>
          <w:szCs w:val="22"/>
          <w:lang w:val="en-US" w:eastAsia="ja-JP"/>
        </w:rPr>
        <w:t xml:space="preserve"> hindlimbs, gastroschisis, agnathia, situs inversus, and malformed mandible, misaligned, fused and/or absent caudal vertebrae, split vertebrae, and shortened long bone, </w:t>
      </w:r>
      <w:proofErr w:type="spellStart"/>
      <w:r w:rsidRPr="00EB45F5">
        <w:rPr>
          <w:rFonts w:asciiTheme="majorHAnsi" w:eastAsia="MS PGothic" w:hAnsiTheme="majorHAnsi" w:cs="Calibri"/>
          <w:sz w:val="22"/>
          <w:szCs w:val="22"/>
          <w:lang w:val="en-US" w:eastAsia="ja-JP"/>
        </w:rPr>
        <w:t>malrotated</w:t>
      </w:r>
      <w:proofErr w:type="spellEnd"/>
      <w:r w:rsidRPr="00EB45F5">
        <w:rPr>
          <w:rFonts w:asciiTheme="majorHAnsi" w:eastAsia="MS PGothic" w:hAnsiTheme="majorHAnsi" w:cs="Calibri"/>
          <w:sz w:val="22"/>
          <w:szCs w:val="22"/>
          <w:lang w:val="en-US" w:eastAsia="ja-JP"/>
        </w:rPr>
        <w:t xml:space="preserve"> hindlimb, absent 4th digit of the forepaw asymmetric, fused, incompletely ossified and misshapen </w:t>
      </w:r>
      <w:proofErr w:type="spellStart"/>
      <w:r w:rsidRPr="00EB45F5">
        <w:rPr>
          <w:rFonts w:asciiTheme="majorHAnsi" w:eastAsia="MS PGothic" w:hAnsiTheme="majorHAnsi" w:cs="Calibri"/>
          <w:sz w:val="22"/>
          <w:szCs w:val="22"/>
          <w:lang w:val="en-US" w:eastAsia="ja-JP"/>
        </w:rPr>
        <w:t>sternebrae</w:t>
      </w:r>
      <w:proofErr w:type="spellEnd"/>
      <w:r w:rsidRPr="00EB45F5">
        <w:rPr>
          <w:rFonts w:asciiTheme="majorHAnsi" w:eastAsia="MS PGothic" w:hAnsiTheme="majorHAnsi" w:cs="Calibri"/>
          <w:sz w:val="22"/>
          <w:szCs w:val="22"/>
          <w:lang w:val="en-US" w:eastAsia="ja-JP"/>
        </w:rPr>
        <w:t xml:space="preserve">, misshapen cervical arch and unilateral ossification of the thoracic centra). These adverse embryofetal development effects occurred at exposures less than that expected in patients receiving </w:t>
      </w:r>
      <w:proofErr w:type="spellStart"/>
      <w:r w:rsidRPr="00EB45F5">
        <w:rPr>
          <w:rFonts w:asciiTheme="majorHAnsi" w:eastAsia="MS PGothic" w:hAnsiTheme="majorHAnsi" w:cs="Calibri"/>
          <w:sz w:val="22"/>
          <w:szCs w:val="22"/>
          <w:lang w:val="en-US" w:eastAsia="ja-JP"/>
        </w:rPr>
        <w:t>enfortumab</w:t>
      </w:r>
      <w:proofErr w:type="spellEnd"/>
      <w:r w:rsidRPr="00EB45F5">
        <w:rPr>
          <w:rFonts w:asciiTheme="majorHAnsi" w:eastAsia="MS PGothic" w:hAnsiTheme="majorHAnsi" w:cs="Calibri"/>
          <w:sz w:val="22"/>
          <w:szCs w:val="22"/>
          <w:lang w:val="en-US" w:eastAsia="ja-JP"/>
        </w:rPr>
        <w:t xml:space="preserve"> </w:t>
      </w:r>
      <w:proofErr w:type="spellStart"/>
      <w:r w:rsidRPr="00EB45F5">
        <w:rPr>
          <w:rFonts w:asciiTheme="majorHAnsi" w:eastAsia="MS PGothic" w:hAnsiTheme="majorHAnsi" w:cs="Calibri"/>
          <w:sz w:val="22"/>
          <w:szCs w:val="22"/>
          <w:lang w:val="en-US" w:eastAsia="ja-JP"/>
        </w:rPr>
        <w:t>vedotin</w:t>
      </w:r>
      <w:proofErr w:type="spellEnd"/>
      <w:r w:rsidRPr="00EB45F5">
        <w:rPr>
          <w:rFonts w:asciiTheme="majorHAnsi" w:eastAsia="MS PGothic" w:hAnsiTheme="majorHAnsi" w:cs="Calibri"/>
          <w:sz w:val="22"/>
          <w:szCs w:val="22"/>
          <w:lang w:val="en-US" w:eastAsia="ja-JP"/>
        </w:rPr>
        <w:t xml:space="preserve">. Women of childbearing potential should be advised to avoid becoming pregnant while receiving treatment with PADCEV. Consider obtaining a pregnancy test in females of childbearing potential </w:t>
      </w:r>
      <w:r w:rsidR="00DF3DDF">
        <w:rPr>
          <w:rFonts w:asciiTheme="majorHAnsi" w:eastAsia="MS PGothic" w:hAnsiTheme="majorHAnsi" w:cs="Calibri"/>
          <w:sz w:val="22"/>
          <w:szCs w:val="22"/>
          <w:lang w:val="en-US" w:eastAsia="ja-JP"/>
        </w:rPr>
        <w:t xml:space="preserve">within 7 days </w:t>
      </w:r>
      <w:r w:rsidRPr="00EB45F5">
        <w:rPr>
          <w:rFonts w:asciiTheme="majorHAnsi" w:eastAsia="MS PGothic" w:hAnsiTheme="majorHAnsi" w:cs="Calibri"/>
          <w:sz w:val="22"/>
          <w:szCs w:val="22"/>
          <w:lang w:val="en-US" w:eastAsia="ja-JP"/>
        </w:rPr>
        <w:t xml:space="preserve">prior to initiating treatment with PADCEV. Advise females of reproductive potential to use effective contraception during treatment with PADCEV and for at least </w:t>
      </w:r>
      <w:r w:rsidR="00DF3DDF">
        <w:rPr>
          <w:rFonts w:asciiTheme="majorHAnsi" w:eastAsia="MS PGothic" w:hAnsiTheme="majorHAnsi" w:cs="Calibri"/>
          <w:sz w:val="22"/>
          <w:szCs w:val="22"/>
          <w:lang w:val="en-US" w:eastAsia="ja-JP"/>
        </w:rPr>
        <w:t>7</w:t>
      </w:r>
      <w:r w:rsidR="00DF3DDF" w:rsidRPr="00EB45F5">
        <w:rPr>
          <w:rFonts w:asciiTheme="majorHAnsi" w:eastAsia="MS PGothic" w:hAnsiTheme="majorHAnsi" w:cs="Calibri"/>
          <w:sz w:val="22"/>
          <w:szCs w:val="22"/>
          <w:lang w:val="en-US" w:eastAsia="ja-JP"/>
        </w:rPr>
        <w:t xml:space="preserve"> </w:t>
      </w:r>
      <w:r w:rsidRPr="00EB45F5">
        <w:rPr>
          <w:rFonts w:asciiTheme="majorHAnsi" w:eastAsia="MS PGothic" w:hAnsiTheme="majorHAnsi" w:cs="Calibri"/>
          <w:sz w:val="22"/>
          <w:szCs w:val="22"/>
          <w:lang w:val="en-US" w:eastAsia="ja-JP"/>
        </w:rPr>
        <w:t>months after the last dose. PADCEV should not be used during pregnancy unless the benefit to the mother outweighs the potential risks to the fetus. If PADCEV is used during pregnancy or if the patient becomes pregnant while receiving PADCEV, the patient should be clearly advised on the potential risk to the fetus. See the ‘Effects on fertility’ section above pertaining to advice for women whose male partners are being treated with PADCEV.</w:t>
      </w:r>
    </w:p>
    <w:p w14:paraId="5278F90B" w14:textId="55AE871D" w:rsidR="00CD2383" w:rsidRPr="009063E0" w:rsidRDefault="00CD2383" w:rsidP="009063E0">
      <w:pPr>
        <w:pStyle w:val="Heading3"/>
      </w:pPr>
      <w:r w:rsidRPr="009063E0">
        <w:t xml:space="preserve">Use in </w:t>
      </w:r>
      <w:proofErr w:type="gramStart"/>
      <w:r w:rsidRPr="009063E0">
        <w:t>lactation</w:t>
      </w:r>
      <w:proofErr w:type="gramEnd"/>
    </w:p>
    <w:p w14:paraId="05F70E2A" w14:textId="294D2623" w:rsidR="00CD2383" w:rsidRDefault="00F66D9E" w:rsidP="00F66D9E">
      <w:pPr>
        <w:pStyle w:val="NormalWeb"/>
        <w:rPr>
          <w:rFonts w:asciiTheme="majorHAnsi" w:eastAsia="MS PGothic" w:hAnsiTheme="majorHAnsi" w:cs="Calibri"/>
          <w:sz w:val="22"/>
          <w:szCs w:val="22"/>
          <w:lang w:val="en-US" w:eastAsia="ja-JP"/>
        </w:rPr>
      </w:pPr>
      <w:r w:rsidRPr="00F66D9E">
        <w:rPr>
          <w:rFonts w:asciiTheme="majorHAnsi" w:eastAsia="MS PGothic" w:hAnsiTheme="majorHAnsi" w:cs="Calibri"/>
          <w:sz w:val="22"/>
          <w:szCs w:val="22"/>
          <w:lang w:val="en-US" w:eastAsia="ja-JP"/>
        </w:rPr>
        <w:t xml:space="preserve">It is unknown whether </w:t>
      </w:r>
      <w:proofErr w:type="spellStart"/>
      <w:r w:rsidR="00C867CE">
        <w:rPr>
          <w:rFonts w:asciiTheme="majorHAnsi" w:eastAsia="MS PGothic" w:hAnsiTheme="majorHAnsi" w:cs="Calibri"/>
          <w:sz w:val="22"/>
          <w:szCs w:val="22"/>
          <w:lang w:val="en-US" w:eastAsia="ja-JP"/>
        </w:rPr>
        <w:t>enfortumab</w:t>
      </w:r>
      <w:proofErr w:type="spellEnd"/>
      <w:r w:rsidR="00C867CE">
        <w:rPr>
          <w:rFonts w:asciiTheme="majorHAnsi" w:eastAsia="MS PGothic" w:hAnsiTheme="majorHAnsi" w:cs="Calibri"/>
          <w:sz w:val="22"/>
          <w:szCs w:val="22"/>
          <w:lang w:val="en-US" w:eastAsia="ja-JP"/>
        </w:rPr>
        <w:t xml:space="preserve"> </w:t>
      </w:r>
      <w:proofErr w:type="spellStart"/>
      <w:r w:rsidR="00C867CE">
        <w:rPr>
          <w:rFonts w:asciiTheme="majorHAnsi" w:eastAsia="MS PGothic" w:hAnsiTheme="majorHAnsi" w:cs="Calibri"/>
          <w:sz w:val="22"/>
          <w:szCs w:val="22"/>
          <w:lang w:val="en-US" w:eastAsia="ja-JP"/>
        </w:rPr>
        <w:t>vedotin</w:t>
      </w:r>
      <w:proofErr w:type="spellEnd"/>
      <w:r w:rsidR="00C867CE">
        <w:rPr>
          <w:rFonts w:asciiTheme="majorHAnsi" w:eastAsia="MS PGothic" w:hAnsiTheme="majorHAnsi" w:cs="Calibri"/>
          <w:sz w:val="22"/>
          <w:szCs w:val="22"/>
          <w:lang w:val="en-US" w:eastAsia="ja-JP"/>
        </w:rPr>
        <w:t xml:space="preserve"> or </w:t>
      </w:r>
      <w:r w:rsidR="00896AE0">
        <w:rPr>
          <w:rFonts w:asciiTheme="majorHAnsi" w:eastAsia="MS PGothic" w:hAnsiTheme="majorHAnsi" w:cs="Calibri"/>
          <w:sz w:val="22"/>
          <w:szCs w:val="22"/>
          <w:lang w:val="en-US" w:eastAsia="ja-JP"/>
        </w:rPr>
        <w:t>the cytotoxic moiety, MMAE</w:t>
      </w:r>
      <w:r w:rsidR="000E1F37">
        <w:rPr>
          <w:rFonts w:asciiTheme="majorHAnsi" w:eastAsia="MS PGothic" w:hAnsiTheme="majorHAnsi" w:cs="Calibri"/>
          <w:sz w:val="22"/>
          <w:szCs w:val="22"/>
          <w:lang w:val="en-US" w:eastAsia="ja-JP"/>
        </w:rPr>
        <w:t>,</w:t>
      </w:r>
      <w:r w:rsidR="00C867CE">
        <w:rPr>
          <w:rFonts w:asciiTheme="majorHAnsi" w:eastAsia="MS PGothic" w:hAnsiTheme="majorHAnsi" w:cs="Calibri"/>
          <w:sz w:val="22"/>
          <w:szCs w:val="22"/>
          <w:lang w:val="en-US" w:eastAsia="ja-JP"/>
        </w:rPr>
        <w:t xml:space="preserve"> are</w:t>
      </w:r>
      <w:r w:rsidRPr="00F66D9E">
        <w:rPr>
          <w:rFonts w:asciiTheme="majorHAnsi" w:eastAsia="MS PGothic" w:hAnsiTheme="majorHAnsi" w:cs="Calibri"/>
          <w:sz w:val="22"/>
          <w:szCs w:val="22"/>
          <w:lang w:val="en-US" w:eastAsia="ja-JP"/>
        </w:rPr>
        <w:t xml:space="preserve"> excreted in human milk. </w:t>
      </w:r>
      <w:r w:rsidR="00C867CE" w:rsidRPr="00C867CE">
        <w:rPr>
          <w:rFonts w:asciiTheme="majorHAnsi" w:eastAsia="MS PGothic" w:hAnsiTheme="majorHAnsi" w:cs="Calibri"/>
          <w:sz w:val="22"/>
          <w:szCs w:val="22"/>
          <w:lang w:val="en-US" w:eastAsia="ja-JP"/>
        </w:rPr>
        <w:t>No studies have been conducted to assess the impact of PADCEV on milk production or its presence in breast milk. Since many drugs are excreted in human milk and because of the potential for serious adverse reactions in breastfeeding infants due to PADCEV,</w:t>
      </w:r>
      <w:r w:rsidR="00C867CE">
        <w:rPr>
          <w:rFonts w:asciiTheme="majorHAnsi" w:eastAsia="MS PGothic" w:hAnsiTheme="majorHAnsi" w:cs="Calibri"/>
          <w:sz w:val="22"/>
          <w:szCs w:val="22"/>
          <w:lang w:val="en-US" w:eastAsia="ja-JP"/>
        </w:rPr>
        <w:t xml:space="preserve"> a</w:t>
      </w:r>
      <w:r w:rsidRPr="00F66D9E">
        <w:rPr>
          <w:rFonts w:asciiTheme="majorHAnsi" w:eastAsia="MS PGothic" w:hAnsiTheme="majorHAnsi" w:cs="Calibri"/>
          <w:sz w:val="22"/>
          <w:szCs w:val="22"/>
          <w:lang w:val="en-US" w:eastAsia="ja-JP"/>
        </w:rPr>
        <w:t xml:space="preserve"> risk to breast-fed children cannot be excluded. Breastfeeding should be discontinued during PADCEV treatment and for at least 6</w:t>
      </w:r>
      <w:r w:rsidR="006F351A">
        <w:rPr>
          <w:rFonts w:asciiTheme="majorHAnsi" w:eastAsia="MS PGothic" w:hAnsiTheme="majorHAnsi" w:cs="Calibri"/>
          <w:sz w:val="22"/>
          <w:szCs w:val="22"/>
          <w:lang w:val="en-US" w:eastAsia="ja-JP"/>
        </w:rPr>
        <w:t> </w:t>
      </w:r>
      <w:r w:rsidRPr="00F66D9E">
        <w:rPr>
          <w:rFonts w:asciiTheme="majorHAnsi" w:eastAsia="MS PGothic" w:hAnsiTheme="majorHAnsi" w:cs="Calibri"/>
          <w:sz w:val="22"/>
          <w:szCs w:val="22"/>
          <w:lang w:val="en-US" w:eastAsia="ja-JP"/>
        </w:rPr>
        <w:t>months after the last dose.</w:t>
      </w:r>
    </w:p>
    <w:p w14:paraId="0FBCE85B" w14:textId="77777777" w:rsidR="00580CD8" w:rsidRPr="00F66D9E" w:rsidRDefault="00580CD8" w:rsidP="00F66D9E">
      <w:pPr>
        <w:pStyle w:val="NormalWeb"/>
        <w:rPr>
          <w:rFonts w:asciiTheme="majorHAnsi" w:eastAsia="Times New Roman" w:hAnsiTheme="majorHAnsi"/>
        </w:rPr>
      </w:pPr>
    </w:p>
    <w:p w14:paraId="71E71BB3" w14:textId="7D33917D" w:rsidR="00CD2383" w:rsidRPr="009063E0" w:rsidRDefault="00CD2383" w:rsidP="009063E0">
      <w:pPr>
        <w:pStyle w:val="Heading2"/>
      </w:pPr>
      <w:r w:rsidRPr="009063E0">
        <w:lastRenderedPageBreak/>
        <w:t>Effects on ab</w:t>
      </w:r>
      <w:r>
        <w:t>ility to drive and use machines</w:t>
      </w:r>
    </w:p>
    <w:p w14:paraId="4A1E95F1" w14:textId="2690127A" w:rsidR="00CD2383" w:rsidRPr="00F66D9E" w:rsidRDefault="00F66D9E" w:rsidP="00F66D9E">
      <w:pPr>
        <w:pStyle w:val="NormalWeb"/>
        <w:rPr>
          <w:rFonts w:asciiTheme="majorHAnsi" w:eastAsia="Times New Roman" w:hAnsiTheme="majorHAnsi"/>
        </w:rPr>
      </w:pPr>
      <w:r w:rsidRPr="00F66D9E">
        <w:rPr>
          <w:rFonts w:asciiTheme="majorHAnsi" w:eastAsia="MS PGothic" w:hAnsiTheme="majorHAnsi" w:cs="Calibri"/>
          <w:sz w:val="22"/>
          <w:szCs w:val="22"/>
          <w:lang w:val="en-US" w:eastAsia="ja-JP"/>
        </w:rPr>
        <w:t>The effects of this medicine on a person's ability to drive and use machines were not assessed as part of its registration</w:t>
      </w:r>
      <w:r w:rsidRPr="00F66D9E">
        <w:rPr>
          <w:rFonts w:asciiTheme="majorHAnsi" w:eastAsia="MS Mincho" w:hAnsiTheme="majorHAnsi"/>
          <w:sz w:val="22"/>
          <w:szCs w:val="22"/>
          <w:lang w:eastAsia="ja-JP"/>
        </w:rPr>
        <w:t>.</w:t>
      </w:r>
    </w:p>
    <w:p w14:paraId="126B1865" w14:textId="6BAB12B3" w:rsidR="00CD2383" w:rsidRPr="009063E0" w:rsidRDefault="00CD2383" w:rsidP="009063E0">
      <w:pPr>
        <w:pStyle w:val="Heading2"/>
      </w:pPr>
      <w:r w:rsidRPr="009063E0">
        <w:t>Adverse effects (Undesirable effects)</w:t>
      </w:r>
    </w:p>
    <w:p w14:paraId="27D4034E" w14:textId="7961791F" w:rsidR="00F66D9E" w:rsidRPr="00F66D9E" w:rsidRDefault="00F66D9E" w:rsidP="00F66D9E">
      <w:pPr>
        <w:pStyle w:val="NormalWeb"/>
        <w:rPr>
          <w:rFonts w:asciiTheme="majorHAnsi" w:eastAsia="MS PGothic" w:hAnsiTheme="majorHAnsi" w:cs="Calibri"/>
          <w:sz w:val="22"/>
          <w:szCs w:val="22"/>
          <w:lang w:val="en-US" w:eastAsia="ja-JP"/>
        </w:rPr>
      </w:pPr>
      <w:r w:rsidRPr="00652C13">
        <w:rPr>
          <w:rFonts w:asciiTheme="majorHAnsi" w:eastAsia="MS Mincho" w:hAnsiTheme="majorHAnsi"/>
          <w:sz w:val="22"/>
          <w:szCs w:val="22"/>
          <w:lang w:eastAsia="ja-JP"/>
        </w:rPr>
        <w:t>The</w:t>
      </w:r>
      <w:r w:rsidRPr="00F66D9E">
        <w:rPr>
          <w:rFonts w:asciiTheme="majorHAnsi" w:eastAsia="MS PGothic" w:hAnsiTheme="majorHAnsi" w:cs="Calibri"/>
          <w:sz w:val="22"/>
          <w:szCs w:val="22"/>
          <w:lang w:val="en-US" w:eastAsia="ja-JP"/>
        </w:rPr>
        <w:t xml:space="preserve"> safety of PADCEV was evaluated as monotherapy in 680 patients who received at least one dose of PADCEV 1.25 mg/kg in two phase 1 studies (EV-101 and EV-102), one phase 2 study (EV-201) and one phase 3 study (EV-301). </w:t>
      </w:r>
    </w:p>
    <w:p w14:paraId="0B8F8F7F" w14:textId="77777777" w:rsidR="00F66D9E" w:rsidRPr="00F66D9E" w:rsidRDefault="00F66D9E" w:rsidP="00E32277">
      <w:pPr>
        <w:rPr>
          <w:rFonts w:asciiTheme="majorHAnsi" w:eastAsia="MS PGothic" w:hAnsiTheme="majorHAnsi" w:cs="Calibri"/>
          <w:lang w:val="en-US" w:eastAsia="ja-JP"/>
        </w:rPr>
      </w:pPr>
      <w:r w:rsidRPr="00F66D9E">
        <w:rPr>
          <w:rFonts w:asciiTheme="majorHAnsi" w:eastAsia="MS PGothic" w:hAnsiTheme="majorHAnsi" w:cs="Calibri"/>
          <w:lang w:val="en-US" w:eastAsia="ja-JP"/>
        </w:rPr>
        <w:t xml:space="preserve">Serious adverse events occurred in 45% of patients. The most common serious adverse reactions (≥2%) were </w:t>
      </w:r>
      <w:proofErr w:type="spellStart"/>
      <w:r w:rsidRPr="00F66D9E">
        <w:rPr>
          <w:rFonts w:asciiTheme="majorHAnsi" w:eastAsia="MS PGothic" w:hAnsiTheme="majorHAnsi" w:cs="Calibri"/>
          <w:lang w:val="en-US" w:eastAsia="ja-JP"/>
        </w:rPr>
        <w:t>diarrhoea</w:t>
      </w:r>
      <w:proofErr w:type="spellEnd"/>
      <w:r w:rsidRPr="00F66D9E">
        <w:rPr>
          <w:rFonts w:asciiTheme="majorHAnsi" w:eastAsia="MS PGothic" w:hAnsiTheme="majorHAnsi" w:cs="Calibri"/>
          <w:lang w:val="en-US" w:eastAsia="ja-JP"/>
        </w:rPr>
        <w:t xml:space="preserve"> (2%) and </w:t>
      </w:r>
      <w:proofErr w:type="spellStart"/>
      <w:r w:rsidRPr="00F66D9E">
        <w:rPr>
          <w:rFonts w:asciiTheme="majorHAnsi" w:eastAsia="MS PGothic" w:hAnsiTheme="majorHAnsi" w:cs="Calibri"/>
          <w:lang w:val="en-US" w:eastAsia="ja-JP"/>
        </w:rPr>
        <w:t>hyperglycaemia</w:t>
      </w:r>
      <w:proofErr w:type="spellEnd"/>
      <w:r w:rsidRPr="00F66D9E">
        <w:rPr>
          <w:rFonts w:asciiTheme="majorHAnsi" w:eastAsia="MS PGothic" w:hAnsiTheme="majorHAnsi" w:cs="Calibri"/>
          <w:lang w:val="en-US" w:eastAsia="ja-JP"/>
        </w:rPr>
        <w:t xml:space="preserve"> (2%). Nineteen percent of patients permanently discontinued PADCEV for adverse events; the most common adverse reaction (≥2%) leading to dose discontinuation was peripheral sensory neuropathy (4%). Adverse events leading to dose interruption occurred in 62% of patients; the most common adverse reactions (≥2%) leading to dose interruption were peripheral sensory neuropathy (15%), fatigue (7%), rash maculo-papular (4%), aspartate aminotransferase increased (4%), alanine aminotransferase increased (4%), anemia (3%), </w:t>
      </w:r>
      <w:proofErr w:type="spellStart"/>
      <w:r w:rsidRPr="00F66D9E">
        <w:rPr>
          <w:rFonts w:asciiTheme="majorHAnsi" w:eastAsia="MS PGothic" w:hAnsiTheme="majorHAnsi" w:cs="Calibri"/>
          <w:lang w:val="en-US" w:eastAsia="ja-JP"/>
        </w:rPr>
        <w:t>diarrhoea</w:t>
      </w:r>
      <w:proofErr w:type="spellEnd"/>
      <w:r w:rsidRPr="00F66D9E">
        <w:rPr>
          <w:rFonts w:asciiTheme="majorHAnsi" w:eastAsia="MS PGothic" w:hAnsiTheme="majorHAnsi" w:cs="Calibri"/>
          <w:lang w:val="en-US" w:eastAsia="ja-JP"/>
        </w:rPr>
        <w:t xml:space="preserve"> (3%) and </w:t>
      </w:r>
      <w:proofErr w:type="spellStart"/>
      <w:r w:rsidRPr="00F66D9E">
        <w:rPr>
          <w:rFonts w:asciiTheme="majorHAnsi" w:eastAsia="MS PGothic" w:hAnsiTheme="majorHAnsi" w:cs="Calibri"/>
          <w:lang w:val="en-US" w:eastAsia="ja-JP"/>
        </w:rPr>
        <w:t>hyperglycaemia</w:t>
      </w:r>
      <w:proofErr w:type="spellEnd"/>
      <w:r w:rsidRPr="00F66D9E">
        <w:rPr>
          <w:rFonts w:asciiTheme="majorHAnsi" w:eastAsia="MS PGothic" w:hAnsiTheme="majorHAnsi" w:cs="Calibri"/>
          <w:lang w:val="en-US" w:eastAsia="ja-JP"/>
        </w:rPr>
        <w:t xml:space="preserve"> (3%). Thirty-five percent of patients required a dose reduction due to an adverse event; the most common adverse reactions (≥2%) leading to a dose reduction were peripheral sensory neuropathy (10%), fatigue (5%), rash maculo-papular (4%) and decreased appetite (2%). </w:t>
      </w:r>
    </w:p>
    <w:p w14:paraId="1D80AB8B" w14:textId="77777777" w:rsidR="00F66D9E" w:rsidRPr="00F66D9E" w:rsidRDefault="00F66D9E" w:rsidP="00782B99">
      <w:pPr>
        <w:keepNext/>
        <w:keepLines/>
        <w:spacing w:after="0"/>
        <w:rPr>
          <w:rFonts w:asciiTheme="majorHAnsi" w:eastAsia="MS PGothic" w:hAnsiTheme="majorHAnsi" w:cs="Calibri"/>
          <w:u w:val="single"/>
          <w:lang w:val="en-US" w:eastAsia="ja-JP"/>
        </w:rPr>
      </w:pPr>
      <w:r w:rsidRPr="00F66D9E">
        <w:rPr>
          <w:rFonts w:asciiTheme="majorHAnsi" w:eastAsia="MS PGothic" w:hAnsiTheme="majorHAnsi" w:cs="Calibri"/>
          <w:u w:val="single"/>
          <w:lang w:val="en-US" w:eastAsia="ja-JP"/>
        </w:rPr>
        <w:t>Tabulated summary of adverse reactions</w:t>
      </w:r>
    </w:p>
    <w:p w14:paraId="18A07FA2" w14:textId="2F481629" w:rsidR="00C855D2" w:rsidRPr="00F66D9E" w:rsidRDefault="00F66D9E" w:rsidP="00782B99">
      <w:pPr>
        <w:keepNext/>
        <w:keepLines/>
        <w:rPr>
          <w:rFonts w:asciiTheme="majorHAnsi" w:eastAsia="MS PGothic" w:hAnsiTheme="majorHAnsi" w:cs="Calibri"/>
          <w:lang w:val="en-US" w:eastAsia="ja-JP"/>
        </w:rPr>
      </w:pPr>
      <w:r w:rsidRPr="00F66D9E">
        <w:rPr>
          <w:rFonts w:asciiTheme="majorHAnsi" w:eastAsia="MS PGothic" w:hAnsiTheme="majorHAnsi" w:cs="Calibri"/>
          <w:lang w:val="en-US" w:eastAsia="ja-JP"/>
        </w:rPr>
        <w:t>Adverse reactions observed during clinical studies are listed in this section by frequency category. Frequency categories are defined as follows: very common (≥1/10); common (≥1/100 to &lt;1/10); uncommon (≥1/1,000 to &lt;1/100); rare (≥1/10,000 to &lt;1/1,000); very rare (&lt;1/10,000); not known (cannot be estimated from the available data).</w:t>
      </w:r>
    </w:p>
    <w:p w14:paraId="7B5EE8A4" w14:textId="1C53EFE0" w:rsidR="00F66D9E" w:rsidRPr="00F66D9E" w:rsidRDefault="00F66D9E" w:rsidP="002971ED">
      <w:pPr>
        <w:pStyle w:val="Caption"/>
        <w:keepNext/>
        <w:keepLines/>
        <w:rPr>
          <w:rFonts w:asciiTheme="majorHAnsi" w:eastAsia="MS PGothic" w:hAnsiTheme="majorHAnsi" w:cs="Calibri"/>
          <w:bCs w:val="0"/>
          <w:lang w:val="en-US" w:eastAsia="ja-JP"/>
        </w:rPr>
      </w:pPr>
      <w:r w:rsidRPr="00F66D9E">
        <w:rPr>
          <w:rFonts w:asciiTheme="majorHAnsi" w:eastAsia="MS PGothic" w:hAnsiTheme="majorHAnsi" w:cs="Calibri"/>
          <w:bCs w:val="0"/>
          <w:lang w:val="en-US" w:eastAsia="ja-JP"/>
        </w:rPr>
        <w:t xml:space="preserve">Table </w:t>
      </w:r>
      <w:r w:rsidRPr="00F66D9E">
        <w:rPr>
          <w:rFonts w:asciiTheme="majorHAnsi" w:eastAsia="MS PGothic" w:hAnsiTheme="majorHAnsi" w:cs="Calibri"/>
          <w:bCs w:val="0"/>
          <w:lang w:val="en-US" w:eastAsia="ja-JP"/>
        </w:rPr>
        <w:fldChar w:fldCharType="begin"/>
      </w:r>
      <w:r w:rsidRPr="00F66D9E">
        <w:rPr>
          <w:rFonts w:asciiTheme="majorHAnsi" w:eastAsia="MS PGothic" w:hAnsiTheme="majorHAnsi" w:cs="Calibri"/>
          <w:bCs w:val="0"/>
          <w:lang w:val="en-US" w:eastAsia="ja-JP"/>
        </w:rPr>
        <w:instrText xml:space="preserve"> SEQ Table \* ARABIC </w:instrText>
      </w:r>
      <w:r w:rsidRPr="00F66D9E">
        <w:rPr>
          <w:rFonts w:asciiTheme="majorHAnsi" w:eastAsia="MS PGothic" w:hAnsiTheme="majorHAnsi" w:cs="Calibri"/>
          <w:bCs w:val="0"/>
          <w:lang w:val="en-US" w:eastAsia="ja-JP"/>
        </w:rPr>
        <w:fldChar w:fldCharType="separate"/>
      </w:r>
      <w:r w:rsidR="000F0B8F">
        <w:rPr>
          <w:rFonts w:asciiTheme="majorHAnsi" w:eastAsia="MS PGothic" w:hAnsiTheme="majorHAnsi" w:cs="Calibri"/>
          <w:bCs w:val="0"/>
          <w:noProof/>
          <w:lang w:val="en-US" w:eastAsia="ja-JP"/>
        </w:rPr>
        <w:t>3</w:t>
      </w:r>
      <w:r w:rsidRPr="00F66D9E">
        <w:rPr>
          <w:rFonts w:asciiTheme="majorHAnsi" w:eastAsia="MS PGothic" w:hAnsiTheme="majorHAnsi" w:cs="Calibri"/>
          <w:bCs w:val="0"/>
          <w:lang w:val="en-US" w:eastAsia="ja-JP"/>
        </w:rPr>
        <w:fldChar w:fldCharType="end"/>
      </w:r>
      <w:r w:rsidR="00891D73">
        <w:rPr>
          <w:rFonts w:asciiTheme="majorHAnsi" w:eastAsia="MS PGothic" w:hAnsiTheme="majorHAnsi" w:cs="Calibri"/>
          <w:bCs w:val="0"/>
          <w:lang w:val="en-US" w:eastAsia="ja-JP"/>
        </w:rPr>
        <w:t>.</w:t>
      </w:r>
      <w:r w:rsidRPr="00F66D9E">
        <w:rPr>
          <w:rFonts w:asciiTheme="majorHAnsi" w:eastAsia="MS PGothic" w:hAnsiTheme="majorHAnsi" w:cs="Calibri"/>
          <w:bCs w:val="0"/>
          <w:lang w:val="en-US" w:eastAsia="ja-JP"/>
        </w:rPr>
        <w:t xml:space="preserve"> Adverse Reactions</w:t>
      </w:r>
      <w:r w:rsidR="002971ED">
        <w:rPr>
          <w:rFonts w:asciiTheme="majorHAnsi" w:eastAsia="MS PGothic" w:hAnsiTheme="majorHAnsi" w:cs="Calibri"/>
          <w:bCs w:val="0"/>
          <w:lang w:val="en-US" w:eastAsia="ja-JP"/>
        </w:rPr>
        <w:t xml:space="preserve"> </w:t>
      </w:r>
      <w:r w:rsidR="002971ED" w:rsidRPr="002971ED">
        <w:rPr>
          <w:rFonts w:asciiTheme="majorHAnsi" w:eastAsia="MS PGothic" w:hAnsiTheme="majorHAnsi" w:cs="Calibri"/>
          <w:bCs w:val="0"/>
          <w:lang w:val="en-US" w:eastAsia="ja-JP"/>
        </w:rPr>
        <w:t>(≥1</w:t>
      </w:r>
      <w:r w:rsidR="00783280">
        <w:rPr>
          <w:rFonts w:asciiTheme="majorHAnsi" w:eastAsia="MS PGothic" w:hAnsiTheme="majorHAnsi" w:cs="Calibri"/>
          <w:bCs w:val="0"/>
          <w:lang w:val="en-US" w:eastAsia="ja-JP"/>
        </w:rPr>
        <w:t>0</w:t>
      </w:r>
      <w:r w:rsidR="002971ED" w:rsidRPr="002971ED">
        <w:rPr>
          <w:rFonts w:asciiTheme="majorHAnsi" w:eastAsia="MS PGothic" w:hAnsiTheme="majorHAnsi" w:cs="Calibri"/>
          <w:bCs w:val="0"/>
          <w:lang w:val="en-US" w:eastAsia="ja-JP"/>
        </w:rPr>
        <w:t>%)</w:t>
      </w:r>
      <w:r w:rsidR="002971ED">
        <w:rPr>
          <w:rFonts w:asciiTheme="majorHAnsi" w:eastAsia="MS PGothic" w:hAnsiTheme="majorHAnsi" w:cs="Calibri"/>
          <w:bCs w:val="0"/>
          <w:lang w:val="en-US" w:eastAsia="ja-JP"/>
        </w:rPr>
        <w:t>, Integrated Safety Set and EV-301 Study</w:t>
      </w:r>
    </w:p>
    <w:tbl>
      <w:tblPr>
        <w:tblStyle w:val="TableGrid"/>
        <w:tblW w:w="5000" w:type="pct"/>
        <w:tblLook w:val="04A0" w:firstRow="1" w:lastRow="0" w:firstColumn="1" w:lastColumn="0" w:noHBand="0" w:noVBand="1"/>
      </w:tblPr>
      <w:tblGrid>
        <w:gridCol w:w="1926"/>
        <w:gridCol w:w="1456"/>
        <w:gridCol w:w="1385"/>
        <w:gridCol w:w="1098"/>
        <w:gridCol w:w="1027"/>
        <w:gridCol w:w="1098"/>
        <w:gridCol w:w="1027"/>
      </w:tblGrid>
      <w:tr w:rsidR="00B129AB" w:rsidRPr="007662B4" w14:paraId="409E6159" w14:textId="77777777" w:rsidTr="00A70CBB">
        <w:trPr>
          <w:tblHeader/>
        </w:trPr>
        <w:tc>
          <w:tcPr>
            <w:tcW w:w="1924" w:type="dxa"/>
            <w:vMerge w:val="restart"/>
            <w:vAlign w:val="bottom"/>
          </w:tcPr>
          <w:p w14:paraId="5E0B86AA" w14:textId="499AE3FC" w:rsidR="00B129AB" w:rsidRPr="007662B4" w:rsidRDefault="00B129AB" w:rsidP="002D2D3B">
            <w:pPr>
              <w:keepNext/>
              <w:rPr>
                <w:rFonts w:asciiTheme="majorHAnsi" w:hAnsiTheme="majorHAnsi" w:cs="Arial"/>
                <w:b/>
                <w:sz w:val="20"/>
                <w:szCs w:val="20"/>
                <w:lang w:val="en-US"/>
              </w:rPr>
            </w:pPr>
            <w:r w:rsidRPr="002D2D3B">
              <w:rPr>
                <w:rFonts w:asciiTheme="majorHAnsi" w:hAnsiTheme="majorHAnsi" w:cs="Arial"/>
                <w:b/>
                <w:sz w:val="20"/>
                <w:szCs w:val="20"/>
                <w:lang w:val="en-US"/>
              </w:rPr>
              <w:t xml:space="preserve">Adverse </w:t>
            </w:r>
            <w:proofErr w:type="spellStart"/>
            <w:r w:rsidRPr="002D2D3B">
              <w:rPr>
                <w:rFonts w:asciiTheme="majorHAnsi" w:hAnsiTheme="majorHAnsi" w:cs="Arial"/>
                <w:b/>
                <w:sz w:val="20"/>
                <w:szCs w:val="20"/>
                <w:lang w:val="en-US"/>
              </w:rPr>
              <w:t>Reaction</w:t>
            </w:r>
            <w:r w:rsidR="00310796" w:rsidRPr="007662B4">
              <w:rPr>
                <w:rFonts w:asciiTheme="majorHAnsi" w:hAnsiTheme="majorHAnsi" w:cs="Arial"/>
                <w:b/>
                <w:sz w:val="20"/>
                <w:szCs w:val="20"/>
                <w:vertAlign w:val="superscript"/>
                <w:lang w:val="en-US"/>
              </w:rPr>
              <w:t>a</w:t>
            </w:r>
            <w:proofErr w:type="spellEnd"/>
          </w:p>
        </w:tc>
        <w:tc>
          <w:tcPr>
            <w:tcW w:w="2837" w:type="dxa"/>
            <w:gridSpan w:val="2"/>
          </w:tcPr>
          <w:p w14:paraId="58023AE0" w14:textId="43930A62" w:rsidR="00B129AB" w:rsidRPr="007662B4" w:rsidRDefault="00B129AB" w:rsidP="002D2D3B">
            <w:pPr>
              <w:keepNext/>
              <w:jc w:val="center"/>
              <w:rPr>
                <w:rFonts w:asciiTheme="majorHAnsi" w:hAnsiTheme="majorHAnsi" w:cs="Arial"/>
                <w:b/>
                <w:sz w:val="20"/>
                <w:szCs w:val="20"/>
                <w:lang w:val="en-US"/>
              </w:rPr>
            </w:pPr>
            <w:r w:rsidRPr="007662B4">
              <w:rPr>
                <w:rFonts w:asciiTheme="majorHAnsi" w:hAnsiTheme="majorHAnsi" w:cs="Arial"/>
                <w:b/>
                <w:sz w:val="20"/>
                <w:szCs w:val="20"/>
                <w:lang w:val="en-US"/>
              </w:rPr>
              <w:t xml:space="preserve">Integrated Safety </w:t>
            </w:r>
            <w:proofErr w:type="spellStart"/>
            <w:r w:rsidRPr="007662B4">
              <w:rPr>
                <w:rFonts w:asciiTheme="majorHAnsi" w:hAnsiTheme="majorHAnsi" w:cs="Arial"/>
                <w:b/>
                <w:sz w:val="20"/>
                <w:szCs w:val="20"/>
                <w:lang w:val="en-US"/>
              </w:rPr>
              <w:t>Set</w:t>
            </w:r>
            <w:r w:rsidRPr="007662B4">
              <w:rPr>
                <w:rFonts w:asciiTheme="majorHAnsi" w:hAnsiTheme="majorHAnsi" w:cs="Arial"/>
                <w:b/>
                <w:sz w:val="20"/>
                <w:szCs w:val="20"/>
                <w:vertAlign w:val="superscript"/>
                <w:lang w:val="en-US"/>
              </w:rPr>
              <w:t>b</w:t>
            </w:r>
            <w:proofErr w:type="spellEnd"/>
          </w:p>
        </w:tc>
        <w:tc>
          <w:tcPr>
            <w:tcW w:w="4246" w:type="dxa"/>
            <w:gridSpan w:val="4"/>
            <w:vAlign w:val="center"/>
          </w:tcPr>
          <w:p w14:paraId="7E027DBB" w14:textId="120DEC5E" w:rsidR="00B129AB" w:rsidRPr="007662B4" w:rsidRDefault="00B129AB" w:rsidP="002D2D3B">
            <w:pPr>
              <w:keepNext/>
              <w:jc w:val="center"/>
              <w:rPr>
                <w:rFonts w:asciiTheme="majorHAnsi" w:hAnsiTheme="majorHAnsi" w:cs="Arial"/>
                <w:b/>
                <w:sz w:val="20"/>
                <w:szCs w:val="20"/>
                <w:lang w:val="en-US"/>
              </w:rPr>
            </w:pPr>
            <w:r w:rsidRPr="007662B4">
              <w:rPr>
                <w:rFonts w:asciiTheme="majorHAnsi" w:hAnsiTheme="majorHAnsi" w:cs="Arial"/>
                <w:b/>
                <w:sz w:val="20"/>
                <w:szCs w:val="20"/>
                <w:lang w:val="en-US"/>
              </w:rPr>
              <w:t>EV-301</w:t>
            </w:r>
          </w:p>
        </w:tc>
      </w:tr>
      <w:tr w:rsidR="00B129AB" w:rsidRPr="007662B4" w14:paraId="499F0E12" w14:textId="77777777" w:rsidTr="00A70CBB">
        <w:trPr>
          <w:tblHeader/>
        </w:trPr>
        <w:tc>
          <w:tcPr>
            <w:tcW w:w="1924" w:type="dxa"/>
            <w:vMerge/>
            <w:vAlign w:val="bottom"/>
          </w:tcPr>
          <w:p w14:paraId="302B4B61" w14:textId="02D6EA45" w:rsidR="00B129AB" w:rsidRPr="002D2D3B" w:rsidRDefault="00B129AB" w:rsidP="002D2D3B">
            <w:pPr>
              <w:keepNext/>
              <w:rPr>
                <w:rFonts w:asciiTheme="majorHAnsi" w:hAnsiTheme="majorHAnsi" w:cs="Arial"/>
                <w:sz w:val="20"/>
                <w:szCs w:val="20"/>
                <w:lang w:val="en-US"/>
              </w:rPr>
            </w:pPr>
          </w:p>
        </w:tc>
        <w:tc>
          <w:tcPr>
            <w:tcW w:w="2837" w:type="dxa"/>
            <w:gridSpan w:val="2"/>
          </w:tcPr>
          <w:p w14:paraId="2FB5168A" w14:textId="77777777" w:rsidR="00B129AB" w:rsidRPr="007662B4" w:rsidRDefault="00B129AB" w:rsidP="002D2D3B">
            <w:pPr>
              <w:keepNext/>
              <w:jc w:val="center"/>
              <w:rPr>
                <w:rFonts w:asciiTheme="majorHAnsi" w:hAnsiTheme="majorHAnsi" w:cs="Arial"/>
                <w:b/>
                <w:sz w:val="20"/>
                <w:szCs w:val="20"/>
                <w:lang w:val="en-US"/>
              </w:rPr>
            </w:pPr>
            <w:r w:rsidRPr="007662B4">
              <w:rPr>
                <w:rFonts w:asciiTheme="majorHAnsi" w:hAnsiTheme="majorHAnsi" w:cs="Arial"/>
                <w:b/>
                <w:sz w:val="20"/>
                <w:szCs w:val="20"/>
                <w:lang w:val="en-US"/>
              </w:rPr>
              <w:t>PADCEV</w:t>
            </w:r>
          </w:p>
          <w:p w14:paraId="01E06B6E" w14:textId="35BCC797" w:rsidR="00B129AB" w:rsidRPr="007662B4" w:rsidRDefault="00B129AB" w:rsidP="002D2D3B">
            <w:pPr>
              <w:keepNext/>
              <w:jc w:val="center"/>
              <w:rPr>
                <w:rFonts w:asciiTheme="majorHAnsi" w:hAnsiTheme="majorHAnsi" w:cs="Arial"/>
                <w:b/>
                <w:sz w:val="20"/>
                <w:szCs w:val="20"/>
                <w:lang w:val="en-US"/>
              </w:rPr>
            </w:pPr>
            <w:r w:rsidRPr="007662B4">
              <w:rPr>
                <w:rFonts w:asciiTheme="majorHAnsi" w:hAnsiTheme="majorHAnsi" w:cs="Arial"/>
                <w:b/>
                <w:sz w:val="20"/>
                <w:szCs w:val="20"/>
                <w:lang w:val="en-US"/>
              </w:rPr>
              <w:t>n=680</w:t>
            </w:r>
          </w:p>
        </w:tc>
        <w:tc>
          <w:tcPr>
            <w:tcW w:w="2123" w:type="dxa"/>
            <w:gridSpan w:val="2"/>
            <w:vAlign w:val="center"/>
          </w:tcPr>
          <w:p w14:paraId="07F79784" w14:textId="7570C271" w:rsidR="00B129AB" w:rsidRPr="002D2D3B" w:rsidRDefault="00B129AB" w:rsidP="002D2D3B">
            <w:pPr>
              <w:keepNext/>
              <w:jc w:val="center"/>
              <w:rPr>
                <w:rFonts w:asciiTheme="majorHAnsi" w:hAnsiTheme="majorHAnsi" w:cs="Arial"/>
                <w:sz w:val="20"/>
                <w:szCs w:val="20"/>
                <w:lang w:val="en-US"/>
              </w:rPr>
            </w:pPr>
            <w:r w:rsidRPr="002D2D3B">
              <w:rPr>
                <w:rFonts w:asciiTheme="majorHAnsi" w:hAnsiTheme="majorHAnsi" w:cs="Arial"/>
                <w:b/>
                <w:sz w:val="20"/>
                <w:szCs w:val="20"/>
                <w:lang w:val="en-US"/>
              </w:rPr>
              <w:t>PADCEV</w:t>
            </w:r>
          </w:p>
          <w:p w14:paraId="407C5D2C" w14:textId="77777777" w:rsidR="00B129AB" w:rsidRPr="002D2D3B" w:rsidRDefault="00B129AB" w:rsidP="002D2D3B">
            <w:pPr>
              <w:keepNext/>
              <w:jc w:val="center"/>
              <w:rPr>
                <w:rFonts w:asciiTheme="majorHAnsi" w:hAnsiTheme="majorHAnsi" w:cs="Arial"/>
                <w:sz w:val="20"/>
                <w:szCs w:val="20"/>
                <w:lang w:val="en-US"/>
              </w:rPr>
            </w:pPr>
            <w:r w:rsidRPr="002D2D3B">
              <w:rPr>
                <w:rFonts w:asciiTheme="majorHAnsi" w:hAnsiTheme="majorHAnsi" w:cs="Arial"/>
                <w:b/>
                <w:sz w:val="20"/>
                <w:szCs w:val="20"/>
                <w:lang w:val="en-US"/>
              </w:rPr>
              <w:t>n=296</w:t>
            </w:r>
          </w:p>
        </w:tc>
        <w:tc>
          <w:tcPr>
            <w:tcW w:w="2123" w:type="dxa"/>
            <w:gridSpan w:val="2"/>
            <w:vAlign w:val="center"/>
          </w:tcPr>
          <w:p w14:paraId="7E0F3FFD" w14:textId="77777777" w:rsidR="00B129AB" w:rsidRPr="002D2D3B" w:rsidRDefault="00B129AB" w:rsidP="002D2D3B">
            <w:pPr>
              <w:keepNext/>
              <w:jc w:val="center"/>
              <w:rPr>
                <w:rFonts w:asciiTheme="majorHAnsi" w:hAnsiTheme="majorHAnsi" w:cs="Arial"/>
                <w:sz w:val="20"/>
                <w:szCs w:val="20"/>
                <w:lang w:val="en-US"/>
              </w:rPr>
            </w:pPr>
            <w:r w:rsidRPr="002D2D3B">
              <w:rPr>
                <w:rFonts w:asciiTheme="majorHAnsi" w:hAnsiTheme="majorHAnsi" w:cs="Arial"/>
                <w:b/>
                <w:sz w:val="20"/>
                <w:szCs w:val="20"/>
                <w:lang w:val="en-US"/>
              </w:rPr>
              <w:t>Chemotherapy</w:t>
            </w:r>
          </w:p>
          <w:p w14:paraId="2A16D967" w14:textId="77777777" w:rsidR="00B129AB" w:rsidRPr="002D2D3B" w:rsidRDefault="00B129AB" w:rsidP="002D2D3B">
            <w:pPr>
              <w:keepNext/>
              <w:jc w:val="center"/>
              <w:rPr>
                <w:rFonts w:asciiTheme="majorHAnsi" w:hAnsiTheme="majorHAnsi" w:cs="Arial"/>
                <w:sz w:val="20"/>
                <w:szCs w:val="20"/>
                <w:lang w:val="en-US"/>
              </w:rPr>
            </w:pPr>
            <w:r w:rsidRPr="002D2D3B">
              <w:rPr>
                <w:rFonts w:asciiTheme="majorHAnsi" w:hAnsiTheme="majorHAnsi" w:cs="Arial"/>
                <w:b/>
                <w:sz w:val="20"/>
                <w:szCs w:val="20"/>
                <w:lang w:val="en-US"/>
              </w:rPr>
              <w:t>n=291</w:t>
            </w:r>
          </w:p>
        </w:tc>
      </w:tr>
      <w:tr w:rsidR="00B129AB" w:rsidRPr="007662B4" w14:paraId="70A0ADA8" w14:textId="77777777" w:rsidTr="00A70CBB">
        <w:trPr>
          <w:tblHeader/>
        </w:trPr>
        <w:tc>
          <w:tcPr>
            <w:tcW w:w="0" w:type="auto"/>
            <w:vMerge/>
          </w:tcPr>
          <w:p w14:paraId="75EBB794" w14:textId="77777777" w:rsidR="00B129AB" w:rsidRPr="002D2D3B" w:rsidRDefault="00B129AB" w:rsidP="002D2D3B">
            <w:pPr>
              <w:rPr>
                <w:rFonts w:asciiTheme="majorHAnsi" w:hAnsiTheme="majorHAnsi" w:cs="Arial"/>
                <w:sz w:val="20"/>
                <w:szCs w:val="20"/>
                <w:lang w:val="en-US"/>
              </w:rPr>
            </w:pPr>
          </w:p>
        </w:tc>
        <w:tc>
          <w:tcPr>
            <w:tcW w:w="1454" w:type="dxa"/>
          </w:tcPr>
          <w:p w14:paraId="08983F12" w14:textId="77777777" w:rsidR="00B129AB" w:rsidRPr="007662B4" w:rsidRDefault="00B129AB" w:rsidP="002D2D3B">
            <w:pPr>
              <w:keepNext/>
              <w:jc w:val="center"/>
              <w:rPr>
                <w:rFonts w:asciiTheme="majorHAnsi" w:hAnsiTheme="majorHAnsi" w:cs="Arial"/>
                <w:b/>
                <w:sz w:val="20"/>
                <w:szCs w:val="20"/>
                <w:lang w:val="en-US"/>
              </w:rPr>
            </w:pPr>
            <w:r w:rsidRPr="007662B4">
              <w:rPr>
                <w:rFonts w:asciiTheme="majorHAnsi" w:hAnsiTheme="majorHAnsi" w:cs="Arial"/>
                <w:b/>
                <w:sz w:val="20"/>
                <w:szCs w:val="20"/>
                <w:lang w:val="en-US"/>
              </w:rPr>
              <w:t>All Grades</w:t>
            </w:r>
          </w:p>
          <w:p w14:paraId="7C17A37B" w14:textId="278ED6EB" w:rsidR="00B129AB" w:rsidRPr="007662B4" w:rsidRDefault="00B129AB" w:rsidP="002D2D3B">
            <w:pPr>
              <w:keepNext/>
              <w:jc w:val="center"/>
              <w:rPr>
                <w:rFonts w:asciiTheme="majorHAnsi" w:hAnsiTheme="majorHAnsi" w:cs="Arial"/>
                <w:b/>
                <w:sz w:val="20"/>
                <w:szCs w:val="20"/>
                <w:lang w:val="en-US"/>
              </w:rPr>
            </w:pPr>
            <w:r w:rsidRPr="007662B4">
              <w:rPr>
                <w:rFonts w:asciiTheme="majorHAnsi" w:hAnsiTheme="majorHAnsi" w:cs="Arial"/>
                <w:b/>
                <w:sz w:val="20"/>
                <w:szCs w:val="20"/>
                <w:lang w:val="en-US"/>
              </w:rPr>
              <w:t>n (%)</w:t>
            </w:r>
          </w:p>
        </w:tc>
        <w:tc>
          <w:tcPr>
            <w:tcW w:w="1383" w:type="dxa"/>
          </w:tcPr>
          <w:p w14:paraId="7EBEBA4F" w14:textId="3862F223" w:rsidR="00B129AB" w:rsidRPr="007662B4" w:rsidRDefault="00B129AB" w:rsidP="002D2D3B">
            <w:pPr>
              <w:keepNext/>
              <w:jc w:val="center"/>
              <w:rPr>
                <w:rFonts w:asciiTheme="majorHAnsi" w:hAnsiTheme="majorHAnsi" w:cs="Arial"/>
                <w:b/>
                <w:sz w:val="20"/>
                <w:szCs w:val="20"/>
                <w:lang w:val="en-US"/>
              </w:rPr>
            </w:pPr>
            <w:r w:rsidRPr="007662B4">
              <w:rPr>
                <w:rFonts w:asciiTheme="majorHAnsi" w:hAnsiTheme="majorHAnsi" w:cs="Arial"/>
                <w:b/>
                <w:sz w:val="20"/>
                <w:szCs w:val="20"/>
                <w:lang w:val="en-US"/>
              </w:rPr>
              <w:t>Grade 3</w:t>
            </w:r>
            <w:r w:rsidR="007662B4">
              <w:rPr>
                <w:rFonts w:asciiTheme="majorHAnsi" w:hAnsiTheme="majorHAnsi" w:cs="Arial"/>
                <w:b/>
                <w:sz w:val="20"/>
                <w:szCs w:val="20"/>
                <w:lang w:val="en-US"/>
              </w:rPr>
              <w:noBreakHyphen/>
            </w:r>
            <w:r w:rsidRPr="007662B4">
              <w:rPr>
                <w:rFonts w:asciiTheme="majorHAnsi" w:hAnsiTheme="majorHAnsi" w:cs="Arial"/>
                <w:b/>
                <w:sz w:val="20"/>
                <w:szCs w:val="20"/>
                <w:lang w:val="en-US"/>
              </w:rPr>
              <w:t>4</w:t>
            </w:r>
          </w:p>
          <w:p w14:paraId="172E41C4" w14:textId="06FC19FD" w:rsidR="00B129AB" w:rsidRPr="007662B4" w:rsidRDefault="00B129AB" w:rsidP="002D2D3B">
            <w:pPr>
              <w:keepNext/>
              <w:jc w:val="center"/>
              <w:rPr>
                <w:rFonts w:asciiTheme="majorHAnsi" w:hAnsiTheme="majorHAnsi" w:cs="Arial"/>
                <w:b/>
                <w:sz w:val="20"/>
                <w:szCs w:val="20"/>
                <w:lang w:val="en-US"/>
              </w:rPr>
            </w:pPr>
            <w:r w:rsidRPr="007662B4">
              <w:rPr>
                <w:rFonts w:asciiTheme="majorHAnsi" w:hAnsiTheme="majorHAnsi" w:cs="Arial"/>
                <w:b/>
                <w:sz w:val="20"/>
                <w:szCs w:val="20"/>
                <w:lang w:val="en-US"/>
              </w:rPr>
              <w:t>n (%)</w:t>
            </w:r>
          </w:p>
        </w:tc>
        <w:tc>
          <w:tcPr>
            <w:tcW w:w="1097" w:type="dxa"/>
            <w:vAlign w:val="center"/>
          </w:tcPr>
          <w:p w14:paraId="6EEEB04F" w14:textId="5E023EC0" w:rsidR="00B129AB" w:rsidRPr="002D2D3B" w:rsidRDefault="00B129AB" w:rsidP="002D2D3B">
            <w:pPr>
              <w:keepNext/>
              <w:jc w:val="center"/>
              <w:rPr>
                <w:rFonts w:asciiTheme="majorHAnsi" w:hAnsiTheme="majorHAnsi" w:cs="Arial"/>
                <w:sz w:val="20"/>
                <w:szCs w:val="20"/>
                <w:lang w:val="en-US"/>
              </w:rPr>
            </w:pPr>
            <w:r w:rsidRPr="002D2D3B">
              <w:rPr>
                <w:rFonts w:asciiTheme="majorHAnsi" w:hAnsiTheme="majorHAnsi" w:cs="Arial"/>
                <w:b/>
                <w:sz w:val="20"/>
                <w:szCs w:val="20"/>
                <w:lang w:val="en-US"/>
              </w:rPr>
              <w:t>All Grades</w:t>
            </w:r>
          </w:p>
          <w:p w14:paraId="55EEB72A" w14:textId="41DAEA02" w:rsidR="00B129AB" w:rsidRPr="002D2D3B" w:rsidRDefault="00B129AB" w:rsidP="002D2D3B">
            <w:pPr>
              <w:keepNext/>
              <w:jc w:val="center"/>
              <w:rPr>
                <w:rFonts w:asciiTheme="majorHAnsi" w:hAnsiTheme="majorHAnsi" w:cs="Arial"/>
                <w:sz w:val="20"/>
                <w:szCs w:val="20"/>
                <w:lang w:val="en-US"/>
              </w:rPr>
            </w:pPr>
            <w:r w:rsidRPr="007662B4">
              <w:rPr>
                <w:rFonts w:asciiTheme="majorHAnsi" w:hAnsiTheme="majorHAnsi" w:cs="Arial"/>
                <w:b/>
                <w:sz w:val="20"/>
                <w:szCs w:val="20"/>
                <w:lang w:val="en-US"/>
              </w:rPr>
              <w:t>n (%)</w:t>
            </w:r>
          </w:p>
        </w:tc>
        <w:tc>
          <w:tcPr>
            <w:tcW w:w="1026" w:type="dxa"/>
            <w:vAlign w:val="center"/>
          </w:tcPr>
          <w:p w14:paraId="41F5B8D3" w14:textId="33E17AE1" w:rsidR="00B129AB" w:rsidRPr="002D2D3B" w:rsidRDefault="00B129AB" w:rsidP="002D2D3B">
            <w:pPr>
              <w:keepNext/>
              <w:jc w:val="center"/>
              <w:rPr>
                <w:rFonts w:asciiTheme="majorHAnsi" w:hAnsiTheme="majorHAnsi" w:cs="Arial"/>
                <w:sz w:val="20"/>
                <w:szCs w:val="20"/>
                <w:lang w:val="en-US"/>
              </w:rPr>
            </w:pPr>
            <w:r w:rsidRPr="002D2D3B">
              <w:rPr>
                <w:rFonts w:asciiTheme="majorHAnsi" w:hAnsiTheme="majorHAnsi" w:cs="Arial"/>
                <w:b/>
                <w:sz w:val="20"/>
                <w:szCs w:val="20"/>
                <w:lang w:val="en-US"/>
              </w:rPr>
              <w:t>Grade 3</w:t>
            </w:r>
            <w:r w:rsidR="007662B4">
              <w:rPr>
                <w:rFonts w:asciiTheme="majorHAnsi" w:hAnsiTheme="majorHAnsi" w:cs="Arial"/>
                <w:b/>
                <w:sz w:val="20"/>
                <w:szCs w:val="20"/>
                <w:lang w:val="en-US"/>
              </w:rPr>
              <w:noBreakHyphen/>
            </w:r>
            <w:r w:rsidRPr="002D2D3B">
              <w:rPr>
                <w:rFonts w:asciiTheme="majorHAnsi" w:hAnsiTheme="majorHAnsi" w:cs="Arial"/>
                <w:b/>
                <w:sz w:val="20"/>
                <w:szCs w:val="20"/>
                <w:lang w:val="en-US"/>
              </w:rPr>
              <w:t>4</w:t>
            </w:r>
          </w:p>
          <w:p w14:paraId="0AC04614" w14:textId="4A2E8B7F" w:rsidR="00B129AB" w:rsidRPr="002D2D3B" w:rsidRDefault="00B129AB" w:rsidP="002D2D3B">
            <w:pPr>
              <w:keepNext/>
              <w:jc w:val="center"/>
              <w:rPr>
                <w:rFonts w:asciiTheme="majorHAnsi" w:hAnsiTheme="majorHAnsi" w:cs="Arial"/>
                <w:sz w:val="20"/>
                <w:szCs w:val="20"/>
                <w:lang w:val="en-US"/>
              </w:rPr>
            </w:pPr>
            <w:r w:rsidRPr="007662B4">
              <w:rPr>
                <w:rFonts w:asciiTheme="majorHAnsi" w:hAnsiTheme="majorHAnsi" w:cs="Arial"/>
                <w:b/>
                <w:sz w:val="20"/>
                <w:szCs w:val="20"/>
                <w:lang w:val="en-US"/>
              </w:rPr>
              <w:t>n (%)</w:t>
            </w:r>
          </w:p>
        </w:tc>
        <w:tc>
          <w:tcPr>
            <w:tcW w:w="1097" w:type="dxa"/>
            <w:vAlign w:val="center"/>
          </w:tcPr>
          <w:p w14:paraId="0D4D356D" w14:textId="77777777" w:rsidR="00B129AB" w:rsidRPr="002D2D3B" w:rsidRDefault="00B129AB" w:rsidP="002D2D3B">
            <w:pPr>
              <w:keepNext/>
              <w:jc w:val="center"/>
              <w:rPr>
                <w:rFonts w:asciiTheme="majorHAnsi" w:hAnsiTheme="majorHAnsi" w:cs="Arial"/>
                <w:sz w:val="20"/>
                <w:szCs w:val="20"/>
                <w:lang w:val="en-US"/>
              </w:rPr>
            </w:pPr>
            <w:r w:rsidRPr="002D2D3B">
              <w:rPr>
                <w:rFonts w:asciiTheme="majorHAnsi" w:hAnsiTheme="majorHAnsi" w:cs="Arial"/>
                <w:b/>
                <w:sz w:val="20"/>
                <w:szCs w:val="20"/>
                <w:lang w:val="en-US"/>
              </w:rPr>
              <w:t>All Grades</w:t>
            </w:r>
          </w:p>
          <w:p w14:paraId="66074700" w14:textId="02963A24" w:rsidR="00B129AB" w:rsidRPr="002D2D3B" w:rsidRDefault="00B129AB" w:rsidP="002D2D3B">
            <w:pPr>
              <w:keepNext/>
              <w:jc w:val="center"/>
              <w:rPr>
                <w:rFonts w:asciiTheme="majorHAnsi" w:hAnsiTheme="majorHAnsi" w:cs="Arial"/>
                <w:sz w:val="20"/>
                <w:szCs w:val="20"/>
                <w:lang w:val="en-US"/>
              </w:rPr>
            </w:pPr>
            <w:r w:rsidRPr="007662B4">
              <w:rPr>
                <w:rFonts w:asciiTheme="majorHAnsi" w:hAnsiTheme="majorHAnsi" w:cs="Arial"/>
                <w:b/>
                <w:sz w:val="20"/>
                <w:szCs w:val="20"/>
                <w:lang w:val="en-US"/>
              </w:rPr>
              <w:t>n (%)</w:t>
            </w:r>
          </w:p>
        </w:tc>
        <w:tc>
          <w:tcPr>
            <w:tcW w:w="1026" w:type="dxa"/>
            <w:vAlign w:val="center"/>
          </w:tcPr>
          <w:p w14:paraId="403BB1E0" w14:textId="1984066C" w:rsidR="00B129AB" w:rsidRPr="002D2D3B" w:rsidRDefault="00B129AB" w:rsidP="002D2D3B">
            <w:pPr>
              <w:keepNext/>
              <w:jc w:val="center"/>
              <w:rPr>
                <w:rFonts w:asciiTheme="majorHAnsi" w:hAnsiTheme="majorHAnsi" w:cs="Arial"/>
                <w:sz w:val="20"/>
                <w:szCs w:val="20"/>
                <w:lang w:val="en-US"/>
              </w:rPr>
            </w:pPr>
            <w:r w:rsidRPr="002D2D3B">
              <w:rPr>
                <w:rFonts w:asciiTheme="majorHAnsi" w:hAnsiTheme="majorHAnsi" w:cs="Arial"/>
                <w:b/>
                <w:sz w:val="20"/>
                <w:szCs w:val="20"/>
                <w:lang w:val="en-US"/>
              </w:rPr>
              <w:t>Grade 3</w:t>
            </w:r>
            <w:r w:rsidR="007662B4">
              <w:rPr>
                <w:rFonts w:asciiTheme="majorHAnsi" w:hAnsiTheme="majorHAnsi" w:cs="Arial"/>
                <w:b/>
                <w:sz w:val="20"/>
                <w:szCs w:val="20"/>
                <w:lang w:val="en-US"/>
              </w:rPr>
              <w:noBreakHyphen/>
            </w:r>
            <w:r w:rsidRPr="002D2D3B">
              <w:rPr>
                <w:rFonts w:asciiTheme="majorHAnsi" w:hAnsiTheme="majorHAnsi" w:cs="Arial"/>
                <w:b/>
                <w:sz w:val="20"/>
                <w:szCs w:val="20"/>
                <w:lang w:val="en-US"/>
              </w:rPr>
              <w:t>4</w:t>
            </w:r>
          </w:p>
          <w:p w14:paraId="4D23C746" w14:textId="576C16DD" w:rsidR="00B129AB" w:rsidRPr="002D2D3B" w:rsidRDefault="00B129AB" w:rsidP="002D2D3B">
            <w:pPr>
              <w:keepNext/>
              <w:jc w:val="center"/>
              <w:rPr>
                <w:rFonts w:asciiTheme="majorHAnsi" w:hAnsiTheme="majorHAnsi" w:cs="Arial"/>
                <w:sz w:val="20"/>
                <w:szCs w:val="20"/>
                <w:lang w:val="en-US"/>
              </w:rPr>
            </w:pPr>
            <w:r w:rsidRPr="007662B4">
              <w:rPr>
                <w:rFonts w:asciiTheme="majorHAnsi" w:hAnsiTheme="majorHAnsi" w:cs="Arial"/>
                <w:b/>
                <w:sz w:val="20"/>
                <w:szCs w:val="20"/>
                <w:lang w:val="en-US"/>
              </w:rPr>
              <w:t>n (%)</w:t>
            </w:r>
          </w:p>
        </w:tc>
      </w:tr>
      <w:tr w:rsidR="00AB16A4" w:rsidRPr="007662B4" w14:paraId="63EF3FE6" w14:textId="77777777" w:rsidTr="00A70CBB">
        <w:tc>
          <w:tcPr>
            <w:tcW w:w="9007" w:type="dxa"/>
            <w:gridSpan w:val="7"/>
            <w:vAlign w:val="bottom"/>
          </w:tcPr>
          <w:p w14:paraId="784AAD82" w14:textId="2442DE1E" w:rsidR="00AB16A4" w:rsidRPr="002D2D3B" w:rsidRDefault="00AB16A4" w:rsidP="002D2D3B">
            <w:pPr>
              <w:rPr>
                <w:rFonts w:asciiTheme="majorHAnsi" w:hAnsiTheme="majorHAnsi" w:cs="Arial"/>
                <w:sz w:val="20"/>
                <w:szCs w:val="20"/>
                <w:lang w:val="en-US"/>
              </w:rPr>
            </w:pPr>
            <w:r w:rsidRPr="002D2D3B">
              <w:rPr>
                <w:rFonts w:asciiTheme="majorHAnsi" w:hAnsiTheme="majorHAnsi" w:cs="Arial"/>
                <w:b/>
                <w:sz w:val="20"/>
                <w:szCs w:val="20"/>
                <w:lang w:val="en-US"/>
              </w:rPr>
              <w:t>Skin and subcutaneous tissue disorders</w:t>
            </w:r>
          </w:p>
        </w:tc>
      </w:tr>
      <w:tr w:rsidR="007369EF" w:rsidRPr="007662B4" w14:paraId="66C55914" w14:textId="77777777" w:rsidTr="00A70CBB">
        <w:tc>
          <w:tcPr>
            <w:tcW w:w="1924" w:type="dxa"/>
            <w:vAlign w:val="center"/>
          </w:tcPr>
          <w:p w14:paraId="60EDC331" w14:textId="77777777" w:rsidR="007369EF" w:rsidRPr="002D2D3B" w:rsidRDefault="007369EF" w:rsidP="002D2D3B">
            <w:pPr>
              <w:rPr>
                <w:rFonts w:asciiTheme="majorHAnsi" w:hAnsiTheme="majorHAnsi" w:cs="Arial"/>
                <w:sz w:val="20"/>
                <w:szCs w:val="20"/>
                <w:lang w:val="en-US"/>
              </w:rPr>
            </w:pPr>
            <w:r w:rsidRPr="002D2D3B">
              <w:rPr>
                <w:rFonts w:asciiTheme="majorHAnsi" w:hAnsiTheme="majorHAnsi" w:cs="Arial"/>
                <w:sz w:val="20"/>
                <w:szCs w:val="20"/>
                <w:lang w:val="en-US"/>
              </w:rPr>
              <w:t>Alopecia</w:t>
            </w:r>
          </w:p>
        </w:tc>
        <w:tc>
          <w:tcPr>
            <w:tcW w:w="1454" w:type="dxa"/>
            <w:vAlign w:val="center"/>
          </w:tcPr>
          <w:p w14:paraId="230F61C4" w14:textId="5DB3F9A4" w:rsidR="007369EF" w:rsidRPr="007662B4" w:rsidRDefault="00B129AB"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332 (48.8)</w:t>
            </w:r>
          </w:p>
        </w:tc>
        <w:tc>
          <w:tcPr>
            <w:tcW w:w="1383" w:type="dxa"/>
            <w:vAlign w:val="center"/>
          </w:tcPr>
          <w:p w14:paraId="4D722CA4" w14:textId="5C7CE3C4" w:rsidR="007369EF" w:rsidRPr="007662B4" w:rsidRDefault="00B129AB"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c>
          <w:tcPr>
            <w:tcW w:w="1097" w:type="dxa"/>
            <w:vAlign w:val="center"/>
          </w:tcPr>
          <w:p w14:paraId="1C661215" w14:textId="679C48D0" w:rsidR="007369EF" w:rsidRPr="002D2D3B" w:rsidRDefault="00B129AB"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139 (47)</w:t>
            </w:r>
          </w:p>
        </w:tc>
        <w:tc>
          <w:tcPr>
            <w:tcW w:w="1026" w:type="dxa"/>
            <w:vAlign w:val="center"/>
          </w:tcPr>
          <w:p w14:paraId="12D07CF5" w14:textId="71A2514A" w:rsidR="007369EF" w:rsidRPr="002D2D3B" w:rsidRDefault="00B129AB"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c>
          <w:tcPr>
            <w:tcW w:w="1097" w:type="dxa"/>
            <w:vAlign w:val="center"/>
          </w:tcPr>
          <w:p w14:paraId="635687DC" w14:textId="785A95AB" w:rsidR="007369EF" w:rsidRPr="002D2D3B" w:rsidRDefault="00B129AB"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110 (37.8)</w:t>
            </w:r>
          </w:p>
        </w:tc>
        <w:tc>
          <w:tcPr>
            <w:tcW w:w="1026" w:type="dxa"/>
            <w:vAlign w:val="center"/>
          </w:tcPr>
          <w:p w14:paraId="09A7005B" w14:textId="462CB051" w:rsidR="007369EF" w:rsidRPr="002D2D3B" w:rsidRDefault="00B129AB"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r>
      <w:tr w:rsidR="00310796" w:rsidRPr="007662B4" w14:paraId="29997CAC" w14:textId="77777777" w:rsidTr="00A70CBB">
        <w:tc>
          <w:tcPr>
            <w:tcW w:w="1924" w:type="dxa"/>
            <w:vAlign w:val="center"/>
          </w:tcPr>
          <w:p w14:paraId="13020C8A" w14:textId="77777777" w:rsidR="00310796" w:rsidRPr="007662B4" w:rsidRDefault="00310796" w:rsidP="003D78D2">
            <w:pPr>
              <w:rPr>
                <w:rFonts w:asciiTheme="majorHAnsi" w:hAnsiTheme="majorHAnsi" w:cs="Arial"/>
                <w:sz w:val="20"/>
                <w:szCs w:val="20"/>
                <w:lang w:val="en-US"/>
              </w:rPr>
            </w:pPr>
            <w:r w:rsidRPr="007662B4">
              <w:rPr>
                <w:rFonts w:asciiTheme="majorHAnsi" w:hAnsiTheme="majorHAnsi" w:cs="Arial"/>
                <w:sz w:val="20"/>
                <w:szCs w:val="20"/>
                <w:lang w:val="en-US"/>
              </w:rPr>
              <w:t>Pruritus</w:t>
            </w:r>
          </w:p>
        </w:tc>
        <w:tc>
          <w:tcPr>
            <w:tcW w:w="1454" w:type="dxa"/>
            <w:vAlign w:val="center"/>
          </w:tcPr>
          <w:p w14:paraId="50A7D4FC"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227 (33.4)</w:t>
            </w:r>
          </w:p>
        </w:tc>
        <w:tc>
          <w:tcPr>
            <w:tcW w:w="1383" w:type="dxa"/>
            <w:vAlign w:val="center"/>
          </w:tcPr>
          <w:p w14:paraId="51A2B2FE"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11 (1.6)</w:t>
            </w:r>
          </w:p>
        </w:tc>
        <w:tc>
          <w:tcPr>
            <w:tcW w:w="1097" w:type="dxa"/>
            <w:vAlign w:val="center"/>
          </w:tcPr>
          <w:p w14:paraId="69B9A63E"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102 (34.5)</w:t>
            </w:r>
          </w:p>
        </w:tc>
        <w:tc>
          <w:tcPr>
            <w:tcW w:w="1026" w:type="dxa"/>
            <w:vAlign w:val="center"/>
          </w:tcPr>
          <w:p w14:paraId="122B8EEA"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 (1.7)</w:t>
            </w:r>
          </w:p>
        </w:tc>
        <w:tc>
          <w:tcPr>
            <w:tcW w:w="1097" w:type="dxa"/>
            <w:vAlign w:val="center"/>
          </w:tcPr>
          <w:p w14:paraId="2C165A2F"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20 (6.9)</w:t>
            </w:r>
          </w:p>
        </w:tc>
        <w:tc>
          <w:tcPr>
            <w:tcW w:w="1026" w:type="dxa"/>
            <w:vAlign w:val="center"/>
          </w:tcPr>
          <w:p w14:paraId="708E993C"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r>
      <w:tr w:rsidR="00310796" w:rsidRPr="007662B4" w14:paraId="79E62060" w14:textId="77777777" w:rsidTr="00A70CBB">
        <w:tc>
          <w:tcPr>
            <w:tcW w:w="1924" w:type="dxa"/>
            <w:vAlign w:val="center"/>
          </w:tcPr>
          <w:p w14:paraId="1481B52E" w14:textId="77777777" w:rsidR="00310796" w:rsidRPr="007662B4" w:rsidRDefault="00310796" w:rsidP="003D78D2">
            <w:pPr>
              <w:rPr>
                <w:rFonts w:asciiTheme="majorHAnsi" w:hAnsiTheme="majorHAnsi" w:cs="Arial"/>
                <w:sz w:val="20"/>
                <w:szCs w:val="20"/>
                <w:lang w:val="en-US"/>
              </w:rPr>
            </w:pPr>
            <w:r w:rsidRPr="007662B4">
              <w:rPr>
                <w:rFonts w:asciiTheme="majorHAnsi" w:hAnsiTheme="majorHAnsi" w:cs="Arial"/>
                <w:sz w:val="20"/>
                <w:szCs w:val="20"/>
                <w:lang w:val="en-US"/>
              </w:rPr>
              <w:t>Rash maculo-papular</w:t>
            </w:r>
          </w:p>
        </w:tc>
        <w:tc>
          <w:tcPr>
            <w:tcW w:w="1454" w:type="dxa"/>
            <w:vAlign w:val="center"/>
          </w:tcPr>
          <w:p w14:paraId="4F1069E5"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156 (22.9)</w:t>
            </w:r>
          </w:p>
        </w:tc>
        <w:tc>
          <w:tcPr>
            <w:tcW w:w="1383" w:type="dxa"/>
            <w:vAlign w:val="center"/>
          </w:tcPr>
          <w:p w14:paraId="43BB5B45"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38 (5.6)</w:t>
            </w:r>
          </w:p>
        </w:tc>
        <w:tc>
          <w:tcPr>
            <w:tcW w:w="1097" w:type="dxa"/>
            <w:vAlign w:val="center"/>
          </w:tcPr>
          <w:p w14:paraId="05A9412F"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50 (16.9)</w:t>
            </w:r>
          </w:p>
        </w:tc>
        <w:tc>
          <w:tcPr>
            <w:tcW w:w="1026" w:type="dxa"/>
            <w:vAlign w:val="center"/>
          </w:tcPr>
          <w:p w14:paraId="493656C1"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22 (7.4)</w:t>
            </w:r>
          </w:p>
        </w:tc>
        <w:tc>
          <w:tcPr>
            <w:tcW w:w="1097" w:type="dxa"/>
            <w:vAlign w:val="center"/>
          </w:tcPr>
          <w:p w14:paraId="44AB0A2C"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6 (2.1)</w:t>
            </w:r>
          </w:p>
        </w:tc>
        <w:tc>
          <w:tcPr>
            <w:tcW w:w="1026" w:type="dxa"/>
            <w:vAlign w:val="center"/>
          </w:tcPr>
          <w:p w14:paraId="70B20E93"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r>
      <w:tr w:rsidR="00B129AB" w:rsidRPr="007662B4" w14:paraId="3D6DB5A9" w14:textId="77777777" w:rsidTr="00A70CBB">
        <w:tc>
          <w:tcPr>
            <w:tcW w:w="1924" w:type="dxa"/>
            <w:vAlign w:val="center"/>
          </w:tcPr>
          <w:p w14:paraId="0C5EADAB" w14:textId="5D398611" w:rsidR="00B129AB" w:rsidRPr="007662B4" w:rsidRDefault="00B129AB" w:rsidP="002D2D3B">
            <w:pPr>
              <w:rPr>
                <w:rFonts w:asciiTheme="majorHAnsi" w:hAnsiTheme="majorHAnsi" w:cs="Arial"/>
                <w:sz w:val="20"/>
                <w:szCs w:val="20"/>
                <w:lang w:val="en-US"/>
              </w:rPr>
            </w:pPr>
            <w:r w:rsidRPr="007662B4">
              <w:rPr>
                <w:rFonts w:asciiTheme="majorHAnsi" w:hAnsiTheme="majorHAnsi" w:cs="Arial"/>
                <w:sz w:val="20"/>
                <w:szCs w:val="20"/>
                <w:lang w:val="en-US"/>
              </w:rPr>
              <w:t>Dry skin</w:t>
            </w:r>
          </w:p>
        </w:tc>
        <w:tc>
          <w:tcPr>
            <w:tcW w:w="1454" w:type="dxa"/>
            <w:vAlign w:val="center"/>
          </w:tcPr>
          <w:p w14:paraId="27392DCC" w14:textId="5D08BB64" w:rsidR="00B129AB" w:rsidRPr="007662B4" w:rsidRDefault="00B129AB"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147 (21.6)</w:t>
            </w:r>
          </w:p>
        </w:tc>
        <w:tc>
          <w:tcPr>
            <w:tcW w:w="1383" w:type="dxa"/>
            <w:vAlign w:val="center"/>
          </w:tcPr>
          <w:p w14:paraId="579EB92F" w14:textId="6D195183" w:rsidR="00B129AB" w:rsidRPr="007662B4" w:rsidRDefault="00B129AB"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 (0.1)</w:t>
            </w:r>
          </w:p>
        </w:tc>
        <w:tc>
          <w:tcPr>
            <w:tcW w:w="1097" w:type="dxa"/>
            <w:vAlign w:val="center"/>
          </w:tcPr>
          <w:p w14:paraId="7F332440" w14:textId="4967CE8E" w:rsidR="00B129AB" w:rsidRPr="007662B4" w:rsidRDefault="00352781"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50 (16.9)</w:t>
            </w:r>
          </w:p>
        </w:tc>
        <w:tc>
          <w:tcPr>
            <w:tcW w:w="1026" w:type="dxa"/>
            <w:vAlign w:val="center"/>
          </w:tcPr>
          <w:p w14:paraId="6802A5D5" w14:textId="2E6BF794" w:rsidR="00B129AB" w:rsidRPr="007662B4" w:rsidRDefault="00352781"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c>
          <w:tcPr>
            <w:tcW w:w="1097" w:type="dxa"/>
            <w:vAlign w:val="center"/>
          </w:tcPr>
          <w:p w14:paraId="48A0BC83" w14:textId="695B7DDA" w:rsidR="00B129AB" w:rsidRPr="007662B4" w:rsidRDefault="00352781"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11 (3.8)</w:t>
            </w:r>
          </w:p>
        </w:tc>
        <w:tc>
          <w:tcPr>
            <w:tcW w:w="1026" w:type="dxa"/>
            <w:vAlign w:val="center"/>
          </w:tcPr>
          <w:p w14:paraId="596CC927" w14:textId="75F7F500" w:rsidR="00B129AB" w:rsidRPr="007662B4" w:rsidRDefault="00352781"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r>
      <w:tr w:rsidR="00310796" w:rsidRPr="007662B4" w14:paraId="5C435AAC" w14:textId="77777777" w:rsidTr="00A70CBB">
        <w:tc>
          <w:tcPr>
            <w:tcW w:w="1924" w:type="dxa"/>
            <w:vAlign w:val="center"/>
          </w:tcPr>
          <w:p w14:paraId="6AA48378" w14:textId="5FCF2803" w:rsidR="00310796" w:rsidRPr="007662B4" w:rsidRDefault="00310796" w:rsidP="002D2D3B">
            <w:pPr>
              <w:rPr>
                <w:rFonts w:asciiTheme="majorHAnsi" w:hAnsiTheme="majorHAnsi" w:cs="Arial"/>
                <w:sz w:val="20"/>
                <w:szCs w:val="20"/>
                <w:lang w:val="en-US"/>
              </w:rPr>
            </w:pPr>
            <w:r w:rsidRPr="007662B4">
              <w:rPr>
                <w:rFonts w:asciiTheme="majorHAnsi" w:hAnsiTheme="majorHAnsi" w:cs="Arial"/>
                <w:sz w:val="20"/>
                <w:szCs w:val="20"/>
                <w:lang w:val="en-US"/>
              </w:rPr>
              <w:t>Rash</w:t>
            </w:r>
          </w:p>
        </w:tc>
        <w:tc>
          <w:tcPr>
            <w:tcW w:w="1454" w:type="dxa"/>
            <w:vAlign w:val="center"/>
          </w:tcPr>
          <w:p w14:paraId="44548935" w14:textId="275D5729"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71 (10.4)</w:t>
            </w:r>
          </w:p>
        </w:tc>
        <w:tc>
          <w:tcPr>
            <w:tcW w:w="1383" w:type="dxa"/>
            <w:vAlign w:val="center"/>
          </w:tcPr>
          <w:p w14:paraId="7A207E55" w14:textId="5DDFA893"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7 (1)</w:t>
            </w:r>
          </w:p>
        </w:tc>
        <w:tc>
          <w:tcPr>
            <w:tcW w:w="1097" w:type="dxa"/>
            <w:vAlign w:val="center"/>
          </w:tcPr>
          <w:p w14:paraId="4B9B790A" w14:textId="051B3A5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50 (16.9)</w:t>
            </w:r>
          </w:p>
        </w:tc>
        <w:tc>
          <w:tcPr>
            <w:tcW w:w="1026" w:type="dxa"/>
            <w:vAlign w:val="center"/>
          </w:tcPr>
          <w:p w14:paraId="267F5FB5" w14:textId="2F7B323E"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 (1.7)</w:t>
            </w:r>
          </w:p>
        </w:tc>
        <w:tc>
          <w:tcPr>
            <w:tcW w:w="1097" w:type="dxa"/>
            <w:vAlign w:val="center"/>
          </w:tcPr>
          <w:p w14:paraId="7F876BE1" w14:textId="3A81C42E"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16 (5.5)</w:t>
            </w:r>
          </w:p>
        </w:tc>
        <w:tc>
          <w:tcPr>
            <w:tcW w:w="1026" w:type="dxa"/>
            <w:vAlign w:val="center"/>
          </w:tcPr>
          <w:p w14:paraId="0942A1BC" w14:textId="1F4FFF24"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r>
      <w:tr w:rsidR="00AB16A4" w:rsidRPr="007662B4" w14:paraId="3A22BED8" w14:textId="77777777" w:rsidTr="00A70CBB">
        <w:tc>
          <w:tcPr>
            <w:tcW w:w="9007" w:type="dxa"/>
            <w:gridSpan w:val="7"/>
            <w:vAlign w:val="center"/>
          </w:tcPr>
          <w:p w14:paraId="206E14DA" w14:textId="0D6DA3CD" w:rsidR="00AB16A4" w:rsidRPr="002D2D3B" w:rsidRDefault="00AB16A4" w:rsidP="00A70CBB">
            <w:pPr>
              <w:rPr>
                <w:rFonts w:asciiTheme="majorHAnsi" w:hAnsiTheme="majorHAnsi" w:cs="Arial"/>
                <w:sz w:val="20"/>
                <w:szCs w:val="20"/>
                <w:lang w:val="en-US"/>
              </w:rPr>
            </w:pPr>
            <w:r w:rsidRPr="002D2D3B">
              <w:rPr>
                <w:rFonts w:asciiTheme="majorHAnsi" w:hAnsiTheme="majorHAnsi" w:cs="Arial"/>
                <w:b/>
                <w:sz w:val="20"/>
                <w:szCs w:val="20"/>
                <w:lang w:val="en-US"/>
              </w:rPr>
              <w:t>General disorders and administration site conditions</w:t>
            </w:r>
          </w:p>
        </w:tc>
      </w:tr>
      <w:tr w:rsidR="007369EF" w:rsidRPr="007662B4" w14:paraId="5736E51E" w14:textId="77777777" w:rsidTr="00A70CBB">
        <w:tc>
          <w:tcPr>
            <w:tcW w:w="1924" w:type="dxa"/>
            <w:vAlign w:val="center"/>
          </w:tcPr>
          <w:p w14:paraId="62004187" w14:textId="4833FC14" w:rsidR="007369EF" w:rsidRPr="002D2D3B" w:rsidRDefault="007369EF" w:rsidP="002D2D3B">
            <w:pPr>
              <w:rPr>
                <w:rFonts w:asciiTheme="majorHAnsi" w:hAnsiTheme="majorHAnsi" w:cs="Arial"/>
                <w:sz w:val="20"/>
                <w:szCs w:val="20"/>
                <w:lang w:val="en-US"/>
              </w:rPr>
            </w:pPr>
            <w:r w:rsidRPr="002D2D3B">
              <w:rPr>
                <w:rFonts w:asciiTheme="majorHAnsi" w:hAnsiTheme="majorHAnsi" w:cs="Arial"/>
                <w:sz w:val="20"/>
                <w:szCs w:val="20"/>
                <w:lang w:val="en-US"/>
              </w:rPr>
              <w:t>Fatigue</w:t>
            </w:r>
          </w:p>
        </w:tc>
        <w:tc>
          <w:tcPr>
            <w:tcW w:w="1454" w:type="dxa"/>
            <w:vAlign w:val="center"/>
          </w:tcPr>
          <w:p w14:paraId="611A9CE7" w14:textId="135869B7" w:rsidR="007369EF" w:rsidRPr="007662B4"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318 (46.8)</w:t>
            </w:r>
          </w:p>
        </w:tc>
        <w:tc>
          <w:tcPr>
            <w:tcW w:w="1383" w:type="dxa"/>
            <w:vAlign w:val="center"/>
          </w:tcPr>
          <w:p w14:paraId="2A89EC38" w14:textId="7E5C01BC" w:rsidR="007369EF" w:rsidRPr="007662B4"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47 (6.9)</w:t>
            </w:r>
          </w:p>
        </w:tc>
        <w:tc>
          <w:tcPr>
            <w:tcW w:w="1097" w:type="dxa"/>
            <w:vAlign w:val="center"/>
          </w:tcPr>
          <w:p w14:paraId="3EDEC8CF" w14:textId="2D0E6F22"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107 (36.1)</w:t>
            </w:r>
          </w:p>
        </w:tc>
        <w:tc>
          <w:tcPr>
            <w:tcW w:w="1026" w:type="dxa"/>
            <w:vAlign w:val="center"/>
          </w:tcPr>
          <w:p w14:paraId="03CA9534" w14:textId="2C5F2DB7"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20 (6.8)</w:t>
            </w:r>
          </w:p>
        </w:tc>
        <w:tc>
          <w:tcPr>
            <w:tcW w:w="1097" w:type="dxa"/>
            <w:vAlign w:val="center"/>
          </w:tcPr>
          <w:p w14:paraId="0DCAA3DE" w14:textId="44416505"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78 (26.8)</w:t>
            </w:r>
          </w:p>
        </w:tc>
        <w:tc>
          <w:tcPr>
            <w:tcW w:w="1026" w:type="dxa"/>
            <w:vAlign w:val="center"/>
          </w:tcPr>
          <w:p w14:paraId="31FD2310" w14:textId="7D11CF25"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14 (4.8)</w:t>
            </w:r>
          </w:p>
        </w:tc>
      </w:tr>
      <w:tr w:rsidR="00310796" w:rsidRPr="007662B4" w14:paraId="679E0D3F" w14:textId="77777777" w:rsidTr="00A70CBB">
        <w:tc>
          <w:tcPr>
            <w:tcW w:w="9007" w:type="dxa"/>
            <w:gridSpan w:val="7"/>
            <w:vAlign w:val="center"/>
          </w:tcPr>
          <w:p w14:paraId="7C586EC2" w14:textId="77777777" w:rsidR="00310796" w:rsidRPr="002D2D3B" w:rsidRDefault="00310796" w:rsidP="00A70CBB">
            <w:pPr>
              <w:rPr>
                <w:rFonts w:asciiTheme="majorHAnsi" w:hAnsiTheme="majorHAnsi" w:cs="Arial"/>
                <w:sz w:val="20"/>
                <w:szCs w:val="20"/>
                <w:lang w:val="en-US"/>
              </w:rPr>
            </w:pPr>
            <w:r w:rsidRPr="002D2D3B">
              <w:rPr>
                <w:rFonts w:asciiTheme="majorHAnsi" w:hAnsiTheme="majorHAnsi" w:cs="Arial"/>
                <w:b/>
                <w:sz w:val="20"/>
                <w:szCs w:val="20"/>
                <w:lang w:val="en-US"/>
              </w:rPr>
              <w:lastRenderedPageBreak/>
              <w:t>Metabolism and nutrition disorders</w:t>
            </w:r>
          </w:p>
        </w:tc>
      </w:tr>
      <w:tr w:rsidR="00310796" w:rsidRPr="007662B4" w14:paraId="5461CB85" w14:textId="77777777" w:rsidTr="00A70CBB">
        <w:tc>
          <w:tcPr>
            <w:tcW w:w="1924" w:type="dxa"/>
            <w:vAlign w:val="center"/>
          </w:tcPr>
          <w:p w14:paraId="356F24FF" w14:textId="77777777" w:rsidR="00310796" w:rsidRPr="002D2D3B" w:rsidRDefault="00310796" w:rsidP="003D78D2">
            <w:pPr>
              <w:rPr>
                <w:rFonts w:asciiTheme="majorHAnsi" w:hAnsiTheme="majorHAnsi" w:cs="Arial"/>
                <w:sz w:val="20"/>
                <w:szCs w:val="20"/>
                <w:lang w:val="en-US"/>
              </w:rPr>
            </w:pPr>
            <w:r w:rsidRPr="002D2D3B">
              <w:rPr>
                <w:rFonts w:asciiTheme="majorHAnsi" w:hAnsiTheme="majorHAnsi" w:cs="Arial"/>
                <w:sz w:val="20"/>
                <w:szCs w:val="20"/>
                <w:lang w:val="en-US"/>
              </w:rPr>
              <w:t>Decreased appetite</w:t>
            </w:r>
          </w:p>
        </w:tc>
        <w:tc>
          <w:tcPr>
            <w:tcW w:w="1454" w:type="dxa"/>
            <w:vAlign w:val="center"/>
          </w:tcPr>
          <w:p w14:paraId="03EB0ED3"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305 (44.9)</w:t>
            </w:r>
          </w:p>
        </w:tc>
        <w:tc>
          <w:tcPr>
            <w:tcW w:w="1383" w:type="dxa"/>
            <w:vAlign w:val="center"/>
          </w:tcPr>
          <w:p w14:paraId="6BA4735D"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29 (4.3)</w:t>
            </w:r>
          </w:p>
        </w:tc>
        <w:tc>
          <w:tcPr>
            <w:tcW w:w="1097" w:type="dxa"/>
            <w:vAlign w:val="center"/>
          </w:tcPr>
          <w:p w14:paraId="1EEAB843" w14:textId="77777777" w:rsidR="00310796" w:rsidRPr="002D2D3B"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121 (40.9)</w:t>
            </w:r>
          </w:p>
        </w:tc>
        <w:tc>
          <w:tcPr>
            <w:tcW w:w="1026" w:type="dxa"/>
            <w:vAlign w:val="center"/>
          </w:tcPr>
          <w:p w14:paraId="2DABB763" w14:textId="77777777" w:rsidR="00310796" w:rsidRPr="002D2D3B"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16 (5.4)</w:t>
            </w:r>
          </w:p>
        </w:tc>
        <w:tc>
          <w:tcPr>
            <w:tcW w:w="1097" w:type="dxa"/>
            <w:vAlign w:val="center"/>
          </w:tcPr>
          <w:p w14:paraId="2FA70AA9" w14:textId="77777777" w:rsidR="00310796" w:rsidRPr="002D2D3B"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78 (26.8)</w:t>
            </w:r>
          </w:p>
        </w:tc>
        <w:tc>
          <w:tcPr>
            <w:tcW w:w="1026" w:type="dxa"/>
            <w:vAlign w:val="center"/>
          </w:tcPr>
          <w:p w14:paraId="3650C9FD" w14:textId="77777777" w:rsidR="00310796" w:rsidRPr="002D2D3B"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7 (2.4)</w:t>
            </w:r>
          </w:p>
        </w:tc>
      </w:tr>
      <w:tr w:rsidR="00310796" w:rsidRPr="007662B4" w14:paraId="04612FBD" w14:textId="77777777" w:rsidTr="00A70CBB">
        <w:tc>
          <w:tcPr>
            <w:tcW w:w="1924" w:type="dxa"/>
            <w:vAlign w:val="center"/>
          </w:tcPr>
          <w:p w14:paraId="76F51522" w14:textId="5056C310" w:rsidR="00310796" w:rsidRPr="007662B4" w:rsidRDefault="00310796" w:rsidP="003D78D2">
            <w:pPr>
              <w:rPr>
                <w:rFonts w:asciiTheme="majorHAnsi" w:hAnsiTheme="majorHAnsi" w:cs="Arial"/>
                <w:sz w:val="20"/>
                <w:szCs w:val="20"/>
                <w:lang w:val="en-US"/>
              </w:rPr>
            </w:pPr>
            <w:proofErr w:type="spellStart"/>
            <w:r w:rsidRPr="007662B4">
              <w:rPr>
                <w:rFonts w:asciiTheme="majorHAnsi" w:hAnsiTheme="majorHAnsi" w:cs="Arial"/>
                <w:sz w:val="20"/>
                <w:szCs w:val="20"/>
                <w:lang w:val="en-US"/>
              </w:rPr>
              <w:t>Hyperglyc</w:t>
            </w:r>
            <w:r w:rsidR="00B51A7E">
              <w:rPr>
                <w:rFonts w:asciiTheme="majorHAnsi" w:hAnsiTheme="majorHAnsi" w:cs="Arial"/>
                <w:sz w:val="20"/>
                <w:szCs w:val="20"/>
                <w:lang w:val="en-US"/>
              </w:rPr>
              <w:t>a</w:t>
            </w:r>
            <w:r w:rsidRPr="007662B4">
              <w:rPr>
                <w:rFonts w:asciiTheme="majorHAnsi" w:hAnsiTheme="majorHAnsi" w:cs="Arial"/>
                <w:sz w:val="20"/>
                <w:szCs w:val="20"/>
                <w:lang w:val="en-US"/>
              </w:rPr>
              <w:t>emia</w:t>
            </w:r>
            <w:proofErr w:type="spellEnd"/>
          </w:p>
        </w:tc>
        <w:tc>
          <w:tcPr>
            <w:tcW w:w="1454" w:type="dxa"/>
            <w:vAlign w:val="center"/>
          </w:tcPr>
          <w:p w14:paraId="3338AB65" w14:textId="509F23F0"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89 (13.1)</w:t>
            </w:r>
          </w:p>
        </w:tc>
        <w:tc>
          <w:tcPr>
            <w:tcW w:w="1383" w:type="dxa"/>
            <w:vAlign w:val="center"/>
          </w:tcPr>
          <w:p w14:paraId="201406DA" w14:textId="548CA041"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47 (6.9)</w:t>
            </w:r>
          </w:p>
        </w:tc>
        <w:tc>
          <w:tcPr>
            <w:tcW w:w="1097" w:type="dxa"/>
            <w:vAlign w:val="center"/>
          </w:tcPr>
          <w:p w14:paraId="3B57A5C6" w14:textId="7558D9E6"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31 (10.5)</w:t>
            </w:r>
          </w:p>
        </w:tc>
        <w:tc>
          <w:tcPr>
            <w:tcW w:w="1026" w:type="dxa"/>
            <w:vAlign w:val="center"/>
          </w:tcPr>
          <w:p w14:paraId="2C7F68D5" w14:textId="7ECF544B"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21 (7.1)</w:t>
            </w:r>
          </w:p>
        </w:tc>
        <w:tc>
          <w:tcPr>
            <w:tcW w:w="1097" w:type="dxa"/>
            <w:vAlign w:val="center"/>
          </w:tcPr>
          <w:p w14:paraId="2EE58D4B" w14:textId="293B0689"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6 (2.1)</w:t>
            </w:r>
          </w:p>
        </w:tc>
        <w:tc>
          <w:tcPr>
            <w:tcW w:w="1026" w:type="dxa"/>
            <w:vAlign w:val="center"/>
          </w:tcPr>
          <w:p w14:paraId="376A4EE3" w14:textId="23639DAC"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 (0.7)</w:t>
            </w:r>
          </w:p>
        </w:tc>
      </w:tr>
      <w:tr w:rsidR="00AB16A4" w:rsidRPr="007662B4" w14:paraId="189D0B90" w14:textId="77777777" w:rsidTr="00A70CBB">
        <w:tc>
          <w:tcPr>
            <w:tcW w:w="9007" w:type="dxa"/>
            <w:gridSpan w:val="7"/>
            <w:vAlign w:val="center"/>
          </w:tcPr>
          <w:p w14:paraId="6000C547" w14:textId="5614C91F" w:rsidR="00AB16A4" w:rsidRPr="002D2D3B" w:rsidRDefault="00AB16A4" w:rsidP="00A70CBB">
            <w:pPr>
              <w:rPr>
                <w:rFonts w:asciiTheme="majorHAnsi" w:hAnsiTheme="majorHAnsi" w:cs="Arial"/>
                <w:sz w:val="20"/>
                <w:szCs w:val="20"/>
                <w:lang w:val="en-US"/>
              </w:rPr>
            </w:pPr>
            <w:r w:rsidRPr="002D2D3B">
              <w:rPr>
                <w:rFonts w:asciiTheme="majorHAnsi" w:hAnsiTheme="majorHAnsi" w:cs="Arial"/>
                <w:b/>
                <w:sz w:val="20"/>
                <w:szCs w:val="20"/>
                <w:lang w:val="en-US"/>
              </w:rPr>
              <w:t>Nervous system disorders</w:t>
            </w:r>
          </w:p>
        </w:tc>
      </w:tr>
      <w:tr w:rsidR="007369EF" w:rsidRPr="007662B4" w14:paraId="2AE44FBC" w14:textId="77777777" w:rsidTr="00A70CBB">
        <w:tc>
          <w:tcPr>
            <w:tcW w:w="1924" w:type="dxa"/>
            <w:vAlign w:val="center"/>
          </w:tcPr>
          <w:p w14:paraId="5BD153D3" w14:textId="54DE4238" w:rsidR="007369EF" w:rsidRPr="002D2D3B" w:rsidRDefault="00AB16A4" w:rsidP="002D2D3B">
            <w:pPr>
              <w:rPr>
                <w:rFonts w:asciiTheme="majorHAnsi" w:hAnsiTheme="majorHAnsi" w:cs="Arial"/>
                <w:sz w:val="20"/>
                <w:szCs w:val="20"/>
                <w:lang w:val="en-US"/>
              </w:rPr>
            </w:pPr>
            <w:r w:rsidRPr="007662B4">
              <w:rPr>
                <w:rFonts w:asciiTheme="majorHAnsi" w:hAnsiTheme="majorHAnsi" w:cs="Arial"/>
                <w:sz w:val="20"/>
                <w:szCs w:val="20"/>
                <w:lang w:val="en-US"/>
              </w:rPr>
              <w:t>Peripheral sensory neuropathy</w:t>
            </w:r>
          </w:p>
        </w:tc>
        <w:tc>
          <w:tcPr>
            <w:tcW w:w="1454" w:type="dxa"/>
            <w:vAlign w:val="center"/>
          </w:tcPr>
          <w:p w14:paraId="438A1587" w14:textId="15549089" w:rsidR="007369EF" w:rsidRPr="007662B4"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263 (38.7)</w:t>
            </w:r>
          </w:p>
        </w:tc>
        <w:tc>
          <w:tcPr>
            <w:tcW w:w="1383" w:type="dxa"/>
            <w:vAlign w:val="center"/>
          </w:tcPr>
          <w:p w14:paraId="3F64288A" w14:textId="1360D31A" w:rsidR="007369EF" w:rsidRPr="007662B4"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16 (2.4)</w:t>
            </w:r>
          </w:p>
        </w:tc>
        <w:tc>
          <w:tcPr>
            <w:tcW w:w="1097" w:type="dxa"/>
            <w:vAlign w:val="center"/>
          </w:tcPr>
          <w:p w14:paraId="0889AE8E" w14:textId="342FEAA9"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102 (34.5)</w:t>
            </w:r>
          </w:p>
        </w:tc>
        <w:tc>
          <w:tcPr>
            <w:tcW w:w="1026" w:type="dxa"/>
            <w:vAlign w:val="center"/>
          </w:tcPr>
          <w:p w14:paraId="24FA3C74" w14:textId="40A72EE3"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9 (3)</w:t>
            </w:r>
          </w:p>
        </w:tc>
        <w:tc>
          <w:tcPr>
            <w:tcW w:w="1097" w:type="dxa"/>
            <w:vAlign w:val="center"/>
          </w:tcPr>
          <w:p w14:paraId="2EEDF0D4" w14:textId="62FA1DA3"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66 (22.7)</w:t>
            </w:r>
          </w:p>
        </w:tc>
        <w:tc>
          <w:tcPr>
            <w:tcW w:w="1026" w:type="dxa"/>
            <w:vAlign w:val="center"/>
          </w:tcPr>
          <w:p w14:paraId="793CC1D0" w14:textId="54FF6A8F"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6 (2.1)</w:t>
            </w:r>
          </w:p>
        </w:tc>
      </w:tr>
      <w:tr w:rsidR="007369EF" w:rsidRPr="007662B4" w14:paraId="0B9B31C1" w14:textId="77777777" w:rsidTr="00A70CBB">
        <w:tc>
          <w:tcPr>
            <w:tcW w:w="1924" w:type="dxa"/>
            <w:vAlign w:val="center"/>
          </w:tcPr>
          <w:p w14:paraId="13D3ACDA" w14:textId="5C268A02" w:rsidR="007369EF" w:rsidRPr="002D2D3B" w:rsidRDefault="007369EF" w:rsidP="002D2D3B">
            <w:pPr>
              <w:rPr>
                <w:rFonts w:asciiTheme="majorHAnsi" w:hAnsiTheme="majorHAnsi" w:cs="Arial"/>
                <w:sz w:val="20"/>
                <w:szCs w:val="20"/>
                <w:lang w:val="en-US"/>
              </w:rPr>
            </w:pPr>
            <w:r w:rsidRPr="002D2D3B">
              <w:rPr>
                <w:rFonts w:asciiTheme="majorHAnsi" w:hAnsiTheme="majorHAnsi" w:cs="Arial"/>
                <w:sz w:val="20"/>
                <w:szCs w:val="20"/>
                <w:lang w:val="en-US"/>
              </w:rPr>
              <w:t>Dysgeusia</w:t>
            </w:r>
          </w:p>
        </w:tc>
        <w:tc>
          <w:tcPr>
            <w:tcW w:w="1454" w:type="dxa"/>
            <w:vAlign w:val="center"/>
          </w:tcPr>
          <w:p w14:paraId="18626469" w14:textId="309B3380" w:rsidR="007369EF" w:rsidRPr="007662B4"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203 (29.9)</w:t>
            </w:r>
          </w:p>
        </w:tc>
        <w:tc>
          <w:tcPr>
            <w:tcW w:w="1383" w:type="dxa"/>
            <w:vAlign w:val="center"/>
          </w:tcPr>
          <w:p w14:paraId="31127D04" w14:textId="4D139422" w:rsidR="007369EF" w:rsidRPr="007662B4"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c>
          <w:tcPr>
            <w:tcW w:w="1097" w:type="dxa"/>
            <w:vAlign w:val="center"/>
          </w:tcPr>
          <w:p w14:paraId="3A9ADA99" w14:textId="763662E9"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74 (25)</w:t>
            </w:r>
          </w:p>
        </w:tc>
        <w:tc>
          <w:tcPr>
            <w:tcW w:w="1026" w:type="dxa"/>
            <w:vAlign w:val="center"/>
          </w:tcPr>
          <w:p w14:paraId="61C0EA49" w14:textId="2C335808"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c>
          <w:tcPr>
            <w:tcW w:w="1097" w:type="dxa"/>
            <w:vAlign w:val="center"/>
          </w:tcPr>
          <w:p w14:paraId="40E8D008" w14:textId="7F643679"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23 (7.9)</w:t>
            </w:r>
          </w:p>
        </w:tc>
        <w:tc>
          <w:tcPr>
            <w:tcW w:w="1026" w:type="dxa"/>
            <w:vAlign w:val="center"/>
          </w:tcPr>
          <w:p w14:paraId="3E8190C2" w14:textId="77777777" w:rsidR="007369EF" w:rsidRPr="002D2D3B" w:rsidRDefault="007369EF" w:rsidP="00A70CBB">
            <w:pPr>
              <w:jc w:val="center"/>
              <w:rPr>
                <w:rFonts w:asciiTheme="majorHAnsi" w:hAnsiTheme="majorHAnsi" w:cs="Arial"/>
                <w:sz w:val="20"/>
                <w:szCs w:val="20"/>
                <w:lang w:val="en-US"/>
              </w:rPr>
            </w:pPr>
            <w:r w:rsidRPr="002D2D3B">
              <w:rPr>
                <w:rFonts w:asciiTheme="majorHAnsi" w:hAnsiTheme="majorHAnsi" w:cs="Arial"/>
                <w:sz w:val="20"/>
                <w:szCs w:val="20"/>
                <w:lang w:val="en-US"/>
              </w:rPr>
              <w:t>0</w:t>
            </w:r>
          </w:p>
        </w:tc>
      </w:tr>
      <w:tr w:rsidR="00AB16A4" w:rsidRPr="007662B4" w14:paraId="4619BE78" w14:textId="77777777" w:rsidTr="00A70CBB">
        <w:tc>
          <w:tcPr>
            <w:tcW w:w="9007" w:type="dxa"/>
            <w:gridSpan w:val="7"/>
            <w:vAlign w:val="center"/>
          </w:tcPr>
          <w:p w14:paraId="1DA46094" w14:textId="498B167E" w:rsidR="00AB16A4" w:rsidRPr="002D2D3B" w:rsidRDefault="00AB16A4" w:rsidP="00A70CBB">
            <w:pPr>
              <w:rPr>
                <w:rFonts w:asciiTheme="majorHAnsi" w:hAnsiTheme="majorHAnsi" w:cs="Arial"/>
                <w:sz w:val="20"/>
                <w:szCs w:val="20"/>
                <w:lang w:val="en-US"/>
              </w:rPr>
            </w:pPr>
            <w:r w:rsidRPr="002D2D3B">
              <w:rPr>
                <w:rFonts w:asciiTheme="majorHAnsi" w:hAnsiTheme="majorHAnsi" w:cs="Arial"/>
                <w:b/>
                <w:sz w:val="20"/>
                <w:szCs w:val="20"/>
                <w:lang w:val="en-US"/>
              </w:rPr>
              <w:t>Gastrointestinal disorders</w:t>
            </w:r>
          </w:p>
        </w:tc>
      </w:tr>
      <w:tr w:rsidR="007369EF" w:rsidRPr="007662B4" w14:paraId="748F8195" w14:textId="77777777" w:rsidTr="00A70CBB">
        <w:tc>
          <w:tcPr>
            <w:tcW w:w="1924" w:type="dxa"/>
            <w:vAlign w:val="bottom"/>
          </w:tcPr>
          <w:p w14:paraId="64ACDDFA" w14:textId="7702576F" w:rsidR="007369EF" w:rsidRPr="002D2D3B" w:rsidRDefault="007369EF" w:rsidP="002D2D3B">
            <w:pPr>
              <w:rPr>
                <w:rFonts w:asciiTheme="majorHAnsi" w:hAnsiTheme="majorHAnsi" w:cs="Arial"/>
                <w:sz w:val="20"/>
                <w:szCs w:val="20"/>
                <w:lang w:val="en-US"/>
              </w:rPr>
            </w:pPr>
            <w:proofErr w:type="spellStart"/>
            <w:r w:rsidRPr="002D2D3B">
              <w:rPr>
                <w:rFonts w:asciiTheme="majorHAnsi" w:hAnsiTheme="majorHAnsi" w:cs="Arial"/>
                <w:sz w:val="20"/>
                <w:szCs w:val="20"/>
                <w:lang w:val="en-US"/>
              </w:rPr>
              <w:t>Diarrh</w:t>
            </w:r>
            <w:r w:rsidR="00B51A7E">
              <w:rPr>
                <w:rFonts w:asciiTheme="majorHAnsi" w:hAnsiTheme="majorHAnsi" w:cs="Arial"/>
                <w:sz w:val="20"/>
                <w:szCs w:val="20"/>
                <w:lang w:val="en-US"/>
              </w:rPr>
              <w:t>o</w:t>
            </w:r>
            <w:r w:rsidRPr="002D2D3B">
              <w:rPr>
                <w:rFonts w:asciiTheme="majorHAnsi" w:hAnsiTheme="majorHAnsi" w:cs="Arial"/>
                <w:sz w:val="20"/>
                <w:szCs w:val="20"/>
                <w:lang w:val="en-US"/>
              </w:rPr>
              <w:t>ea</w:t>
            </w:r>
            <w:proofErr w:type="spellEnd"/>
          </w:p>
        </w:tc>
        <w:tc>
          <w:tcPr>
            <w:tcW w:w="1454" w:type="dxa"/>
            <w:vAlign w:val="center"/>
          </w:tcPr>
          <w:p w14:paraId="383C4EA2" w14:textId="05531077" w:rsidR="007369EF" w:rsidRPr="007662B4"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256 (37.6)</w:t>
            </w:r>
          </w:p>
        </w:tc>
        <w:tc>
          <w:tcPr>
            <w:tcW w:w="1383" w:type="dxa"/>
            <w:vAlign w:val="center"/>
          </w:tcPr>
          <w:p w14:paraId="499C5A36" w14:textId="3C997931" w:rsidR="007369EF" w:rsidRPr="007662B4" w:rsidRDefault="00180B9D" w:rsidP="00A70CBB">
            <w:pPr>
              <w:jc w:val="center"/>
              <w:rPr>
                <w:rFonts w:asciiTheme="majorHAnsi" w:hAnsiTheme="majorHAnsi" w:cs="Arial"/>
                <w:sz w:val="20"/>
                <w:szCs w:val="20"/>
                <w:lang w:val="en-US"/>
              </w:rPr>
            </w:pPr>
            <w:r>
              <w:rPr>
                <w:rFonts w:asciiTheme="majorHAnsi" w:hAnsiTheme="majorHAnsi" w:cs="Arial"/>
                <w:sz w:val="20"/>
                <w:szCs w:val="20"/>
                <w:lang w:val="en-US"/>
              </w:rPr>
              <w:t>26 (3.8)</w:t>
            </w:r>
          </w:p>
        </w:tc>
        <w:tc>
          <w:tcPr>
            <w:tcW w:w="1097" w:type="dxa"/>
            <w:vAlign w:val="center"/>
          </w:tcPr>
          <w:p w14:paraId="56CCBE99" w14:textId="664B7E62" w:rsidR="007369EF" w:rsidRPr="002D2D3B" w:rsidRDefault="00AB16A4"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103 (34.8)</w:t>
            </w:r>
          </w:p>
        </w:tc>
        <w:tc>
          <w:tcPr>
            <w:tcW w:w="1026" w:type="dxa"/>
            <w:vAlign w:val="center"/>
          </w:tcPr>
          <w:p w14:paraId="07B8DA50" w14:textId="069B992A"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11 (3.7)</w:t>
            </w:r>
          </w:p>
        </w:tc>
        <w:tc>
          <w:tcPr>
            <w:tcW w:w="1097" w:type="dxa"/>
            <w:vAlign w:val="center"/>
          </w:tcPr>
          <w:p w14:paraId="599BE3A9" w14:textId="41100851"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66 (22.7)</w:t>
            </w:r>
          </w:p>
        </w:tc>
        <w:tc>
          <w:tcPr>
            <w:tcW w:w="1026" w:type="dxa"/>
            <w:vAlign w:val="center"/>
          </w:tcPr>
          <w:p w14:paraId="4C79B7DD" w14:textId="6EC0B79C"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 (1.7)</w:t>
            </w:r>
          </w:p>
        </w:tc>
      </w:tr>
      <w:tr w:rsidR="007369EF" w:rsidRPr="007662B4" w14:paraId="3C44FB8D" w14:textId="77777777" w:rsidTr="00A70CBB">
        <w:tc>
          <w:tcPr>
            <w:tcW w:w="1924" w:type="dxa"/>
            <w:vAlign w:val="center"/>
          </w:tcPr>
          <w:p w14:paraId="406B2B56" w14:textId="77777777" w:rsidR="007369EF" w:rsidRPr="002D2D3B" w:rsidRDefault="007369EF" w:rsidP="002D2D3B">
            <w:pPr>
              <w:rPr>
                <w:rFonts w:asciiTheme="majorHAnsi" w:hAnsiTheme="majorHAnsi" w:cs="Arial"/>
                <w:sz w:val="20"/>
                <w:szCs w:val="20"/>
                <w:lang w:val="en-US"/>
              </w:rPr>
            </w:pPr>
            <w:r w:rsidRPr="002D2D3B">
              <w:rPr>
                <w:rFonts w:asciiTheme="majorHAnsi" w:hAnsiTheme="majorHAnsi" w:cs="Arial"/>
                <w:sz w:val="20"/>
                <w:szCs w:val="20"/>
                <w:lang w:val="en-US"/>
              </w:rPr>
              <w:t>Nausea</w:t>
            </w:r>
          </w:p>
        </w:tc>
        <w:tc>
          <w:tcPr>
            <w:tcW w:w="1454" w:type="dxa"/>
            <w:vAlign w:val="center"/>
          </w:tcPr>
          <w:p w14:paraId="09F794CD" w14:textId="5EFC00C3" w:rsidR="007369EF"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245 (36)</w:t>
            </w:r>
          </w:p>
        </w:tc>
        <w:tc>
          <w:tcPr>
            <w:tcW w:w="1383" w:type="dxa"/>
            <w:vAlign w:val="center"/>
          </w:tcPr>
          <w:p w14:paraId="4CCC714A" w14:textId="32DD8189" w:rsidR="007369EF"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12 (1.8)</w:t>
            </w:r>
          </w:p>
        </w:tc>
        <w:tc>
          <w:tcPr>
            <w:tcW w:w="1097" w:type="dxa"/>
            <w:vAlign w:val="center"/>
          </w:tcPr>
          <w:p w14:paraId="6A6A65F8" w14:textId="7B3EC484"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89 (30.1)</w:t>
            </w:r>
          </w:p>
        </w:tc>
        <w:tc>
          <w:tcPr>
            <w:tcW w:w="1026" w:type="dxa"/>
            <w:vAlign w:val="center"/>
          </w:tcPr>
          <w:p w14:paraId="0ED6D23C" w14:textId="4BE1D789"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 (1)</w:t>
            </w:r>
          </w:p>
        </w:tc>
        <w:tc>
          <w:tcPr>
            <w:tcW w:w="1097" w:type="dxa"/>
            <w:vAlign w:val="center"/>
          </w:tcPr>
          <w:p w14:paraId="624BF3EE" w14:textId="0014A519"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74 (25.4)</w:t>
            </w:r>
          </w:p>
        </w:tc>
        <w:tc>
          <w:tcPr>
            <w:tcW w:w="1026" w:type="dxa"/>
            <w:vAlign w:val="center"/>
          </w:tcPr>
          <w:p w14:paraId="16D9CAC7" w14:textId="32A7B21C"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 (1.7)</w:t>
            </w:r>
          </w:p>
        </w:tc>
      </w:tr>
      <w:tr w:rsidR="007369EF" w:rsidRPr="007662B4" w14:paraId="5D9CFA43" w14:textId="77777777" w:rsidTr="00A70CBB">
        <w:tc>
          <w:tcPr>
            <w:tcW w:w="1924" w:type="dxa"/>
            <w:vAlign w:val="center"/>
          </w:tcPr>
          <w:p w14:paraId="3D732019" w14:textId="69331410" w:rsidR="007369EF" w:rsidRPr="002D2D3B" w:rsidRDefault="00783280" w:rsidP="002D2D3B">
            <w:pPr>
              <w:rPr>
                <w:rFonts w:asciiTheme="majorHAnsi" w:hAnsiTheme="majorHAnsi" w:cs="Arial"/>
                <w:sz w:val="20"/>
                <w:szCs w:val="20"/>
                <w:lang w:val="en-US"/>
              </w:rPr>
            </w:pPr>
            <w:r w:rsidRPr="007662B4">
              <w:rPr>
                <w:rFonts w:asciiTheme="majorHAnsi" w:hAnsiTheme="majorHAnsi" w:cs="Arial"/>
                <w:sz w:val="20"/>
                <w:szCs w:val="20"/>
                <w:lang w:val="en-US"/>
              </w:rPr>
              <w:t>Vomiting</w:t>
            </w:r>
          </w:p>
        </w:tc>
        <w:tc>
          <w:tcPr>
            <w:tcW w:w="1454" w:type="dxa"/>
            <w:vAlign w:val="center"/>
          </w:tcPr>
          <w:p w14:paraId="291C0ED1" w14:textId="0A4B5BD8" w:rsidR="007369EF"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125 (18.4)</w:t>
            </w:r>
          </w:p>
        </w:tc>
        <w:tc>
          <w:tcPr>
            <w:tcW w:w="1383" w:type="dxa"/>
            <w:vAlign w:val="center"/>
          </w:tcPr>
          <w:p w14:paraId="38589F2A" w14:textId="13465E83" w:rsidR="007369EF"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11 (1.6)</w:t>
            </w:r>
          </w:p>
        </w:tc>
        <w:tc>
          <w:tcPr>
            <w:tcW w:w="1097" w:type="dxa"/>
            <w:vAlign w:val="center"/>
          </w:tcPr>
          <w:p w14:paraId="04A32AB0" w14:textId="6191D286"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42 (14.2)</w:t>
            </w:r>
          </w:p>
        </w:tc>
        <w:tc>
          <w:tcPr>
            <w:tcW w:w="1026" w:type="dxa"/>
            <w:vAlign w:val="center"/>
          </w:tcPr>
          <w:p w14:paraId="02A95FFB" w14:textId="190A9FD5"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4 (1.4)</w:t>
            </w:r>
          </w:p>
        </w:tc>
        <w:tc>
          <w:tcPr>
            <w:tcW w:w="1097" w:type="dxa"/>
            <w:vAlign w:val="center"/>
          </w:tcPr>
          <w:p w14:paraId="36D3E2F2" w14:textId="74ACB313"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44 (15.1)</w:t>
            </w:r>
          </w:p>
        </w:tc>
        <w:tc>
          <w:tcPr>
            <w:tcW w:w="1026" w:type="dxa"/>
            <w:vAlign w:val="center"/>
          </w:tcPr>
          <w:p w14:paraId="79B631AF" w14:textId="2C151E90"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 (1)</w:t>
            </w:r>
          </w:p>
        </w:tc>
      </w:tr>
      <w:tr w:rsidR="00783280" w:rsidRPr="007662B4" w14:paraId="56401518" w14:textId="77777777" w:rsidTr="00A70CBB">
        <w:tc>
          <w:tcPr>
            <w:tcW w:w="9007" w:type="dxa"/>
            <w:gridSpan w:val="7"/>
            <w:vAlign w:val="center"/>
          </w:tcPr>
          <w:p w14:paraId="4821DDA0" w14:textId="0DCF9AB6" w:rsidR="00783280" w:rsidRPr="002D2D3B" w:rsidRDefault="00783280" w:rsidP="00A70CBB">
            <w:pPr>
              <w:rPr>
                <w:rFonts w:asciiTheme="majorHAnsi" w:hAnsiTheme="majorHAnsi" w:cs="Arial"/>
                <w:sz w:val="20"/>
                <w:szCs w:val="20"/>
                <w:lang w:val="en-US"/>
              </w:rPr>
            </w:pPr>
            <w:r w:rsidRPr="002D2D3B">
              <w:rPr>
                <w:rFonts w:asciiTheme="majorHAnsi" w:hAnsiTheme="majorHAnsi" w:cs="Arial"/>
                <w:b/>
                <w:sz w:val="20"/>
                <w:szCs w:val="20"/>
                <w:lang w:val="en-US"/>
              </w:rPr>
              <w:t>Blood and lymphatic system disorders</w:t>
            </w:r>
          </w:p>
        </w:tc>
      </w:tr>
      <w:tr w:rsidR="007369EF" w:rsidRPr="007662B4" w14:paraId="146EBC27" w14:textId="77777777" w:rsidTr="00A70CBB">
        <w:tc>
          <w:tcPr>
            <w:tcW w:w="1924" w:type="dxa"/>
            <w:vAlign w:val="center"/>
          </w:tcPr>
          <w:p w14:paraId="73762EFB" w14:textId="77777777" w:rsidR="007369EF" w:rsidRPr="002D2D3B" w:rsidRDefault="007369EF" w:rsidP="002D2D3B">
            <w:pPr>
              <w:rPr>
                <w:rFonts w:asciiTheme="majorHAnsi" w:hAnsiTheme="majorHAnsi" w:cs="Arial"/>
                <w:sz w:val="20"/>
                <w:szCs w:val="20"/>
                <w:lang w:val="en-US"/>
              </w:rPr>
            </w:pPr>
            <w:r w:rsidRPr="002D2D3B">
              <w:rPr>
                <w:rFonts w:asciiTheme="majorHAnsi" w:hAnsiTheme="majorHAnsi" w:cs="Arial"/>
                <w:sz w:val="20"/>
                <w:szCs w:val="20"/>
                <w:lang w:val="en-US"/>
              </w:rPr>
              <w:t>Anemia</w:t>
            </w:r>
          </w:p>
        </w:tc>
        <w:tc>
          <w:tcPr>
            <w:tcW w:w="1454" w:type="dxa"/>
            <w:vAlign w:val="center"/>
          </w:tcPr>
          <w:p w14:paraId="0FDAC9BF" w14:textId="7E7BD378" w:rsidR="007369EF"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180 (26.5)</w:t>
            </w:r>
          </w:p>
        </w:tc>
        <w:tc>
          <w:tcPr>
            <w:tcW w:w="1383" w:type="dxa"/>
            <w:vAlign w:val="center"/>
          </w:tcPr>
          <w:p w14:paraId="1E066A01" w14:textId="3F918CA7" w:rsidR="007369EF"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61 (9)</w:t>
            </w:r>
          </w:p>
        </w:tc>
        <w:tc>
          <w:tcPr>
            <w:tcW w:w="1097" w:type="dxa"/>
            <w:vAlign w:val="center"/>
          </w:tcPr>
          <w:p w14:paraId="17F5374A" w14:textId="3767B66B"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59 (19.9)</w:t>
            </w:r>
          </w:p>
        </w:tc>
        <w:tc>
          <w:tcPr>
            <w:tcW w:w="1026" w:type="dxa"/>
            <w:vAlign w:val="center"/>
          </w:tcPr>
          <w:p w14:paraId="3556DF23" w14:textId="5F4A9AAC"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19 (6.4)</w:t>
            </w:r>
          </w:p>
        </w:tc>
        <w:tc>
          <w:tcPr>
            <w:tcW w:w="1097" w:type="dxa"/>
            <w:vAlign w:val="center"/>
          </w:tcPr>
          <w:p w14:paraId="60BAFF9B" w14:textId="6FDE16BB"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87 (29.9)</w:t>
            </w:r>
          </w:p>
        </w:tc>
        <w:tc>
          <w:tcPr>
            <w:tcW w:w="1026" w:type="dxa"/>
            <w:vAlign w:val="center"/>
          </w:tcPr>
          <w:p w14:paraId="00ECB880" w14:textId="171367F6" w:rsidR="007369EF" w:rsidRPr="002D2D3B"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34 (11.7)</w:t>
            </w:r>
          </w:p>
        </w:tc>
      </w:tr>
      <w:tr w:rsidR="00310796" w:rsidRPr="007662B4" w14:paraId="606A17DA" w14:textId="77777777" w:rsidTr="00A70CBB">
        <w:tc>
          <w:tcPr>
            <w:tcW w:w="9007" w:type="dxa"/>
            <w:gridSpan w:val="7"/>
            <w:vAlign w:val="center"/>
          </w:tcPr>
          <w:p w14:paraId="0047E007" w14:textId="77777777" w:rsidR="00310796" w:rsidRPr="002D2D3B" w:rsidRDefault="00310796" w:rsidP="00A70CBB">
            <w:pPr>
              <w:rPr>
                <w:rFonts w:asciiTheme="majorHAnsi" w:hAnsiTheme="majorHAnsi" w:cs="Arial"/>
                <w:sz w:val="20"/>
                <w:szCs w:val="20"/>
                <w:lang w:val="en-US"/>
              </w:rPr>
            </w:pPr>
            <w:r w:rsidRPr="002D2D3B">
              <w:rPr>
                <w:rFonts w:asciiTheme="majorHAnsi" w:hAnsiTheme="majorHAnsi" w:cs="Arial"/>
                <w:b/>
                <w:sz w:val="20"/>
                <w:szCs w:val="20"/>
                <w:lang w:val="en-US"/>
              </w:rPr>
              <w:t>Investigations</w:t>
            </w:r>
          </w:p>
        </w:tc>
      </w:tr>
      <w:tr w:rsidR="00310796" w:rsidRPr="007662B4" w14:paraId="05524DC6" w14:textId="77777777" w:rsidTr="00A70CBB">
        <w:tc>
          <w:tcPr>
            <w:tcW w:w="1924" w:type="dxa"/>
            <w:vAlign w:val="center"/>
          </w:tcPr>
          <w:p w14:paraId="6121F695" w14:textId="77777777" w:rsidR="00310796" w:rsidRPr="007662B4" w:rsidRDefault="00310796" w:rsidP="003D78D2">
            <w:pPr>
              <w:rPr>
                <w:rFonts w:asciiTheme="majorHAnsi" w:hAnsiTheme="majorHAnsi" w:cs="Arial"/>
                <w:sz w:val="20"/>
                <w:szCs w:val="20"/>
                <w:lang w:val="en-US"/>
              </w:rPr>
            </w:pPr>
            <w:r w:rsidRPr="002D2D3B">
              <w:rPr>
                <w:rFonts w:asciiTheme="majorHAnsi" w:hAnsiTheme="majorHAnsi" w:cs="Arial"/>
                <w:sz w:val="20"/>
                <w:szCs w:val="20"/>
                <w:lang w:val="en-US"/>
              </w:rPr>
              <w:t>Weight decreased</w:t>
            </w:r>
          </w:p>
        </w:tc>
        <w:tc>
          <w:tcPr>
            <w:tcW w:w="1454" w:type="dxa"/>
            <w:vAlign w:val="center"/>
          </w:tcPr>
          <w:p w14:paraId="6EFD8D64"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159 (23.4)</w:t>
            </w:r>
          </w:p>
        </w:tc>
        <w:tc>
          <w:tcPr>
            <w:tcW w:w="1383" w:type="dxa"/>
            <w:vAlign w:val="center"/>
          </w:tcPr>
          <w:p w14:paraId="10261850"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4 (0.6)</w:t>
            </w:r>
          </w:p>
        </w:tc>
        <w:tc>
          <w:tcPr>
            <w:tcW w:w="1097" w:type="dxa"/>
            <w:vAlign w:val="center"/>
          </w:tcPr>
          <w:p w14:paraId="207F6698"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47 (15.9)</w:t>
            </w:r>
          </w:p>
        </w:tc>
        <w:tc>
          <w:tcPr>
            <w:tcW w:w="1026" w:type="dxa"/>
            <w:vAlign w:val="center"/>
          </w:tcPr>
          <w:p w14:paraId="528F8B2B"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 (0.3)</w:t>
            </w:r>
          </w:p>
        </w:tc>
        <w:tc>
          <w:tcPr>
            <w:tcW w:w="1097" w:type="dxa"/>
            <w:vAlign w:val="center"/>
          </w:tcPr>
          <w:p w14:paraId="67DAC211"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20 (6.9)</w:t>
            </w:r>
          </w:p>
        </w:tc>
        <w:tc>
          <w:tcPr>
            <w:tcW w:w="1026" w:type="dxa"/>
            <w:vAlign w:val="center"/>
          </w:tcPr>
          <w:p w14:paraId="4E53F106"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r>
      <w:tr w:rsidR="00310796" w:rsidRPr="007662B4" w14:paraId="0D27668D" w14:textId="77777777" w:rsidTr="00A70CBB">
        <w:tc>
          <w:tcPr>
            <w:tcW w:w="1924" w:type="dxa"/>
            <w:vAlign w:val="center"/>
          </w:tcPr>
          <w:p w14:paraId="417E4932" w14:textId="77777777" w:rsidR="00310796" w:rsidRPr="007662B4" w:rsidRDefault="00310796" w:rsidP="003D78D2">
            <w:pPr>
              <w:rPr>
                <w:rFonts w:asciiTheme="majorHAnsi" w:hAnsiTheme="majorHAnsi" w:cs="Arial"/>
                <w:sz w:val="20"/>
                <w:szCs w:val="20"/>
                <w:lang w:val="en-US"/>
              </w:rPr>
            </w:pPr>
            <w:r w:rsidRPr="007662B4">
              <w:rPr>
                <w:rFonts w:asciiTheme="majorHAnsi" w:hAnsiTheme="majorHAnsi" w:cs="Arial"/>
                <w:sz w:val="20"/>
                <w:szCs w:val="20"/>
                <w:lang w:val="en-US"/>
              </w:rPr>
              <w:t>Aspartate aminotransferase increased</w:t>
            </w:r>
          </w:p>
        </w:tc>
        <w:tc>
          <w:tcPr>
            <w:tcW w:w="1454" w:type="dxa"/>
            <w:vAlign w:val="center"/>
          </w:tcPr>
          <w:p w14:paraId="24CAD9B5"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104 (15.3)</w:t>
            </w:r>
          </w:p>
        </w:tc>
        <w:tc>
          <w:tcPr>
            <w:tcW w:w="1383" w:type="dxa"/>
            <w:vAlign w:val="center"/>
          </w:tcPr>
          <w:p w14:paraId="150EC6BA"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11 (1.6)</w:t>
            </w:r>
          </w:p>
        </w:tc>
        <w:tc>
          <w:tcPr>
            <w:tcW w:w="1097" w:type="dxa"/>
            <w:vAlign w:val="center"/>
          </w:tcPr>
          <w:p w14:paraId="72EA9C78"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36 (12.2)</w:t>
            </w:r>
          </w:p>
        </w:tc>
        <w:tc>
          <w:tcPr>
            <w:tcW w:w="1026" w:type="dxa"/>
            <w:vAlign w:val="center"/>
          </w:tcPr>
          <w:p w14:paraId="2D818BB3"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 (1)</w:t>
            </w:r>
          </w:p>
        </w:tc>
        <w:tc>
          <w:tcPr>
            <w:tcW w:w="1097" w:type="dxa"/>
            <w:vAlign w:val="center"/>
          </w:tcPr>
          <w:p w14:paraId="5DD91F47"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5 (1.7)</w:t>
            </w:r>
          </w:p>
        </w:tc>
        <w:tc>
          <w:tcPr>
            <w:tcW w:w="1026" w:type="dxa"/>
            <w:vAlign w:val="center"/>
          </w:tcPr>
          <w:p w14:paraId="6D91CB0B"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r>
      <w:tr w:rsidR="00310796" w:rsidRPr="007662B4" w14:paraId="472335CE" w14:textId="77777777" w:rsidTr="00A70CBB">
        <w:tc>
          <w:tcPr>
            <w:tcW w:w="1924" w:type="dxa"/>
            <w:vAlign w:val="center"/>
          </w:tcPr>
          <w:p w14:paraId="3B95E4F2" w14:textId="77777777" w:rsidR="00310796" w:rsidRPr="002D2D3B" w:rsidRDefault="00310796" w:rsidP="003D78D2">
            <w:pPr>
              <w:rPr>
                <w:rFonts w:asciiTheme="majorHAnsi" w:hAnsiTheme="majorHAnsi" w:cs="Arial"/>
                <w:sz w:val="20"/>
                <w:szCs w:val="20"/>
                <w:lang w:val="en-US"/>
              </w:rPr>
            </w:pPr>
            <w:r w:rsidRPr="007662B4">
              <w:rPr>
                <w:rFonts w:asciiTheme="majorHAnsi" w:hAnsiTheme="majorHAnsi" w:cs="Arial"/>
                <w:sz w:val="20"/>
                <w:szCs w:val="20"/>
                <w:lang w:val="en-US"/>
              </w:rPr>
              <w:t>Alanine aminotransferase increased</w:t>
            </w:r>
          </w:p>
        </w:tc>
        <w:tc>
          <w:tcPr>
            <w:tcW w:w="1454" w:type="dxa"/>
            <w:vAlign w:val="center"/>
          </w:tcPr>
          <w:p w14:paraId="007CFAD3"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82 (12.1)</w:t>
            </w:r>
          </w:p>
        </w:tc>
        <w:tc>
          <w:tcPr>
            <w:tcW w:w="1383" w:type="dxa"/>
            <w:vAlign w:val="center"/>
          </w:tcPr>
          <w:p w14:paraId="55AF1B23" w14:textId="77777777" w:rsidR="00310796" w:rsidRPr="007662B4"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6 (0.9)</w:t>
            </w:r>
          </w:p>
        </w:tc>
        <w:tc>
          <w:tcPr>
            <w:tcW w:w="1097" w:type="dxa"/>
            <w:vAlign w:val="center"/>
          </w:tcPr>
          <w:p w14:paraId="39B0E72E" w14:textId="77777777" w:rsidR="00310796" w:rsidRPr="002D2D3B"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27 (9.1)</w:t>
            </w:r>
          </w:p>
        </w:tc>
        <w:tc>
          <w:tcPr>
            <w:tcW w:w="1026" w:type="dxa"/>
            <w:vAlign w:val="center"/>
          </w:tcPr>
          <w:p w14:paraId="52A1B05E" w14:textId="77777777" w:rsidR="00310796" w:rsidRPr="002D2D3B"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2 (0.7)</w:t>
            </w:r>
          </w:p>
        </w:tc>
        <w:tc>
          <w:tcPr>
            <w:tcW w:w="1097" w:type="dxa"/>
            <w:vAlign w:val="center"/>
          </w:tcPr>
          <w:p w14:paraId="1FF7EC21" w14:textId="77777777" w:rsidR="00310796" w:rsidRPr="002D2D3B"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4 (1.4)</w:t>
            </w:r>
          </w:p>
        </w:tc>
        <w:tc>
          <w:tcPr>
            <w:tcW w:w="1026" w:type="dxa"/>
            <w:vAlign w:val="center"/>
          </w:tcPr>
          <w:p w14:paraId="052A69A3" w14:textId="77777777" w:rsidR="00310796" w:rsidRPr="002D2D3B" w:rsidRDefault="00310796"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 (0.3)</w:t>
            </w:r>
          </w:p>
        </w:tc>
      </w:tr>
      <w:tr w:rsidR="00783280" w:rsidRPr="007662B4" w14:paraId="0D06DAAF" w14:textId="77777777" w:rsidTr="00A70CBB">
        <w:tc>
          <w:tcPr>
            <w:tcW w:w="9007" w:type="dxa"/>
            <w:gridSpan w:val="7"/>
            <w:vAlign w:val="center"/>
          </w:tcPr>
          <w:p w14:paraId="2A4DFD9B" w14:textId="337627F5" w:rsidR="00783280" w:rsidRPr="007662B4" w:rsidRDefault="00783280" w:rsidP="00A70CBB">
            <w:pPr>
              <w:rPr>
                <w:rFonts w:asciiTheme="majorHAnsi" w:hAnsiTheme="majorHAnsi" w:cs="Arial"/>
                <w:b/>
                <w:bCs/>
                <w:sz w:val="20"/>
                <w:szCs w:val="20"/>
                <w:lang w:val="en-US"/>
              </w:rPr>
            </w:pPr>
            <w:r w:rsidRPr="007662B4">
              <w:rPr>
                <w:rFonts w:asciiTheme="majorHAnsi" w:hAnsiTheme="majorHAnsi" w:cs="Arial"/>
                <w:b/>
                <w:bCs/>
                <w:sz w:val="20"/>
                <w:szCs w:val="20"/>
                <w:lang w:val="en-US"/>
              </w:rPr>
              <w:t>Eye disorders</w:t>
            </w:r>
          </w:p>
        </w:tc>
      </w:tr>
      <w:tr w:rsidR="00783280" w:rsidRPr="007662B4" w14:paraId="4150E220" w14:textId="77777777" w:rsidTr="00A70CBB">
        <w:tc>
          <w:tcPr>
            <w:tcW w:w="1924" w:type="dxa"/>
            <w:vAlign w:val="center"/>
          </w:tcPr>
          <w:p w14:paraId="36DDF21B" w14:textId="72672A11" w:rsidR="00783280" w:rsidRPr="007662B4" w:rsidRDefault="00783280" w:rsidP="002D2D3B">
            <w:pPr>
              <w:rPr>
                <w:rFonts w:asciiTheme="majorHAnsi" w:hAnsiTheme="majorHAnsi" w:cs="Arial"/>
                <w:sz w:val="20"/>
                <w:szCs w:val="20"/>
                <w:lang w:val="en-US"/>
              </w:rPr>
            </w:pPr>
            <w:r w:rsidRPr="007662B4">
              <w:rPr>
                <w:rFonts w:asciiTheme="majorHAnsi" w:hAnsiTheme="majorHAnsi" w:cs="Arial"/>
                <w:sz w:val="20"/>
                <w:szCs w:val="20"/>
                <w:lang w:val="en-US"/>
              </w:rPr>
              <w:t>Dry eye</w:t>
            </w:r>
          </w:p>
        </w:tc>
        <w:tc>
          <w:tcPr>
            <w:tcW w:w="1454" w:type="dxa"/>
            <w:vAlign w:val="center"/>
          </w:tcPr>
          <w:p w14:paraId="7B9DB5F2" w14:textId="2894025F" w:rsidR="00783280"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87 (12.8)</w:t>
            </w:r>
          </w:p>
        </w:tc>
        <w:tc>
          <w:tcPr>
            <w:tcW w:w="1383" w:type="dxa"/>
            <w:vAlign w:val="center"/>
          </w:tcPr>
          <w:p w14:paraId="6C59F155" w14:textId="512BBED1" w:rsidR="00783280"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c>
          <w:tcPr>
            <w:tcW w:w="1097" w:type="dxa"/>
            <w:vAlign w:val="center"/>
          </w:tcPr>
          <w:p w14:paraId="518C43C9" w14:textId="02C79035" w:rsidR="00783280"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19 (6.4)</w:t>
            </w:r>
          </w:p>
        </w:tc>
        <w:tc>
          <w:tcPr>
            <w:tcW w:w="1026" w:type="dxa"/>
            <w:vAlign w:val="center"/>
          </w:tcPr>
          <w:p w14:paraId="0D11643E" w14:textId="3CF40345" w:rsidR="00783280"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c>
          <w:tcPr>
            <w:tcW w:w="1097" w:type="dxa"/>
            <w:vAlign w:val="center"/>
          </w:tcPr>
          <w:p w14:paraId="6F3F596A" w14:textId="2C6177C3" w:rsidR="00783280"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3 (1)</w:t>
            </w:r>
          </w:p>
        </w:tc>
        <w:tc>
          <w:tcPr>
            <w:tcW w:w="1026" w:type="dxa"/>
            <w:vAlign w:val="center"/>
          </w:tcPr>
          <w:p w14:paraId="6C562EDE" w14:textId="323C2C30" w:rsidR="00783280" w:rsidRPr="007662B4" w:rsidRDefault="00783280" w:rsidP="00A70CBB">
            <w:pPr>
              <w:jc w:val="center"/>
              <w:rPr>
                <w:rFonts w:asciiTheme="majorHAnsi" w:hAnsiTheme="majorHAnsi" w:cs="Arial"/>
                <w:sz w:val="20"/>
                <w:szCs w:val="20"/>
                <w:lang w:val="en-US"/>
              </w:rPr>
            </w:pPr>
            <w:r w:rsidRPr="007662B4">
              <w:rPr>
                <w:rFonts w:asciiTheme="majorHAnsi" w:hAnsiTheme="majorHAnsi" w:cs="Arial"/>
                <w:sz w:val="20"/>
                <w:szCs w:val="20"/>
                <w:lang w:val="en-US"/>
              </w:rPr>
              <w:t>0</w:t>
            </w:r>
          </w:p>
        </w:tc>
      </w:tr>
    </w:tbl>
    <w:p w14:paraId="1A5C1B09" w14:textId="77777777" w:rsidR="00A70CBB" w:rsidRPr="00B51A7E" w:rsidRDefault="00A70CBB" w:rsidP="00A70CBB">
      <w:pPr>
        <w:tabs>
          <w:tab w:val="center" w:pos="4513"/>
        </w:tabs>
        <w:spacing w:after="0" w:line="240" w:lineRule="auto"/>
        <w:rPr>
          <w:rFonts w:asciiTheme="majorHAnsi" w:eastAsia="Times New Roman" w:hAnsiTheme="majorHAnsi"/>
          <w:sz w:val="20"/>
          <w:szCs w:val="20"/>
          <w:lang w:val="en" w:bidi="th-TH"/>
        </w:rPr>
      </w:pPr>
    </w:p>
    <w:p w14:paraId="11E1D32C" w14:textId="5FD570FA" w:rsidR="00310796" w:rsidRPr="00B51A7E" w:rsidRDefault="00310796" w:rsidP="00A70CBB">
      <w:pPr>
        <w:pStyle w:val="ListParagraph"/>
        <w:numPr>
          <w:ilvl w:val="0"/>
          <w:numId w:val="17"/>
        </w:numPr>
        <w:tabs>
          <w:tab w:val="center" w:pos="4513"/>
        </w:tabs>
        <w:spacing w:after="0" w:line="240" w:lineRule="auto"/>
        <w:rPr>
          <w:rFonts w:asciiTheme="majorHAnsi" w:eastAsia="Times New Roman" w:hAnsiTheme="majorHAnsi"/>
          <w:sz w:val="20"/>
          <w:szCs w:val="20"/>
          <w:lang w:val="en" w:bidi="th-TH"/>
        </w:rPr>
      </w:pPr>
      <w:r w:rsidRPr="00B51A7E">
        <w:rPr>
          <w:rFonts w:asciiTheme="majorHAnsi" w:eastAsia="Times New Roman" w:hAnsiTheme="majorHAnsi"/>
          <w:sz w:val="20"/>
          <w:szCs w:val="20"/>
          <w:lang w:val="en" w:bidi="th-TH"/>
        </w:rPr>
        <w:t xml:space="preserve">Preferred terms in MedDRA (v23.0). </w:t>
      </w:r>
    </w:p>
    <w:p w14:paraId="0039F8BB" w14:textId="3FAD9F1E" w:rsidR="00310796" w:rsidRPr="00B51A7E" w:rsidRDefault="00310796" w:rsidP="00A70CBB">
      <w:pPr>
        <w:pStyle w:val="ListParagraph"/>
        <w:numPr>
          <w:ilvl w:val="0"/>
          <w:numId w:val="17"/>
        </w:numPr>
        <w:tabs>
          <w:tab w:val="center" w:pos="4513"/>
        </w:tabs>
        <w:spacing w:after="0" w:line="240" w:lineRule="auto"/>
        <w:rPr>
          <w:rFonts w:asciiTheme="majorHAnsi" w:eastAsia="Times New Roman" w:hAnsiTheme="majorHAnsi"/>
          <w:sz w:val="20"/>
          <w:szCs w:val="20"/>
          <w:lang w:val="en" w:bidi="th-TH"/>
        </w:rPr>
      </w:pPr>
      <w:r w:rsidRPr="00B51A7E">
        <w:rPr>
          <w:rFonts w:asciiTheme="majorHAnsi" w:eastAsia="Times New Roman" w:hAnsiTheme="majorHAnsi"/>
          <w:sz w:val="20"/>
          <w:szCs w:val="20"/>
          <w:lang w:val="en" w:bidi="th-TH"/>
        </w:rPr>
        <w:t>The above-mentioned listed adverse reactions have been observed during clinical studies (EV-101, EV-102, EV-201 and EV-301 data cutoffs 17-Feb-2020, 25-Feb-2019, 08-Sep-2020, 15-Jul-2020, respectively).</w:t>
      </w:r>
    </w:p>
    <w:p w14:paraId="02BE2735" w14:textId="77777777" w:rsidR="00A70CBB" w:rsidRPr="00A70CBB" w:rsidRDefault="00A70CBB" w:rsidP="00A70CBB">
      <w:pPr>
        <w:tabs>
          <w:tab w:val="center" w:pos="4513"/>
        </w:tabs>
        <w:spacing w:after="0" w:line="240" w:lineRule="auto"/>
        <w:rPr>
          <w:rFonts w:asciiTheme="majorHAnsi" w:eastAsia="Times New Roman" w:hAnsiTheme="majorHAnsi"/>
          <w:lang w:val="en" w:bidi="th-TH"/>
        </w:rPr>
      </w:pPr>
    </w:p>
    <w:p w14:paraId="5AE3F451" w14:textId="71D1CC87" w:rsidR="00B11EAA" w:rsidRDefault="00A70CBB" w:rsidP="00A70CBB">
      <w:pPr>
        <w:tabs>
          <w:tab w:val="center" w:pos="4513"/>
        </w:tabs>
        <w:spacing w:after="0" w:line="240" w:lineRule="auto"/>
        <w:rPr>
          <w:rFonts w:asciiTheme="majorHAnsi" w:eastAsia="Times New Roman" w:hAnsiTheme="majorHAnsi"/>
          <w:lang w:val="en" w:bidi="th-TH"/>
        </w:rPr>
      </w:pPr>
      <w:r w:rsidRPr="00A70CBB">
        <w:rPr>
          <w:rFonts w:asciiTheme="majorHAnsi" w:eastAsia="Times New Roman" w:hAnsiTheme="majorHAnsi"/>
          <w:lang w:val="en" w:bidi="th-TH"/>
        </w:rPr>
        <w:t xml:space="preserve">Clinically relevant adverse reactions </w:t>
      </w:r>
      <w:r w:rsidR="007662B4">
        <w:rPr>
          <w:rFonts w:asciiTheme="majorHAnsi" w:eastAsia="Times New Roman" w:hAnsiTheme="majorHAnsi"/>
          <w:lang w:val="en" w:bidi="th-TH"/>
        </w:rPr>
        <w:t>(</w:t>
      </w:r>
      <w:r w:rsidRPr="00A70CBB">
        <w:rPr>
          <w:rFonts w:asciiTheme="majorHAnsi" w:eastAsia="Times New Roman" w:hAnsiTheme="majorHAnsi"/>
          <w:lang w:val="en" w:bidi="th-TH"/>
        </w:rPr>
        <w:t>&lt;1</w:t>
      </w:r>
      <w:r>
        <w:rPr>
          <w:rFonts w:asciiTheme="majorHAnsi" w:eastAsia="Times New Roman" w:hAnsiTheme="majorHAnsi"/>
          <w:lang w:val="en" w:bidi="th-TH"/>
        </w:rPr>
        <w:t>0</w:t>
      </w:r>
      <w:r w:rsidRPr="00A70CBB">
        <w:rPr>
          <w:rFonts w:asciiTheme="majorHAnsi" w:eastAsia="Times New Roman" w:hAnsiTheme="majorHAnsi"/>
          <w:lang w:val="en" w:bidi="th-TH"/>
        </w:rPr>
        <w:t>%</w:t>
      </w:r>
      <w:r w:rsidR="007662B4">
        <w:rPr>
          <w:rFonts w:asciiTheme="majorHAnsi" w:eastAsia="Times New Roman" w:hAnsiTheme="majorHAnsi"/>
          <w:lang w:val="en" w:bidi="th-TH"/>
        </w:rPr>
        <w:t>)</w:t>
      </w:r>
      <w:r w:rsidRPr="00A70CBB">
        <w:rPr>
          <w:rFonts w:asciiTheme="majorHAnsi" w:eastAsia="Times New Roman" w:hAnsiTheme="majorHAnsi"/>
          <w:lang w:val="en" w:bidi="th-TH"/>
        </w:rPr>
        <w:t xml:space="preserve"> </w:t>
      </w:r>
      <w:r w:rsidR="00786EF3">
        <w:rPr>
          <w:rFonts w:asciiTheme="majorHAnsi" w:eastAsia="Times New Roman" w:hAnsiTheme="majorHAnsi"/>
          <w:lang w:val="en" w:bidi="th-TH"/>
        </w:rPr>
        <w:t xml:space="preserve">and frequencies </w:t>
      </w:r>
      <w:r w:rsidR="007662B4">
        <w:rPr>
          <w:rFonts w:asciiTheme="majorHAnsi" w:eastAsia="Times New Roman" w:hAnsiTheme="majorHAnsi"/>
          <w:lang w:val="en" w:bidi="th-TH"/>
        </w:rPr>
        <w:t xml:space="preserve">of patients who received PADCEV </w:t>
      </w:r>
      <w:r w:rsidRPr="00A70CBB">
        <w:rPr>
          <w:rFonts w:asciiTheme="majorHAnsi" w:eastAsia="Times New Roman" w:hAnsiTheme="majorHAnsi"/>
          <w:lang w:val="en" w:bidi="th-TH"/>
        </w:rPr>
        <w:t>include</w:t>
      </w:r>
      <w:r w:rsidR="007662B4">
        <w:rPr>
          <w:rFonts w:asciiTheme="majorHAnsi" w:eastAsia="Times New Roman" w:hAnsiTheme="majorHAnsi"/>
          <w:lang w:val="en" w:bidi="th-TH"/>
        </w:rPr>
        <w:t>d</w:t>
      </w:r>
      <w:r>
        <w:rPr>
          <w:rFonts w:asciiTheme="majorHAnsi" w:eastAsia="Times New Roman" w:hAnsiTheme="majorHAnsi"/>
          <w:lang w:val="en" w:bidi="th-TH"/>
        </w:rPr>
        <w:t>:</w:t>
      </w:r>
    </w:p>
    <w:p w14:paraId="230C34FC" w14:textId="77777777" w:rsidR="00B11EAA" w:rsidRDefault="00B11EAA" w:rsidP="00A70CBB">
      <w:pPr>
        <w:tabs>
          <w:tab w:val="center" w:pos="4513"/>
        </w:tabs>
        <w:spacing w:after="0" w:line="240" w:lineRule="auto"/>
        <w:rPr>
          <w:rFonts w:asciiTheme="majorHAnsi" w:eastAsia="Times New Roman" w:hAnsiTheme="majorHAnsi"/>
          <w:lang w:val="en" w:bidi="th-TH"/>
        </w:rPr>
      </w:pPr>
    </w:p>
    <w:p w14:paraId="3411FA6A" w14:textId="77777777" w:rsidR="00786EF3" w:rsidRDefault="00B11EAA" w:rsidP="00A70CBB">
      <w:pPr>
        <w:tabs>
          <w:tab w:val="center" w:pos="4513"/>
        </w:tabs>
        <w:spacing w:after="0" w:line="240" w:lineRule="auto"/>
        <w:rPr>
          <w:rFonts w:asciiTheme="majorHAnsi" w:eastAsia="MS PGothic" w:hAnsiTheme="majorHAnsi" w:cs="Calibri"/>
          <w:b/>
          <w:bCs/>
          <w:lang w:val="en-US"/>
        </w:rPr>
      </w:pPr>
      <w:r w:rsidRPr="00F66D9E">
        <w:rPr>
          <w:rFonts w:asciiTheme="majorHAnsi" w:eastAsia="MS PGothic" w:hAnsiTheme="majorHAnsi" w:cs="Calibri"/>
          <w:b/>
          <w:bCs/>
          <w:lang w:val="en-US"/>
        </w:rPr>
        <w:t>Blood and lymphatic system disorders</w:t>
      </w:r>
    </w:p>
    <w:p w14:paraId="30D8666D" w14:textId="044D1674" w:rsidR="00A70CBB" w:rsidRDefault="00786EF3" w:rsidP="0043476B">
      <w:pPr>
        <w:tabs>
          <w:tab w:val="left" w:pos="567"/>
          <w:tab w:val="left" w:pos="2552"/>
          <w:tab w:val="center" w:pos="4513"/>
        </w:tabs>
        <w:spacing w:after="0" w:line="240" w:lineRule="auto"/>
        <w:ind w:left="567" w:hanging="567"/>
        <w:rPr>
          <w:rFonts w:asciiTheme="majorHAnsi" w:eastAsia="MS Mincho" w:hAnsiTheme="majorHAnsi"/>
          <w:vertAlign w:val="superscript"/>
          <w:lang w:bidi="th-TH"/>
        </w:rPr>
      </w:pPr>
      <w:r>
        <w:rPr>
          <w:rFonts w:asciiTheme="majorHAnsi" w:eastAsia="MS PGothic" w:hAnsiTheme="majorHAnsi" w:cs="Calibri"/>
          <w:lang w:val="en-US"/>
        </w:rPr>
        <w:tab/>
      </w:r>
      <w:r w:rsidRPr="00786EF3">
        <w:rPr>
          <w:rFonts w:asciiTheme="majorHAnsi" w:eastAsia="MS PGothic" w:hAnsiTheme="majorHAnsi" w:cs="Calibri"/>
          <w:lang w:val="en-US"/>
        </w:rPr>
        <w:t xml:space="preserve">Not known: </w:t>
      </w:r>
      <w:r w:rsidR="00B11EAA">
        <w:rPr>
          <w:rFonts w:asciiTheme="majorHAnsi" w:eastAsia="MS PGothic" w:hAnsiTheme="majorHAnsi" w:cs="Calibri"/>
          <w:lang w:val="en-US"/>
        </w:rPr>
        <w:t>Neutropenia</w:t>
      </w:r>
      <w:r w:rsidR="00B11EAA" w:rsidRPr="00F66D9E">
        <w:rPr>
          <w:rFonts w:asciiTheme="majorHAnsi" w:eastAsia="MS Mincho" w:hAnsiTheme="majorHAnsi"/>
          <w:vertAlign w:val="superscript"/>
          <w:lang w:bidi="th-TH"/>
        </w:rPr>
        <w:t>†</w:t>
      </w:r>
      <w:r w:rsidR="00B11EAA">
        <w:rPr>
          <w:rFonts w:asciiTheme="majorHAnsi" w:eastAsia="MS PGothic" w:hAnsiTheme="majorHAnsi" w:cs="Calibri"/>
          <w:lang w:val="en-US"/>
        </w:rPr>
        <w:t>, febrile neutropenia</w:t>
      </w:r>
      <w:r w:rsidR="00B11EAA" w:rsidRPr="00F66D9E">
        <w:rPr>
          <w:rFonts w:asciiTheme="majorHAnsi" w:eastAsia="MS Mincho" w:hAnsiTheme="majorHAnsi"/>
          <w:vertAlign w:val="superscript"/>
          <w:lang w:bidi="th-TH"/>
        </w:rPr>
        <w:t>†</w:t>
      </w:r>
      <w:r w:rsidR="00B11EAA">
        <w:rPr>
          <w:rFonts w:asciiTheme="majorHAnsi" w:eastAsia="MS PGothic" w:hAnsiTheme="majorHAnsi" w:cs="Calibri"/>
          <w:lang w:val="en-US"/>
        </w:rPr>
        <w:t>, neutrophil count decreased</w:t>
      </w:r>
      <w:r w:rsidR="00B11EAA" w:rsidRPr="00F66D9E">
        <w:rPr>
          <w:rFonts w:asciiTheme="majorHAnsi" w:eastAsia="MS Mincho" w:hAnsiTheme="majorHAnsi"/>
          <w:vertAlign w:val="superscript"/>
          <w:lang w:bidi="th-TH"/>
        </w:rPr>
        <w:t>†</w:t>
      </w:r>
    </w:p>
    <w:p w14:paraId="56EFE3B5" w14:textId="77777777" w:rsidR="00786EF3" w:rsidRDefault="00786EF3" w:rsidP="00A70CBB">
      <w:pPr>
        <w:tabs>
          <w:tab w:val="center" w:pos="4513"/>
        </w:tabs>
        <w:spacing w:after="0" w:line="240" w:lineRule="auto"/>
        <w:rPr>
          <w:rFonts w:asciiTheme="majorHAnsi" w:eastAsia="MS PGothic" w:hAnsiTheme="majorHAnsi" w:cs="Calibri"/>
          <w:b/>
          <w:bCs/>
          <w:lang w:val="en-US"/>
        </w:rPr>
      </w:pPr>
    </w:p>
    <w:p w14:paraId="47D9E4EE" w14:textId="77777777" w:rsidR="00786EF3" w:rsidRDefault="00B11EAA" w:rsidP="00A70CBB">
      <w:pPr>
        <w:tabs>
          <w:tab w:val="center" w:pos="4513"/>
        </w:tabs>
        <w:spacing w:after="0" w:line="240" w:lineRule="auto"/>
        <w:rPr>
          <w:rFonts w:asciiTheme="majorHAnsi" w:eastAsia="MS PGothic" w:hAnsiTheme="majorHAnsi" w:cs="Calibri"/>
          <w:b/>
          <w:bCs/>
          <w:lang w:val="en-US"/>
        </w:rPr>
      </w:pPr>
      <w:r w:rsidRPr="00F66D9E">
        <w:rPr>
          <w:rFonts w:asciiTheme="majorHAnsi" w:eastAsia="MS PGothic" w:hAnsiTheme="majorHAnsi" w:cs="Calibri"/>
          <w:b/>
          <w:bCs/>
          <w:lang w:val="en-US"/>
        </w:rPr>
        <w:t>General disorders and administration site conditions</w:t>
      </w:r>
    </w:p>
    <w:p w14:paraId="1A06F142" w14:textId="0D17FC1F" w:rsidR="00B11EAA" w:rsidRDefault="00786EF3" w:rsidP="0043476B">
      <w:pPr>
        <w:tabs>
          <w:tab w:val="left" w:pos="567"/>
          <w:tab w:val="center" w:pos="4513"/>
        </w:tabs>
        <w:spacing w:after="0" w:line="240" w:lineRule="auto"/>
        <w:ind w:left="567" w:hanging="567"/>
        <w:rPr>
          <w:rFonts w:asciiTheme="majorHAnsi" w:eastAsia="MS PGothic" w:hAnsiTheme="majorHAnsi" w:cs="Calibri"/>
          <w:lang w:val="en-US"/>
        </w:rPr>
      </w:pPr>
      <w:r>
        <w:rPr>
          <w:rFonts w:asciiTheme="majorHAnsi" w:eastAsia="MS PGothic" w:hAnsiTheme="majorHAnsi" w:cs="Calibri"/>
          <w:lang w:val="en-US"/>
        </w:rPr>
        <w:tab/>
      </w:r>
      <w:r w:rsidRPr="00786EF3">
        <w:rPr>
          <w:rFonts w:asciiTheme="majorHAnsi" w:eastAsia="MS PGothic" w:hAnsiTheme="majorHAnsi" w:cs="Calibri"/>
          <w:lang w:val="en-US"/>
        </w:rPr>
        <w:t xml:space="preserve">Common: </w:t>
      </w:r>
      <w:r w:rsidR="00B11EAA">
        <w:rPr>
          <w:rFonts w:asciiTheme="majorHAnsi" w:eastAsia="MS PGothic" w:hAnsiTheme="majorHAnsi" w:cs="Calibri"/>
          <w:lang w:val="en-US"/>
        </w:rPr>
        <w:t>I</w:t>
      </w:r>
      <w:r w:rsidR="00B11EAA" w:rsidRPr="00F66D9E">
        <w:rPr>
          <w:rFonts w:asciiTheme="majorHAnsi" w:eastAsia="MS PGothic" w:hAnsiTheme="majorHAnsi" w:cs="Calibri"/>
          <w:lang w:val="en-US"/>
        </w:rPr>
        <w:t>nfusion site extravasation</w:t>
      </w:r>
    </w:p>
    <w:p w14:paraId="4A86E630" w14:textId="77777777" w:rsidR="00786EF3" w:rsidRDefault="00786EF3" w:rsidP="00A70CBB">
      <w:pPr>
        <w:tabs>
          <w:tab w:val="center" w:pos="4513"/>
        </w:tabs>
        <w:spacing w:after="0" w:line="240" w:lineRule="auto"/>
        <w:rPr>
          <w:rFonts w:asciiTheme="majorHAnsi" w:eastAsia="MS PGothic" w:hAnsiTheme="majorHAnsi" w:cs="Calibri"/>
          <w:lang w:val="en-US"/>
        </w:rPr>
      </w:pPr>
    </w:p>
    <w:p w14:paraId="4CF55DC9" w14:textId="77777777" w:rsidR="00786EF3" w:rsidRDefault="00B11EAA" w:rsidP="00A70CBB">
      <w:pPr>
        <w:tabs>
          <w:tab w:val="center" w:pos="4513"/>
        </w:tabs>
        <w:spacing w:after="0" w:line="240" w:lineRule="auto"/>
        <w:rPr>
          <w:rFonts w:asciiTheme="majorHAnsi" w:eastAsia="MS PGothic" w:hAnsiTheme="majorHAnsi" w:cs="Calibri"/>
          <w:b/>
          <w:bCs/>
          <w:lang w:val="en-US"/>
        </w:rPr>
      </w:pPr>
      <w:r w:rsidRPr="00F66D9E">
        <w:rPr>
          <w:rFonts w:asciiTheme="majorHAnsi" w:eastAsia="MS PGothic" w:hAnsiTheme="majorHAnsi" w:cs="Calibri"/>
          <w:b/>
          <w:bCs/>
          <w:lang w:val="en-US"/>
        </w:rPr>
        <w:t>Nervous system disorders</w:t>
      </w:r>
    </w:p>
    <w:p w14:paraId="0D7172F6" w14:textId="6C2FD659" w:rsidR="00786EF3" w:rsidRDefault="00786EF3" w:rsidP="0043476B">
      <w:pPr>
        <w:tabs>
          <w:tab w:val="left" w:pos="567"/>
          <w:tab w:val="center" w:pos="4513"/>
        </w:tabs>
        <w:spacing w:after="0" w:line="240" w:lineRule="auto"/>
        <w:ind w:left="567" w:hanging="567"/>
        <w:rPr>
          <w:rFonts w:asciiTheme="majorHAnsi" w:eastAsia="MS PGothic" w:hAnsiTheme="majorHAnsi" w:cs="Calibri"/>
          <w:lang w:val="en-US"/>
        </w:rPr>
      </w:pPr>
      <w:r>
        <w:rPr>
          <w:rFonts w:asciiTheme="majorHAnsi" w:eastAsia="MS PGothic" w:hAnsiTheme="majorHAnsi" w:cs="Calibri"/>
          <w:lang w:val="en-US"/>
        </w:rPr>
        <w:tab/>
      </w:r>
      <w:r w:rsidRPr="00786EF3">
        <w:rPr>
          <w:rFonts w:asciiTheme="majorHAnsi" w:eastAsia="MS PGothic" w:hAnsiTheme="majorHAnsi" w:cs="Calibri"/>
          <w:lang w:val="en-US"/>
        </w:rPr>
        <w:t xml:space="preserve">Common: </w:t>
      </w:r>
      <w:r w:rsidR="00B11EAA" w:rsidRPr="00F66D9E">
        <w:rPr>
          <w:rFonts w:asciiTheme="majorHAnsi" w:eastAsia="MS PGothic" w:hAnsiTheme="majorHAnsi" w:cs="Calibri"/>
          <w:lang w:val="en-US"/>
        </w:rPr>
        <w:t xml:space="preserve">Gait disturbance, </w:t>
      </w:r>
      <w:proofErr w:type="spellStart"/>
      <w:r w:rsidR="00B11EAA" w:rsidRPr="00F66D9E">
        <w:rPr>
          <w:rFonts w:asciiTheme="majorHAnsi" w:eastAsia="MS PGothic" w:hAnsiTheme="majorHAnsi" w:cs="Calibri"/>
          <w:lang w:val="en-US"/>
        </w:rPr>
        <w:t>hypoaesthesia</w:t>
      </w:r>
      <w:proofErr w:type="spellEnd"/>
      <w:r w:rsidR="00B11EAA" w:rsidRPr="00F66D9E">
        <w:rPr>
          <w:rFonts w:asciiTheme="majorHAnsi" w:eastAsia="MS PGothic" w:hAnsiTheme="majorHAnsi" w:cs="Calibri"/>
          <w:lang w:val="en-US"/>
        </w:rPr>
        <w:t xml:space="preserve">, neuropathy peripheral, muscular weakness, </w:t>
      </w:r>
      <w:proofErr w:type="spellStart"/>
      <w:r w:rsidR="00B11EAA" w:rsidRPr="00F66D9E">
        <w:rPr>
          <w:rFonts w:asciiTheme="majorHAnsi" w:eastAsia="MS PGothic" w:hAnsiTheme="majorHAnsi" w:cs="Calibri"/>
          <w:lang w:val="en-US"/>
        </w:rPr>
        <w:t>paraesthesia</w:t>
      </w:r>
      <w:proofErr w:type="spellEnd"/>
      <w:r w:rsidR="00B11EAA" w:rsidRPr="00F66D9E">
        <w:rPr>
          <w:rFonts w:asciiTheme="majorHAnsi" w:eastAsia="MS PGothic" w:hAnsiTheme="majorHAnsi" w:cs="Calibri"/>
          <w:lang w:val="en-US"/>
        </w:rPr>
        <w:t>, peripheral motor neuropathy, peripheral sensorimotor neuropathy</w:t>
      </w:r>
    </w:p>
    <w:p w14:paraId="6749BACA" w14:textId="023F112B" w:rsidR="00B11EAA" w:rsidRDefault="00786EF3" w:rsidP="0043476B">
      <w:pPr>
        <w:tabs>
          <w:tab w:val="left" w:pos="567"/>
          <w:tab w:val="center" w:pos="4513"/>
        </w:tabs>
        <w:spacing w:after="0" w:line="240" w:lineRule="auto"/>
        <w:ind w:left="567" w:hanging="567"/>
        <w:rPr>
          <w:rFonts w:asciiTheme="majorHAnsi" w:eastAsia="MS PGothic" w:hAnsiTheme="majorHAnsi" w:cs="Calibri"/>
          <w:lang w:val="en-US"/>
        </w:rPr>
      </w:pPr>
      <w:r>
        <w:rPr>
          <w:rFonts w:asciiTheme="majorHAnsi" w:eastAsia="MS PGothic" w:hAnsiTheme="majorHAnsi" w:cs="Calibri"/>
          <w:lang w:val="en-US"/>
        </w:rPr>
        <w:tab/>
        <w:t>Uncommon: B</w:t>
      </w:r>
      <w:r w:rsidR="00B11EAA" w:rsidRPr="00F66D9E">
        <w:rPr>
          <w:rFonts w:asciiTheme="majorHAnsi" w:eastAsia="MS PGothic" w:hAnsiTheme="majorHAnsi" w:cs="Calibri"/>
          <w:lang w:val="en-US"/>
        </w:rPr>
        <w:t xml:space="preserve">urning sensation, demyelinating polyneuropathy, </w:t>
      </w:r>
      <w:proofErr w:type="spellStart"/>
      <w:r w:rsidR="00B11EAA" w:rsidRPr="00F66D9E">
        <w:rPr>
          <w:rFonts w:asciiTheme="majorHAnsi" w:eastAsia="MS PGothic" w:hAnsiTheme="majorHAnsi" w:cs="Calibri"/>
          <w:lang w:val="en-US"/>
        </w:rPr>
        <w:t>dysaesthesia</w:t>
      </w:r>
      <w:proofErr w:type="spellEnd"/>
      <w:r w:rsidR="00B11EAA" w:rsidRPr="00F66D9E">
        <w:rPr>
          <w:rFonts w:asciiTheme="majorHAnsi" w:eastAsia="MS PGothic" w:hAnsiTheme="majorHAnsi" w:cs="Calibri"/>
          <w:lang w:val="en-US"/>
        </w:rPr>
        <w:t>, motor dysfunction, muscle atrophy, neuralgia, neurotoxicity, peroneal nerve palsy, polyneuropathy, skin burning sensation, sensory loss</w:t>
      </w:r>
    </w:p>
    <w:p w14:paraId="2691B8B5" w14:textId="77777777" w:rsidR="00786EF3" w:rsidRDefault="00786EF3" w:rsidP="00A70CBB">
      <w:pPr>
        <w:tabs>
          <w:tab w:val="center" w:pos="4513"/>
        </w:tabs>
        <w:spacing w:after="0" w:line="240" w:lineRule="auto"/>
        <w:rPr>
          <w:rFonts w:asciiTheme="majorHAnsi" w:eastAsia="MS PGothic" w:hAnsiTheme="majorHAnsi" w:cs="Calibri"/>
          <w:lang w:val="en-US"/>
        </w:rPr>
      </w:pPr>
    </w:p>
    <w:p w14:paraId="2B02FB73" w14:textId="77777777" w:rsidR="00786EF3" w:rsidRDefault="00B11EAA" w:rsidP="00B11EAA">
      <w:pPr>
        <w:tabs>
          <w:tab w:val="center" w:pos="4513"/>
        </w:tabs>
        <w:spacing w:after="0" w:line="240" w:lineRule="auto"/>
        <w:rPr>
          <w:rFonts w:asciiTheme="majorHAnsi" w:eastAsia="MS PGothic" w:hAnsiTheme="majorHAnsi" w:cs="Calibri"/>
          <w:b/>
          <w:bCs/>
          <w:lang w:val="en-US"/>
        </w:rPr>
      </w:pPr>
      <w:r w:rsidRPr="00F66D9E">
        <w:rPr>
          <w:rFonts w:asciiTheme="majorHAnsi" w:eastAsia="MS PGothic" w:hAnsiTheme="majorHAnsi" w:cs="Calibri"/>
          <w:b/>
          <w:bCs/>
          <w:lang w:val="en-US"/>
        </w:rPr>
        <w:t>Skin and subcutaneous tissue disorders</w:t>
      </w:r>
    </w:p>
    <w:p w14:paraId="2D9CE635" w14:textId="6C4344BD" w:rsidR="00786EF3" w:rsidRDefault="00786EF3" w:rsidP="0043476B">
      <w:pPr>
        <w:tabs>
          <w:tab w:val="left" w:pos="567"/>
          <w:tab w:val="center" w:pos="4513"/>
        </w:tabs>
        <w:spacing w:after="0" w:line="240" w:lineRule="auto"/>
        <w:ind w:left="567" w:hanging="567"/>
        <w:rPr>
          <w:rFonts w:asciiTheme="majorHAnsi" w:eastAsia="MS PGothic" w:hAnsiTheme="majorHAnsi" w:cs="Calibri"/>
          <w:lang w:val="en-US"/>
        </w:rPr>
      </w:pPr>
      <w:r>
        <w:rPr>
          <w:rFonts w:asciiTheme="majorHAnsi" w:eastAsia="MS PGothic" w:hAnsiTheme="majorHAnsi" w:cs="Calibri"/>
          <w:lang w:val="en-US"/>
        </w:rPr>
        <w:tab/>
        <w:t xml:space="preserve">Common: </w:t>
      </w:r>
      <w:r w:rsidR="00B11EAA" w:rsidRPr="00B11EAA">
        <w:rPr>
          <w:rFonts w:asciiTheme="majorHAnsi" w:eastAsia="MS PGothic" w:hAnsiTheme="majorHAnsi" w:cs="Calibri"/>
          <w:lang w:val="en-US"/>
        </w:rPr>
        <w:t xml:space="preserve">Blister, conjunctivitis, drug eruption, </w:t>
      </w:r>
      <w:proofErr w:type="spellStart"/>
      <w:r w:rsidR="00B11EAA" w:rsidRPr="00B11EAA">
        <w:rPr>
          <w:rFonts w:asciiTheme="majorHAnsi" w:eastAsia="MS PGothic" w:hAnsiTheme="majorHAnsi" w:cs="Calibri"/>
          <w:lang w:val="en-US"/>
        </w:rPr>
        <w:t>erythaema</w:t>
      </w:r>
      <w:proofErr w:type="spellEnd"/>
      <w:r w:rsidR="00A861E9">
        <w:rPr>
          <w:rFonts w:asciiTheme="majorHAnsi" w:eastAsia="MS PGothic" w:hAnsiTheme="majorHAnsi" w:cs="Calibri"/>
          <w:lang w:val="en-US"/>
        </w:rPr>
        <w:t>,</w:t>
      </w:r>
      <w:r w:rsidR="00B11EAA" w:rsidRPr="00B11EAA">
        <w:rPr>
          <w:rFonts w:asciiTheme="majorHAnsi" w:eastAsia="MS PGothic" w:hAnsiTheme="majorHAnsi" w:cs="Calibri"/>
          <w:lang w:val="en-US"/>
        </w:rPr>
        <w:t xml:space="preserve"> eczema, dermatitis bullous, palmar-plantar erythrodysesthesia syndrome, rash </w:t>
      </w:r>
      <w:proofErr w:type="spellStart"/>
      <w:r w:rsidR="00B11EAA" w:rsidRPr="00B11EAA">
        <w:rPr>
          <w:rFonts w:asciiTheme="majorHAnsi" w:eastAsia="MS PGothic" w:hAnsiTheme="majorHAnsi" w:cs="Calibri"/>
          <w:lang w:val="en-US"/>
        </w:rPr>
        <w:t>erythaematous</w:t>
      </w:r>
      <w:proofErr w:type="spellEnd"/>
      <w:r w:rsidR="00B11EAA" w:rsidRPr="00B11EAA">
        <w:rPr>
          <w:rFonts w:asciiTheme="majorHAnsi" w:eastAsia="MS PGothic" w:hAnsiTheme="majorHAnsi" w:cs="Calibri"/>
          <w:lang w:val="en-US"/>
        </w:rPr>
        <w:t xml:space="preserve">, rash macular, rash </w:t>
      </w:r>
      <w:proofErr w:type="spellStart"/>
      <w:r w:rsidR="00B11EAA" w:rsidRPr="00B11EAA">
        <w:rPr>
          <w:rFonts w:asciiTheme="majorHAnsi" w:eastAsia="MS PGothic" w:hAnsiTheme="majorHAnsi" w:cs="Calibri"/>
          <w:lang w:val="en-US"/>
        </w:rPr>
        <w:t>papular</w:t>
      </w:r>
      <w:proofErr w:type="spellEnd"/>
      <w:r w:rsidR="00B11EAA" w:rsidRPr="00B11EAA">
        <w:rPr>
          <w:rFonts w:asciiTheme="majorHAnsi" w:eastAsia="MS PGothic" w:hAnsiTheme="majorHAnsi" w:cs="Calibri"/>
          <w:lang w:val="en-US"/>
        </w:rPr>
        <w:t>, rash pruritic, rash vesicular, skin exfoliation, stomatitis</w:t>
      </w:r>
    </w:p>
    <w:p w14:paraId="26FC77AB" w14:textId="4860F41B" w:rsidR="00786EF3" w:rsidRDefault="00786EF3" w:rsidP="0043476B">
      <w:pPr>
        <w:tabs>
          <w:tab w:val="left" w:pos="567"/>
          <w:tab w:val="center" w:pos="4513"/>
        </w:tabs>
        <w:spacing w:after="0" w:line="240" w:lineRule="auto"/>
        <w:ind w:left="567" w:hanging="567"/>
        <w:rPr>
          <w:rFonts w:asciiTheme="majorHAnsi" w:eastAsia="MS PGothic" w:hAnsiTheme="majorHAnsi" w:cs="Calibri"/>
          <w:lang w:val="en-US"/>
        </w:rPr>
      </w:pPr>
      <w:r>
        <w:rPr>
          <w:rFonts w:asciiTheme="majorHAnsi" w:eastAsia="MS PGothic" w:hAnsiTheme="majorHAnsi" w:cs="Calibri"/>
          <w:lang w:val="en-US"/>
        </w:rPr>
        <w:tab/>
        <w:t>Uncommon: B</w:t>
      </w:r>
      <w:r w:rsidR="00B11EAA" w:rsidRPr="00B11EAA">
        <w:rPr>
          <w:rFonts w:asciiTheme="majorHAnsi" w:eastAsia="MS PGothic" w:hAnsiTheme="majorHAnsi" w:cs="Calibri"/>
          <w:lang w:val="en-US"/>
        </w:rPr>
        <w:t xml:space="preserve">lood blister, dermatitis, dermatitis allergic, dermatitis contact, dermatitis exfoliative </w:t>
      </w:r>
      <w:proofErr w:type="spellStart"/>
      <w:r w:rsidR="00B11EAA" w:rsidRPr="00B11EAA">
        <w:rPr>
          <w:rFonts w:asciiTheme="majorHAnsi" w:eastAsia="MS PGothic" w:hAnsiTheme="majorHAnsi" w:cs="Calibri"/>
          <w:lang w:val="en-US"/>
        </w:rPr>
        <w:t>generalised</w:t>
      </w:r>
      <w:proofErr w:type="spellEnd"/>
      <w:r w:rsidR="00B11EAA" w:rsidRPr="00B11EAA">
        <w:rPr>
          <w:rFonts w:asciiTheme="majorHAnsi" w:eastAsia="MS PGothic" w:hAnsiTheme="majorHAnsi" w:cs="Calibri"/>
          <w:lang w:val="en-US"/>
        </w:rPr>
        <w:t xml:space="preserve">, </w:t>
      </w:r>
      <w:proofErr w:type="spellStart"/>
      <w:r w:rsidR="00B11EAA" w:rsidRPr="00B11EAA">
        <w:rPr>
          <w:rFonts w:asciiTheme="majorHAnsi" w:eastAsia="MS PGothic" w:hAnsiTheme="majorHAnsi" w:cs="Calibri"/>
          <w:lang w:val="en-US"/>
        </w:rPr>
        <w:t>erythaema</w:t>
      </w:r>
      <w:proofErr w:type="spellEnd"/>
      <w:r w:rsidR="00B11EAA" w:rsidRPr="00B11EAA">
        <w:rPr>
          <w:rFonts w:asciiTheme="majorHAnsi" w:eastAsia="MS PGothic" w:hAnsiTheme="majorHAnsi" w:cs="Calibri"/>
          <w:lang w:val="en-US"/>
        </w:rPr>
        <w:t xml:space="preserve"> multiforme, exfoliative rash, intertrigo, pemphigoid, rash </w:t>
      </w:r>
      <w:proofErr w:type="spellStart"/>
      <w:r w:rsidR="00B11EAA" w:rsidRPr="00B11EAA">
        <w:rPr>
          <w:rFonts w:asciiTheme="majorHAnsi" w:eastAsia="MS PGothic" w:hAnsiTheme="majorHAnsi" w:cs="Calibri"/>
          <w:lang w:val="en-US"/>
        </w:rPr>
        <w:t>maculovesicular</w:t>
      </w:r>
      <w:proofErr w:type="spellEnd"/>
      <w:r w:rsidR="00B11EAA" w:rsidRPr="00B11EAA">
        <w:rPr>
          <w:rFonts w:asciiTheme="majorHAnsi" w:eastAsia="MS PGothic" w:hAnsiTheme="majorHAnsi" w:cs="Calibri"/>
          <w:lang w:val="en-US"/>
        </w:rPr>
        <w:t>, skin irritation, stasis dermatitis</w:t>
      </w:r>
    </w:p>
    <w:p w14:paraId="7EC34573" w14:textId="4A817BEF" w:rsidR="00B11EAA" w:rsidRDefault="00786EF3" w:rsidP="0043476B">
      <w:pPr>
        <w:tabs>
          <w:tab w:val="left" w:pos="567"/>
          <w:tab w:val="center" w:pos="4513"/>
        </w:tabs>
        <w:spacing w:after="0" w:line="240" w:lineRule="auto"/>
        <w:ind w:left="567" w:hanging="567"/>
        <w:rPr>
          <w:rFonts w:asciiTheme="majorHAnsi" w:eastAsia="MS PGothic" w:hAnsiTheme="majorHAnsi" w:cs="Calibri"/>
          <w:vertAlign w:val="superscript"/>
          <w:lang w:val="en-US"/>
        </w:rPr>
      </w:pPr>
      <w:r>
        <w:rPr>
          <w:rFonts w:asciiTheme="majorHAnsi" w:eastAsia="MS PGothic" w:hAnsiTheme="majorHAnsi" w:cs="Calibri"/>
          <w:lang w:val="en-US"/>
        </w:rPr>
        <w:tab/>
        <w:t>Not known: E</w:t>
      </w:r>
      <w:r w:rsidR="00B11EAA" w:rsidRPr="00B11EAA">
        <w:rPr>
          <w:rFonts w:asciiTheme="majorHAnsi" w:eastAsia="MS PGothic" w:hAnsiTheme="majorHAnsi" w:cs="Calibri"/>
          <w:lang w:val="en-US"/>
        </w:rPr>
        <w:t>pidermal necrosis</w:t>
      </w:r>
      <w:r w:rsidR="00B11EAA" w:rsidRPr="00B11EAA">
        <w:rPr>
          <w:rFonts w:asciiTheme="majorHAnsi" w:eastAsia="MS PGothic" w:hAnsiTheme="majorHAnsi" w:cs="Calibri"/>
          <w:vertAlign w:val="superscript"/>
          <w:lang w:val="en-US"/>
        </w:rPr>
        <w:t>†</w:t>
      </w:r>
      <w:r w:rsidR="00B11EAA" w:rsidRPr="00B11EAA">
        <w:rPr>
          <w:rFonts w:asciiTheme="majorHAnsi" w:eastAsia="MS PGothic" w:hAnsiTheme="majorHAnsi" w:cs="Calibri"/>
          <w:lang w:val="en-US"/>
        </w:rPr>
        <w:t>, Stevens-Johnson syndrome</w:t>
      </w:r>
      <w:r w:rsidR="00B11EAA" w:rsidRPr="00B11EAA">
        <w:rPr>
          <w:rFonts w:asciiTheme="majorHAnsi" w:eastAsia="MS PGothic" w:hAnsiTheme="majorHAnsi" w:cs="Calibri"/>
          <w:vertAlign w:val="superscript"/>
          <w:lang w:val="en-US"/>
        </w:rPr>
        <w:t>†</w:t>
      </w:r>
      <w:r w:rsidR="00B11EAA" w:rsidRPr="00B11EAA">
        <w:rPr>
          <w:rFonts w:asciiTheme="majorHAnsi" w:eastAsia="MS PGothic" w:hAnsiTheme="majorHAnsi" w:cs="Calibri"/>
          <w:lang w:val="en-US"/>
        </w:rPr>
        <w:t xml:space="preserve">, symmetrical drug-related intertriginous and flexural </w:t>
      </w:r>
      <w:proofErr w:type="spellStart"/>
      <w:r w:rsidR="00B11EAA" w:rsidRPr="00B11EAA">
        <w:rPr>
          <w:rFonts w:asciiTheme="majorHAnsi" w:eastAsia="MS PGothic" w:hAnsiTheme="majorHAnsi" w:cs="Calibri"/>
          <w:lang w:val="en-US"/>
        </w:rPr>
        <w:t>exanthaema</w:t>
      </w:r>
      <w:proofErr w:type="spellEnd"/>
      <w:r w:rsidR="00B11EAA" w:rsidRPr="00B11EAA">
        <w:rPr>
          <w:rFonts w:asciiTheme="majorHAnsi" w:eastAsia="MS PGothic" w:hAnsiTheme="majorHAnsi" w:cs="Calibri"/>
          <w:vertAlign w:val="superscript"/>
          <w:lang w:val="en-US"/>
        </w:rPr>
        <w:t>†</w:t>
      </w:r>
      <w:r w:rsidR="00B11EAA" w:rsidRPr="00B11EAA">
        <w:rPr>
          <w:rFonts w:asciiTheme="majorHAnsi" w:eastAsia="MS PGothic" w:hAnsiTheme="majorHAnsi" w:cs="Calibri"/>
          <w:lang w:val="en-US"/>
        </w:rPr>
        <w:t>, toxic epidermal necrolysis</w:t>
      </w:r>
      <w:r w:rsidR="00B11EAA" w:rsidRPr="00B11EAA">
        <w:rPr>
          <w:rFonts w:asciiTheme="majorHAnsi" w:eastAsia="MS PGothic" w:hAnsiTheme="majorHAnsi" w:cs="Calibri"/>
          <w:vertAlign w:val="superscript"/>
          <w:lang w:val="en-US"/>
        </w:rPr>
        <w:t>†</w:t>
      </w:r>
    </w:p>
    <w:p w14:paraId="1C018414" w14:textId="77777777" w:rsidR="00B11EAA" w:rsidRDefault="00B11EAA" w:rsidP="00B11EAA">
      <w:pPr>
        <w:tabs>
          <w:tab w:val="center" w:pos="4513"/>
        </w:tabs>
        <w:spacing w:after="0" w:line="240" w:lineRule="auto"/>
        <w:rPr>
          <w:rFonts w:asciiTheme="majorHAnsi" w:eastAsia="MS PGothic" w:hAnsiTheme="majorHAnsi" w:cs="Calibri"/>
          <w:vertAlign w:val="superscript"/>
          <w:lang w:val="en-US"/>
        </w:rPr>
      </w:pPr>
    </w:p>
    <w:p w14:paraId="5A834762" w14:textId="244C3E5F" w:rsidR="00B11EAA" w:rsidRPr="00B11EAA" w:rsidRDefault="00B11EAA" w:rsidP="00B11EAA">
      <w:pPr>
        <w:tabs>
          <w:tab w:val="center" w:pos="4513"/>
        </w:tabs>
        <w:spacing w:after="0" w:line="240" w:lineRule="auto"/>
        <w:rPr>
          <w:rFonts w:asciiTheme="majorHAnsi" w:eastAsia="MS PGothic" w:hAnsiTheme="majorHAnsi" w:cs="Calibri"/>
          <w:lang w:val="en-US"/>
        </w:rPr>
      </w:pPr>
      <w:r w:rsidRPr="00F66D9E">
        <w:rPr>
          <w:rFonts w:asciiTheme="majorHAnsi" w:eastAsia="MS Mincho" w:hAnsiTheme="majorHAnsi"/>
          <w:vertAlign w:val="superscript"/>
          <w:lang w:bidi="th-TH"/>
        </w:rPr>
        <w:t>†</w:t>
      </w:r>
      <w:r w:rsidRPr="00A96D8F">
        <w:rPr>
          <w:rFonts w:asciiTheme="majorHAnsi" w:eastAsia="MS PGothic" w:hAnsiTheme="majorHAnsi" w:cs="Calibri"/>
          <w:lang w:val="en-US"/>
        </w:rPr>
        <w:t xml:space="preserve">Adverse reactions of an unknown frequency have been identified during post approval use of </w:t>
      </w:r>
      <w:proofErr w:type="spellStart"/>
      <w:r w:rsidRPr="00A96D8F">
        <w:rPr>
          <w:rFonts w:asciiTheme="majorHAnsi" w:eastAsia="MS PGothic" w:hAnsiTheme="majorHAnsi" w:cs="Calibri"/>
          <w:lang w:val="en-US"/>
        </w:rPr>
        <w:t>enfortumab</w:t>
      </w:r>
      <w:proofErr w:type="spellEnd"/>
      <w:r w:rsidRPr="00A96D8F">
        <w:rPr>
          <w:rFonts w:asciiTheme="majorHAnsi" w:eastAsia="MS PGothic" w:hAnsiTheme="majorHAnsi" w:cs="Calibri"/>
          <w:lang w:val="en-US"/>
        </w:rPr>
        <w:t xml:space="preserve"> </w:t>
      </w:r>
      <w:proofErr w:type="spellStart"/>
      <w:r w:rsidRPr="00A96D8F">
        <w:rPr>
          <w:rFonts w:asciiTheme="majorHAnsi" w:eastAsia="MS PGothic" w:hAnsiTheme="majorHAnsi" w:cs="Calibri"/>
          <w:lang w:val="en-US"/>
        </w:rPr>
        <w:t>vedotin</w:t>
      </w:r>
      <w:proofErr w:type="spellEnd"/>
      <w:r w:rsidRPr="00A96D8F">
        <w:rPr>
          <w:rFonts w:asciiTheme="majorHAnsi" w:eastAsia="MS PGothic" w:hAnsiTheme="majorHAnsi" w:cs="Calibri"/>
          <w:lang w:val="en-US"/>
        </w:rPr>
        <w:t>. Because these reactions were reported voluntarily from a population of uncertain size, it is not always possible to reliably estimate the frequency or establish a causal relationship to drug exposure.</w:t>
      </w:r>
    </w:p>
    <w:p w14:paraId="51925EF4" w14:textId="362D3AEA" w:rsidR="00F66D9E" w:rsidRPr="00F66D9E" w:rsidRDefault="00F66D9E" w:rsidP="00F66D9E">
      <w:pPr>
        <w:tabs>
          <w:tab w:val="center" w:pos="4513"/>
        </w:tabs>
        <w:spacing w:before="100" w:beforeAutospacing="1" w:after="100" w:afterAutospacing="1" w:line="240" w:lineRule="auto"/>
        <w:rPr>
          <w:rFonts w:asciiTheme="majorHAnsi" w:eastAsia="MS PGothic" w:hAnsiTheme="majorHAnsi" w:cs="Calibri"/>
          <w:lang w:val="en-US" w:eastAsia="ja-JP"/>
        </w:rPr>
      </w:pPr>
      <w:r w:rsidRPr="00F66D9E">
        <w:rPr>
          <w:rFonts w:asciiTheme="majorHAnsi" w:eastAsia="Times New Roman" w:hAnsiTheme="majorHAnsi"/>
          <w:lang w:val="en" w:bidi="th-TH"/>
        </w:rPr>
        <w:t xml:space="preserve">Description of selected adverse reactions </w:t>
      </w:r>
    </w:p>
    <w:p w14:paraId="7751A66E" w14:textId="5F7ED33E" w:rsidR="00F66D9E" w:rsidRPr="00F66D9E" w:rsidRDefault="00F66D9E" w:rsidP="00F66D9E">
      <w:pPr>
        <w:spacing w:before="100" w:beforeAutospacing="1" w:after="100" w:afterAutospacing="1" w:line="240" w:lineRule="auto"/>
        <w:rPr>
          <w:rFonts w:asciiTheme="majorHAnsi" w:eastAsia="Times New Roman" w:hAnsiTheme="majorHAnsi"/>
          <w:i/>
          <w:lang w:val="en" w:bidi="th-TH"/>
        </w:rPr>
      </w:pPr>
      <w:r w:rsidRPr="00F66D9E">
        <w:rPr>
          <w:rFonts w:asciiTheme="majorHAnsi" w:eastAsia="Times New Roman" w:hAnsiTheme="majorHAnsi"/>
          <w:lang w:val="en" w:bidi="th-TH"/>
        </w:rPr>
        <w:t xml:space="preserve">Skin Reactions </w:t>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r>
      <w:r w:rsidRPr="00F66D9E">
        <w:rPr>
          <w:rFonts w:asciiTheme="majorHAnsi" w:eastAsia="Times New Roman" w:hAnsiTheme="majorHAnsi"/>
          <w:lang w:val="en" w:bidi="th-TH"/>
        </w:rPr>
        <w:tab/>
        <w:t xml:space="preserve">     In clinical studies, skin reactions occurred in 55% (375) of the 680 patients treated with PADCEV 1.25 mg/kg. Severe (Grade 3 or 4) skin reactions occurred in 1</w:t>
      </w:r>
      <w:r w:rsidR="00767A6A">
        <w:rPr>
          <w:rFonts w:asciiTheme="majorHAnsi" w:eastAsia="Times New Roman" w:hAnsiTheme="majorHAnsi"/>
          <w:lang w:val="en" w:bidi="th-TH"/>
        </w:rPr>
        <w:t>3</w:t>
      </w:r>
      <w:r w:rsidRPr="00F66D9E">
        <w:rPr>
          <w:rFonts w:asciiTheme="majorHAnsi" w:eastAsia="Times New Roman" w:hAnsiTheme="majorHAnsi"/>
          <w:lang w:val="en" w:bidi="th-TH"/>
        </w:rPr>
        <w:t>% (8</w:t>
      </w:r>
      <w:r w:rsidR="00767A6A">
        <w:rPr>
          <w:rFonts w:asciiTheme="majorHAnsi" w:eastAsia="Times New Roman" w:hAnsiTheme="majorHAnsi"/>
          <w:lang w:val="en" w:bidi="th-TH"/>
        </w:rPr>
        <w:t>5</w:t>
      </w:r>
      <w:r w:rsidRPr="00F66D9E">
        <w:rPr>
          <w:rFonts w:asciiTheme="majorHAnsi" w:eastAsia="Times New Roman" w:hAnsiTheme="majorHAnsi"/>
          <w:lang w:val="en" w:bidi="th-TH"/>
        </w:rPr>
        <w:t xml:space="preserve">) of patients and </w:t>
      </w:r>
      <w:proofErr w:type="gramStart"/>
      <w:r w:rsidRPr="00F66D9E">
        <w:rPr>
          <w:rFonts w:asciiTheme="majorHAnsi" w:eastAsia="Times New Roman" w:hAnsiTheme="majorHAnsi"/>
          <w:lang w:val="en" w:bidi="th-TH"/>
        </w:rPr>
        <w:t>a majority of</w:t>
      </w:r>
      <w:proofErr w:type="gramEnd"/>
      <w:r w:rsidRPr="00F66D9E">
        <w:rPr>
          <w:rFonts w:asciiTheme="majorHAnsi" w:eastAsia="Times New Roman" w:hAnsiTheme="majorHAnsi"/>
          <w:lang w:val="en" w:bidi="th-TH"/>
        </w:rPr>
        <w:t xml:space="preserve"> these reactions included maculo-papular rash, rash erythematous, rash or drug eruption. The median time to onset of severe skin reactions was 0.62 months (range: 0.1 to 6.4).  </w:t>
      </w:r>
    </w:p>
    <w:p w14:paraId="126ACA77" w14:textId="4625F175" w:rsidR="00F66D9E" w:rsidRPr="00F66D9E" w:rsidRDefault="00F66D9E" w:rsidP="00F66D9E">
      <w:pPr>
        <w:spacing w:before="100" w:beforeAutospacing="1" w:after="100" w:afterAutospacing="1" w:line="240" w:lineRule="auto"/>
        <w:rPr>
          <w:rFonts w:asciiTheme="majorHAnsi" w:eastAsia="Times New Roman" w:hAnsiTheme="majorHAnsi"/>
          <w:lang w:val="en" w:bidi="th-TH"/>
        </w:rPr>
      </w:pPr>
      <w:r w:rsidRPr="00F66D9E">
        <w:rPr>
          <w:rFonts w:asciiTheme="majorHAnsi" w:eastAsia="Times New Roman" w:hAnsiTheme="majorHAnsi"/>
          <w:lang w:val="en" w:bidi="th-TH"/>
        </w:rPr>
        <w:t>In the EV-201 (N=214) clinical study, of the patients who experienced skin reactions, 7</w:t>
      </w:r>
      <w:r w:rsidR="00767A6A">
        <w:rPr>
          <w:rFonts w:asciiTheme="majorHAnsi" w:eastAsia="Times New Roman" w:hAnsiTheme="majorHAnsi"/>
          <w:lang w:val="en" w:bidi="th-TH"/>
        </w:rPr>
        <w:t>5</w:t>
      </w:r>
      <w:r w:rsidRPr="00F66D9E">
        <w:rPr>
          <w:rFonts w:asciiTheme="majorHAnsi" w:eastAsia="Times New Roman" w:hAnsiTheme="majorHAnsi"/>
          <w:lang w:val="en" w:bidi="th-TH"/>
        </w:rPr>
        <w:t>% had complete resolution and 1</w:t>
      </w:r>
      <w:r w:rsidR="00767A6A">
        <w:rPr>
          <w:rFonts w:asciiTheme="majorHAnsi" w:eastAsia="Times New Roman" w:hAnsiTheme="majorHAnsi"/>
          <w:lang w:val="en" w:bidi="th-TH"/>
        </w:rPr>
        <w:t>4</w:t>
      </w:r>
      <w:r w:rsidRPr="00F66D9E">
        <w:rPr>
          <w:rFonts w:asciiTheme="majorHAnsi" w:eastAsia="Times New Roman" w:hAnsiTheme="majorHAnsi"/>
          <w:lang w:val="en" w:bidi="th-TH"/>
        </w:rPr>
        <w:t>% had partial improvement (see section 4.4 Special warnings and precautions for use). </w:t>
      </w:r>
    </w:p>
    <w:p w14:paraId="77406B75" w14:textId="77777777" w:rsidR="0002631C" w:rsidRPr="0002631C" w:rsidRDefault="0002631C" w:rsidP="0002631C">
      <w:pPr>
        <w:spacing w:before="100" w:beforeAutospacing="1" w:after="100" w:afterAutospacing="1" w:line="240" w:lineRule="auto"/>
        <w:rPr>
          <w:rFonts w:asciiTheme="majorHAnsi" w:eastAsia="Times New Roman" w:hAnsiTheme="majorHAnsi"/>
          <w:lang w:val="en" w:bidi="th-TH"/>
        </w:rPr>
      </w:pPr>
      <w:proofErr w:type="spellStart"/>
      <w:r w:rsidRPr="0002631C">
        <w:rPr>
          <w:rFonts w:asciiTheme="majorHAnsi" w:eastAsia="Times New Roman" w:hAnsiTheme="majorHAnsi"/>
          <w:i/>
          <w:lang w:val="en" w:bidi="th-TH"/>
        </w:rPr>
        <w:t>Hyperglycaemia</w:t>
      </w:r>
      <w:proofErr w:type="spellEnd"/>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t xml:space="preserve">    </w:t>
      </w:r>
      <w:r w:rsidRPr="0002631C">
        <w:rPr>
          <w:rFonts w:asciiTheme="majorHAnsi" w:eastAsia="Times New Roman" w:hAnsiTheme="majorHAnsi"/>
          <w:lang w:val="en" w:bidi="th-TH"/>
        </w:rPr>
        <w:t xml:space="preserve">In clinical studies, </w:t>
      </w:r>
      <w:proofErr w:type="spellStart"/>
      <w:r w:rsidRPr="0002631C">
        <w:rPr>
          <w:rFonts w:asciiTheme="majorHAnsi" w:eastAsia="Times New Roman" w:hAnsiTheme="majorHAnsi"/>
          <w:lang w:val="en" w:bidi="th-TH"/>
        </w:rPr>
        <w:t>hyperglycaemia</w:t>
      </w:r>
      <w:proofErr w:type="spellEnd"/>
      <w:r w:rsidRPr="0002631C">
        <w:rPr>
          <w:rFonts w:asciiTheme="majorHAnsi" w:eastAsia="Times New Roman" w:hAnsiTheme="majorHAnsi"/>
          <w:lang w:val="en" w:bidi="th-TH"/>
        </w:rPr>
        <w:t xml:space="preserve"> occurred in 14% (98) of the 680 patients treated with </w:t>
      </w:r>
      <w:r w:rsidRPr="0002631C">
        <w:rPr>
          <w:rFonts w:asciiTheme="majorHAnsi" w:eastAsia="MS PGothic" w:hAnsiTheme="majorHAnsi" w:cs="Calibri"/>
          <w:lang w:val="en-US" w:eastAsia="ja-JP"/>
        </w:rPr>
        <w:t xml:space="preserve">PADCEV </w:t>
      </w:r>
      <w:r w:rsidRPr="0002631C">
        <w:rPr>
          <w:rFonts w:asciiTheme="majorHAnsi" w:eastAsia="Times New Roman" w:hAnsiTheme="majorHAnsi"/>
          <w:lang w:val="en" w:bidi="th-TH"/>
        </w:rPr>
        <w:t xml:space="preserve">1.25 mg/kg. Seven percent of patients who received PADCEV 1.25 mg/kg developed severe (Grade 3-4) </w:t>
      </w:r>
      <w:proofErr w:type="spellStart"/>
      <w:r w:rsidRPr="0002631C">
        <w:rPr>
          <w:rFonts w:asciiTheme="majorHAnsi" w:eastAsia="Times New Roman" w:hAnsiTheme="majorHAnsi"/>
          <w:lang w:val="en" w:bidi="th-TH"/>
        </w:rPr>
        <w:t>hyperglycaemia</w:t>
      </w:r>
      <w:proofErr w:type="spellEnd"/>
      <w:r w:rsidRPr="0002631C">
        <w:rPr>
          <w:rFonts w:asciiTheme="majorHAnsi" w:eastAsia="Times New Roman" w:hAnsiTheme="majorHAnsi"/>
          <w:lang w:val="en" w:bidi="th-TH"/>
        </w:rPr>
        <w:t xml:space="preserve">. Two patients experienced fatal events, one event each of </w:t>
      </w:r>
      <w:proofErr w:type="spellStart"/>
      <w:r w:rsidRPr="0002631C">
        <w:rPr>
          <w:rFonts w:asciiTheme="majorHAnsi" w:eastAsia="Times New Roman" w:hAnsiTheme="majorHAnsi"/>
          <w:lang w:val="en" w:bidi="th-TH"/>
        </w:rPr>
        <w:t>hyperglycaemia</w:t>
      </w:r>
      <w:proofErr w:type="spellEnd"/>
      <w:r w:rsidRPr="0002631C">
        <w:rPr>
          <w:rFonts w:asciiTheme="majorHAnsi" w:eastAsia="Times New Roman" w:hAnsiTheme="majorHAnsi"/>
          <w:lang w:val="en" w:bidi="th-TH"/>
        </w:rPr>
        <w:t xml:space="preserve"> and diabetic ketoacidosis</w:t>
      </w:r>
      <w:r w:rsidRPr="0002631C">
        <w:rPr>
          <w:rFonts w:eastAsia="MS Mincho" w:cs="Times New Roman"/>
          <w:szCs w:val="24"/>
          <w:lang w:eastAsia="ja-JP"/>
        </w:rPr>
        <w:t xml:space="preserve">. </w:t>
      </w:r>
      <w:r w:rsidRPr="0002631C">
        <w:rPr>
          <w:rFonts w:asciiTheme="majorHAnsi" w:eastAsia="Times New Roman" w:hAnsiTheme="majorHAnsi"/>
          <w:lang w:val="en" w:bidi="th-TH"/>
        </w:rPr>
        <w:t xml:space="preserve">The incidence of Grade 3-4 </w:t>
      </w:r>
      <w:proofErr w:type="spellStart"/>
      <w:r w:rsidRPr="0002631C">
        <w:rPr>
          <w:rFonts w:asciiTheme="majorHAnsi" w:eastAsia="Times New Roman" w:hAnsiTheme="majorHAnsi"/>
          <w:lang w:val="en" w:bidi="th-TH"/>
        </w:rPr>
        <w:t>hyperglycaemia</w:t>
      </w:r>
      <w:proofErr w:type="spellEnd"/>
      <w:r w:rsidRPr="0002631C">
        <w:rPr>
          <w:rFonts w:asciiTheme="majorHAnsi" w:eastAsia="Times New Roman" w:hAnsiTheme="majorHAnsi"/>
          <w:lang w:val="en" w:bidi="th-TH"/>
        </w:rPr>
        <w:t xml:space="preserve"> increased consistently in patients with higher body mass index and in patients with higher baseline </w:t>
      </w:r>
      <w:proofErr w:type="spellStart"/>
      <w:r w:rsidRPr="0002631C">
        <w:rPr>
          <w:rFonts w:asciiTheme="majorHAnsi" w:eastAsia="Times New Roman" w:hAnsiTheme="majorHAnsi"/>
          <w:lang w:val="en" w:bidi="th-TH"/>
        </w:rPr>
        <w:t>haemoglobin</w:t>
      </w:r>
      <w:proofErr w:type="spellEnd"/>
      <w:r w:rsidRPr="0002631C">
        <w:rPr>
          <w:rFonts w:asciiTheme="majorHAnsi" w:eastAsia="Times New Roman" w:hAnsiTheme="majorHAnsi"/>
          <w:lang w:val="en" w:bidi="th-TH"/>
        </w:rPr>
        <w:t xml:space="preserve"> A1C. The median time to onset of </w:t>
      </w:r>
      <w:proofErr w:type="spellStart"/>
      <w:r w:rsidRPr="0002631C">
        <w:rPr>
          <w:rFonts w:asciiTheme="majorHAnsi" w:eastAsia="Times New Roman" w:hAnsiTheme="majorHAnsi"/>
          <w:lang w:val="en" w:bidi="th-TH"/>
        </w:rPr>
        <w:t>hyperglycaemia</w:t>
      </w:r>
      <w:proofErr w:type="spellEnd"/>
      <w:r w:rsidRPr="0002631C">
        <w:rPr>
          <w:rFonts w:asciiTheme="majorHAnsi" w:eastAsia="Times New Roman" w:hAnsiTheme="majorHAnsi"/>
          <w:lang w:val="en" w:bidi="th-TH"/>
        </w:rPr>
        <w:t xml:space="preserve"> was 0.6 months (range: 0.1 to 20.3). Patients with baseline </w:t>
      </w:r>
      <w:proofErr w:type="spellStart"/>
      <w:r w:rsidRPr="0002631C">
        <w:rPr>
          <w:rFonts w:asciiTheme="majorHAnsi" w:eastAsia="Times New Roman" w:hAnsiTheme="majorHAnsi"/>
          <w:lang w:val="en" w:bidi="th-TH"/>
        </w:rPr>
        <w:t>haemoglobin</w:t>
      </w:r>
      <w:proofErr w:type="spellEnd"/>
      <w:r w:rsidRPr="0002631C">
        <w:rPr>
          <w:rFonts w:asciiTheme="majorHAnsi" w:eastAsia="Times New Roman" w:hAnsiTheme="majorHAnsi"/>
          <w:lang w:val="en" w:bidi="th-TH"/>
        </w:rPr>
        <w:t xml:space="preserve"> A1C ≥8% were excluded from clinical studies. </w:t>
      </w:r>
    </w:p>
    <w:p w14:paraId="7D6751AD" w14:textId="77777777" w:rsidR="0002631C" w:rsidRPr="0002631C" w:rsidRDefault="0002631C" w:rsidP="0002631C">
      <w:pPr>
        <w:spacing w:before="100" w:beforeAutospacing="1" w:after="100" w:afterAutospacing="1" w:line="240" w:lineRule="auto"/>
        <w:rPr>
          <w:rFonts w:asciiTheme="majorHAnsi" w:eastAsia="Times New Roman" w:hAnsiTheme="majorHAnsi"/>
          <w:lang w:val="en" w:bidi="th-TH"/>
        </w:rPr>
      </w:pPr>
      <w:r w:rsidRPr="0002631C">
        <w:rPr>
          <w:rFonts w:asciiTheme="majorHAnsi" w:eastAsia="Times New Roman" w:hAnsiTheme="majorHAnsi"/>
          <w:lang w:bidi="th-TH"/>
        </w:rPr>
        <w:t>In the EV-201 (N=214) clinical study, at the time of their last evaluation, 61% of patients had complete resolution, and 19% of patients had partial improvement</w:t>
      </w:r>
      <w:r w:rsidRPr="0002631C">
        <w:rPr>
          <w:rFonts w:asciiTheme="majorHAnsi" w:eastAsia="Times New Roman" w:hAnsiTheme="majorHAnsi"/>
          <w:lang w:val="en" w:bidi="th-TH"/>
        </w:rPr>
        <w:t xml:space="preserve"> (see section 4.4 Special warnings and precautions for use). </w:t>
      </w:r>
    </w:p>
    <w:p w14:paraId="7FB54285" w14:textId="77777777" w:rsidR="0002631C" w:rsidRPr="0002631C" w:rsidRDefault="0002631C" w:rsidP="0002631C">
      <w:pPr>
        <w:spacing w:before="100" w:beforeAutospacing="1" w:after="100" w:afterAutospacing="1" w:line="240" w:lineRule="auto"/>
        <w:rPr>
          <w:rFonts w:asciiTheme="majorHAnsi" w:eastAsia="Times New Roman" w:hAnsiTheme="majorHAnsi"/>
          <w:i/>
          <w:lang w:val="en" w:bidi="th-TH"/>
        </w:rPr>
      </w:pPr>
      <w:r w:rsidRPr="0002631C">
        <w:rPr>
          <w:rFonts w:asciiTheme="majorHAnsi" w:eastAsia="Times New Roman" w:hAnsiTheme="majorHAnsi"/>
          <w:i/>
          <w:lang w:val="en" w:bidi="th-TH"/>
        </w:rPr>
        <w:t>Peripheral Neuropathy</w:t>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r>
      <w:r w:rsidRPr="0002631C">
        <w:rPr>
          <w:rFonts w:asciiTheme="majorHAnsi" w:eastAsia="Times New Roman" w:hAnsiTheme="majorHAnsi"/>
          <w:i/>
          <w:lang w:val="en" w:bidi="th-TH"/>
        </w:rPr>
        <w:tab/>
        <w:t xml:space="preserve">     </w:t>
      </w:r>
      <w:r w:rsidRPr="0002631C">
        <w:rPr>
          <w:rFonts w:asciiTheme="majorHAnsi" w:eastAsia="Times New Roman" w:hAnsiTheme="majorHAnsi"/>
          <w:lang w:val="en" w:bidi="th-TH"/>
        </w:rPr>
        <w:t xml:space="preserve">In clinical studies peripheral neuropathy occurred in 52% (352) of the 680 patients treated with </w:t>
      </w:r>
      <w:r w:rsidRPr="0002631C">
        <w:rPr>
          <w:rFonts w:asciiTheme="majorHAnsi" w:eastAsia="MS PGothic" w:hAnsiTheme="majorHAnsi" w:cs="Calibri"/>
          <w:lang w:val="en-US" w:eastAsia="ja-JP"/>
        </w:rPr>
        <w:t xml:space="preserve">PADCEV </w:t>
      </w:r>
      <w:r w:rsidRPr="0002631C">
        <w:rPr>
          <w:rFonts w:asciiTheme="majorHAnsi" w:eastAsia="Times New Roman" w:hAnsiTheme="majorHAnsi"/>
          <w:lang w:val="en" w:bidi="th-TH"/>
        </w:rPr>
        <w:t xml:space="preserve">1.25 mg/kg. Four percent of patients experienced severe (Grade 3-4) peripheral neuropathy including sensory and motor events. The median time to onset of Grade ≥2 was 4.6 months (range: 0.1 to 15.8). Patients with pre-existing peripheral neuropathy Grade ≥2 were excluded from clinical studies.  </w:t>
      </w:r>
    </w:p>
    <w:p w14:paraId="67C5DF13" w14:textId="2ED866F2" w:rsidR="0002631C" w:rsidRPr="0002631C" w:rsidRDefault="0002631C" w:rsidP="0002631C">
      <w:pPr>
        <w:spacing w:before="100" w:beforeAutospacing="1" w:after="100" w:afterAutospacing="1" w:line="240" w:lineRule="auto"/>
        <w:rPr>
          <w:rFonts w:asciiTheme="majorHAnsi" w:eastAsia="Times New Roman" w:hAnsiTheme="majorHAnsi"/>
          <w:i/>
          <w:lang w:val="en" w:bidi="th-TH"/>
        </w:rPr>
      </w:pPr>
      <w:r w:rsidRPr="0002631C">
        <w:rPr>
          <w:rFonts w:asciiTheme="majorHAnsi" w:eastAsia="Times New Roman" w:hAnsiTheme="majorHAnsi"/>
          <w:lang w:val="en" w:bidi="th-TH"/>
        </w:rPr>
        <w:lastRenderedPageBreak/>
        <w:t>In the EV-201 (N=214</w:t>
      </w:r>
      <w:r w:rsidR="00B51A7E">
        <w:rPr>
          <w:rFonts w:asciiTheme="majorHAnsi" w:eastAsia="Times New Roman" w:hAnsiTheme="majorHAnsi"/>
          <w:lang w:val="en" w:bidi="th-TH"/>
        </w:rPr>
        <w:t>)</w:t>
      </w:r>
      <w:r w:rsidRPr="0002631C">
        <w:rPr>
          <w:rFonts w:asciiTheme="majorHAnsi" w:eastAsia="Times New Roman" w:hAnsiTheme="majorHAnsi"/>
          <w:lang w:val="en" w:bidi="th-TH"/>
        </w:rPr>
        <w:t xml:space="preserve"> clinical study, at the time of their last evaluation, 19% of patients had complete resolution, and 39% of patients had partial improvement (see section 4.4 Special warnings and precautions for use).</w:t>
      </w:r>
    </w:p>
    <w:p w14:paraId="2D0BD85C" w14:textId="77777777" w:rsidR="0002631C" w:rsidRPr="0002631C" w:rsidRDefault="0002631C" w:rsidP="0002631C">
      <w:pPr>
        <w:spacing w:before="200" w:after="0"/>
        <w:outlineLvl w:val="2"/>
        <w:rPr>
          <w:rFonts w:asciiTheme="majorHAnsi" w:eastAsia="Times New Roman" w:hAnsiTheme="majorHAnsi"/>
          <w:b/>
          <w:bCs/>
          <w:lang w:val="en" w:bidi="th-TH"/>
        </w:rPr>
      </w:pPr>
      <w:r w:rsidRPr="0002631C">
        <w:rPr>
          <w:rFonts w:asciiTheme="majorHAnsi" w:eastAsia="Times New Roman" w:hAnsiTheme="majorHAnsi"/>
          <w:i/>
          <w:lang w:val="en" w:bidi="th-TH"/>
        </w:rPr>
        <w:t>Ocular Disorders</w:t>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r>
      <w:r w:rsidRPr="0002631C">
        <w:rPr>
          <w:rFonts w:asciiTheme="majorHAnsi" w:eastAsia="MS Gothic" w:hAnsiTheme="majorHAnsi" w:cs="Angsana New"/>
          <w:b/>
          <w:bCs/>
          <w:i/>
          <w:lang w:val="en" w:bidi="th-TH"/>
        </w:rPr>
        <w:tab/>
        <w:t xml:space="preserve">     </w:t>
      </w:r>
      <w:r w:rsidRPr="0002631C">
        <w:rPr>
          <w:rFonts w:asciiTheme="majorHAnsi" w:eastAsia="Times New Roman" w:hAnsiTheme="majorHAnsi"/>
          <w:lang w:val="en" w:bidi="th-TH"/>
        </w:rPr>
        <w:t xml:space="preserve">In clinical studies, </w:t>
      </w:r>
      <w:r w:rsidRPr="0002631C">
        <w:rPr>
          <w:rFonts w:ascii="Cambria" w:eastAsia="MS Gothic" w:hAnsi="Cambria" w:cs="Angsana New"/>
          <w:lang w:bidi="th-TH"/>
        </w:rPr>
        <w:t>14 (2.1%) patients interrupted, and 1 (0.1%) patient permanently discontinued treatment for</w:t>
      </w:r>
      <w:r w:rsidRPr="0002631C">
        <w:rPr>
          <w:rFonts w:asciiTheme="majorHAnsi" w:eastAsia="Times New Roman" w:hAnsiTheme="majorHAnsi"/>
          <w:lang w:val="en" w:bidi="th-TH"/>
        </w:rPr>
        <w:t xml:space="preserve"> ocular disorders. </w:t>
      </w:r>
      <w:r w:rsidRPr="0002631C">
        <w:rPr>
          <w:rFonts w:ascii="Cambria" w:eastAsia="MS Mincho" w:hAnsi="Cambria" w:cs="Times New Roman"/>
          <w:szCs w:val="24"/>
          <w:lang w:eastAsia="ja-JP"/>
        </w:rPr>
        <w:t>Severe (Grade 3) ocular disorders only occurred in 3 patients (0.4%).</w:t>
      </w:r>
      <w:r w:rsidRPr="0002631C">
        <w:rPr>
          <w:rFonts w:asciiTheme="majorHAnsi" w:eastAsia="Times New Roman" w:hAnsiTheme="majorHAnsi"/>
          <w:lang w:val="en" w:bidi="th-TH"/>
        </w:rPr>
        <w:t xml:space="preserve"> </w:t>
      </w:r>
      <w:r w:rsidRPr="0002631C">
        <w:rPr>
          <w:rFonts w:ascii="Cambria" w:eastAsia="MS Gothic" w:hAnsi="Cambria" w:cs="Angsana New"/>
          <w:lang w:bidi="th-TH"/>
        </w:rPr>
        <w:t>Thirteen percent of patients experienced d</w:t>
      </w:r>
      <w:proofErr w:type="spellStart"/>
      <w:r w:rsidRPr="0002631C">
        <w:rPr>
          <w:rFonts w:asciiTheme="majorHAnsi" w:eastAsia="Times New Roman" w:hAnsiTheme="majorHAnsi"/>
          <w:lang w:val="en" w:bidi="th-TH"/>
        </w:rPr>
        <w:t>ry</w:t>
      </w:r>
      <w:proofErr w:type="spellEnd"/>
      <w:r w:rsidRPr="0002631C">
        <w:rPr>
          <w:rFonts w:asciiTheme="majorHAnsi" w:eastAsia="Times New Roman" w:hAnsiTheme="majorHAnsi"/>
          <w:lang w:val="en" w:bidi="th-TH"/>
        </w:rPr>
        <w:t xml:space="preserve"> eye symptoms during treatment with PADCEV 1.25 mg/kg and the median time to onset was 1.7 months (range: 0 to 19.1) (see section 4.4 </w:t>
      </w:r>
      <w:r w:rsidRPr="0002631C">
        <w:rPr>
          <w:rFonts w:asciiTheme="majorHAnsi" w:eastAsia="MS Gothic" w:hAnsiTheme="majorHAnsi" w:cs="Angsana New"/>
          <w:lang w:val="en" w:bidi="th-TH"/>
        </w:rPr>
        <w:t>Special warnings and precautions for use</w:t>
      </w:r>
      <w:r w:rsidRPr="0002631C">
        <w:rPr>
          <w:rFonts w:asciiTheme="majorHAnsi" w:eastAsia="Times New Roman" w:hAnsiTheme="majorHAnsi"/>
          <w:lang w:val="en" w:bidi="th-TH"/>
        </w:rPr>
        <w:t>).</w:t>
      </w:r>
    </w:p>
    <w:p w14:paraId="31938600" w14:textId="193AA1E4" w:rsidR="00CD2383" w:rsidRPr="00FC060A" w:rsidRDefault="00CD2383" w:rsidP="0062486E"/>
    <w:p w14:paraId="27BED58E" w14:textId="48CAD1B5" w:rsidR="00CD2383" w:rsidRPr="0002631C" w:rsidRDefault="00CD2383" w:rsidP="0002631C">
      <w:pPr>
        <w:pStyle w:val="SideEffectReportingHeading"/>
      </w:pPr>
      <w:r w:rsidRPr="00F43FE5">
        <w:t>Reporting suspected adverse effects</w:t>
      </w:r>
    </w:p>
    <w:p w14:paraId="5F137456" w14:textId="52393FD5" w:rsidR="00CD2383" w:rsidRPr="00156FB1" w:rsidRDefault="00CD2383" w:rsidP="00156FB1">
      <w:pPr>
        <w:rPr>
          <w:lang w:val="en"/>
        </w:rPr>
      </w:pPr>
      <w:r w:rsidRPr="0002631C">
        <w:rPr>
          <w:rFonts w:asciiTheme="majorHAnsi" w:hAnsiTheme="maj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9" w:history="1">
        <w:r w:rsidRPr="0002631C">
          <w:rPr>
            <w:rFonts w:asciiTheme="majorHAnsi" w:hAnsiTheme="majorHAnsi"/>
            <w:color w:val="0000FF" w:themeColor="hyperlink"/>
            <w:u w:val="single"/>
            <w:lang w:val="en"/>
          </w:rPr>
          <w:t>www.tga.gov.au/reporting-problems</w:t>
        </w:r>
      </w:hyperlink>
      <w:r w:rsidRPr="0002631C">
        <w:rPr>
          <w:rFonts w:asciiTheme="majorHAnsi" w:hAnsiTheme="majorHAnsi"/>
          <w:lang w:val="en"/>
        </w:rPr>
        <w:t>.</w:t>
      </w:r>
    </w:p>
    <w:p w14:paraId="0862F996" w14:textId="46F0A71C" w:rsidR="00CD2383" w:rsidRPr="00FC060A" w:rsidRDefault="00CD2383" w:rsidP="0001118A">
      <w:pPr>
        <w:pStyle w:val="Heading2"/>
      </w:pPr>
      <w:r w:rsidRPr="00FC060A">
        <w:t>Overdose</w:t>
      </w:r>
    </w:p>
    <w:p w14:paraId="580DAA03" w14:textId="0E68576E" w:rsidR="00CD2383" w:rsidRPr="0002631C" w:rsidRDefault="0002631C" w:rsidP="0002631C">
      <w:pPr>
        <w:pStyle w:val="NormalWeb"/>
        <w:rPr>
          <w:rFonts w:asciiTheme="majorHAnsi" w:eastAsia="Times New Roman" w:hAnsiTheme="majorHAnsi"/>
          <w:lang w:val="en"/>
        </w:rPr>
      </w:pPr>
      <w:r w:rsidRPr="0002631C">
        <w:rPr>
          <w:rFonts w:asciiTheme="majorHAnsi" w:eastAsia="Times New Roman" w:hAnsiTheme="majorHAnsi" w:cs="Cordia New"/>
          <w:sz w:val="22"/>
          <w:szCs w:val="22"/>
          <w:lang w:val="en" w:bidi="th-TH"/>
        </w:rPr>
        <w:t>There is no known antidote for overdosage with</w:t>
      </w:r>
      <w:r w:rsidRPr="0002631C">
        <w:rPr>
          <w:rFonts w:asciiTheme="majorHAnsi" w:eastAsia="MS PGothic" w:hAnsiTheme="majorHAnsi" w:cs="Calibri"/>
          <w:sz w:val="22"/>
          <w:szCs w:val="22"/>
          <w:lang w:val="en-US" w:eastAsia="ja-JP"/>
        </w:rPr>
        <w:t xml:space="preserve"> PADCEV</w:t>
      </w:r>
      <w:r w:rsidRPr="0002631C">
        <w:rPr>
          <w:rFonts w:asciiTheme="majorHAnsi" w:eastAsia="Times New Roman" w:hAnsiTheme="majorHAnsi" w:cs="Cordia New"/>
          <w:sz w:val="22"/>
          <w:szCs w:val="22"/>
          <w:lang w:val="en" w:bidi="th-TH"/>
        </w:rPr>
        <w:t>. In case of overdosage, the patient should be closely monitored for adverse reactions, and supportive treatment should be administered as appropriate taking into consideration the half-life of 3.</w:t>
      </w:r>
      <w:r w:rsidR="00E50978">
        <w:rPr>
          <w:rFonts w:asciiTheme="majorHAnsi" w:eastAsia="Times New Roman" w:hAnsiTheme="majorHAnsi" w:cs="Cordia New"/>
          <w:sz w:val="22"/>
          <w:szCs w:val="22"/>
          <w:lang w:val="en" w:bidi="th-TH"/>
        </w:rPr>
        <w:t>6</w:t>
      </w:r>
      <w:r w:rsidRPr="0002631C">
        <w:rPr>
          <w:rFonts w:asciiTheme="majorHAnsi" w:eastAsia="Times New Roman" w:hAnsiTheme="majorHAnsi" w:cs="Cordia New"/>
          <w:sz w:val="22"/>
          <w:szCs w:val="22"/>
          <w:lang w:val="en" w:bidi="th-TH"/>
        </w:rPr>
        <w:t xml:space="preserve"> days (ADC) and 2.</w:t>
      </w:r>
      <w:r w:rsidR="00E50978">
        <w:rPr>
          <w:rFonts w:asciiTheme="majorHAnsi" w:eastAsia="Times New Roman" w:hAnsiTheme="majorHAnsi" w:cs="Cordia New"/>
          <w:sz w:val="22"/>
          <w:szCs w:val="22"/>
          <w:lang w:val="en" w:bidi="th-TH"/>
        </w:rPr>
        <w:t>6</w:t>
      </w:r>
      <w:r w:rsidR="006D25BC">
        <w:rPr>
          <w:rFonts w:asciiTheme="majorHAnsi" w:eastAsia="Times New Roman" w:hAnsiTheme="majorHAnsi" w:cs="Cordia New"/>
          <w:sz w:val="22"/>
          <w:szCs w:val="22"/>
          <w:lang w:val="en" w:bidi="th-TH"/>
        </w:rPr>
        <w:t> </w:t>
      </w:r>
      <w:r w:rsidRPr="0002631C">
        <w:rPr>
          <w:rFonts w:asciiTheme="majorHAnsi" w:eastAsia="Times New Roman" w:hAnsiTheme="majorHAnsi" w:cs="Cordia New"/>
          <w:sz w:val="22"/>
          <w:szCs w:val="22"/>
          <w:lang w:val="en" w:bidi="th-TH"/>
        </w:rPr>
        <w:t>days (MMAE).</w:t>
      </w:r>
    </w:p>
    <w:p w14:paraId="1F40099C" w14:textId="583E0E3F" w:rsidR="00BE3FB3" w:rsidRPr="00BE3FB3" w:rsidRDefault="00CD2383" w:rsidP="00BE3FB3">
      <w:r w:rsidRPr="0002631C">
        <w:rPr>
          <w:rFonts w:asciiTheme="majorHAnsi" w:hAnsiTheme="majorHAnsi"/>
        </w:rPr>
        <w:t>For information on the management of overdose, contact the Poisons Information Centre on 13 11 26 (Australia).</w:t>
      </w:r>
    </w:p>
    <w:p w14:paraId="5E309D81" w14:textId="24F16752" w:rsidR="00CD2383" w:rsidRPr="0001118A" w:rsidRDefault="00CD2383" w:rsidP="0062486E">
      <w:pPr>
        <w:pStyle w:val="Heading1"/>
      </w:pPr>
      <w:r w:rsidRPr="0001118A">
        <w:t>Pharmacological properties</w:t>
      </w:r>
    </w:p>
    <w:p w14:paraId="0A173801" w14:textId="38614507" w:rsidR="00CD2383" w:rsidRPr="0001118A" w:rsidRDefault="00CD2383" w:rsidP="0001118A">
      <w:pPr>
        <w:pStyle w:val="Heading2"/>
      </w:pPr>
      <w:r w:rsidRPr="0001118A">
        <w:t>Pharmacodynamic properties</w:t>
      </w:r>
    </w:p>
    <w:p w14:paraId="09DACD6A" w14:textId="77777777" w:rsidR="006F351A" w:rsidRDefault="0002631C" w:rsidP="0002631C">
      <w:pPr>
        <w:pStyle w:val="NormalWeb"/>
        <w:spacing w:after="0"/>
        <w:rPr>
          <w:rFonts w:asciiTheme="majorHAnsi" w:eastAsia="Times New Roman" w:hAnsiTheme="majorHAnsi"/>
          <w:sz w:val="22"/>
          <w:szCs w:val="22"/>
        </w:rPr>
      </w:pPr>
      <w:r w:rsidRPr="0002631C">
        <w:rPr>
          <w:rFonts w:asciiTheme="majorHAnsi" w:eastAsia="Times New Roman" w:hAnsiTheme="majorHAnsi"/>
          <w:sz w:val="22"/>
          <w:szCs w:val="22"/>
        </w:rPr>
        <w:t xml:space="preserve">The clinical pharmacology of </w:t>
      </w:r>
      <w:proofErr w:type="spellStart"/>
      <w:r w:rsidRPr="0002631C">
        <w:rPr>
          <w:rFonts w:asciiTheme="majorHAnsi" w:eastAsia="Times New Roman" w:hAnsiTheme="majorHAnsi"/>
          <w:sz w:val="22"/>
          <w:szCs w:val="22"/>
        </w:rPr>
        <w:t>enfortumab</w:t>
      </w:r>
      <w:proofErr w:type="spellEnd"/>
      <w:r w:rsidRPr="0002631C">
        <w:rPr>
          <w:rFonts w:asciiTheme="majorHAnsi" w:eastAsia="Times New Roman" w:hAnsiTheme="majorHAnsi"/>
          <w:sz w:val="22"/>
          <w:szCs w:val="22"/>
        </w:rPr>
        <w:t xml:space="preserve"> </w:t>
      </w:r>
      <w:proofErr w:type="spellStart"/>
      <w:r w:rsidRPr="0002631C">
        <w:rPr>
          <w:rFonts w:asciiTheme="majorHAnsi" w:eastAsia="Times New Roman" w:hAnsiTheme="majorHAnsi"/>
          <w:sz w:val="22"/>
          <w:szCs w:val="22"/>
        </w:rPr>
        <w:t>vedotin</w:t>
      </w:r>
      <w:proofErr w:type="spellEnd"/>
      <w:r w:rsidRPr="0002631C">
        <w:rPr>
          <w:rFonts w:asciiTheme="majorHAnsi" w:eastAsia="Times New Roman" w:hAnsiTheme="majorHAnsi"/>
          <w:sz w:val="22"/>
          <w:szCs w:val="22"/>
        </w:rPr>
        <w:t xml:space="preserve"> was evaluated in patients with solid tumours who received </w:t>
      </w:r>
      <w:proofErr w:type="spellStart"/>
      <w:r w:rsidRPr="0002631C">
        <w:rPr>
          <w:rFonts w:asciiTheme="majorHAnsi" w:eastAsia="Times New Roman" w:hAnsiTheme="majorHAnsi"/>
          <w:sz w:val="22"/>
          <w:szCs w:val="22"/>
        </w:rPr>
        <w:t>enfortumab</w:t>
      </w:r>
      <w:proofErr w:type="spellEnd"/>
      <w:r w:rsidRPr="0002631C">
        <w:rPr>
          <w:rFonts w:asciiTheme="majorHAnsi" w:eastAsia="Times New Roman" w:hAnsiTheme="majorHAnsi"/>
          <w:sz w:val="22"/>
          <w:szCs w:val="22"/>
        </w:rPr>
        <w:t xml:space="preserve"> </w:t>
      </w:r>
      <w:proofErr w:type="spellStart"/>
      <w:r w:rsidRPr="0002631C">
        <w:rPr>
          <w:rFonts w:asciiTheme="majorHAnsi" w:eastAsia="Times New Roman" w:hAnsiTheme="majorHAnsi"/>
          <w:sz w:val="22"/>
          <w:szCs w:val="22"/>
        </w:rPr>
        <w:t>vedotin</w:t>
      </w:r>
      <w:proofErr w:type="spellEnd"/>
      <w:r w:rsidRPr="0002631C">
        <w:rPr>
          <w:rFonts w:asciiTheme="majorHAnsi" w:eastAsia="Times New Roman" w:hAnsiTheme="majorHAnsi"/>
          <w:sz w:val="22"/>
          <w:szCs w:val="22"/>
        </w:rPr>
        <w:t xml:space="preserve"> administered by intravenous infusion.</w:t>
      </w:r>
    </w:p>
    <w:p w14:paraId="37CC458C" w14:textId="427E7EFF" w:rsidR="00CD2383" w:rsidRPr="0002631C" w:rsidRDefault="0002631C" w:rsidP="0002631C">
      <w:pPr>
        <w:pStyle w:val="NormalWeb"/>
        <w:spacing w:after="0"/>
        <w:rPr>
          <w:rFonts w:asciiTheme="majorHAnsi" w:eastAsia="Times New Roman" w:hAnsiTheme="majorHAnsi"/>
        </w:rPr>
      </w:pPr>
      <w:r w:rsidRPr="0002631C">
        <w:rPr>
          <w:rFonts w:asciiTheme="majorHAnsi" w:eastAsia="Times New Roman" w:hAnsiTheme="majorHAnsi"/>
        </w:rPr>
        <w:t xml:space="preserve"> </w:t>
      </w:r>
    </w:p>
    <w:p w14:paraId="18A0EA51" w14:textId="3AD7E461" w:rsidR="0002631C" w:rsidRDefault="0002631C" w:rsidP="00782B99">
      <w:pPr>
        <w:pStyle w:val="Heading3"/>
        <w:ind w:left="0"/>
      </w:pPr>
      <w:r w:rsidRPr="0002631C">
        <w:t>Pharmacodynamic effects</w:t>
      </w:r>
    </w:p>
    <w:p w14:paraId="77E65C96" w14:textId="7BD37B19" w:rsidR="0002631C" w:rsidRPr="0002631C" w:rsidRDefault="0002631C" w:rsidP="00782B99">
      <w:pPr>
        <w:rPr>
          <w:rFonts w:asciiTheme="majorHAnsi" w:eastAsia="Times New Roman" w:hAnsiTheme="majorHAnsi"/>
          <w:lang w:val="en" w:bidi="th-TH"/>
        </w:rPr>
      </w:pPr>
      <w:r w:rsidRPr="0002631C">
        <w:rPr>
          <w:rFonts w:asciiTheme="majorHAnsi" w:eastAsia="Times New Roman" w:hAnsiTheme="majorHAnsi"/>
          <w:lang w:val="en" w:bidi="th-TH"/>
        </w:rPr>
        <w:t xml:space="preserve">In an exposure-response analysis, a higher exposure was associated with higher incidence of some adverse reactions (e.g., Grade ≥2 peripheral neuropathy, Grade ≥3 </w:t>
      </w:r>
      <w:proofErr w:type="spellStart"/>
      <w:r w:rsidRPr="0002631C">
        <w:rPr>
          <w:rFonts w:asciiTheme="majorHAnsi" w:eastAsia="Times New Roman" w:hAnsiTheme="majorHAnsi"/>
          <w:lang w:val="en" w:bidi="th-TH"/>
        </w:rPr>
        <w:t>hyperglycaemia</w:t>
      </w:r>
      <w:proofErr w:type="spellEnd"/>
      <w:r w:rsidRPr="0002631C">
        <w:rPr>
          <w:rFonts w:asciiTheme="majorHAnsi" w:eastAsia="Times New Roman" w:hAnsiTheme="majorHAnsi"/>
          <w:lang w:val="en" w:bidi="th-TH"/>
        </w:rPr>
        <w:t>).</w:t>
      </w:r>
    </w:p>
    <w:p w14:paraId="5B7AD22A" w14:textId="77777777" w:rsidR="0002631C" w:rsidRPr="0002631C" w:rsidRDefault="0002631C" w:rsidP="00782B99">
      <w:pPr>
        <w:keepNext/>
        <w:keepLines/>
        <w:spacing w:after="0"/>
        <w:rPr>
          <w:rFonts w:asciiTheme="majorHAnsi" w:eastAsia="Times New Roman" w:hAnsiTheme="majorHAnsi" w:cs="Times New Roman"/>
          <w:i/>
          <w:iCs/>
          <w:lang w:val="en"/>
        </w:rPr>
      </w:pPr>
      <w:r w:rsidRPr="0002631C">
        <w:rPr>
          <w:rFonts w:asciiTheme="majorHAnsi" w:eastAsia="Times New Roman" w:hAnsiTheme="majorHAnsi" w:cs="Times New Roman"/>
          <w:i/>
          <w:iCs/>
          <w:lang w:val="en"/>
        </w:rPr>
        <w:lastRenderedPageBreak/>
        <w:t>Cardiac Electrophysiology</w:t>
      </w:r>
    </w:p>
    <w:p w14:paraId="11DD6FD9" w14:textId="77777777" w:rsidR="0002631C" w:rsidRPr="0002631C" w:rsidRDefault="0002631C" w:rsidP="00782B99">
      <w:pPr>
        <w:keepNext/>
        <w:keepLines/>
        <w:spacing w:after="0"/>
        <w:rPr>
          <w:rFonts w:asciiTheme="majorHAnsi" w:eastAsia="Times New Roman" w:hAnsiTheme="majorHAnsi"/>
          <w:lang w:val="en" w:bidi="th-TH"/>
        </w:rPr>
      </w:pPr>
    </w:p>
    <w:p w14:paraId="7718A275" w14:textId="0CC48640" w:rsidR="0002631C" w:rsidRPr="0002631C" w:rsidRDefault="0002631C" w:rsidP="00782B99">
      <w:pPr>
        <w:keepNext/>
        <w:keepLines/>
        <w:spacing w:after="0"/>
        <w:rPr>
          <w:rFonts w:asciiTheme="majorHAnsi" w:eastAsia="Times New Roman" w:hAnsiTheme="majorHAnsi"/>
          <w:lang w:val="en" w:bidi="th-TH"/>
        </w:rPr>
      </w:pPr>
      <w:r w:rsidRPr="0002631C">
        <w:rPr>
          <w:rFonts w:asciiTheme="majorHAnsi" w:eastAsia="Times New Roman" w:hAnsiTheme="majorHAnsi"/>
          <w:lang w:val="en" w:bidi="th-TH"/>
        </w:rPr>
        <w:t xml:space="preserve">The effect of </w:t>
      </w:r>
      <w:r w:rsidRPr="0002631C">
        <w:rPr>
          <w:rFonts w:asciiTheme="majorHAnsi" w:eastAsia="MS PGothic" w:hAnsiTheme="majorHAnsi" w:cs="Calibri"/>
          <w:lang w:val="en-US" w:eastAsia="ja-JP"/>
        </w:rPr>
        <w:t>PADCEV</w:t>
      </w:r>
      <w:r w:rsidRPr="0002631C">
        <w:rPr>
          <w:rFonts w:asciiTheme="majorHAnsi" w:eastAsia="Times New Roman" w:hAnsiTheme="majorHAnsi"/>
          <w:lang w:val="en" w:bidi="th-TH"/>
        </w:rPr>
        <w:t xml:space="preserve"> on the duration of cardiac ventricular repolarization was evaluated in 17</w:t>
      </w:r>
      <w:r w:rsidR="00D1609D">
        <w:rPr>
          <w:rFonts w:asciiTheme="majorHAnsi" w:eastAsia="Times New Roman" w:hAnsiTheme="majorHAnsi"/>
          <w:lang w:val="en" w:bidi="th-TH"/>
        </w:rPr>
        <w:t> </w:t>
      </w:r>
      <w:r w:rsidRPr="0002631C">
        <w:rPr>
          <w:rFonts w:asciiTheme="majorHAnsi" w:eastAsia="Times New Roman" w:hAnsiTheme="majorHAnsi"/>
          <w:lang w:val="en" w:bidi="th-TH"/>
        </w:rPr>
        <w:t xml:space="preserve">patients with LA or metastatic urothelial carcinoma who received </w:t>
      </w:r>
      <w:r w:rsidRPr="0002631C">
        <w:rPr>
          <w:rFonts w:asciiTheme="majorHAnsi" w:eastAsia="MS PGothic" w:hAnsiTheme="majorHAnsi" w:cs="Calibri"/>
          <w:lang w:val="en-US" w:eastAsia="ja-JP"/>
        </w:rPr>
        <w:t>PADCEV</w:t>
      </w:r>
      <w:r w:rsidRPr="0002631C">
        <w:rPr>
          <w:rFonts w:asciiTheme="majorHAnsi" w:eastAsia="Times New Roman" w:hAnsiTheme="majorHAnsi"/>
          <w:lang w:val="en" w:bidi="th-TH"/>
        </w:rPr>
        <w:t xml:space="preserve"> on Days 1, 8, and 15 of each 28-day cycle. Based on concentration –</w:t>
      </w:r>
      <w:proofErr w:type="spellStart"/>
      <w:r w:rsidRPr="0002631C">
        <w:rPr>
          <w:rFonts w:asciiTheme="majorHAnsi" w:eastAsia="Times New Roman" w:hAnsiTheme="majorHAnsi"/>
          <w:lang w:val="en" w:bidi="th-TH"/>
        </w:rPr>
        <w:t>QTcF</w:t>
      </w:r>
      <w:proofErr w:type="spellEnd"/>
      <w:r w:rsidRPr="0002631C">
        <w:rPr>
          <w:rFonts w:asciiTheme="majorHAnsi" w:eastAsia="Times New Roman" w:hAnsiTheme="majorHAnsi"/>
          <w:lang w:val="en" w:bidi="th-TH"/>
        </w:rPr>
        <w:t xml:space="preserve"> modeling, a population mean change in </w:t>
      </w:r>
      <w:proofErr w:type="spellStart"/>
      <w:r w:rsidRPr="0002631C">
        <w:rPr>
          <w:rFonts w:asciiTheme="majorHAnsi" w:eastAsia="Times New Roman" w:hAnsiTheme="majorHAnsi"/>
          <w:lang w:val="en" w:bidi="th-TH"/>
        </w:rPr>
        <w:t>QTcF</w:t>
      </w:r>
      <w:proofErr w:type="spellEnd"/>
      <w:r w:rsidRPr="0002631C">
        <w:rPr>
          <w:rFonts w:asciiTheme="majorHAnsi" w:eastAsia="Times New Roman" w:hAnsiTheme="majorHAnsi"/>
          <w:lang w:val="en" w:bidi="th-TH"/>
        </w:rPr>
        <w:t xml:space="preserve"> interval (change from baseline </w:t>
      </w:r>
      <w:proofErr w:type="spellStart"/>
      <w:r w:rsidRPr="0002631C">
        <w:rPr>
          <w:rFonts w:asciiTheme="majorHAnsi" w:eastAsia="Times New Roman" w:hAnsiTheme="majorHAnsi"/>
          <w:lang w:val="en" w:bidi="th-TH"/>
        </w:rPr>
        <w:t>QTcF</w:t>
      </w:r>
      <w:proofErr w:type="spellEnd"/>
      <w:r w:rsidRPr="0002631C">
        <w:rPr>
          <w:rFonts w:asciiTheme="majorHAnsi" w:eastAsia="Times New Roman" w:hAnsiTheme="majorHAnsi"/>
          <w:lang w:val="en" w:bidi="th-TH"/>
        </w:rPr>
        <w:t xml:space="preserve">; upper 1-sided 95% CI) of 6.17 (10.5) msec was estimated to occur at a geometric mean </w:t>
      </w:r>
      <w:proofErr w:type="spellStart"/>
      <w:r w:rsidRPr="0002631C">
        <w:rPr>
          <w:rFonts w:asciiTheme="majorHAnsi" w:eastAsia="Times New Roman" w:hAnsiTheme="majorHAnsi"/>
          <w:lang w:val="en" w:bidi="th-TH"/>
        </w:rPr>
        <w:t>C</w:t>
      </w:r>
      <w:r w:rsidRPr="0002631C">
        <w:rPr>
          <w:rFonts w:asciiTheme="majorHAnsi" w:eastAsia="Times New Roman" w:hAnsiTheme="majorHAnsi"/>
          <w:vertAlign w:val="subscript"/>
          <w:lang w:val="en" w:bidi="th-TH"/>
        </w:rPr>
        <w:t>max</w:t>
      </w:r>
      <w:proofErr w:type="spellEnd"/>
      <w:r w:rsidRPr="0002631C">
        <w:rPr>
          <w:rFonts w:asciiTheme="majorHAnsi" w:eastAsia="Times New Roman" w:hAnsiTheme="majorHAnsi"/>
          <w:lang w:val="en" w:bidi="th-TH"/>
        </w:rPr>
        <w:t xml:space="preserve"> of 20.1 mcg/mL for the ADC. For MMAE, a population mean change in </w:t>
      </w:r>
      <w:proofErr w:type="spellStart"/>
      <w:r w:rsidRPr="0002631C">
        <w:rPr>
          <w:rFonts w:asciiTheme="majorHAnsi" w:eastAsia="Times New Roman" w:hAnsiTheme="majorHAnsi"/>
          <w:lang w:val="en" w:bidi="th-TH"/>
        </w:rPr>
        <w:t>QTcF</w:t>
      </w:r>
      <w:proofErr w:type="spellEnd"/>
      <w:r w:rsidRPr="0002631C">
        <w:rPr>
          <w:rFonts w:asciiTheme="majorHAnsi" w:eastAsia="Times New Roman" w:hAnsiTheme="majorHAnsi"/>
          <w:lang w:val="en" w:bidi="th-TH"/>
        </w:rPr>
        <w:t xml:space="preserve"> interval (upper 1-sided 95% CI) of </w:t>
      </w:r>
      <w:r w:rsidRPr="0002631C">
        <w:rPr>
          <w:rFonts w:eastAsia="Times New Roman" w:cs="Times New Roman"/>
          <w:sz w:val="24"/>
          <w:szCs w:val="24"/>
          <w:lang w:eastAsia="ja-JP"/>
        </w:rPr>
        <w:t>-</w:t>
      </w:r>
      <w:r w:rsidRPr="0002631C">
        <w:rPr>
          <w:rFonts w:asciiTheme="majorHAnsi" w:eastAsia="Times New Roman" w:hAnsiTheme="majorHAnsi" w:cs="Times New Roman"/>
          <w:lang w:eastAsia="ja-JP"/>
        </w:rPr>
        <w:t>3.14</w:t>
      </w:r>
      <w:r w:rsidRPr="0002631C">
        <w:rPr>
          <w:rFonts w:asciiTheme="majorHAnsi" w:eastAsia="Times New Roman" w:hAnsiTheme="majorHAnsi"/>
          <w:lang w:val="en" w:bidi="th-TH"/>
        </w:rPr>
        <w:t xml:space="preserve"> (9.52) msec was estimated to occur at a geometric mean </w:t>
      </w:r>
      <w:proofErr w:type="spellStart"/>
      <w:r w:rsidRPr="0002631C">
        <w:rPr>
          <w:rFonts w:asciiTheme="majorHAnsi" w:eastAsia="Times New Roman" w:hAnsiTheme="majorHAnsi"/>
          <w:lang w:val="en" w:bidi="th-TH"/>
        </w:rPr>
        <w:t>C</w:t>
      </w:r>
      <w:r w:rsidRPr="0002631C">
        <w:rPr>
          <w:rFonts w:asciiTheme="majorHAnsi" w:eastAsia="Times New Roman" w:hAnsiTheme="majorHAnsi"/>
          <w:vertAlign w:val="subscript"/>
          <w:lang w:val="en" w:bidi="th-TH"/>
        </w:rPr>
        <w:t>max</w:t>
      </w:r>
      <w:proofErr w:type="spellEnd"/>
      <w:r w:rsidRPr="0002631C">
        <w:rPr>
          <w:rFonts w:asciiTheme="majorHAnsi" w:eastAsia="Times New Roman" w:hAnsiTheme="majorHAnsi"/>
          <w:lang w:val="en" w:bidi="th-TH"/>
        </w:rPr>
        <w:t xml:space="preserve"> of 3.94 ng/</w:t>
      </w:r>
      <w:proofErr w:type="spellStart"/>
      <w:r w:rsidRPr="0002631C">
        <w:rPr>
          <w:rFonts w:asciiTheme="majorHAnsi" w:eastAsia="Times New Roman" w:hAnsiTheme="majorHAnsi"/>
          <w:lang w:val="en" w:bidi="th-TH"/>
        </w:rPr>
        <w:t>mL.</w:t>
      </w:r>
      <w:proofErr w:type="spellEnd"/>
      <w:r w:rsidRPr="0002631C">
        <w:rPr>
          <w:rFonts w:asciiTheme="majorHAnsi" w:eastAsia="Times New Roman" w:hAnsiTheme="majorHAnsi"/>
          <w:lang w:val="en" w:bidi="th-TH"/>
        </w:rPr>
        <w:t xml:space="preserve"> At the recommended dose of 1.25</w:t>
      </w:r>
      <w:r w:rsidR="00D1609D">
        <w:rPr>
          <w:rFonts w:asciiTheme="majorHAnsi" w:eastAsia="Times New Roman" w:hAnsiTheme="majorHAnsi"/>
          <w:lang w:val="en" w:bidi="th-TH"/>
        </w:rPr>
        <w:t> </w:t>
      </w:r>
      <w:r w:rsidRPr="0002631C">
        <w:rPr>
          <w:rFonts w:asciiTheme="majorHAnsi" w:eastAsia="Times New Roman" w:hAnsiTheme="majorHAnsi"/>
          <w:lang w:val="en" w:bidi="th-TH"/>
        </w:rPr>
        <w:t xml:space="preserve">mg/kg, </w:t>
      </w:r>
      <w:r w:rsidRPr="0002631C">
        <w:rPr>
          <w:rFonts w:asciiTheme="majorHAnsi" w:eastAsia="MS PGothic" w:hAnsiTheme="majorHAnsi" w:cs="Calibri"/>
          <w:lang w:val="en-US" w:eastAsia="ja-JP"/>
        </w:rPr>
        <w:t>PADCEV</w:t>
      </w:r>
      <w:r w:rsidRPr="0002631C">
        <w:rPr>
          <w:rFonts w:asciiTheme="majorHAnsi" w:eastAsia="Times New Roman" w:hAnsiTheme="majorHAnsi"/>
          <w:lang w:val="en" w:bidi="th-TH"/>
        </w:rPr>
        <w:t xml:space="preserve"> had no large effect on QTc prolongation (&gt;20 msec).</w:t>
      </w:r>
    </w:p>
    <w:p w14:paraId="58CD3D76" w14:textId="240F58EE" w:rsidR="0002631C" w:rsidRDefault="0002631C" w:rsidP="0002631C"/>
    <w:p w14:paraId="3294D4C4" w14:textId="5744493F" w:rsidR="00CD2383" w:rsidRDefault="00CD2383" w:rsidP="0002631C">
      <w:pPr>
        <w:pStyle w:val="Heading3"/>
        <w:ind w:left="0"/>
      </w:pPr>
      <w:r w:rsidRPr="00FC060A">
        <w:t>Mechanism of action</w:t>
      </w:r>
    </w:p>
    <w:p w14:paraId="4F6F27CD" w14:textId="56484276" w:rsidR="0002631C" w:rsidRPr="0002631C" w:rsidRDefault="0002631C" w:rsidP="0002631C">
      <w:pPr>
        <w:pStyle w:val="NormalWeb"/>
        <w:spacing w:after="0"/>
        <w:rPr>
          <w:rFonts w:asciiTheme="majorHAnsi" w:eastAsia="Times New Roman" w:hAnsiTheme="majorHAnsi" w:cs="Cordia New"/>
          <w:sz w:val="22"/>
          <w:szCs w:val="22"/>
          <w:lang w:val="en" w:bidi="th-TH"/>
        </w:rPr>
      </w:pPr>
      <w:proofErr w:type="spellStart"/>
      <w:r w:rsidRPr="0002631C">
        <w:rPr>
          <w:rFonts w:asciiTheme="majorHAnsi" w:eastAsia="Times New Roman" w:hAnsiTheme="majorHAnsi" w:cs="Cordia New"/>
          <w:sz w:val="22"/>
          <w:szCs w:val="22"/>
          <w:lang w:val="en" w:bidi="th-TH"/>
        </w:rPr>
        <w:t>Enfortumab</w:t>
      </w:r>
      <w:proofErr w:type="spellEnd"/>
      <w:r w:rsidRPr="0002631C">
        <w:rPr>
          <w:rFonts w:asciiTheme="majorHAnsi" w:eastAsia="Times New Roman" w:hAnsiTheme="majorHAnsi" w:cs="Cordia New"/>
          <w:sz w:val="22"/>
          <w:szCs w:val="22"/>
          <w:lang w:val="en" w:bidi="th-TH"/>
        </w:rPr>
        <w:t xml:space="preserve"> </w:t>
      </w:r>
      <w:proofErr w:type="spellStart"/>
      <w:r w:rsidRPr="0002631C">
        <w:rPr>
          <w:rFonts w:asciiTheme="majorHAnsi" w:eastAsia="Times New Roman" w:hAnsiTheme="majorHAnsi" w:cs="Cordia New"/>
          <w:sz w:val="22"/>
          <w:szCs w:val="22"/>
          <w:lang w:val="en" w:bidi="th-TH"/>
        </w:rPr>
        <w:t>vedotin</w:t>
      </w:r>
      <w:proofErr w:type="spellEnd"/>
      <w:r w:rsidRPr="0002631C">
        <w:rPr>
          <w:rFonts w:asciiTheme="majorHAnsi" w:eastAsia="Times New Roman" w:hAnsiTheme="majorHAnsi" w:cs="Cordia New"/>
          <w:sz w:val="22"/>
          <w:szCs w:val="22"/>
          <w:lang w:val="en" w:bidi="th-TH"/>
        </w:rPr>
        <w:t xml:space="preserve"> is an ADC targeting Nectin-4, an adhesion protein located on the surface of</w:t>
      </w:r>
      <w:r w:rsidR="00B57100">
        <w:rPr>
          <w:rFonts w:asciiTheme="majorHAnsi" w:eastAsia="Times New Roman" w:hAnsiTheme="majorHAnsi" w:cs="Cordia New"/>
          <w:sz w:val="22"/>
          <w:szCs w:val="22"/>
          <w:lang w:val="en" w:bidi="th-TH"/>
        </w:rPr>
        <w:t xml:space="preserve"> epithelial cells including</w:t>
      </w:r>
      <w:r w:rsidRPr="0002631C">
        <w:rPr>
          <w:rFonts w:asciiTheme="majorHAnsi" w:eastAsia="Times New Roman" w:hAnsiTheme="majorHAnsi" w:cs="Cordia New"/>
          <w:sz w:val="22"/>
          <w:szCs w:val="22"/>
          <w:lang w:val="en" w:bidi="th-TH"/>
        </w:rPr>
        <w:t xml:space="preserve"> urothelial cancer cells. It is comprised of a fully human IgG1-kappa antibody conjugated to the microtubule-disrupting agent, MMAE, via a protease-cleavable linker. Nonclinical data suggest that the anticancer activity of </w:t>
      </w:r>
      <w:proofErr w:type="spellStart"/>
      <w:r w:rsidRPr="0002631C">
        <w:rPr>
          <w:rFonts w:asciiTheme="majorHAnsi" w:eastAsia="Times New Roman" w:hAnsiTheme="majorHAnsi" w:cs="Cordia New"/>
          <w:sz w:val="22"/>
          <w:szCs w:val="22"/>
          <w:lang w:val="en" w:bidi="th-TH"/>
        </w:rPr>
        <w:t>enfortumab</w:t>
      </w:r>
      <w:proofErr w:type="spellEnd"/>
      <w:r w:rsidRPr="0002631C">
        <w:rPr>
          <w:rFonts w:asciiTheme="majorHAnsi" w:eastAsia="Times New Roman" w:hAnsiTheme="majorHAnsi" w:cs="Cordia New"/>
          <w:sz w:val="22"/>
          <w:szCs w:val="22"/>
          <w:lang w:val="en" w:bidi="th-TH"/>
        </w:rPr>
        <w:t xml:space="preserve"> </w:t>
      </w:r>
      <w:proofErr w:type="spellStart"/>
      <w:r w:rsidRPr="0002631C">
        <w:rPr>
          <w:rFonts w:asciiTheme="majorHAnsi" w:eastAsia="Times New Roman" w:hAnsiTheme="majorHAnsi" w:cs="Cordia New"/>
          <w:sz w:val="22"/>
          <w:szCs w:val="22"/>
          <w:lang w:val="en" w:bidi="th-TH"/>
        </w:rPr>
        <w:t>vedotin</w:t>
      </w:r>
      <w:proofErr w:type="spellEnd"/>
      <w:r w:rsidRPr="0002631C">
        <w:rPr>
          <w:rFonts w:asciiTheme="majorHAnsi" w:eastAsia="Times New Roman" w:hAnsiTheme="majorHAnsi" w:cs="Cordia New"/>
          <w:sz w:val="22"/>
          <w:szCs w:val="22"/>
          <w:lang w:val="en" w:bidi="th-TH"/>
        </w:rPr>
        <w:t xml:space="preserve"> is due to the binding of the ADC to Nectin-4-expressing cells, followed by </w:t>
      </w:r>
      <w:proofErr w:type="spellStart"/>
      <w:r w:rsidRPr="0002631C">
        <w:rPr>
          <w:rFonts w:asciiTheme="majorHAnsi" w:eastAsia="Times New Roman" w:hAnsiTheme="majorHAnsi" w:cs="Cordia New"/>
          <w:sz w:val="22"/>
          <w:szCs w:val="22"/>
          <w:lang w:val="en" w:bidi="th-TH"/>
        </w:rPr>
        <w:t>internali</w:t>
      </w:r>
      <w:r w:rsidR="00B57100">
        <w:rPr>
          <w:rFonts w:asciiTheme="majorHAnsi" w:eastAsia="Times New Roman" w:hAnsiTheme="majorHAnsi" w:cs="Cordia New"/>
          <w:sz w:val="22"/>
          <w:szCs w:val="22"/>
          <w:lang w:val="en" w:bidi="th-TH"/>
        </w:rPr>
        <w:t>s</w:t>
      </w:r>
      <w:r w:rsidRPr="0002631C">
        <w:rPr>
          <w:rFonts w:asciiTheme="majorHAnsi" w:eastAsia="Times New Roman" w:hAnsiTheme="majorHAnsi" w:cs="Cordia New"/>
          <w:sz w:val="22"/>
          <w:szCs w:val="22"/>
          <w:lang w:val="en" w:bidi="th-TH"/>
        </w:rPr>
        <w:t>ation</w:t>
      </w:r>
      <w:proofErr w:type="spellEnd"/>
      <w:r w:rsidRPr="0002631C">
        <w:rPr>
          <w:rFonts w:asciiTheme="majorHAnsi" w:eastAsia="Times New Roman" w:hAnsiTheme="majorHAnsi" w:cs="Cordia New"/>
          <w:sz w:val="22"/>
          <w:szCs w:val="22"/>
          <w:lang w:val="en" w:bidi="th-TH"/>
        </w:rPr>
        <w:t xml:space="preserve"> of the ADC-Nectin-4 complex, and the release of MMAE via proteolytic cleavage. Release of MMAE disrupts the microtubule network within the cell, subsequently inducing cell cycle arrest and apoptotic cell death. MMAE released from </w:t>
      </w:r>
      <w:proofErr w:type="spellStart"/>
      <w:r w:rsidRPr="0002631C">
        <w:rPr>
          <w:rFonts w:asciiTheme="majorHAnsi" w:eastAsia="Times New Roman" w:hAnsiTheme="majorHAnsi" w:cs="Cordia New"/>
          <w:sz w:val="22"/>
          <w:szCs w:val="22"/>
          <w:lang w:val="en" w:bidi="th-TH"/>
        </w:rPr>
        <w:t>enfortumab</w:t>
      </w:r>
      <w:proofErr w:type="spellEnd"/>
      <w:r w:rsidRPr="0002631C">
        <w:rPr>
          <w:rFonts w:asciiTheme="majorHAnsi" w:eastAsia="Times New Roman" w:hAnsiTheme="majorHAnsi" w:cs="Cordia New"/>
          <w:sz w:val="22"/>
          <w:szCs w:val="22"/>
          <w:lang w:val="en" w:bidi="th-TH"/>
        </w:rPr>
        <w:t xml:space="preserve"> </w:t>
      </w:r>
      <w:proofErr w:type="spellStart"/>
      <w:r w:rsidRPr="0002631C">
        <w:rPr>
          <w:rFonts w:asciiTheme="majorHAnsi" w:eastAsia="Times New Roman" w:hAnsiTheme="majorHAnsi" w:cs="Cordia New"/>
          <w:sz w:val="22"/>
          <w:szCs w:val="22"/>
          <w:lang w:val="en" w:bidi="th-TH"/>
        </w:rPr>
        <w:t>vedotin</w:t>
      </w:r>
      <w:proofErr w:type="spellEnd"/>
      <w:r w:rsidRPr="0002631C">
        <w:rPr>
          <w:rFonts w:asciiTheme="majorHAnsi" w:eastAsia="Times New Roman" w:hAnsiTheme="majorHAnsi" w:cs="Cordia New"/>
          <w:sz w:val="22"/>
          <w:szCs w:val="22"/>
          <w:lang w:val="en" w:bidi="th-TH"/>
        </w:rPr>
        <w:t xml:space="preserve"> targeted cells can diffuse into nearby Nectin-4 low-expressing cells resulting in cytotoxic cell death.</w:t>
      </w:r>
    </w:p>
    <w:p w14:paraId="2BABEB69" w14:textId="7AAF6D6C" w:rsidR="0002631C" w:rsidRDefault="0002631C" w:rsidP="0002631C"/>
    <w:p w14:paraId="7FB59220" w14:textId="4D84457D" w:rsidR="00CD2383" w:rsidRPr="00FC060A" w:rsidRDefault="0002631C" w:rsidP="0002631C">
      <w:pPr>
        <w:pStyle w:val="Heading3"/>
        <w:ind w:left="0"/>
      </w:pPr>
      <w:r w:rsidRPr="0002631C">
        <w:t>Clinical studies</w:t>
      </w:r>
    </w:p>
    <w:p w14:paraId="59944505" w14:textId="40A27BAE" w:rsidR="0002631C" w:rsidRPr="0002631C" w:rsidRDefault="0002631C" w:rsidP="0002631C">
      <w:pPr>
        <w:spacing w:before="100" w:beforeAutospacing="1" w:after="100" w:afterAutospacing="1" w:line="240" w:lineRule="auto"/>
        <w:rPr>
          <w:rFonts w:asciiTheme="majorHAnsi" w:eastAsia="Times New Roman" w:hAnsiTheme="majorHAnsi"/>
          <w:lang w:val="en" w:bidi="th-TH"/>
        </w:rPr>
      </w:pPr>
      <w:r w:rsidRPr="0002631C">
        <w:rPr>
          <w:rFonts w:asciiTheme="majorHAnsi" w:eastAsia="Times New Roman" w:hAnsiTheme="majorHAnsi"/>
          <w:lang w:val="en" w:bidi="th-TH"/>
        </w:rPr>
        <w:t xml:space="preserve">Metastatic Urothelial Cancer </w:t>
      </w:r>
    </w:p>
    <w:p w14:paraId="2828C3D5" w14:textId="77777777" w:rsidR="0002631C" w:rsidRPr="0002631C" w:rsidRDefault="0002631C" w:rsidP="0002631C">
      <w:pPr>
        <w:spacing w:before="100" w:beforeAutospacing="1" w:after="100" w:afterAutospacing="1" w:line="240" w:lineRule="auto"/>
        <w:rPr>
          <w:rFonts w:asciiTheme="majorHAnsi" w:eastAsia="Times New Roman" w:hAnsiTheme="majorHAnsi"/>
          <w:u w:val="single"/>
          <w:lang w:val="en" w:bidi="th-TH"/>
        </w:rPr>
      </w:pPr>
      <w:r w:rsidRPr="0002631C">
        <w:rPr>
          <w:rFonts w:asciiTheme="majorHAnsi" w:eastAsia="Times New Roman" w:hAnsiTheme="majorHAnsi"/>
          <w:u w:val="single"/>
          <w:lang w:val="en" w:bidi="th-TH"/>
        </w:rPr>
        <w:t xml:space="preserve">EV-301 </w:t>
      </w:r>
    </w:p>
    <w:p w14:paraId="3EED9540" w14:textId="34BA64AD" w:rsidR="0002631C" w:rsidRPr="0002631C" w:rsidRDefault="0002631C" w:rsidP="0002631C">
      <w:pPr>
        <w:spacing w:after="0"/>
        <w:rPr>
          <w:rFonts w:asciiTheme="majorHAnsi" w:eastAsia="Times New Roman" w:hAnsiTheme="majorHAnsi"/>
          <w:lang w:val="en" w:bidi="th-TH"/>
        </w:rPr>
      </w:pPr>
      <w:r w:rsidRPr="0002631C">
        <w:rPr>
          <w:rFonts w:asciiTheme="majorHAnsi" w:eastAsia="Times New Roman" w:hAnsiTheme="majorHAnsi"/>
          <w:lang w:val="en" w:bidi="th-TH"/>
        </w:rPr>
        <w:t xml:space="preserve">The efficacy of </w:t>
      </w:r>
      <w:proofErr w:type="spellStart"/>
      <w:r w:rsidRPr="0002631C">
        <w:rPr>
          <w:rFonts w:asciiTheme="majorHAnsi" w:eastAsia="Times New Roman" w:hAnsiTheme="majorHAnsi"/>
          <w:lang w:val="en" w:bidi="th-TH"/>
        </w:rPr>
        <w:t>enfortumab</w:t>
      </w:r>
      <w:proofErr w:type="spellEnd"/>
      <w:r w:rsidRPr="0002631C">
        <w:rPr>
          <w:rFonts w:asciiTheme="majorHAnsi" w:eastAsia="Times New Roman" w:hAnsiTheme="majorHAnsi"/>
          <w:lang w:val="en" w:bidi="th-TH"/>
        </w:rPr>
        <w:t xml:space="preserve"> </w:t>
      </w:r>
      <w:proofErr w:type="spellStart"/>
      <w:r w:rsidRPr="0002631C">
        <w:rPr>
          <w:rFonts w:asciiTheme="majorHAnsi" w:eastAsia="Times New Roman" w:hAnsiTheme="majorHAnsi"/>
          <w:lang w:val="en" w:bidi="th-TH"/>
        </w:rPr>
        <w:t>vedotin</w:t>
      </w:r>
      <w:proofErr w:type="spellEnd"/>
      <w:r w:rsidRPr="0002631C">
        <w:rPr>
          <w:rFonts w:asciiTheme="majorHAnsi" w:eastAsia="Times New Roman" w:hAnsiTheme="majorHAnsi"/>
          <w:lang w:val="en" w:bidi="th-TH"/>
        </w:rPr>
        <w:t xml:space="preserve"> was evaluated in study EV-301, an open-label, randomized, phase 3, </w:t>
      </w:r>
      <w:proofErr w:type="spellStart"/>
      <w:r w:rsidRPr="0002631C">
        <w:rPr>
          <w:rFonts w:asciiTheme="majorHAnsi" w:eastAsia="Times New Roman" w:hAnsiTheme="majorHAnsi"/>
          <w:lang w:val="en" w:bidi="th-TH"/>
        </w:rPr>
        <w:t>multicent</w:t>
      </w:r>
      <w:r w:rsidR="0089111E">
        <w:rPr>
          <w:rFonts w:asciiTheme="majorHAnsi" w:eastAsia="Times New Roman" w:hAnsiTheme="majorHAnsi"/>
          <w:lang w:val="en" w:bidi="th-TH"/>
        </w:rPr>
        <w:t>re</w:t>
      </w:r>
      <w:proofErr w:type="spellEnd"/>
      <w:r w:rsidRPr="0002631C">
        <w:rPr>
          <w:rFonts w:asciiTheme="majorHAnsi" w:eastAsia="Times New Roman" w:hAnsiTheme="majorHAnsi"/>
          <w:lang w:val="en" w:bidi="th-TH"/>
        </w:rPr>
        <w:t xml:space="preserve"> study that enrolled 608 patients with LA or metastatic urothelial cancer who received prior treatment with a PD-1 or PD-L1 inhibitor and a platinum-containing chemotherapy. Patients were randomized 1:1 to receive either </w:t>
      </w:r>
      <w:r w:rsidRPr="0002631C">
        <w:rPr>
          <w:rFonts w:asciiTheme="majorHAnsi" w:eastAsia="MS PGothic" w:hAnsiTheme="majorHAnsi" w:cs="Calibri"/>
          <w:lang w:val="en-US" w:eastAsia="ja-JP"/>
        </w:rPr>
        <w:t>PADCEV</w:t>
      </w:r>
      <w:r w:rsidRPr="0002631C">
        <w:rPr>
          <w:rFonts w:asciiTheme="majorHAnsi" w:eastAsia="Times New Roman" w:hAnsiTheme="majorHAnsi"/>
          <w:lang w:val="en" w:bidi="th-TH"/>
        </w:rPr>
        <w:t xml:space="preserve"> 1.25 mg/kg on Days 1, 8 and 15 of a 28-day cycle</w:t>
      </w:r>
      <w:r w:rsidRPr="0002631C">
        <w:rPr>
          <w:rFonts w:asciiTheme="majorHAnsi" w:eastAsia="Times New Roman" w:hAnsiTheme="majorHAnsi"/>
          <w:lang w:eastAsia="ja-JP" w:bidi="th-TH"/>
        </w:rPr>
        <w:t xml:space="preserve"> or one of the following chemotherapies</w:t>
      </w:r>
      <w:r w:rsidRPr="0002631C" w:rsidDel="000D04A9">
        <w:rPr>
          <w:rFonts w:asciiTheme="majorHAnsi" w:eastAsiaTheme="minorEastAsia" w:hAnsiTheme="majorHAnsi" w:cs="Myanmar Text"/>
          <w:sz w:val="16"/>
          <w:szCs w:val="16"/>
        </w:rPr>
        <w:t xml:space="preserve"> </w:t>
      </w:r>
      <w:r w:rsidRPr="0002631C">
        <w:rPr>
          <w:rFonts w:asciiTheme="majorHAnsi" w:eastAsia="Times New Roman" w:hAnsiTheme="majorHAnsi"/>
          <w:lang w:eastAsia="ja-JP" w:bidi="th-TH"/>
        </w:rPr>
        <w:t xml:space="preserve">as decided by the investigator: docetaxel (38%), paclitaxel (36%), or </w:t>
      </w:r>
      <w:r w:rsidRPr="0002631C">
        <w:rPr>
          <w:rFonts w:asciiTheme="majorHAnsi" w:eastAsia="Times New Roman" w:hAnsiTheme="majorHAnsi"/>
          <w:lang w:val="en" w:bidi="th-TH"/>
        </w:rPr>
        <w:t>vinflunine (26%)</w:t>
      </w:r>
      <w:r w:rsidRPr="0002631C">
        <w:rPr>
          <w:rFonts w:asciiTheme="majorHAnsi" w:eastAsia="Times New Roman" w:hAnsiTheme="majorHAnsi"/>
          <w:lang w:eastAsia="ja-JP" w:bidi="th-TH"/>
        </w:rPr>
        <w:t xml:space="preserve">. </w:t>
      </w:r>
      <w:r w:rsidRPr="0002631C">
        <w:rPr>
          <w:rFonts w:asciiTheme="majorHAnsi" w:eastAsia="Times New Roman" w:hAnsiTheme="majorHAnsi"/>
          <w:lang w:val="en" w:bidi="th-TH"/>
        </w:rPr>
        <w:t xml:space="preserve"> </w:t>
      </w:r>
    </w:p>
    <w:p w14:paraId="3B838E0B" w14:textId="77777777" w:rsidR="0002631C" w:rsidRPr="0002631C" w:rsidRDefault="0002631C" w:rsidP="0002631C">
      <w:pPr>
        <w:spacing w:after="0"/>
        <w:rPr>
          <w:rFonts w:asciiTheme="majorHAnsi" w:eastAsia="Times New Roman" w:hAnsiTheme="majorHAnsi"/>
          <w:lang w:val="en" w:bidi="th-TH"/>
        </w:rPr>
      </w:pPr>
      <w:r w:rsidRPr="0002631C">
        <w:rPr>
          <w:rFonts w:asciiTheme="majorHAnsi" w:eastAsia="Times New Roman" w:hAnsiTheme="majorHAnsi"/>
          <w:lang w:val="en" w:bidi="th-TH"/>
        </w:rPr>
        <w:t xml:space="preserve">Patients were excluded from the study if they had active CNS metastases, ongoing sensory or motor neuropathy Grade ≥2, or uncontrolled diabetes defined as </w:t>
      </w:r>
      <w:proofErr w:type="spellStart"/>
      <w:r w:rsidRPr="0002631C">
        <w:rPr>
          <w:rFonts w:asciiTheme="majorHAnsi" w:eastAsia="Times New Roman" w:hAnsiTheme="majorHAnsi"/>
          <w:lang w:val="en" w:bidi="th-TH"/>
        </w:rPr>
        <w:t>haemoglobin</w:t>
      </w:r>
      <w:proofErr w:type="spellEnd"/>
      <w:r w:rsidRPr="0002631C">
        <w:rPr>
          <w:rFonts w:asciiTheme="majorHAnsi" w:eastAsia="Times New Roman" w:hAnsiTheme="majorHAnsi"/>
          <w:lang w:val="en" w:bidi="th-TH"/>
        </w:rPr>
        <w:t xml:space="preserve"> A1C (HbA1c) ≥8% or HbA1c ≥7% with associated diabetes symptoms.</w:t>
      </w:r>
    </w:p>
    <w:p w14:paraId="40ED1503" w14:textId="77777777" w:rsidR="0002631C" w:rsidRPr="0002631C" w:rsidRDefault="0002631C" w:rsidP="0002631C">
      <w:pPr>
        <w:spacing w:after="0"/>
        <w:rPr>
          <w:rFonts w:asciiTheme="majorHAnsi" w:eastAsia="Times New Roman" w:hAnsiTheme="majorHAnsi"/>
          <w:lang w:val="en" w:bidi="th-TH"/>
        </w:rPr>
      </w:pPr>
      <w:r w:rsidRPr="0002631C">
        <w:rPr>
          <w:rFonts w:asciiTheme="majorHAnsi" w:eastAsia="Times New Roman" w:hAnsiTheme="majorHAnsi"/>
          <w:lang w:val="en" w:bidi="th-TH"/>
        </w:rPr>
        <w:t xml:space="preserve"> </w:t>
      </w:r>
    </w:p>
    <w:p w14:paraId="624BE5D6" w14:textId="3877DA72" w:rsidR="0002631C" w:rsidRPr="0002631C" w:rsidRDefault="0002631C" w:rsidP="0002631C">
      <w:pPr>
        <w:spacing w:after="0"/>
        <w:rPr>
          <w:rFonts w:asciiTheme="majorHAnsi" w:eastAsia="Times New Roman" w:hAnsiTheme="majorHAnsi"/>
          <w:lang w:val="en" w:bidi="th-TH"/>
        </w:rPr>
      </w:pPr>
      <w:r w:rsidRPr="0002631C">
        <w:rPr>
          <w:rFonts w:asciiTheme="majorHAnsi" w:eastAsia="Times New Roman" w:hAnsiTheme="majorHAnsi"/>
          <w:lang w:eastAsia="ja-JP" w:bidi="th-TH"/>
        </w:rPr>
        <w:t>The median age was 68 years (range: 30 to 88 years), 77% were male, and most patients were White (52%) or Asian (3</w:t>
      </w:r>
      <w:r w:rsidR="0007417E">
        <w:rPr>
          <w:rFonts w:asciiTheme="majorHAnsi" w:eastAsia="Times New Roman" w:hAnsiTheme="majorHAnsi"/>
          <w:lang w:eastAsia="ja-JP" w:bidi="th-TH"/>
        </w:rPr>
        <w:t>3</w:t>
      </w:r>
      <w:r w:rsidRPr="0002631C">
        <w:rPr>
          <w:rFonts w:asciiTheme="majorHAnsi" w:eastAsia="Times New Roman" w:hAnsiTheme="majorHAnsi"/>
          <w:lang w:eastAsia="ja-JP" w:bidi="th-TH"/>
        </w:rPr>
        <w:t>%)</w:t>
      </w:r>
      <w:r w:rsidRPr="0002631C">
        <w:rPr>
          <w:rFonts w:asciiTheme="majorHAnsi" w:eastAsia="Times New Roman" w:hAnsiTheme="majorHAnsi"/>
          <w:lang w:val="en" w:bidi="th-TH"/>
        </w:rPr>
        <w:t xml:space="preserve">. All patients had a baseline Eastern Cooperative Oncology Group (ECOG) performance status of 0 (40%) or 1 (60%). Eighty percent of patients had visceral </w:t>
      </w:r>
      <w:r w:rsidRPr="0002631C">
        <w:rPr>
          <w:rFonts w:asciiTheme="majorHAnsi" w:eastAsia="Times New Roman" w:hAnsiTheme="majorHAnsi"/>
          <w:lang w:val="en" w:bidi="th-TH"/>
        </w:rPr>
        <w:lastRenderedPageBreak/>
        <w:t xml:space="preserve">metastases including 31% with liver metastases. Seventy-six percent of patients had urothelial carcinoma/transitional cell carcinoma (TCC) histology and 14% had urothelial carcinoma mixed. A total of 527 out of 608 subjects had evaluable Nectin-4 results; of these 527 subjects, 516 (98%) had detectable Nectin-4 (H-score </w:t>
      </w:r>
      <w:r w:rsidRPr="0002631C">
        <w:rPr>
          <w:rFonts w:eastAsia="Times New Roman"/>
          <w:lang w:eastAsia="ja-JP" w:bidi="th-TH"/>
        </w:rPr>
        <w:t>&gt;</w:t>
      </w:r>
      <w:r w:rsidRPr="0002631C">
        <w:rPr>
          <w:rFonts w:asciiTheme="majorHAnsi" w:eastAsia="Times New Roman" w:hAnsiTheme="majorHAnsi"/>
          <w:lang w:val="en" w:bidi="th-TH"/>
        </w:rPr>
        <w:t xml:space="preserve">0) as assessed by a validated immunohistochemistry (IHC) assay. </w:t>
      </w:r>
      <w:r w:rsidRPr="0002631C">
        <w:rPr>
          <w:rFonts w:asciiTheme="majorHAnsi" w:eastAsia="Times New Roman" w:hAnsiTheme="majorHAnsi"/>
          <w:lang w:eastAsia="ja-JP" w:bidi="th-TH"/>
        </w:rPr>
        <w:t xml:space="preserve">A total of 76 (13%) of patients received ≥3 lines of prior systemic therapy. </w:t>
      </w:r>
      <w:r w:rsidRPr="0002631C">
        <w:rPr>
          <w:rFonts w:asciiTheme="majorHAnsi" w:eastAsia="Times New Roman" w:hAnsiTheme="majorHAnsi"/>
          <w:lang w:val="en" w:bidi="th-TH"/>
        </w:rPr>
        <w:t xml:space="preserve">Fifty-two percent (314) of patients received prior PD-1 inhibitor, 47% (284) received prior PD-L1 inhibitor, and an additional 1% (9) patients received both PD-1 and PD-L1 inhibitors. </w:t>
      </w:r>
      <w:bookmarkStart w:id="0" w:name="_Hlk58257635"/>
      <w:r w:rsidR="00FC0650">
        <w:rPr>
          <w:rFonts w:asciiTheme="majorHAnsi" w:eastAsia="Times New Roman" w:hAnsiTheme="majorHAnsi"/>
          <w:lang w:val="en" w:bidi="th-TH"/>
        </w:rPr>
        <w:t>Sixty-nine percent</w:t>
      </w:r>
      <w:r w:rsidRPr="0002631C">
        <w:rPr>
          <w:rFonts w:asciiTheme="majorHAnsi" w:eastAsia="Times New Roman" w:hAnsiTheme="majorHAnsi"/>
          <w:lang w:val="en" w:bidi="th-TH"/>
        </w:rPr>
        <w:t xml:space="preserve"> of patients </w:t>
      </w:r>
      <w:r w:rsidR="00FC0650">
        <w:rPr>
          <w:rFonts w:asciiTheme="majorHAnsi" w:eastAsia="Times New Roman" w:hAnsiTheme="majorHAnsi"/>
          <w:lang w:val="en" w:bidi="th-TH"/>
        </w:rPr>
        <w:t>did not</w:t>
      </w:r>
      <w:r w:rsidRPr="0002631C">
        <w:rPr>
          <w:rFonts w:asciiTheme="majorHAnsi" w:eastAsia="Times New Roman" w:hAnsiTheme="majorHAnsi"/>
          <w:lang w:val="en" w:bidi="th-TH"/>
        </w:rPr>
        <w:t xml:space="preserve"> respon</w:t>
      </w:r>
      <w:r w:rsidR="00FC0650">
        <w:rPr>
          <w:rFonts w:asciiTheme="majorHAnsi" w:eastAsia="Times New Roman" w:hAnsiTheme="majorHAnsi"/>
          <w:lang w:val="en" w:bidi="th-TH"/>
        </w:rPr>
        <w:t>d</w:t>
      </w:r>
      <w:r w:rsidRPr="0002631C">
        <w:rPr>
          <w:rFonts w:asciiTheme="majorHAnsi" w:eastAsia="Times New Roman" w:hAnsiTheme="majorHAnsi"/>
          <w:lang w:val="en" w:bidi="th-TH"/>
        </w:rPr>
        <w:t xml:space="preserve"> to prior therapy with a PD-1 or PD-L1 inhibitor.</w:t>
      </w:r>
      <w:bookmarkEnd w:id="0"/>
      <w:r w:rsidRPr="0002631C">
        <w:rPr>
          <w:rFonts w:eastAsia="Times New Roman"/>
          <w:lang w:eastAsia="ja-JP" w:bidi="th-TH"/>
        </w:rPr>
        <w:t xml:space="preserve"> </w:t>
      </w:r>
      <w:r w:rsidRPr="0002631C">
        <w:rPr>
          <w:rFonts w:asciiTheme="majorHAnsi" w:eastAsia="Times New Roman" w:hAnsiTheme="majorHAnsi"/>
          <w:lang w:val="en" w:bidi="th-TH"/>
        </w:rPr>
        <w:t>Sixty-three percent (383) of patients received prior cisplatin-based regimens, 26% (159) received prior carboplatin-based regimens, and an additional 11% (65) received both cisplatin and carboplatin-based regimens.</w:t>
      </w:r>
    </w:p>
    <w:p w14:paraId="14BD231A" w14:textId="77777777" w:rsidR="0002631C" w:rsidRPr="0002631C" w:rsidRDefault="0002631C" w:rsidP="0002631C">
      <w:pPr>
        <w:spacing w:after="0"/>
        <w:rPr>
          <w:rFonts w:asciiTheme="majorHAnsi" w:eastAsia="Times New Roman" w:hAnsiTheme="majorHAnsi"/>
          <w:lang w:val="en" w:bidi="th-TH"/>
        </w:rPr>
      </w:pPr>
      <w:r w:rsidRPr="0002631C">
        <w:rPr>
          <w:rFonts w:asciiTheme="majorHAnsi" w:eastAsia="Times New Roman" w:hAnsiTheme="majorHAnsi"/>
          <w:lang w:val="en" w:bidi="th-TH"/>
        </w:rPr>
        <w:t xml:space="preserve">  </w:t>
      </w:r>
    </w:p>
    <w:p w14:paraId="36F8668D" w14:textId="66300232" w:rsidR="0002631C" w:rsidRPr="0002631C" w:rsidRDefault="0002631C" w:rsidP="0002631C">
      <w:pPr>
        <w:spacing w:after="0"/>
        <w:rPr>
          <w:rFonts w:asciiTheme="majorHAnsi" w:eastAsia="Times New Roman" w:hAnsiTheme="majorHAnsi"/>
          <w:lang w:val="en" w:bidi="th-TH"/>
        </w:rPr>
      </w:pPr>
      <w:r w:rsidRPr="0002631C">
        <w:rPr>
          <w:rFonts w:asciiTheme="majorHAnsi" w:eastAsia="Times New Roman" w:hAnsiTheme="majorHAnsi"/>
          <w:lang w:val="en" w:bidi="th-TH"/>
        </w:rPr>
        <w:t>The study demonstrated statistically significant improvements in Overall Survival (OS), Progression Free Survival (PFS)</w:t>
      </w:r>
      <w:r w:rsidRPr="0002631C">
        <w:rPr>
          <w:rFonts w:asciiTheme="majorHAnsi" w:eastAsia="Times New Roman" w:hAnsiTheme="majorHAnsi"/>
          <w:lang w:bidi="th-TH"/>
        </w:rPr>
        <w:t xml:space="preserve">, </w:t>
      </w:r>
      <w:r w:rsidR="00697E55" w:rsidRPr="0002631C">
        <w:rPr>
          <w:rFonts w:asciiTheme="majorHAnsi" w:eastAsia="Times New Roman" w:hAnsiTheme="majorHAnsi"/>
          <w:lang w:bidi="th-TH"/>
        </w:rPr>
        <w:t xml:space="preserve">and </w:t>
      </w:r>
      <w:r w:rsidRPr="0002631C">
        <w:rPr>
          <w:rFonts w:asciiTheme="majorHAnsi" w:eastAsia="Times New Roman" w:hAnsiTheme="majorHAnsi"/>
          <w:lang w:bidi="th-TH"/>
        </w:rPr>
        <w:t xml:space="preserve">Objective Response Rate (ORR) for patients randomized to PADCEV as compared to chemotherapy (PFS </w:t>
      </w:r>
      <w:r w:rsidR="00697E55" w:rsidRPr="0002631C">
        <w:rPr>
          <w:rFonts w:asciiTheme="majorHAnsi" w:eastAsia="Times New Roman" w:hAnsiTheme="majorHAnsi"/>
          <w:lang w:bidi="th-TH"/>
        </w:rPr>
        <w:t xml:space="preserve">and </w:t>
      </w:r>
      <w:r w:rsidRPr="0002631C">
        <w:rPr>
          <w:rFonts w:asciiTheme="majorHAnsi" w:eastAsia="Times New Roman" w:hAnsiTheme="majorHAnsi"/>
          <w:lang w:bidi="th-TH"/>
        </w:rPr>
        <w:t xml:space="preserve">ORR were evaluated by investigator assessment using RECIST v1.1). </w:t>
      </w:r>
      <w:r w:rsidRPr="0002631C">
        <w:rPr>
          <w:rFonts w:asciiTheme="majorHAnsi" w:eastAsia="Times New Roman" w:hAnsiTheme="majorHAnsi"/>
          <w:lang w:val="en" w:bidi="th-TH"/>
        </w:rPr>
        <w:t xml:space="preserve">The median follow-up time for this study was 11.1 months (95% CI: 10.6 to 11.6). </w:t>
      </w:r>
      <w:r w:rsidRPr="0002631C">
        <w:rPr>
          <w:rFonts w:asciiTheme="majorHAnsi" w:eastAsia="Times New Roman" w:hAnsiTheme="majorHAnsi"/>
          <w:lang w:bidi="th-TH"/>
        </w:rPr>
        <w:t>Patients randomized to the PADCEV arm had a statistically significant improvement in OS compared to the chemotherapy arm with a median OS of 12.9 months versus 9 months, respectively</w:t>
      </w:r>
      <w:r w:rsidRPr="0002631C">
        <w:rPr>
          <w:rFonts w:asciiTheme="majorHAnsi" w:eastAsia="Times New Roman" w:hAnsiTheme="majorHAnsi"/>
          <w:lang w:val="en" w:bidi="th-TH"/>
        </w:rPr>
        <w:t xml:space="preserve"> (HR= 0.702; 95% CI: 0.556, 0.886; 1-sided p-value: 0.00142). Patients randomized to receive </w:t>
      </w:r>
      <w:r w:rsidRPr="0002631C">
        <w:rPr>
          <w:rFonts w:asciiTheme="majorHAnsi" w:eastAsia="MS PGothic" w:hAnsiTheme="majorHAnsi" w:cs="Calibri"/>
          <w:lang w:val="en-US" w:eastAsia="ja-JP"/>
        </w:rPr>
        <w:t>PADCEV</w:t>
      </w:r>
      <w:r w:rsidRPr="0002631C">
        <w:rPr>
          <w:rFonts w:asciiTheme="majorHAnsi" w:eastAsia="Times New Roman" w:hAnsiTheme="majorHAnsi"/>
          <w:lang w:val="en" w:bidi="th-TH"/>
        </w:rPr>
        <w:t xml:space="preserve"> experienced longer PFS compared to those randomized to receive chemotherapy with a median PFS of 5.6 months versus 3.7 months, respectively (HR= 0.615; 95% CI: 0.505, 0.748; 1-sided p-value: </w:t>
      </w:r>
      <w:r w:rsidRPr="0002631C">
        <w:rPr>
          <w:rFonts w:asciiTheme="majorHAnsi" w:eastAsia="Times New Roman" w:hAnsiTheme="majorHAnsi"/>
          <w:lang w:bidi="th-TH"/>
        </w:rPr>
        <w:t>˂0.00001</w:t>
      </w:r>
      <w:r w:rsidRPr="0002631C">
        <w:rPr>
          <w:rFonts w:asciiTheme="majorHAnsi" w:eastAsia="Times New Roman" w:hAnsiTheme="majorHAnsi"/>
          <w:lang w:val="en" w:bidi="th-TH"/>
        </w:rPr>
        <w:t>). Among the 288</w:t>
      </w:r>
      <w:r w:rsidR="00D1609D">
        <w:rPr>
          <w:rFonts w:asciiTheme="majorHAnsi" w:eastAsia="Times New Roman" w:hAnsiTheme="majorHAnsi"/>
          <w:lang w:val="en" w:bidi="th-TH"/>
        </w:rPr>
        <w:t> </w:t>
      </w:r>
      <w:r w:rsidRPr="0002631C">
        <w:rPr>
          <w:rFonts w:asciiTheme="majorHAnsi" w:eastAsia="Times New Roman" w:hAnsiTheme="majorHAnsi"/>
          <w:lang w:val="en" w:bidi="th-TH"/>
        </w:rPr>
        <w:t>patients randomized to receive PADCEV with measurable disease at baseline, the ORR was 40.6% (117/288) (95% CI: 34.90, 46.54) compared with chemotherapy with an ORR of 17.9% (53/296) (95% CI: 13.71, 22.76). The median time to response in the PADCEV arm was 1.87</w:t>
      </w:r>
      <w:r w:rsidR="00D1609D">
        <w:rPr>
          <w:rFonts w:asciiTheme="majorHAnsi" w:eastAsia="Times New Roman" w:hAnsiTheme="majorHAnsi"/>
          <w:lang w:val="en" w:bidi="th-TH"/>
        </w:rPr>
        <w:t> </w:t>
      </w:r>
      <w:r w:rsidRPr="0002631C">
        <w:rPr>
          <w:rFonts w:asciiTheme="majorHAnsi" w:eastAsia="Times New Roman" w:hAnsiTheme="majorHAnsi"/>
          <w:lang w:val="en" w:bidi="th-TH"/>
        </w:rPr>
        <w:t xml:space="preserve">months (95% CI: 1.1 to 5.7). Efficacy results were consistent across patient subgroups </w:t>
      </w:r>
      <w:r w:rsidRPr="0002631C">
        <w:rPr>
          <w:rFonts w:asciiTheme="majorHAnsi" w:eastAsia="Times New Roman" w:hAnsiTheme="majorHAnsi"/>
          <w:lang w:bidi="th-TH"/>
        </w:rPr>
        <w:t>including age, geographic region, baseline ECOG PS, liver metastasis, preselected control therapy, primary site of tumour, prior lines of therapy in LA or metastatic setting and best response to prior PD1 or PD-L1.</w:t>
      </w:r>
    </w:p>
    <w:p w14:paraId="7282FB59" w14:textId="77777777" w:rsidR="0002631C" w:rsidRPr="0002631C" w:rsidRDefault="0002631C" w:rsidP="00B51A7E">
      <w:pPr>
        <w:spacing w:before="100" w:beforeAutospacing="1" w:after="100" w:afterAutospacing="1" w:line="240" w:lineRule="auto"/>
        <w:rPr>
          <w:rFonts w:asciiTheme="majorHAnsi" w:eastAsia="Times New Roman" w:hAnsiTheme="majorHAnsi"/>
          <w:lang w:val="en" w:bidi="th-TH"/>
        </w:rPr>
      </w:pPr>
      <w:r w:rsidRPr="0002631C">
        <w:rPr>
          <w:rFonts w:asciiTheme="majorHAnsi" w:eastAsia="Times New Roman" w:hAnsiTheme="majorHAnsi"/>
          <w:lang w:val="en" w:bidi="th-TH"/>
        </w:rPr>
        <w:t xml:space="preserve">Table 4 and </w:t>
      </w:r>
      <w:proofErr w:type="gramStart"/>
      <w:r w:rsidRPr="0002631C">
        <w:rPr>
          <w:rFonts w:asciiTheme="majorHAnsi" w:eastAsia="Times New Roman" w:hAnsiTheme="majorHAnsi"/>
          <w:lang w:val="en" w:bidi="th-TH"/>
        </w:rPr>
        <w:t>Figure</w:t>
      </w:r>
      <w:proofErr w:type="gramEnd"/>
      <w:r w:rsidRPr="0002631C">
        <w:rPr>
          <w:rFonts w:asciiTheme="majorHAnsi" w:eastAsia="Times New Roman" w:hAnsiTheme="majorHAnsi"/>
          <w:lang w:val="en" w:bidi="th-TH"/>
        </w:rPr>
        <w:t xml:space="preserve"> 1 and 2 summarize the efficacy results for EV-301.</w:t>
      </w:r>
    </w:p>
    <w:p w14:paraId="54BEE680" w14:textId="5F5FD3ED" w:rsidR="0002631C" w:rsidRPr="0002631C" w:rsidRDefault="0002631C" w:rsidP="00863A70">
      <w:pPr>
        <w:pStyle w:val="Caption"/>
        <w:keepNext/>
        <w:keepLines/>
        <w:rPr>
          <w:rFonts w:asciiTheme="majorHAnsi" w:eastAsia="MS Mincho" w:hAnsiTheme="majorHAnsi" w:cs="Calibri"/>
          <w:bCs w:val="0"/>
          <w:lang w:val="en-US" w:eastAsia="ja-JP"/>
        </w:rPr>
      </w:pPr>
      <w:r w:rsidRPr="0002631C">
        <w:rPr>
          <w:rFonts w:asciiTheme="majorHAnsi" w:eastAsia="MS Mincho" w:hAnsiTheme="majorHAnsi" w:cs="Calibri"/>
          <w:bCs w:val="0"/>
          <w:lang w:val="en-US" w:eastAsia="ja-JP"/>
        </w:rPr>
        <w:lastRenderedPageBreak/>
        <w:t xml:space="preserve">Table </w:t>
      </w:r>
      <w:r w:rsidRPr="0002631C">
        <w:rPr>
          <w:rFonts w:asciiTheme="majorHAnsi" w:eastAsia="MS Mincho" w:hAnsiTheme="majorHAnsi" w:cs="Calibri"/>
          <w:bCs w:val="0"/>
          <w:lang w:val="en-US" w:eastAsia="ja-JP"/>
        </w:rPr>
        <w:fldChar w:fldCharType="begin"/>
      </w:r>
      <w:r w:rsidRPr="0002631C">
        <w:rPr>
          <w:rFonts w:asciiTheme="majorHAnsi" w:eastAsia="MS Mincho" w:hAnsiTheme="majorHAnsi" w:cs="Calibri"/>
          <w:bCs w:val="0"/>
          <w:lang w:val="en-US" w:eastAsia="ja-JP"/>
        </w:rPr>
        <w:instrText xml:space="preserve"> SEQ Table \* ARABIC </w:instrText>
      </w:r>
      <w:r w:rsidRPr="0002631C">
        <w:rPr>
          <w:rFonts w:asciiTheme="majorHAnsi" w:eastAsia="MS Mincho" w:hAnsiTheme="majorHAnsi" w:cs="Calibri"/>
          <w:bCs w:val="0"/>
          <w:lang w:val="en-US" w:eastAsia="ja-JP"/>
        </w:rPr>
        <w:fldChar w:fldCharType="separate"/>
      </w:r>
      <w:r w:rsidR="000F0B8F">
        <w:rPr>
          <w:rFonts w:asciiTheme="majorHAnsi" w:eastAsia="MS Mincho" w:hAnsiTheme="majorHAnsi" w:cs="Calibri"/>
          <w:bCs w:val="0"/>
          <w:noProof/>
          <w:lang w:val="en-US" w:eastAsia="ja-JP"/>
        </w:rPr>
        <w:t>4</w:t>
      </w:r>
      <w:r w:rsidRPr="0002631C">
        <w:rPr>
          <w:rFonts w:asciiTheme="majorHAnsi" w:eastAsia="MS Mincho" w:hAnsiTheme="majorHAnsi" w:cs="Calibri"/>
          <w:bCs w:val="0"/>
          <w:lang w:val="en-US" w:eastAsia="ja-JP"/>
        </w:rPr>
        <w:fldChar w:fldCharType="end"/>
      </w:r>
      <w:r w:rsidRPr="0002631C">
        <w:rPr>
          <w:rFonts w:asciiTheme="majorHAnsi" w:eastAsia="MS Mincho" w:hAnsiTheme="majorHAnsi" w:cs="Calibri"/>
          <w:bCs w:val="0"/>
          <w:lang w:val="en-US" w:eastAsia="ja-JP"/>
        </w:rPr>
        <w:t>. Efficacy Results in EV-301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2177"/>
        <w:gridCol w:w="16"/>
        <w:gridCol w:w="2364"/>
      </w:tblGrid>
      <w:tr w:rsidR="0002631C" w:rsidRPr="0002631C" w14:paraId="3F45CAF7" w14:textId="77777777" w:rsidTr="00B462DF">
        <w:trPr>
          <w:trHeight w:val="665"/>
        </w:trPr>
        <w:tc>
          <w:tcPr>
            <w:tcW w:w="4462" w:type="dxa"/>
            <w:vAlign w:val="bottom"/>
          </w:tcPr>
          <w:p w14:paraId="0954D8B0" w14:textId="77777777" w:rsidR="0002631C" w:rsidRPr="0002631C" w:rsidRDefault="0002631C" w:rsidP="00863A70">
            <w:pPr>
              <w:keepNext/>
              <w:keepLines/>
              <w:spacing w:after="0" w:line="240" w:lineRule="auto"/>
              <w:jc w:val="center"/>
              <w:rPr>
                <w:rFonts w:asciiTheme="majorHAnsi" w:eastAsia="MS Mincho" w:hAnsiTheme="majorHAnsi" w:cs="Calibri"/>
                <w:b/>
                <w:lang w:val="en-US" w:eastAsia="ja-JP"/>
              </w:rPr>
            </w:pPr>
            <w:r w:rsidRPr="0002631C">
              <w:rPr>
                <w:rFonts w:asciiTheme="majorHAnsi" w:eastAsia="MS Mincho" w:hAnsiTheme="majorHAnsi" w:cs="Calibri"/>
                <w:b/>
                <w:lang w:val="en-US" w:eastAsia="ja-JP"/>
              </w:rPr>
              <w:t>Endpoint</w:t>
            </w:r>
          </w:p>
        </w:tc>
        <w:tc>
          <w:tcPr>
            <w:tcW w:w="2193" w:type="dxa"/>
            <w:gridSpan w:val="2"/>
            <w:vAlign w:val="bottom"/>
          </w:tcPr>
          <w:p w14:paraId="17099827" w14:textId="5AD13811" w:rsidR="0002631C" w:rsidRPr="0002631C" w:rsidRDefault="00475C74" w:rsidP="00863A70">
            <w:pPr>
              <w:keepNext/>
              <w:keepLines/>
              <w:spacing w:after="0" w:line="240" w:lineRule="auto"/>
              <w:jc w:val="center"/>
              <w:rPr>
                <w:rFonts w:asciiTheme="majorHAnsi" w:eastAsia="MS Mincho" w:hAnsiTheme="majorHAnsi" w:cs="Calibri"/>
                <w:b/>
                <w:color w:val="000000"/>
                <w:lang w:val="en-US"/>
              </w:rPr>
            </w:pPr>
            <w:r>
              <w:rPr>
                <w:rFonts w:asciiTheme="majorHAnsi" w:eastAsia="MS Mincho" w:hAnsiTheme="majorHAnsi" w:cs="Calibri"/>
                <w:b/>
                <w:color w:val="000000"/>
                <w:lang w:val="en-US"/>
              </w:rPr>
              <w:t>PADCEV</w:t>
            </w:r>
          </w:p>
          <w:p w14:paraId="661EDD31" w14:textId="2DFE3CF3" w:rsidR="0002631C" w:rsidRPr="0002631C" w:rsidRDefault="00C11019" w:rsidP="00863A70">
            <w:pPr>
              <w:keepNext/>
              <w:keepLines/>
              <w:spacing w:after="0" w:line="240" w:lineRule="auto"/>
              <w:jc w:val="center"/>
              <w:rPr>
                <w:rFonts w:asciiTheme="majorHAnsi" w:eastAsia="MS Mincho" w:hAnsiTheme="majorHAnsi" w:cs="Calibri"/>
                <w:b/>
                <w:color w:val="000000"/>
                <w:lang w:val="en-US"/>
              </w:rPr>
            </w:pPr>
            <w:r>
              <w:rPr>
                <w:rFonts w:asciiTheme="majorHAnsi" w:eastAsia="MS Mincho" w:hAnsiTheme="majorHAnsi" w:cs="Calibri" w:hint="eastAsia"/>
                <w:b/>
                <w:color w:val="000000"/>
                <w:lang w:val="en-US" w:eastAsia="ja-JP"/>
              </w:rPr>
              <w:t>N</w:t>
            </w:r>
            <w:r w:rsidR="0002631C" w:rsidRPr="0002631C">
              <w:rPr>
                <w:rFonts w:asciiTheme="majorHAnsi" w:eastAsia="MS Mincho" w:hAnsiTheme="majorHAnsi" w:cs="Calibri"/>
                <w:b/>
                <w:color w:val="000000"/>
                <w:lang w:val="en-US"/>
              </w:rPr>
              <w:t>=301</w:t>
            </w:r>
          </w:p>
        </w:tc>
        <w:tc>
          <w:tcPr>
            <w:tcW w:w="2364" w:type="dxa"/>
            <w:vAlign w:val="bottom"/>
          </w:tcPr>
          <w:p w14:paraId="49189683" w14:textId="77777777" w:rsidR="0002631C" w:rsidRPr="0002631C" w:rsidRDefault="0002631C" w:rsidP="00863A70">
            <w:pPr>
              <w:keepNext/>
              <w:keepLines/>
              <w:spacing w:after="0" w:line="240" w:lineRule="auto"/>
              <w:jc w:val="center"/>
              <w:rPr>
                <w:rFonts w:asciiTheme="majorHAnsi" w:eastAsia="MS Mincho" w:hAnsiTheme="majorHAnsi" w:cs="Calibri"/>
                <w:b/>
                <w:color w:val="000000"/>
                <w:lang w:val="en-US"/>
              </w:rPr>
            </w:pPr>
            <w:r w:rsidRPr="0002631C">
              <w:rPr>
                <w:rFonts w:asciiTheme="majorHAnsi" w:eastAsia="MS Mincho" w:hAnsiTheme="majorHAnsi" w:cs="Calibri"/>
                <w:b/>
                <w:color w:val="000000"/>
                <w:lang w:val="en-US"/>
              </w:rPr>
              <w:t>Chemotherapy</w:t>
            </w:r>
          </w:p>
          <w:p w14:paraId="4F530724" w14:textId="0D74FAEA" w:rsidR="0002631C" w:rsidRPr="0002631C" w:rsidRDefault="00C11019" w:rsidP="00863A70">
            <w:pPr>
              <w:keepNext/>
              <w:keepLines/>
              <w:spacing w:after="0" w:line="240" w:lineRule="auto"/>
              <w:jc w:val="center"/>
              <w:rPr>
                <w:rFonts w:asciiTheme="majorHAnsi" w:eastAsia="MS Mincho" w:hAnsiTheme="majorHAnsi" w:cs="Calibri"/>
                <w:b/>
                <w:color w:val="000000"/>
                <w:lang w:val="en-US"/>
              </w:rPr>
            </w:pPr>
            <w:r>
              <w:rPr>
                <w:rFonts w:asciiTheme="majorHAnsi" w:eastAsia="MS Mincho" w:hAnsiTheme="majorHAnsi" w:cs="Calibri"/>
                <w:b/>
                <w:color w:val="000000"/>
                <w:lang w:val="en-US"/>
              </w:rPr>
              <w:t>N</w:t>
            </w:r>
            <w:r w:rsidR="0002631C" w:rsidRPr="0002631C">
              <w:rPr>
                <w:rFonts w:asciiTheme="majorHAnsi" w:eastAsia="MS Mincho" w:hAnsiTheme="majorHAnsi" w:cs="Calibri"/>
                <w:b/>
                <w:color w:val="000000"/>
                <w:lang w:val="en-US"/>
              </w:rPr>
              <w:t>=307</w:t>
            </w:r>
          </w:p>
        </w:tc>
      </w:tr>
      <w:tr w:rsidR="0002631C" w:rsidRPr="0002631C" w14:paraId="4EE15FDB" w14:textId="77777777" w:rsidTr="00B462DF">
        <w:trPr>
          <w:trHeight w:val="359"/>
        </w:trPr>
        <w:tc>
          <w:tcPr>
            <w:tcW w:w="9019" w:type="dxa"/>
            <w:gridSpan w:val="4"/>
            <w:vAlign w:val="bottom"/>
          </w:tcPr>
          <w:p w14:paraId="73884C3B" w14:textId="77777777" w:rsidR="0002631C" w:rsidRPr="0002631C" w:rsidRDefault="0002631C" w:rsidP="00863A70">
            <w:pPr>
              <w:keepNext/>
              <w:keepLines/>
              <w:spacing w:after="0" w:line="240" w:lineRule="auto"/>
              <w:rPr>
                <w:rFonts w:asciiTheme="majorHAnsi" w:eastAsia="MS Mincho" w:hAnsiTheme="majorHAnsi" w:cs="Calibri"/>
                <w:b/>
                <w:lang w:val="en-US" w:eastAsia="ja-JP"/>
              </w:rPr>
            </w:pPr>
            <w:r w:rsidRPr="0002631C">
              <w:rPr>
                <w:rFonts w:asciiTheme="majorHAnsi" w:eastAsia="MS Mincho" w:hAnsiTheme="majorHAnsi" w:cs="Calibri"/>
                <w:b/>
                <w:lang w:val="en-US" w:eastAsia="ja-JP"/>
              </w:rPr>
              <w:t>Overall Survival</w:t>
            </w:r>
          </w:p>
        </w:tc>
      </w:tr>
      <w:tr w:rsidR="0002631C" w:rsidRPr="0002631C" w14:paraId="773882A2" w14:textId="77777777" w:rsidTr="00B462DF">
        <w:trPr>
          <w:trHeight w:val="368"/>
        </w:trPr>
        <w:tc>
          <w:tcPr>
            <w:tcW w:w="4462" w:type="dxa"/>
            <w:vAlign w:val="bottom"/>
          </w:tcPr>
          <w:p w14:paraId="3727281B" w14:textId="77777777" w:rsidR="0002631C" w:rsidRPr="0002631C" w:rsidRDefault="0002631C" w:rsidP="00863A70">
            <w:pPr>
              <w:keepNext/>
              <w:keepLines/>
              <w:spacing w:after="0" w:line="240" w:lineRule="auto"/>
              <w:rPr>
                <w:rFonts w:asciiTheme="majorHAnsi" w:eastAsia="MS Mincho" w:hAnsiTheme="majorHAnsi" w:cs="Calibri"/>
                <w:lang w:val="en-US" w:eastAsia="ja-JP"/>
              </w:rPr>
            </w:pPr>
            <w:r w:rsidRPr="0002631C">
              <w:rPr>
                <w:rFonts w:asciiTheme="majorHAnsi" w:eastAsia="MS Mincho" w:hAnsiTheme="majorHAnsi" w:cs="Calibri"/>
                <w:lang w:val="en-US" w:eastAsia="ja-JP"/>
              </w:rPr>
              <w:t>Number (%) of patients with events</w:t>
            </w:r>
          </w:p>
        </w:tc>
        <w:tc>
          <w:tcPr>
            <w:tcW w:w="2193" w:type="dxa"/>
            <w:gridSpan w:val="2"/>
            <w:vAlign w:val="center"/>
          </w:tcPr>
          <w:p w14:paraId="743A5B96"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134 (44.5)</w:t>
            </w:r>
          </w:p>
        </w:tc>
        <w:tc>
          <w:tcPr>
            <w:tcW w:w="2364" w:type="dxa"/>
            <w:vAlign w:val="center"/>
          </w:tcPr>
          <w:p w14:paraId="7DD88A24"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167 (54.4)</w:t>
            </w:r>
          </w:p>
        </w:tc>
      </w:tr>
      <w:tr w:rsidR="0002631C" w:rsidRPr="0002631C" w14:paraId="578749B2" w14:textId="77777777" w:rsidTr="00B462DF">
        <w:trPr>
          <w:trHeight w:val="377"/>
        </w:trPr>
        <w:tc>
          <w:tcPr>
            <w:tcW w:w="4462" w:type="dxa"/>
            <w:vAlign w:val="bottom"/>
          </w:tcPr>
          <w:p w14:paraId="4DF86EEC" w14:textId="77777777" w:rsidR="0002631C" w:rsidRPr="0002631C" w:rsidRDefault="0002631C" w:rsidP="00863A70">
            <w:pPr>
              <w:keepNext/>
              <w:keepLines/>
              <w:spacing w:after="0" w:line="240" w:lineRule="auto"/>
              <w:rPr>
                <w:rFonts w:asciiTheme="majorHAnsi" w:eastAsia="MS Mincho" w:hAnsiTheme="majorHAnsi" w:cs="Calibri"/>
                <w:lang w:val="en-US" w:eastAsia="ja-JP"/>
              </w:rPr>
            </w:pPr>
            <w:r w:rsidRPr="0002631C">
              <w:rPr>
                <w:rFonts w:asciiTheme="majorHAnsi" w:eastAsia="MS Mincho" w:hAnsiTheme="majorHAnsi" w:cs="Calibri"/>
                <w:lang w:val="en-US" w:eastAsia="ja-JP"/>
              </w:rPr>
              <w:t>Median in months (95% CI)</w:t>
            </w:r>
          </w:p>
        </w:tc>
        <w:tc>
          <w:tcPr>
            <w:tcW w:w="2193" w:type="dxa"/>
            <w:gridSpan w:val="2"/>
            <w:vAlign w:val="center"/>
          </w:tcPr>
          <w:p w14:paraId="4EC42721"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12.9 (10.6, 15.2)</w:t>
            </w:r>
          </w:p>
        </w:tc>
        <w:tc>
          <w:tcPr>
            <w:tcW w:w="2364" w:type="dxa"/>
            <w:vAlign w:val="center"/>
          </w:tcPr>
          <w:p w14:paraId="561DFD32"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9.0 (8.1, 10.7)</w:t>
            </w:r>
          </w:p>
        </w:tc>
      </w:tr>
      <w:tr w:rsidR="0002631C" w:rsidRPr="0002631C" w14:paraId="5501A037" w14:textId="77777777" w:rsidTr="00B462DF">
        <w:trPr>
          <w:trHeight w:val="395"/>
        </w:trPr>
        <w:tc>
          <w:tcPr>
            <w:tcW w:w="4462" w:type="dxa"/>
            <w:vAlign w:val="bottom"/>
          </w:tcPr>
          <w:p w14:paraId="7C230608" w14:textId="77777777" w:rsidR="0002631C" w:rsidRPr="0002631C" w:rsidRDefault="0002631C" w:rsidP="00863A70">
            <w:pPr>
              <w:keepNext/>
              <w:keepLines/>
              <w:spacing w:after="0" w:line="240" w:lineRule="auto"/>
              <w:rPr>
                <w:rFonts w:asciiTheme="majorHAnsi" w:eastAsia="MS Mincho" w:hAnsiTheme="majorHAnsi" w:cs="Calibri"/>
                <w:lang w:val="en-US" w:eastAsia="ja-JP"/>
              </w:rPr>
            </w:pPr>
            <w:r w:rsidRPr="0002631C">
              <w:rPr>
                <w:rFonts w:asciiTheme="majorHAnsi" w:eastAsia="MS Mincho" w:hAnsiTheme="majorHAnsi" w:cs="Calibri"/>
                <w:lang w:val="en-US" w:eastAsia="ja-JP"/>
              </w:rPr>
              <w:t>Hazard ratio (95% CI)</w:t>
            </w:r>
          </w:p>
        </w:tc>
        <w:tc>
          <w:tcPr>
            <w:tcW w:w="4557" w:type="dxa"/>
            <w:gridSpan w:val="3"/>
            <w:vAlign w:val="center"/>
          </w:tcPr>
          <w:p w14:paraId="66AB4EF9"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0.702 (0.556, 0.886)</w:t>
            </w:r>
          </w:p>
        </w:tc>
      </w:tr>
      <w:tr w:rsidR="0002631C" w:rsidRPr="0002631C" w14:paraId="77119376" w14:textId="77777777" w:rsidTr="00B462DF">
        <w:trPr>
          <w:trHeight w:val="314"/>
        </w:trPr>
        <w:tc>
          <w:tcPr>
            <w:tcW w:w="4462" w:type="dxa"/>
            <w:vAlign w:val="bottom"/>
          </w:tcPr>
          <w:p w14:paraId="3A6C3E30" w14:textId="77777777" w:rsidR="0002631C" w:rsidRPr="0002631C" w:rsidRDefault="0002631C" w:rsidP="00863A70">
            <w:pPr>
              <w:keepNext/>
              <w:keepLines/>
              <w:spacing w:after="0" w:line="240" w:lineRule="auto"/>
              <w:rPr>
                <w:rFonts w:asciiTheme="majorHAnsi" w:eastAsia="MS Mincho" w:hAnsiTheme="majorHAnsi" w:cs="Calibri"/>
                <w:lang w:val="pt-BR" w:eastAsia="ja-JP"/>
              </w:rPr>
            </w:pPr>
            <w:r w:rsidRPr="0002631C">
              <w:rPr>
                <w:rFonts w:asciiTheme="majorHAnsi" w:eastAsia="MS Mincho" w:hAnsiTheme="majorHAnsi" w:cs="Calibri"/>
                <w:lang w:val="pt-BR" w:eastAsia="ja-JP"/>
              </w:rPr>
              <w:t>1-sided p-value</w:t>
            </w:r>
          </w:p>
        </w:tc>
        <w:tc>
          <w:tcPr>
            <w:tcW w:w="4557" w:type="dxa"/>
            <w:gridSpan w:val="3"/>
            <w:vAlign w:val="center"/>
          </w:tcPr>
          <w:p w14:paraId="659A99F7"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0.00142*</w:t>
            </w:r>
          </w:p>
        </w:tc>
      </w:tr>
      <w:tr w:rsidR="0002631C" w:rsidRPr="0002631C" w14:paraId="720632A4" w14:textId="77777777" w:rsidTr="00B462DF">
        <w:trPr>
          <w:trHeight w:val="314"/>
        </w:trPr>
        <w:tc>
          <w:tcPr>
            <w:tcW w:w="4462" w:type="dxa"/>
            <w:vAlign w:val="center"/>
          </w:tcPr>
          <w:p w14:paraId="785303EF" w14:textId="77777777" w:rsidR="0002631C" w:rsidRPr="0002631C" w:rsidRDefault="0002631C" w:rsidP="00863A70">
            <w:pPr>
              <w:keepNext/>
              <w:keepLines/>
              <w:spacing w:after="0" w:line="240" w:lineRule="auto"/>
              <w:rPr>
                <w:rFonts w:asciiTheme="majorHAnsi" w:eastAsia="MS Mincho" w:hAnsiTheme="majorHAnsi" w:cs="Calibri"/>
                <w:lang w:val="pt-BR" w:eastAsia="ja-JP"/>
              </w:rPr>
            </w:pPr>
            <w:r w:rsidRPr="0002631C">
              <w:rPr>
                <w:rFonts w:asciiTheme="majorHAnsi" w:eastAsia="MS Mincho" w:hAnsiTheme="majorHAnsi" w:cs="Times New Roman"/>
                <w:lang w:val="en-US" w:eastAsia="ja-JP"/>
              </w:rPr>
              <w:t>6-month OS (%) (95% CI)</w:t>
            </w:r>
          </w:p>
        </w:tc>
        <w:tc>
          <w:tcPr>
            <w:tcW w:w="2177" w:type="dxa"/>
            <w:vAlign w:val="center"/>
          </w:tcPr>
          <w:p w14:paraId="23CAE196" w14:textId="77777777" w:rsidR="0002631C" w:rsidRPr="0002631C" w:rsidRDefault="0002631C" w:rsidP="00863A70">
            <w:pPr>
              <w:keepNext/>
              <w:keepLines/>
              <w:spacing w:after="0" w:line="240" w:lineRule="auto"/>
              <w:ind w:leftChars="164" w:left="361"/>
              <w:jc w:val="center"/>
              <w:rPr>
                <w:rFonts w:asciiTheme="majorHAnsi" w:eastAsia="MS Mincho" w:hAnsiTheme="majorHAnsi" w:cs="Calibri"/>
                <w:lang w:val="en-US" w:eastAsia="ja-JP"/>
              </w:rPr>
            </w:pPr>
            <w:r w:rsidRPr="0002631C">
              <w:rPr>
                <w:rFonts w:asciiTheme="majorHAnsi" w:eastAsia="MS Mincho" w:hAnsiTheme="majorHAnsi" w:cs="Times New Roman"/>
                <w:lang w:val="en-US" w:eastAsia="ja-JP"/>
              </w:rPr>
              <w:t>77.9 (72.7, 82.3)</w:t>
            </w:r>
          </w:p>
        </w:tc>
        <w:tc>
          <w:tcPr>
            <w:tcW w:w="2380" w:type="dxa"/>
            <w:gridSpan w:val="2"/>
            <w:vAlign w:val="center"/>
          </w:tcPr>
          <w:p w14:paraId="393CF16A" w14:textId="77777777" w:rsidR="0002631C" w:rsidRPr="0002631C" w:rsidRDefault="0002631C" w:rsidP="00863A70">
            <w:pPr>
              <w:keepNext/>
              <w:keepLines/>
              <w:spacing w:after="0" w:line="240" w:lineRule="auto"/>
              <w:ind w:leftChars="164" w:left="361"/>
              <w:jc w:val="center"/>
              <w:rPr>
                <w:rFonts w:asciiTheme="majorHAnsi" w:eastAsia="MS Mincho" w:hAnsiTheme="majorHAnsi" w:cs="Calibri"/>
                <w:lang w:val="en-US" w:eastAsia="ja-JP"/>
              </w:rPr>
            </w:pPr>
            <w:r w:rsidRPr="0002631C">
              <w:rPr>
                <w:rFonts w:asciiTheme="majorHAnsi" w:eastAsia="MS Mincho" w:hAnsiTheme="majorHAnsi" w:cs="Times New Roman"/>
                <w:lang w:val="en-US" w:eastAsia="ja-JP"/>
              </w:rPr>
              <w:t>69.5 (63.9, 74.4)</w:t>
            </w:r>
          </w:p>
        </w:tc>
      </w:tr>
      <w:tr w:rsidR="0002631C" w:rsidRPr="0002631C" w14:paraId="04836064" w14:textId="77777777" w:rsidTr="00B462DF">
        <w:trPr>
          <w:trHeight w:val="314"/>
        </w:trPr>
        <w:tc>
          <w:tcPr>
            <w:tcW w:w="4462" w:type="dxa"/>
            <w:vAlign w:val="center"/>
          </w:tcPr>
          <w:p w14:paraId="72D1B430" w14:textId="77777777" w:rsidR="0002631C" w:rsidRPr="0002631C" w:rsidRDefault="0002631C" w:rsidP="00863A70">
            <w:pPr>
              <w:keepNext/>
              <w:keepLines/>
              <w:spacing w:after="0" w:line="240" w:lineRule="auto"/>
              <w:rPr>
                <w:rFonts w:asciiTheme="majorHAnsi" w:eastAsia="MS Mincho" w:hAnsiTheme="majorHAnsi" w:cs="Calibri"/>
                <w:lang w:val="pt-BR" w:eastAsia="ja-JP"/>
              </w:rPr>
            </w:pPr>
            <w:r w:rsidRPr="0002631C">
              <w:rPr>
                <w:rFonts w:asciiTheme="majorHAnsi" w:eastAsia="MS Mincho" w:hAnsiTheme="majorHAnsi" w:cs="Times New Roman"/>
                <w:lang w:val="en-US" w:eastAsia="ja-JP"/>
              </w:rPr>
              <w:t>12-month OS (%) (95% CI)</w:t>
            </w:r>
          </w:p>
        </w:tc>
        <w:tc>
          <w:tcPr>
            <w:tcW w:w="2177" w:type="dxa"/>
            <w:vAlign w:val="center"/>
          </w:tcPr>
          <w:p w14:paraId="71FA83F4" w14:textId="77777777" w:rsidR="0002631C" w:rsidRPr="0002631C" w:rsidRDefault="0002631C" w:rsidP="00863A70">
            <w:pPr>
              <w:keepNext/>
              <w:keepLines/>
              <w:spacing w:after="0" w:line="240" w:lineRule="auto"/>
              <w:ind w:leftChars="164" w:left="361"/>
              <w:jc w:val="center"/>
              <w:rPr>
                <w:rFonts w:asciiTheme="majorHAnsi" w:eastAsia="MS Mincho" w:hAnsiTheme="majorHAnsi" w:cs="Calibri"/>
                <w:lang w:val="en-US" w:eastAsia="ja-JP"/>
              </w:rPr>
            </w:pPr>
            <w:r w:rsidRPr="0002631C">
              <w:rPr>
                <w:rFonts w:asciiTheme="majorHAnsi" w:eastAsia="MS Mincho" w:hAnsiTheme="majorHAnsi" w:cs="Times New Roman"/>
                <w:lang w:val="en-US" w:eastAsia="ja-JP"/>
              </w:rPr>
              <w:t>51.5 (44.6, 58.0)</w:t>
            </w:r>
          </w:p>
        </w:tc>
        <w:tc>
          <w:tcPr>
            <w:tcW w:w="2380" w:type="dxa"/>
            <w:gridSpan w:val="2"/>
            <w:vAlign w:val="center"/>
          </w:tcPr>
          <w:p w14:paraId="32A524D9" w14:textId="77777777" w:rsidR="0002631C" w:rsidRPr="0002631C" w:rsidRDefault="0002631C" w:rsidP="00863A70">
            <w:pPr>
              <w:keepNext/>
              <w:keepLines/>
              <w:spacing w:after="0" w:line="240" w:lineRule="auto"/>
              <w:ind w:leftChars="164" w:left="361"/>
              <w:jc w:val="center"/>
              <w:rPr>
                <w:rFonts w:asciiTheme="majorHAnsi" w:eastAsia="MS Mincho" w:hAnsiTheme="majorHAnsi" w:cs="Calibri"/>
                <w:lang w:val="en-US" w:eastAsia="ja-JP"/>
              </w:rPr>
            </w:pPr>
            <w:r w:rsidRPr="0002631C">
              <w:rPr>
                <w:rFonts w:asciiTheme="majorHAnsi" w:eastAsia="MS Mincho" w:hAnsiTheme="majorHAnsi" w:cs="Times New Roman"/>
                <w:lang w:val="en-US" w:eastAsia="ja-JP"/>
              </w:rPr>
              <w:t>39.2 (32.6, 45.6)</w:t>
            </w:r>
          </w:p>
        </w:tc>
      </w:tr>
      <w:tr w:rsidR="0002631C" w:rsidRPr="0002631C" w14:paraId="3BE9A499" w14:textId="77777777" w:rsidTr="00B462DF">
        <w:trPr>
          <w:trHeight w:val="287"/>
        </w:trPr>
        <w:tc>
          <w:tcPr>
            <w:tcW w:w="9019" w:type="dxa"/>
            <w:gridSpan w:val="4"/>
            <w:vAlign w:val="bottom"/>
          </w:tcPr>
          <w:p w14:paraId="3F15A1B6" w14:textId="77777777" w:rsidR="0002631C" w:rsidRPr="0002631C" w:rsidRDefault="0002631C" w:rsidP="00863A70">
            <w:pPr>
              <w:keepNext/>
              <w:keepLines/>
              <w:spacing w:after="0" w:line="240" w:lineRule="auto"/>
              <w:rPr>
                <w:rFonts w:asciiTheme="majorHAnsi" w:eastAsia="MS Mincho" w:hAnsiTheme="majorHAnsi" w:cs="Calibri"/>
                <w:b/>
                <w:lang w:val="en-US" w:eastAsia="ja-JP"/>
              </w:rPr>
            </w:pPr>
            <w:r w:rsidRPr="0002631C">
              <w:rPr>
                <w:rFonts w:asciiTheme="majorHAnsi" w:eastAsia="MS Mincho" w:hAnsiTheme="majorHAnsi" w:cs="Calibri"/>
                <w:b/>
                <w:lang w:val="en-US" w:eastAsia="ja-JP"/>
              </w:rPr>
              <w:t>Progression Free Survival</w:t>
            </w:r>
            <w:r w:rsidRPr="0002631C">
              <w:rPr>
                <w:rFonts w:asciiTheme="majorHAnsi" w:eastAsia="MS Mincho" w:hAnsiTheme="majorHAnsi" w:cs="Calibri"/>
                <w:sz w:val="20"/>
                <w:szCs w:val="20"/>
                <w:vertAlign w:val="superscript"/>
                <w:lang w:val="en-US" w:eastAsia="ja-JP"/>
              </w:rPr>
              <w:t>†</w:t>
            </w:r>
          </w:p>
        </w:tc>
      </w:tr>
      <w:tr w:rsidR="0002631C" w:rsidRPr="0002631C" w14:paraId="3D69D55B" w14:textId="77777777" w:rsidTr="00B462DF">
        <w:trPr>
          <w:trHeight w:val="350"/>
        </w:trPr>
        <w:tc>
          <w:tcPr>
            <w:tcW w:w="4462" w:type="dxa"/>
            <w:vAlign w:val="bottom"/>
          </w:tcPr>
          <w:p w14:paraId="0D5C677D" w14:textId="77777777" w:rsidR="0002631C" w:rsidRPr="0002631C" w:rsidRDefault="0002631C" w:rsidP="00863A70">
            <w:pPr>
              <w:keepNext/>
              <w:keepLines/>
              <w:spacing w:after="0" w:line="240" w:lineRule="auto"/>
              <w:rPr>
                <w:rFonts w:asciiTheme="majorHAnsi" w:eastAsia="MS Mincho" w:hAnsiTheme="majorHAnsi" w:cs="Calibri"/>
                <w:lang w:val="en-US" w:eastAsia="ja-JP"/>
              </w:rPr>
            </w:pPr>
            <w:r w:rsidRPr="0002631C">
              <w:rPr>
                <w:rFonts w:asciiTheme="majorHAnsi" w:eastAsia="MS Mincho" w:hAnsiTheme="majorHAnsi" w:cs="Calibri"/>
                <w:lang w:val="en-US" w:eastAsia="ja-JP"/>
              </w:rPr>
              <w:t>Number (%) of patients with events</w:t>
            </w:r>
          </w:p>
        </w:tc>
        <w:tc>
          <w:tcPr>
            <w:tcW w:w="2193" w:type="dxa"/>
            <w:gridSpan w:val="2"/>
            <w:vAlign w:val="center"/>
          </w:tcPr>
          <w:p w14:paraId="2CFADB16"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201 (66.8)</w:t>
            </w:r>
          </w:p>
        </w:tc>
        <w:tc>
          <w:tcPr>
            <w:tcW w:w="2364" w:type="dxa"/>
            <w:vAlign w:val="center"/>
          </w:tcPr>
          <w:p w14:paraId="2EB3A912"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231 (75.2)</w:t>
            </w:r>
          </w:p>
        </w:tc>
      </w:tr>
      <w:tr w:rsidR="0002631C" w:rsidRPr="0002631C" w14:paraId="2995C1E3" w14:textId="77777777" w:rsidTr="00B462DF">
        <w:trPr>
          <w:trHeight w:val="350"/>
        </w:trPr>
        <w:tc>
          <w:tcPr>
            <w:tcW w:w="4462" w:type="dxa"/>
            <w:vAlign w:val="bottom"/>
          </w:tcPr>
          <w:p w14:paraId="202AD848" w14:textId="77777777" w:rsidR="0002631C" w:rsidRPr="0002631C" w:rsidRDefault="0002631C" w:rsidP="00863A70">
            <w:pPr>
              <w:keepNext/>
              <w:keepLines/>
              <w:spacing w:after="0" w:line="240" w:lineRule="auto"/>
              <w:rPr>
                <w:rFonts w:asciiTheme="majorHAnsi" w:eastAsia="MS Mincho" w:hAnsiTheme="majorHAnsi" w:cs="Calibri"/>
                <w:lang w:val="en-US" w:eastAsia="ja-JP"/>
              </w:rPr>
            </w:pPr>
            <w:r w:rsidRPr="0002631C">
              <w:rPr>
                <w:rFonts w:asciiTheme="majorHAnsi" w:eastAsia="MS Mincho" w:hAnsiTheme="majorHAnsi" w:cs="Calibri"/>
                <w:lang w:val="en-US" w:eastAsia="ja-JP"/>
              </w:rPr>
              <w:t>Median in months (95% CI)</w:t>
            </w:r>
          </w:p>
        </w:tc>
        <w:tc>
          <w:tcPr>
            <w:tcW w:w="2193" w:type="dxa"/>
            <w:gridSpan w:val="2"/>
            <w:vAlign w:val="center"/>
          </w:tcPr>
          <w:p w14:paraId="26B7FBEE"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5.6 (5.3, 5.8)</w:t>
            </w:r>
          </w:p>
        </w:tc>
        <w:tc>
          <w:tcPr>
            <w:tcW w:w="2364" w:type="dxa"/>
            <w:vAlign w:val="center"/>
          </w:tcPr>
          <w:p w14:paraId="7B488EA8"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3.7 (3.5, 3.9)</w:t>
            </w:r>
          </w:p>
        </w:tc>
      </w:tr>
      <w:tr w:rsidR="0002631C" w:rsidRPr="0002631C" w14:paraId="13FDB204" w14:textId="77777777" w:rsidTr="00B462DF">
        <w:trPr>
          <w:trHeight w:val="350"/>
        </w:trPr>
        <w:tc>
          <w:tcPr>
            <w:tcW w:w="4462" w:type="dxa"/>
            <w:vAlign w:val="bottom"/>
          </w:tcPr>
          <w:p w14:paraId="713BE8DE" w14:textId="77777777" w:rsidR="0002631C" w:rsidRPr="0002631C" w:rsidRDefault="0002631C" w:rsidP="00863A70">
            <w:pPr>
              <w:keepNext/>
              <w:keepLines/>
              <w:spacing w:after="0" w:line="240" w:lineRule="auto"/>
              <w:rPr>
                <w:rFonts w:asciiTheme="majorHAnsi" w:eastAsia="MS Mincho" w:hAnsiTheme="majorHAnsi" w:cs="Calibri"/>
                <w:lang w:val="pt-BR" w:eastAsia="ja-JP"/>
              </w:rPr>
            </w:pPr>
            <w:r w:rsidRPr="0002631C">
              <w:rPr>
                <w:rFonts w:asciiTheme="majorHAnsi" w:eastAsia="MS Mincho" w:hAnsiTheme="majorHAnsi" w:cs="Calibri"/>
                <w:lang w:val="pt-BR" w:eastAsia="ja-JP"/>
              </w:rPr>
              <w:t>Hazard ratio (95% CI)</w:t>
            </w:r>
          </w:p>
        </w:tc>
        <w:tc>
          <w:tcPr>
            <w:tcW w:w="4557" w:type="dxa"/>
            <w:gridSpan w:val="3"/>
            <w:vAlign w:val="center"/>
          </w:tcPr>
          <w:p w14:paraId="226190D3"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0.615 (0.505, 0.748)</w:t>
            </w:r>
          </w:p>
        </w:tc>
      </w:tr>
      <w:tr w:rsidR="0002631C" w:rsidRPr="0002631C" w14:paraId="4930993B" w14:textId="77777777" w:rsidTr="00B462DF">
        <w:trPr>
          <w:trHeight w:val="350"/>
        </w:trPr>
        <w:tc>
          <w:tcPr>
            <w:tcW w:w="4462" w:type="dxa"/>
            <w:vAlign w:val="bottom"/>
          </w:tcPr>
          <w:p w14:paraId="06A3023F" w14:textId="77777777" w:rsidR="0002631C" w:rsidRPr="0002631C" w:rsidRDefault="0002631C" w:rsidP="00863A70">
            <w:pPr>
              <w:keepNext/>
              <w:keepLines/>
              <w:spacing w:after="0" w:line="240" w:lineRule="auto"/>
              <w:rPr>
                <w:rFonts w:asciiTheme="majorHAnsi" w:eastAsia="MS Mincho" w:hAnsiTheme="majorHAnsi" w:cs="Calibri"/>
                <w:lang w:val="en-US" w:eastAsia="ja-JP"/>
              </w:rPr>
            </w:pPr>
            <w:r w:rsidRPr="0002631C">
              <w:rPr>
                <w:rFonts w:asciiTheme="majorHAnsi" w:eastAsia="MS Mincho" w:hAnsiTheme="majorHAnsi" w:cs="Calibri"/>
                <w:lang w:val="pt-BR" w:eastAsia="ja-JP"/>
              </w:rPr>
              <w:t>1-sided p-value</w:t>
            </w:r>
          </w:p>
        </w:tc>
        <w:tc>
          <w:tcPr>
            <w:tcW w:w="4557" w:type="dxa"/>
            <w:gridSpan w:val="3"/>
            <w:vAlign w:val="center"/>
          </w:tcPr>
          <w:p w14:paraId="3699E69B"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&lt;0.00001</w:t>
            </w:r>
            <w:r w:rsidRPr="0002631C">
              <w:rPr>
                <w:rFonts w:asciiTheme="majorHAnsi" w:eastAsia="MS Mincho" w:hAnsiTheme="majorHAnsi" w:cs="Calibri"/>
                <w:sz w:val="20"/>
                <w:szCs w:val="20"/>
                <w:vertAlign w:val="superscript"/>
                <w:lang w:val="en-US" w:eastAsia="ja-JP"/>
              </w:rPr>
              <w:t>‡</w:t>
            </w:r>
          </w:p>
        </w:tc>
      </w:tr>
      <w:tr w:rsidR="0002631C" w:rsidRPr="0002631C" w14:paraId="4541DCD0" w14:textId="77777777" w:rsidTr="00B462DF">
        <w:trPr>
          <w:trHeight w:val="350"/>
        </w:trPr>
        <w:tc>
          <w:tcPr>
            <w:tcW w:w="4462" w:type="dxa"/>
            <w:vAlign w:val="center"/>
          </w:tcPr>
          <w:p w14:paraId="68734CDD" w14:textId="77777777" w:rsidR="0002631C" w:rsidRPr="0002631C" w:rsidRDefault="0002631C" w:rsidP="00863A70">
            <w:pPr>
              <w:keepNext/>
              <w:keepLines/>
              <w:spacing w:after="0" w:line="240" w:lineRule="auto"/>
              <w:rPr>
                <w:rFonts w:asciiTheme="majorHAnsi" w:eastAsia="MS Mincho" w:hAnsiTheme="majorHAnsi" w:cs="Times New Roman"/>
                <w:lang w:val="en-US" w:eastAsia="ja-JP"/>
              </w:rPr>
            </w:pPr>
            <w:r w:rsidRPr="0002631C">
              <w:rPr>
                <w:rFonts w:asciiTheme="majorHAnsi" w:eastAsia="MS Mincho" w:hAnsiTheme="majorHAnsi" w:cs="Times New Roman"/>
                <w:lang w:val="en-US" w:eastAsia="ja-JP"/>
              </w:rPr>
              <w:t>6-month PFS (%) (95% CI)</w:t>
            </w:r>
          </w:p>
        </w:tc>
        <w:tc>
          <w:tcPr>
            <w:tcW w:w="2177" w:type="dxa"/>
            <w:vAlign w:val="center"/>
          </w:tcPr>
          <w:p w14:paraId="2A58B1B9" w14:textId="77777777" w:rsidR="0002631C" w:rsidRPr="0002631C" w:rsidRDefault="0002631C" w:rsidP="00863A70">
            <w:pPr>
              <w:keepNext/>
              <w:keepLines/>
              <w:spacing w:after="0" w:line="240" w:lineRule="auto"/>
              <w:ind w:leftChars="164" w:left="361"/>
              <w:jc w:val="center"/>
              <w:rPr>
                <w:rFonts w:asciiTheme="majorHAnsi" w:eastAsia="MS Mincho" w:hAnsiTheme="majorHAnsi" w:cs="Times New Roman"/>
                <w:lang w:val="en-US" w:eastAsia="ja-JP"/>
              </w:rPr>
            </w:pPr>
            <w:r w:rsidRPr="0002631C">
              <w:rPr>
                <w:rFonts w:asciiTheme="majorHAnsi" w:eastAsia="MS Mincho" w:hAnsiTheme="majorHAnsi" w:cs="Times New Roman"/>
                <w:lang w:val="en-US" w:eastAsia="ja-JP"/>
              </w:rPr>
              <w:t>44.0 (38.0, 49.8)</w:t>
            </w:r>
          </w:p>
        </w:tc>
        <w:tc>
          <w:tcPr>
            <w:tcW w:w="2380" w:type="dxa"/>
            <w:gridSpan w:val="2"/>
            <w:vAlign w:val="center"/>
          </w:tcPr>
          <w:p w14:paraId="27A6CE37" w14:textId="77777777" w:rsidR="0002631C" w:rsidRPr="0002631C" w:rsidRDefault="0002631C" w:rsidP="00863A70">
            <w:pPr>
              <w:keepNext/>
              <w:keepLines/>
              <w:spacing w:after="0" w:line="240" w:lineRule="auto"/>
              <w:ind w:leftChars="164" w:left="361"/>
              <w:jc w:val="center"/>
              <w:rPr>
                <w:rFonts w:asciiTheme="majorHAnsi" w:eastAsia="MS Mincho" w:hAnsiTheme="majorHAnsi" w:cs="Times New Roman"/>
                <w:lang w:val="en-US" w:eastAsia="ja-JP"/>
              </w:rPr>
            </w:pPr>
            <w:r w:rsidRPr="0002631C">
              <w:rPr>
                <w:rFonts w:asciiTheme="majorHAnsi" w:eastAsia="MS Mincho" w:hAnsiTheme="majorHAnsi" w:cs="Times New Roman"/>
                <w:lang w:val="en-US" w:eastAsia="ja-JP"/>
              </w:rPr>
              <w:t>28.2 (22.9, 33.8)</w:t>
            </w:r>
          </w:p>
        </w:tc>
      </w:tr>
      <w:tr w:rsidR="0002631C" w:rsidRPr="0002631C" w14:paraId="2477FC62" w14:textId="77777777" w:rsidTr="00B462DF">
        <w:trPr>
          <w:trHeight w:val="350"/>
        </w:trPr>
        <w:tc>
          <w:tcPr>
            <w:tcW w:w="4462" w:type="dxa"/>
            <w:vAlign w:val="center"/>
          </w:tcPr>
          <w:p w14:paraId="0AC0E052" w14:textId="77777777" w:rsidR="0002631C" w:rsidRPr="0002631C" w:rsidRDefault="0002631C" w:rsidP="00863A70">
            <w:pPr>
              <w:keepNext/>
              <w:keepLines/>
              <w:spacing w:after="0" w:line="240" w:lineRule="auto"/>
              <w:rPr>
                <w:rFonts w:asciiTheme="majorHAnsi" w:eastAsia="MS Mincho" w:hAnsiTheme="majorHAnsi" w:cs="Times New Roman"/>
                <w:lang w:val="en-US" w:eastAsia="ja-JP"/>
              </w:rPr>
            </w:pPr>
            <w:r w:rsidRPr="0002631C">
              <w:rPr>
                <w:rFonts w:asciiTheme="majorHAnsi" w:eastAsia="MS Mincho" w:hAnsiTheme="majorHAnsi" w:cs="Times New Roman"/>
                <w:lang w:val="en-US" w:eastAsia="ja-JP"/>
              </w:rPr>
              <w:t>12-month PFS (%) (95% CI)</w:t>
            </w:r>
          </w:p>
        </w:tc>
        <w:tc>
          <w:tcPr>
            <w:tcW w:w="2177" w:type="dxa"/>
            <w:vAlign w:val="center"/>
          </w:tcPr>
          <w:p w14:paraId="246A6B94" w14:textId="77777777" w:rsidR="0002631C" w:rsidRPr="0002631C" w:rsidRDefault="0002631C" w:rsidP="00863A70">
            <w:pPr>
              <w:keepNext/>
              <w:keepLines/>
              <w:spacing w:after="0" w:line="240" w:lineRule="auto"/>
              <w:jc w:val="center"/>
              <w:rPr>
                <w:rFonts w:asciiTheme="majorHAnsi" w:eastAsia="MS Mincho" w:hAnsiTheme="majorHAnsi" w:cs="Times New Roman"/>
                <w:lang w:val="en-US" w:eastAsia="ja-JP"/>
              </w:rPr>
            </w:pPr>
            <w:r w:rsidRPr="0002631C">
              <w:rPr>
                <w:rFonts w:asciiTheme="majorHAnsi" w:eastAsia="MS Mincho" w:hAnsiTheme="majorHAnsi" w:cs="Times New Roman"/>
                <w:lang w:val="en-US" w:eastAsia="ja-JP"/>
              </w:rPr>
              <w:t>21.7 (16.3, 27.7)</w:t>
            </w:r>
          </w:p>
        </w:tc>
        <w:tc>
          <w:tcPr>
            <w:tcW w:w="2380" w:type="dxa"/>
            <w:gridSpan w:val="2"/>
            <w:vAlign w:val="center"/>
          </w:tcPr>
          <w:p w14:paraId="21ADD2AD" w14:textId="77777777" w:rsidR="0002631C" w:rsidRPr="0002631C" w:rsidRDefault="0002631C" w:rsidP="00863A70">
            <w:pPr>
              <w:keepNext/>
              <w:keepLines/>
              <w:spacing w:after="0" w:line="240" w:lineRule="auto"/>
              <w:jc w:val="center"/>
              <w:rPr>
                <w:rFonts w:asciiTheme="majorHAnsi" w:eastAsia="MS Mincho" w:hAnsiTheme="majorHAnsi" w:cs="Times New Roman"/>
                <w:lang w:val="en-US" w:eastAsia="ja-JP"/>
              </w:rPr>
            </w:pPr>
            <w:r w:rsidRPr="0002631C">
              <w:rPr>
                <w:rFonts w:asciiTheme="majorHAnsi" w:eastAsia="MS Mincho" w:hAnsiTheme="majorHAnsi" w:cs="Times New Roman"/>
                <w:lang w:val="en-US" w:eastAsia="ja-JP"/>
              </w:rPr>
              <w:t>8.3 (4.61, 13.4)</w:t>
            </w:r>
          </w:p>
        </w:tc>
      </w:tr>
      <w:tr w:rsidR="0002631C" w:rsidRPr="0002631C" w14:paraId="43317EB1" w14:textId="77777777" w:rsidTr="00B462DF">
        <w:trPr>
          <w:trHeight w:val="350"/>
        </w:trPr>
        <w:tc>
          <w:tcPr>
            <w:tcW w:w="9019" w:type="dxa"/>
            <w:gridSpan w:val="4"/>
            <w:vAlign w:val="bottom"/>
          </w:tcPr>
          <w:p w14:paraId="2A1A04A9" w14:textId="5BCAA52B" w:rsidR="0002631C" w:rsidRPr="0002631C" w:rsidRDefault="0002631C" w:rsidP="00863A70">
            <w:pPr>
              <w:keepNext/>
              <w:keepLines/>
              <w:spacing w:after="0" w:line="240" w:lineRule="auto"/>
              <w:rPr>
                <w:rFonts w:asciiTheme="majorHAnsi" w:eastAsia="MS Mincho" w:hAnsiTheme="majorHAnsi" w:cs="Calibri"/>
                <w:b/>
                <w:lang w:val="en-US" w:eastAsia="ja-JP"/>
              </w:rPr>
            </w:pPr>
            <w:bookmarkStart w:id="1" w:name="_Hlk83117047"/>
            <w:r w:rsidRPr="0002631C">
              <w:rPr>
                <w:rFonts w:asciiTheme="majorHAnsi" w:eastAsia="MS Mincho" w:hAnsiTheme="majorHAnsi" w:cs="Calibri"/>
                <w:b/>
                <w:lang w:val="en-US" w:eastAsia="ja-JP"/>
              </w:rPr>
              <w:t xml:space="preserve">Objective Response Rate (CR + </w:t>
            </w:r>
            <w:proofErr w:type="gramStart"/>
            <w:r w:rsidRPr="0002631C">
              <w:rPr>
                <w:rFonts w:asciiTheme="majorHAnsi" w:eastAsia="MS Mincho" w:hAnsiTheme="majorHAnsi" w:cs="Calibri"/>
                <w:b/>
                <w:lang w:val="en-US" w:eastAsia="ja-JP"/>
              </w:rPr>
              <w:t>PR)</w:t>
            </w:r>
            <w:r w:rsidRPr="0002631C">
              <w:rPr>
                <w:rFonts w:asciiTheme="majorHAnsi" w:eastAsia="MS Mincho" w:hAnsiTheme="majorHAnsi" w:cs="Calibri"/>
                <w:sz w:val="20"/>
                <w:szCs w:val="20"/>
                <w:vertAlign w:val="superscript"/>
                <w:lang w:val="en-US" w:eastAsia="ja-JP"/>
              </w:rPr>
              <w:t>†</w:t>
            </w:r>
            <w:proofErr w:type="gramEnd"/>
          </w:p>
        </w:tc>
      </w:tr>
      <w:tr w:rsidR="0002631C" w:rsidRPr="0002631C" w14:paraId="69943F93" w14:textId="77777777" w:rsidTr="00B462DF">
        <w:trPr>
          <w:trHeight w:val="350"/>
        </w:trPr>
        <w:tc>
          <w:tcPr>
            <w:tcW w:w="4462" w:type="dxa"/>
            <w:vAlign w:val="bottom"/>
          </w:tcPr>
          <w:p w14:paraId="5CD62816" w14:textId="77777777" w:rsidR="0002631C" w:rsidRPr="0002631C" w:rsidRDefault="0002631C" w:rsidP="00863A70">
            <w:pPr>
              <w:keepNext/>
              <w:keepLines/>
              <w:spacing w:after="0" w:line="240" w:lineRule="auto"/>
              <w:rPr>
                <w:rFonts w:asciiTheme="majorHAnsi" w:eastAsia="MS Mincho" w:hAnsiTheme="majorHAnsi" w:cs="Calibri"/>
                <w:lang w:val="en-US" w:eastAsia="ja-JP"/>
              </w:rPr>
            </w:pPr>
            <w:r w:rsidRPr="0002631C">
              <w:rPr>
                <w:rFonts w:asciiTheme="majorHAnsi" w:eastAsia="MS Mincho" w:hAnsiTheme="majorHAnsi" w:cs="Calibri"/>
                <w:lang w:val="en-US" w:eastAsia="ja-JP"/>
              </w:rPr>
              <w:t>ORR (%) (95% CI)</w:t>
            </w:r>
          </w:p>
        </w:tc>
        <w:tc>
          <w:tcPr>
            <w:tcW w:w="2193" w:type="dxa"/>
            <w:gridSpan w:val="2"/>
            <w:vAlign w:val="center"/>
          </w:tcPr>
          <w:p w14:paraId="1ECCC164"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40.6 (35.0, 46.5)</w:t>
            </w:r>
          </w:p>
        </w:tc>
        <w:tc>
          <w:tcPr>
            <w:tcW w:w="2364" w:type="dxa"/>
            <w:vAlign w:val="center"/>
          </w:tcPr>
          <w:p w14:paraId="3023D44C"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17.9 (13.7, 22.8)</w:t>
            </w:r>
          </w:p>
        </w:tc>
      </w:tr>
      <w:tr w:rsidR="0002631C" w:rsidRPr="0002631C" w14:paraId="3C8985C7" w14:textId="77777777" w:rsidTr="00B462DF">
        <w:trPr>
          <w:trHeight w:val="350"/>
        </w:trPr>
        <w:tc>
          <w:tcPr>
            <w:tcW w:w="4462" w:type="dxa"/>
            <w:vAlign w:val="center"/>
          </w:tcPr>
          <w:p w14:paraId="7757CDAE" w14:textId="77777777" w:rsidR="0002631C" w:rsidRPr="0002631C" w:rsidRDefault="0002631C" w:rsidP="00863A70">
            <w:pPr>
              <w:keepNext/>
              <w:keepLines/>
              <w:spacing w:after="0" w:line="240" w:lineRule="auto"/>
              <w:ind w:left="160"/>
              <w:rPr>
                <w:rFonts w:asciiTheme="majorHAnsi" w:eastAsia="MS Mincho" w:hAnsiTheme="majorHAnsi" w:cs="Calibri"/>
                <w:lang w:val="en-US" w:eastAsia="ja-JP"/>
              </w:rPr>
            </w:pPr>
            <w:r w:rsidRPr="0002631C">
              <w:rPr>
                <w:rFonts w:asciiTheme="majorHAnsi" w:eastAsia="MS Mincho" w:hAnsiTheme="majorHAnsi" w:cs="Calibri"/>
                <w:lang w:val="en-US" w:eastAsia="ja-JP"/>
              </w:rPr>
              <w:t>1-sided p-value</w:t>
            </w:r>
          </w:p>
        </w:tc>
        <w:tc>
          <w:tcPr>
            <w:tcW w:w="4557" w:type="dxa"/>
            <w:gridSpan w:val="3"/>
            <w:vAlign w:val="center"/>
          </w:tcPr>
          <w:p w14:paraId="7E7A7FE6"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&lt;0.001</w:t>
            </w:r>
            <w:r w:rsidRPr="0002631C">
              <w:rPr>
                <w:rFonts w:asciiTheme="majorHAnsi" w:eastAsia="MS Mincho" w:hAnsiTheme="majorHAnsi" w:cs="Calibri"/>
                <w:sz w:val="20"/>
                <w:szCs w:val="20"/>
                <w:vertAlign w:val="superscript"/>
                <w:lang w:val="en-US" w:eastAsia="ja-JP"/>
              </w:rPr>
              <w:t>§</w:t>
            </w:r>
          </w:p>
        </w:tc>
      </w:tr>
      <w:bookmarkEnd w:id="1"/>
      <w:tr w:rsidR="0002631C" w:rsidRPr="0002631C" w14:paraId="16908CF8" w14:textId="77777777" w:rsidTr="00B462DF">
        <w:trPr>
          <w:trHeight w:val="350"/>
        </w:trPr>
        <w:tc>
          <w:tcPr>
            <w:tcW w:w="4462" w:type="dxa"/>
            <w:vAlign w:val="bottom"/>
          </w:tcPr>
          <w:p w14:paraId="02DDFA70" w14:textId="77777777" w:rsidR="0002631C" w:rsidRPr="0002631C" w:rsidRDefault="0002631C" w:rsidP="00863A70">
            <w:pPr>
              <w:keepNext/>
              <w:keepLines/>
              <w:spacing w:after="0" w:line="240" w:lineRule="auto"/>
              <w:ind w:left="160"/>
              <w:rPr>
                <w:rFonts w:asciiTheme="majorHAnsi" w:eastAsia="MS Mincho" w:hAnsiTheme="majorHAnsi" w:cs="Calibri"/>
                <w:lang w:val="en-US" w:eastAsia="ja-JP"/>
              </w:rPr>
            </w:pPr>
            <w:r w:rsidRPr="0002631C">
              <w:rPr>
                <w:rFonts w:asciiTheme="majorHAnsi" w:eastAsia="MS Mincho" w:hAnsiTheme="majorHAnsi" w:cs="Calibri"/>
                <w:lang w:val="en-US" w:eastAsia="ja-JP"/>
              </w:rPr>
              <w:t>Complete response rate (%)</w:t>
            </w:r>
          </w:p>
        </w:tc>
        <w:tc>
          <w:tcPr>
            <w:tcW w:w="2193" w:type="dxa"/>
            <w:gridSpan w:val="2"/>
            <w:vAlign w:val="center"/>
          </w:tcPr>
          <w:p w14:paraId="18DD57AF"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4.9</w:t>
            </w:r>
          </w:p>
        </w:tc>
        <w:tc>
          <w:tcPr>
            <w:tcW w:w="2364" w:type="dxa"/>
            <w:vAlign w:val="center"/>
          </w:tcPr>
          <w:p w14:paraId="7E798281"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2.7</w:t>
            </w:r>
          </w:p>
        </w:tc>
      </w:tr>
      <w:tr w:rsidR="0002631C" w:rsidRPr="0002631C" w14:paraId="023DB474" w14:textId="77777777" w:rsidTr="00B462DF">
        <w:trPr>
          <w:trHeight w:val="350"/>
        </w:trPr>
        <w:tc>
          <w:tcPr>
            <w:tcW w:w="4462" w:type="dxa"/>
            <w:vAlign w:val="bottom"/>
          </w:tcPr>
          <w:p w14:paraId="427CD48B" w14:textId="77777777" w:rsidR="0002631C" w:rsidRPr="0002631C" w:rsidRDefault="0002631C" w:rsidP="00863A70">
            <w:pPr>
              <w:keepNext/>
              <w:keepLines/>
              <w:spacing w:after="0" w:line="240" w:lineRule="auto"/>
              <w:ind w:left="160"/>
              <w:rPr>
                <w:rFonts w:asciiTheme="majorHAnsi" w:eastAsia="MS Mincho" w:hAnsiTheme="majorHAnsi" w:cs="Calibri"/>
                <w:lang w:val="en-US" w:eastAsia="ja-JP"/>
              </w:rPr>
            </w:pPr>
            <w:r w:rsidRPr="0002631C">
              <w:rPr>
                <w:rFonts w:asciiTheme="majorHAnsi" w:eastAsia="MS Mincho" w:hAnsiTheme="majorHAnsi" w:cs="Calibri"/>
                <w:lang w:val="en-US" w:eastAsia="ja-JP"/>
              </w:rPr>
              <w:t>Partial response rate (%)</w:t>
            </w:r>
          </w:p>
        </w:tc>
        <w:tc>
          <w:tcPr>
            <w:tcW w:w="2193" w:type="dxa"/>
            <w:gridSpan w:val="2"/>
            <w:vAlign w:val="center"/>
          </w:tcPr>
          <w:p w14:paraId="49F2B927"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35.8</w:t>
            </w:r>
          </w:p>
        </w:tc>
        <w:tc>
          <w:tcPr>
            <w:tcW w:w="2364" w:type="dxa"/>
            <w:vAlign w:val="center"/>
          </w:tcPr>
          <w:p w14:paraId="7FB5F324" w14:textId="77777777" w:rsidR="0002631C" w:rsidRPr="0002631C" w:rsidRDefault="0002631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15.2</w:t>
            </w:r>
          </w:p>
        </w:tc>
      </w:tr>
      <w:tr w:rsidR="006D25BC" w:rsidRPr="0002631C" w14:paraId="47380546" w14:textId="77777777" w:rsidTr="00B462DF">
        <w:trPr>
          <w:trHeight w:val="350"/>
        </w:trPr>
        <w:tc>
          <w:tcPr>
            <w:tcW w:w="9019" w:type="dxa"/>
            <w:gridSpan w:val="4"/>
            <w:vAlign w:val="bottom"/>
          </w:tcPr>
          <w:p w14:paraId="49E0916E" w14:textId="77777777" w:rsidR="006D25BC" w:rsidRPr="0002631C" w:rsidRDefault="006D25BC" w:rsidP="00863A70">
            <w:pPr>
              <w:keepNext/>
              <w:keepLines/>
              <w:spacing w:after="0" w:line="240" w:lineRule="auto"/>
              <w:rPr>
                <w:rFonts w:asciiTheme="majorHAnsi" w:eastAsia="MS Mincho" w:hAnsiTheme="majorHAnsi" w:cs="Calibri"/>
                <w:b/>
                <w:lang w:val="en-US" w:eastAsia="ja-JP"/>
              </w:rPr>
            </w:pPr>
            <w:r w:rsidRPr="0002631C">
              <w:rPr>
                <w:rFonts w:asciiTheme="majorHAnsi" w:eastAsia="MS Mincho" w:hAnsiTheme="majorHAnsi" w:cs="Calibri"/>
                <w:b/>
                <w:lang w:val="en-US" w:eastAsia="ja-JP"/>
              </w:rPr>
              <w:t>Duration of Response for responders</w:t>
            </w:r>
          </w:p>
        </w:tc>
      </w:tr>
      <w:tr w:rsidR="006D25BC" w:rsidRPr="0002631C" w14:paraId="210AD63D" w14:textId="77777777" w:rsidTr="00B462DF">
        <w:trPr>
          <w:trHeight w:val="350"/>
        </w:trPr>
        <w:tc>
          <w:tcPr>
            <w:tcW w:w="4462" w:type="dxa"/>
            <w:vAlign w:val="bottom"/>
          </w:tcPr>
          <w:p w14:paraId="4B2F1FE0" w14:textId="77777777" w:rsidR="006D25BC" w:rsidRPr="0002631C" w:rsidRDefault="006D25BC" w:rsidP="00863A70">
            <w:pPr>
              <w:keepNext/>
              <w:keepLines/>
              <w:spacing w:after="0" w:line="240" w:lineRule="auto"/>
              <w:rPr>
                <w:rFonts w:asciiTheme="majorHAnsi" w:eastAsia="MS Mincho" w:hAnsiTheme="majorHAnsi" w:cs="Calibri"/>
                <w:lang w:val="en-US" w:eastAsia="ja-JP"/>
              </w:rPr>
            </w:pPr>
            <w:r w:rsidRPr="0002631C">
              <w:rPr>
                <w:rFonts w:asciiTheme="majorHAnsi" w:eastAsia="MS Mincho" w:hAnsiTheme="majorHAnsi" w:cs="Calibri"/>
                <w:lang w:val="en-US" w:eastAsia="ja-JP"/>
              </w:rPr>
              <w:t>Median in months (95% CI)</w:t>
            </w:r>
          </w:p>
        </w:tc>
        <w:tc>
          <w:tcPr>
            <w:tcW w:w="2193" w:type="dxa"/>
            <w:gridSpan w:val="2"/>
            <w:vAlign w:val="center"/>
          </w:tcPr>
          <w:p w14:paraId="69E6BF38" w14:textId="77777777" w:rsidR="006D25BC" w:rsidRPr="0002631C" w:rsidRDefault="006D25B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7.4 (5.6, 9.5)</w:t>
            </w:r>
          </w:p>
        </w:tc>
        <w:tc>
          <w:tcPr>
            <w:tcW w:w="2364" w:type="dxa"/>
            <w:vAlign w:val="center"/>
          </w:tcPr>
          <w:p w14:paraId="5442C84B" w14:textId="77777777" w:rsidR="006D25BC" w:rsidRPr="0002631C" w:rsidRDefault="006D25BC" w:rsidP="00863A70">
            <w:pPr>
              <w:keepNext/>
              <w:keepLines/>
              <w:spacing w:after="0" w:line="240" w:lineRule="auto"/>
              <w:jc w:val="center"/>
              <w:rPr>
                <w:rFonts w:asciiTheme="majorHAnsi" w:eastAsia="MS Mincho" w:hAnsiTheme="majorHAnsi" w:cs="Calibri"/>
                <w:lang w:val="en-US" w:eastAsia="ja-JP"/>
              </w:rPr>
            </w:pPr>
            <w:r w:rsidRPr="0002631C">
              <w:rPr>
                <w:rFonts w:asciiTheme="majorHAnsi" w:eastAsia="MS Mincho" w:hAnsiTheme="majorHAnsi" w:cs="Calibri"/>
                <w:lang w:val="en-US" w:eastAsia="ja-JP"/>
              </w:rPr>
              <w:t>8.1 (5.7, 9.6)</w:t>
            </w:r>
          </w:p>
        </w:tc>
      </w:tr>
      <w:tr w:rsidR="006D25BC" w:rsidRPr="0002631C" w14:paraId="7F9B8131" w14:textId="77777777" w:rsidTr="00B462DF">
        <w:trPr>
          <w:trHeight w:val="350"/>
        </w:trPr>
        <w:tc>
          <w:tcPr>
            <w:tcW w:w="9019" w:type="dxa"/>
            <w:gridSpan w:val="4"/>
            <w:vAlign w:val="bottom"/>
          </w:tcPr>
          <w:p w14:paraId="37C9B8B4" w14:textId="77777777" w:rsidR="006D25BC" w:rsidRPr="0002631C" w:rsidRDefault="006D25BC" w:rsidP="00863A70">
            <w:pPr>
              <w:keepNext/>
              <w:keepLines/>
              <w:spacing w:after="0"/>
              <w:rPr>
                <w:rFonts w:asciiTheme="majorHAnsi" w:eastAsia="MS Mincho" w:hAnsiTheme="majorHAnsi" w:cs="Calibri"/>
                <w:sz w:val="20"/>
                <w:szCs w:val="20"/>
                <w:lang w:val="en-US" w:eastAsia="ja-JP"/>
              </w:rPr>
            </w:pPr>
            <w:r w:rsidRPr="0002631C">
              <w:rPr>
                <w:rFonts w:asciiTheme="majorHAnsi" w:eastAsia="MS Mincho" w:hAnsiTheme="majorHAnsi" w:cs="Calibri"/>
                <w:sz w:val="20"/>
                <w:szCs w:val="20"/>
                <w:lang w:val="en-US" w:eastAsia="ja-JP"/>
              </w:rPr>
              <w:t>*pre-determined efficacy boundary = 0.00679, 1-sided (adjusted by observed deaths of 301)</w:t>
            </w:r>
          </w:p>
          <w:p w14:paraId="50BFA35D" w14:textId="77777777" w:rsidR="006D25BC" w:rsidRPr="0002631C" w:rsidRDefault="006D25BC" w:rsidP="00863A70">
            <w:pPr>
              <w:keepNext/>
              <w:keepLines/>
              <w:spacing w:after="0"/>
              <w:rPr>
                <w:rFonts w:asciiTheme="majorHAnsi" w:eastAsia="MS Mincho" w:hAnsiTheme="majorHAnsi" w:cs="Calibri"/>
                <w:sz w:val="20"/>
                <w:szCs w:val="20"/>
                <w:lang w:val="en-US" w:eastAsia="ja-JP"/>
              </w:rPr>
            </w:pPr>
            <w:r w:rsidRPr="0002631C">
              <w:rPr>
                <w:rFonts w:asciiTheme="majorHAnsi" w:eastAsia="MS Mincho" w:hAnsiTheme="majorHAnsi" w:cs="Calibri"/>
                <w:sz w:val="20"/>
                <w:szCs w:val="20"/>
                <w:vertAlign w:val="superscript"/>
                <w:lang w:val="en-US" w:eastAsia="ja-JP"/>
              </w:rPr>
              <w:t>†</w:t>
            </w:r>
            <w:proofErr w:type="gramStart"/>
            <w:r w:rsidRPr="0002631C">
              <w:rPr>
                <w:rFonts w:asciiTheme="majorHAnsi" w:eastAsia="MS Mincho" w:hAnsiTheme="majorHAnsi" w:cs="Calibri"/>
                <w:sz w:val="20"/>
                <w:szCs w:val="20"/>
                <w:lang w:val="en-US" w:eastAsia="ja-JP"/>
              </w:rPr>
              <w:t>evaluated</w:t>
            </w:r>
            <w:proofErr w:type="gramEnd"/>
            <w:r w:rsidRPr="0002631C">
              <w:rPr>
                <w:rFonts w:asciiTheme="majorHAnsi" w:eastAsia="MS Mincho" w:hAnsiTheme="majorHAnsi" w:cs="Calibri"/>
                <w:sz w:val="20"/>
                <w:szCs w:val="20"/>
                <w:lang w:val="en-US" w:eastAsia="ja-JP"/>
              </w:rPr>
              <w:t xml:space="preserve"> by investigator assessment using RECIST v1.1</w:t>
            </w:r>
          </w:p>
          <w:p w14:paraId="62EAF5AF" w14:textId="77777777" w:rsidR="006D25BC" w:rsidRPr="0002631C" w:rsidRDefault="006D25BC" w:rsidP="00863A70">
            <w:pPr>
              <w:keepNext/>
              <w:keepLines/>
              <w:spacing w:after="0"/>
              <w:rPr>
                <w:rFonts w:asciiTheme="majorHAnsi" w:eastAsia="MS Mincho" w:hAnsiTheme="majorHAnsi" w:cs="Calibri"/>
                <w:sz w:val="20"/>
                <w:szCs w:val="20"/>
                <w:lang w:val="en-US" w:eastAsia="ja-JP"/>
              </w:rPr>
            </w:pPr>
            <w:r w:rsidRPr="0002631C">
              <w:rPr>
                <w:rFonts w:asciiTheme="majorHAnsi" w:eastAsia="MS Mincho" w:hAnsiTheme="majorHAnsi" w:cs="Calibri"/>
                <w:sz w:val="20"/>
                <w:szCs w:val="20"/>
                <w:vertAlign w:val="superscript"/>
                <w:lang w:val="en-US" w:eastAsia="ja-JP"/>
              </w:rPr>
              <w:t>‡</w:t>
            </w:r>
            <w:r w:rsidRPr="0002631C">
              <w:rPr>
                <w:rFonts w:asciiTheme="majorHAnsi" w:eastAsia="MS Mincho" w:hAnsiTheme="majorHAnsi" w:cs="Calibri"/>
                <w:sz w:val="20"/>
                <w:szCs w:val="20"/>
                <w:lang w:val="en-US" w:eastAsia="ja-JP"/>
              </w:rPr>
              <w:t>pre-determined efficacy boundary = 0.02189, 1-sided (adjusted by observed PFS1 events of 432)</w:t>
            </w:r>
          </w:p>
          <w:p w14:paraId="3305C677" w14:textId="145DD665" w:rsidR="006D25BC" w:rsidRPr="0002631C" w:rsidRDefault="006D25BC" w:rsidP="006C1078">
            <w:pPr>
              <w:keepNext/>
              <w:keepLines/>
              <w:spacing w:after="0"/>
              <w:rPr>
                <w:rFonts w:asciiTheme="majorHAnsi" w:eastAsia="MS Mincho" w:hAnsiTheme="majorHAnsi" w:cs="Calibri"/>
                <w:sz w:val="20"/>
                <w:szCs w:val="20"/>
                <w:lang w:val="en-US" w:eastAsia="ja-JP"/>
              </w:rPr>
            </w:pPr>
            <w:r w:rsidRPr="0002631C">
              <w:rPr>
                <w:rFonts w:asciiTheme="majorHAnsi" w:eastAsia="MS Mincho" w:hAnsiTheme="majorHAnsi" w:cs="Calibri"/>
                <w:sz w:val="20"/>
                <w:szCs w:val="20"/>
                <w:vertAlign w:val="superscript"/>
                <w:lang w:val="en-US" w:eastAsia="ja-JP"/>
              </w:rPr>
              <w:t>§</w:t>
            </w:r>
            <w:r w:rsidRPr="0002631C">
              <w:rPr>
                <w:rFonts w:asciiTheme="majorHAnsi" w:eastAsia="MS Mincho" w:hAnsiTheme="majorHAnsi" w:cs="Calibri"/>
                <w:sz w:val="20"/>
                <w:szCs w:val="20"/>
                <w:lang w:val="en-US" w:eastAsia="ja-JP"/>
              </w:rPr>
              <w:t>pre-determined efficacy boundary = 0.025, 1-sided (adjusted by 100% information fraction).</w:t>
            </w:r>
          </w:p>
        </w:tc>
      </w:tr>
    </w:tbl>
    <w:p w14:paraId="1A3F8A3C" w14:textId="77777777" w:rsidR="000F0B8F" w:rsidRDefault="000F0B8F" w:rsidP="0002631C"/>
    <w:p w14:paraId="0316E525" w14:textId="77777777" w:rsidR="000F0B8F" w:rsidRDefault="000F0B8F" w:rsidP="000F0B8F">
      <w:pPr>
        <w:keepNext/>
      </w:pPr>
      <w:r w:rsidRPr="000F0B8F">
        <w:rPr>
          <w:noProof/>
          <w:lang w:val="en-US"/>
        </w:rPr>
        <w:lastRenderedPageBreak/>
        <w:drawing>
          <wp:inline distT="0" distB="0" distL="0" distR="0" wp14:anchorId="42515A27" wp14:editId="4FDB4C4B">
            <wp:extent cx="5591175" cy="3133358"/>
            <wp:effectExtent l="0" t="0" r="0" b="0"/>
            <wp:docPr id="5" name="Picture 5" descr="Figure 1. Kaplan Meier Plot of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 Kaplan Meier Plot of Overall Surviv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5533" cy="3135800"/>
                    </a:xfrm>
                    <a:prstGeom prst="rect">
                      <a:avLst/>
                    </a:prstGeom>
                    <a:noFill/>
                    <a:ln>
                      <a:noFill/>
                    </a:ln>
                  </pic:spPr>
                </pic:pic>
              </a:graphicData>
            </a:graphic>
          </wp:inline>
        </w:drawing>
      </w:r>
    </w:p>
    <w:p w14:paraId="42C4E6DE" w14:textId="613DDFAE" w:rsidR="000F0B8F" w:rsidRPr="000F0B8F" w:rsidRDefault="000F0B8F" w:rsidP="000F0B8F">
      <w:pPr>
        <w:pStyle w:val="Caption"/>
        <w:jc w:val="center"/>
        <w:rPr>
          <w:rFonts w:asciiTheme="majorHAnsi" w:hAnsiTheme="majorHAnsi"/>
          <w:b w:val="0"/>
        </w:rPr>
      </w:pPr>
      <w:r w:rsidRPr="000F0B8F">
        <w:rPr>
          <w:rFonts w:asciiTheme="majorHAnsi" w:hAnsiTheme="majorHAnsi"/>
          <w:b w:val="0"/>
        </w:rPr>
        <w:t xml:space="preserve">Figure </w:t>
      </w:r>
      <w:r w:rsidRPr="000F0B8F">
        <w:rPr>
          <w:rFonts w:asciiTheme="majorHAnsi" w:hAnsiTheme="majorHAnsi"/>
          <w:b w:val="0"/>
        </w:rPr>
        <w:fldChar w:fldCharType="begin"/>
      </w:r>
      <w:r w:rsidRPr="000F0B8F">
        <w:rPr>
          <w:rFonts w:asciiTheme="majorHAnsi" w:hAnsiTheme="majorHAnsi"/>
          <w:b w:val="0"/>
        </w:rPr>
        <w:instrText xml:space="preserve"> SEQ Figure \* ARABIC </w:instrText>
      </w:r>
      <w:r w:rsidRPr="000F0B8F">
        <w:rPr>
          <w:rFonts w:asciiTheme="majorHAnsi" w:hAnsiTheme="majorHAnsi"/>
          <w:b w:val="0"/>
        </w:rPr>
        <w:fldChar w:fldCharType="separate"/>
      </w:r>
      <w:r>
        <w:rPr>
          <w:rFonts w:asciiTheme="majorHAnsi" w:hAnsiTheme="majorHAnsi"/>
          <w:b w:val="0"/>
          <w:noProof/>
        </w:rPr>
        <w:t>1</w:t>
      </w:r>
      <w:r w:rsidRPr="000F0B8F">
        <w:rPr>
          <w:rFonts w:asciiTheme="majorHAnsi" w:hAnsiTheme="majorHAnsi"/>
          <w:b w:val="0"/>
        </w:rPr>
        <w:fldChar w:fldCharType="end"/>
      </w:r>
      <w:r w:rsidRPr="000F0B8F">
        <w:rPr>
          <w:rFonts w:asciiTheme="majorHAnsi" w:hAnsiTheme="majorHAnsi"/>
          <w:b w:val="0"/>
        </w:rPr>
        <w:t>. Kaplan Meier Plot of Overall Survival</w:t>
      </w:r>
    </w:p>
    <w:p w14:paraId="0348C398" w14:textId="77777777" w:rsidR="000F0B8F" w:rsidRDefault="000F0B8F" w:rsidP="000F0B8F">
      <w:pPr>
        <w:keepNext/>
      </w:pPr>
      <w:r w:rsidRPr="000F0B8F">
        <w:rPr>
          <w:noProof/>
          <w:lang w:val="en-US"/>
        </w:rPr>
        <w:drawing>
          <wp:inline distT="0" distB="0" distL="0" distR="0" wp14:anchorId="5191A6D3" wp14:editId="072FAAD5">
            <wp:extent cx="5648325" cy="3164245"/>
            <wp:effectExtent l="0" t="0" r="0" b="0"/>
            <wp:docPr id="6" name="Picture 6" descr="Figure 2. Kaplan Meier Plot of Progression Free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Kaplan Meier Plot of Progression Free Surviv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2850" cy="3166780"/>
                    </a:xfrm>
                    <a:prstGeom prst="rect">
                      <a:avLst/>
                    </a:prstGeom>
                    <a:noFill/>
                    <a:ln>
                      <a:noFill/>
                    </a:ln>
                  </pic:spPr>
                </pic:pic>
              </a:graphicData>
            </a:graphic>
          </wp:inline>
        </w:drawing>
      </w:r>
    </w:p>
    <w:p w14:paraId="5082E4F6" w14:textId="5FE3D30B" w:rsidR="000F0B8F" w:rsidRPr="000F0B8F" w:rsidRDefault="000F0B8F" w:rsidP="000F0B8F">
      <w:pPr>
        <w:pStyle w:val="Caption"/>
        <w:jc w:val="center"/>
        <w:rPr>
          <w:rFonts w:asciiTheme="majorHAnsi" w:hAnsiTheme="majorHAnsi"/>
          <w:b w:val="0"/>
        </w:rPr>
      </w:pPr>
      <w:r w:rsidRPr="000F0B8F">
        <w:rPr>
          <w:rFonts w:asciiTheme="majorHAnsi" w:hAnsiTheme="majorHAnsi"/>
          <w:b w:val="0"/>
        </w:rPr>
        <w:t xml:space="preserve">Figure </w:t>
      </w:r>
      <w:r w:rsidRPr="000F0B8F">
        <w:rPr>
          <w:rFonts w:asciiTheme="majorHAnsi" w:hAnsiTheme="majorHAnsi"/>
          <w:b w:val="0"/>
        </w:rPr>
        <w:fldChar w:fldCharType="begin"/>
      </w:r>
      <w:r w:rsidRPr="000F0B8F">
        <w:rPr>
          <w:rFonts w:asciiTheme="majorHAnsi" w:hAnsiTheme="majorHAnsi"/>
          <w:b w:val="0"/>
        </w:rPr>
        <w:instrText xml:space="preserve"> SEQ Figure \* ARABIC </w:instrText>
      </w:r>
      <w:r w:rsidRPr="000F0B8F">
        <w:rPr>
          <w:rFonts w:asciiTheme="majorHAnsi" w:hAnsiTheme="majorHAnsi"/>
          <w:b w:val="0"/>
        </w:rPr>
        <w:fldChar w:fldCharType="separate"/>
      </w:r>
      <w:r w:rsidRPr="000F0B8F">
        <w:rPr>
          <w:rFonts w:asciiTheme="majorHAnsi" w:hAnsiTheme="majorHAnsi"/>
          <w:b w:val="0"/>
          <w:noProof/>
        </w:rPr>
        <w:t>2</w:t>
      </w:r>
      <w:r w:rsidRPr="000F0B8F">
        <w:rPr>
          <w:rFonts w:asciiTheme="majorHAnsi" w:hAnsiTheme="majorHAnsi"/>
          <w:b w:val="0"/>
        </w:rPr>
        <w:fldChar w:fldCharType="end"/>
      </w:r>
      <w:r w:rsidRPr="000F0B8F">
        <w:rPr>
          <w:rFonts w:asciiTheme="majorHAnsi" w:hAnsiTheme="majorHAnsi"/>
          <w:b w:val="0"/>
        </w:rPr>
        <w:t>. Kaplan Meier Plot of Progression Free Survival</w:t>
      </w:r>
    </w:p>
    <w:p w14:paraId="5E99702F" w14:textId="53E9F241" w:rsidR="000F0B8F" w:rsidRPr="000F0B8F" w:rsidRDefault="000F0B8F" w:rsidP="000F0B8F">
      <w:pPr>
        <w:spacing w:after="0"/>
        <w:rPr>
          <w:rFonts w:asciiTheme="majorHAnsi" w:eastAsia="Times New Roman" w:hAnsiTheme="majorHAnsi"/>
          <w:lang w:val="en" w:bidi="th-TH"/>
        </w:rPr>
      </w:pPr>
      <w:r w:rsidRPr="000F0B8F">
        <w:rPr>
          <w:rFonts w:asciiTheme="majorHAnsi" w:eastAsia="Times New Roman" w:hAnsiTheme="majorHAnsi"/>
          <w:lang w:val="en" w:bidi="th-TH"/>
        </w:rPr>
        <w:t xml:space="preserve">Patient-reported quality of life (QoL) was assessed using the EORTC QLQ-C30. </w:t>
      </w:r>
      <w:r w:rsidRPr="000F0B8F">
        <w:rPr>
          <w:rFonts w:asciiTheme="majorHAnsi" w:eastAsia="Times New Roman" w:hAnsiTheme="majorHAnsi"/>
          <w:lang w:bidi="th-TH"/>
        </w:rPr>
        <w:t>Over the first 12</w:t>
      </w:r>
      <w:r w:rsidR="001A1A01">
        <w:rPr>
          <w:rFonts w:asciiTheme="majorHAnsi" w:eastAsia="Times New Roman" w:hAnsiTheme="majorHAnsi"/>
          <w:lang w:bidi="th-TH"/>
        </w:rPr>
        <w:t> </w:t>
      </w:r>
      <w:r w:rsidRPr="000F0B8F">
        <w:rPr>
          <w:rFonts w:asciiTheme="majorHAnsi" w:eastAsia="Times New Roman" w:hAnsiTheme="majorHAnsi"/>
          <w:lang w:bidi="th-TH"/>
        </w:rPr>
        <w:t xml:space="preserve">weeks of treatment, patients treated with PADCEV maintained overall quality of life compared with baseline and had less variability compared to chemotherapy. Further, patients treated with PADCEV had statistically significant improvements in pain compared to chemotherapy, with an average difference in change from baseline of -5.73 (2-sided p&lt;0.05) at </w:t>
      </w:r>
      <w:r w:rsidRPr="000F0B8F">
        <w:rPr>
          <w:rFonts w:asciiTheme="majorHAnsi" w:eastAsia="Times New Roman" w:hAnsiTheme="majorHAnsi"/>
          <w:lang w:bidi="th-TH"/>
        </w:rPr>
        <w:lastRenderedPageBreak/>
        <w:t>week 12. Fifty-two percent of patients treated with PADCEV and 29% of patients treated with chemotherapy achieved a clinically meaningful confirmed improvement in pain (odds ratio [95% CI]: 2.76, [1.81; 4.22]) over the study period.</w:t>
      </w:r>
      <w:r w:rsidRPr="000F0B8F">
        <w:rPr>
          <w:rFonts w:asciiTheme="majorHAnsi" w:eastAsia="Times New Roman" w:hAnsiTheme="majorHAnsi"/>
          <w:lang w:val="en" w:bidi="th-TH"/>
        </w:rPr>
        <w:t xml:space="preserve"> These results should be interpreted in the context of the open-label study design with no adjustment for multiplicity. </w:t>
      </w:r>
    </w:p>
    <w:p w14:paraId="73B3C245" w14:textId="06E2AA0D" w:rsidR="00CD2383" w:rsidRPr="0002631C" w:rsidRDefault="00CD2383" w:rsidP="0002631C"/>
    <w:p w14:paraId="2891A3C4" w14:textId="22E6BB3E" w:rsidR="00CD2383" w:rsidRPr="00FC060A" w:rsidRDefault="00CD2383" w:rsidP="0062486E">
      <w:pPr>
        <w:pStyle w:val="Heading2"/>
      </w:pPr>
      <w:r>
        <w:t>Pharmacokinetic properties</w:t>
      </w:r>
    </w:p>
    <w:p w14:paraId="764462A1" w14:textId="360BF45A" w:rsidR="00CD2383" w:rsidRPr="0001118A" w:rsidRDefault="00CD2383" w:rsidP="0001118A">
      <w:pPr>
        <w:pStyle w:val="Heading3"/>
      </w:pPr>
      <w:r w:rsidRPr="0001118A">
        <w:t>Distribution</w:t>
      </w:r>
    </w:p>
    <w:p w14:paraId="574F95DA" w14:textId="2C1980BC" w:rsidR="00F74C4D" w:rsidRPr="000F0B8F" w:rsidRDefault="000F0B8F" w:rsidP="000F0B8F">
      <w:pPr>
        <w:pStyle w:val="NormalWeb"/>
        <w:spacing w:after="0"/>
        <w:rPr>
          <w:rFonts w:asciiTheme="majorHAnsi" w:eastAsia="Times New Roman" w:hAnsiTheme="majorHAnsi" w:cs="Cordia New"/>
          <w:sz w:val="22"/>
          <w:szCs w:val="22"/>
          <w:lang w:bidi="th-TH"/>
        </w:rPr>
      </w:pPr>
      <w:r w:rsidRPr="000F0B8F">
        <w:rPr>
          <w:rFonts w:asciiTheme="majorHAnsi" w:eastAsia="Times New Roman" w:hAnsiTheme="majorHAnsi" w:cs="Cordia New"/>
          <w:sz w:val="22"/>
          <w:szCs w:val="22"/>
          <w:lang w:val="en" w:bidi="th-TH"/>
        </w:rPr>
        <w:t>The mean estimate of steady-state volume of distribution of ADC was 12.8 L following 1.25</w:t>
      </w:r>
      <w:r w:rsidR="00041981">
        <w:rPr>
          <w:rFonts w:asciiTheme="majorHAnsi" w:eastAsia="Times New Roman" w:hAnsiTheme="majorHAnsi" w:cs="Cordia New"/>
          <w:sz w:val="22"/>
          <w:szCs w:val="22"/>
          <w:lang w:val="en" w:bidi="th-TH"/>
        </w:rPr>
        <w:t> </w:t>
      </w:r>
      <w:r w:rsidRPr="000F0B8F">
        <w:rPr>
          <w:rFonts w:asciiTheme="majorHAnsi" w:eastAsia="Times New Roman" w:hAnsiTheme="majorHAnsi" w:cs="Cordia New"/>
          <w:sz w:val="22"/>
          <w:szCs w:val="22"/>
          <w:lang w:val="en" w:bidi="th-TH"/>
        </w:rPr>
        <w:t xml:space="preserve">mg/kg of </w:t>
      </w:r>
      <w:proofErr w:type="spellStart"/>
      <w:r w:rsidRPr="000F0B8F">
        <w:rPr>
          <w:rFonts w:asciiTheme="majorHAnsi" w:eastAsia="Times New Roman" w:hAnsiTheme="majorHAnsi" w:cs="Cordia New"/>
          <w:sz w:val="22"/>
          <w:szCs w:val="22"/>
          <w:lang w:val="en" w:bidi="th-TH"/>
        </w:rPr>
        <w:t>enfortumab</w:t>
      </w:r>
      <w:proofErr w:type="spellEnd"/>
      <w:r w:rsidRPr="000F0B8F">
        <w:rPr>
          <w:rFonts w:asciiTheme="majorHAnsi" w:eastAsia="Times New Roman" w:hAnsiTheme="majorHAnsi" w:cs="Cordia New"/>
          <w:sz w:val="22"/>
          <w:szCs w:val="22"/>
          <w:lang w:val="en" w:bidi="th-TH"/>
        </w:rPr>
        <w:t xml:space="preserve"> </w:t>
      </w:r>
      <w:proofErr w:type="spellStart"/>
      <w:r w:rsidRPr="000F0B8F">
        <w:rPr>
          <w:rFonts w:asciiTheme="majorHAnsi" w:eastAsia="Times New Roman" w:hAnsiTheme="majorHAnsi" w:cs="Cordia New"/>
          <w:sz w:val="22"/>
          <w:szCs w:val="22"/>
          <w:lang w:val="en" w:bidi="th-TH"/>
        </w:rPr>
        <w:t>vedotin</w:t>
      </w:r>
      <w:proofErr w:type="spellEnd"/>
      <w:r w:rsidRPr="000F0B8F">
        <w:rPr>
          <w:rFonts w:asciiTheme="majorHAnsi" w:eastAsia="Times New Roman" w:hAnsiTheme="majorHAnsi" w:cs="Cordia New"/>
          <w:sz w:val="22"/>
          <w:szCs w:val="22"/>
          <w:lang w:val="en" w:bidi="th-TH"/>
        </w:rPr>
        <w:t xml:space="preserve">. </w:t>
      </w:r>
      <w:r w:rsidRPr="000F0B8F">
        <w:rPr>
          <w:rFonts w:asciiTheme="majorHAnsi" w:eastAsia="Times New Roman" w:hAnsiTheme="majorHAnsi" w:cs="Cordia New"/>
          <w:i/>
          <w:iCs/>
          <w:sz w:val="22"/>
          <w:szCs w:val="22"/>
          <w:lang w:val="en" w:bidi="th-TH"/>
        </w:rPr>
        <w:t>In vitro</w:t>
      </w:r>
      <w:r w:rsidRPr="000F0B8F">
        <w:rPr>
          <w:rFonts w:asciiTheme="majorHAnsi" w:eastAsia="Times New Roman" w:hAnsiTheme="majorHAnsi" w:cs="Cordia New"/>
          <w:sz w:val="22"/>
          <w:szCs w:val="22"/>
          <w:lang w:val="en" w:bidi="th-TH"/>
        </w:rPr>
        <w:t>, the binding of MMAE to human plasma proteins ranged from 68% to 82%. MMAE is not likely to displace or to be displaced by highly protein-bound drugs.</w:t>
      </w:r>
      <w:r w:rsidR="00A87DAD">
        <w:rPr>
          <w:rFonts w:asciiTheme="majorHAnsi" w:eastAsia="Times New Roman" w:hAnsiTheme="majorHAnsi" w:cs="Cordia New"/>
          <w:sz w:val="22"/>
          <w:szCs w:val="22"/>
          <w:lang w:val="en" w:bidi="th-TH"/>
        </w:rPr>
        <w:t xml:space="preserve"> </w:t>
      </w:r>
      <w:r w:rsidR="00A87DAD" w:rsidRPr="00A87DAD">
        <w:rPr>
          <w:rFonts w:asciiTheme="majorHAnsi" w:eastAsia="Times New Roman" w:hAnsiTheme="majorHAnsi" w:cs="Cordia New"/>
          <w:sz w:val="22"/>
          <w:szCs w:val="22"/>
          <w:lang w:val="en" w:bidi="th-TH"/>
        </w:rPr>
        <w:t xml:space="preserve">MMAE does not significantly partition into human red blood cells </w:t>
      </w:r>
      <w:r w:rsidR="00A87DAD" w:rsidRPr="00652C13">
        <w:rPr>
          <w:rFonts w:asciiTheme="majorHAnsi" w:eastAsia="Times New Roman" w:hAnsiTheme="majorHAnsi"/>
          <w:i/>
          <w:iCs/>
          <w:sz w:val="22"/>
          <w:szCs w:val="22"/>
          <w:lang w:val="en" w:bidi="th-TH"/>
        </w:rPr>
        <w:t>in vitro</w:t>
      </w:r>
      <w:r w:rsidR="00A87DAD" w:rsidRPr="00A87DAD">
        <w:rPr>
          <w:rFonts w:asciiTheme="majorHAnsi" w:eastAsia="Times New Roman" w:hAnsiTheme="majorHAnsi" w:cs="Cordia New"/>
          <w:sz w:val="22"/>
          <w:szCs w:val="22"/>
          <w:lang w:val="en" w:bidi="th-TH"/>
        </w:rPr>
        <w:t xml:space="preserve">; the ratio of amount in blood to amount in plasma concentration is </w:t>
      </w:r>
      <w:r w:rsidR="002F1829">
        <w:rPr>
          <w:rFonts w:asciiTheme="majorHAnsi" w:eastAsia="Times New Roman" w:hAnsiTheme="majorHAnsi" w:cs="Cordia New"/>
          <w:sz w:val="22"/>
          <w:szCs w:val="22"/>
          <w:lang w:val="en" w:bidi="th-TH"/>
        </w:rPr>
        <w:t>0</w:t>
      </w:r>
      <w:r w:rsidR="00A87DAD" w:rsidRPr="00A87DAD">
        <w:rPr>
          <w:rFonts w:asciiTheme="majorHAnsi" w:eastAsia="Times New Roman" w:hAnsiTheme="majorHAnsi" w:cs="Cordia New"/>
          <w:sz w:val="22"/>
          <w:szCs w:val="22"/>
          <w:lang w:val="en" w:bidi="th-TH"/>
        </w:rPr>
        <w:t>.</w:t>
      </w:r>
      <w:r w:rsidR="002F1829">
        <w:rPr>
          <w:rFonts w:asciiTheme="majorHAnsi" w:eastAsia="Times New Roman" w:hAnsiTheme="majorHAnsi" w:cs="Cordia New"/>
          <w:sz w:val="22"/>
          <w:szCs w:val="22"/>
          <w:lang w:val="en" w:bidi="th-TH"/>
        </w:rPr>
        <w:t>926</w:t>
      </w:r>
      <w:r w:rsidR="00A87DAD" w:rsidRPr="00A87DAD">
        <w:rPr>
          <w:rFonts w:asciiTheme="majorHAnsi" w:eastAsia="Times New Roman" w:hAnsiTheme="majorHAnsi" w:cs="Cordia New"/>
          <w:sz w:val="22"/>
          <w:szCs w:val="22"/>
          <w:lang w:val="en" w:bidi="th-TH"/>
        </w:rPr>
        <w:t xml:space="preserve"> to </w:t>
      </w:r>
      <w:r w:rsidR="002F1829">
        <w:rPr>
          <w:rFonts w:asciiTheme="majorHAnsi" w:eastAsia="Times New Roman" w:hAnsiTheme="majorHAnsi" w:cs="Cordia New"/>
          <w:sz w:val="22"/>
          <w:szCs w:val="22"/>
          <w:lang w:val="en" w:bidi="th-TH"/>
        </w:rPr>
        <w:t>0</w:t>
      </w:r>
      <w:r w:rsidR="00A87DAD" w:rsidRPr="00A87DAD">
        <w:rPr>
          <w:rFonts w:asciiTheme="majorHAnsi" w:eastAsia="Times New Roman" w:hAnsiTheme="majorHAnsi" w:cs="Cordia New"/>
          <w:sz w:val="22"/>
          <w:szCs w:val="22"/>
          <w:lang w:val="en" w:bidi="th-TH"/>
        </w:rPr>
        <w:t>.</w:t>
      </w:r>
      <w:r w:rsidR="002F1829">
        <w:rPr>
          <w:rFonts w:asciiTheme="majorHAnsi" w:eastAsia="Times New Roman" w:hAnsiTheme="majorHAnsi" w:cs="Cordia New"/>
          <w:sz w:val="22"/>
          <w:szCs w:val="22"/>
          <w:lang w:val="en" w:bidi="th-TH"/>
        </w:rPr>
        <w:t>976</w:t>
      </w:r>
      <w:r w:rsidR="00A87DAD" w:rsidRPr="00A87DAD">
        <w:rPr>
          <w:rFonts w:asciiTheme="majorHAnsi" w:eastAsia="Times New Roman" w:hAnsiTheme="majorHAnsi" w:cs="Cordia New"/>
          <w:sz w:val="22"/>
          <w:szCs w:val="22"/>
          <w:lang w:val="en" w:bidi="th-TH"/>
        </w:rPr>
        <w:t>.</w:t>
      </w:r>
      <w:r w:rsidRPr="000F0B8F">
        <w:rPr>
          <w:rFonts w:asciiTheme="majorHAnsi" w:eastAsia="MS PGothic" w:hAnsiTheme="majorHAnsi" w:cs="MS PGothic"/>
          <w:lang w:val="en-US" w:eastAsia="ja-JP"/>
        </w:rPr>
        <w:t xml:space="preserve"> </w:t>
      </w:r>
    </w:p>
    <w:p w14:paraId="377DFF7F" w14:textId="77777777" w:rsidR="0007417E" w:rsidRDefault="0007417E" w:rsidP="0069677B">
      <w:pPr>
        <w:pStyle w:val="NormalWeb"/>
        <w:spacing w:after="0"/>
      </w:pPr>
    </w:p>
    <w:p w14:paraId="6C419A28" w14:textId="6B0EF29A" w:rsidR="00CD2383" w:rsidRPr="00FC060A" w:rsidRDefault="00CD2383" w:rsidP="0001118A">
      <w:pPr>
        <w:pStyle w:val="Heading3"/>
      </w:pPr>
      <w:r w:rsidRPr="00FC060A">
        <w:t>Metabolism</w:t>
      </w:r>
    </w:p>
    <w:p w14:paraId="2BC3CF64" w14:textId="2A3497CF" w:rsidR="00CD2383" w:rsidRPr="000F0B8F" w:rsidRDefault="00A87DAD" w:rsidP="000F0B8F">
      <w:pPr>
        <w:pStyle w:val="NormalWeb"/>
        <w:rPr>
          <w:rFonts w:asciiTheme="majorHAnsi" w:eastAsia="Times New Roman" w:hAnsiTheme="majorHAnsi"/>
        </w:rPr>
      </w:pPr>
      <w:proofErr w:type="spellStart"/>
      <w:r w:rsidRPr="00A87DAD">
        <w:rPr>
          <w:rFonts w:asciiTheme="majorHAnsi" w:eastAsia="Times New Roman" w:hAnsiTheme="majorHAnsi" w:cs="Cordia New"/>
          <w:sz w:val="22"/>
          <w:szCs w:val="22"/>
          <w:lang w:val="en" w:bidi="th-TH"/>
        </w:rPr>
        <w:t>Enfortumab</w:t>
      </w:r>
      <w:proofErr w:type="spellEnd"/>
      <w:r w:rsidRPr="00A87DAD">
        <w:rPr>
          <w:rFonts w:asciiTheme="majorHAnsi" w:eastAsia="Times New Roman" w:hAnsiTheme="majorHAnsi" w:cs="Cordia New"/>
          <w:sz w:val="22"/>
          <w:szCs w:val="22"/>
          <w:lang w:val="en" w:bidi="th-TH"/>
        </w:rPr>
        <w:t xml:space="preserve"> </w:t>
      </w:r>
      <w:proofErr w:type="spellStart"/>
      <w:r w:rsidRPr="00A87DAD">
        <w:rPr>
          <w:rFonts w:asciiTheme="majorHAnsi" w:eastAsia="Times New Roman" w:hAnsiTheme="majorHAnsi" w:cs="Cordia New"/>
          <w:sz w:val="22"/>
          <w:szCs w:val="22"/>
          <w:lang w:val="en" w:bidi="th-TH"/>
        </w:rPr>
        <w:t>vedotin</w:t>
      </w:r>
      <w:proofErr w:type="spellEnd"/>
      <w:r w:rsidRPr="00A87DAD">
        <w:rPr>
          <w:rFonts w:asciiTheme="majorHAnsi" w:eastAsia="Times New Roman" w:hAnsiTheme="majorHAnsi" w:cs="Cordia New"/>
          <w:sz w:val="22"/>
          <w:szCs w:val="22"/>
          <w:lang w:val="en" w:bidi="th-TH"/>
        </w:rPr>
        <w:t xml:space="preserve"> is expected undergo catabolism in patients, resulting in the production of small peptides, amino acids, unconjugated MMAE, and unconjugated MMAE related catabolites</w:t>
      </w:r>
      <w:r w:rsidR="000F0B8F" w:rsidRPr="000F0B8F">
        <w:rPr>
          <w:rFonts w:asciiTheme="majorHAnsi" w:eastAsia="Times New Roman" w:hAnsiTheme="majorHAnsi" w:cs="Cordia New"/>
          <w:sz w:val="22"/>
          <w:szCs w:val="22"/>
          <w:lang w:val="en" w:bidi="th-TH"/>
        </w:rPr>
        <w:t xml:space="preserve">. </w:t>
      </w:r>
      <w:r w:rsidR="000F0B8F" w:rsidRPr="000F0B8F">
        <w:rPr>
          <w:rFonts w:asciiTheme="majorHAnsi" w:eastAsia="Times New Roman" w:hAnsiTheme="majorHAnsi" w:cs="Cordia New"/>
          <w:i/>
          <w:iCs/>
          <w:sz w:val="22"/>
          <w:szCs w:val="22"/>
          <w:lang w:val="en" w:bidi="th-TH"/>
        </w:rPr>
        <w:t>In vitro</w:t>
      </w:r>
      <w:r w:rsidR="000F0B8F" w:rsidRPr="000F0B8F">
        <w:rPr>
          <w:rFonts w:asciiTheme="majorHAnsi" w:eastAsia="Times New Roman" w:hAnsiTheme="majorHAnsi" w:cs="Cordia New"/>
          <w:sz w:val="22"/>
          <w:szCs w:val="22"/>
          <w:lang w:val="en" w:bidi="th-TH"/>
        </w:rPr>
        <w:t xml:space="preserve"> data indicate that the metabolism of MMAE occurs primarily via oxidation by CYP3A4.</w:t>
      </w:r>
    </w:p>
    <w:p w14:paraId="11F807AC" w14:textId="39ECB415" w:rsidR="00CD2383" w:rsidRPr="00FC060A" w:rsidRDefault="00CD2383" w:rsidP="00AD0081">
      <w:pPr>
        <w:pStyle w:val="Heading3"/>
        <w:keepNext/>
        <w:keepLines/>
      </w:pPr>
      <w:r w:rsidRPr="00FC060A">
        <w:t>Excretion</w:t>
      </w:r>
    </w:p>
    <w:p w14:paraId="2781C70A" w14:textId="3D458FC4" w:rsidR="000F0B8F" w:rsidRPr="000F0B8F" w:rsidRDefault="000F0B8F" w:rsidP="00AD0081">
      <w:pPr>
        <w:pStyle w:val="NormalWeb"/>
        <w:keepNext/>
        <w:keepLines/>
        <w:rPr>
          <w:rFonts w:asciiTheme="majorHAnsi" w:eastAsia="Times New Roman" w:hAnsiTheme="majorHAnsi" w:cs="Cordia New"/>
          <w:sz w:val="22"/>
          <w:szCs w:val="22"/>
          <w:lang w:val="en" w:bidi="th-TH"/>
        </w:rPr>
      </w:pPr>
      <w:r w:rsidRPr="000F0B8F">
        <w:rPr>
          <w:rFonts w:asciiTheme="majorHAnsi" w:eastAsia="Times New Roman" w:hAnsiTheme="majorHAnsi" w:cs="Cordia New"/>
          <w:sz w:val="22"/>
          <w:szCs w:val="22"/>
          <w:lang w:val="en" w:bidi="th-TH"/>
        </w:rPr>
        <w:t xml:space="preserve">The excretion of MMAE occurs mainly in </w:t>
      </w:r>
      <w:proofErr w:type="spellStart"/>
      <w:r w:rsidRPr="000F0B8F">
        <w:rPr>
          <w:rFonts w:asciiTheme="majorHAnsi" w:eastAsia="Times New Roman" w:hAnsiTheme="majorHAnsi" w:cs="Cordia New"/>
          <w:sz w:val="22"/>
          <w:szCs w:val="22"/>
          <w:lang w:val="en" w:bidi="th-TH"/>
        </w:rPr>
        <w:t>faeces</w:t>
      </w:r>
      <w:proofErr w:type="spellEnd"/>
      <w:r w:rsidRPr="000F0B8F">
        <w:rPr>
          <w:rFonts w:asciiTheme="majorHAnsi" w:eastAsia="Times New Roman" w:hAnsiTheme="majorHAnsi" w:cs="Cordia New"/>
          <w:sz w:val="22"/>
          <w:szCs w:val="22"/>
          <w:lang w:val="en" w:bidi="th-TH"/>
        </w:rPr>
        <w:t xml:space="preserve"> with a smaller proportion in urine. After a single dose of another ADC that contained MMAE, approximately 24% of the total MMAE administered was recovered in </w:t>
      </w:r>
      <w:proofErr w:type="spellStart"/>
      <w:r w:rsidRPr="000F0B8F">
        <w:rPr>
          <w:rFonts w:asciiTheme="majorHAnsi" w:eastAsia="Times New Roman" w:hAnsiTheme="majorHAnsi" w:cs="Cordia New"/>
          <w:sz w:val="22"/>
          <w:szCs w:val="22"/>
          <w:lang w:val="en" w:bidi="th-TH"/>
        </w:rPr>
        <w:t>faeces</w:t>
      </w:r>
      <w:proofErr w:type="spellEnd"/>
      <w:r w:rsidRPr="000F0B8F">
        <w:rPr>
          <w:rFonts w:asciiTheme="majorHAnsi" w:eastAsia="Times New Roman" w:hAnsiTheme="majorHAnsi" w:cs="Cordia New"/>
          <w:sz w:val="22"/>
          <w:szCs w:val="22"/>
          <w:lang w:val="en" w:bidi="th-TH"/>
        </w:rPr>
        <w:t xml:space="preserve"> and urine as unchanged MMAE over a 1-week period. The majority of recovered MMAE was excreted in </w:t>
      </w:r>
      <w:proofErr w:type="spellStart"/>
      <w:r w:rsidRPr="000F0B8F">
        <w:rPr>
          <w:rFonts w:asciiTheme="majorHAnsi" w:eastAsia="Times New Roman" w:hAnsiTheme="majorHAnsi" w:cs="Cordia New"/>
          <w:sz w:val="22"/>
          <w:szCs w:val="22"/>
          <w:lang w:val="en" w:bidi="th-TH"/>
        </w:rPr>
        <w:t>faeces</w:t>
      </w:r>
      <w:proofErr w:type="spellEnd"/>
      <w:r w:rsidRPr="000F0B8F">
        <w:rPr>
          <w:rFonts w:asciiTheme="majorHAnsi" w:eastAsia="Times New Roman" w:hAnsiTheme="majorHAnsi" w:cs="Cordia New"/>
          <w:sz w:val="22"/>
          <w:szCs w:val="22"/>
          <w:lang w:val="en" w:bidi="th-TH"/>
        </w:rPr>
        <w:t xml:space="preserve"> (72%). A similar excretion profile is expected for MMAE after </w:t>
      </w:r>
      <w:proofErr w:type="spellStart"/>
      <w:r w:rsidRPr="000F0B8F">
        <w:rPr>
          <w:rFonts w:asciiTheme="majorHAnsi" w:eastAsia="Times New Roman" w:hAnsiTheme="majorHAnsi" w:cs="Cordia New"/>
          <w:sz w:val="22"/>
          <w:szCs w:val="22"/>
          <w:lang w:val="en" w:bidi="th-TH"/>
        </w:rPr>
        <w:t>enfortumab</w:t>
      </w:r>
      <w:proofErr w:type="spellEnd"/>
      <w:r w:rsidRPr="000F0B8F">
        <w:rPr>
          <w:rFonts w:asciiTheme="majorHAnsi" w:eastAsia="Times New Roman" w:hAnsiTheme="majorHAnsi" w:cs="Cordia New"/>
          <w:sz w:val="22"/>
          <w:szCs w:val="22"/>
          <w:lang w:val="en" w:bidi="th-TH"/>
        </w:rPr>
        <w:t xml:space="preserve"> </w:t>
      </w:r>
      <w:proofErr w:type="spellStart"/>
      <w:r w:rsidRPr="000F0B8F">
        <w:rPr>
          <w:rFonts w:asciiTheme="majorHAnsi" w:eastAsia="Times New Roman" w:hAnsiTheme="majorHAnsi" w:cs="Cordia New"/>
          <w:sz w:val="22"/>
          <w:szCs w:val="22"/>
          <w:lang w:val="en" w:bidi="th-TH"/>
        </w:rPr>
        <w:t>vedotin</w:t>
      </w:r>
      <w:proofErr w:type="spellEnd"/>
      <w:r w:rsidRPr="000F0B8F">
        <w:rPr>
          <w:rFonts w:asciiTheme="majorHAnsi" w:eastAsia="Times New Roman" w:hAnsiTheme="majorHAnsi" w:cs="Cordia New"/>
          <w:sz w:val="22"/>
          <w:szCs w:val="22"/>
          <w:lang w:val="en" w:bidi="th-TH"/>
        </w:rPr>
        <w:t xml:space="preserve"> administration.</w:t>
      </w:r>
    </w:p>
    <w:p w14:paraId="23756E23" w14:textId="77777777" w:rsidR="0007417E" w:rsidRDefault="000F0B8F" w:rsidP="0007417E">
      <w:pPr>
        <w:spacing w:before="100" w:beforeAutospacing="1" w:after="100" w:afterAutospacing="1" w:line="240" w:lineRule="auto"/>
        <w:ind w:firstLineChars="100" w:firstLine="221"/>
        <w:rPr>
          <w:rFonts w:asciiTheme="majorHAnsi" w:eastAsia="Times New Roman" w:hAnsiTheme="majorHAnsi"/>
          <w:i/>
          <w:lang w:val="en" w:bidi="th-TH"/>
        </w:rPr>
      </w:pPr>
      <w:r w:rsidRPr="000F0B8F">
        <w:rPr>
          <w:rFonts w:asciiTheme="majorHAnsi" w:eastAsia="MS Gothic" w:hAnsiTheme="majorHAnsi" w:cs="Angsana New"/>
          <w:b/>
          <w:bCs/>
          <w:lang w:bidi="th-TH"/>
        </w:rPr>
        <w:t xml:space="preserve">Immunogenicity </w:t>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r>
      <w:r w:rsidRPr="000F0B8F">
        <w:rPr>
          <w:rFonts w:asciiTheme="majorHAnsi" w:eastAsia="Times New Roman" w:hAnsiTheme="majorHAnsi"/>
          <w:i/>
          <w:lang w:val="en" w:bidi="th-TH"/>
        </w:rPr>
        <w:tab/>
        <w:t xml:space="preserve">      </w:t>
      </w:r>
    </w:p>
    <w:p w14:paraId="47A9BD76" w14:textId="36BEF9C1" w:rsidR="00CD2383" w:rsidRPr="00FE331A" w:rsidRDefault="000F0B8F" w:rsidP="00FE331A">
      <w:pPr>
        <w:spacing w:before="100" w:beforeAutospacing="1" w:after="100" w:afterAutospacing="1" w:line="240" w:lineRule="auto"/>
        <w:rPr>
          <w:rFonts w:asciiTheme="majorHAnsi" w:eastAsia="MS Gothic" w:hAnsiTheme="majorHAnsi" w:cs="Angsana New"/>
          <w:b/>
          <w:bCs/>
          <w:lang w:bidi="th-TH"/>
        </w:rPr>
      </w:pPr>
      <w:r w:rsidRPr="000F0B8F">
        <w:rPr>
          <w:rFonts w:asciiTheme="majorHAnsi" w:eastAsia="Times New Roman" w:hAnsiTheme="majorHAnsi"/>
          <w:lang w:val="en" w:bidi="th-TH"/>
        </w:rPr>
        <w:t xml:space="preserve">A total of 590 patients were tested for immunogenicity to PADCEV 1.25 mg/kg; 15 patients were confirmed to be positive at baseline for anti-therapeutic antibody (ATA), and in patients that were negative at baseline (N=575), a total of 16 (2.8%) were positive postbaseline (13 transiently and 3 persistently). Due to the limited number of patients with antibodies against PADCEV, no conclusions can be drawn concerning a potential effect of immunogenicity on efficacy </w:t>
      </w:r>
      <w:r w:rsidR="00B5136A">
        <w:rPr>
          <w:rFonts w:asciiTheme="majorHAnsi" w:eastAsia="Times New Roman" w:hAnsiTheme="majorHAnsi"/>
          <w:lang w:val="en" w:bidi="th-TH"/>
        </w:rPr>
        <w:t xml:space="preserve">or </w:t>
      </w:r>
      <w:r w:rsidRPr="000F0B8F">
        <w:rPr>
          <w:rFonts w:asciiTheme="majorHAnsi" w:eastAsia="Times New Roman" w:hAnsiTheme="majorHAnsi"/>
          <w:lang w:val="en" w:bidi="th-TH"/>
        </w:rPr>
        <w:t>safety.</w:t>
      </w:r>
    </w:p>
    <w:p w14:paraId="55D6244B" w14:textId="2AF7441B" w:rsidR="00CD2383" w:rsidRPr="000F0B8F" w:rsidRDefault="00CD2383" w:rsidP="000F0B8F">
      <w:pPr>
        <w:pStyle w:val="Heading3"/>
        <w:ind w:left="0"/>
        <w:rPr>
          <w:b w:val="0"/>
          <w:u w:val="single"/>
        </w:rPr>
      </w:pPr>
      <w:r w:rsidRPr="000F0B8F">
        <w:rPr>
          <w:b w:val="0"/>
          <w:u w:val="single"/>
        </w:rPr>
        <w:t>Pharmacokinetic Characteristics in Special Populations</w:t>
      </w:r>
    </w:p>
    <w:p w14:paraId="1B72F44F" w14:textId="7B237142" w:rsidR="000F0B8F" w:rsidRPr="000F0B8F" w:rsidRDefault="000F0B8F" w:rsidP="000F0B8F">
      <w:pPr>
        <w:spacing w:after="0"/>
        <w:rPr>
          <w:rFonts w:asciiTheme="majorHAnsi" w:eastAsia="Times New Roman" w:hAnsiTheme="majorHAnsi"/>
          <w:u w:val="single"/>
          <w:lang w:bidi="th-TH"/>
        </w:rPr>
      </w:pPr>
      <w:r w:rsidRPr="000F0B8F">
        <w:rPr>
          <w:rFonts w:asciiTheme="majorHAnsi" w:eastAsia="Times New Roman" w:hAnsiTheme="majorHAnsi"/>
          <w:lang w:val="en" w:bidi="th-TH"/>
        </w:rPr>
        <w:t xml:space="preserve">Elderly: Population pharmacokinetic analysis indicates that age [range: 24 to 90 years; 60% (450/748) &gt;65 years, 19% (143/748) &gt;75 years] does not have a clinically meaningful effect on the pharmacokinetics of </w:t>
      </w:r>
      <w:proofErr w:type="spellStart"/>
      <w:r w:rsidRPr="000F0B8F">
        <w:rPr>
          <w:rFonts w:asciiTheme="majorHAnsi" w:eastAsia="Times New Roman" w:hAnsiTheme="majorHAnsi"/>
          <w:lang w:val="en" w:bidi="th-TH"/>
        </w:rPr>
        <w:t>enfortumab</w:t>
      </w:r>
      <w:proofErr w:type="spellEnd"/>
      <w:r w:rsidRPr="000F0B8F">
        <w:rPr>
          <w:rFonts w:asciiTheme="majorHAnsi" w:eastAsia="Times New Roman" w:hAnsiTheme="majorHAnsi"/>
          <w:lang w:val="en" w:bidi="th-TH"/>
        </w:rPr>
        <w:t xml:space="preserve"> </w:t>
      </w:r>
      <w:proofErr w:type="spellStart"/>
      <w:r w:rsidRPr="000F0B8F">
        <w:rPr>
          <w:rFonts w:asciiTheme="majorHAnsi" w:eastAsia="Times New Roman" w:hAnsiTheme="majorHAnsi"/>
          <w:lang w:val="en" w:bidi="th-TH"/>
        </w:rPr>
        <w:t>vedotin</w:t>
      </w:r>
      <w:proofErr w:type="spellEnd"/>
      <w:r w:rsidRPr="000F0B8F">
        <w:rPr>
          <w:rFonts w:asciiTheme="majorHAnsi" w:eastAsia="Times New Roman" w:hAnsiTheme="majorHAnsi"/>
          <w:lang w:val="en" w:bidi="th-TH"/>
        </w:rPr>
        <w:t xml:space="preserve">. </w:t>
      </w:r>
    </w:p>
    <w:p w14:paraId="24133D16" w14:textId="77777777" w:rsidR="000F0B8F" w:rsidRPr="000F0B8F" w:rsidRDefault="000F0B8F" w:rsidP="000F0B8F">
      <w:pPr>
        <w:spacing w:after="0"/>
        <w:rPr>
          <w:rFonts w:asciiTheme="majorHAnsi" w:eastAsia="Times New Roman" w:hAnsiTheme="majorHAnsi"/>
          <w:lang w:val="en" w:bidi="th-TH"/>
        </w:rPr>
      </w:pPr>
    </w:p>
    <w:p w14:paraId="111B4C49" w14:textId="77777777" w:rsidR="000F0B8F" w:rsidRPr="000F0B8F" w:rsidRDefault="000F0B8F" w:rsidP="000F0B8F">
      <w:pPr>
        <w:spacing w:after="0"/>
        <w:rPr>
          <w:rFonts w:asciiTheme="majorHAnsi" w:eastAsia="Times New Roman" w:hAnsiTheme="majorHAnsi"/>
          <w:lang w:val="en" w:bidi="th-TH"/>
        </w:rPr>
      </w:pPr>
      <w:r w:rsidRPr="000F0B8F">
        <w:rPr>
          <w:rFonts w:asciiTheme="majorHAnsi" w:eastAsia="Times New Roman" w:hAnsiTheme="majorHAnsi"/>
          <w:lang w:val="en" w:bidi="th-TH"/>
        </w:rPr>
        <w:t xml:space="preserve">Gender and race: Based on population pharmacokinetic analysis, race [69% (519/748) White, 21% (158/748) Asian, 1% (10/748) Black and 8% (61/748) others or unknown] and gender </w:t>
      </w:r>
      <w:r w:rsidRPr="000F0B8F">
        <w:rPr>
          <w:rFonts w:asciiTheme="majorHAnsi" w:eastAsia="Times New Roman" w:hAnsiTheme="majorHAnsi"/>
          <w:lang w:val="en" w:bidi="th-TH"/>
        </w:rPr>
        <w:lastRenderedPageBreak/>
        <w:t xml:space="preserve">[73% (544/748) male] do not have a clinically meaningful effect on the pharmacokinetics of </w:t>
      </w:r>
      <w:proofErr w:type="spellStart"/>
      <w:r w:rsidRPr="000F0B8F">
        <w:rPr>
          <w:rFonts w:asciiTheme="majorHAnsi" w:eastAsia="Times New Roman" w:hAnsiTheme="majorHAnsi"/>
          <w:lang w:val="en" w:bidi="th-TH"/>
        </w:rPr>
        <w:t>enfortumab</w:t>
      </w:r>
      <w:proofErr w:type="spellEnd"/>
      <w:r w:rsidRPr="000F0B8F">
        <w:rPr>
          <w:rFonts w:asciiTheme="majorHAnsi" w:eastAsia="Times New Roman" w:hAnsiTheme="majorHAnsi"/>
          <w:lang w:val="en" w:bidi="th-TH"/>
        </w:rPr>
        <w:t xml:space="preserve"> </w:t>
      </w:r>
      <w:proofErr w:type="spellStart"/>
      <w:r w:rsidRPr="000F0B8F">
        <w:rPr>
          <w:rFonts w:asciiTheme="majorHAnsi" w:eastAsia="Times New Roman" w:hAnsiTheme="majorHAnsi"/>
          <w:lang w:val="en" w:bidi="th-TH"/>
        </w:rPr>
        <w:t>vedotin</w:t>
      </w:r>
      <w:proofErr w:type="spellEnd"/>
      <w:r w:rsidRPr="000F0B8F">
        <w:rPr>
          <w:rFonts w:asciiTheme="majorHAnsi" w:eastAsia="Times New Roman" w:hAnsiTheme="majorHAnsi"/>
          <w:lang w:val="en" w:bidi="th-TH"/>
        </w:rPr>
        <w:t xml:space="preserve">. </w:t>
      </w:r>
    </w:p>
    <w:p w14:paraId="5F4A5772" w14:textId="77777777" w:rsidR="000F0B8F" w:rsidRPr="000F0B8F" w:rsidRDefault="000F0B8F" w:rsidP="000F0B8F">
      <w:pPr>
        <w:spacing w:after="0"/>
        <w:rPr>
          <w:rFonts w:asciiTheme="majorHAnsi" w:eastAsia="Times New Roman" w:hAnsiTheme="majorHAnsi"/>
          <w:lang w:val="en" w:bidi="th-TH"/>
        </w:rPr>
      </w:pPr>
    </w:p>
    <w:p w14:paraId="4209A2D4" w14:textId="037468C5" w:rsidR="000F0B8F" w:rsidRPr="000F0B8F" w:rsidRDefault="000F0B8F" w:rsidP="000F0B8F">
      <w:pPr>
        <w:spacing w:after="0"/>
        <w:rPr>
          <w:rFonts w:asciiTheme="majorHAnsi" w:eastAsia="Times New Roman" w:hAnsiTheme="majorHAnsi"/>
          <w:lang w:val="en" w:bidi="th-TH"/>
        </w:rPr>
      </w:pPr>
      <w:r w:rsidRPr="000F0B8F">
        <w:rPr>
          <w:rFonts w:asciiTheme="majorHAnsi" w:eastAsia="Times New Roman" w:hAnsiTheme="majorHAnsi"/>
          <w:lang w:val="en" w:bidi="th-TH"/>
        </w:rPr>
        <w:t>Patients with hepatic impairment: Based on population pharmacokinetics analysis using data from clinical studies in patients with metastatic UC, there was no significant differences in ADC exposure and a 37% increase in unconjugated MMAE AUC were observed in patients with mild hepatic impairment (</w:t>
      </w:r>
      <w:r w:rsidR="005E204C">
        <w:rPr>
          <w:rFonts w:asciiTheme="majorHAnsi" w:eastAsia="Times New Roman" w:hAnsiTheme="majorHAnsi"/>
          <w:lang w:val="en" w:bidi="th-TH"/>
        </w:rPr>
        <w:t xml:space="preserve">total </w:t>
      </w:r>
      <w:r w:rsidRPr="000F0B8F">
        <w:rPr>
          <w:rFonts w:asciiTheme="majorHAnsi" w:eastAsia="Times New Roman" w:hAnsiTheme="majorHAnsi"/>
          <w:lang w:val="en" w:bidi="th-TH"/>
        </w:rPr>
        <w:t xml:space="preserve">bilirubin 1 to 1.5 × ULN and AST </w:t>
      </w:r>
      <w:r w:rsidR="0002340D">
        <w:rPr>
          <w:rFonts w:asciiTheme="majorHAnsi" w:eastAsia="Times New Roman" w:hAnsiTheme="majorHAnsi"/>
          <w:lang w:val="en" w:bidi="th-TH"/>
        </w:rPr>
        <w:t xml:space="preserve">of </w:t>
      </w:r>
      <w:r w:rsidR="008E435E">
        <w:rPr>
          <w:rFonts w:asciiTheme="majorHAnsi" w:eastAsia="Times New Roman" w:hAnsiTheme="majorHAnsi"/>
          <w:lang w:val="en" w:bidi="th-TH"/>
        </w:rPr>
        <w:t>any</w:t>
      </w:r>
      <w:r w:rsidR="0002340D">
        <w:rPr>
          <w:rFonts w:asciiTheme="majorHAnsi" w:eastAsia="Times New Roman" w:hAnsiTheme="majorHAnsi"/>
          <w:lang w:val="en" w:bidi="th-TH"/>
        </w:rPr>
        <w:t xml:space="preserve"> level</w:t>
      </w:r>
      <w:r w:rsidRPr="000F0B8F">
        <w:rPr>
          <w:rFonts w:asciiTheme="majorHAnsi" w:eastAsia="Times New Roman" w:hAnsiTheme="majorHAnsi"/>
          <w:lang w:val="en" w:bidi="th-TH"/>
        </w:rPr>
        <w:t xml:space="preserve">, or </w:t>
      </w:r>
      <w:r w:rsidR="008E435E">
        <w:rPr>
          <w:rFonts w:asciiTheme="majorHAnsi" w:eastAsia="Times New Roman" w:hAnsiTheme="majorHAnsi"/>
          <w:lang w:val="en" w:bidi="th-TH"/>
        </w:rPr>
        <w:t xml:space="preserve">total </w:t>
      </w:r>
      <w:r w:rsidRPr="000F0B8F">
        <w:rPr>
          <w:rFonts w:asciiTheme="majorHAnsi" w:eastAsia="Times New Roman" w:hAnsiTheme="majorHAnsi"/>
          <w:lang w:val="en" w:bidi="th-TH"/>
        </w:rPr>
        <w:t xml:space="preserve">bilirubin ≤ ULN and AST &gt; ULN, n=65) compared to patients with normal hepatic function. </w:t>
      </w:r>
      <w:r w:rsidR="00B428FF">
        <w:rPr>
          <w:rFonts w:asciiTheme="majorHAnsi" w:eastAsia="Times New Roman" w:hAnsiTheme="majorHAnsi"/>
          <w:lang w:val="en" w:bidi="th-TH"/>
        </w:rPr>
        <w:t xml:space="preserve">As </w:t>
      </w:r>
      <w:proofErr w:type="spellStart"/>
      <w:r w:rsidR="007368AD">
        <w:rPr>
          <w:rFonts w:asciiTheme="majorHAnsi" w:eastAsia="Times New Roman" w:hAnsiTheme="majorHAnsi"/>
          <w:lang w:val="en" w:bidi="th-TH"/>
        </w:rPr>
        <w:t>e</w:t>
      </w:r>
      <w:r w:rsidRPr="000F0B8F">
        <w:rPr>
          <w:rFonts w:asciiTheme="majorHAnsi" w:eastAsia="Times New Roman" w:hAnsiTheme="majorHAnsi"/>
          <w:lang w:val="en" w:bidi="th-TH"/>
        </w:rPr>
        <w:t>nfortumab</w:t>
      </w:r>
      <w:proofErr w:type="spellEnd"/>
      <w:r w:rsidRPr="000F0B8F">
        <w:rPr>
          <w:rFonts w:asciiTheme="majorHAnsi" w:eastAsia="Times New Roman" w:hAnsiTheme="majorHAnsi"/>
          <w:lang w:val="en" w:bidi="th-TH"/>
        </w:rPr>
        <w:t xml:space="preserve"> </w:t>
      </w:r>
      <w:proofErr w:type="spellStart"/>
      <w:r w:rsidRPr="000F0B8F">
        <w:rPr>
          <w:rFonts w:asciiTheme="majorHAnsi" w:eastAsia="Times New Roman" w:hAnsiTheme="majorHAnsi"/>
          <w:lang w:val="en" w:bidi="th-TH"/>
        </w:rPr>
        <w:t>vedotin</w:t>
      </w:r>
      <w:proofErr w:type="spellEnd"/>
      <w:r w:rsidRPr="000F0B8F">
        <w:rPr>
          <w:rFonts w:asciiTheme="majorHAnsi" w:eastAsia="Times New Roman" w:hAnsiTheme="majorHAnsi"/>
          <w:lang w:val="en" w:bidi="th-TH"/>
        </w:rPr>
        <w:t xml:space="preserve"> has only been studied in a limited number of patients with moderate hepatic impairment (n=3) and has not been evaluated in patients with severe hepatic impairment</w:t>
      </w:r>
      <w:r w:rsidR="008E435E">
        <w:rPr>
          <w:rFonts w:asciiTheme="majorHAnsi" w:eastAsia="Times New Roman" w:hAnsiTheme="majorHAnsi"/>
          <w:lang w:val="en" w:bidi="th-TH"/>
        </w:rPr>
        <w:t xml:space="preserve"> (total bilirubin </w:t>
      </w:r>
      <w:r w:rsidR="008E435E" w:rsidRPr="000F0B8F">
        <w:rPr>
          <w:rFonts w:asciiTheme="majorHAnsi" w:eastAsia="Times New Roman" w:hAnsiTheme="majorHAnsi"/>
          <w:lang w:val="en" w:bidi="th-TH"/>
        </w:rPr>
        <w:t>&gt;</w:t>
      </w:r>
      <w:r w:rsidR="008E435E">
        <w:rPr>
          <w:rFonts w:asciiTheme="majorHAnsi" w:eastAsia="Times New Roman" w:hAnsiTheme="majorHAnsi"/>
          <w:lang w:val="en" w:bidi="th-TH"/>
        </w:rPr>
        <w:t xml:space="preserve">1.5 </w:t>
      </w:r>
      <w:r w:rsidR="008E435E" w:rsidRPr="000F0B8F">
        <w:rPr>
          <w:rFonts w:asciiTheme="majorHAnsi" w:eastAsia="Times New Roman" w:hAnsiTheme="majorHAnsi"/>
          <w:lang w:val="en" w:bidi="th-TH"/>
        </w:rPr>
        <w:t>×</w:t>
      </w:r>
      <w:r w:rsidR="008E435E">
        <w:rPr>
          <w:rFonts w:asciiTheme="majorHAnsi" w:eastAsia="Times New Roman" w:hAnsiTheme="majorHAnsi"/>
          <w:lang w:val="en" w:bidi="th-TH"/>
        </w:rPr>
        <w:t xml:space="preserve"> ULN and AST </w:t>
      </w:r>
      <w:r w:rsidR="0002340D">
        <w:rPr>
          <w:rFonts w:asciiTheme="majorHAnsi" w:eastAsia="Times New Roman" w:hAnsiTheme="majorHAnsi"/>
          <w:lang w:val="en" w:bidi="th-TH"/>
        </w:rPr>
        <w:t xml:space="preserve">of </w:t>
      </w:r>
      <w:r w:rsidR="008E435E">
        <w:rPr>
          <w:rFonts w:asciiTheme="majorHAnsi" w:eastAsia="Times New Roman" w:hAnsiTheme="majorHAnsi"/>
          <w:lang w:val="en" w:bidi="th-TH"/>
        </w:rPr>
        <w:t>any</w:t>
      </w:r>
      <w:r w:rsidR="0002340D">
        <w:rPr>
          <w:rFonts w:asciiTheme="majorHAnsi" w:eastAsia="Times New Roman" w:hAnsiTheme="majorHAnsi"/>
          <w:lang w:val="en" w:bidi="th-TH"/>
        </w:rPr>
        <w:t xml:space="preserve"> level</w:t>
      </w:r>
      <w:r w:rsidR="008E435E">
        <w:rPr>
          <w:rFonts w:asciiTheme="majorHAnsi" w:eastAsia="Times New Roman" w:hAnsiTheme="majorHAnsi"/>
          <w:lang w:val="en" w:bidi="th-TH"/>
        </w:rPr>
        <w:t>)</w:t>
      </w:r>
      <w:r w:rsidR="00B428FF">
        <w:rPr>
          <w:rFonts w:asciiTheme="majorHAnsi" w:eastAsia="Times New Roman" w:hAnsiTheme="majorHAnsi"/>
          <w:lang w:val="en" w:bidi="th-TH"/>
        </w:rPr>
        <w:t>, use</w:t>
      </w:r>
      <w:r w:rsidR="00B428FF">
        <w:rPr>
          <w:rFonts w:asciiTheme="majorHAnsi" w:eastAsia="MS PGothic" w:hAnsiTheme="majorHAnsi" w:cs="Calibri"/>
          <w:b/>
          <w:bCs/>
          <w:lang w:val="en-US" w:eastAsia="ja-JP"/>
        </w:rPr>
        <w:t xml:space="preserve"> </w:t>
      </w:r>
      <w:r w:rsidR="00B428FF" w:rsidRPr="00B428FF">
        <w:rPr>
          <w:rFonts w:asciiTheme="majorHAnsi" w:eastAsia="MS PGothic" w:hAnsiTheme="majorHAnsi" w:cs="Calibri"/>
          <w:lang w:val="en-US" w:eastAsia="ja-JP"/>
        </w:rPr>
        <w:t>PADCEV with caution in these patients</w:t>
      </w:r>
      <w:r w:rsidRPr="00B428FF">
        <w:rPr>
          <w:rFonts w:asciiTheme="majorHAnsi" w:eastAsia="Times New Roman" w:hAnsiTheme="majorHAnsi"/>
          <w:lang w:val="en" w:bidi="th-TH"/>
        </w:rPr>
        <w:t>.</w:t>
      </w:r>
    </w:p>
    <w:p w14:paraId="06B886DF" w14:textId="77777777" w:rsidR="000F0B8F" w:rsidRPr="000F0B8F" w:rsidRDefault="000F0B8F" w:rsidP="000F0B8F">
      <w:pPr>
        <w:spacing w:after="0"/>
        <w:rPr>
          <w:rFonts w:asciiTheme="majorHAnsi" w:eastAsia="Times New Roman" w:hAnsiTheme="majorHAnsi"/>
          <w:lang w:val="en" w:bidi="th-TH"/>
        </w:rPr>
      </w:pPr>
      <w:r w:rsidRPr="000F0B8F">
        <w:rPr>
          <w:rFonts w:asciiTheme="majorHAnsi" w:eastAsia="Times New Roman" w:hAnsiTheme="majorHAnsi"/>
          <w:lang w:val="en" w:bidi="th-TH"/>
        </w:rPr>
        <w:t xml:space="preserve"> </w:t>
      </w:r>
    </w:p>
    <w:p w14:paraId="133B3594" w14:textId="23E3F9DA" w:rsidR="00CD2383" w:rsidRDefault="000F0B8F" w:rsidP="00F7729A">
      <w:pPr>
        <w:spacing w:after="0"/>
        <w:rPr>
          <w:rFonts w:asciiTheme="majorHAnsi" w:eastAsia="Times New Roman" w:hAnsiTheme="majorHAnsi"/>
          <w:lang w:val="en" w:bidi="th-TH"/>
        </w:rPr>
      </w:pPr>
      <w:r w:rsidRPr="000F0B8F">
        <w:rPr>
          <w:rFonts w:asciiTheme="majorHAnsi" w:eastAsia="Times New Roman" w:hAnsiTheme="majorHAnsi"/>
          <w:lang w:val="en" w:bidi="th-TH"/>
        </w:rPr>
        <w:t xml:space="preserve">Patients with renal impairment: The pharmacokinetics of ADC and unconjugated MMAE were evaluated after the administration of 1.25 mg/kg of </w:t>
      </w:r>
      <w:proofErr w:type="spellStart"/>
      <w:r w:rsidRPr="000F0B8F">
        <w:rPr>
          <w:rFonts w:asciiTheme="majorHAnsi" w:eastAsia="Times New Roman" w:hAnsiTheme="majorHAnsi"/>
          <w:lang w:val="en" w:bidi="th-TH"/>
        </w:rPr>
        <w:t>enfortumab</w:t>
      </w:r>
      <w:proofErr w:type="spellEnd"/>
      <w:r w:rsidRPr="000F0B8F">
        <w:rPr>
          <w:rFonts w:asciiTheme="majorHAnsi" w:eastAsia="Times New Roman" w:hAnsiTheme="majorHAnsi"/>
          <w:lang w:val="en" w:bidi="th-TH"/>
        </w:rPr>
        <w:t xml:space="preserve"> </w:t>
      </w:r>
      <w:proofErr w:type="spellStart"/>
      <w:r w:rsidRPr="000F0B8F">
        <w:rPr>
          <w:rFonts w:asciiTheme="majorHAnsi" w:eastAsia="Times New Roman" w:hAnsiTheme="majorHAnsi"/>
          <w:lang w:val="en" w:bidi="th-TH"/>
        </w:rPr>
        <w:t>vedotin</w:t>
      </w:r>
      <w:proofErr w:type="spellEnd"/>
      <w:r w:rsidRPr="000F0B8F">
        <w:rPr>
          <w:rFonts w:asciiTheme="majorHAnsi" w:eastAsia="Times New Roman" w:hAnsiTheme="majorHAnsi"/>
          <w:lang w:val="en" w:bidi="th-TH"/>
        </w:rPr>
        <w:t xml:space="preserve"> to patients with mild (creatinine clearance; </w:t>
      </w:r>
      <w:proofErr w:type="spellStart"/>
      <w:r w:rsidRPr="000F0B8F">
        <w:rPr>
          <w:rFonts w:asciiTheme="majorHAnsi" w:eastAsia="Times New Roman" w:hAnsiTheme="majorHAnsi"/>
          <w:lang w:val="en" w:bidi="th-TH"/>
        </w:rPr>
        <w:t>CrCL</w:t>
      </w:r>
      <w:proofErr w:type="spellEnd"/>
      <w:r w:rsidRPr="000F0B8F">
        <w:rPr>
          <w:rFonts w:asciiTheme="majorHAnsi" w:eastAsia="Times New Roman" w:hAnsiTheme="majorHAnsi"/>
          <w:lang w:val="en" w:bidi="th-TH"/>
        </w:rPr>
        <w:t xml:space="preserve"> &gt;60–90 mL/min; n=272), moderate (</w:t>
      </w:r>
      <w:proofErr w:type="spellStart"/>
      <w:r w:rsidRPr="000F0B8F">
        <w:rPr>
          <w:rFonts w:asciiTheme="majorHAnsi" w:eastAsia="Times New Roman" w:hAnsiTheme="majorHAnsi"/>
          <w:lang w:val="en" w:bidi="th-TH"/>
        </w:rPr>
        <w:t>CrCL</w:t>
      </w:r>
      <w:proofErr w:type="spellEnd"/>
      <w:r w:rsidRPr="000F0B8F">
        <w:rPr>
          <w:rFonts w:asciiTheme="majorHAnsi" w:eastAsia="Times New Roman" w:hAnsiTheme="majorHAnsi"/>
          <w:lang w:val="en" w:bidi="th-TH"/>
        </w:rPr>
        <w:t xml:space="preserve"> 30–60 mL/min; n=315) and severe (</w:t>
      </w:r>
      <w:proofErr w:type="spellStart"/>
      <w:r w:rsidRPr="000F0B8F">
        <w:rPr>
          <w:rFonts w:asciiTheme="majorHAnsi" w:eastAsia="Times New Roman" w:hAnsiTheme="majorHAnsi"/>
          <w:lang w:val="en" w:bidi="th-TH"/>
        </w:rPr>
        <w:t>CrCL</w:t>
      </w:r>
      <w:proofErr w:type="spellEnd"/>
      <w:r w:rsidRPr="000F0B8F">
        <w:rPr>
          <w:rFonts w:asciiTheme="majorHAnsi" w:eastAsia="Times New Roman" w:hAnsiTheme="majorHAnsi"/>
          <w:lang w:val="en" w:bidi="th-TH"/>
        </w:rPr>
        <w:t xml:space="preserve"> </w:t>
      </w:r>
      <w:r w:rsidR="008E435E">
        <w:rPr>
          <w:rFonts w:asciiTheme="majorHAnsi" w:eastAsia="Times New Roman" w:hAnsiTheme="majorHAnsi"/>
          <w:lang w:val="en" w:bidi="th-TH"/>
        </w:rPr>
        <w:t>15</w:t>
      </w:r>
      <w:r w:rsidR="008E435E" w:rsidRPr="000F0B8F">
        <w:rPr>
          <w:rFonts w:asciiTheme="majorHAnsi" w:eastAsia="Times New Roman" w:hAnsiTheme="majorHAnsi"/>
          <w:lang w:val="en" w:bidi="th-TH"/>
        </w:rPr>
        <w:t>–</w:t>
      </w:r>
      <w:r w:rsidR="004605FF" w:rsidRPr="000F0B8F">
        <w:rPr>
          <w:rFonts w:asciiTheme="majorHAnsi" w:eastAsia="Times New Roman" w:hAnsiTheme="majorHAnsi"/>
          <w:lang w:val="en" w:bidi="th-TH"/>
        </w:rPr>
        <w:t>&lt;</w:t>
      </w:r>
      <w:r w:rsidRPr="000F0B8F">
        <w:rPr>
          <w:rFonts w:asciiTheme="majorHAnsi" w:eastAsia="Times New Roman" w:hAnsiTheme="majorHAnsi"/>
          <w:lang w:val="en" w:bidi="th-TH"/>
        </w:rPr>
        <w:t xml:space="preserve">30 mL/min; n=25) renal impairment. No significant differences in AUC exposure of ADC or unconjugated MMAE were observed in patients with mild, </w:t>
      </w:r>
      <w:proofErr w:type="gramStart"/>
      <w:r w:rsidRPr="000F0B8F">
        <w:rPr>
          <w:rFonts w:asciiTheme="majorHAnsi" w:eastAsia="Times New Roman" w:hAnsiTheme="majorHAnsi"/>
          <w:lang w:val="en" w:bidi="th-TH"/>
        </w:rPr>
        <w:t>moderate</w:t>
      </w:r>
      <w:proofErr w:type="gramEnd"/>
      <w:r w:rsidRPr="000F0B8F">
        <w:rPr>
          <w:rFonts w:asciiTheme="majorHAnsi" w:eastAsia="Times New Roman" w:hAnsiTheme="majorHAnsi"/>
          <w:lang w:val="en" w:bidi="th-TH"/>
        </w:rPr>
        <w:t xml:space="preserve"> or severe renal impairment compared to patients with normal renal function.</w:t>
      </w:r>
      <w:r w:rsidR="008E435E">
        <w:rPr>
          <w:rFonts w:asciiTheme="majorHAnsi" w:eastAsia="Times New Roman" w:hAnsiTheme="majorHAnsi"/>
          <w:lang w:val="en" w:bidi="th-TH"/>
        </w:rPr>
        <w:t xml:space="preserve"> </w:t>
      </w:r>
      <w:proofErr w:type="spellStart"/>
      <w:r w:rsidR="008E435E" w:rsidRPr="008E435E">
        <w:rPr>
          <w:rFonts w:asciiTheme="majorHAnsi" w:eastAsia="Times New Roman" w:hAnsiTheme="majorHAnsi"/>
          <w:lang w:val="en" w:bidi="th-TH"/>
        </w:rPr>
        <w:t>Enfortumab</w:t>
      </w:r>
      <w:proofErr w:type="spellEnd"/>
      <w:r w:rsidR="008E435E" w:rsidRPr="008E435E">
        <w:rPr>
          <w:rFonts w:asciiTheme="majorHAnsi" w:eastAsia="Times New Roman" w:hAnsiTheme="majorHAnsi"/>
          <w:lang w:val="en" w:bidi="th-TH"/>
        </w:rPr>
        <w:t xml:space="preserve"> </w:t>
      </w:r>
      <w:proofErr w:type="spellStart"/>
      <w:r w:rsidR="008E435E" w:rsidRPr="008E435E">
        <w:rPr>
          <w:rFonts w:asciiTheme="majorHAnsi" w:eastAsia="Times New Roman" w:hAnsiTheme="majorHAnsi"/>
          <w:lang w:val="en" w:bidi="th-TH"/>
        </w:rPr>
        <w:t>vedotin</w:t>
      </w:r>
      <w:proofErr w:type="spellEnd"/>
      <w:r w:rsidR="008E435E" w:rsidRPr="008E435E">
        <w:rPr>
          <w:rFonts w:asciiTheme="majorHAnsi" w:eastAsia="Times New Roman" w:hAnsiTheme="majorHAnsi"/>
          <w:lang w:val="en" w:bidi="th-TH"/>
        </w:rPr>
        <w:t xml:space="preserve"> has not been evaluated in patients with end stage renal disease (</w:t>
      </w:r>
      <w:proofErr w:type="spellStart"/>
      <w:r w:rsidR="008E435E" w:rsidRPr="008E435E">
        <w:rPr>
          <w:rFonts w:asciiTheme="majorHAnsi" w:eastAsia="Times New Roman" w:hAnsiTheme="majorHAnsi"/>
          <w:lang w:val="en" w:bidi="th-TH"/>
        </w:rPr>
        <w:t>CrCL</w:t>
      </w:r>
      <w:proofErr w:type="spellEnd"/>
      <w:r w:rsidR="008E435E">
        <w:rPr>
          <w:rFonts w:asciiTheme="majorHAnsi" w:eastAsia="Times New Roman" w:hAnsiTheme="majorHAnsi"/>
          <w:lang w:val="en" w:bidi="th-TH"/>
        </w:rPr>
        <w:t xml:space="preserve"> </w:t>
      </w:r>
      <w:r w:rsidR="008E435E" w:rsidRPr="000F0B8F">
        <w:rPr>
          <w:rFonts w:asciiTheme="majorHAnsi" w:eastAsia="Times New Roman" w:hAnsiTheme="majorHAnsi"/>
          <w:lang w:val="en" w:bidi="th-TH"/>
        </w:rPr>
        <w:t>&lt;</w:t>
      </w:r>
      <w:r w:rsidR="008E435E">
        <w:rPr>
          <w:rFonts w:asciiTheme="majorHAnsi" w:eastAsia="Times New Roman" w:hAnsiTheme="majorHAnsi"/>
          <w:lang w:val="en" w:bidi="th-TH"/>
        </w:rPr>
        <w:t>15</w:t>
      </w:r>
      <w:r w:rsidR="008E435E" w:rsidRPr="000F0B8F">
        <w:rPr>
          <w:rFonts w:asciiTheme="majorHAnsi" w:eastAsia="Times New Roman" w:hAnsiTheme="majorHAnsi"/>
          <w:lang w:val="en" w:bidi="th-TH"/>
        </w:rPr>
        <w:t xml:space="preserve"> mL/min</w:t>
      </w:r>
      <w:r w:rsidR="008E435E">
        <w:rPr>
          <w:rFonts w:asciiTheme="majorHAnsi" w:eastAsia="Times New Roman" w:hAnsiTheme="majorHAnsi"/>
          <w:lang w:val="en" w:bidi="th-TH"/>
        </w:rPr>
        <w:t>).</w:t>
      </w:r>
    </w:p>
    <w:p w14:paraId="77D7446B" w14:textId="77777777" w:rsidR="0007417E" w:rsidRPr="00F7729A" w:rsidRDefault="0007417E" w:rsidP="00F7729A">
      <w:pPr>
        <w:spacing w:after="0"/>
        <w:rPr>
          <w:rFonts w:asciiTheme="majorHAnsi" w:eastAsia="Times New Roman" w:hAnsiTheme="majorHAnsi" w:cs="Times New Roman"/>
          <w:sz w:val="24"/>
          <w:szCs w:val="24"/>
        </w:rPr>
      </w:pPr>
    </w:p>
    <w:p w14:paraId="61832A8F" w14:textId="24E8A2D2" w:rsidR="00CD2383" w:rsidRDefault="00CD2383" w:rsidP="00AD0081">
      <w:pPr>
        <w:pStyle w:val="Heading2"/>
        <w:keepNext/>
        <w:keepLines/>
      </w:pPr>
      <w:r w:rsidRPr="00FC060A">
        <w:t>Preclinical safety data</w:t>
      </w:r>
    </w:p>
    <w:p w14:paraId="48DC1F6B" w14:textId="119E4831" w:rsidR="00CD2383" w:rsidRPr="00FC060A" w:rsidRDefault="00CD2383" w:rsidP="00AD0081">
      <w:pPr>
        <w:pStyle w:val="Heading3"/>
        <w:keepNext/>
        <w:keepLines/>
      </w:pPr>
      <w:r w:rsidRPr="00FC060A">
        <w:t>Genotoxicity</w:t>
      </w:r>
    </w:p>
    <w:p w14:paraId="3FAE1D52" w14:textId="2FAB2774" w:rsidR="00CD2383" w:rsidRPr="00FC060A" w:rsidRDefault="00670EB1" w:rsidP="00AD0081">
      <w:pPr>
        <w:keepNext/>
        <w:keepLines/>
      </w:pPr>
      <w:r>
        <w:rPr>
          <w:rFonts w:asciiTheme="majorHAnsi" w:hAnsiTheme="majorHAnsi"/>
          <w:lang w:val="en" w:bidi="th-TH"/>
        </w:rPr>
        <w:t>No dedicated genotoxicity studies have been perfo</w:t>
      </w:r>
      <w:r w:rsidR="00AE261C">
        <w:rPr>
          <w:rFonts w:asciiTheme="majorHAnsi" w:hAnsiTheme="majorHAnsi"/>
          <w:lang w:val="en" w:bidi="th-TH"/>
        </w:rPr>
        <w:t>r</w:t>
      </w:r>
      <w:r>
        <w:rPr>
          <w:rFonts w:asciiTheme="majorHAnsi" w:hAnsiTheme="majorHAnsi"/>
          <w:lang w:val="en" w:bidi="th-TH"/>
        </w:rPr>
        <w:t xml:space="preserve">med with </w:t>
      </w:r>
      <w:proofErr w:type="spellStart"/>
      <w:r>
        <w:rPr>
          <w:rFonts w:asciiTheme="majorHAnsi" w:hAnsiTheme="majorHAnsi"/>
          <w:lang w:val="en" w:bidi="th-TH"/>
        </w:rPr>
        <w:t>enfortumab</w:t>
      </w:r>
      <w:proofErr w:type="spellEnd"/>
      <w:r>
        <w:rPr>
          <w:rFonts w:asciiTheme="majorHAnsi" w:hAnsiTheme="majorHAnsi"/>
          <w:lang w:val="en" w:bidi="th-TH"/>
        </w:rPr>
        <w:t xml:space="preserve"> </w:t>
      </w:r>
      <w:proofErr w:type="spellStart"/>
      <w:r>
        <w:rPr>
          <w:rFonts w:asciiTheme="majorHAnsi" w:hAnsiTheme="majorHAnsi"/>
          <w:lang w:val="en" w:bidi="th-TH"/>
        </w:rPr>
        <w:t>vedotin</w:t>
      </w:r>
      <w:proofErr w:type="spellEnd"/>
      <w:r>
        <w:rPr>
          <w:rFonts w:asciiTheme="majorHAnsi" w:hAnsiTheme="majorHAnsi"/>
          <w:lang w:val="en" w:bidi="th-TH"/>
        </w:rPr>
        <w:t xml:space="preserve">. </w:t>
      </w:r>
      <w:r w:rsidR="00F7729A" w:rsidRPr="00685A3B">
        <w:rPr>
          <w:rFonts w:asciiTheme="majorHAnsi" w:hAnsiTheme="majorHAnsi"/>
          <w:lang w:val="en" w:bidi="th-TH"/>
        </w:rPr>
        <w:t>Genotoxicity studies showed that MMAE had no discernible genotoxic potential in a reverse mutation test in bacteria (</w:t>
      </w:r>
      <w:proofErr w:type="gramStart"/>
      <w:r w:rsidR="00F7729A" w:rsidRPr="00685A3B">
        <w:rPr>
          <w:rFonts w:asciiTheme="majorHAnsi" w:hAnsiTheme="majorHAnsi"/>
          <w:lang w:val="en" w:bidi="th-TH"/>
        </w:rPr>
        <w:t>Ames</w:t>
      </w:r>
      <w:proofErr w:type="gramEnd"/>
      <w:r w:rsidR="00F7729A" w:rsidRPr="00685A3B">
        <w:rPr>
          <w:rFonts w:asciiTheme="majorHAnsi" w:hAnsiTheme="majorHAnsi"/>
          <w:lang w:val="en" w:bidi="th-TH"/>
        </w:rPr>
        <w:t xml:space="preserve"> test) or in a L5178Y TK</w:t>
      </w:r>
      <w:r w:rsidR="00F7729A" w:rsidRPr="00C946D9">
        <w:rPr>
          <w:rFonts w:asciiTheme="majorHAnsi" w:hAnsiTheme="majorHAnsi"/>
          <w:vertAlign w:val="superscript"/>
          <w:lang w:val="en" w:bidi="th-TH"/>
        </w:rPr>
        <w:t>+/-</w:t>
      </w:r>
      <w:r w:rsidR="00F7729A" w:rsidRPr="00685A3B">
        <w:rPr>
          <w:rFonts w:asciiTheme="majorHAnsi" w:hAnsiTheme="majorHAnsi"/>
          <w:lang w:val="en" w:bidi="th-TH"/>
        </w:rPr>
        <w:t xml:space="preserve"> mouse lymphoma mutation assay. MMAE did induce chromosomal aberrations </w:t>
      </w:r>
      <w:r>
        <w:rPr>
          <w:rFonts w:asciiTheme="majorHAnsi" w:hAnsiTheme="majorHAnsi"/>
          <w:lang w:val="en" w:bidi="th-TH"/>
        </w:rPr>
        <w:t xml:space="preserve">through an </w:t>
      </w:r>
      <w:proofErr w:type="spellStart"/>
      <w:r>
        <w:rPr>
          <w:rFonts w:asciiTheme="majorHAnsi" w:hAnsiTheme="majorHAnsi"/>
          <w:lang w:val="en" w:bidi="th-TH"/>
        </w:rPr>
        <w:t>aneugenic</w:t>
      </w:r>
      <w:proofErr w:type="spellEnd"/>
      <w:r>
        <w:rPr>
          <w:rFonts w:asciiTheme="majorHAnsi" w:hAnsiTheme="majorHAnsi"/>
          <w:lang w:val="en" w:bidi="th-TH"/>
        </w:rPr>
        <w:t xml:space="preserve"> mechanism </w:t>
      </w:r>
      <w:r w:rsidR="00F7729A" w:rsidRPr="00685A3B">
        <w:rPr>
          <w:rFonts w:asciiTheme="majorHAnsi" w:hAnsiTheme="majorHAnsi"/>
          <w:lang w:val="en" w:bidi="th-TH"/>
        </w:rPr>
        <w:t>in the micronucleus test in rats which is consistent with the pharmacological action of microtubule-disrupting agents.</w:t>
      </w:r>
    </w:p>
    <w:p w14:paraId="15A7A523" w14:textId="0D387F03" w:rsidR="00CD2383" w:rsidRPr="00FC060A" w:rsidRDefault="00CD2383" w:rsidP="0001118A">
      <w:pPr>
        <w:pStyle w:val="Heading3"/>
      </w:pPr>
      <w:r w:rsidRPr="00FC060A">
        <w:t>Carcinogenicity</w:t>
      </w:r>
    </w:p>
    <w:p w14:paraId="5B76FB17" w14:textId="40663D1E" w:rsidR="00BE3FB3" w:rsidRPr="00945CA1" w:rsidRDefault="00F7729A" w:rsidP="00BE3FB3">
      <w:pPr>
        <w:rPr>
          <w:rFonts w:asciiTheme="majorHAnsi" w:hAnsiTheme="majorHAnsi"/>
          <w:lang w:val="en" w:bidi="th-TH"/>
        </w:rPr>
      </w:pPr>
      <w:r w:rsidRPr="00945CA1">
        <w:rPr>
          <w:rFonts w:asciiTheme="majorHAnsi" w:hAnsiTheme="majorHAnsi"/>
          <w:lang w:val="en" w:bidi="th-TH"/>
        </w:rPr>
        <w:t xml:space="preserve">Carcinogenicity studies with </w:t>
      </w:r>
      <w:proofErr w:type="spellStart"/>
      <w:r w:rsidRPr="00945CA1">
        <w:rPr>
          <w:rFonts w:asciiTheme="majorHAnsi" w:hAnsiTheme="majorHAnsi"/>
          <w:lang w:val="en" w:bidi="th-TH"/>
        </w:rPr>
        <w:t>enfortumab</w:t>
      </w:r>
      <w:proofErr w:type="spellEnd"/>
      <w:r w:rsidRPr="00945CA1">
        <w:rPr>
          <w:rFonts w:asciiTheme="majorHAnsi" w:hAnsiTheme="majorHAnsi"/>
          <w:lang w:val="en" w:bidi="th-TH"/>
        </w:rPr>
        <w:t xml:space="preserve"> </w:t>
      </w:r>
      <w:proofErr w:type="spellStart"/>
      <w:r w:rsidRPr="00945CA1">
        <w:rPr>
          <w:rFonts w:asciiTheme="majorHAnsi" w:hAnsiTheme="majorHAnsi"/>
          <w:lang w:val="en" w:bidi="th-TH"/>
        </w:rPr>
        <w:t>vedotin</w:t>
      </w:r>
      <w:proofErr w:type="spellEnd"/>
      <w:r w:rsidRPr="00945CA1">
        <w:rPr>
          <w:rFonts w:asciiTheme="majorHAnsi" w:hAnsiTheme="majorHAnsi"/>
          <w:lang w:val="en" w:bidi="th-TH"/>
        </w:rPr>
        <w:t xml:space="preserve"> or the small molecule cytotoxic agent (MMAE) have not been conducted.</w:t>
      </w:r>
    </w:p>
    <w:p w14:paraId="4C350E78" w14:textId="25208065" w:rsidR="00CD2383" w:rsidRPr="0001118A" w:rsidRDefault="00CD2383" w:rsidP="0062486E">
      <w:pPr>
        <w:pStyle w:val="Heading1"/>
      </w:pPr>
      <w:r w:rsidRPr="00FC060A">
        <w:t>Pharmaceutical particulars</w:t>
      </w:r>
    </w:p>
    <w:p w14:paraId="2A78E43E" w14:textId="11B0F112" w:rsidR="00CD2383" w:rsidRPr="00FC060A" w:rsidRDefault="00CD2383" w:rsidP="0001118A">
      <w:pPr>
        <w:pStyle w:val="Heading2"/>
      </w:pPr>
      <w:r>
        <w:t>List of excipients</w:t>
      </w:r>
    </w:p>
    <w:p w14:paraId="7AD8DF68" w14:textId="6EF69A3C" w:rsidR="00CD2383" w:rsidRPr="00F7729A" w:rsidRDefault="00F7729A" w:rsidP="00F7729A">
      <w:pPr>
        <w:pStyle w:val="NormalWeb"/>
        <w:rPr>
          <w:rFonts w:asciiTheme="majorHAnsi" w:eastAsia="Times New Roman" w:hAnsiTheme="majorHAnsi" w:cs="Calibri"/>
        </w:rPr>
      </w:pPr>
      <w:r w:rsidRPr="00EB3F55">
        <w:rPr>
          <w:rFonts w:asciiTheme="majorHAnsi" w:eastAsia="Times New Roman" w:hAnsiTheme="majorHAnsi" w:cs="Cordia New"/>
          <w:sz w:val="22"/>
          <w:szCs w:val="22"/>
          <w:lang w:val="en-US" w:bidi="th-TH"/>
        </w:rPr>
        <w:t>Histidine</w:t>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t xml:space="preserve">       </w:t>
      </w:r>
      <w:proofErr w:type="spellStart"/>
      <w:r w:rsidRPr="00F7729A">
        <w:rPr>
          <w:rFonts w:asciiTheme="majorHAnsi" w:eastAsia="Times New Roman" w:hAnsiTheme="majorHAnsi" w:cs="Cordia New"/>
          <w:sz w:val="22"/>
          <w:szCs w:val="22"/>
          <w:lang w:val="en-US" w:bidi="th-TH"/>
        </w:rPr>
        <w:t>Histidine</w:t>
      </w:r>
      <w:proofErr w:type="spellEnd"/>
      <w:r w:rsidRPr="00F7729A">
        <w:rPr>
          <w:rFonts w:asciiTheme="majorHAnsi" w:eastAsia="Times New Roman" w:hAnsiTheme="majorHAnsi" w:cs="Cordia New"/>
          <w:sz w:val="22"/>
          <w:szCs w:val="22"/>
          <w:lang w:val="en-US" w:bidi="th-TH"/>
        </w:rPr>
        <w:t xml:space="preserve"> hydrochloride monohydrate </w:t>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t xml:space="preserve">     Trehalose d</w:t>
      </w:r>
      <w:r w:rsidR="00652C13">
        <w:rPr>
          <w:rFonts w:asciiTheme="majorHAnsi" w:eastAsia="Times New Roman" w:hAnsiTheme="majorHAnsi" w:cs="Cordia New"/>
          <w:sz w:val="22"/>
          <w:szCs w:val="22"/>
          <w:lang w:val="en-US" w:bidi="th-TH"/>
        </w:rPr>
        <w:t>i</w:t>
      </w:r>
      <w:r w:rsidRPr="00F7729A">
        <w:rPr>
          <w:rFonts w:asciiTheme="majorHAnsi" w:eastAsia="Times New Roman" w:hAnsiTheme="majorHAnsi" w:cs="Cordia New"/>
          <w:sz w:val="22"/>
          <w:szCs w:val="22"/>
          <w:lang w:val="en-US" w:bidi="th-TH"/>
        </w:rPr>
        <w:t>hydrate</w:t>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t xml:space="preserve">   Polysorbate 20 </w:t>
      </w:r>
    </w:p>
    <w:p w14:paraId="6CFFA485" w14:textId="1606C578" w:rsidR="00CD2383" w:rsidRPr="00FC060A" w:rsidRDefault="00CD2383" w:rsidP="0001118A">
      <w:pPr>
        <w:pStyle w:val="Heading2"/>
      </w:pPr>
      <w:r>
        <w:t>Incompatibilities</w:t>
      </w:r>
    </w:p>
    <w:p w14:paraId="26577961" w14:textId="796C66AD" w:rsidR="00CD2383" w:rsidRPr="00F7729A" w:rsidRDefault="00F7729A" w:rsidP="00F7729A">
      <w:pPr>
        <w:pStyle w:val="NormalWeb"/>
        <w:rPr>
          <w:rFonts w:asciiTheme="majorHAnsi" w:eastAsia="Times New Roman" w:hAnsiTheme="majorHAnsi"/>
        </w:rPr>
      </w:pPr>
      <w:r w:rsidRPr="00F7729A">
        <w:rPr>
          <w:rFonts w:asciiTheme="majorHAnsi" w:eastAsia="Times New Roman" w:hAnsiTheme="majorHAnsi" w:cs="Cordia New"/>
          <w:sz w:val="22"/>
          <w:szCs w:val="22"/>
          <w:lang w:val="en-US" w:bidi="th-TH"/>
        </w:rPr>
        <w:t>Do not co-administer other drugs through the same infusion line.</w:t>
      </w:r>
    </w:p>
    <w:p w14:paraId="04D849D8" w14:textId="43088A9B" w:rsidR="00CD2383" w:rsidRPr="00FC060A" w:rsidRDefault="00CD2383" w:rsidP="0001118A">
      <w:pPr>
        <w:pStyle w:val="Heading2"/>
      </w:pPr>
      <w:r>
        <w:lastRenderedPageBreak/>
        <w:t>Shelf life</w:t>
      </w:r>
    </w:p>
    <w:p w14:paraId="7895A182" w14:textId="0203BCC8" w:rsidR="00CD2383" w:rsidRPr="00F7729A" w:rsidRDefault="00F7729A" w:rsidP="00F7729A">
      <w:pPr>
        <w:pStyle w:val="NormalWeb"/>
        <w:rPr>
          <w:rFonts w:asciiTheme="majorHAnsi" w:eastAsia="Times New Roman" w:hAnsiTheme="majorHAnsi"/>
        </w:rPr>
      </w:pPr>
      <w:r w:rsidRPr="00F7729A">
        <w:rPr>
          <w:rFonts w:asciiTheme="majorHAnsi" w:eastAsia="Times New Roman" w:hAnsiTheme="majorHAnsi" w:cs="Cordia New"/>
          <w:sz w:val="22"/>
          <w:szCs w:val="22"/>
          <w:lang w:val="en-US" w:bidi="th-TH"/>
        </w:rPr>
        <w:t>In Australia, information on the shelf life can be found on the public summary of the Australian Register of Therapeutic Goods (ARTG). The expiry date can be found on the packaging.</w:t>
      </w:r>
    </w:p>
    <w:p w14:paraId="1F61E15A" w14:textId="2E56E3DB" w:rsidR="00CD2383" w:rsidRPr="00FC060A" w:rsidRDefault="00CD2383" w:rsidP="0001118A">
      <w:pPr>
        <w:pStyle w:val="Heading2"/>
      </w:pPr>
      <w:r>
        <w:t>Special precautions for storage</w:t>
      </w:r>
    </w:p>
    <w:p w14:paraId="090F0D8B" w14:textId="718312E5" w:rsidR="00CD2383" w:rsidRPr="00F7729A" w:rsidRDefault="00F7729A" w:rsidP="00F7729A">
      <w:pPr>
        <w:pStyle w:val="NormalWeb"/>
        <w:rPr>
          <w:rFonts w:asciiTheme="majorHAnsi" w:eastAsia="Times New Roman" w:hAnsiTheme="majorHAnsi"/>
        </w:rPr>
      </w:pPr>
      <w:r w:rsidRPr="00F7729A">
        <w:rPr>
          <w:rFonts w:asciiTheme="majorHAnsi" w:eastAsia="Times New Roman" w:hAnsiTheme="majorHAnsi" w:cs="Cordia New"/>
          <w:sz w:val="22"/>
          <w:szCs w:val="22"/>
          <w:lang w:val="en-US" w:bidi="th-TH"/>
        </w:rPr>
        <w:t>Store at 2</w:t>
      </w:r>
      <w:r w:rsidR="00C714C6">
        <w:rPr>
          <w:rFonts w:asciiTheme="majorHAnsi" w:eastAsia="Times New Roman" w:hAnsiTheme="majorHAnsi" w:cs="Cordia New"/>
          <w:sz w:val="22"/>
          <w:szCs w:val="22"/>
          <w:lang w:val="en-US" w:bidi="th-TH"/>
        </w:rPr>
        <w:t>°</w:t>
      </w:r>
      <w:r w:rsidRPr="00F7729A">
        <w:rPr>
          <w:rFonts w:asciiTheme="majorHAnsi" w:eastAsia="Times New Roman" w:hAnsiTheme="majorHAnsi" w:cs="Cordia New"/>
          <w:sz w:val="22"/>
          <w:szCs w:val="22"/>
          <w:lang w:val="en-US" w:bidi="th-TH"/>
        </w:rPr>
        <w:t>C to 8</w:t>
      </w:r>
      <w:r w:rsidR="00C714C6">
        <w:rPr>
          <w:rFonts w:asciiTheme="majorHAnsi" w:eastAsia="Times New Roman" w:hAnsiTheme="majorHAnsi" w:cs="Cordia New"/>
          <w:sz w:val="22"/>
          <w:szCs w:val="22"/>
          <w:lang w:val="en-US" w:bidi="th-TH"/>
        </w:rPr>
        <w:t>°</w:t>
      </w:r>
      <w:r w:rsidRPr="00F7729A">
        <w:rPr>
          <w:rFonts w:asciiTheme="majorHAnsi" w:eastAsia="Times New Roman" w:hAnsiTheme="majorHAnsi" w:cs="Cordia New"/>
          <w:sz w:val="22"/>
          <w:szCs w:val="22"/>
          <w:lang w:val="en-US" w:bidi="th-TH"/>
        </w:rPr>
        <w:t>C (Refrigerate. Do not freeze).</w:t>
      </w:r>
    </w:p>
    <w:p w14:paraId="21874ACA" w14:textId="3272C5B7" w:rsidR="00CD2383" w:rsidRPr="00FC060A" w:rsidRDefault="00CD2383" w:rsidP="00782B99">
      <w:pPr>
        <w:pStyle w:val="Heading2"/>
        <w:keepNext/>
        <w:keepLines/>
      </w:pPr>
      <w:r w:rsidRPr="00FC060A">
        <w:t>N</w:t>
      </w:r>
      <w:r>
        <w:t>ature and contents of container</w:t>
      </w:r>
    </w:p>
    <w:p w14:paraId="5E4CF130" w14:textId="6D6E38BF" w:rsidR="00CD2383" w:rsidRPr="00663112" w:rsidRDefault="00F7729A" w:rsidP="00782B99">
      <w:pPr>
        <w:pStyle w:val="NormalWeb"/>
        <w:keepNext/>
        <w:keepLines/>
        <w:rPr>
          <w:rFonts w:asciiTheme="majorHAnsi" w:eastAsia="Times New Roman" w:hAnsiTheme="majorHAnsi"/>
        </w:rPr>
      </w:pPr>
      <w:r w:rsidRPr="00F7729A">
        <w:rPr>
          <w:rFonts w:asciiTheme="majorHAnsi" w:eastAsia="Times New Roman" w:hAnsiTheme="majorHAnsi" w:cs="Cordia New"/>
          <w:sz w:val="22"/>
          <w:szCs w:val="22"/>
          <w:lang w:val="en-US" w:bidi="th-TH"/>
        </w:rPr>
        <w:t xml:space="preserve">Clear 10 mL Type I glass vial </w:t>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t xml:space="preserve">              Gray </w:t>
      </w:r>
      <w:proofErr w:type="spellStart"/>
      <w:r w:rsidRPr="00F7729A">
        <w:rPr>
          <w:rFonts w:asciiTheme="majorHAnsi" w:eastAsia="Times New Roman" w:hAnsiTheme="majorHAnsi" w:cs="Cordia New"/>
          <w:sz w:val="22"/>
          <w:szCs w:val="22"/>
          <w:lang w:val="en-US" w:bidi="th-TH"/>
        </w:rPr>
        <w:t>bromobutyl</w:t>
      </w:r>
      <w:proofErr w:type="spellEnd"/>
      <w:r w:rsidRPr="00F7729A">
        <w:rPr>
          <w:rFonts w:asciiTheme="majorHAnsi" w:eastAsia="Times New Roman" w:hAnsiTheme="majorHAnsi" w:cs="Cordia New"/>
          <w:sz w:val="22"/>
          <w:szCs w:val="22"/>
          <w:lang w:val="en-US" w:bidi="th-TH"/>
        </w:rPr>
        <w:t xml:space="preserve"> rubber stopper </w:t>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t xml:space="preserve">    20 mg vial, 20 mm </w:t>
      </w:r>
      <w:proofErr w:type="spellStart"/>
      <w:r w:rsidRPr="00F7729A">
        <w:rPr>
          <w:rFonts w:asciiTheme="majorHAnsi" w:eastAsia="Times New Roman" w:hAnsiTheme="majorHAnsi" w:cs="Cordia New"/>
          <w:sz w:val="22"/>
          <w:szCs w:val="22"/>
          <w:lang w:val="en-US" w:bidi="th-TH"/>
        </w:rPr>
        <w:t>alumin</w:t>
      </w:r>
      <w:r w:rsidR="00C714C6">
        <w:rPr>
          <w:rFonts w:asciiTheme="majorHAnsi" w:eastAsia="Times New Roman" w:hAnsiTheme="majorHAnsi" w:cs="Cordia New"/>
          <w:sz w:val="22"/>
          <w:szCs w:val="22"/>
          <w:lang w:val="en-US" w:bidi="th-TH"/>
        </w:rPr>
        <w:t>i</w:t>
      </w:r>
      <w:r w:rsidRPr="00F7729A">
        <w:rPr>
          <w:rFonts w:asciiTheme="majorHAnsi" w:eastAsia="Times New Roman" w:hAnsiTheme="majorHAnsi" w:cs="Cordia New"/>
          <w:sz w:val="22"/>
          <w:szCs w:val="22"/>
          <w:lang w:val="en-US" w:bidi="th-TH"/>
        </w:rPr>
        <w:t>um</w:t>
      </w:r>
      <w:proofErr w:type="spellEnd"/>
      <w:r w:rsidRPr="00F7729A">
        <w:rPr>
          <w:rFonts w:asciiTheme="majorHAnsi" w:eastAsia="Times New Roman" w:hAnsiTheme="majorHAnsi" w:cs="Cordia New"/>
          <w:sz w:val="22"/>
          <w:szCs w:val="22"/>
          <w:lang w:val="en-US" w:bidi="th-TH"/>
        </w:rPr>
        <w:t xml:space="preserve"> seal with a green ring and green cap </w:t>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r>
      <w:r w:rsidRPr="00F7729A">
        <w:rPr>
          <w:rFonts w:asciiTheme="majorHAnsi" w:eastAsia="Times New Roman" w:hAnsiTheme="majorHAnsi" w:cs="Cordia New"/>
          <w:sz w:val="22"/>
          <w:szCs w:val="22"/>
          <w:lang w:val="en-US" w:bidi="th-TH"/>
        </w:rPr>
        <w:tab/>
        <w:t xml:space="preserve">    30 mg vial, 20 mm </w:t>
      </w:r>
      <w:proofErr w:type="spellStart"/>
      <w:r w:rsidRPr="00F7729A">
        <w:rPr>
          <w:rFonts w:asciiTheme="majorHAnsi" w:eastAsia="Times New Roman" w:hAnsiTheme="majorHAnsi" w:cs="Cordia New"/>
          <w:sz w:val="22"/>
          <w:szCs w:val="22"/>
          <w:lang w:val="en-US" w:bidi="th-TH"/>
        </w:rPr>
        <w:t>alumin</w:t>
      </w:r>
      <w:r w:rsidR="00C714C6">
        <w:rPr>
          <w:rFonts w:asciiTheme="majorHAnsi" w:eastAsia="Times New Roman" w:hAnsiTheme="majorHAnsi" w:cs="Cordia New"/>
          <w:sz w:val="22"/>
          <w:szCs w:val="22"/>
          <w:lang w:val="en-US" w:bidi="th-TH"/>
        </w:rPr>
        <w:t>i</w:t>
      </w:r>
      <w:r w:rsidRPr="00F7729A">
        <w:rPr>
          <w:rFonts w:asciiTheme="majorHAnsi" w:eastAsia="Times New Roman" w:hAnsiTheme="majorHAnsi" w:cs="Cordia New"/>
          <w:sz w:val="22"/>
          <w:szCs w:val="22"/>
          <w:lang w:val="en-US" w:bidi="th-TH"/>
        </w:rPr>
        <w:t>um</w:t>
      </w:r>
      <w:proofErr w:type="spellEnd"/>
      <w:r w:rsidRPr="00F7729A">
        <w:rPr>
          <w:rFonts w:asciiTheme="majorHAnsi" w:eastAsia="Times New Roman" w:hAnsiTheme="majorHAnsi" w:cs="Cordia New"/>
          <w:sz w:val="22"/>
          <w:szCs w:val="22"/>
          <w:lang w:val="en-US" w:bidi="th-TH"/>
        </w:rPr>
        <w:t xml:space="preserve"> seal with a silver ring and yellow cap</w:t>
      </w:r>
    </w:p>
    <w:p w14:paraId="48CD950E" w14:textId="568C0886" w:rsidR="00CD2383" w:rsidRPr="00FC060A" w:rsidRDefault="00CD2383" w:rsidP="0001118A">
      <w:pPr>
        <w:pStyle w:val="Heading2"/>
      </w:pPr>
      <w:r w:rsidRPr="00FC060A">
        <w:t>S</w:t>
      </w:r>
      <w:r>
        <w:t>pecial precautions for disposal</w:t>
      </w:r>
    </w:p>
    <w:p w14:paraId="11DC1307" w14:textId="64300B22" w:rsidR="00CD2383" w:rsidRPr="00663112" w:rsidRDefault="00663112" w:rsidP="00663112">
      <w:pPr>
        <w:pStyle w:val="NormalWeb"/>
        <w:rPr>
          <w:rFonts w:asciiTheme="majorHAnsi" w:eastAsia="Times New Roman" w:hAnsiTheme="majorHAnsi"/>
        </w:rPr>
      </w:pPr>
      <w:r w:rsidRPr="00663112">
        <w:rPr>
          <w:rFonts w:asciiTheme="majorHAnsi" w:eastAsia="MS PGothic" w:hAnsiTheme="majorHAnsi" w:cs="Calibri"/>
          <w:sz w:val="22"/>
          <w:szCs w:val="22"/>
          <w:lang w:val="en-US" w:eastAsia="ja-JP"/>
        </w:rPr>
        <w:t>PADCEV</w:t>
      </w:r>
      <w:r w:rsidRPr="00663112">
        <w:rPr>
          <w:rFonts w:asciiTheme="majorHAnsi" w:eastAsia="Times New Roman" w:hAnsiTheme="majorHAnsi" w:cs="Cordia New"/>
          <w:sz w:val="22"/>
          <w:szCs w:val="22"/>
          <w:lang w:val="en-US" w:bidi="th-TH"/>
        </w:rPr>
        <w:t xml:space="preserve"> is an antineoplastic product. In Australia, any unused medicine or waste material should be disposed of by taking to your local pharmacy.</w:t>
      </w:r>
    </w:p>
    <w:p w14:paraId="42D2BE52" w14:textId="544A477F" w:rsidR="00CD2383" w:rsidRPr="00FC060A" w:rsidRDefault="00CD2383" w:rsidP="009F0623">
      <w:pPr>
        <w:pStyle w:val="Heading2"/>
      </w:pPr>
      <w:r w:rsidRPr="00FC060A">
        <w:t>Physicochemical properties</w:t>
      </w:r>
    </w:p>
    <w:p w14:paraId="555CE6B0" w14:textId="4D42BBE5" w:rsidR="00663112" w:rsidRPr="00663112" w:rsidRDefault="00663112" w:rsidP="00663112">
      <w:pPr>
        <w:rPr>
          <w:rFonts w:asciiTheme="majorHAnsi" w:eastAsia="Times New Roman" w:hAnsiTheme="majorHAnsi"/>
          <w:sz w:val="24"/>
          <w:lang w:bidi="th-TH"/>
        </w:rPr>
      </w:pPr>
      <w:proofErr w:type="spellStart"/>
      <w:r w:rsidRPr="00663112">
        <w:rPr>
          <w:rFonts w:asciiTheme="majorHAnsi" w:eastAsia="Times New Roman" w:hAnsiTheme="majorHAnsi"/>
          <w:lang w:bidi="th-TH"/>
        </w:rPr>
        <w:t>Enfortumab</w:t>
      </w:r>
      <w:proofErr w:type="spellEnd"/>
      <w:r w:rsidRPr="00663112">
        <w:rPr>
          <w:rFonts w:asciiTheme="majorHAnsi" w:eastAsia="Times New Roman" w:hAnsiTheme="majorHAnsi"/>
          <w:lang w:bidi="th-TH"/>
        </w:rPr>
        <w:t xml:space="preserve"> </w:t>
      </w:r>
      <w:proofErr w:type="spellStart"/>
      <w:r w:rsidRPr="00663112">
        <w:rPr>
          <w:rFonts w:asciiTheme="majorHAnsi" w:eastAsia="Times New Roman" w:hAnsiTheme="majorHAnsi"/>
          <w:lang w:bidi="th-TH"/>
        </w:rPr>
        <w:t>vedotin-ejfv</w:t>
      </w:r>
      <w:proofErr w:type="spellEnd"/>
      <w:r w:rsidRPr="00663112">
        <w:rPr>
          <w:rFonts w:asciiTheme="majorHAnsi" w:eastAsia="Times New Roman" w:hAnsiTheme="majorHAnsi"/>
          <w:lang w:bidi="th-TH"/>
        </w:rPr>
        <w:t xml:space="preserve"> is a Nectin-4 directed antibody-drug conjugate (ADC) comprised of a fully human anti-Nectin-4 IgG1 kappa monoclonal antibody (AGS-22C3) conjugated to the small molecule microtubule disrupting agent, monomethyl auristatin E (MMAE) via a protease-cleavable </w:t>
      </w:r>
      <w:proofErr w:type="spellStart"/>
      <w:r w:rsidRPr="00663112">
        <w:rPr>
          <w:rFonts w:asciiTheme="majorHAnsi" w:eastAsia="Times New Roman" w:hAnsiTheme="majorHAnsi"/>
          <w:lang w:bidi="th-TH"/>
        </w:rPr>
        <w:t>maleimidocaproyl</w:t>
      </w:r>
      <w:proofErr w:type="spellEnd"/>
      <w:r w:rsidRPr="00663112">
        <w:rPr>
          <w:rFonts w:asciiTheme="majorHAnsi" w:eastAsia="Times New Roman" w:hAnsiTheme="majorHAnsi"/>
          <w:lang w:bidi="th-TH"/>
        </w:rPr>
        <w:t xml:space="preserve"> valine-citrulline (</w:t>
      </w:r>
      <w:proofErr w:type="spellStart"/>
      <w:r w:rsidRPr="00663112">
        <w:rPr>
          <w:rFonts w:asciiTheme="majorHAnsi" w:eastAsia="Times New Roman" w:hAnsiTheme="majorHAnsi"/>
          <w:lang w:bidi="th-TH"/>
        </w:rPr>
        <w:t>vc</w:t>
      </w:r>
      <w:proofErr w:type="spellEnd"/>
      <w:r w:rsidRPr="00663112">
        <w:rPr>
          <w:rFonts w:asciiTheme="majorHAnsi" w:eastAsia="Times New Roman" w:hAnsiTheme="majorHAnsi"/>
          <w:lang w:bidi="th-TH"/>
        </w:rPr>
        <w:t xml:space="preserve">) linker (SGD-1006). </w:t>
      </w:r>
    </w:p>
    <w:p w14:paraId="680ACA96" w14:textId="77777777" w:rsidR="00663112" w:rsidRPr="00663112" w:rsidRDefault="00663112" w:rsidP="00663112">
      <w:pPr>
        <w:rPr>
          <w:rFonts w:asciiTheme="majorHAnsi" w:eastAsia="Times New Roman" w:hAnsiTheme="majorHAnsi"/>
          <w:lang w:val="en" w:bidi="th-TH"/>
        </w:rPr>
      </w:pPr>
      <w:r w:rsidRPr="00663112">
        <w:rPr>
          <w:rFonts w:asciiTheme="majorHAnsi" w:eastAsia="Times New Roman" w:hAnsiTheme="majorHAnsi"/>
          <w:lang w:val="en" w:bidi="th-TH"/>
        </w:rPr>
        <w:t>Pharmacotherapeutic group: Nectin-4-directed antibody drug conjugate.</w:t>
      </w:r>
    </w:p>
    <w:p w14:paraId="29DC3445" w14:textId="7BF4E114" w:rsidR="00CD2383" w:rsidRPr="00663112" w:rsidRDefault="00663112" w:rsidP="0062486E">
      <w:pPr>
        <w:rPr>
          <w:rFonts w:eastAsia="Times New Roman" w:cs="Times New Roman"/>
          <w:sz w:val="24"/>
          <w:szCs w:val="24"/>
        </w:rPr>
      </w:pPr>
      <w:r w:rsidRPr="00663112">
        <w:rPr>
          <w:rFonts w:asciiTheme="majorHAnsi" w:eastAsia="Times New Roman" w:hAnsiTheme="majorHAnsi"/>
          <w:lang w:val="en" w:bidi="th-TH"/>
        </w:rPr>
        <w:t xml:space="preserve">ATC code: </w:t>
      </w:r>
      <w:r w:rsidR="00632EAA" w:rsidRPr="00632EAA">
        <w:rPr>
          <w:rFonts w:asciiTheme="majorHAnsi" w:eastAsia="Times New Roman" w:hAnsiTheme="majorHAnsi"/>
          <w:lang w:val="en" w:bidi="th-TH"/>
        </w:rPr>
        <w:t>L01FX13</w:t>
      </w:r>
    </w:p>
    <w:p w14:paraId="7FCE04CB" w14:textId="6CD1D99B" w:rsidR="00CD2383" w:rsidRPr="00FC060A" w:rsidRDefault="00CD2383" w:rsidP="009F0623">
      <w:pPr>
        <w:pStyle w:val="Heading3"/>
      </w:pPr>
      <w:r w:rsidRPr="00FC060A">
        <w:t>Chemical structure</w:t>
      </w:r>
    </w:p>
    <w:p w14:paraId="2C5DA58C" w14:textId="79E510B3" w:rsidR="00663112" w:rsidRDefault="00C843BA" w:rsidP="0062486E">
      <w:pPr>
        <w:rPr>
          <w:rFonts w:asciiTheme="majorHAnsi" w:hAnsiTheme="majorHAnsi"/>
        </w:rPr>
      </w:pPr>
      <w:r w:rsidRPr="0006200F">
        <w:rPr>
          <w:rFonts w:asciiTheme="majorHAnsi" w:hAnsiTheme="majorHAnsi"/>
          <w:lang w:bidi="th-TH"/>
        </w:rPr>
        <w:object w:dxaOrig="9810" w:dyaOrig="3165" w14:anchorId="42E69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diagram. " style="width:452.5pt;height:2in" o:ole="">
            <v:imagedata r:id="rId22" o:title=""/>
          </v:shape>
          <o:OLEObject Type="Embed" ProgID="ChemDraw.Document.6.0" ShapeID="_x0000_i1025" DrawAspect="Content" ObjectID="_1760777651" r:id="rId23"/>
        </w:object>
      </w:r>
    </w:p>
    <w:p w14:paraId="1D9AD5C3" w14:textId="3F0D1519" w:rsidR="00CD2383" w:rsidRPr="00663112" w:rsidRDefault="00663112" w:rsidP="00663112">
      <w:pPr>
        <w:spacing w:after="120"/>
        <w:outlineLvl w:val="2"/>
        <w:rPr>
          <w:rFonts w:asciiTheme="majorHAnsi" w:eastAsia="Times New Roman" w:hAnsiTheme="majorHAnsi"/>
          <w:lang w:bidi="th-TH"/>
        </w:rPr>
      </w:pPr>
      <w:r w:rsidRPr="00663112">
        <w:rPr>
          <w:rFonts w:asciiTheme="majorHAnsi" w:eastAsia="Times New Roman" w:hAnsiTheme="majorHAnsi"/>
          <w:lang w:bidi="th-TH"/>
        </w:rPr>
        <w:t xml:space="preserve">The molecular formula is </w:t>
      </w:r>
      <w:proofErr w:type="gramStart"/>
      <w:r w:rsidRPr="00663112">
        <w:rPr>
          <w:rFonts w:asciiTheme="majorHAnsi" w:eastAsia="Times New Roman" w:hAnsiTheme="majorHAnsi"/>
          <w:lang w:bidi="th-TH"/>
        </w:rPr>
        <w:t>C6754H10442N1750O2144S46</w:t>
      </w:r>
      <w:proofErr w:type="gramEnd"/>
      <w:r w:rsidRPr="00663112">
        <w:rPr>
          <w:rFonts w:asciiTheme="majorHAnsi" w:eastAsia="Times New Roman" w:hAnsiTheme="majorHAnsi"/>
          <w:lang w:bidi="th-TH"/>
        </w:rPr>
        <w:t xml:space="preserve"> and molecular weight is approximately 152 </w:t>
      </w:r>
      <w:proofErr w:type="spellStart"/>
      <w:r w:rsidRPr="00663112">
        <w:rPr>
          <w:rFonts w:asciiTheme="majorHAnsi" w:eastAsia="Times New Roman" w:hAnsiTheme="majorHAnsi"/>
          <w:lang w:bidi="th-TH"/>
        </w:rPr>
        <w:t>kDa</w:t>
      </w:r>
      <w:proofErr w:type="spellEnd"/>
      <w:r w:rsidRPr="00663112">
        <w:rPr>
          <w:rFonts w:asciiTheme="majorHAnsi" w:eastAsia="Times New Roman" w:hAnsiTheme="majorHAnsi"/>
          <w:lang w:bidi="th-TH"/>
        </w:rPr>
        <w:t>.</w:t>
      </w:r>
    </w:p>
    <w:p w14:paraId="7A298046" w14:textId="77777777" w:rsidR="00AE1463" w:rsidRDefault="00AE1463" w:rsidP="00701C26">
      <w:pPr>
        <w:pStyle w:val="Heading3"/>
      </w:pPr>
    </w:p>
    <w:p w14:paraId="5807509C" w14:textId="5678FA5C" w:rsidR="00CD2383" w:rsidRPr="00FC060A" w:rsidRDefault="00CD2383" w:rsidP="00701C26">
      <w:pPr>
        <w:pStyle w:val="Heading3"/>
      </w:pPr>
      <w:r w:rsidRPr="00FC060A">
        <w:lastRenderedPageBreak/>
        <w:t>CAS number</w:t>
      </w:r>
    </w:p>
    <w:p w14:paraId="2BAC6869" w14:textId="367CE034" w:rsidR="00BE3FB3" w:rsidRPr="00663112" w:rsidRDefault="00663112" w:rsidP="00663112">
      <w:pPr>
        <w:autoSpaceDE w:val="0"/>
        <w:autoSpaceDN w:val="0"/>
        <w:rPr>
          <w:rFonts w:asciiTheme="majorHAnsi" w:eastAsia="Times New Roman" w:hAnsiTheme="majorHAnsi"/>
          <w:lang w:bidi="th-TH"/>
        </w:rPr>
      </w:pPr>
      <w:r w:rsidRPr="00663112">
        <w:rPr>
          <w:rFonts w:asciiTheme="majorHAnsi" w:eastAsia="Times New Roman" w:hAnsiTheme="majorHAnsi"/>
          <w:lang w:bidi="th-TH"/>
        </w:rPr>
        <w:t>1346452-25-2</w:t>
      </w:r>
    </w:p>
    <w:p w14:paraId="102E41AA" w14:textId="2C8F7A14" w:rsidR="00CD2383" w:rsidRPr="00FC060A" w:rsidRDefault="00CD2383" w:rsidP="009F0623">
      <w:pPr>
        <w:pStyle w:val="Heading1"/>
      </w:pPr>
      <w:r w:rsidRPr="00FC060A">
        <w:t>Medicine schedule (Poisons Standard)</w:t>
      </w:r>
    </w:p>
    <w:p w14:paraId="5999CF1A" w14:textId="323ACAA1" w:rsidR="00BE3FB3" w:rsidRPr="00663112" w:rsidRDefault="00663112" w:rsidP="00BE3FB3">
      <w:pPr>
        <w:rPr>
          <w:rFonts w:asciiTheme="majorHAnsi" w:eastAsia="Times New Roman" w:hAnsiTheme="majorHAnsi"/>
          <w:lang w:bidi="th-TH"/>
        </w:rPr>
      </w:pPr>
      <w:r w:rsidRPr="00663112">
        <w:rPr>
          <w:rFonts w:asciiTheme="majorHAnsi" w:eastAsia="Times New Roman" w:hAnsiTheme="majorHAnsi"/>
          <w:lang w:val="en-US" w:bidi="th-TH"/>
        </w:rPr>
        <w:t>Schedule 4 – Prescription Only Medicine</w:t>
      </w:r>
    </w:p>
    <w:p w14:paraId="7CAB090F" w14:textId="01F9AD53" w:rsidR="00CD2383" w:rsidRPr="009F0623" w:rsidRDefault="00CD2383" w:rsidP="009F0623">
      <w:pPr>
        <w:pStyle w:val="Heading1"/>
      </w:pPr>
      <w:r w:rsidRPr="009F0623">
        <w:t>Sponsor</w:t>
      </w:r>
    </w:p>
    <w:p w14:paraId="3A2B9E65" w14:textId="60F877F1" w:rsidR="00663112" w:rsidRPr="00663112" w:rsidRDefault="00663112" w:rsidP="00663112">
      <w:pPr>
        <w:spacing w:after="0"/>
        <w:rPr>
          <w:rFonts w:asciiTheme="majorHAnsi" w:eastAsia="Times New Roman" w:hAnsiTheme="majorHAnsi"/>
          <w:lang w:val="en-US" w:bidi="th-TH"/>
        </w:rPr>
      </w:pPr>
      <w:r w:rsidRPr="00663112">
        <w:rPr>
          <w:rFonts w:asciiTheme="majorHAnsi" w:eastAsia="Times New Roman" w:hAnsiTheme="majorHAnsi"/>
          <w:lang w:val="en-US" w:bidi="th-TH"/>
        </w:rPr>
        <w:t>Astellas Pharma Australia Pty Ltd</w:t>
      </w:r>
    </w:p>
    <w:p w14:paraId="36686993" w14:textId="13814E11" w:rsidR="00663112" w:rsidRPr="00663112" w:rsidRDefault="006505CC" w:rsidP="00663112">
      <w:pPr>
        <w:spacing w:after="0"/>
        <w:rPr>
          <w:rFonts w:asciiTheme="majorHAnsi" w:eastAsia="Times New Roman" w:hAnsiTheme="majorHAnsi"/>
          <w:lang w:val="en-US" w:bidi="th-TH"/>
        </w:rPr>
      </w:pPr>
      <w:r>
        <w:rPr>
          <w:rFonts w:asciiTheme="majorHAnsi" w:eastAsia="Times New Roman" w:hAnsiTheme="majorHAnsi"/>
          <w:lang w:val="en-US" w:bidi="th-TH"/>
        </w:rPr>
        <w:t>Suite</w:t>
      </w:r>
      <w:r w:rsidR="00AE261C">
        <w:rPr>
          <w:rFonts w:asciiTheme="majorHAnsi" w:eastAsia="Times New Roman" w:hAnsiTheme="majorHAnsi"/>
          <w:lang w:val="en-US" w:bidi="th-TH"/>
        </w:rPr>
        <w:t xml:space="preserve"> </w:t>
      </w:r>
      <w:r w:rsidR="00663112" w:rsidRPr="00663112">
        <w:rPr>
          <w:rFonts w:asciiTheme="majorHAnsi" w:eastAsia="Times New Roman" w:hAnsiTheme="majorHAnsi"/>
          <w:lang w:val="en-US" w:bidi="th-TH"/>
        </w:rPr>
        <w:t>2</w:t>
      </w:r>
      <w:r w:rsidR="005850BD">
        <w:rPr>
          <w:rFonts w:asciiTheme="majorHAnsi" w:eastAsia="Times New Roman" w:hAnsiTheme="majorHAnsi"/>
          <w:lang w:val="en-US" w:bidi="th-TH"/>
        </w:rPr>
        <w:t>.01</w:t>
      </w:r>
      <w:r w:rsidR="00663112" w:rsidRPr="00663112">
        <w:rPr>
          <w:rFonts w:asciiTheme="majorHAnsi" w:eastAsia="Times New Roman" w:hAnsiTheme="majorHAnsi"/>
          <w:lang w:val="en-US" w:bidi="th-TH"/>
        </w:rPr>
        <w:t>, 2 Banfield Road</w:t>
      </w:r>
    </w:p>
    <w:p w14:paraId="5EA700EB" w14:textId="77777777" w:rsidR="00663112" w:rsidRPr="00663112" w:rsidRDefault="00663112" w:rsidP="00663112">
      <w:pPr>
        <w:spacing w:after="240"/>
        <w:rPr>
          <w:rFonts w:asciiTheme="majorHAnsi" w:eastAsia="Times New Roman" w:hAnsiTheme="majorHAnsi"/>
          <w:lang w:val="en-US" w:bidi="th-TH"/>
        </w:rPr>
      </w:pPr>
      <w:r w:rsidRPr="00663112">
        <w:rPr>
          <w:rFonts w:asciiTheme="majorHAnsi" w:eastAsia="Times New Roman" w:hAnsiTheme="majorHAnsi"/>
          <w:lang w:val="en-US" w:bidi="th-TH"/>
        </w:rPr>
        <w:t>Macquarie Park NSW 2113</w:t>
      </w:r>
    </w:p>
    <w:p w14:paraId="47DB3361" w14:textId="77777777" w:rsidR="00663112" w:rsidRPr="00663112" w:rsidRDefault="00663112" w:rsidP="00663112">
      <w:pPr>
        <w:spacing w:after="0"/>
        <w:rPr>
          <w:rFonts w:asciiTheme="majorHAnsi" w:eastAsia="Times New Roman" w:hAnsiTheme="majorHAnsi"/>
          <w:lang w:val="en-US" w:bidi="th-TH"/>
        </w:rPr>
      </w:pPr>
      <w:r w:rsidRPr="00663112">
        <w:rPr>
          <w:rFonts w:asciiTheme="majorHAnsi" w:eastAsia="Times New Roman" w:hAnsiTheme="majorHAnsi"/>
          <w:lang w:val="en-US" w:bidi="th-TH"/>
        </w:rPr>
        <w:t>Tel: 1800 751 755 (Medical Information)</w:t>
      </w:r>
    </w:p>
    <w:p w14:paraId="3F4EDB51" w14:textId="77777777" w:rsidR="00663112" w:rsidRPr="00663112" w:rsidRDefault="00663112" w:rsidP="00663112">
      <w:pPr>
        <w:spacing w:after="0"/>
        <w:rPr>
          <w:rFonts w:asciiTheme="majorHAnsi" w:eastAsia="Times New Roman" w:hAnsiTheme="majorHAnsi"/>
          <w:lang w:val="en-US" w:bidi="th-TH"/>
        </w:rPr>
      </w:pPr>
      <w:r w:rsidRPr="00663112">
        <w:rPr>
          <w:rFonts w:asciiTheme="majorHAnsi" w:eastAsia="Times New Roman" w:hAnsiTheme="majorHAnsi"/>
          <w:lang w:val="en-US" w:bidi="th-TH"/>
        </w:rPr>
        <w:t>Email: aaumedinfo@astellas.com (Medical Information)</w:t>
      </w:r>
    </w:p>
    <w:p w14:paraId="488784E0" w14:textId="08B69ED8" w:rsidR="00BE3FB3" w:rsidRPr="00663112" w:rsidRDefault="00663112" w:rsidP="00BE3FB3">
      <w:pPr>
        <w:rPr>
          <w:rFonts w:asciiTheme="majorHAnsi" w:eastAsia="Times New Roman" w:hAnsiTheme="majorHAnsi"/>
          <w:lang w:bidi="th-TH"/>
        </w:rPr>
      </w:pPr>
      <w:r w:rsidRPr="00663112">
        <w:rPr>
          <w:rFonts w:asciiTheme="majorHAnsi" w:eastAsia="Times New Roman" w:hAnsiTheme="majorHAnsi"/>
          <w:lang w:val="nl-NL" w:bidi="th-TH"/>
        </w:rPr>
        <w:t>Website: www.astellas.com/au</w:t>
      </w:r>
    </w:p>
    <w:p w14:paraId="12016C1B" w14:textId="0777BDF6" w:rsidR="00CD2383" w:rsidRDefault="00CD2383" w:rsidP="009F0623">
      <w:pPr>
        <w:pStyle w:val="Heading1"/>
      </w:pPr>
      <w:r>
        <w:t>Date of first approval</w:t>
      </w:r>
    </w:p>
    <w:p w14:paraId="02C7F857" w14:textId="0F2DA424" w:rsidR="00DF7360" w:rsidRPr="00DF7360" w:rsidRDefault="003814F8" w:rsidP="00DF7360">
      <w:pPr>
        <w:rPr>
          <w:rFonts w:asciiTheme="majorHAnsi" w:eastAsia="Times New Roman" w:hAnsiTheme="majorHAnsi"/>
          <w:lang w:val="en-US" w:bidi="th-TH"/>
        </w:rPr>
      </w:pPr>
      <w:r>
        <w:rPr>
          <w:rFonts w:asciiTheme="majorHAnsi" w:eastAsia="Times New Roman" w:hAnsiTheme="majorHAnsi"/>
          <w:lang w:val="en-US" w:bidi="th-TH"/>
        </w:rPr>
        <w:t>7</w:t>
      </w:r>
      <w:r w:rsidR="00DF7360" w:rsidRPr="00DF7360">
        <w:rPr>
          <w:rFonts w:asciiTheme="majorHAnsi" w:eastAsia="Times New Roman" w:hAnsiTheme="majorHAnsi"/>
          <w:lang w:val="en-US" w:bidi="th-TH"/>
        </w:rPr>
        <w:t xml:space="preserve"> Ju</w:t>
      </w:r>
      <w:r>
        <w:rPr>
          <w:rFonts w:asciiTheme="majorHAnsi" w:eastAsia="Times New Roman" w:hAnsiTheme="majorHAnsi"/>
          <w:lang w:val="en-US" w:bidi="th-TH"/>
        </w:rPr>
        <w:t>ly</w:t>
      </w:r>
      <w:r w:rsidR="00DF7360" w:rsidRPr="00DF7360">
        <w:rPr>
          <w:rFonts w:asciiTheme="majorHAnsi" w:eastAsia="Times New Roman" w:hAnsiTheme="majorHAnsi"/>
          <w:lang w:val="en-US" w:bidi="th-TH"/>
        </w:rPr>
        <w:t xml:space="preserve"> 2022</w:t>
      </w:r>
    </w:p>
    <w:p w14:paraId="308C0F41" w14:textId="4E94F1EA" w:rsidR="00CD2383" w:rsidRPr="00FC060A" w:rsidRDefault="00CD2383" w:rsidP="00701C26">
      <w:pPr>
        <w:pStyle w:val="Heading1"/>
      </w:pPr>
      <w:r>
        <w:t>Date of revision</w:t>
      </w:r>
    </w:p>
    <w:p w14:paraId="0831F28E" w14:textId="725A759A" w:rsidR="00CD2383" w:rsidRPr="00663112" w:rsidRDefault="00663112" w:rsidP="0062486E">
      <w:pPr>
        <w:rPr>
          <w:rFonts w:asciiTheme="majorHAnsi" w:eastAsia="Times New Roman" w:hAnsiTheme="majorHAnsi"/>
          <w:lang w:bidi="th-TH"/>
        </w:rPr>
      </w:pPr>
      <w:r w:rsidRPr="00663112">
        <w:rPr>
          <w:rFonts w:asciiTheme="majorHAnsi" w:eastAsia="Times New Roman" w:hAnsiTheme="majorHAnsi"/>
          <w:lang w:bidi="th-TH"/>
        </w:rPr>
        <w:t>Not applicable</w:t>
      </w:r>
    </w:p>
    <w:p w14:paraId="7F32DF10" w14:textId="70E0662A" w:rsidR="00CD2383" w:rsidRPr="00AC4205" w:rsidRDefault="00CD2383" w:rsidP="00AC4205">
      <w:pPr>
        <w:pStyle w:val="SummaryTableHeading"/>
      </w:pPr>
      <w:r w:rsidRPr="00AC4205">
        <w:t>Summary table of changes</w:t>
      </w:r>
    </w:p>
    <w:p w14:paraId="5DA472D4" w14:textId="3C446C85" w:rsidR="00CD2383" w:rsidRPr="009F0623" w:rsidRDefault="00CD2383" w:rsidP="0062486E"/>
    <w:tbl>
      <w:tblPr>
        <w:tblStyle w:val="LightGrid"/>
        <w:tblW w:w="0" w:type="auto"/>
        <w:tblCellMar>
          <w:top w:w="57" w:type="dxa"/>
          <w:bottom w:w="57" w:type="dxa"/>
        </w:tblCellMar>
        <w:tblLook w:val="06A0" w:firstRow="1" w:lastRow="0" w:firstColumn="1" w:lastColumn="0" w:noHBand="1" w:noVBand="1"/>
      </w:tblPr>
      <w:tblGrid>
        <w:gridCol w:w="1372"/>
        <w:gridCol w:w="7635"/>
      </w:tblGrid>
      <w:tr w:rsidR="00CD2383" w:rsidRPr="00FC060A" w14:paraId="67544705" w14:textId="77777777" w:rsidTr="00FC06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hideMark/>
          </w:tcPr>
          <w:p w14:paraId="08D61F56" w14:textId="77777777" w:rsidR="00CD2383" w:rsidRPr="00FC060A" w:rsidRDefault="00CD2383" w:rsidP="0062486E">
            <w:r w:rsidRPr="00FC060A">
              <w:t>Section Changed</w:t>
            </w:r>
          </w:p>
        </w:tc>
        <w:tc>
          <w:tcPr>
            <w:tcW w:w="7858" w:type="dxa"/>
            <w:shd w:val="clear" w:color="auto" w:fill="F2F2F2" w:themeFill="background1" w:themeFillShade="F2"/>
            <w:vAlign w:val="center"/>
            <w:hideMark/>
          </w:tcPr>
          <w:p w14:paraId="197CE46F" w14:textId="77777777" w:rsidR="00CD2383" w:rsidRPr="00FC060A" w:rsidRDefault="00CD2383" w:rsidP="0062486E">
            <w:pPr>
              <w:cnfStyle w:val="100000000000" w:firstRow="1" w:lastRow="0" w:firstColumn="0" w:lastColumn="0" w:oddVBand="0" w:evenVBand="0" w:oddHBand="0" w:evenHBand="0" w:firstRowFirstColumn="0" w:firstRowLastColumn="0" w:lastRowFirstColumn="0" w:lastRowLastColumn="0"/>
            </w:pPr>
            <w:r w:rsidRPr="00FC060A">
              <w:t>Summary of new information</w:t>
            </w:r>
          </w:p>
        </w:tc>
      </w:tr>
      <w:tr w:rsidR="00663112" w:rsidRPr="00FC060A" w14:paraId="31B363AF" w14:textId="77777777" w:rsidTr="009F0623">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357CB6" w14:textId="3381FFE9" w:rsidR="00663112" w:rsidRPr="00FC060A" w:rsidRDefault="00663112" w:rsidP="00663112">
            <w:r w:rsidRPr="009523F7">
              <w:rPr>
                <w:rFonts w:asciiTheme="majorHAnsi" w:eastAsia="MS Mincho" w:hAnsiTheme="majorHAnsi"/>
                <w:lang w:eastAsia="ja-JP" w:bidi="th-TH"/>
              </w:rPr>
              <w:t>All sections</w:t>
            </w:r>
          </w:p>
        </w:tc>
        <w:tc>
          <w:tcPr>
            <w:tcW w:w="78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FE0930" w14:textId="1D436444" w:rsidR="00663112" w:rsidRPr="00FC060A" w:rsidRDefault="00663112" w:rsidP="00663112">
            <w:pPr>
              <w:cnfStyle w:val="000000000000" w:firstRow="0" w:lastRow="0" w:firstColumn="0" w:lastColumn="0" w:oddVBand="0" w:evenVBand="0" w:oddHBand="0" w:evenHBand="0" w:firstRowFirstColumn="0" w:firstRowLastColumn="0" w:lastRowFirstColumn="0" w:lastRowLastColumn="0"/>
            </w:pPr>
            <w:r w:rsidRPr="009523F7">
              <w:rPr>
                <w:rFonts w:asciiTheme="majorHAnsi" w:eastAsia="MS Mincho" w:hAnsiTheme="majorHAnsi"/>
                <w:lang w:eastAsia="ja-JP" w:bidi="th-TH"/>
              </w:rPr>
              <w:t>New Product Information</w:t>
            </w:r>
          </w:p>
        </w:tc>
      </w:tr>
    </w:tbl>
    <w:p w14:paraId="3E39F621" w14:textId="3D59E21E" w:rsidR="00CD2383" w:rsidRPr="0060534D" w:rsidRDefault="00CD2383" w:rsidP="00BE3FB3"/>
    <w:sectPr w:rsidR="00CD2383" w:rsidRPr="0060534D" w:rsidSect="00701C26">
      <w:headerReference w:type="default" r:id="rId24"/>
      <w:footerReference w:type="default" r:id="rId25"/>
      <w:footerReference w:type="first" r:id="rId26"/>
      <w:endnotePr>
        <w:numFmt w:val="decimal"/>
      </w:endnotePr>
      <w:pgSz w:w="11907" w:h="16840" w:code="9"/>
      <w:pgMar w:top="1440" w:right="1440" w:bottom="1440" w:left="1440" w:header="706" w:footer="706"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48E5" w14:textId="77777777" w:rsidR="00D435FE" w:rsidRDefault="00D435FE" w:rsidP="0062486E">
      <w:r>
        <w:separator/>
      </w:r>
    </w:p>
  </w:endnote>
  <w:endnote w:type="continuationSeparator" w:id="0">
    <w:p w14:paraId="72AD4986" w14:textId="77777777" w:rsidR="00D435FE" w:rsidRDefault="00D435FE" w:rsidP="0062486E">
      <w:r>
        <w:continuationSeparator/>
      </w:r>
    </w:p>
  </w:endnote>
  <w:endnote w:type="continuationNotice" w:id="1">
    <w:p w14:paraId="4BEB09C8" w14:textId="77777777" w:rsidR="00D435FE" w:rsidRDefault="00D43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8757"/>
      <w:docPartObj>
        <w:docPartGallery w:val="Page Numbers (Bottom of Page)"/>
        <w:docPartUnique/>
      </w:docPartObj>
    </w:sdtPr>
    <w:sdtEndPr>
      <w:rPr>
        <w:noProof/>
      </w:rPr>
    </w:sdtEndPr>
    <w:sdtContent>
      <w:p w14:paraId="026EBB4C" w14:textId="4EC3FE4B" w:rsidR="006C1078" w:rsidRDefault="006C1078" w:rsidP="00701C26">
        <w:pPr>
          <w:pStyle w:val="Footer"/>
          <w:jc w:val="right"/>
        </w:pPr>
        <w:r>
          <w:fldChar w:fldCharType="begin"/>
        </w:r>
        <w:r>
          <w:instrText xml:space="preserve"> PAGE   \* MERGEFORMAT </w:instrText>
        </w:r>
        <w:r>
          <w:fldChar w:fldCharType="separate"/>
        </w:r>
        <w:r>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FADB" w14:textId="77777777" w:rsidR="006C1078" w:rsidRDefault="006C1078" w:rsidP="0062486E">
    <w:r>
      <w:fldChar w:fldCharType="begin"/>
    </w:r>
    <w:r>
      <w:instrText xml:space="preserve"> EQ </w:instrText>
    </w:r>
    <w:r>
      <w:fldChar w:fldCharType="end"/>
    </w: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02E5" w14:textId="77777777" w:rsidR="00D435FE" w:rsidRDefault="00D435FE" w:rsidP="0062486E">
      <w:r>
        <w:separator/>
      </w:r>
    </w:p>
  </w:footnote>
  <w:footnote w:type="continuationSeparator" w:id="0">
    <w:p w14:paraId="6E68CDF2" w14:textId="77777777" w:rsidR="00D435FE" w:rsidRDefault="00D435FE" w:rsidP="0062486E">
      <w:r>
        <w:continuationSeparator/>
      </w:r>
    </w:p>
  </w:footnote>
  <w:footnote w:type="continuationNotice" w:id="1">
    <w:p w14:paraId="4CAE70B8" w14:textId="77777777" w:rsidR="00D435FE" w:rsidRDefault="00D43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8720"/>
    </w:tblGrid>
    <w:tr w:rsidR="00580CD8" w:rsidRPr="005A701B" w14:paraId="3412B7B6" w14:textId="77777777" w:rsidTr="004C1CAB">
      <w:tc>
        <w:tcPr>
          <w:tcW w:w="8720" w:type="dxa"/>
          <w:shd w:val="clear" w:color="auto" w:fill="E4F2E0"/>
        </w:tcPr>
        <w:p w14:paraId="60E10892" w14:textId="77777777" w:rsidR="00580CD8" w:rsidRPr="003B0ECB" w:rsidRDefault="00580CD8" w:rsidP="00580CD8">
          <w:pPr>
            <w:spacing w:before="180" w:after="180" w:line="240" w:lineRule="atLeast"/>
            <w:rPr>
              <w:rFonts w:ascii="Cambria" w:hAnsi="Cambria"/>
              <w:b/>
              <w:sz w:val="18"/>
              <w:szCs w:val="18"/>
            </w:rPr>
          </w:pPr>
          <w:bookmarkStart w:id="2" w:name="_Hlk126587363"/>
          <w:r w:rsidRPr="003B0ECB">
            <w:rPr>
              <w:rFonts w:ascii="Cambria" w:hAnsi="Cambria"/>
              <w:b/>
              <w:sz w:val="18"/>
              <w:szCs w:val="18"/>
            </w:rPr>
            <w:t xml:space="preserve">Attachment 1: Product information for </w:t>
          </w:r>
          <w:proofErr w:type="spellStart"/>
          <w:r w:rsidRPr="001046EE">
            <w:rPr>
              <w:rFonts w:ascii="Cambria" w:hAnsi="Cambria"/>
              <w:b/>
              <w:sz w:val="18"/>
              <w:szCs w:val="18"/>
            </w:rPr>
            <w:t>AusPAR</w:t>
          </w:r>
          <w:proofErr w:type="spellEnd"/>
          <w:r w:rsidRPr="001046EE">
            <w:rPr>
              <w:rFonts w:ascii="Cambria" w:hAnsi="Cambria"/>
              <w:b/>
              <w:sz w:val="18"/>
              <w:szCs w:val="18"/>
            </w:rPr>
            <w:t xml:space="preserve"> - </w:t>
          </w:r>
          <w:proofErr w:type="spellStart"/>
          <w:r w:rsidRPr="001046EE">
            <w:rPr>
              <w:rFonts w:ascii="Cambria" w:hAnsi="Cambria"/>
              <w:b/>
              <w:sz w:val="18"/>
              <w:szCs w:val="18"/>
            </w:rPr>
            <w:t>Padcev</w:t>
          </w:r>
          <w:proofErr w:type="spellEnd"/>
          <w:r w:rsidRPr="001046EE">
            <w:rPr>
              <w:rFonts w:ascii="Cambria" w:hAnsi="Cambria"/>
              <w:b/>
              <w:sz w:val="18"/>
              <w:szCs w:val="18"/>
            </w:rPr>
            <w:t xml:space="preserve"> - </w:t>
          </w:r>
          <w:proofErr w:type="spellStart"/>
          <w:r w:rsidRPr="001046EE">
            <w:rPr>
              <w:rFonts w:ascii="Cambria" w:hAnsi="Cambria"/>
              <w:b/>
              <w:sz w:val="18"/>
              <w:szCs w:val="18"/>
            </w:rPr>
            <w:t>Enfortumab</w:t>
          </w:r>
          <w:proofErr w:type="spellEnd"/>
          <w:r w:rsidRPr="001046EE">
            <w:rPr>
              <w:rFonts w:ascii="Cambria" w:hAnsi="Cambria"/>
              <w:b/>
              <w:sz w:val="18"/>
              <w:szCs w:val="18"/>
            </w:rPr>
            <w:t xml:space="preserve"> </w:t>
          </w:r>
          <w:proofErr w:type="spellStart"/>
          <w:r w:rsidRPr="001046EE">
            <w:rPr>
              <w:rFonts w:ascii="Cambria" w:hAnsi="Cambria"/>
              <w:b/>
              <w:sz w:val="18"/>
              <w:szCs w:val="18"/>
            </w:rPr>
            <w:t>vedotin</w:t>
          </w:r>
          <w:proofErr w:type="spellEnd"/>
          <w:r w:rsidRPr="001046EE">
            <w:rPr>
              <w:rFonts w:ascii="Cambria" w:hAnsi="Cambria"/>
              <w:b/>
              <w:sz w:val="18"/>
              <w:szCs w:val="18"/>
            </w:rPr>
            <w:t xml:space="preserve"> - Astellas Pharma Australia Pty Ltd - PM-2021-00635-1-4</w:t>
          </w:r>
          <w:r>
            <w:rPr>
              <w:rFonts w:ascii="Cambria" w:hAnsi="Cambria"/>
              <w:b/>
              <w:sz w:val="18"/>
              <w:szCs w:val="18"/>
            </w:rPr>
            <w:t xml:space="preserve"> </w:t>
          </w:r>
          <w:r w:rsidRPr="001046EE">
            <w:rPr>
              <w:rFonts w:ascii="Cambria" w:hAnsi="Cambria"/>
              <w:b/>
              <w:sz w:val="18"/>
              <w:szCs w:val="18"/>
            </w:rPr>
            <w:t>Final 27 February 2023</w:t>
          </w:r>
          <w:r w:rsidRPr="003B0ECB">
            <w:rPr>
              <w:rFonts w:ascii="Cambria" w:hAnsi="Cambria"/>
              <w:b/>
              <w:sz w:val="18"/>
              <w:szCs w:val="18"/>
            </w:rPr>
            <w:t xml:space="preserve">. This is the Product Information that was approved with the submission described in this </w:t>
          </w:r>
          <w:proofErr w:type="spellStart"/>
          <w:r w:rsidRPr="003B0ECB">
            <w:rPr>
              <w:rFonts w:ascii="Cambria" w:hAnsi="Cambria"/>
              <w:b/>
              <w:sz w:val="18"/>
              <w:szCs w:val="18"/>
            </w:rPr>
            <w:t>AusPAR</w:t>
          </w:r>
          <w:proofErr w:type="spellEnd"/>
          <w:r w:rsidRPr="003B0ECB">
            <w:rPr>
              <w:rFonts w:ascii="Cambria" w:hAnsi="Cambria"/>
              <w:b/>
              <w:sz w:val="18"/>
              <w:szCs w:val="18"/>
            </w:rPr>
            <w:t>. It may have been superseded. For the most recent PI, please refer to the TGA website at &lt;</w:t>
          </w:r>
          <w:hyperlink r:id="rId1" w:history="1">
            <w:r w:rsidRPr="003B0ECB">
              <w:rPr>
                <w:rFonts w:ascii="Cambria" w:hAnsi="Cambria"/>
                <w:b/>
                <w:color w:val="0000FF"/>
                <w:sz w:val="18"/>
                <w:szCs w:val="18"/>
                <w:u w:val="single"/>
              </w:rPr>
              <w:t>https://www.tga.gov.au/products/australian-register-therapeutic-goods-artg/product-information-one</w:t>
            </w:r>
          </w:hyperlink>
          <w:r w:rsidRPr="003B0ECB">
            <w:rPr>
              <w:rFonts w:ascii="Cambria" w:hAnsi="Cambria"/>
              <w:b/>
              <w:sz w:val="18"/>
              <w:szCs w:val="18"/>
            </w:rPr>
            <w:t>&gt;</w:t>
          </w:r>
        </w:p>
      </w:tc>
    </w:tr>
    <w:bookmarkEnd w:id="2"/>
  </w:tbl>
  <w:p w14:paraId="41ACC561" w14:textId="77777777" w:rsidR="00580CD8" w:rsidRDefault="00580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723C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700A8"/>
    <w:multiLevelType w:val="hybridMultilevel"/>
    <w:tmpl w:val="A156E0AA"/>
    <w:lvl w:ilvl="0" w:tplc="D460FB8A">
      <w:start w:val="1"/>
      <w:numFmt w:val="decimal"/>
      <w:lvlText w:val="%1."/>
      <w:lvlJc w:val="left"/>
      <w:pPr>
        <w:ind w:left="810" w:hanging="360"/>
      </w:pPr>
    </w:lvl>
    <w:lvl w:ilvl="1" w:tplc="325EC058">
      <w:start w:val="1"/>
      <w:numFmt w:val="lowerLetter"/>
      <w:lvlText w:val="%2."/>
      <w:lvlJc w:val="left"/>
      <w:pPr>
        <w:ind w:left="1440" w:hanging="360"/>
      </w:pPr>
    </w:lvl>
    <w:lvl w:ilvl="2" w:tplc="87A4010C">
      <w:start w:val="1"/>
      <w:numFmt w:val="lowerRoman"/>
      <w:lvlText w:val="%3."/>
      <w:lvlJc w:val="right"/>
      <w:pPr>
        <w:ind w:left="2160" w:hanging="180"/>
      </w:pPr>
    </w:lvl>
    <w:lvl w:ilvl="3" w:tplc="9B9EABDE">
      <w:start w:val="1"/>
      <w:numFmt w:val="decimal"/>
      <w:lvlText w:val="%4."/>
      <w:lvlJc w:val="left"/>
      <w:pPr>
        <w:ind w:left="2880" w:hanging="360"/>
      </w:pPr>
    </w:lvl>
    <w:lvl w:ilvl="4" w:tplc="1402F290">
      <w:start w:val="1"/>
      <w:numFmt w:val="lowerLetter"/>
      <w:lvlText w:val="%5."/>
      <w:lvlJc w:val="left"/>
      <w:pPr>
        <w:ind w:left="3600" w:hanging="360"/>
      </w:pPr>
    </w:lvl>
    <w:lvl w:ilvl="5" w:tplc="034CF144">
      <w:start w:val="1"/>
      <w:numFmt w:val="lowerRoman"/>
      <w:lvlText w:val="%6."/>
      <w:lvlJc w:val="right"/>
      <w:pPr>
        <w:ind w:left="4320" w:hanging="180"/>
      </w:pPr>
    </w:lvl>
    <w:lvl w:ilvl="6" w:tplc="434C2484">
      <w:start w:val="1"/>
      <w:numFmt w:val="decimal"/>
      <w:lvlText w:val="%7."/>
      <w:lvlJc w:val="left"/>
      <w:pPr>
        <w:ind w:left="5040" w:hanging="360"/>
      </w:pPr>
    </w:lvl>
    <w:lvl w:ilvl="7" w:tplc="546C4CAC">
      <w:start w:val="1"/>
      <w:numFmt w:val="lowerLetter"/>
      <w:lvlText w:val="%8."/>
      <w:lvlJc w:val="left"/>
      <w:pPr>
        <w:ind w:left="5760" w:hanging="360"/>
      </w:pPr>
    </w:lvl>
    <w:lvl w:ilvl="8" w:tplc="DF648158">
      <w:start w:val="1"/>
      <w:numFmt w:val="lowerRoman"/>
      <w:lvlText w:val="%9."/>
      <w:lvlJc w:val="right"/>
      <w:pPr>
        <w:ind w:left="6480" w:hanging="180"/>
      </w:pPr>
    </w:lvl>
  </w:abstractNum>
  <w:abstractNum w:abstractNumId="2" w15:restartNumberingAfterBreak="0">
    <w:nsid w:val="05B472F9"/>
    <w:multiLevelType w:val="hybridMultilevel"/>
    <w:tmpl w:val="C80AAB1C"/>
    <w:lvl w:ilvl="0" w:tplc="4AD0654E">
      <w:start w:val="1"/>
      <w:numFmt w:val="lowerLetter"/>
      <w:lvlText w:val="%1."/>
      <w:lvlJc w:val="left"/>
      <w:pPr>
        <w:ind w:left="3180" w:hanging="2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F0DD0"/>
    <w:multiLevelType w:val="hybridMultilevel"/>
    <w:tmpl w:val="41C69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B782A"/>
    <w:multiLevelType w:val="multilevel"/>
    <w:tmpl w:val="4DC6F82A"/>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Lucida Sans Unicode" w:hAnsi="Lucida Sans Unicode" w:hint="default"/>
        <w:color w:val="auto"/>
      </w:rPr>
    </w:lvl>
    <w:lvl w:ilvl="2">
      <w:start w:val="1"/>
      <w:numFmt w:val="bullet"/>
      <w:pStyle w:val="ListBullet3"/>
      <w:lvlText w:val="▪"/>
      <w:lvlJc w:val="left"/>
      <w:pPr>
        <w:ind w:left="1080" w:hanging="360"/>
      </w:pPr>
      <w:rPr>
        <w:rFonts w:ascii="Lucida Sans Unicode" w:hAnsi="Lucida Sans Unicode" w:hint="default"/>
        <w:color w:val="auto"/>
      </w:rPr>
    </w:lvl>
    <w:lvl w:ilvl="3">
      <w:start w:val="1"/>
      <w:numFmt w:val="bullet"/>
      <w:pStyle w:val="ListBullet4"/>
      <w:lvlText w:val="-"/>
      <w:lvlJc w:val="left"/>
      <w:pPr>
        <w:ind w:left="1440" w:hanging="360"/>
      </w:pPr>
      <w:rPr>
        <w:rFonts w:ascii="Lucida Sans Unicode" w:hAnsi="Lucida Sans Unicode" w:hint="default"/>
        <w:color w:val="auto"/>
      </w:rPr>
    </w:lvl>
    <w:lvl w:ilvl="4">
      <w:start w:val="1"/>
      <w:numFmt w:val="bullet"/>
      <w:pStyle w:val="ListBullet5"/>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4C09FA"/>
    <w:multiLevelType w:val="hybridMultilevel"/>
    <w:tmpl w:val="E0B41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B1F5B"/>
    <w:multiLevelType w:val="hybridMultilevel"/>
    <w:tmpl w:val="5BF4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8" w15:restartNumberingAfterBreak="0">
    <w:nsid w:val="35D448D3"/>
    <w:multiLevelType w:val="hybridMultilevel"/>
    <w:tmpl w:val="0B9CB70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373AC3"/>
    <w:multiLevelType w:val="multilevel"/>
    <w:tmpl w:val="5986E9BC"/>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upp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lowerRoman"/>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060060A"/>
    <w:multiLevelType w:val="hybridMultilevel"/>
    <w:tmpl w:val="FCB668D8"/>
    <w:lvl w:ilvl="0" w:tplc="EF5E9C2E">
      <w:numFmt w:val="bullet"/>
      <w:lvlText w:val=""/>
      <w:lvlJc w:val="left"/>
      <w:pPr>
        <w:ind w:left="720" w:hanging="360"/>
      </w:pPr>
      <w:rPr>
        <w:rFonts w:ascii="Wingdings" w:eastAsia="Calibri" w:hAnsi="Wingdings"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F419F"/>
    <w:multiLevelType w:val="hybridMultilevel"/>
    <w:tmpl w:val="43B4E560"/>
    <w:lvl w:ilvl="0" w:tplc="AC48BC02">
      <w:numFmt w:val="bullet"/>
      <w:lvlText w:val="-"/>
      <w:lvlJc w:val="left"/>
      <w:pPr>
        <w:ind w:left="360" w:hanging="360"/>
      </w:pPr>
      <w:rPr>
        <w:rFonts w:ascii="Cambria" w:eastAsia="Calibri" w:hAnsi="Cambria" w:cs="Cordia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9A6A56"/>
    <w:multiLevelType w:val="hybridMultilevel"/>
    <w:tmpl w:val="F59C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332797"/>
    <w:multiLevelType w:val="multilevel"/>
    <w:tmpl w:val="2034C1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40A7328"/>
    <w:multiLevelType w:val="hybridMultilevel"/>
    <w:tmpl w:val="30F47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5D03BF"/>
    <w:multiLevelType w:val="hybridMultilevel"/>
    <w:tmpl w:val="7180B53E"/>
    <w:lvl w:ilvl="0" w:tplc="29726C68">
      <w:numFmt w:val="bullet"/>
      <w:lvlText w:val="-"/>
      <w:lvlJc w:val="left"/>
      <w:pPr>
        <w:ind w:left="360" w:hanging="360"/>
      </w:pPr>
      <w:rPr>
        <w:rFonts w:ascii="Cambria" w:eastAsia="Calibri" w:hAnsi="Cambria" w:cs="Cordia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0396309">
    <w:abstractNumId w:val="4"/>
  </w:num>
  <w:num w:numId="2" w16cid:durableId="1710955754">
    <w:abstractNumId w:val="7"/>
    <w:lvlOverride w:ilvl="0">
      <w:startOverride w:val="1"/>
    </w:lvlOverride>
  </w:num>
  <w:num w:numId="3" w16cid:durableId="1994522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4460287">
    <w:abstractNumId w:val="13"/>
  </w:num>
  <w:num w:numId="5" w16cid:durableId="677386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3860850">
    <w:abstractNumId w:val="0"/>
  </w:num>
  <w:num w:numId="7" w16cid:durableId="398289607">
    <w:abstractNumId w:val="1"/>
  </w:num>
  <w:num w:numId="8" w16cid:durableId="1249848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169932">
    <w:abstractNumId w:val="12"/>
  </w:num>
  <w:num w:numId="10" w16cid:durableId="1654406812">
    <w:abstractNumId w:val="12"/>
  </w:num>
  <w:num w:numId="11" w16cid:durableId="1104763101">
    <w:abstractNumId w:val="8"/>
  </w:num>
  <w:num w:numId="12" w16cid:durableId="1124664470">
    <w:abstractNumId w:val="5"/>
  </w:num>
  <w:num w:numId="13" w16cid:durableId="1441532459">
    <w:abstractNumId w:val="3"/>
  </w:num>
  <w:num w:numId="14" w16cid:durableId="638261880">
    <w:abstractNumId w:val="6"/>
  </w:num>
  <w:num w:numId="15" w16cid:durableId="2057271525">
    <w:abstractNumId w:val="15"/>
  </w:num>
  <w:num w:numId="16" w16cid:durableId="1884781010">
    <w:abstractNumId w:val="11"/>
  </w:num>
  <w:num w:numId="17" w16cid:durableId="563683196">
    <w:abstractNumId w:val="14"/>
  </w:num>
  <w:num w:numId="18" w16cid:durableId="413208004">
    <w:abstractNumId w:val="2"/>
  </w:num>
  <w:num w:numId="19" w16cid:durableId="93436800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ocumentProtection w:edit="comments" w:enforcement="0"/>
  <w:defaultTabStop w:val="720"/>
  <w:hyphenationZone w:val="425"/>
  <w:characterSpacingControl w:val="doNotCompress"/>
  <w:hdrShapeDefaults>
    <o:shapedefaults v:ext="edit" spidmax="2051">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DDA"/>
    <w:rsid w:val="00000063"/>
    <w:rsid w:val="000001D8"/>
    <w:rsid w:val="00000279"/>
    <w:rsid w:val="00000391"/>
    <w:rsid w:val="000007C2"/>
    <w:rsid w:val="00000B6C"/>
    <w:rsid w:val="00001C5D"/>
    <w:rsid w:val="00001D8D"/>
    <w:rsid w:val="00001DF4"/>
    <w:rsid w:val="00002218"/>
    <w:rsid w:val="00002459"/>
    <w:rsid w:val="00002569"/>
    <w:rsid w:val="0000268E"/>
    <w:rsid w:val="000026E1"/>
    <w:rsid w:val="000028E0"/>
    <w:rsid w:val="00002AD0"/>
    <w:rsid w:val="00002BE6"/>
    <w:rsid w:val="00002D23"/>
    <w:rsid w:val="00002DEE"/>
    <w:rsid w:val="0000318A"/>
    <w:rsid w:val="0000334F"/>
    <w:rsid w:val="00003889"/>
    <w:rsid w:val="00003C0A"/>
    <w:rsid w:val="000040DA"/>
    <w:rsid w:val="0000486C"/>
    <w:rsid w:val="00004E6F"/>
    <w:rsid w:val="000051D9"/>
    <w:rsid w:val="00005563"/>
    <w:rsid w:val="000058DB"/>
    <w:rsid w:val="00005D05"/>
    <w:rsid w:val="00006ADA"/>
    <w:rsid w:val="00007056"/>
    <w:rsid w:val="000070EB"/>
    <w:rsid w:val="00007176"/>
    <w:rsid w:val="00007A14"/>
    <w:rsid w:val="00010499"/>
    <w:rsid w:val="00010633"/>
    <w:rsid w:val="00010881"/>
    <w:rsid w:val="0001098A"/>
    <w:rsid w:val="00011039"/>
    <w:rsid w:val="0001118A"/>
    <w:rsid w:val="000113FB"/>
    <w:rsid w:val="00011457"/>
    <w:rsid w:val="0001196C"/>
    <w:rsid w:val="00011FE2"/>
    <w:rsid w:val="0001203C"/>
    <w:rsid w:val="00012998"/>
    <w:rsid w:val="00012C05"/>
    <w:rsid w:val="000132E9"/>
    <w:rsid w:val="0001373F"/>
    <w:rsid w:val="00013FF5"/>
    <w:rsid w:val="00014174"/>
    <w:rsid w:val="000146C1"/>
    <w:rsid w:val="000154F8"/>
    <w:rsid w:val="0001555C"/>
    <w:rsid w:val="00015FB8"/>
    <w:rsid w:val="000161C8"/>
    <w:rsid w:val="000161CF"/>
    <w:rsid w:val="00016953"/>
    <w:rsid w:val="00016C3E"/>
    <w:rsid w:val="00017592"/>
    <w:rsid w:val="00017773"/>
    <w:rsid w:val="00017A67"/>
    <w:rsid w:val="00017C40"/>
    <w:rsid w:val="00017D36"/>
    <w:rsid w:val="00017FDE"/>
    <w:rsid w:val="0002007A"/>
    <w:rsid w:val="00020756"/>
    <w:rsid w:val="00020CAF"/>
    <w:rsid w:val="0002109E"/>
    <w:rsid w:val="0002133A"/>
    <w:rsid w:val="000213BE"/>
    <w:rsid w:val="00021509"/>
    <w:rsid w:val="0002186B"/>
    <w:rsid w:val="00021C70"/>
    <w:rsid w:val="00021ED3"/>
    <w:rsid w:val="0002213F"/>
    <w:rsid w:val="00022F57"/>
    <w:rsid w:val="00023109"/>
    <w:rsid w:val="0002340D"/>
    <w:rsid w:val="0002393B"/>
    <w:rsid w:val="00023C67"/>
    <w:rsid w:val="00023E2E"/>
    <w:rsid w:val="0002436C"/>
    <w:rsid w:val="000246DD"/>
    <w:rsid w:val="00024B45"/>
    <w:rsid w:val="00024D22"/>
    <w:rsid w:val="00024E98"/>
    <w:rsid w:val="00024F69"/>
    <w:rsid w:val="000258C8"/>
    <w:rsid w:val="000258EE"/>
    <w:rsid w:val="00025CCB"/>
    <w:rsid w:val="00025EBB"/>
    <w:rsid w:val="00025F5A"/>
    <w:rsid w:val="0002631C"/>
    <w:rsid w:val="00026EBD"/>
    <w:rsid w:val="00027A6B"/>
    <w:rsid w:val="00027C75"/>
    <w:rsid w:val="00027F7A"/>
    <w:rsid w:val="00030B81"/>
    <w:rsid w:val="00030C06"/>
    <w:rsid w:val="000310C2"/>
    <w:rsid w:val="00032695"/>
    <w:rsid w:val="00032C06"/>
    <w:rsid w:val="00032F51"/>
    <w:rsid w:val="00034074"/>
    <w:rsid w:val="00034166"/>
    <w:rsid w:val="0003512E"/>
    <w:rsid w:val="00035E3F"/>
    <w:rsid w:val="00037925"/>
    <w:rsid w:val="00037D7B"/>
    <w:rsid w:val="00040606"/>
    <w:rsid w:val="0004068F"/>
    <w:rsid w:val="000406C2"/>
    <w:rsid w:val="00040B24"/>
    <w:rsid w:val="00040D42"/>
    <w:rsid w:val="00040E76"/>
    <w:rsid w:val="00041675"/>
    <w:rsid w:val="000417EB"/>
    <w:rsid w:val="000418E6"/>
    <w:rsid w:val="00041981"/>
    <w:rsid w:val="00042266"/>
    <w:rsid w:val="0004239A"/>
    <w:rsid w:val="000426EC"/>
    <w:rsid w:val="000426FA"/>
    <w:rsid w:val="00042B60"/>
    <w:rsid w:val="00042BCE"/>
    <w:rsid w:val="00042EAB"/>
    <w:rsid w:val="00042EEA"/>
    <w:rsid w:val="000430CB"/>
    <w:rsid w:val="000431AD"/>
    <w:rsid w:val="00043356"/>
    <w:rsid w:val="000435FF"/>
    <w:rsid w:val="00043851"/>
    <w:rsid w:val="0004468F"/>
    <w:rsid w:val="00044D24"/>
    <w:rsid w:val="0004513F"/>
    <w:rsid w:val="00045147"/>
    <w:rsid w:val="000452F5"/>
    <w:rsid w:val="00045CFB"/>
    <w:rsid w:val="000462DA"/>
    <w:rsid w:val="000468DD"/>
    <w:rsid w:val="00046B5D"/>
    <w:rsid w:val="00047AC9"/>
    <w:rsid w:val="00047BC3"/>
    <w:rsid w:val="0005138C"/>
    <w:rsid w:val="00051391"/>
    <w:rsid w:val="0005173C"/>
    <w:rsid w:val="0005175A"/>
    <w:rsid w:val="000517DB"/>
    <w:rsid w:val="00051AFD"/>
    <w:rsid w:val="00052371"/>
    <w:rsid w:val="00052473"/>
    <w:rsid w:val="00053292"/>
    <w:rsid w:val="00053644"/>
    <w:rsid w:val="00053918"/>
    <w:rsid w:val="00053A8B"/>
    <w:rsid w:val="00053B0D"/>
    <w:rsid w:val="00053D4B"/>
    <w:rsid w:val="00054291"/>
    <w:rsid w:val="00054A9D"/>
    <w:rsid w:val="00054E87"/>
    <w:rsid w:val="000552CC"/>
    <w:rsid w:val="00055490"/>
    <w:rsid w:val="0005553C"/>
    <w:rsid w:val="00055C92"/>
    <w:rsid w:val="00055D96"/>
    <w:rsid w:val="000561B2"/>
    <w:rsid w:val="00056C44"/>
    <w:rsid w:val="000573D7"/>
    <w:rsid w:val="000574D1"/>
    <w:rsid w:val="0006039D"/>
    <w:rsid w:val="0006048B"/>
    <w:rsid w:val="00060748"/>
    <w:rsid w:val="000608F4"/>
    <w:rsid w:val="00060C0C"/>
    <w:rsid w:val="00060FB7"/>
    <w:rsid w:val="000612DF"/>
    <w:rsid w:val="0006173B"/>
    <w:rsid w:val="0006182A"/>
    <w:rsid w:val="000618B3"/>
    <w:rsid w:val="00061A52"/>
    <w:rsid w:val="00061ED9"/>
    <w:rsid w:val="00061F66"/>
    <w:rsid w:val="00062C0C"/>
    <w:rsid w:val="00062D86"/>
    <w:rsid w:val="000636BE"/>
    <w:rsid w:val="000638FD"/>
    <w:rsid w:val="00063A36"/>
    <w:rsid w:val="0006410F"/>
    <w:rsid w:val="000647A8"/>
    <w:rsid w:val="00064A90"/>
    <w:rsid w:val="000656F3"/>
    <w:rsid w:val="00065DA6"/>
    <w:rsid w:val="00065E0A"/>
    <w:rsid w:val="00066252"/>
    <w:rsid w:val="00066495"/>
    <w:rsid w:val="00066E5C"/>
    <w:rsid w:val="00066E83"/>
    <w:rsid w:val="000671FA"/>
    <w:rsid w:val="0007015F"/>
    <w:rsid w:val="00070559"/>
    <w:rsid w:val="000709A1"/>
    <w:rsid w:val="00070CAD"/>
    <w:rsid w:val="00071170"/>
    <w:rsid w:val="0007140F"/>
    <w:rsid w:val="0007176D"/>
    <w:rsid w:val="00071EED"/>
    <w:rsid w:val="00071F70"/>
    <w:rsid w:val="0007216B"/>
    <w:rsid w:val="00072516"/>
    <w:rsid w:val="00072AA8"/>
    <w:rsid w:val="00072C8D"/>
    <w:rsid w:val="00073859"/>
    <w:rsid w:val="00073962"/>
    <w:rsid w:val="00073A77"/>
    <w:rsid w:val="00073AC2"/>
    <w:rsid w:val="00074062"/>
    <w:rsid w:val="0007417E"/>
    <w:rsid w:val="00074A98"/>
    <w:rsid w:val="00074DA1"/>
    <w:rsid w:val="000753A9"/>
    <w:rsid w:val="000758A6"/>
    <w:rsid w:val="00075931"/>
    <w:rsid w:val="00075CB9"/>
    <w:rsid w:val="00076939"/>
    <w:rsid w:val="00076E73"/>
    <w:rsid w:val="00076F8B"/>
    <w:rsid w:val="0007703F"/>
    <w:rsid w:val="000770AB"/>
    <w:rsid w:val="000772B9"/>
    <w:rsid w:val="00077B59"/>
    <w:rsid w:val="00077E55"/>
    <w:rsid w:val="0008039E"/>
    <w:rsid w:val="00080B81"/>
    <w:rsid w:val="00081094"/>
    <w:rsid w:val="000812C6"/>
    <w:rsid w:val="000818F1"/>
    <w:rsid w:val="00081A74"/>
    <w:rsid w:val="00081CA0"/>
    <w:rsid w:val="00081E70"/>
    <w:rsid w:val="00082372"/>
    <w:rsid w:val="0008292C"/>
    <w:rsid w:val="00082A1F"/>
    <w:rsid w:val="00082B1A"/>
    <w:rsid w:val="00082F45"/>
    <w:rsid w:val="000831BB"/>
    <w:rsid w:val="000836E0"/>
    <w:rsid w:val="00083715"/>
    <w:rsid w:val="000837D3"/>
    <w:rsid w:val="00083914"/>
    <w:rsid w:val="00083C47"/>
    <w:rsid w:val="00083EFA"/>
    <w:rsid w:val="00083F7B"/>
    <w:rsid w:val="0008430C"/>
    <w:rsid w:val="00084AFF"/>
    <w:rsid w:val="00084D5F"/>
    <w:rsid w:val="00084DA8"/>
    <w:rsid w:val="0008513D"/>
    <w:rsid w:val="000853CD"/>
    <w:rsid w:val="00085414"/>
    <w:rsid w:val="000856EA"/>
    <w:rsid w:val="00085872"/>
    <w:rsid w:val="00086096"/>
    <w:rsid w:val="000869AF"/>
    <w:rsid w:val="00086B5F"/>
    <w:rsid w:val="00086D7D"/>
    <w:rsid w:val="00087453"/>
    <w:rsid w:val="00087454"/>
    <w:rsid w:val="0008759C"/>
    <w:rsid w:val="000879C6"/>
    <w:rsid w:val="00087A12"/>
    <w:rsid w:val="00087C10"/>
    <w:rsid w:val="00087CED"/>
    <w:rsid w:val="00087DD3"/>
    <w:rsid w:val="00087E1A"/>
    <w:rsid w:val="00090871"/>
    <w:rsid w:val="00091030"/>
    <w:rsid w:val="000912C7"/>
    <w:rsid w:val="000913E6"/>
    <w:rsid w:val="0009149E"/>
    <w:rsid w:val="0009199F"/>
    <w:rsid w:val="00091BE3"/>
    <w:rsid w:val="00091C9A"/>
    <w:rsid w:val="00091F82"/>
    <w:rsid w:val="0009206E"/>
    <w:rsid w:val="000922AB"/>
    <w:rsid w:val="000926E4"/>
    <w:rsid w:val="0009296F"/>
    <w:rsid w:val="000934D6"/>
    <w:rsid w:val="00093646"/>
    <w:rsid w:val="00093B23"/>
    <w:rsid w:val="000946F3"/>
    <w:rsid w:val="000948C7"/>
    <w:rsid w:val="00094D68"/>
    <w:rsid w:val="00094ED9"/>
    <w:rsid w:val="000950CB"/>
    <w:rsid w:val="000955D5"/>
    <w:rsid w:val="00095DA6"/>
    <w:rsid w:val="00095F9C"/>
    <w:rsid w:val="0009640B"/>
    <w:rsid w:val="0009678E"/>
    <w:rsid w:val="0009681D"/>
    <w:rsid w:val="000968F6"/>
    <w:rsid w:val="00096921"/>
    <w:rsid w:val="00096A09"/>
    <w:rsid w:val="0009736E"/>
    <w:rsid w:val="00097948"/>
    <w:rsid w:val="0009795B"/>
    <w:rsid w:val="00097C4C"/>
    <w:rsid w:val="000A04B4"/>
    <w:rsid w:val="000A0663"/>
    <w:rsid w:val="000A073C"/>
    <w:rsid w:val="000A0DF3"/>
    <w:rsid w:val="000A192B"/>
    <w:rsid w:val="000A23BB"/>
    <w:rsid w:val="000A2867"/>
    <w:rsid w:val="000A2965"/>
    <w:rsid w:val="000A3119"/>
    <w:rsid w:val="000A429C"/>
    <w:rsid w:val="000A528C"/>
    <w:rsid w:val="000A5350"/>
    <w:rsid w:val="000A56A7"/>
    <w:rsid w:val="000A5797"/>
    <w:rsid w:val="000A59BE"/>
    <w:rsid w:val="000A6258"/>
    <w:rsid w:val="000A6C56"/>
    <w:rsid w:val="000A6EC9"/>
    <w:rsid w:val="000A713A"/>
    <w:rsid w:val="000A782B"/>
    <w:rsid w:val="000A7E95"/>
    <w:rsid w:val="000A7F29"/>
    <w:rsid w:val="000B020A"/>
    <w:rsid w:val="000B06CB"/>
    <w:rsid w:val="000B0851"/>
    <w:rsid w:val="000B0E55"/>
    <w:rsid w:val="000B1987"/>
    <w:rsid w:val="000B1A81"/>
    <w:rsid w:val="000B1BA4"/>
    <w:rsid w:val="000B204B"/>
    <w:rsid w:val="000B2146"/>
    <w:rsid w:val="000B21FF"/>
    <w:rsid w:val="000B24C6"/>
    <w:rsid w:val="000B2B9E"/>
    <w:rsid w:val="000B371F"/>
    <w:rsid w:val="000B3A06"/>
    <w:rsid w:val="000B49E7"/>
    <w:rsid w:val="000B4CC3"/>
    <w:rsid w:val="000B4E67"/>
    <w:rsid w:val="000B5700"/>
    <w:rsid w:val="000B5CEA"/>
    <w:rsid w:val="000B5E48"/>
    <w:rsid w:val="000B5E6F"/>
    <w:rsid w:val="000B5F60"/>
    <w:rsid w:val="000B5FEF"/>
    <w:rsid w:val="000B601B"/>
    <w:rsid w:val="000B6A30"/>
    <w:rsid w:val="000B7674"/>
    <w:rsid w:val="000C0149"/>
    <w:rsid w:val="000C0944"/>
    <w:rsid w:val="000C0E3C"/>
    <w:rsid w:val="000C100B"/>
    <w:rsid w:val="000C1392"/>
    <w:rsid w:val="000C13A7"/>
    <w:rsid w:val="000C1C2B"/>
    <w:rsid w:val="000C1CFF"/>
    <w:rsid w:val="000C21A1"/>
    <w:rsid w:val="000C31DA"/>
    <w:rsid w:val="000C3516"/>
    <w:rsid w:val="000C360D"/>
    <w:rsid w:val="000C367F"/>
    <w:rsid w:val="000C3B07"/>
    <w:rsid w:val="000C3FF1"/>
    <w:rsid w:val="000C46D4"/>
    <w:rsid w:val="000C4CAE"/>
    <w:rsid w:val="000C4F1D"/>
    <w:rsid w:val="000C5203"/>
    <w:rsid w:val="000C5664"/>
    <w:rsid w:val="000C5E20"/>
    <w:rsid w:val="000C5E69"/>
    <w:rsid w:val="000C6A04"/>
    <w:rsid w:val="000C6BF0"/>
    <w:rsid w:val="000C7B8A"/>
    <w:rsid w:val="000C7E6D"/>
    <w:rsid w:val="000D0087"/>
    <w:rsid w:val="000D01D3"/>
    <w:rsid w:val="000D0493"/>
    <w:rsid w:val="000D061D"/>
    <w:rsid w:val="000D1FA2"/>
    <w:rsid w:val="000D23DD"/>
    <w:rsid w:val="000D2B5F"/>
    <w:rsid w:val="000D32C8"/>
    <w:rsid w:val="000D32EA"/>
    <w:rsid w:val="000D34FB"/>
    <w:rsid w:val="000D396C"/>
    <w:rsid w:val="000D3BCD"/>
    <w:rsid w:val="000D4143"/>
    <w:rsid w:val="000D4275"/>
    <w:rsid w:val="000D46C4"/>
    <w:rsid w:val="000D478F"/>
    <w:rsid w:val="000D4D97"/>
    <w:rsid w:val="000D55E1"/>
    <w:rsid w:val="000D59A2"/>
    <w:rsid w:val="000D5C4C"/>
    <w:rsid w:val="000D66CB"/>
    <w:rsid w:val="000D6C34"/>
    <w:rsid w:val="000D6E73"/>
    <w:rsid w:val="000D76AF"/>
    <w:rsid w:val="000E0162"/>
    <w:rsid w:val="000E05B6"/>
    <w:rsid w:val="000E07A6"/>
    <w:rsid w:val="000E07B3"/>
    <w:rsid w:val="000E0941"/>
    <w:rsid w:val="000E09EF"/>
    <w:rsid w:val="000E0B2A"/>
    <w:rsid w:val="000E107A"/>
    <w:rsid w:val="000E13C4"/>
    <w:rsid w:val="000E1525"/>
    <w:rsid w:val="000E1E95"/>
    <w:rsid w:val="000E1F29"/>
    <w:rsid w:val="000E1F37"/>
    <w:rsid w:val="000E23AC"/>
    <w:rsid w:val="000E24B7"/>
    <w:rsid w:val="000E34C7"/>
    <w:rsid w:val="000E3714"/>
    <w:rsid w:val="000E3AB6"/>
    <w:rsid w:val="000E4168"/>
    <w:rsid w:val="000E43AF"/>
    <w:rsid w:val="000E43B0"/>
    <w:rsid w:val="000E47A4"/>
    <w:rsid w:val="000E487E"/>
    <w:rsid w:val="000E4C75"/>
    <w:rsid w:val="000E4DC7"/>
    <w:rsid w:val="000E4F31"/>
    <w:rsid w:val="000E5367"/>
    <w:rsid w:val="000E5CFA"/>
    <w:rsid w:val="000E5E5A"/>
    <w:rsid w:val="000E5F15"/>
    <w:rsid w:val="000E76F7"/>
    <w:rsid w:val="000E7C5D"/>
    <w:rsid w:val="000F02F1"/>
    <w:rsid w:val="000F0568"/>
    <w:rsid w:val="000F0AEE"/>
    <w:rsid w:val="000F0B8F"/>
    <w:rsid w:val="000F10C0"/>
    <w:rsid w:val="000F205E"/>
    <w:rsid w:val="000F2227"/>
    <w:rsid w:val="000F25AC"/>
    <w:rsid w:val="000F25F6"/>
    <w:rsid w:val="000F26D2"/>
    <w:rsid w:val="000F2820"/>
    <w:rsid w:val="000F2C64"/>
    <w:rsid w:val="000F3753"/>
    <w:rsid w:val="000F39AB"/>
    <w:rsid w:val="000F44A0"/>
    <w:rsid w:val="000F47BA"/>
    <w:rsid w:val="000F4AAC"/>
    <w:rsid w:val="000F4B5D"/>
    <w:rsid w:val="000F4BF0"/>
    <w:rsid w:val="000F5430"/>
    <w:rsid w:val="000F579C"/>
    <w:rsid w:val="000F5C04"/>
    <w:rsid w:val="000F620F"/>
    <w:rsid w:val="000F6BE6"/>
    <w:rsid w:val="000F7368"/>
    <w:rsid w:val="000F7E15"/>
    <w:rsid w:val="001017AA"/>
    <w:rsid w:val="001018CD"/>
    <w:rsid w:val="00101CC8"/>
    <w:rsid w:val="00101DC3"/>
    <w:rsid w:val="00102014"/>
    <w:rsid w:val="001020AC"/>
    <w:rsid w:val="00102293"/>
    <w:rsid w:val="0010266F"/>
    <w:rsid w:val="0010279D"/>
    <w:rsid w:val="001029A5"/>
    <w:rsid w:val="00102D5F"/>
    <w:rsid w:val="00103119"/>
    <w:rsid w:val="001035F1"/>
    <w:rsid w:val="00103C12"/>
    <w:rsid w:val="00104006"/>
    <w:rsid w:val="001043A6"/>
    <w:rsid w:val="00104A61"/>
    <w:rsid w:val="00104C02"/>
    <w:rsid w:val="00104FF2"/>
    <w:rsid w:val="001050E7"/>
    <w:rsid w:val="001058D2"/>
    <w:rsid w:val="00105D90"/>
    <w:rsid w:val="00105F2E"/>
    <w:rsid w:val="00105F9A"/>
    <w:rsid w:val="00106A6F"/>
    <w:rsid w:val="00107499"/>
    <w:rsid w:val="0010755B"/>
    <w:rsid w:val="00107D14"/>
    <w:rsid w:val="00111208"/>
    <w:rsid w:val="0011131F"/>
    <w:rsid w:val="0011186B"/>
    <w:rsid w:val="00111C04"/>
    <w:rsid w:val="001121AC"/>
    <w:rsid w:val="00112457"/>
    <w:rsid w:val="00112AEA"/>
    <w:rsid w:val="00113016"/>
    <w:rsid w:val="0011302B"/>
    <w:rsid w:val="0011310E"/>
    <w:rsid w:val="0011323E"/>
    <w:rsid w:val="00114146"/>
    <w:rsid w:val="00114504"/>
    <w:rsid w:val="0011487F"/>
    <w:rsid w:val="001148B6"/>
    <w:rsid w:val="00114AAB"/>
    <w:rsid w:val="00114BB3"/>
    <w:rsid w:val="00114DD0"/>
    <w:rsid w:val="00114F5E"/>
    <w:rsid w:val="001150B3"/>
    <w:rsid w:val="001152DD"/>
    <w:rsid w:val="0011541C"/>
    <w:rsid w:val="00116082"/>
    <w:rsid w:val="0011615D"/>
    <w:rsid w:val="00116529"/>
    <w:rsid w:val="00116A86"/>
    <w:rsid w:val="00116C05"/>
    <w:rsid w:val="00116FF8"/>
    <w:rsid w:val="00117069"/>
    <w:rsid w:val="0011780C"/>
    <w:rsid w:val="00117CA3"/>
    <w:rsid w:val="00117CB7"/>
    <w:rsid w:val="00117FD0"/>
    <w:rsid w:val="001200F6"/>
    <w:rsid w:val="001205B6"/>
    <w:rsid w:val="00120A1E"/>
    <w:rsid w:val="00121025"/>
    <w:rsid w:val="001210B9"/>
    <w:rsid w:val="00121358"/>
    <w:rsid w:val="00121952"/>
    <w:rsid w:val="00121EC6"/>
    <w:rsid w:val="00121FB4"/>
    <w:rsid w:val="00121FB6"/>
    <w:rsid w:val="0012232B"/>
    <w:rsid w:val="0012297D"/>
    <w:rsid w:val="001229FF"/>
    <w:rsid w:val="00123308"/>
    <w:rsid w:val="001236AE"/>
    <w:rsid w:val="001237C3"/>
    <w:rsid w:val="001238DC"/>
    <w:rsid w:val="00123A4F"/>
    <w:rsid w:val="00123E29"/>
    <w:rsid w:val="00124F43"/>
    <w:rsid w:val="001255AB"/>
    <w:rsid w:val="001258D4"/>
    <w:rsid w:val="00125ABD"/>
    <w:rsid w:val="00125B65"/>
    <w:rsid w:val="00125C2D"/>
    <w:rsid w:val="00125FF3"/>
    <w:rsid w:val="0012669C"/>
    <w:rsid w:val="001268AD"/>
    <w:rsid w:val="001269D2"/>
    <w:rsid w:val="001273E6"/>
    <w:rsid w:val="00127561"/>
    <w:rsid w:val="0013057E"/>
    <w:rsid w:val="00130734"/>
    <w:rsid w:val="00130C01"/>
    <w:rsid w:val="00130D05"/>
    <w:rsid w:val="00130FB0"/>
    <w:rsid w:val="001311F0"/>
    <w:rsid w:val="001314AD"/>
    <w:rsid w:val="0013177C"/>
    <w:rsid w:val="00131954"/>
    <w:rsid w:val="00131B8C"/>
    <w:rsid w:val="00132200"/>
    <w:rsid w:val="00132A14"/>
    <w:rsid w:val="00133214"/>
    <w:rsid w:val="0013325C"/>
    <w:rsid w:val="001332DF"/>
    <w:rsid w:val="00133960"/>
    <w:rsid w:val="00133B79"/>
    <w:rsid w:val="001344FD"/>
    <w:rsid w:val="0013477B"/>
    <w:rsid w:val="00134AAE"/>
    <w:rsid w:val="00134F28"/>
    <w:rsid w:val="0013553A"/>
    <w:rsid w:val="001355E5"/>
    <w:rsid w:val="0013571C"/>
    <w:rsid w:val="00135C34"/>
    <w:rsid w:val="00135EDB"/>
    <w:rsid w:val="001360B6"/>
    <w:rsid w:val="00136593"/>
    <w:rsid w:val="0013675F"/>
    <w:rsid w:val="0013680A"/>
    <w:rsid w:val="00136F81"/>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59"/>
    <w:rsid w:val="0014256D"/>
    <w:rsid w:val="0014300B"/>
    <w:rsid w:val="00143B31"/>
    <w:rsid w:val="00143DBB"/>
    <w:rsid w:val="001444E9"/>
    <w:rsid w:val="001445B3"/>
    <w:rsid w:val="001445F4"/>
    <w:rsid w:val="001449E8"/>
    <w:rsid w:val="00144A9D"/>
    <w:rsid w:val="00144B24"/>
    <w:rsid w:val="00144E7F"/>
    <w:rsid w:val="001452F5"/>
    <w:rsid w:val="00145E45"/>
    <w:rsid w:val="001463F1"/>
    <w:rsid w:val="00146763"/>
    <w:rsid w:val="00146797"/>
    <w:rsid w:val="00146814"/>
    <w:rsid w:val="00146E12"/>
    <w:rsid w:val="00146E7A"/>
    <w:rsid w:val="00147327"/>
    <w:rsid w:val="00147E0A"/>
    <w:rsid w:val="00147EAB"/>
    <w:rsid w:val="001501ED"/>
    <w:rsid w:val="001508DA"/>
    <w:rsid w:val="00150C4B"/>
    <w:rsid w:val="00151125"/>
    <w:rsid w:val="00151184"/>
    <w:rsid w:val="001514A3"/>
    <w:rsid w:val="001514FB"/>
    <w:rsid w:val="001518A2"/>
    <w:rsid w:val="001529E2"/>
    <w:rsid w:val="0015346B"/>
    <w:rsid w:val="00153FD9"/>
    <w:rsid w:val="0015433D"/>
    <w:rsid w:val="00154A8E"/>
    <w:rsid w:val="001552F2"/>
    <w:rsid w:val="001553CA"/>
    <w:rsid w:val="00155672"/>
    <w:rsid w:val="0015629B"/>
    <w:rsid w:val="00156952"/>
    <w:rsid w:val="00156E7C"/>
    <w:rsid w:val="00156FB1"/>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A43"/>
    <w:rsid w:val="0016247B"/>
    <w:rsid w:val="0016255F"/>
    <w:rsid w:val="001639C3"/>
    <w:rsid w:val="001639FD"/>
    <w:rsid w:val="00163AAA"/>
    <w:rsid w:val="00163B0B"/>
    <w:rsid w:val="00163E08"/>
    <w:rsid w:val="00164228"/>
    <w:rsid w:val="001642AC"/>
    <w:rsid w:val="00164629"/>
    <w:rsid w:val="00164C39"/>
    <w:rsid w:val="00164C91"/>
    <w:rsid w:val="00164E92"/>
    <w:rsid w:val="001652BD"/>
    <w:rsid w:val="001654B3"/>
    <w:rsid w:val="00165585"/>
    <w:rsid w:val="0016575A"/>
    <w:rsid w:val="00165876"/>
    <w:rsid w:val="00165A30"/>
    <w:rsid w:val="00165B8E"/>
    <w:rsid w:val="00166331"/>
    <w:rsid w:val="0016655E"/>
    <w:rsid w:val="00166689"/>
    <w:rsid w:val="00166765"/>
    <w:rsid w:val="001670C6"/>
    <w:rsid w:val="00167530"/>
    <w:rsid w:val="00167623"/>
    <w:rsid w:val="00167822"/>
    <w:rsid w:val="00167C9B"/>
    <w:rsid w:val="00167E38"/>
    <w:rsid w:val="0017047E"/>
    <w:rsid w:val="00170781"/>
    <w:rsid w:val="00171385"/>
    <w:rsid w:val="00171390"/>
    <w:rsid w:val="001714F6"/>
    <w:rsid w:val="0017176E"/>
    <w:rsid w:val="001722BF"/>
    <w:rsid w:val="00172397"/>
    <w:rsid w:val="0017248E"/>
    <w:rsid w:val="001724B8"/>
    <w:rsid w:val="0017251E"/>
    <w:rsid w:val="001727E0"/>
    <w:rsid w:val="00172D95"/>
    <w:rsid w:val="00172E91"/>
    <w:rsid w:val="00172EE3"/>
    <w:rsid w:val="001730C3"/>
    <w:rsid w:val="00173C60"/>
    <w:rsid w:val="00173E95"/>
    <w:rsid w:val="00174A8F"/>
    <w:rsid w:val="00174E70"/>
    <w:rsid w:val="00176262"/>
    <w:rsid w:val="00176533"/>
    <w:rsid w:val="001767EA"/>
    <w:rsid w:val="00176BC5"/>
    <w:rsid w:val="00176E54"/>
    <w:rsid w:val="00176F66"/>
    <w:rsid w:val="001778F0"/>
    <w:rsid w:val="00177E51"/>
    <w:rsid w:val="00177F22"/>
    <w:rsid w:val="001803F8"/>
    <w:rsid w:val="0018058E"/>
    <w:rsid w:val="00180901"/>
    <w:rsid w:val="00180B9D"/>
    <w:rsid w:val="0018170B"/>
    <w:rsid w:val="0018177D"/>
    <w:rsid w:val="00181DC4"/>
    <w:rsid w:val="001822C9"/>
    <w:rsid w:val="0018270D"/>
    <w:rsid w:val="00182D91"/>
    <w:rsid w:val="00182DD1"/>
    <w:rsid w:val="00183290"/>
    <w:rsid w:val="0018343A"/>
    <w:rsid w:val="001834D7"/>
    <w:rsid w:val="0018372D"/>
    <w:rsid w:val="00183957"/>
    <w:rsid w:val="00183DC6"/>
    <w:rsid w:val="00184277"/>
    <w:rsid w:val="001846C0"/>
    <w:rsid w:val="001847B8"/>
    <w:rsid w:val="00184996"/>
    <w:rsid w:val="00184A97"/>
    <w:rsid w:val="00184BFE"/>
    <w:rsid w:val="001851BF"/>
    <w:rsid w:val="00185644"/>
    <w:rsid w:val="001860A4"/>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0C96"/>
    <w:rsid w:val="001914E7"/>
    <w:rsid w:val="0019192E"/>
    <w:rsid w:val="0019205A"/>
    <w:rsid w:val="0019208D"/>
    <w:rsid w:val="00192440"/>
    <w:rsid w:val="001924F6"/>
    <w:rsid w:val="001926DB"/>
    <w:rsid w:val="001928B9"/>
    <w:rsid w:val="001929CF"/>
    <w:rsid w:val="001929DC"/>
    <w:rsid w:val="00192BC8"/>
    <w:rsid w:val="0019317E"/>
    <w:rsid w:val="001937B2"/>
    <w:rsid w:val="00193926"/>
    <w:rsid w:val="00193982"/>
    <w:rsid w:val="00193AE3"/>
    <w:rsid w:val="00193AFC"/>
    <w:rsid w:val="00193E80"/>
    <w:rsid w:val="00194A04"/>
    <w:rsid w:val="00194E9B"/>
    <w:rsid w:val="00195217"/>
    <w:rsid w:val="00195224"/>
    <w:rsid w:val="001952C7"/>
    <w:rsid w:val="001957F4"/>
    <w:rsid w:val="00196308"/>
    <w:rsid w:val="001963D3"/>
    <w:rsid w:val="00196D21"/>
    <w:rsid w:val="0019706B"/>
    <w:rsid w:val="0019769B"/>
    <w:rsid w:val="00197B52"/>
    <w:rsid w:val="001A0580"/>
    <w:rsid w:val="001A0F14"/>
    <w:rsid w:val="001A0F77"/>
    <w:rsid w:val="001A117C"/>
    <w:rsid w:val="001A1A01"/>
    <w:rsid w:val="001A1A9F"/>
    <w:rsid w:val="001A2092"/>
    <w:rsid w:val="001A2A16"/>
    <w:rsid w:val="001A2A3A"/>
    <w:rsid w:val="001A2C8D"/>
    <w:rsid w:val="001A2F4B"/>
    <w:rsid w:val="001A381C"/>
    <w:rsid w:val="001A383D"/>
    <w:rsid w:val="001A3AFE"/>
    <w:rsid w:val="001A3B22"/>
    <w:rsid w:val="001A40F7"/>
    <w:rsid w:val="001A41D2"/>
    <w:rsid w:val="001A424F"/>
    <w:rsid w:val="001A45B2"/>
    <w:rsid w:val="001A45C3"/>
    <w:rsid w:val="001A46CF"/>
    <w:rsid w:val="001A4C18"/>
    <w:rsid w:val="001A4C55"/>
    <w:rsid w:val="001A4E4A"/>
    <w:rsid w:val="001A4FBE"/>
    <w:rsid w:val="001A51F0"/>
    <w:rsid w:val="001A536C"/>
    <w:rsid w:val="001A55FD"/>
    <w:rsid w:val="001A654A"/>
    <w:rsid w:val="001A67C4"/>
    <w:rsid w:val="001A6815"/>
    <w:rsid w:val="001A68CE"/>
    <w:rsid w:val="001A69DF"/>
    <w:rsid w:val="001A6A3C"/>
    <w:rsid w:val="001A7486"/>
    <w:rsid w:val="001A760D"/>
    <w:rsid w:val="001A7B6D"/>
    <w:rsid w:val="001A7BC1"/>
    <w:rsid w:val="001B100E"/>
    <w:rsid w:val="001B1567"/>
    <w:rsid w:val="001B1E4F"/>
    <w:rsid w:val="001B1EE8"/>
    <w:rsid w:val="001B2145"/>
    <w:rsid w:val="001B2766"/>
    <w:rsid w:val="001B2811"/>
    <w:rsid w:val="001B2AD2"/>
    <w:rsid w:val="001B2E20"/>
    <w:rsid w:val="001B2F40"/>
    <w:rsid w:val="001B339B"/>
    <w:rsid w:val="001B36E6"/>
    <w:rsid w:val="001B38FA"/>
    <w:rsid w:val="001B397B"/>
    <w:rsid w:val="001B4164"/>
    <w:rsid w:val="001B4198"/>
    <w:rsid w:val="001B4366"/>
    <w:rsid w:val="001B4634"/>
    <w:rsid w:val="001B465D"/>
    <w:rsid w:val="001B504F"/>
    <w:rsid w:val="001B5829"/>
    <w:rsid w:val="001B5C9F"/>
    <w:rsid w:val="001B5F23"/>
    <w:rsid w:val="001B612A"/>
    <w:rsid w:val="001B61E1"/>
    <w:rsid w:val="001B647D"/>
    <w:rsid w:val="001B6C1C"/>
    <w:rsid w:val="001C0289"/>
    <w:rsid w:val="001C02C0"/>
    <w:rsid w:val="001C0A67"/>
    <w:rsid w:val="001C16BF"/>
    <w:rsid w:val="001C1D24"/>
    <w:rsid w:val="001C20B4"/>
    <w:rsid w:val="001C21B2"/>
    <w:rsid w:val="001C2734"/>
    <w:rsid w:val="001C3296"/>
    <w:rsid w:val="001C387B"/>
    <w:rsid w:val="001C3ADA"/>
    <w:rsid w:val="001C3FA4"/>
    <w:rsid w:val="001C4282"/>
    <w:rsid w:val="001C439B"/>
    <w:rsid w:val="001C4571"/>
    <w:rsid w:val="001C493D"/>
    <w:rsid w:val="001C50E5"/>
    <w:rsid w:val="001C5683"/>
    <w:rsid w:val="001C6440"/>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45C"/>
    <w:rsid w:val="001D263B"/>
    <w:rsid w:val="001D30A5"/>
    <w:rsid w:val="001D318A"/>
    <w:rsid w:val="001D33EF"/>
    <w:rsid w:val="001D390A"/>
    <w:rsid w:val="001D3D12"/>
    <w:rsid w:val="001D4629"/>
    <w:rsid w:val="001D4AC4"/>
    <w:rsid w:val="001D4B4F"/>
    <w:rsid w:val="001D4D0C"/>
    <w:rsid w:val="001D4D7B"/>
    <w:rsid w:val="001D4FE9"/>
    <w:rsid w:val="001D5370"/>
    <w:rsid w:val="001D56CF"/>
    <w:rsid w:val="001D5E22"/>
    <w:rsid w:val="001D671E"/>
    <w:rsid w:val="001D6847"/>
    <w:rsid w:val="001D68CC"/>
    <w:rsid w:val="001D6B0B"/>
    <w:rsid w:val="001D718A"/>
    <w:rsid w:val="001E0296"/>
    <w:rsid w:val="001E02CB"/>
    <w:rsid w:val="001E05D0"/>
    <w:rsid w:val="001E062D"/>
    <w:rsid w:val="001E0703"/>
    <w:rsid w:val="001E0730"/>
    <w:rsid w:val="001E101A"/>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FAD"/>
    <w:rsid w:val="001E67B6"/>
    <w:rsid w:val="001E6CD9"/>
    <w:rsid w:val="001E6F53"/>
    <w:rsid w:val="001E6FAB"/>
    <w:rsid w:val="001E76F4"/>
    <w:rsid w:val="001E7878"/>
    <w:rsid w:val="001E7CDC"/>
    <w:rsid w:val="001E7CDD"/>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54EA"/>
    <w:rsid w:val="001F5E8A"/>
    <w:rsid w:val="001F5EEB"/>
    <w:rsid w:val="001F607B"/>
    <w:rsid w:val="001F62C7"/>
    <w:rsid w:val="001F696B"/>
    <w:rsid w:val="001F6B09"/>
    <w:rsid w:val="001F6C66"/>
    <w:rsid w:val="001F78A2"/>
    <w:rsid w:val="001F7999"/>
    <w:rsid w:val="001F79B8"/>
    <w:rsid w:val="001F7B38"/>
    <w:rsid w:val="001F7EBE"/>
    <w:rsid w:val="0020023B"/>
    <w:rsid w:val="002005A4"/>
    <w:rsid w:val="0020073E"/>
    <w:rsid w:val="00200954"/>
    <w:rsid w:val="00200EF8"/>
    <w:rsid w:val="00201098"/>
    <w:rsid w:val="002010E9"/>
    <w:rsid w:val="0020114A"/>
    <w:rsid w:val="00201D25"/>
    <w:rsid w:val="00202044"/>
    <w:rsid w:val="00202788"/>
    <w:rsid w:val="00203C74"/>
    <w:rsid w:val="0020426D"/>
    <w:rsid w:val="002042CF"/>
    <w:rsid w:val="0020439B"/>
    <w:rsid w:val="002043BB"/>
    <w:rsid w:val="002046C5"/>
    <w:rsid w:val="002046F8"/>
    <w:rsid w:val="00204857"/>
    <w:rsid w:val="00204E1C"/>
    <w:rsid w:val="00205033"/>
    <w:rsid w:val="0020517E"/>
    <w:rsid w:val="00205488"/>
    <w:rsid w:val="0020552B"/>
    <w:rsid w:val="002057FB"/>
    <w:rsid w:val="00205CB6"/>
    <w:rsid w:val="00206559"/>
    <w:rsid w:val="002065A9"/>
    <w:rsid w:val="002067A9"/>
    <w:rsid w:val="00206BA9"/>
    <w:rsid w:val="00206E77"/>
    <w:rsid w:val="00207238"/>
    <w:rsid w:val="00207B95"/>
    <w:rsid w:val="002102A7"/>
    <w:rsid w:val="002102FA"/>
    <w:rsid w:val="0021060F"/>
    <w:rsid w:val="002106BF"/>
    <w:rsid w:val="00210E3D"/>
    <w:rsid w:val="0021151D"/>
    <w:rsid w:val="00211848"/>
    <w:rsid w:val="00211D40"/>
    <w:rsid w:val="00211E5A"/>
    <w:rsid w:val="00212955"/>
    <w:rsid w:val="00212DA3"/>
    <w:rsid w:val="00212DB5"/>
    <w:rsid w:val="00213832"/>
    <w:rsid w:val="00213D13"/>
    <w:rsid w:val="00213FBC"/>
    <w:rsid w:val="002145C9"/>
    <w:rsid w:val="0021473D"/>
    <w:rsid w:val="002151CF"/>
    <w:rsid w:val="0021710F"/>
    <w:rsid w:val="00217470"/>
    <w:rsid w:val="00217845"/>
    <w:rsid w:val="002178A8"/>
    <w:rsid w:val="002202DE"/>
    <w:rsid w:val="002205E1"/>
    <w:rsid w:val="0022074E"/>
    <w:rsid w:val="002208E8"/>
    <w:rsid w:val="00220D36"/>
    <w:rsid w:val="00220F3E"/>
    <w:rsid w:val="00221275"/>
    <w:rsid w:val="0022163F"/>
    <w:rsid w:val="00221650"/>
    <w:rsid w:val="002216C1"/>
    <w:rsid w:val="0022226C"/>
    <w:rsid w:val="00222301"/>
    <w:rsid w:val="00222710"/>
    <w:rsid w:val="00222B64"/>
    <w:rsid w:val="00222B7A"/>
    <w:rsid w:val="00222F10"/>
    <w:rsid w:val="002231D7"/>
    <w:rsid w:val="0022333B"/>
    <w:rsid w:val="00223B8C"/>
    <w:rsid w:val="002241A2"/>
    <w:rsid w:val="00224307"/>
    <w:rsid w:val="00224921"/>
    <w:rsid w:val="002249EC"/>
    <w:rsid w:val="00224AB5"/>
    <w:rsid w:val="00224B36"/>
    <w:rsid w:val="00224DA7"/>
    <w:rsid w:val="0022507A"/>
    <w:rsid w:val="00225356"/>
    <w:rsid w:val="002259C9"/>
    <w:rsid w:val="002263D2"/>
    <w:rsid w:val="0022654B"/>
    <w:rsid w:val="00226DDC"/>
    <w:rsid w:val="002271C1"/>
    <w:rsid w:val="0022739D"/>
    <w:rsid w:val="00227503"/>
    <w:rsid w:val="0022751C"/>
    <w:rsid w:val="002277D7"/>
    <w:rsid w:val="00227A29"/>
    <w:rsid w:val="00227B86"/>
    <w:rsid w:val="00227B8A"/>
    <w:rsid w:val="00230031"/>
    <w:rsid w:val="0023036E"/>
    <w:rsid w:val="0023056F"/>
    <w:rsid w:val="00230570"/>
    <w:rsid w:val="00230A5A"/>
    <w:rsid w:val="00230BF7"/>
    <w:rsid w:val="00230E48"/>
    <w:rsid w:val="00231363"/>
    <w:rsid w:val="0023144A"/>
    <w:rsid w:val="00231840"/>
    <w:rsid w:val="00231A1A"/>
    <w:rsid w:val="00231D08"/>
    <w:rsid w:val="00231EF3"/>
    <w:rsid w:val="00232005"/>
    <w:rsid w:val="00232403"/>
    <w:rsid w:val="00232753"/>
    <w:rsid w:val="00232A35"/>
    <w:rsid w:val="00232C77"/>
    <w:rsid w:val="00232F2D"/>
    <w:rsid w:val="00233081"/>
    <w:rsid w:val="00233144"/>
    <w:rsid w:val="00233932"/>
    <w:rsid w:val="00233DE9"/>
    <w:rsid w:val="002345FD"/>
    <w:rsid w:val="00234D35"/>
    <w:rsid w:val="00234FE2"/>
    <w:rsid w:val="00235235"/>
    <w:rsid w:val="0023555C"/>
    <w:rsid w:val="0023586D"/>
    <w:rsid w:val="00235C09"/>
    <w:rsid w:val="00235F76"/>
    <w:rsid w:val="00236270"/>
    <w:rsid w:val="002362E0"/>
    <w:rsid w:val="002367AD"/>
    <w:rsid w:val="002369EF"/>
    <w:rsid w:val="00236C0E"/>
    <w:rsid w:val="0023725A"/>
    <w:rsid w:val="002377D4"/>
    <w:rsid w:val="00237988"/>
    <w:rsid w:val="00237AAF"/>
    <w:rsid w:val="00237AF2"/>
    <w:rsid w:val="00237B1C"/>
    <w:rsid w:val="00237E82"/>
    <w:rsid w:val="00237F20"/>
    <w:rsid w:val="002404BD"/>
    <w:rsid w:val="002405E7"/>
    <w:rsid w:val="00240ACB"/>
    <w:rsid w:val="002411FC"/>
    <w:rsid w:val="0024164F"/>
    <w:rsid w:val="00241B22"/>
    <w:rsid w:val="00241C0C"/>
    <w:rsid w:val="00241F32"/>
    <w:rsid w:val="0024298E"/>
    <w:rsid w:val="00242B93"/>
    <w:rsid w:val="00243873"/>
    <w:rsid w:val="00243995"/>
    <w:rsid w:val="002439AD"/>
    <w:rsid w:val="00244093"/>
    <w:rsid w:val="002445BA"/>
    <w:rsid w:val="0024464E"/>
    <w:rsid w:val="00244855"/>
    <w:rsid w:val="0024492A"/>
    <w:rsid w:val="00244A49"/>
    <w:rsid w:val="00244E21"/>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938"/>
    <w:rsid w:val="0025099E"/>
    <w:rsid w:val="00250B75"/>
    <w:rsid w:val="002511A9"/>
    <w:rsid w:val="00251412"/>
    <w:rsid w:val="00251F7D"/>
    <w:rsid w:val="0025226A"/>
    <w:rsid w:val="00252C7A"/>
    <w:rsid w:val="00253198"/>
    <w:rsid w:val="0025324C"/>
    <w:rsid w:val="00253759"/>
    <w:rsid w:val="00253EF6"/>
    <w:rsid w:val="002540F4"/>
    <w:rsid w:val="00254103"/>
    <w:rsid w:val="0025444C"/>
    <w:rsid w:val="002544A9"/>
    <w:rsid w:val="00254583"/>
    <w:rsid w:val="00254868"/>
    <w:rsid w:val="00255474"/>
    <w:rsid w:val="00255BD8"/>
    <w:rsid w:val="002560AB"/>
    <w:rsid w:val="002562E2"/>
    <w:rsid w:val="002563A1"/>
    <w:rsid w:val="002567C1"/>
    <w:rsid w:val="0025681A"/>
    <w:rsid w:val="00256B19"/>
    <w:rsid w:val="002577EB"/>
    <w:rsid w:val="002578A4"/>
    <w:rsid w:val="002579AA"/>
    <w:rsid w:val="00257C1D"/>
    <w:rsid w:val="00257DC7"/>
    <w:rsid w:val="00257FE1"/>
    <w:rsid w:val="00260155"/>
    <w:rsid w:val="002604BF"/>
    <w:rsid w:val="002605B6"/>
    <w:rsid w:val="002608EF"/>
    <w:rsid w:val="00261299"/>
    <w:rsid w:val="002612CC"/>
    <w:rsid w:val="00261E22"/>
    <w:rsid w:val="00261FB7"/>
    <w:rsid w:val="00262242"/>
    <w:rsid w:val="0026237A"/>
    <w:rsid w:val="00262387"/>
    <w:rsid w:val="0026271A"/>
    <w:rsid w:val="002627B8"/>
    <w:rsid w:val="0026292B"/>
    <w:rsid w:val="002629AD"/>
    <w:rsid w:val="00262B9F"/>
    <w:rsid w:val="00263ADB"/>
    <w:rsid w:val="00263D5E"/>
    <w:rsid w:val="00263DCD"/>
    <w:rsid w:val="00263E29"/>
    <w:rsid w:val="00263EE4"/>
    <w:rsid w:val="00263F1E"/>
    <w:rsid w:val="00264165"/>
    <w:rsid w:val="002641DB"/>
    <w:rsid w:val="002652D5"/>
    <w:rsid w:val="002656F2"/>
    <w:rsid w:val="0026592C"/>
    <w:rsid w:val="00265E9F"/>
    <w:rsid w:val="00265FCF"/>
    <w:rsid w:val="0026690B"/>
    <w:rsid w:val="002669D5"/>
    <w:rsid w:val="00266A64"/>
    <w:rsid w:val="00266AF1"/>
    <w:rsid w:val="00266D48"/>
    <w:rsid w:val="002678AB"/>
    <w:rsid w:val="002679D2"/>
    <w:rsid w:val="00267C7A"/>
    <w:rsid w:val="00267D4D"/>
    <w:rsid w:val="0027011C"/>
    <w:rsid w:val="002702FC"/>
    <w:rsid w:val="00270344"/>
    <w:rsid w:val="002707D8"/>
    <w:rsid w:val="00270870"/>
    <w:rsid w:val="00270E62"/>
    <w:rsid w:val="00271011"/>
    <w:rsid w:val="00271A5C"/>
    <w:rsid w:val="0027211D"/>
    <w:rsid w:val="00272247"/>
    <w:rsid w:val="002722A6"/>
    <w:rsid w:val="0027246D"/>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71"/>
    <w:rsid w:val="002764AB"/>
    <w:rsid w:val="002774B0"/>
    <w:rsid w:val="0027759B"/>
    <w:rsid w:val="00280B0D"/>
    <w:rsid w:val="00281234"/>
    <w:rsid w:val="002813EA"/>
    <w:rsid w:val="00281529"/>
    <w:rsid w:val="002816C9"/>
    <w:rsid w:val="00281A66"/>
    <w:rsid w:val="00281ACF"/>
    <w:rsid w:val="00282670"/>
    <w:rsid w:val="00282981"/>
    <w:rsid w:val="002829FC"/>
    <w:rsid w:val="00282F16"/>
    <w:rsid w:val="0028303A"/>
    <w:rsid w:val="0028305D"/>
    <w:rsid w:val="00283AEC"/>
    <w:rsid w:val="00283C23"/>
    <w:rsid w:val="002840C4"/>
    <w:rsid w:val="00284102"/>
    <w:rsid w:val="00284893"/>
    <w:rsid w:val="00285D82"/>
    <w:rsid w:val="002862EE"/>
    <w:rsid w:val="00286439"/>
    <w:rsid w:val="0028694B"/>
    <w:rsid w:val="00286DE1"/>
    <w:rsid w:val="00287720"/>
    <w:rsid w:val="00287886"/>
    <w:rsid w:val="00287A14"/>
    <w:rsid w:val="00287BAB"/>
    <w:rsid w:val="00287C82"/>
    <w:rsid w:val="00287DEF"/>
    <w:rsid w:val="0029004F"/>
    <w:rsid w:val="00290598"/>
    <w:rsid w:val="00290F78"/>
    <w:rsid w:val="00291222"/>
    <w:rsid w:val="00291AAD"/>
    <w:rsid w:val="00292AA4"/>
    <w:rsid w:val="00292C0F"/>
    <w:rsid w:val="00292FDA"/>
    <w:rsid w:val="00293703"/>
    <w:rsid w:val="002937BB"/>
    <w:rsid w:val="0029393E"/>
    <w:rsid w:val="00293C7E"/>
    <w:rsid w:val="00293EB5"/>
    <w:rsid w:val="0029444F"/>
    <w:rsid w:val="00294594"/>
    <w:rsid w:val="00294A6C"/>
    <w:rsid w:val="00294B02"/>
    <w:rsid w:val="00294B69"/>
    <w:rsid w:val="00296323"/>
    <w:rsid w:val="002969A4"/>
    <w:rsid w:val="00296B71"/>
    <w:rsid w:val="00296D2E"/>
    <w:rsid w:val="00296D35"/>
    <w:rsid w:val="00297166"/>
    <w:rsid w:val="002971ED"/>
    <w:rsid w:val="002974C5"/>
    <w:rsid w:val="0029750E"/>
    <w:rsid w:val="00297AC6"/>
    <w:rsid w:val="00297DBB"/>
    <w:rsid w:val="002A065F"/>
    <w:rsid w:val="002A0A50"/>
    <w:rsid w:val="002A0AA1"/>
    <w:rsid w:val="002A0E4C"/>
    <w:rsid w:val="002A1903"/>
    <w:rsid w:val="002A1979"/>
    <w:rsid w:val="002A22F5"/>
    <w:rsid w:val="002A2428"/>
    <w:rsid w:val="002A254C"/>
    <w:rsid w:val="002A25E4"/>
    <w:rsid w:val="002A2738"/>
    <w:rsid w:val="002A2F9A"/>
    <w:rsid w:val="002A33F9"/>
    <w:rsid w:val="002A4534"/>
    <w:rsid w:val="002A459E"/>
    <w:rsid w:val="002A493E"/>
    <w:rsid w:val="002A4DB7"/>
    <w:rsid w:val="002A58E7"/>
    <w:rsid w:val="002A5AFF"/>
    <w:rsid w:val="002A63CE"/>
    <w:rsid w:val="002A6B1B"/>
    <w:rsid w:val="002A6D1E"/>
    <w:rsid w:val="002A6E30"/>
    <w:rsid w:val="002A7100"/>
    <w:rsid w:val="002A7E12"/>
    <w:rsid w:val="002A7E21"/>
    <w:rsid w:val="002B0085"/>
    <w:rsid w:val="002B009D"/>
    <w:rsid w:val="002B02BD"/>
    <w:rsid w:val="002B032A"/>
    <w:rsid w:val="002B0657"/>
    <w:rsid w:val="002B1253"/>
    <w:rsid w:val="002B1554"/>
    <w:rsid w:val="002B1A2F"/>
    <w:rsid w:val="002B1B29"/>
    <w:rsid w:val="002B20C7"/>
    <w:rsid w:val="002B286A"/>
    <w:rsid w:val="002B28D7"/>
    <w:rsid w:val="002B2966"/>
    <w:rsid w:val="002B2BAC"/>
    <w:rsid w:val="002B2ED1"/>
    <w:rsid w:val="002B3A56"/>
    <w:rsid w:val="002B4135"/>
    <w:rsid w:val="002B422C"/>
    <w:rsid w:val="002B4667"/>
    <w:rsid w:val="002B4C83"/>
    <w:rsid w:val="002B4D09"/>
    <w:rsid w:val="002B5083"/>
    <w:rsid w:val="002B56AF"/>
    <w:rsid w:val="002B579E"/>
    <w:rsid w:val="002B5890"/>
    <w:rsid w:val="002B5A8C"/>
    <w:rsid w:val="002B6B26"/>
    <w:rsid w:val="002B6FC7"/>
    <w:rsid w:val="002B72E6"/>
    <w:rsid w:val="002B79F4"/>
    <w:rsid w:val="002B7AAE"/>
    <w:rsid w:val="002B7B3D"/>
    <w:rsid w:val="002B7D22"/>
    <w:rsid w:val="002B7F1D"/>
    <w:rsid w:val="002C0316"/>
    <w:rsid w:val="002C038F"/>
    <w:rsid w:val="002C0E60"/>
    <w:rsid w:val="002C137C"/>
    <w:rsid w:val="002C139B"/>
    <w:rsid w:val="002C20F7"/>
    <w:rsid w:val="002C2B4E"/>
    <w:rsid w:val="002C2CCB"/>
    <w:rsid w:val="002C2E59"/>
    <w:rsid w:val="002C35C4"/>
    <w:rsid w:val="002C469E"/>
    <w:rsid w:val="002C4B64"/>
    <w:rsid w:val="002C4C1E"/>
    <w:rsid w:val="002C4D38"/>
    <w:rsid w:val="002C52D7"/>
    <w:rsid w:val="002C6572"/>
    <w:rsid w:val="002C68A4"/>
    <w:rsid w:val="002C7A0D"/>
    <w:rsid w:val="002C7C8D"/>
    <w:rsid w:val="002C7F4B"/>
    <w:rsid w:val="002D0036"/>
    <w:rsid w:val="002D004C"/>
    <w:rsid w:val="002D015F"/>
    <w:rsid w:val="002D07DE"/>
    <w:rsid w:val="002D0DDC"/>
    <w:rsid w:val="002D0EEB"/>
    <w:rsid w:val="002D0F6D"/>
    <w:rsid w:val="002D144B"/>
    <w:rsid w:val="002D16C1"/>
    <w:rsid w:val="002D2086"/>
    <w:rsid w:val="002D23AD"/>
    <w:rsid w:val="002D2625"/>
    <w:rsid w:val="002D29CA"/>
    <w:rsid w:val="002D2D3B"/>
    <w:rsid w:val="002D3C58"/>
    <w:rsid w:val="002D3D98"/>
    <w:rsid w:val="002D411C"/>
    <w:rsid w:val="002D44A6"/>
    <w:rsid w:val="002D556C"/>
    <w:rsid w:val="002D5E38"/>
    <w:rsid w:val="002D60D3"/>
    <w:rsid w:val="002D6516"/>
    <w:rsid w:val="002D66C4"/>
    <w:rsid w:val="002D699F"/>
    <w:rsid w:val="002D6C00"/>
    <w:rsid w:val="002D7093"/>
    <w:rsid w:val="002D7258"/>
    <w:rsid w:val="002D72E3"/>
    <w:rsid w:val="002D7308"/>
    <w:rsid w:val="002D7899"/>
    <w:rsid w:val="002D7B43"/>
    <w:rsid w:val="002D7CF9"/>
    <w:rsid w:val="002D7EDE"/>
    <w:rsid w:val="002E02E6"/>
    <w:rsid w:val="002E0605"/>
    <w:rsid w:val="002E07D6"/>
    <w:rsid w:val="002E0CA4"/>
    <w:rsid w:val="002E1283"/>
    <w:rsid w:val="002E17D5"/>
    <w:rsid w:val="002E18B2"/>
    <w:rsid w:val="002E1B9F"/>
    <w:rsid w:val="002E2C76"/>
    <w:rsid w:val="002E2E6D"/>
    <w:rsid w:val="002E2F25"/>
    <w:rsid w:val="002E3381"/>
    <w:rsid w:val="002E3676"/>
    <w:rsid w:val="002E3835"/>
    <w:rsid w:val="002E411B"/>
    <w:rsid w:val="002E50EC"/>
    <w:rsid w:val="002E56F8"/>
    <w:rsid w:val="002E683F"/>
    <w:rsid w:val="002E6A5D"/>
    <w:rsid w:val="002E6CB7"/>
    <w:rsid w:val="002E7014"/>
    <w:rsid w:val="002E7B48"/>
    <w:rsid w:val="002E7EFC"/>
    <w:rsid w:val="002E7FC6"/>
    <w:rsid w:val="002F03AB"/>
    <w:rsid w:val="002F08BE"/>
    <w:rsid w:val="002F1463"/>
    <w:rsid w:val="002F1829"/>
    <w:rsid w:val="002F1A7A"/>
    <w:rsid w:val="002F1B4E"/>
    <w:rsid w:val="002F219C"/>
    <w:rsid w:val="002F21CC"/>
    <w:rsid w:val="002F2245"/>
    <w:rsid w:val="002F26A2"/>
    <w:rsid w:val="002F287C"/>
    <w:rsid w:val="002F2BD2"/>
    <w:rsid w:val="002F3129"/>
    <w:rsid w:val="002F4314"/>
    <w:rsid w:val="002F44CE"/>
    <w:rsid w:val="002F46CB"/>
    <w:rsid w:val="002F4937"/>
    <w:rsid w:val="002F4ACC"/>
    <w:rsid w:val="002F4F99"/>
    <w:rsid w:val="002F4FDA"/>
    <w:rsid w:val="002F5131"/>
    <w:rsid w:val="002F591C"/>
    <w:rsid w:val="002F5BE3"/>
    <w:rsid w:val="002F5E63"/>
    <w:rsid w:val="002F62AF"/>
    <w:rsid w:val="002F64A0"/>
    <w:rsid w:val="002F6C75"/>
    <w:rsid w:val="002F7548"/>
    <w:rsid w:val="00300C09"/>
    <w:rsid w:val="00300C8F"/>
    <w:rsid w:val="00300E19"/>
    <w:rsid w:val="00301153"/>
    <w:rsid w:val="00301526"/>
    <w:rsid w:val="003016B1"/>
    <w:rsid w:val="00301857"/>
    <w:rsid w:val="003027F2"/>
    <w:rsid w:val="0030281E"/>
    <w:rsid w:val="00302A8F"/>
    <w:rsid w:val="00302D9F"/>
    <w:rsid w:val="00302F53"/>
    <w:rsid w:val="0030339F"/>
    <w:rsid w:val="00303456"/>
    <w:rsid w:val="003038C0"/>
    <w:rsid w:val="00304109"/>
    <w:rsid w:val="003041FA"/>
    <w:rsid w:val="00304EBF"/>
    <w:rsid w:val="00304EC6"/>
    <w:rsid w:val="003054DD"/>
    <w:rsid w:val="0030552A"/>
    <w:rsid w:val="003059B2"/>
    <w:rsid w:val="003059EF"/>
    <w:rsid w:val="00305D60"/>
    <w:rsid w:val="003069BD"/>
    <w:rsid w:val="00306FB0"/>
    <w:rsid w:val="00307268"/>
    <w:rsid w:val="003072CA"/>
    <w:rsid w:val="00307434"/>
    <w:rsid w:val="003077F2"/>
    <w:rsid w:val="00307C69"/>
    <w:rsid w:val="00307E1B"/>
    <w:rsid w:val="0031015A"/>
    <w:rsid w:val="00310183"/>
    <w:rsid w:val="00310796"/>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DD1"/>
    <w:rsid w:val="00313FD2"/>
    <w:rsid w:val="00314532"/>
    <w:rsid w:val="00314568"/>
    <w:rsid w:val="00314622"/>
    <w:rsid w:val="003147D4"/>
    <w:rsid w:val="0031539C"/>
    <w:rsid w:val="0031553F"/>
    <w:rsid w:val="003156E8"/>
    <w:rsid w:val="00315EA7"/>
    <w:rsid w:val="00315EAB"/>
    <w:rsid w:val="00316126"/>
    <w:rsid w:val="00316902"/>
    <w:rsid w:val="00316ED9"/>
    <w:rsid w:val="00316F5C"/>
    <w:rsid w:val="003174BE"/>
    <w:rsid w:val="0031773B"/>
    <w:rsid w:val="00317956"/>
    <w:rsid w:val="00317C67"/>
    <w:rsid w:val="00317CED"/>
    <w:rsid w:val="00317EEC"/>
    <w:rsid w:val="003209C6"/>
    <w:rsid w:val="00320A76"/>
    <w:rsid w:val="00320C76"/>
    <w:rsid w:val="00320E75"/>
    <w:rsid w:val="0032172F"/>
    <w:rsid w:val="003219BB"/>
    <w:rsid w:val="00321A09"/>
    <w:rsid w:val="00322029"/>
    <w:rsid w:val="0032216A"/>
    <w:rsid w:val="00322700"/>
    <w:rsid w:val="00322C84"/>
    <w:rsid w:val="00322CB7"/>
    <w:rsid w:val="00322D38"/>
    <w:rsid w:val="00322E19"/>
    <w:rsid w:val="00323322"/>
    <w:rsid w:val="00324699"/>
    <w:rsid w:val="00324A37"/>
    <w:rsid w:val="00324B4B"/>
    <w:rsid w:val="00324C8E"/>
    <w:rsid w:val="00324CE1"/>
    <w:rsid w:val="00325516"/>
    <w:rsid w:val="00325BD4"/>
    <w:rsid w:val="00325E55"/>
    <w:rsid w:val="003262CB"/>
    <w:rsid w:val="00326521"/>
    <w:rsid w:val="0032792D"/>
    <w:rsid w:val="00330D5D"/>
    <w:rsid w:val="00330EC0"/>
    <w:rsid w:val="00330FFC"/>
    <w:rsid w:val="0033110F"/>
    <w:rsid w:val="00331416"/>
    <w:rsid w:val="0033164C"/>
    <w:rsid w:val="00331747"/>
    <w:rsid w:val="003317AC"/>
    <w:rsid w:val="0033183C"/>
    <w:rsid w:val="00331C18"/>
    <w:rsid w:val="00332800"/>
    <w:rsid w:val="0033303C"/>
    <w:rsid w:val="003334A7"/>
    <w:rsid w:val="003339D8"/>
    <w:rsid w:val="00333CCE"/>
    <w:rsid w:val="00333DCB"/>
    <w:rsid w:val="00334590"/>
    <w:rsid w:val="0033476B"/>
    <w:rsid w:val="003349D9"/>
    <w:rsid w:val="00334E18"/>
    <w:rsid w:val="00335132"/>
    <w:rsid w:val="00335267"/>
    <w:rsid w:val="0033555E"/>
    <w:rsid w:val="00335611"/>
    <w:rsid w:val="003363D9"/>
    <w:rsid w:val="003369AA"/>
    <w:rsid w:val="00336CF4"/>
    <w:rsid w:val="00337A25"/>
    <w:rsid w:val="0034000E"/>
    <w:rsid w:val="00340029"/>
    <w:rsid w:val="00340664"/>
    <w:rsid w:val="003407E7"/>
    <w:rsid w:val="003408A7"/>
    <w:rsid w:val="003419B1"/>
    <w:rsid w:val="00341F49"/>
    <w:rsid w:val="00342130"/>
    <w:rsid w:val="003429AC"/>
    <w:rsid w:val="00342B6F"/>
    <w:rsid w:val="00342CE1"/>
    <w:rsid w:val="003435F8"/>
    <w:rsid w:val="00344369"/>
    <w:rsid w:val="00344631"/>
    <w:rsid w:val="0034486F"/>
    <w:rsid w:val="00344DAA"/>
    <w:rsid w:val="00344DD2"/>
    <w:rsid w:val="00345151"/>
    <w:rsid w:val="003455A2"/>
    <w:rsid w:val="00345A73"/>
    <w:rsid w:val="00345E4D"/>
    <w:rsid w:val="00345F93"/>
    <w:rsid w:val="00346D6E"/>
    <w:rsid w:val="00346E6F"/>
    <w:rsid w:val="0034784B"/>
    <w:rsid w:val="00347BD1"/>
    <w:rsid w:val="00350317"/>
    <w:rsid w:val="00350C2E"/>
    <w:rsid w:val="00351577"/>
    <w:rsid w:val="003515E7"/>
    <w:rsid w:val="003521F5"/>
    <w:rsid w:val="003525FB"/>
    <w:rsid w:val="00352781"/>
    <w:rsid w:val="00352C37"/>
    <w:rsid w:val="00352E12"/>
    <w:rsid w:val="00353332"/>
    <w:rsid w:val="003535DB"/>
    <w:rsid w:val="003536D3"/>
    <w:rsid w:val="00353748"/>
    <w:rsid w:val="0035379C"/>
    <w:rsid w:val="003539B5"/>
    <w:rsid w:val="0035478D"/>
    <w:rsid w:val="003550BF"/>
    <w:rsid w:val="0035554C"/>
    <w:rsid w:val="0035588B"/>
    <w:rsid w:val="00355989"/>
    <w:rsid w:val="00355AFC"/>
    <w:rsid w:val="003560A3"/>
    <w:rsid w:val="00356306"/>
    <w:rsid w:val="003563CE"/>
    <w:rsid w:val="00356D0D"/>
    <w:rsid w:val="003573A0"/>
    <w:rsid w:val="00357622"/>
    <w:rsid w:val="003578E1"/>
    <w:rsid w:val="003579BB"/>
    <w:rsid w:val="00357B3E"/>
    <w:rsid w:val="00357DA8"/>
    <w:rsid w:val="00357F0E"/>
    <w:rsid w:val="00360D6B"/>
    <w:rsid w:val="00360E4F"/>
    <w:rsid w:val="00361006"/>
    <w:rsid w:val="00361273"/>
    <w:rsid w:val="003613B9"/>
    <w:rsid w:val="0036146B"/>
    <w:rsid w:val="003617C5"/>
    <w:rsid w:val="00361B3D"/>
    <w:rsid w:val="003621B4"/>
    <w:rsid w:val="00362430"/>
    <w:rsid w:val="00362442"/>
    <w:rsid w:val="003626F9"/>
    <w:rsid w:val="003630B1"/>
    <w:rsid w:val="0036324B"/>
    <w:rsid w:val="0036398E"/>
    <w:rsid w:val="00364AC4"/>
    <w:rsid w:val="00365446"/>
    <w:rsid w:val="003655D4"/>
    <w:rsid w:val="00365816"/>
    <w:rsid w:val="00366098"/>
    <w:rsid w:val="00366307"/>
    <w:rsid w:val="003663FE"/>
    <w:rsid w:val="003676DA"/>
    <w:rsid w:val="003678AE"/>
    <w:rsid w:val="003678BB"/>
    <w:rsid w:val="00367948"/>
    <w:rsid w:val="00367CCE"/>
    <w:rsid w:val="003702D4"/>
    <w:rsid w:val="00370A50"/>
    <w:rsid w:val="003711EC"/>
    <w:rsid w:val="0037188B"/>
    <w:rsid w:val="00372267"/>
    <w:rsid w:val="00372842"/>
    <w:rsid w:val="00372B08"/>
    <w:rsid w:val="00372CE3"/>
    <w:rsid w:val="00373C69"/>
    <w:rsid w:val="00373CEC"/>
    <w:rsid w:val="00373EB6"/>
    <w:rsid w:val="00374121"/>
    <w:rsid w:val="003746B0"/>
    <w:rsid w:val="0037528F"/>
    <w:rsid w:val="003758A3"/>
    <w:rsid w:val="003758B2"/>
    <w:rsid w:val="00375A37"/>
    <w:rsid w:val="00375AD3"/>
    <w:rsid w:val="00375C29"/>
    <w:rsid w:val="003766B2"/>
    <w:rsid w:val="00376C99"/>
    <w:rsid w:val="00376EE4"/>
    <w:rsid w:val="00377BD6"/>
    <w:rsid w:val="003800E7"/>
    <w:rsid w:val="003801FC"/>
    <w:rsid w:val="003806BA"/>
    <w:rsid w:val="00380966"/>
    <w:rsid w:val="00380A00"/>
    <w:rsid w:val="00380A12"/>
    <w:rsid w:val="00380F2C"/>
    <w:rsid w:val="003812B6"/>
    <w:rsid w:val="003814F8"/>
    <w:rsid w:val="00381654"/>
    <w:rsid w:val="00381715"/>
    <w:rsid w:val="00381852"/>
    <w:rsid w:val="00381D21"/>
    <w:rsid w:val="00381DB8"/>
    <w:rsid w:val="00382191"/>
    <w:rsid w:val="0038227A"/>
    <w:rsid w:val="00382C83"/>
    <w:rsid w:val="00382CBD"/>
    <w:rsid w:val="00382D03"/>
    <w:rsid w:val="00383152"/>
    <w:rsid w:val="003834CF"/>
    <w:rsid w:val="00384808"/>
    <w:rsid w:val="00384CDA"/>
    <w:rsid w:val="00385C17"/>
    <w:rsid w:val="00385F91"/>
    <w:rsid w:val="00386489"/>
    <w:rsid w:val="00386A09"/>
    <w:rsid w:val="00386CD1"/>
    <w:rsid w:val="0038757A"/>
    <w:rsid w:val="003879A5"/>
    <w:rsid w:val="00387AEF"/>
    <w:rsid w:val="00387F18"/>
    <w:rsid w:val="00390384"/>
    <w:rsid w:val="0039044E"/>
    <w:rsid w:val="003905CD"/>
    <w:rsid w:val="00390C97"/>
    <w:rsid w:val="00390D9A"/>
    <w:rsid w:val="00390F98"/>
    <w:rsid w:val="00390FBB"/>
    <w:rsid w:val="0039132B"/>
    <w:rsid w:val="00391473"/>
    <w:rsid w:val="00391518"/>
    <w:rsid w:val="00391E05"/>
    <w:rsid w:val="00391EF0"/>
    <w:rsid w:val="0039220F"/>
    <w:rsid w:val="00392271"/>
    <w:rsid w:val="003922D2"/>
    <w:rsid w:val="003922D7"/>
    <w:rsid w:val="003927C1"/>
    <w:rsid w:val="003928FC"/>
    <w:rsid w:val="003934F7"/>
    <w:rsid w:val="00393718"/>
    <w:rsid w:val="00393A32"/>
    <w:rsid w:val="00393CD3"/>
    <w:rsid w:val="00394041"/>
    <w:rsid w:val="00394641"/>
    <w:rsid w:val="003947FE"/>
    <w:rsid w:val="00394D48"/>
    <w:rsid w:val="00394E61"/>
    <w:rsid w:val="00395864"/>
    <w:rsid w:val="00395872"/>
    <w:rsid w:val="00395886"/>
    <w:rsid w:val="00395A3F"/>
    <w:rsid w:val="003960C8"/>
    <w:rsid w:val="003961F1"/>
    <w:rsid w:val="003968B5"/>
    <w:rsid w:val="00396CC9"/>
    <w:rsid w:val="00397091"/>
    <w:rsid w:val="00397597"/>
    <w:rsid w:val="00397625"/>
    <w:rsid w:val="0039762F"/>
    <w:rsid w:val="003979E2"/>
    <w:rsid w:val="003A0509"/>
    <w:rsid w:val="003A09E2"/>
    <w:rsid w:val="003A0FCE"/>
    <w:rsid w:val="003A13A2"/>
    <w:rsid w:val="003A1DCF"/>
    <w:rsid w:val="003A21BC"/>
    <w:rsid w:val="003A22A4"/>
    <w:rsid w:val="003A22F0"/>
    <w:rsid w:val="003A251A"/>
    <w:rsid w:val="003A3018"/>
    <w:rsid w:val="003A3118"/>
    <w:rsid w:val="003A3153"/>
    <w:rsid w:val="003A3594"/>
    <w:rsid w:val="003A3CFB"/>
    <w:rsid w:val="003A3EEF"/>
    <w:rsid w:val="003A3FCA"/>
    <w:rsid w:val="003A40D2"/>
    <w:rsid w:val="003A434B"/>
    <w:rsid w:val="003A4413"/>
    <w:rsid w:val="003A4F98"/>
    <w:rsid w:val="003A52CA"/>
    <w:rsid w:val="003A60EE"/>
    <w:rsid w:val="003A638D"/>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A34"/>
    <w:rsid w:val="003B0A3A"/>
    <w:rsid w:val="003B0DB6"/>
    <w:rsid w:val="003B0EEC"/>
    <w:rsid w:val="003B1326"/>
    <w:rsid w:val="003B15C7"/>
    <w:rsid w:val="003B1870"/>
    <w:rsid w:val="003B1947"/>
    <w:rsid w:val="003B196D"/>
    <w:rsid w:val="003B1B25"/>
    <w:rsid w:val="003B20F6"/>
    <w:rsid w:val="003B259C"/>
    <w:rsid w:val="003B3708"/>
    <w:rsid w:val="003B389A"/>
    <w:rsid w:val="003B39B3"/>
    <w:rsid w:val="003B3B56"/>
    <w:rsid w:val="003B3D2A"/>
    <w:rsid w:val="003B4554"/>
    <w:rsid w:val="003B4970"/>
    <w:rsid w:val="003B4971"/>
    <w:rsid w:val="003B4991"/>
    <w:rsid w:val="003B4A7A"/>
    <w:rsid w:val="003B4AC1"/>
    <w:rsid w:val="003B4B53"/>
    <w:rsid w:val="003B537D"/>
    <w:rsid w:val="003B5406"/>
    <w:rsid w:val="003B5F72"/>
    <w:rsid w:val="003B6082"/>
    <w:rsid w:val="003B6329"/>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07E"/>
    <w:rsid w:val="003C3311"/>
    <w:rsid w:val="003C3D01"/>
    <w:rsid w:val="003C4D38"/>
    <w:rsid w:val="003C5546"/>
    <w:rsid w:val="003C5E5C"/>
    <w:rsid w:val="003C63D7"/>
    <w:rsid w:val="003C6656"/>
    <w:rsid w:val="003C6ADC"/>
    <w:rsid w:val="003C73D9"/>
    <w:rsid w:val="003D07B3"/>
    <w:rsid w:val="003D07E0"/>
    <w:rsid w:val="003D0BE7"/>
    <w:rsid w:val="003D0E2C"/>
    <w:rsid w:val="003D0E89"/>
    <w:rsid w:val="003D1108"/>
    <w:rsid w:val="003D159C"/>
    <w:rsid w:val="003D1A83"/>
    <w:rsid w:val="003D2919"/>
    <w:rsid w:val="003D2D42"/>
    <w:rsid w:val="003D31F3"/>
    <w:rsid w:val="003D3258"/>
    <w:rsid w:val="003D3429"/>
    <w:rsid w:val="003D35FF"/>
    <w:rsid w:val="003D364C"/>
    <w:rsid w:val="003D37DE"/>
    <w:rsid w:val="003D38A0"/>
    <w:rsid w:val="003D3947"/>
    <w:rsid w:val="003D4CD1"/>
    <w:rsid w:val="003D4FF5"/>
    <w:rsid w:val="003D5ACA"/>
    <w:rsid w:val="003D637F"/>
    <w:rsid w:val="003D6718"/>
    <w:rsid w:val="003D6889"/>
    <w:rsid w:val="003D68EA"/>
    <w:rsid w:val="003D720B"/>
    <w:rsid w:val="003D7322"/>
    <w:rsid w:val="003D735A"/>
    <w:rsid w:val="003D73A1"/>
    <w:rsid w:val="003D7452"/>
    <w:rsid w:val="003D75E0"/>
    <w:rsid w:val="003D78D2"/>
    <w:rsid w:val="003D78EF"/>
    <w:rsid w:val="003D7C4F"/>
    <w:rsid w:val="003D7DDC"/>
    <w:rsid w:val="003E00CA"/>
    <w:rsid w:val="003E14F8"/>
    <w:rsid w:val="003E2B31"/>
    <w:rsid w:val="003E2B32"/>
    <w:rsid w:val="003E3233"/>
    <w:rsid w:val="003E37E2"/>
    <w:rsid w:val="003E3FEB"/>
    <w:rsid w:val="003E41ED"/>
    <w:rsid w:val="003E4295"/>
    <w:rsid w:val="003E4696"/>
    <w:rsid w:val="003E46B1"/>
    <w:rsid w:val="003E46FC"/>
    <w:rsid w:val="003E47A5"/>
    <w:rsid w:val="003E4B0D"/>
    <w:rsid w:val="003E4EE0"/>
    <w:rsid w:val="003E5458"/>
    <w:rsid w:val="003E546B"/>
    <w:rsid w:val="003E55B8"/>
    <w:rsid w:val="003E5F1D"/>
    <w:rsid w:val="003E5F7E"/>
    <w:rsid w:val="003E633C"/>
    <w:rsid w:val="003E645B"/>
    <w:rsid w:val="003E6580"/>
    <w:rsid w:val="003E6963"/>
    <w:rsid w:val="003E6C82"/>
    <w:rsid w:val="003E6D38"/>
    <w:rsid w:val="003E78D1"/>
    <w:rsid w:val="003E79D2"/>
    <w:rsid w:val="003E7E1F"/>
    <w:rsid w:val="003E7E67"/>
    <w:rsid w:val="003E7F2D"/>
    <w:rsid w:val="003F04F5"/>
    <w:rsid w:val="003F06EF"/>
    <w:rsid w:val="003F0940"/>
    <w:rsid w:val="003F0B5E"/>
    <w:rsid w:val="003F0C83"/>
    <w:rsid w:val="003F0CD5"/>
    <w:rsid w:val="003F118E"/>
    <w:rsid w:val="003F14E5"/>
    <w:rsid w:val="003F1754"/>
    <w:rsid w:val="003F1992"/>
    <w:rsid w:val="003F1A10"/>
    <w:rsid w:val="003F21AC"/>
    <w:rsid w:val="003F2935"/>
    <w:rsid w:val="003F31D3"/>
    <w:rsid w:val="003F3752"/>
    <w:rsid w:val="003F3F7A"/>
    <w:rsid w:val="003F4935"/>
    <w:rsid w:val="003F4A4C"/>
    <w:rsid w:val="003F5C88"/>
    <w:rsid w:val="003F66F1"/>
    <w:rsid w:val="003F6C1E"/>
    <w:rsid w:val="003F6DE8"/>
    <w:rsid w:val="003F7182"/>
    <w:rsid w:val="003F7F73"/>
    <w:rsid w:val="0040023C"/>
    <w:rsid w:val="00400889"/>
    <w:rsid w:val="0040092D"/>
    <w:rsid w:val="004022C7"/>
    <w:rsid w:val="00402695"/>
    <w:rsid w:val="0040274E"/>
    <w:rsid w:val="004028D3"/>
    <w:rsid w:val="0040310E"/>
    <w:rsid w:val="0040317E"/>
    <w:rsid w:val="004036C4"/>
    <w:rsid w:val="00403979"/>
    <w:rsid w:val="00403B39"/>
    <w:rsid w:val="00403EBF"/>
    <w:rsid w:val="00403F92"/>
    <w:rsid w:val="004042AD"/>
    <w:rsid w:val="00404701"/>
    <w:rsid w:val="00404BA7"/>
    <w:rsid w:val="004055D4"/>
    <w:rsid w:val="0040626A"/>
    <w:rsid w:val="00406284"/>
    <w:rsid w:val="004069AB"/>
    <w:rsid w:val="00406C5E"/>
    <w:rsid w:val="00407059"/>
    <w:rsid w:val="0040718B"/>
    <w:rsid w:val="004072F1"/>
    <w:rsid w:val="00407349"/>
    <w:rsid w:val="00407C3B"/>
    <w:rsid w:val="00407FF3"/>
    <w:rsid w:val="004104D1"/>
    <w:rsid w:val="00410E91"/>
    <w:rsid w:val="00410F11"/>
    <w:rsid w:val="00411468"/>
    <w:rsid w:val="0041185D"/>
    <w:rsid w:val="00411E2C"/>
    <w:rsid w:val="004125CB"/>
    <w:rsid w:val="00412680"/>
    <w:rsid w:val="004128C5"/>
    <w:rsid w:val="00412A61"/>
    <w:rsid w:val="00412C70"/>
    <w:rsid w:val="00412CA6"/>
    <w:rsid w:val="00413272"/>
    <w:rsid w:val="00413624"/>
    <w:rsid w:val="00413974"/>
    <w:rsid w:val="00413DD1"/>
    <w:rsid w:val="0041454C"/>
    <w:rsid w:val="00414630"/>
    <w:rsid w:val="00414632"/>
    <w:rsid w:val="00414C4E"/>
    <w:rsid w:val="00414D31"/>
    <w:rsid w:val="004155F9"/>
    <w:rsid w:val="0041565D"/>
    <w:rsid w:val="00415948"/>
    <w:rsid w:val="00415DA7"/>
    <w:rsid w:val="00415E32"/>
    <w:rsid w:val="00417877"/>
    <w:rsid w:val="00417AF5"/>
    <w:rsid w:val="004204B9"/>
    <w:rsid w:val="00420547"/>
    <w:rsid w:val="00420D9D"/>
    <w:rsid w:val="00421EAB"/>
    <w:rsid w:val="00421F29"/>
    <w:rsid w:val="00422280"/>
    <w:rsid w:val="004226AD"/>
    <w:rsid w:val="00422CB6"/>
    <w:rsid w:val="0042320D"/>
    <w:rsid w:val="00423521"/>
    <w:rsid w:val="0042353B"/>
    <w:rsid w:val="00423C39"/>
    <w:rsid w:val="00424386"/>
    <w:rsid w:val="004247A7"/>
    <w:rsid w:val="004248EE"/>
    <w:rsid w:val="00425495"/>
    <w:rsid w:val="004254BC"/>
    <w:rsid w:val="00425583"/>
    <w:rsid w:val="004262AE"/>
    <w:rsid w:val="004267F2"/>
    <w:rsid w:val="00426E09"/>
    <w:rsid w:val="00427006"/>
    <w:rsid w:val="0042705C"/>
    <w:rsid w:val="00427246"/>
    <w:rsid w:val="004275B1"/>
    <w:rsid w:val="00427B13"/>
    <w:rsid w:val="00427D55"/>
    <w:rsid w:val="00430087"/>
    <w:rsid w:val="0043019F"/>
    <w:rsid w:val="00430BF5"/>
    <w:rsid w:val="00430CB3"/>
    <w:rsid w:val="00430EBF"/>
    <w:rsid w:val="00430FB2"/>
    <w:rsid w:val="004310A7"/>
    <w:rsid w:val="004310FE"/>
    <w:rsid w:val="00431619"/>
    <w:rsid w:val="00431D15"/>
    <w:rsid w:val="0043226B"/>
    <w:rsid w:val="0043250E"/>
    <w:rsid w:val="00432C36"/>
    <w:rsid w:val="00432E1F"/>
    <w:rsid w:val="00433317"/>
    <w:rsid w:val="004333EE"/>
    <w:rsid w:val="00433715"/>
    <w:rsid w:val="0043383C"/>
    <w:rsid w:val="0043399A"/>
    <w:rsid w:val="00433AF5"/>
    <w:rsid w:val="00434168"/>
    <w:rsid w:val="004344A4"/>
    <w:rsid w:val="0043476B"/>
    <w:rsid w:val="00434A64"/>
    <w:rsid w:val="00434A7A"/>
    <w:rsid w:val="00435034"/>
    <w:rsid w:val="004351EB"/>
    <w:rsid w:val="00435282"/>
    <w:rsid w:val="00435464"/>
    <w:rsid w:val="004354F0"/>
    <w:rsid w:val="00435A35"/>
    <w:rsid w:val="004362B8"/>
    <w:rsid w:val="00436395"/>
    <w:rsid w:val="004368B1"/>
    <w:rsid w:val="00436B0F"/>
    <w:rsid w:val="00436B2B"/>
    <w:rsid w:val="00436DE5"/>
    <w:rsid w:val="00436F42"/>
    <w:rsid w:val="0043740B"/>
    <w:rsid w:val="00437451"/>
    <w:rsid w:val="00437895"/>
    <w:rsid w:val="00437BA3"/>
    <w:rsid w:val="004407DF"/>
    <w:rsid w:val="00440A6F"/>
    <w:rsid w:val="00440AD4"/>
    <w:rsid w:val="00440BB6"/>
    <w:rsid w:val="0044164C"/>
    <w:rsid w:val="00441C1A"/>
    <w:rsid w:val="00443045"/>
    <w:rsid w:val="004430F7"/>
    <w:rsid w:val="00443558"/>
    <w:rsid w:val="00443985"/>
    <w:rsid w:val="004439B1"/>
    <w:rsid w:val="004439C0"/>
    <w:rsid w:val="004441BA"/>
    <w:rsid w:val="00444488"/>
    <w:rsid w:val="004446F1"/>
    <w:rsid w:val="00445355"/>
    <w:rsid w:val="004458B4"/>
    <w:rsid w:val="0044625C"/>
    <w:rsid w:val="0044699F"/>
    <w:rsid w:val="00446BB0"/>
    <w:rsid w:val="00446DA9"/>
    <w:rsid w:val="00447139"/>
    <w:rsid w:val="00447504"/>
    <w:rsid w:val="0044760F"/>
    <w:rsid w:val="0044799A"/>
    <w:rsid w:val="00447F56"/>
    <w:rsid w:val="0045067D"/>
    <w:rsid w:val="00450729"/>
    <w:rsid w:val="00450908"/>
    <w:rsid w:val="00450AEB"/>
    <w:rsid w:val="00450E00"/>
    <w:rsid w:val="00451515"/>
    <w:rsid w:val="00452B9B"/>
    <w:rsid w:val="00452BAF"/>
    <w:rsid w:val="004530E3"/>
    <w:rsid w:val="004537A1"/>
    <w:rsid w:val="00453D02"/>
    <w:rsid w:val="00453E4B"/>
    <w:rsid w:val="004542EB"/>
    <w:rsid w:val="00454BE3"/>
    <w:rsid w:val="00454E75"/>
    <w:rsid w:val="0045566C"/>
    <w:rsid w:val="0045598E"/>
    <w:rsid w:val="00455AD7"/>
    <w:rsid w:val="00455B9F"/>
    <w:rsid w:val="00456F40"/>
    <w:rsid w:val="0045721F"/>
    <w:rsid w:val="0045749F"/>
    <w:rsid w:val="00457524"/>
    <w:rsid w:val="00457539"/>
    <w:rsid w:val="00457F14"/>
    <w:rsid w:val="0046044A"/>
    <w:rsid w:val="004605FF"/>
    <w:rsid w:val="004606BA"/>
    <w:rsid w:val="004609BB"/>
    <w:rsid w:val="00460B53"/>
    <w:rsid w:val="00460D4E"/>
    <w:rsid w:val="00460D88"/>
    <w:rsid w:val="00460E9B"/>
    <w:rsid w:val="00460FEC"/>
    <w:rsid w:val="00461227"/>
    <w:rsid w:val="00461EF6"/>
    <w:rsid w:val="004620FE"/>
    <w:rsid w:val="0046264C"/>
    <w:rsid w:val="00462CA1"/>
    <w:rsid w:val="0046305E"/>
    <w:rsid w:val="004630C5"/>
    <w:rsid w:val="004631E8"/>
    <w:rsid w:val="0046349C"/>
    <w:rsid w:val="00463A19"/>
    <w:rsid w:val="0046404C"/>
    <w:rsid w:val="00464756"/>
    <w:rsid w:val="00464929"/>
    <w:rsid w:val="004649A8"/>
    <w:rsid w:val="00464AF6"/>
    <w:rsid w:val="004651B5"/>
    <w:rsid w:val="004651B6"/>
    <w:rsid w:val="004654A7"/>
    <w:rsid w:val="0046585A"/>
    <w:rsid w:val="00465946"/>
    <w:rsid w:val="00465B5F"/>
    <w:rsid w:val="00465C12"/>
    <w:rsid w:val="00465DC5"/>
    <w:rsid w:val="00465EEC"/>
    <w:rsid w:val="0046648C"/>
    <w:rsid w:val="00467D18"/>
    <w:rsid w:val="00467F43"/>
    <w:rsid w:val="00467F76"/>
    <w:rsid w:val="00470142"/>
    <w:rsid w:val="00470508"/>
    <w:rsid w:val="00470609"/>
    <w:rsid w:val="00470610"/>
    <w:rsid w:val="004712DF"/>
    <w:rsid w:val="004712FA"/>
    <w:rsid w:val="00471514"/>
    <w:rsid w:val="004715AD"/>
    <w:rsid w:val="00471F0E"/>
    <w:rsid w:val="0047237E"/>
    <w:rsid w:val="00472C64"/>
    <w:rsid w:val="00472EE1"/>
    <w:rsid w:val="004734FD"/>
    <w:rsid w:val="004735FF"/>
    <w:rsid w:val="004742F9"/>
    <w:rsid w:val="00474309"/>
    <w:rsid w:val="00474467"/>
    <w:rsid w:val="004744E3"/>
    <w:rsid w:val="004746BF"/>
    <w:rsid w:val="004747F6"/>
    <w:rsid w:val="00474C0C"/>
    <w:rsid w:val="00474CE9"/>
    <w:rsid w:val="00474D97"/>
    <w:rsid w:val="00475069"/>
    <w:rsid w:val="00475297"/>
    <w:rsid w:val="00475950"/>
    <w:rsid w:val="00475AC2"/>
    <w:rsid w:val="00475C74"/>
    <w:rsid w:val="00475D30"/>
    <w:rsid w:val="00475E59"/>
    <w:rsid w:val="0047604A"/>
    <w:rsid w:val="004760E5"/>
    <w:rsid w:val="004761CD"/>
    <w:rsid w:val="004761E2"/>
    <w:rsid w:val="0047630C"/>
    <w:rsid w:val="00476470"/>
    <w:rsid w:val="004764A3"/>
    <w:rsid w:val="00477396"/>
    <w:rsid w:val="00477882"/>
    <w:rsid w:val="0048017B"/>
    <w:rsid w:val="004803C3"/>
    <w:rsid w:val="00480A63"/>
    <w:rsid w:val="00480E06"/>
    <w:rsid w:val="00480FDB"/>
    <w:rsid w:val="0048127D"/>
    <w:rsid w:val="00481DF1"/>
    <w:rsid w:val="00483329"/>
    <w:rsid w:val="00483AE1"/>
    <w:rsid w:val="00483B62"/>
    <w:rsid w:val="00483DB7"/>
    <w:rsid w:val="0048420A"/>
    <w:rsid w:val="0048541B"/>
    <w:rsid w:val="004854DB"/>
    <w:rsid w:val="00485A21"/>
    <w:rsid w:val="00485D70"/>
    <w:rsid w:val="00485E85"/>
    <w:rsid w:val="00485FB7"/>
    <w:rsid w:val="00485FD1"/>
    <w:rsid w:val="0048641D"/>
    <w:rsid w:val="00487037"/>
    <w:rsid w:val="0048726E"/>
    <w:rsid w:val="00487BFD"/>
    <w:rsid w:val="004912EF"/>
    <w:rsid w:val="004914B6"/>
    <w:rsid w:val="00491874"/>
    <w:rsid w:val="00491AAE"/>
    <w:rsid w:val="004923CE"/>
    <w:rsid w:val="0049253B"/>
    <w:rsid w:val="00492685"/>
    <w:rsid w:val="004926FE"/>
    <w:rsid w:val="00492E93"/>
    <w:rsid w:val="00493671"/>
    <w:rsid w:val="0049432B"/>
    <w:rsid w:val="004947D8"/>
    <w:rsid w:val="004947F2"/>
    <w:rsid w:val="00494F79"/>
    <w:rsid w:val="00494FD0"/>
    <w:rsid w:val="00495158"/>
    <w:rsid w:val="004952B3"/>
    <w:rsid w:val="004953F7"/>
    <w:rsid w:val="0049556F"/>
    <w:rsid w:val="00495ABA"/>
    <w:rsid w:val="00495DCC"/>
    <w:rsid w:val="00495E55"/>
    <w:rsid w:val="0049616B"/>
    <w:rsid w:val="00496429"/>
    <w:rsid w:val="00496642"/>
    <w:rsid w:val="004969D1"/>
    <w:rsid w:val="00496A6C"/>
    <w:rsid w:val="00496A9E"/>
    <w:rsid w:val="00496D59"/>
    <w:rsid w:val="00496E9C"/>
    <w:rsid w:val="00496EF9"/>
    <w:rsid w:val="004970D4"/>
    <w:rsid w:val="00497980"/>
    <w:rsid w:val="00497C8E"/>
    <w:rsid w:val="004A0B48"/>
    <w:rsid w:val="004A0CA0"/>
    <w:rsid w:val="004A0D6B"/>
    <w:rsid w:val="004A12E8"/>
    <w:rsid w:val="004A1494"/>
    <w:rsid w:val="004A1991"/>
    <w:rsid w:val="004A1AD8"/>
    <w:rsid w:val="004A1B15"/>
    <w:rsid w:val="004A1DF4"/>
    <w:rsid w:val="004A1DFA"/>
    <w:rsid w:val="004A2822"/>
    <w:rsid w:val="004A29E1"/>
    <w:rsid w:val="004A2DEA"/>
    <w:rsid w:val="004A30B3"/>
    <w:rsid w:val="004A34CD"/>
    <w:rsid w:val="004A3644"/>
    <w:rsid w:val="004A3663"/>
    <w:rsid w:val="004A45F8"/>
    <w:rsid w:val="004A47C1"/>
    <w:rsid w:val="004A4A90"/>
    <w:rsid w:val="004A501E"/>
    <w:rsid w:val="004A5531"/>
    <w:rsid w:val="004A5AA7"/>
    <w:rsid w:val="004A5E7F"/>
    <w:rsid w:val="004A642D"/>
    <w:rsid w:val="004A65ED"/>
    <w:rsid w:val="004A6CFC"/>
    <w:rsid w:val="004A6E0B"/>
    <w:rsid w:val="004A6EC8"/>
    <w:rsid w:val="004A7010"/>
    <w:rsid w:val="004A7B5D"/>
    <w:rsid w:val="004A7EB0"/>
    <w:rsid w:val="004B0D76"/>
    <w:rsid w:val="004B1231"/>
    <w:rsid w:val="004B178A"/>
    <w:rsid w:val="004B185C"/>
    <w:rsid w:val="004B192D"/>
    <w:rsid w:val="004B1CD5"/>
    <w:rsid w:val="004B1E4B"/>
    <w:rsid w:val="004B2070"/>
    <w:rsid w:val="004B21B0"/>
    <w:rsid w:val="004B2473"/>
    <w:rsid w:val="004B2C20"/>
    <w:rsid w:val="004B2F1B"/>
    <w:rsid w:val="004B2FC0"/>
    <w:rsid w:val="004B2FC8"/>
    <w:rsid w:val="004B3314"/>
    <w:rsid w:val="004B3B50"/>
    <w:rsid w:val="004B3E61"/>
    <w:rsid w:val="004B3F53"/>
    <w:rsid w:val="004B3F8B"/>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B2E"/>
    <w:rsid w:val="004C3DD7"/>
    <w:rsid w:val="004C42AF"/>
    <w:rsid w:val="004C472E"/>
    <w:rsid w:val="004C479C"/>
    <w:rsid w:val="004C48BD"/>
    <w:rsid w:val="004C4F26"/>
    <w:rsid w:val="004C4F8F"/>
    <w:rsid w:val="004C50EB"/>
    <w:rsid w:val="004C54BB"/>
    <w:rsid w:val="004C55DB"/>
    <w:rsid w:val="004C5D48"/>
    <w:rsid w:val="004C5E37"/>
    <w:rsid w:val="004C62A9"/>
    <w:rsid w:val="004C64D0"/>
    <w:rsid w:val="004C6A6C"/>
    <w:rsid w:val="004C6B11"/>
    <w:rsid w:val="004C6FD0"/>
    <w:rsid w:val="004C72BF"/>
    <w:rsid w:val="004C738A"/>
    <w:rsid w:val="004C7689"/>
    <w:rsid w:val="004D010B"/>
    <w:rsid w:val="004D0252"/>
    <w:rsid w:val="004D05D9"/>
    <w:rsid w:val="004D0EF7"/>
    <w:rsid w:val="004D12D3"/>
    <w:rsid w:val="004D19D3"/>
    <w:rsid w:val="004D1B19"/>
    <w:rsid w:val="004D208F"/>
    <w:rsid w:val="004D2186"/>
    <w:rsid w:val="004D245D"/>
    <w:rsid w:val="004D2535"/>
    <w:rsid w:val="004D254C"/>
    <w:rsid w:val="004D2633"/>
    <w:rsid w:val="004D27E9"/>
    <w:rsid w:val="004D289A"/>
    <w:rsid w:val="004D2CF4"/>
    <w:rsid w:val="004D2DAA"/>
    <w:rsid w:val="004D32FD"/>
    <w:rsid w:val="004D3797"/>
    <w:rsid w:val="004D3C53"/>
    <w:rsid w:val="004D3CC7"/>
    <w:rsid w:val="004D3E44"/>
    <w:rsid w:val="004D3FC3"/>
    <w:rsid w:val="004D4052"/>
    <w:rsid w:val="004D41DD"/>
    <w:rsid w:val="004D4362"/>
    <w:rsid w:val="004D46C0"/>
    <w:rsid w:val="004D4807"/>
    <w:rsid w:val="004D4F80"/>
    <w:rsid w:val="004D518F"/>
    <w:rsid w:val="004D5205"/>
    <w:rsid w:val="004D5618"/>
    <w:rsid w:val="004D5C31"/>
    <w:rsid w:val="004D5ED4"/>
    <w:rsid w:val="004D642F"/>
    <w:rsid w:val="004D6B37"/>
    <w:rsid w:val="004D733A"/>
    <w:rsid w:val="004D7AA1"/>
    <w:rsid w:val="004D7EC2"/>
    <w:rsid w:val="004E043D"/>
    <w:rsid w:val="004E06BC"/>
    <w:rsid w:val="004E098C"/>
    <w:rsid w:val="004E0F9D"/>
    <w:rsid w:val="004E154E"/>
    <w:rsid w:val="004E158C"/>
    <w:rsid w:val="004E1B7D"/>
    <w:rsid w:val="004E1F8F"/>
    <w:rsid w:val="004E2406"/>
    <w:rsid w:val="004E2866"/>
    <w:rsid w:val="004E2B99"/>
    <w:rsid w:val="004E2D22"/>
    <w:rsid w:val="004E2F30"/>
    <w:rsid w:val="004E36F4"/>
    <w:rsid w:val="004E3C23"/>
    <w:rsid w:val="004E3D66"/>
    <w:rsid w:val="004E3E66"/>
    <w:rsid w:val="004E4434"/>
    <w:rsid w:val="004E491F"/>
    <w:rsid w:val="004E4AB9"/>
    <w:rsid w:val="004E4CBE"/>
    <w:rsid w:val="004E5BC6"/>
    <w:rsid w:val="004E5CEA"/>
    <w:rsid w:val="004E5F6B"/>
    <w:rsid w:val="004E65BF"/>
    <w:rsid w:val="004E698D"/>
    <w:rsid w:val="004E6BA8"/>
    <w:rsid w:val="004E7CF1"/>
    <w:rsid w:val="004F0840"/>
    <w:rsid w:val="004F0979"/>
    <w:rsid w:val="004F1140"/>
    <w:rsid w:val="004F15D3"/>
    <w:rsid w:val="004F176F"/>
    <w:rsid w:val="004F178D"/>
    <w:rsid w:val="004F1999"/>
    <w:rsid w:val="004F19BF"/>
    <w:rsid w:val="004F1AED"/>
    <w:rsid w:val="004F2119"/>
    <w:rsid w:val="004F223A"/>
    <w:rsid w:val="004F23CB"/>
    <w:rsid w:val="004F293F"/>
    <w:rsid w:val="004F29BD"/>
    <w:rsid w:val="004F3549"/>
    <w:rsid w:val="004F3A50"/>
    <w:rsid w:val="004F3ABA"/>
    <w:rsid w:val="004F3DA0"/>
    <w:rsid w:val="004F3EAB"/>
    <w:rsid w:val="004F4249"/>
    <w:rsid w:val="004F46D8"/>
    <w:rsid w:val="004F4B0E"/>
    <w:rsid w:val="004F4D2F"/>
    <w:rsid w:val="004F547D"/>
    <w:rsid w:val="004F58DC"/>
    <w:rsid w:val="004F61B4"/>
    <w:rsid w:val="004F6A9C"/>
    <w:rsid w:val="004F7243"/>
    <w:rsid w:val="004F724E"/>
    <w:rsid w:val="004F72A2"/>
    <w:rsid w:val="004F72FE"/>
    <w:rsid w:val="004F7E02"/>
    <w:rsid w:val="00500049"/>
    <w:rsid w:val="00500089"/>
    <w:rsid w:val="005003B3"/>
    <w:rsid w:val="00500404"/>
    <w:rsid w:val="00500A53"/>
    <w:rsid w:val="00501FD3"/>
    <w:rsid w:val="005028C5"/>
    <w:rsid w:val="00502F41"/>
    <w:rsid w:val="0050375F"/>
    <w:rsid w:val="005039DF"/>
    <w:rsid w:val="00503BC1"/>
    <w:rsid w:val="00503FD7"/>
    <w:rsid w:val="005040FB"/>
    <w:rsid w:val="0050467A"/>
    <w:rsid w:val="00504B13"/>
    <w:rsid w:val="00504B79"/>
    <w:rsid w:val="00504F85"/>
    <w:rsid w:val="005050DD"/>
    <w:rsid w:val="005053E0"/>
    <w:rsid w:val="0050587E"/>
    <w:rsid w:val="0050599F"/>
    <w:rsid w:val="00505B39"/>
    <w:rsid w:val="00505BD6"/>
    <w:rsid w:val="005060B3"/>
    <w:rsid w:val="00506580"/>
    <w:rsid w:val="00506818"/>
    <w:rsid w:val="00506A40"/>
    <w:rsid w:val="00506E05"/>
    <w:rsid w:val="00506E2C"/>
    <w:rsid w:val="005070DB"/>
    <w:rsid w:val="005076A2"/>
    <w:rsid w:val="00507796"/>
    <w:rsid w:val="005079E2"/>
    <w:rsid w:val="00507C47"/>
    <w:rsid w:val="00510E93"/>
    <w:rsid w:val="00510EAF"/>
    <w:rsid w:val="00510FD7"/>
    <w:rsid w:val="0051112D"/>
    <w:rsid w:val="005112DC"/>
    <w:rsid w:val="005114EC"/>
    <w:rsid w:val="00511DF2"/>
    <w:rsid w:val="00511F5D"/>
    <w:rsid w:val="00512068"/>
    <w:rsid w:val="0051360C"/>
    <w:rsid w:val="0051375A"/>
    <w:rsid w:val="0051389D"/>
    <w:rsid w:val="00513997"/>
    <w:rsid w:val="005143CF"/>
    <w:rsid w:val="00514AD3"/>
    <w:rsid w:val="00514C66"/>
    <w:rsid w:val="00514E52"/>
    <w:rsid w:val="00514FE1"/>
    <w:rsid w:val="00515836"/>
    <w:rsid w:val="005158F1"/>
    <w:rsid w:val="00515A69"/>
    <w:rsid w:val="00515F92"/>
    <w:rsid w:val="005168D7"/>
    <w:rsid w:val="00516B99"/>
    <w:rsid w:val="00516C52"/>
    <w:rsid w:val="00516F50"/>
    <w:rsid w:val="00517268"/>
    <w:rsid w:val="00517ACB"/>
    <w:rsid w:val="00517D72"/>
    <w:rsid w:val="00517EF6"/>
    <w:rsid w:val="00520043"/>
    <w:rsid w:val="005204E1"/>
    <w:rsid w:val="00520B4E"/>
    <w:rsid w:val="00520B85"/>
    <w:rsid w:val="00520CC5"/>
    <w:rsid w:val="00521110"/>
    <w:rsid w:val="005217F5"/>
    <w:rsid w:val="005217F6"/>
    <w:rsid w:val="005218ED"/>
    <w:rsid w:val="00521A68"/>
    <w:rsid w:val="00521A8A"/>
    <w:rsid w:val="0052340F"/>
    <w:rsid w:val="005238A6"/>
    <w:rsid w:val="005239D6"/>
    <w:rsid w:val="0052445B"/>
    <w:rsid w:val="00524773"/>
    <w:rsid w:val="00524A92"/>
    <w:rsid w:val="00524AFE"/>
    <w:rsid w:val="00524DB5"/>
    <w:rsid w:val="005258C6"/>
    <w:rsid w:val="00525C0A"/>
    <w:rsid w:val="00525FCD"/>
    <w:rsid w:val="00526296"/>
    <w:rsid w:val="005264C4"/>
    <w:rsid w:val="00526506"/>
    <w:rsid w:val="00526541"/>
    <w:rsid w:val="00526833"/>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03"/>
    <w:rsid w:val="005318BC"/>
    <w:rsid w:val="00531FA9"/>
    <w:rsid w:val="00532199"/>
    <w:rsid w:val="0053273C"/>
    <w:rsid w:val="00532D8B"/>
    <w:rsid w:val="00532E60"/>
    <w:rsid w:val="00533477"/>
    <w:rsid w:val="005338F2"/>
    <w:rsid w:val="00533933"/>
    <w:rsid w:val="00533B72"/>
    <w:rsid w:val="00534217"/>
    <w:rsid w:val="0053446A"/>
    <w:rsid w:val="0053491B"/>
    <w:rsid w:val="00535095"/>
    <w:rsid w:val="00535155"/>
    <w:rsid w:val="005352A5"/>
    <w:rsid w:val="00535912"/>
    <w:rsid w:val="00535A9E"/>
    <w:rsid w:val="005361A5"/>
    <w:rsid w:val="00536DCE"/>
    <w:rsid w:val="00537125"/>
    <w:rsid w:val="00537DBA"/>
    <w:rsid w:val="00540052"/>
    <w:rsid w:val="00540C32"/>
    <w:rsid w:val="00540CD4"/>
    <w:rsid w:val="00540E10"/>
    <w:rsid w:val="00541622"/>
    <w:rsid w:val="00541892"/>
    <w:rsid w:val="00542879"/>
    <w:rsid w:val="005428FF"/>
    <w:rsid w:val="00542DB2"/>
    <w:rsid w:val="005433B9"/>
    <w:rsid w:val="005433C1"/>
    <w:rsid w:val="00543626"/>
    <w:rsid w:val="005437E2"/>
    <w:rsid w:val="005438A9"/>
    <w:rsid w:val="005446DF"/>
    <w:rsid w:val="005446F3"/>
    <w:rsid w:val="00544DDA"/>
    <w:rsid w:val="00545482"/>
    <w:rsid w:val="005454BE"/>
    <w:rsid w:val="00545E0F"/>
    <w:rsid w:val="00546457"/>
    <w:rsid w:val="00546C03"/>
    <w:rsid w:val="00547552"/>
    <w:rsid w:val="00547777"/>
    <w:rsid w:val="00547A11"/>
    <w:rsid w:val="005501EA"/>
    <w:rsid w:val="005507DE"/>
    <w:rsid w:val="00550854"/>
    <w:rsid w:val="0055085E"/>
    <w:rsid w:val="00550BA9"/>
    <w:rsid w:val="00550F34"/>
    <w:rsid w:val="005511B3"/>
    <w:rsid w:val="005512FE"/>
    <w:rsid w:val="00551332"/>
    <w:rsid w:val="005517C6"/>
    <w:rsid w:val="005518D1"/>
    <w:rsid w:val="00552325"/>
    <w:rsid w:val="00552AB5"/>
    <w:rsid w:val="00552DDD"/>
    <w:rsid w:val="00553057"/>
    <w:rsid w:val="00553A5D"/>
    <w:rsid w:val="00553D4B"/>
    <w:rsid w:val="0055433F"/>
    <w:rsid w:val="0055498E"/>
    <w:rsid w:val="00554AE2"/>
    <w:rsid w:val="00555048"/>
    <w:rsid w:val="0055524E"/>
    <w:rsid w:val="00555AD7"/>
    <w:rsid w:val="0055636E"/>
    <w:rsid w:val="0055694D"/>
    <w:rsid w:val="00557072"/>
    <w:rsid w:val="0055707F"/>
    <w:rsid w:val="00557736"/>
    <w:rsid w:val="00557B8B"/>
    <w:rsid w:val="00557E81"/>
    <w:rsid w:val="005601CD"/>
    <w:rsid w:val="0056080C"/>
    <w:rsid w:val="00560A29"/>
    <w:rsid w:val="00560DC9"/>
    <w:rsid w:val="00560F28"/>
    <w:rsid w:val="00560F6F"/>
    <w:rsid w:val="0056134C"/>
    <w:rsid w:val="00561470"/>
    <w:rsid w:val="005618B0"/>
    <w:rsid w:val="00561C90"/>
    <w:rsid w:val="00561DA2"/>
    <w:rsid w:val="00561EA1"/>
    <w:rsid w:val="005625BD"/>
    <w:rsid w:val="00562909"/>
    <w:rsid w:val="00562929"/>
    <w:rsid w:val="00562B6E"/>
    <w:rsid w:val="00562E8B"/>
    <w:rsid w:val="005635BB"/>
    <w:rsid w:val="00563C6A"/>
    <w:rsid w:val="00563FE0"/>
    <w:rsid w:val="00563FFE"/>
    <w:rsid w:val="00564590"/>
    <w:rsid w:val="0056478D"/>
    <w:rsid w:val="0056484F"/>
    <w:rsid w:val="005648CF"/>
    <w:rsid w:val="00564930"/>
    <w:rsid w:val="00564BD1"/>
    <w:rsid w:val="00564D4B"/>
    <w:rsid w:val="00564E86"/>
    <w:rsid w:val="005654E2"/>
    <w:rsid w:val="00565C42"/>
    <w:rsid w:val="00565F5A"/>
    <w:rsid w:val="005663DB"/>
    <w:rsid w:val="005665AC"/>
    <w:rsid w:val="005669B5"/>
    <w:rsid w:val="00566F4E"/>
    <w:rsid w:val="00567009"/>
    <w:rsid w:val="005672FD"/>
    <w:rsid w:val="00567AA8"/>
    <w:rsid w:val="005703BE"/>
    <w:rsid w:val="005707B3"/>
    <w:rsid w:val="0057087C"/>
    <w:rsid w:val="00570A25"/>
    <w:rsid w:val="00570F18"/>
    <w:rsid w:val="00571781"/>
    <w:rsid w:val="005718CA"/>
    <w:rsid w:val="00571D16"/>
    <w:rsid w:val="00571EB0"/>
    <w:rsid w:val="00571F27"/>
    <w:rsid w:val="0057253C"/>
    <w:rsid w:val="00572DB8"/>
    <w:rsid w:val="00572F11"/>
    <w:rsid w:val="00572FBA"/>
    <w:rsid w:val="005733E5"/>
    <w:rsid w:val="00573498"/>
    <w:rsid w:val="0057368E"/>
    <w:rsid w:val="005736AE"/>
    <w:rsid w:val="00573F00"/>
    <w:rsid w:val="00574374"/>
    <w:rsid w:val="00574436"/>
    <w:rsid w:val="00574492"/>
    <w:rsid w:val="005746FE"/>
    <w:rsid w:val="00575E78"/>
    <w:rsid w:val="0057634E"/>
    <w:rsid w:val="0057645C"/>
    <w:rsid w:val="00576886"/>
    <w:rsid w:val="00576A3E"/>
    <w:rsid w:val="005770C4"/>
    <w:rsid w:val="00577451"/>
    <w:rsid w:val="00577BC9"/>
    <w:rsid w:val="00580690"/>
    <w:rsid w:val="00580B6F"/>
    <w:rsid w:val="00580CD8"/>
    <w:rsid w:val="005811E0"/>
    <w:rsid w:val="00581320"/>
    <w:rsid w:val="005816F6"/>
    <w:rsid w:val="00582277"/>
    <w:rsid w:val="005822C7"/>
    <w:rsid w:val="00582844"/>
    <w:rsid w:val="00582A68"/>
    <w:rsid w:val="00582AFC"/>
    <w:rsid w:val="00582BB7"/>
    <w:rsid w:val="00582D99"/>
    <w:rsid w:val="00582FA8"/>
    <w:rsid w:val="00583549"/>
    <w:rsid w:val="005837D2"/>
    <w:rsid w:val="0058385C"/>
    <w:rsid w:val="00583A2A"/>
    <w:rsid w:val="00583AD2"/>
    <w:rsid w:val="00583E0C"/>
    <w:rsid w:val="005850BD"/>
    <w:rsid w:val="005858FE"/>
    <w:rsid w:val="00585B3B"/>
    <w:rsid w:val="00586288"/>
    <w:rsid w:val="005863F5"/>
    <w:rsid w:val="005864BD"/>
    <w:rsid w:val="005864EC"/>
    <w:rsid w:val="00586602"/>
    <w:rsid w:val="00586BE1"/>
    <w:rsid w:val="005873F7"/>
    <w:rsid w:val="0058757D"/>
    <w:rsid w:val="00587E7D"/>
    <w:rsid w:val="00587F45"/>
    <w:rsid w:val="00590421"/>
    <w:rsid w:val="0059078B"/>
    <w:rsid w:val="005908D8"/>
    <w:rsid w:val="00590927"/>
    <w:rsid w:val="005913C1"/>
    <w:rsid w:val="00591A82"/>
    <w:rsid w:val="0059234B"/>
    <w:rsid w:val="00592394"/>
    <w:rsid w:val="00592438"/>
    <w:rsid w:val="00592546"/>
    <w:rsid w:val="00593084"/>
    <w:rsid w:val="005930EF"/>
    <w:rsid w:val="00593168"/>
    <w:rsid w:val="00593397"/>
    <w:rsid w:val="00593555"/>
    <w:rsid w:val="005937A1"/>
    <w:rsid w:val="00593A39"/>
    <w:rsid w:val="00594A84"/>
    <w:rsid w:val="005951B2"/>
    <w:rsid w:val="0059541D"/>
    <w:rsid w:val="00595572"/>
    <w:rsid w:val="005955DF"/>
    <w:rsid w:val="0059584A"/>
    <w:rsid w:val="00595C9A"/>
    <w:rsid w:val="005964B3"/>
    <w:rsid w:val="00596D60"/>
    <w:rsid w:val="0059706D"/>
    <w:rsid w:val="0059780F"/>
    <w:rsid w:val="005A0019"/>
    <w:rsid w:val="005A052E"/>
    <w:rsid w:val="005A085C"/>
    <w:rsid w:val="005A0F7F"/>
    <w:rsid w:val="005A1E21"/>
    <w:rsid w:val="005A2961"/>
    <w:rsid w:val="005A2998"/>
    <w:rsid w:val="005A2B2E"/>
    <w:rsid w:val="005A2B3A"/>
    <w:rsid w:val="005A2BEB"/>
    <w:rsid w:val="005A2DE2"/>
    <w:rsid w:val="005A3093"/>
    <w:rsid w:val="005A31A3"/>
    <w:rsid w:val="005A32DF"/>
    <w:rsid w:val="005A33CE"/>
    <w:rsid w:val="005A38D7"/>
    <w:rsid w:val="005A3A00"/>
    <w:rsid w:val="005A3A3A"/>
    <w:rsid w:val="005A3EBC"/>
    <w:rsid w:val="005A3F43"/>
    <w:rsid w:val="005A3FA9"/>
    <w:rsid w:val="005A4861"/>
    <w:rsid w:val="005A4C7F"/>
    <w:rsid w:val="005A51BC"/>
    <w:rsid w:val="005A5850"/>
    <w:rsid w:val="005A5E3B"/>
    <w:rsid w:val="005A6065"/>
    <w:rsid w:val="005A627C"/>
    <w:rsid w:val="005A628D"/>
    <w:rsid w:val="005A67A0"/>
    <w:rsid w:val="005A6F22"/>
    <w:rsid w:val="005A7802"/>
    <w:rsid w:val="005B08ED"/>
    <w:rsid w:val="005B0A96"/>
    <w:rsid w:val="005B0D09"/>
    <w:rsid w:val="005B0D64"/>
    <w:rsid w:val="005B0E86"/>
    <w:rsid w:val="005B11DE"/>
    <w:rsid w:val="005B150A"/>
    <w:rsid w:val="005B1713"/>
    <w:rsid w:val="005B1E2F"/>
    <w:rsid w:val="005B23A9"/>
    <w:rsid w:val="005B2A6C"/>
    <w:rsid w:val="005B2BEF"/>
    <w:rsid w:val="005B2F90"/>
    <w:rsid w:val="005B3496"/>
    <w:rsid w:val="005B3613"/>
    <w:rsid w:val="005B3B9C"/>
    <w:rsid w:val="005B3D11"/>
    <w:rsid w:val="005B3E6D"/>
    <w:rsid w:val="005B417B"/>
    <w:rsid w:val="005B41DD"/>
    <w:rsid w:val="005B4726"/>
    <w:rsid w:val="005B50AD"/>
    <w:rsid w:val="005B5901"/>
    <w:rsid w:val="005B6072"/>
    <w:rsid w:val="005B627B"/>
    <w:rsid w:val="005B6659"/>
    <w:rsid w:val="005B6EC1"/>
    <w:rsid w:val="005B75B6"/>
    <w:rsid w:val="005B78BA"/>
    <w:rsid w:val="005B7E59"/>
    <w:rsid w:val="005B7ECF"/>
    <w:rsid w:val="005C0933"/>
    <w:rsid w:val="005C0D8E"/>
    <w:rsid w:val="005C184B"/>
    <w:rsid w:val="005C1AE3"/>
    <w:rsid w:val="005C1BE4"/>
    <w:rsid w:val="005C1CC0"/>
    <w:rsid w:val="005C1ED2"/>
    <w:rsid w:val="005C22DF"/>
    <w:rsid w:val="005C271B"/>
    <w:rsid w:val="005C2CF4"/>
    <w:rsid w:val="005C2D3B"/>
    <w:rsid w:val="005C2D8F"/>
    <w:rsid w:val="005C2FF6"/>
    <w:rsid w:val="005C3395"/>
    <w:rsid w:val="005C3552"/>
    <w:rsid w:val="005C3CDE"/>
    <w:rsid w:val="005C3D89"/>
    <w:rsid w:val="005C43BD"/>
    <w:rsid w:val="005C4A6D"/>
    <w:rsid w:val="005C5053"/>
    <w:rsid w:val="005C505C"/>
    <w:rsid w:val="005C5190"/>
    <w:rsid w:val="005C53FC"/>
    <w:rsid w:val="005C5917"/>
    <w:rsid w:val="005C5C51"/>
    <w:rsid w:val="005C5E92"/>
    <w:rsid w:val="005C648D"/>
    <w:rsid w:val="005C6DA6"/>
    <w:rsid w:val="005C7079"/>
    <w:rsid w:val="005C7268"/>
    <w:rsid w:val="005C7452"/>
    <w:rsid w:val="005C7544"/>
    <w:rsid w:val="005C78A7"/>
    <w:rsid w:val="005C78C2"/>
    <w:rsid w:val="005C7D6E"/>
    <w:rsid w:val="005D0010"/>
    <w:rsid w:val="005D0147"/>
    <w:rsid w:val="005D037A"/>
    <w:rsid w:val="005D03BF"/>
    <w:rsid w:val="005D08CB"/>
    <w:rsid w:val="005D1119"/>
    <w:rsid w:val="005D140E"/>
    <w:rsid w:val="005D142E"/>
    <w:rsid w:val="005D1888"/>
    <w:rsid w:val="005D1BCD"/>
    <w:rsid w:val="005D1D05"/>
    <w:rsid w:val="005D2772"/>
    <w:rsid w:val="005D2A32"/>
    <w:rsid w:val="005D2E92"/>
    <w:rsid w:val="005D3123"/>
    <w:rsid w:val="005D3BF6"/>
    <w:rsid w:val="005D3CCF"/>
    <w:rsid w:val="005D3D28"/>
    <w:rsid w:val="005D3ED6"/>
    <w:rsid w:val="005D4052"/>
    <w:rsid w:val="005D40A4"/>
    <w:rsid w:val="005D433E"/>
    <w:rsid w:val="005D43F7"/>
    <w:rsid w:val="005D44A1"/>
    <w:rsid w:val="005D46FF"/>
    <w:rsid w:val="005D4FE0"/>
    <w:rsid w:val="005D55D1"/>
    <w:rsid w:val="005D591F"/>
    <w:rsid w:val="005D5D40"/>
    <w:rsid w:val="005D5DB5"/>
    <w:rsid w:val="005D5EAF"/>
    <w:rsid w:val="005D614D"/>
    <w:rsid w:val="005D672B"/>
    <w:rsid w:val="005D677F"/>
    <w:rsid w:val="005D679E"/>
    <w:rsid w:val="005D69EA"/>
    <w:rsid w:val="005D6A79"/>
    <w:rsid w:val="005D6A89"/>
    <w:rsid w:val="005D6F25"/>
    <w:rsid w:val="005D780D"/>
    <w:rsid w:val="005D7B1B"/>
    <w:rsid w:val="005D7C13"/>
    <w:rsid w:val="005D7C72"/>
    <w:rsid w:val="005D7D80"/>
    <w:rsid w:val="005D7DA5"/>
    <w:rsid w:val="005E013C"/>
    <w:rsid w:val="005E082F"/>
    <w:rsid w:val="005E0843"/>
    <w:rsid w:val="005E0A64"/>
    <w:rsid w:val="005E102A"/>
    <w:rsid w:val="005E1484"/>
    <w:rsid w:val="005E1AA3"/>
    <w:rsid w:val="005E1E9D"/>
    <w:rsid w:val="005E203B"/>
    <w:rsid w:val="005E204C"/>
    <w:rsid w:val="005E2248"/>
    <w:rsid w:val="005E23E4"/>
    <w:rsid w:val="005E28E2"/>
    <w:rsid w:val="005E2AC6"/>
    <w:rsid w:val="005E3492"/>
    <w:rsid w:val="005E3B38"/>
    <w:rsid w:val="005E3D6B"/>
    <w:rsid w:val="005E3ED9"/>
    <w:rsid w:val="005E415F"/>
    <w:rsid w:val="005E4C08"/>
    <w:rsid w:val="005E4EB8"/>
    <w:rsid w:val="005E51EF"/>
    <w:rsid w:val="005E526E"/>
    <w:rsid w:val="005E556F"/>
    <w:rsid w:val="005E56A5"/>
    <w:rsid w:val="005E6448"/>
    <w:rsid w:val="005E6633"/>
    <w:rsid w:val="005E66C6"/>
    <w:rsid w:val="005E6725"/>
    <w:rsid w:val="005E67CF"/>
    <w:rsid w:val="005E69E6"/>
    <w:rsid w:val="005E6A04"/>
    <w:rsid w:val="005E7237"/>
    <w:rsid w:val="005E7312"/>
    <w:rsid w:val="005E74BD"/>
    <w:rsid w:val="005F01BC"/>
    <w:rsid w:val="005F024A"/>
    <w:rsid w:val="005F0517"/>
    <w:rsid w:val="005F06B9"/>
    <w:rsid w:val="005F0A2C"/>
    <w:rsid w:val="005F0B92"/>
    <w:rsid w:val="005F0C38"/>
    <w:rsid w:val="005F1E70"/>
    <w:rsid w:val="005F1E90"/>
    <w:rsid w:val="005F2020"/>
    <w:rsid w:val="005F211E"/>
    <w:rsid w:val="005F2C28"/>
    <w:rsid w:val="005F2EB8"/>
    <w:rsid w:val="005F2F4A"/>
    <w:rsid w:val="005F30CA"/>
    <w:rsid w:val="005F388D"/>
    <w:rsid w:val="005F3E17"/>
    <w:rsid w:val="005F4032"/>
    <w:rsid w:val="005F494E"/>
    <w:rsid w:val="005F4CC9"/>
    <w:rsid w:val="005F4F8E"/>
    <w:rsid w:val="005F5060"/>
    <w:rsid w:val="005F50D5"/>
    <w:rsid w:val="005F50D8"/>
    <w:rsid w:val="005F5636"/>
    <w:rsid w:val="005F5B14"/>
    <w:rsid w:val="005F5BA8"/>
    <w:rsid w:val="005F6F1A"/>
    <w:rsid w:val="005F70C1"/>
    <w:rsid w:val="005F71CB"/>
    <w:rsid w:val="005F7302"/>
    <w:rsid w:val="005F797E"/>
    <w:rsid w:val="005F7A56"/>
    <w:rsid w:val="006000D2"/>
    <w:rsid w:val="006003C9"/>
    <w:rsid w:val="006007A3"/>
    <w:rsid w:val="00600F23"/>
    <w:rsid w:val="00601A29"/>
    <w:rsid w:val="00601ACB"/>
    <w:rsid w:val="00601BCF"/>
    <w:rsid w:val="00601CA9"/>
    <w:rsid w:val="00601E54"/>
    <w:rsid w:val="00602668"/>
    <w:rsid w:val="006029D5"/>
    <w:rsid w:val="00602E43"/>
    <w:rsid w:val="00602F1E"/>
    <w:rsid w:val="00604431"/>
    <w:rsid w:val="00604521"/>
    <w:rsid w:val="0060461D"/>
    <w:rsid w:val="00604D8B"/>
    <w:rsid w:val="00605093"/>
    <w:rsid w:val="00605137"/>
    <w:rsid w:val="00605191"/>
    <w:rsid w:val="0060532C"/>
    <w:rsid w:val="0060534D"/>
    <w:rsid w:val="00605977"/>
    <w:rsid w:val="00605DB6"/>
    <w:rsid w:val="00605F94"/>
    <w:rsid w:val="00606B08"/>
    <w:rsid w:val="00606E1A"/>
    <w:rsid w:val="00606E67"/>
    <w:rsid w:val="00607180"/>
    <w:rsid w:val="006072D3"/>
    <w:rsid w:val="006074B1"/>
    <w:rsid w:val="00607E48"/>
    <w:rsid w:val="00610378"/>
    <w:rsid w:val="00610649"/>
    <w:rsid w:val="00610B59"/>
    <w:rsid w:val="00610C5D"/>
    <w:rsid w:val="006110A2"/>
    <w:rsid w:val="00611403"/>
    <w:rsid w:val="0061158E"/>
    <w:rsid w:val="00611932"/>
    <w:rsid w:val="00612914"/>
    <w:rsid w:val="00612955"/>
    <w:rsid w:val="00612FF2"/>
    <w:rsid w:val="006134D3"/>
    <w:rsid w:val="00613768"/>
    <w:rsid w:val="0061384A"/>
    <w:rsid w:val="0061391A"/>
    <w:rsid w:val="00614127"/>
    <w:rsid w:val="006143F2"/>
    <w:rsid w:val="00614799"/>
    <w:rsid w:val="00615068"/>
    <w:rsid w:val="00615FFC"/>
    <w:rsid w:val="006163AF"/>
    <w:rsid w:val="006164F7"/>
    <w:rsid w:val="00616745"/>
    <w:rsid w:val="0061689A"/>
    <w:rsid w:val="00616A54"/>
    <w:rsid w:val="00616F0C"/>
    <w:rsid w:val="006174D1"/>
    <w:rsid w:val="00617C00"/>
    <w:rsid w:val="00617F4D"/>
    <w:rsid w:val="00617FE3"/>
    <w:rsid w:val="006202A0"/>
    <w:rsid w:val="00620D3E"/>
    <w:rsid w:val="00620DC1"/>
    <w:rsid w:val="00620FA9"/>
    <w:rsid w:val="0062122B"/>
    <w:rsid w:val="00621647"/>
    <w:rsid w:val="00621C9F"/>
    <w:rsid w:val="00621D80"/>
    <w:rsid w:val="00622051"/>
    <w:rsid w:val="00622265"/>
    <w:rsid w:val="00622C07"/>
    <w:rsid w:val="00622C30"/>
    <w:rsid w:val="00623B86"/>
    <w:rsid w:val="0062486E"/>
    <w:rsid w:val="006249BB"/>
    <w:rsid w:val="00624EAE"/>
    <w:rsid w:val="00624F92"/>
    <w:rsid w:val="00626530"/>
    <w:rsid w:val="006267A1"/>
    <w:rsid w:val="00626BF4"/>
    <w:rsid w:val="00626D27"/>
    <w:rsid w:val="0062709A"/>
    <w:rsid w:val="00627B62"/>
    <w:rsid w:val="00627D15"/>
    <w:rsid w:val="00627D98"/>
    <w:rsid w:val="00630326"/>
    <w:rsid w:val="00630C33"/>
    <w:rsid w:val="00630C6B"/>
    <w:rsid w:val="00630F1E"/>
    <w:rsid w:val="00630F2E"/>
    <w:rsid w:val="00632149"/>
    <w:rsid w:val="00632B98"/>
    <w:rsid w:val="00632EAA"/>
    <w:rsid w:val="0063378D"/>
    <w:rsid w:val="0063380D"/>
    <w:rsid w:val="00633ABD"/>
    <w:rsid w:val="00634772"/>
    <w:rsid w:val="006348CB"/>
    <w:rsid w:val="00634947"/>
    <w:rsid w:val="00634FF4"/>
    <w:rsid w:val="006350F1"/>
    <w:rsid w:val="00635228"/>
    <w:rsid w:val="00635A76"/>
    <w:rsid w:val="0063646F"/>
    <w:rsid w:val="00636480"/>
    <w:rsid w:val="00637027"/>
    <w:rsid w:val="00637316"/>
    <w:rsid w:val="006375DD"/>
    <w:rsid w:val="00637934"/>
    <w:rsid w:val="00637B90"/>
    <w:rsid w:val="00637CAC"/>
    <w:rsid w:val="00637D6C"/>
    <w:rsid w:val="00637DB6"/>
    <w:rsid w:val="00640693"/>
    <w:rsid w:val="006407BF"/>
    <w:rsid w:val="00640F22"/>
    <w:rsid w:val="00641BF4"/>
    <w:rsid w:val="0064212B"/>
    <w:rsid w:val="00642868"/>
    <w:rsid w:val="00642BF4"/>
    <w:rsid w:val="00642CA8"/>
    <w:rsid w:val="00642CAB"/>
    <w:rsid w:val="00643107"/>
    <w:rsid w:val="006434D7"/>
    <w:rsid w:val="00643BA2"/>
    <w:rsid w:val="00643CD2"/>
    <w:rsid w:val="00643DAE"/>
    <w:rsid w:val="0064451D"/>
    <w:rsid w:val="00644577"/>
    <w:rsid w:val="0064497A"/>
    <w:rsid w:val="00644C32"/>
    <w:rsid w:val="00644F4B"/>
    <w:rsid w:val="00645125"/>
    <w:rsid w:val="00645C29"/>
    <w:rsid w:val="00646385"/>
    <w:rsid w:val="00646391"/>
    <w:rsid w:val="006465E1"/>
    <w:rsid w:val="00646A06"/>
    <w:rsid w:val="00647162"/>
    <w:rsid w:val="0064751C"/>
    <w:rsid w:val="00647683"/>
    <w:rsid w:val="00647DA5"/>
    <w:rsid w:val="00650543"/>
    <w:rsid w:val="006505CC"/>
    <w:rsid w:val="006506D6"/>
    <w:rsid w:val="00650A16"/>
    <w:rsid w:val="0065156D"/>
    <w:rsid w:val="006517AE"/>
    <w:rsid w:val="006518E5"/>
    <w:rsid w:val="00651B5B"/>
    <w:rsid w:val="006521B0"/>
    <w:rsid w:val="0065231B"/>
    <w:rsid w:val="00652AA5"/>
    <w:rsid w:val="00652C13"/>
    <w:rsid w:val="006530DC"/>
    <w:rsid w:val="00653119"/>
    <w:rsid w:val="006531F5"/>
    <w:rsid w:val="00653592"/>
    <w:rsid w:val="00653EBC"/>
    <w:rsid w:val="0065433E"/>
    <w:rsid w:val="006545EB"/>
    <w:rsid w:val="006546A7"/>
    <w:rsid w:val="0065483C"/>
    <w:rsid w:val="006549EC"/>
    <w:rsid w:val="00654A8B"/>
    <w:rsid w:val="006550DC"/>
    <w:rsid w:val="0065529F"/>
    <w:rsid w:val="00655449"/>
    <w:rsid w:val="00655A3C"/>
    <w:rsid w:val="00655DA6"/>
    <w:rsid w:val="00656405"/>
    <w:rsid w:val="00656432"/>
    <w:rsid w:val="00656A28"/>
    <w:rsid w:val="00656AB0"/>
    <w:rsid w:val="00656B97"/>
    <w:rsid w:val="00656F16"/>
    <w:rsid w:val="00657A68"/>
    <w:rsid w:val="006608D5"/>
    <w:rsid w:val="00660B68"/>
    <w:rsid w:val="00660CC4"/>
    <w:rsid w:val="00660EAA"/>
    <w:rsid w:val="00660F5E"/>
    <w:rsid w:val="0066166D"/>
    <w:rsid w:val="00661A47"/>
    <w:rsid w:val="00661ED9"/>
    <w:rsid w:val="00661FAD"/>
    <w:rsid w:val="0066235B"/>
    <w:rsid w:val="00662C8B"/>
    <w:rsid w:val="00663112"/>
    <w:rsid w:val="0066319F"/>
    <w:rsid w:val="00663BB0"/>
    <w:rsid w:val="00663D15"/>
    <w:rsid w:val="00664196"/>
    <w:rsid w:val="006642EB"/>
    <w:rsid w:val="0066581D"/>
    <w:rsid w:val="00665D81"/>
    <w:rsid w:val="006663B2"/>
    <w:rsid w:val="0066686D"/>
    <w:rsid w:val="00666D68"/>
    <w:rsid w:val="00667AEF"/>
    <w:rsid w:val="006703AE"/>
    <w:rsid w:val="00670518"/>
    <w:rsid w:val="00670942"/>
    <w:rsid w:val="00670C85"/>
    <w:rsid w:val="00670DD3"/>
    <w:rsid w:val="00670EB1"/>
    <w:rsid w:val="00670F3E"/>
    <w:rsid w:val="006711D5"/>
    <w:rsid w:val="00671520"/>
    <w:rsid w:val="00671860"/>
    <w:rsid w:val="006718FD"/>
    <w:rsid w:val="00671A76"/>
    <w:rsid w:val="00671B8B"/>
    <w:rsid w:val="00671C09"/>
    <w:rsid w:val="006722B9"/>
    <w:rsid w:val="00672306"/>
    <w:rsid w:val="0067230C"/>
    <w:rsid w:val="00672977"/>
    <w:rsid w:val="0067355E"/>
    <w:rsid w:val="006737C5"/>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546"/>
    <w:rsid w:val="00676839"/>
    <w:rsid w:val="00676B67"/>
    <w:rsid w:val="00676BFF"/>
    <w:rsid w:val="0067795D"/>
    <w:rsid w:val="00677991"/>
    <w:rsid w:val="006804E2"/>
    <w:rsid w:val="00680A81"/>
    <w:rsid w:val="006814C6"/>
    <w:rsid w:val="006816E0"/>
    <w:rsid w:val="0068178F"/>
    <w:rsid w:val="00681D36"/>
    <w:rsid w:val="00682576"/>
    <w:rsid w:val="006825D7"/>
    <w:rsid w:val="00682AAF"/>
    <w:rsid w:val="00682AEF"/>
    <w:rsid w:val="00682BE4"/>
    <w:rsid w:val="0068335D"/>
    <w:rsid w:val="0068381C"/>
    <w:rsid w:val="00683C8A"/>
    <w:rsid w:val="00684413"/>
    <w:rsid w:val="00684922"/>
    <w:rsid w:val="00684FC2"/>
    <w:rsid w:val="006854DF"/>
    <w:rsid w:val="006857F3"/>
    <w:rsid w:val="0068580F"/>
    <w:rsid w:val="00685EA8"/>
    <w:rsid w:val="0068689E"/>
    <w:rsid w:val="00687014"/>
    <w:rsid w:val="006872B2"/>
    <w:rsid w:val="0068788A"/>
    <w:rsid w:val="00687B99"/>
    <w:rsid w:val="00687D33"/>
    <w:rsid w:val="006901F7"/>
    <w:rsid w:val="0069063A"/>
    <w:rsid w:val="00690658"/>
    <w:rsid w:val="00690C0B"/>
    <w:rsid w:val="00690D3A"/>
    <w:rsid w:val="00690F25"/>
    <w:rsid w:val="00691C64"/>
    <w:rsid w:val="006922E8"/>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3F4"/>
    <w:rsid w:val="00696714"/>
    <w:rsid w:val="0069677B"/>
    <w:rsid w:val="00696BC3"/>
    <w:rsid w:val="00697037"/>
    <w:rsid w:val="00697BF4"/>
    <w:rsid w:val="00697E55"/>
    <w:rsid w:val="00697F85"/>
    <w:rsid w:val="006A011B"/>
    <w:rsid w:val="006A0319"/>
    <w:rsid w:val="006A06EE"/>
    <w:rsid w:val="006A0746"/>
    <w:rsid w:val="006A0B09"/>
    <w:rsid w:val="006A0B78"/>
    <w:rsid w:val="006A0DD7"/>
    <w:rsid w:val="006A0F3F"/>
    <w:rsid w:val="006A1590"/>
    <w:rsid w:val="006A1B94"/>
    <w:rsid w:val="006A1BAC"/>
    <w:rsid w:val="006A1F3E"/>
    <w:rsid w:val="006A2761"/>
    <w:rsid w:val="006A2A3D"/>
    <w:rsid w:val="006A2D8C"/>
    <w:rsid w:val="006A3327"/>
    <w:rsid w:val="006A33A8"/>
    <w:rsid w:val="006A33D2"/>
    <w:rsid w:val="006A39E1"/>
    <w:rsid w:val="006A3BB6"/>
    <w:rsid w:val="006A3DAF"/>
    <w:rsid w:val="006A4072"/>
    <w:rsid w:val="006A41DA"/>
    <w:rsid w:val="006A4574"/>
    <w:rsid w:val="006A48C1"/>
    <w:rsid w:val="006A523B"/>
    <w:rsid w:val="006A527E"/>
    <w:rsid w:val="006A5789"/>
    <w:rsid w:val="006A5912"/>
    <w:rsid w:val="006A62E1"/>
    <w:rsid w:val="006A62E6"/>
    <w:rsid w:val="006A6709"/>
    <w:rsid w:val="006A6E63"/>
    <w:rsid w:val="006A7053"/>
    <w:rsid w:val="006A79CD"/>
    <w:rsid w:val="006A7B02"/>
    <w:rsid w:val="006A7E46"/>
    <w:rsid w:val="006B0168"/>
    <w:rsid w:val="006B0740"/>
    <w:rsid w:val="006B0949"/>
    <w:rsid w:val="006B09DB"/>
    <w:rsid w:val="006B0AB3"/>
    <w:rsid w:val="006B0BD4"/>
    <w:rsid w:val="006B2216"/>
    <w:rsid w:val="006B2D1E"/>
    <w:rsid w:val="006B3F6D"/>
    <w:rsid w:val="006B42D1"/>
    <w:rsid w:val="006B43CF"/>
    <w:rsid w:val="006B47C0"/>
    <w:rsid w:val="006B47C3"/>
    <w:rsid w:val="006B4EB7"/>
    <w:rsid w:val="006B5584"/>
    <w:rsid w:val="006B55F9"/>
    <w:rsid w:val="006B564C"/>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078"/>
    <w:rsid w:val="006C1DE4"/>
    <w:rsid w:val="006C24FA"/>
    <w:rsid w:val="006C2865"/>
    <w:rsid w:val="006C2CE3"/>
    <w:rsid w:val="006C2DB7"/>
    <w:rsid w:val="006C2F0D"/>
    <w:rsid w:val="006C2F62"/>
    <w:rsid w:val="006C3635"/>
    <w:rsid w:val="006C3772"/>
    <w:rsid w:val="006C3A5F"/>
    <w:rsid w:val="006C3B79"/>
    <w:rsid w:val="006C3BA2"/>
    <w:rsid w:val="006C42B8"/>
    <w:rsid w:val="006C4403"/>
    <w:rsid w:val="006C48B4"/>
    <w:rsid w:val="006C48C1"/>
    <w:rsid w:val="006C4A22"/>
    <w:rsid w:val="006C4B89"/>
    <w:rsid w:val="006C61E6"/>
    <w:rsid w:val="006C67E2"/>
    <w:rsid w:val="006C6A0F"/>
    <w:rsid w:val="006C6A6F"/>
    <w:rsid w:val="006C752E"/>
    <w:rsid w:val="006C7DD0"/>
    <w:rsid w:val="006C7DE1"/>
    <w:rsid w:val="006D0688"/>
    <w:rsid w:val="006D1103"/>
    <w:rsid w:val="006D1195"/>
    <w:rsid w:val="006D184E"/>
    <w:rsid w:val="006D1B42"/>
    <w:rsid w:val="006D2423"/>
    <w:rsid w:val="006D25BC"/>
    <w:rsid w:val="006D25C6"/>
    <w:rsid w:val="006D2DCA"/>
    <w:rsid w:val="006D2E5D"/>
    <w:rsid w:val="006D3446"/>
    <w:rsid w:val="006D3574"/>
    <w:rsid w:val="006D358E"/>
    <w:rsid w:val="006D368E"/>
    <w:rsid w:val="006D424C"/>
    <w:rsid w:val="006D4902"/>
    <w:rsid w:val="006D4BBA"/>
    <w:rsid w:val="006D517A"/>
    <w:rsid w:val="006D5662"/>
    <w:rsid w:val="006D5B67"/>
    <w:rsid w:val="006D5CD5"/>
    <w:rsid w:val="006D5D07"/>
    <w:rsid w:val="006D60FE"/>
    <w:rsid w:val="006D6259"/>
    <w:rsid w:val="006D63FF"/>
    <w:rsid w:val="006D641D"/>
    <w:rsid w:val="006D6AAB"/>
    <w:rsid w:val="006D6AB6"/>
    <w:rsid w:val="006D6F0D"/>
    <w:rsid w:val="006D70F3"/>
    <w:rsid w:val="006D764C"/>
    <w:rsid w:val="006D7EE5"/>
    <w:rsid w:val="006D7FBF"/>
    <w:rsid w:val="006E0A74"/>
    <w:rsid w:val="006E0B35"/>
    <w:rsid w:val="006E0B47"/>
    <w:rsid w:val="006E0CEF"/>
    <w:rsid w:val="006E0D35"/>
    <w:rsid w:val="006E1B87"/>
    <w:rsid w:val="006E1DD7"/>
    <w:rsid w:val="006E299F"/>
    <w:rsid w:val="006E2AE9"/>
    <w:rsid w:val="006E2FD0"/>
    <w:rsid w:val="006E31B3"/>
    <w:rsid w:val="006E3371"/>
    <w:rsid w:val="006E3513"/>
    <w:rsid w:val="006E3B3B"/>
    <w:rsid w:val="006E3CAB"/>
    <w:rsid w:val="006E44A6"/>
    <w:rsid w:val="006E5488"/>
    <w:rsid w:val="006E5CB8"/>
    <w:rsid w:val="006E5D1B"/>
    <w:rsid w:val="006E60A9"/>
    <w:rsid w:val="006E63E2"/>
    <w:rsid w:val="006E6878"/>
    <w:rsid w:val="006E6B85"/>
    <w:rsid w:val="006E6E4E"/>
    <w:rsid w:val="006E6E7B"/>
    <w:rsid w:val="006E70F9"/>
    <w:rsid w:val="006E726C"/>
    <w:rsid w:val="006E76C6"/>
    <w:rsid w:val="006E76E1"/>
    <w:rsid w:val="006E7AFA"/>
    <w:rsid w:val="006F05EA"/>
    <w:rsid w:val="006F07F6"/>
    <w:rsid w:val="006F0CB9"/>
    <w:rsid w:val="006F0EB5"/>
    <w:rsid w:val="006F0FFB"/>
    <w:rsid w:val="006F1448"/>
    <w:rsid w:val="006F1711"/>
    <w:rsid w:val="006F182E"/>
    <w:rsid w:val="006F1AFD"/>
    <w:rsid w:val="006F1C22"/>
    <w:rsid w:val="006F255D"/>
    <w:rsid w:val="006F2BE5"/>
    <w:rsid w:val="006F31EA"/>
    <w:rsid w:val="006F3265"/>
    <w:rsid w:val="006F32C6"/>
    <w:rsid w:val="006F351A"/>
    <w:rsid w:val="006F3AAA"/>
    <w:rsid w:val="006F3BBC"/>
    <w:rsid w:val="006F3C40"/>
    <w:rsid w:val="006F3EEE"/>
    <w:rsid w:val="006F44CA"/>
    <w:rsid w:val="006F4565"/>
    <w:rsid w:val="006F48E9"/>
    <w:rsid w:val="006F5402"/>
    <w:rsid w:val="006F56FB"/>
    <w:rsid w:val="006F5A31"/>
    <w:rsid w:val="006F5BAE"/>
    <w:rsid w:val="006F5BC8"/>
    <w:rsid w:val="006F6454"/>
    <w:rsid w:val="006F6CCD"/>
    <w:rsid w:val="006F6F76"/>
    <w:rsid w:val="006F6F86"/>
    <w:rsid w:val="006F74E6"/>
    <w:rsid w:val="006F7882"/>
    <w:rsid w:val="006F7A90"/>
    <w:rsid w:val="006F7F01"/>
    <w:rsid w:val="007002E3"/>
    <w:rsid w:val="00700743"/>
    <w:rsid w:val="007008BD"/>
    <w:rsid w:val="00700A30"/>
    <w:rsid w:val="00701320"/>
    <w:rsid w:val="00701425"/>
    <w:rsid w:val="007015C5"/>
    <w:rsid w:val="00701C26"/>
    <w:rsid w:val="0070220C"/>
    <w:rsid w:val="0070236D"/>
    <w:rsid w:val="007025C6"/>
    <w:rsid w:val="00702F70"/>
    <w:rsid w:val="0070331A"/>
    <w:rsid w:val="007035ED"/>
    <w:rsid w:val="00703E08"/>
    <w:rsid w:val="00703EC7"/>
    <w:rsid w:val="007041CA"/>
    <w:rsid w:val="007045F2"/>
    <w:rsid w:val="007047B0"/>
    <w:rsid w:val="00704DB7"/>
    <w:rsid w:val="007050D2"/>
    <w:rsid w:val="00705C9E"/>
    <w:rsid w:val="00706644"/>
    <w:rsid w:val="00706AC3"/>
    <w:rsid w:val="00706E89"/>
    <w:rsid w:val="007077C2"/>
    <w:rsid w:val="00710340"/>
    <w:rsid w:val="007103CC"/>
    <w:rsid w:val="0071079C"/>
    <w:rsid w:val="00710818"/>
    <w:rsid w:val="00710BD6"/>
    <w:rsid w:val="00711173"/>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6208"/>
    <w:rsid w:val="00716254"/>
    <w:rsid w:val="0071686C"/>
    <w:rsid w:val="00716B19"/>
    <w:rsid w:val="00716D21"/>
    <w:rsid w:val="00717920"/>
    <w:rsid w:val="00717EAE"/>
    <w:rsid w:val="00717F6F"/>
    <w:rsid w:val="007203C7"/>
    <w:rsid w:val="00720B25"/>
    <w:rsid w:val="007211CA"/>
    <w:rsid w:val="007214D6"/>
    <w:rsid w:val="007216F2"/>
    <w:rsid w:val="0072224D"/>
    <w:rsid w:val="00722B8E"/>
    <w:rsid w:val="007231DF"/>
    <w:rsid w:val="007233CE"/>
    <w:rsid w:val="007233D7"/>
    <w:rsid w:val="00723499"/>
    <w:rsid w:val="00723897"/>
    <w:rsid w:val="00724049"/>
    <w:rsid w:val="00724395"/>
    <w:rsid w:val="00725AF5"/>
    <w:rsid w:val="00725C89"/>
    <w:rsid w:val="00725EBF"/>
    <w:rsid w:val="007262EA"/>
    <w:rsid w:val="0072640E"/>
    <w:rsid w:val="007267B3"/>
    <w:rsid w:val="00727214"/>
    <w:rsid w:val="00727329"/>
    <w:rsid w:val="00727D3A"/>
    <w:rsid w:val="00727F1F"/>
    <w:rsid w:val="00730528"/>
    <w:rsid w:val="007305A1"/>
    <w:rsid w:val="007306C8"/>
    <w:rsid w:val="00730910"/>
    <w:rsid w:val="00730AD3"/>
    <w:rsid w:val="00730FCD"/>
    <w:rsid w:val="00731656"/>
    <w:rsid w:val="00731A19"/>
    <w:rsid w:val="00731A88"/>
    <w:rsid w:val="00731AF3"/>
    <w:rsid w:val="00731E5C"/>
    <w:rsid w:val="00732F46"/>
    <w:rsid w:val="00733193"/>
    <w:rsid w:val="007339D6"/>
    <w:rsid w:val="0073424E"/>
    <w:rsid w:val="007342C0"/>
    <w:rsid w:val="007343B3"/>
    <w:rsid w:val="0073468A"/>
    <w:rsid w:val="0073477B"/>
    <w:rsid w:val="007347AD"/>
    <w:rsid w:val="00734C29"/>
    <w:rsid w:val="0073510C"/>
    <w:rsid w:val="00735662"/>
    <w:rsid w:val="0073583A"/>
    <w:rsid w:val="0073656F"/>
    <w:rsid w:val="00736702"/>
    <w:rsid w:val="007368AD"/>
    <w:rsid w:val="007369EF"/>
    <w:rsid w:val="00737D04"/>
    <w:rsid w:val="0074057D"/>
    <w:rsid w:val="0074075A"/>
    <w:rsid w:val="0074107C"/>
    <w:rsid w:val="007415FE"/>
    <w:rsid w:val="0074182D"/>
    <w:rsid w:val="00741B20"/>
    <w:rsid w:val="00741FD3"/>
    <w:rsid w:val="007420AB"/>
    <w:rsid w:val="00742143"/>
    <w:rsid w:val="007422D2"/>
    <w:rsid w:val="007423D2"/>
    <w:rsid w:val="00742683"/>
    <w:rsid w:val="00742A20"/>
    <w:rsid w:val="00743A12"/>
    <w:rsid w:val="0074448F"/>
    <w:rsid w:val="00744994"/>
    <w:rsid w:val="00744B44"/>
    <w:rsid w:val="007455DA"/>
    <w:rsid w:val="007458A5"/>
    <w:rsid w:val="00745901"/>
    <w:rsid w:val="00745DD4"/>
    <w:rsid w:val="00746079"/>
    <w:rsid w:val="00746299"/>
    <w:rsid w:val="0074657B"/>
    <w:rsid w:val="00746581"/>
    <w:rsid w:val="00746886"/>
    <w:rsid w:val="0074799B"/>
    <w:rsid w:val="00750187"/>
    <w:rsid w:val="007502EC"/>
    <w:rsid w:val="00750A15"/>
    <w:rsid w:val="00750A71"/>
    <w:rsid w:val="00750C8F"/>
    <w:rsid w:val="00750D3B"/>
    <w:rsid w:val="00751111"/>
    <w:rsid w:val="0075144A"/>
    <w:rsid w:val="007517D1"/>
    <w:rsid w:val="007518E2"/>
    <w:rsid w:val="00751D6B"/>
    <w:rsid w:val="00751DE9"/>
    <w:rsid w:val="00752017"/>
    <w:rsid w:val="0075224D"/>
    <w:rsid w:val="00752568"/>
    <w:rsid w:val="00752750"/>
    <w:rsid w:val="00752A7C"/>
    <w:rsid w:val="00752B9A"/>
    <w:rsid w:val="00753226"/>
    <w:rsid w:val="00753947"/>
    <w:rsid w:val="00753956"/>
    <w:rsid w:val="00753C08"/>
    <w:rsid w:val="00753FF9"/>
    <w:rsid w:val="00754C63"/>
    <w:rsid w:val="00754DD5"/>
    <w:rsid w:val="007555FF"/>
    <w:rsid w:val="00755681"/>
    <w:rsid w:val="00755ADC"/>
    <w:rsid w:val="00755D50"/>
    <w:rsid w:val="0075624A"/>
    <w:rsid w:val="00756401"/>
    <w:rsid w:val="007567EB"/>
    <w:rsid w:val="0075680D"/>
    <w:rsid w:val="00756A1A"/>
    <w:rsid w:val="00756F06"/>
    <w:rsid w:val="00757048"/>
    <w:rsid w:val="00757909"/>
    <w:rsid w:val="00757D0A"/>
    <w:rsid w:val="00757E1C"/>
    <w:rsid w:val="007602CA"/>
    <w:rsid w:val="00760F8D"/>
    <w:rsid w:val="00761474"/>
    <w:rsid w:val="0076159F"/>
    <w:rsid w:val="0076170E"/>
    <w:rsid w:val="0076191E"/>
    <w:rsid w:val="00761EB0"/>
    <w:rsid w:val="00762645"/>
    <w:rsid w:val="00763301"/>
    <w:rsid w:val="007633A7"/>
    <w:rsid w:val="00763D08"/>
    <w:rsid w:val="00764EEF"/>
    <w:rsid w:val="007652DB"/>
    <w:rsid w:val="00765385"/>
    <w:rsid w:val="007659F3"/>
    <w:rsid w:val="00765B4D"/>
    <w:rsid w:val="00765C8F"/>
    <w:rsid w:val="00765EFA"/>
    <w:rsid w:val="00765F0B"/>
    <w:rsid w:val="007662B4"/>
    <w:rsid w:val="007669B8"/>
    <w:rsid w:val="00767428"/>
    <w:rsid w:val="0076792D"/>
    <w:rsid w:val="00767A6A"/>
    <w:rsid w:val="00767A6F"/>
    <w:rsid w:val="00767D7E"/>
    <w:rsid w:val="00770040"/>
    <w:rsid w:val="00770202"/>
    <w:rsid w:val="00770667"/>
    <w:rsid w:val="007708C5"/>
    <w:rsid w:val="00771892"/>
    <w:rsid w:val="00771B3A"/>
    <w:rsid w:val="00771FAC"/>
    <w:rsid w:val="00772344"/>
    <w:rsid w:val="00772398"/>
    <w:rsid w:val="007724EB"/>
    <w:rsid w:val="00772751"/>
    <w:rsid w:val="007729D4"/>
    <w:rsid w:val="00772B50"/>
    <w:rsid w:val="00772B54"/>
    <w:rsid w:val="007737D8"/>
    <w:rsid w:val="00774306"/>
    <w:rsid w:val="007753E2"/>
    <w:rsid w:val="0077541A"/>
    <w:rsid w:val="00775A42"/>
    <w:rsid w:val="007760BD"/>
    <w:rsid w:val="007763AF"/>
    <w:rsid w:val="00777243"/>
    <w:rsid w:val="00777350"/>
    <w:rsid w:val="007775BB"/>
    <w:rsid w:val="00777D0A"/>
    <w:rsid w:val="00777E90"/>
    <w:rsid w:val="007805F4"/>
    <w:rsid w:val="00780C46"/>
    <w:rsid w:val="00780C5A"/>
    <w:rsid w:val="007810DB"/>
    <w:rsid w:val="00781205"/>
    <w:rsid w:val="007813C7"/>
    <w:rsid w:val="00781452"/>
    <w:rsid w:val="007818F9"/>
    <w:rsid w:val="00781DAE"/>
    <w:rsid w:val="0078286E"/>
    <w:rsid w:val="0078287F"/>
    <w:rsid w:val="007829D3"/>
    <w:rsid w:val="00782B99"/>
    <w:rsid w:val="00782DCF"/>
    <w:rsid w:val="00782EBA"/>
    <w:rsid w:val="00782F23"/>
    <w:rsid w:val="00782FB4"/>
    <w:rsid w:val="00783280"/>
    <w:rsid w:val="007832D6"/>
    <w:rsid w:val="00783713"/>
    <w:rsid w:val="007843F9"/>
    <w:rsid w:val="007848F6"/>
    <w:rsid w:val="00784C02"/>
    <w:rsid w:val="00785866"/>
    <w:rsid w:val="0078597D"/>
    <w:rsid w:val="007861E9"/>
    <w:rsid w:val="00786261"/>
    <w:rsid w:val="007864F5"/>
    <w:rsid w:val="00786515"/>
    <w:rsid w:val="00786659"/>
    <w:rsid w:val="00786BCE"/>
    <w:rsid w:val="00786CCE"/>
    <w:rsid w:val="00786EF3"/>
    <w:rsid w:val="00786FA9"/>
    <w:rsid w:val="007870D4"/>
    <w:rsid w:val="0078738F"/>
    <w:rsid w:val="007875EA"/>
    <w:rsid w:val="00787BC4"/>
    <w:rsid w:val="00787C11"/>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7BA"/>
    <w:rsid w:val="00793B65"/>
    <w:rsid w:val="00793BCE"/>
    <w:rsid w:val="007943C7"/>
    <w:rsid w:val="00794710"/>
    <w:rsid w:val="00794AAC"/>
    <w:rsid w:val="00794E30"/>
    <w:rsid w:val="007953E8"/>
    <w:rsid w:val="007956F1"/>
    <w:rsid w:val="00795933"/>
    <w:rsid w:val="00795A65"/>
    <w:rsid w:val="00795B0E"/>
    <w:rsid w:val="0079624E"/>
    <w:rsid w:val="00796D45"/>
    <w:rsid w:val="00796F50"/>
    <w:rsid w:val="00797156"/>
    <w:rsid w:val="007976E9"/>
    <w:rsid w:val="00797B3B"/>
    <w:rsid w:val="007A01C2"/>
    <w:rsid w:val="007A041B"/>
    <w:rsid w:val="007A083C"/>
    <w:rsid w:val="007A0F7C"/>
    <w:rsid w:val="007A0FDF"/>
    <w:rsid w:val="007A104E"/>
    <w:rsid w:val="007A13C0"/>
    <w:rsid w:val="007A224D"/>
    <w:rsid w:val="007A224E"/>
    <w:rsid w:val="007A2892"/>
    <w:rsid w:val="007A2B67"/>
    <w:rsid w:val="007A2BF1"/>
    <w:rsid w:val="007A2F0A"/>
    <w:rsid w:val="007A3679"/>
    <w:rsid w:val="007A38C4"/>
    <w:rsid w:val="007A3E71"/>
    <w:rsid w:val="007A3EF9"/>
    <w:rsid w:val="007A47AE"/>
    <w:rsid w:val="007A47E0"/>
    <w:rsid w:val="007A4B18"/>
    <w:rsid w:val="007A4B6A"/>
    <w:rsid w:val="007A4C14"/>
    <w:rsid w:val="007A4D69"/>
    <w:rsid w:val="007A4EEE"/>
    <w:rsid w:val="007A4FAA"/>
    <w:rsid w:val="007A51ED"/>
    <w:rsid w:val="007A5416"/>
    <w:rsid w:val="007A5B5C"/>
    <w:rsid w:val="007A5D16"/>
    <w:rsid w:val="007A609B"/>
    <w:rsid w:val="007A67C1"/>
    <w:rsid w:val="007A6BFF"/>
    <w:rsid w:val="007A6DAC"/>
    <w:rsid w:val="007A6F9A"/>
    <w:rsid w:val="007A718E"/>
    <w:rsid w:val="007A7216"/>
    <w:rsid w:val="007A7566"/>
    <w:rsid w:val="007A7E23"/>
    <w:rsid w:val="007B05E3"/>
    <w:rsid w:val="007B0A5C"/>
    <w:rsid w:val="007B0D7C"/>
    <w:rsid w:val="007B0E35"/>
    <w:rsid w:val="007B1566"/>
    <w:rsid w:val="007B172A"/>
    <w:rsid w:val="007B1838"/>
    <w:rsid w:val="007B1D86"/>
    <w:rsid w:val="007B28A9"/>
    <w:rsid w:val="007B297F"/>
    <w:rsid w:val="007B2C0A"/>
    <w:rsid w:val="007B2C64"/>
    <w:rsid w:val="007B2CA2"/>
    <w:rsid w:val="007B2D78"/>
    <w:rsid w:val="007B3AC2"/>
    <w:rsid w:val="007B3EB2"/>
    <w:rsid w:val="007B40CB"/>
    <w:rsid w:val="007B4528"/>
    <w:rsid w:val="007B4827"/>
    <w:rsid w:val="007B4900"/>
    <w:rsid w:val="007B4D64"/>
    <w:rsid w:val="007B503A"/>
    <w:rsid w:val="007B5161"/>
    <w:rsid w:val="007B585E"/>
    <w:rsid w:val="007B61CF"/>
    <w:rsid w:val="007B6689"/>
    <w:rsid w:val="007B6FF9"/>
    <w:rsid w:val="007B71B1"/>
    <w:rsid w:val="007B78D5"/>
    <w:rsid w:val="007C003C"/>
    <w:rsid w:val="007C011D"/>
    <w:rsid w:val="007C03EB"/>
    <w:rsid w:val="007C07A0"/>
    <w:rsid w:val="007C0C75"/>
    <w:rsid w:val="007C18C2"/>
    <w:rsid w:val="007C1AB1"/>
    <w:rsid w:val="007C1DCD"/>
    <w:rsid w:val="007C218E"/>
    <w:rsid w:val="007C237E"/>
    <w:rsid w:val="007C25EB"/>
    <w:rsid w:val="007C2AEB"/>
    <w:rsid w:val="007C2E02"/>
    <w:rsid w:val="007C31C1"/>
    <w:rsid w:val="007C3D13"/>
    <w:rsid w:val="007C45D6"/>
    <w:rsid w:val="007C4BD0"/>
    <w:rsid w:val="007C50A9"/>
    <w:rsid w:val="007C525A"/>
    <w:rsid w:val="007C5578"/>
    <w:rsid w:val="007C5BC6"/>
    <w:rsid w:val="007C5D76"/>
    <w:rsid w:val="007C659E"/>
    <w:rsid w:val="007C67BD"/>
    <w:rsid w:val="007C7C77"/>
    <w:rsid w:val="007C7DC5"/>
    <w:rsid w:val="007D00A9"/>
    <w:rsid w:val="007D0145"/>
    <w:rsid w:val="007D0634"/>
    <w:rsid w:val="007D077F"/>
    <w:rsid w:val="007D0B0D"/>
    <w:rsid w:val="007D0C26"/>
    <w:rsid w:val="007D0E10"/>
    <w:rsid w:val="007D0E7C"/>
    <w:rsid w:val="007D1A9D"/>
    <w:rsid w:val="007D1FD2"/>
    <w:rsid w:val="007D2000"/>
    <w:rsid w:val="007D2070"/>
    <w:rsid w:val="007D20DC"/>
    <w:rsid w:val="007D2214"/>
    <w:rsid w:val="007D256B"/>
    <w:rsid w:val="007D2722"/>
    <w:rsid w:val="007D2C35"/>
    <w:rsid w:val="007D3031"/>
    <w:rsid w:val="007D3524"/>
    <w:rsid w:val="007D36DB"/>
    <w:rsid w:val="007D3774"/>
    <w:rsid w:val="007D3A6C"/>
    <w:rsid w:val="007D3A89"/>
    <w:rsid w:val="007D3B59"/>
    <w:rsid w:val="007D3B89"/>
    <w:rsid w:val="007D3BB5"/>
    <w:rsid w:val="007D42B8"/>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2A3"/>
    <w:rsid w:val="007D65C4"/>
    <w:rsid w:val="007D6A28"/>
    <w:rsid w:val="007D6E02"/>
    <w:rsid w:val="007D71A2"/>
    <w:rsid w:val="007D7864"/>
    <w:rsid w:val="007D7B47"/>
    <w:rsid w:val="007D7E5F"/>
    <w:rsid w:val="007E052E"/>
    <w:rsid w:val="007E053E"/>
    <w:rsid w:val="007E0579"/>
    <w:rsid w:val="007E0A5B"/>
    <w:rsid w:val="007E0D65"/>
    <w:rsid w:val="007E0E79"/>
    <w:rsid w:val="007E15D5"/>
    <w:rsid w:val="007E1B50"/>
    <w:rsid w:val="007E1ECC"/>
    <w:rsid w:val="007E2312"/>
    <w:rsid w:val="007E2A05"/>
    <w:rsid w:val="007E2DFE"/>
    <w:rsid w:val="007E3025"/>
    <w:rsid w:val="007E3DCD"/>
    <w:rsid w:val="007E44EF"/>
    <w:rsid w:val="007E4DF8"/>
    <w:rsid w:val="007E4ECF"/>
    <w:rsid w:val="007E5309"/>
    <w:rsid w:val="007E545F"/>
    <w:rsid w:val="007E60BF"/>
    <w:rsid w:val="007E630D"/>
    <w:rsid w:val="007E64CA"/>
    <w:rsid w:val="007E6897"/>
    <w:rsid w:val="007E6A46"/>
    <w:rsid w:val="007E6BC6"/>
    <w:rsid w:val="007E7180"/>
    <w:rsid w:val="007E75C3"/>
    <w:rsid w:val="007E77FE"/>
    <w:rsid w:val="007E7870"/>
    <w:rsid w:val="007E78DC"/>
    <w:rsid w:val="007E7B18"/>
    <w:rsid w:val="007E7E9C"/>
    <w:rsid w:val="007F013C"/>
    <w:rsid w:val="007F04B8"/>
    <w:rsid w:val="007F0A74"/>
    <w:rsid w:val="007F0DE3"/>
    <w:rsid w:val="007F0E7C"/>
    <w:rsid w:val="007F11CC"/>
    <w:rsid w:val="007F1664"/>
    <w:rsid w:val="007F208A"/>
    <w:rsid w:val="007F2398"/>
    <w:rsid w:val="007F24F1"/>
    <w:rsid w:val="007F2537"/>
    <w:rsid w:val="007F26D0"/>
    <w:rsid w:val="007F283D"/>
    <w:rsid w:val="007F295C"/>
    <w:rsid w:val="007F2DFC"/>
    <w:rsid w:val="007F2F83"/>
    <w:rsid w:val="007F3DD0"/>
    <w:rsid w:val="007F41EF"/>
    <w:rsid w:val="007F4F7A"/>
    <w:rsid w:val="007F5487"/>
    <w:rsid w:val="007F58AC"/>
    <w:rsid w:val="007F59D5"/>
    <w:rsid w:val="007F5BDF"/>
    <w:rsid w:val="007F5C43"/>
    <w:rsid w:val="007F5F32"/>
    <w:rsid w:val="007F6442"/>
    <w:rsid w:val="007F65ED"/>
    <w:rsid w:val="007F666C"/>
    <w:rsid w:val="007F684A"/>
    <w:rsid w:val="007F74DD"/>
    <w:rsid w:val="007F75B3"/>
    <w:rsid w:val="007F75B6"/>
    <w:rsid w:val="007F7AE1"/>
    <w:rsid w:val="007F7DA1"/>
    <w:rsid w:val="00800F7F"/>
    <w:rsid w:val="008012B8"/>
    <w:rsid w:val="00801497"/>
    <w:rsid w:val="008015B9"/>
    <w:rsid w:val="0080175B"/>
    <w:rsid w:val="008018B1"/>
    <w:rsid w:val="008019F0"/>
    <w:rsid w:val="00801FAE"/>
    <w:rsid w:val="00802292"/>
    <w:rsid w:val="00802A48"/>
    <w:rsid w:val="00802CD0"/>
    <w:rsid w:val="00802E54"/>
    <w:rsid w:val="00802E68"/>
    <w:rsid w:val="008031EB"/>
    <w:rsid w:val="008037CB"/>
    <w:rsid w:val="00803BDE"/>
    <w:rsid w:val="00803D5F"/>
    <w:rsid w:val="00804666"/>
    <w:rsid w:val="00804832"/>
    <w:rsid w:val="00804A66"/>
    <w:rsid w:val="00804F9D"/>
    <w:rsid w:val="0080543F"/>
    <w:rsid w:val="00805554"/>
    <w:rsid w:val="008055AA"/>
    <w:rsid w:val="00805A3A"/>
    <w:rsid w:val="00805AA3"/>
    <w:rsid w:val="00806132"/>
    <w:rsid w:val="0080646F"/>
    <w:rsid w:val="0080660A"/>
    <w:rsid w:val="00806627"/>
    <w:rsid w:val="008067C0"/>
    <w:rsid w:val="00806C35"/>
    <w:rsid w:val="00806C8B"/>
    <w:rsid w:val="00807000"/>
    <w:rsid w:val="0080714E"/>
    <w:rsid w:val="0080752D"/>
    <w:rsid w:val="00807589"/>
    <w:rsid w:val="008075F1"/>
    <w:rsid w:val="008075FE"/>
    <w:rsid w:val="00807896"/>
    <w:rsid w:val="00807B86"/>
    <w:rsid w:val="008103F1"/>
    <w:rsid w:val="00810B8E"/>
    <w:rsid w:val="008116B2"/>
    <w:rsid w:val="008117F1"/>
    <w:rsid w:val="00811C52"/>
    <w:rsid w:val="00811E48"/>
    <w:rsid w:val="008124BD"/>
    <w:rsid w:val="0081257A"/>
    <w:rsid w:val="0081265D"/>
    <w:rsid w:val="00812B03"/>
    <w:rsid w:val="00812C6E"/>
    <w:rsid w:val="00812D48"/>
    <w:rsid w:val="00812E29"/>
    <w:rsid w:val="00812F78"/>
    <w:rsid w:val="00812FE4"/>
    <w:rsid w:val="00814558"/>
    <w:rsid w:val="00814700"/>
    <w:rsid w:val="00814DD4"/>
    <w:rsid w:val="00815475"/>
    <w:rsid w:val="008158F4"/>
    <w:rsid w:val="00815A35"/>
    <w:rsid w:val="00815FF4"/>
    <w:rsid w:val="008160B8"/>
    <w:rsid w:val="00816684"/>
    <w:rsid w:val="00816802"/>
    <w:rsid w:val="00817091"/>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F85"/>
    <w:rsid w:val="0082333B"/>
    <w:rsid w:val="008236D2"/>
    <w:rsid w:val="00823952"/>
    <w:rsid w:val="00824278"/>
    <w:rsid w:val="0082470F"/>
    <w:rsid w:val="00824B99"/>
    <w:rsid w:val="0082599D"/>
    <w:rsid w:val="00825C52"/>
    <w:rsid w:val="00825DB5"/>
    <w:rsid w:val="00826089"/>
    <w:rsid w:val="00826313"/>
    <w:rsid w:val="0082669F"/>
    <w:rsid w:val="008269AD"/>
    <w:rsid w:val="00826DD0"/>
    <w:rsid w:val="008277C7"/>
    <w:rsid w:val="00830B75"/>
    <w:rsid w:val="00830CD4"/>
    <w:rsid w:val="00831135"/>
    <w:rsid w:val="0083122B"/>
    <w:rsid w:val="0083181C"/>
    <w:rsid w:val="0083185F"/>
    <w:rsid w:val="008318E1"/>
    <w:rsid w:val="00831C7C"/>
    <w:rsid w:val="008324B5"/>
    <w:rsid w:val="008326CF"/>
    <w:rsid w:val="008327AE"/>
    <w:rsid w:val="00832C99"/>
    <w:rsid w:val="008331F5"/>
    <w:rsid w:val="00833347"/>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1E5"/>
    <w:rsid w:val="00837546"/>
    <w:rsid w:val="00837948"/>
    <w:rsid w:val="00840910"/>
    <w:rsid w:val="00840C9C"/>
    <w:rsid w:val="00841466"/>
    <w:rsid w:val="008419E4"/>
    <w:rsid w:val="00841AED"/>
    <w:rsid w:val="00841C12"/>
    <w:rsid w:val="00841E21"/>
    <w:rsid w:val="00842509"/>
    <w:rsid w:val="008427B9"/>
    <w:rsid w:val="0084288A"/>
    <w:rsid w:val="0084350F"/>
    <w:rsid w:val="0084379F"/>
    <w:rsid w:val="00843816"/>
    <w:rsid w:val="00843F44"/>
    <w:rsid w:val="00844439"/>
    <w:rsid w:val="008444C3"/>
    <w:rsid w:val="0084456A"/>
    <w:rsid w:val="00844583"/>
    <w:rsid w:val="00844AB1"/>
    <w:rsid w:val="00844ED6"/>
    <w:rsid w:val="008455C5"/>
    <w:rsid w:val="008457D0"/>
    <w:rsid w:val="0084598B"/>
    <w:rsid w:val="00845AD8"/>
    <w:rsid w:val="00846113"/>
    <w:rsid w:val="008467A7"/>
    <w:rsid w:val="00846A17"/>
    <w:rsid w:val="00846D8C"/>
    <w:rsid w:val="008470D2"/>
    <w:rsid w:val="00847367"/>
    <w:rsid w:val="0084778B"/>
    <w:rsid w:val="0084779D"/>
    <w:rsid w:val="0084787D"/>
    <w:rsid w:val="0084788F"/>
    <w:rsid w:val="00847BE8"/>
    <w:rsid w:val="00847FE5"/>
    <w:rsid w:val="008502FA"/>
    <w:rsid w:val="00850376"/>
    <w:rsid w:val="00850606"/>
    <w:rsid w:val="00850C4D"/>
    <w:rsid w:val="00851521"/>
    <w:rsid w:val="00851868"/>
    <w:rsid w:val="00851BB2"/>
    <w:rsid w:val="00851CE4"/>
    <w:rsid w:val="00851D8E"/>
    <w:rsid w:val="00851E7A"/>
    <w:rsid w:val="00852C86"/>
    <w:rsid w:val="00852F90"/>
    <w:rsid w:val="008533AB"/>
    <w:rsid w:val="008533DD"/>
    <w:rsid w:val="008534BB"/>
    <w:rsid w:val="0085386B"/>
    <w:rsid w:val="00853A7C"/>
    <w:rsid w:val="00853B3C"/>
    <w:rsid w:val="00853DD5"/>
    <w:rsid w:val="00854667"/>
    <w:rsid w:val="00854D30"/>
    <w:rsid w:val="00854D32"/>
    <w:rsid w:val="00854DAA"/>
    <w:rsid w:val="00854F0C"/>
    <w:rsid w:val="0085522C"/>
    <w:rsid w:val="008558BB"/>
    <w:rsid w:val="008565EB"/>
    <w:rsid w:val="00856C70"/>
    <w:rsid w:val="00857252"/>
    <w:rsid w:val="008572E6"/>
    <w:rsid w:val="00860347"/>
    <w:rsid w:val="00860696"/>
    <w:rsid w:val="008606CA"/>
    <w:rsid w:val="00861537"/>
    <w:rsid w:val="0086228B"/>
    <w:rsid w:val="00862B4F"/>
    <w:rsid w:val="00862B58"/>
    <w:rsid w:val="00862C45"/>
    <w:rsid w:val="00862DA0"/>
    <w:rsid w:val="008630FD"/>
    <w:rsid w:val="00863564"/>
    <w:rsid w:val="00863582"/>
    <w:rsid w:val="008638B9"/>
    <w:rsid w:val="00863A70"/>
    <w:rsid w:val="00863CAD"/>
    <w:rsid w:val="00863CC6"/>
    <w:rsid w:val="00863F3B"/>
    <w:rsid w:val="008646CA"/>
    <w:rsid w:val="00864C36"/>
    <w:rsid w:val="0086565C"/>
    <w:rsid w:val="0086662E"/>
    <w:rsid w:val="00866A66"/>
    <w:rsid w:val="00866B06"/>
    <w:rsid w:val="00866C21"/>
    <w:rsid w:val="00866FC2"/>
    <w:rsid w:val="00867A99"/>
    <w:rsid w:val="00870158"/>
    <w:rsid w:val="00870327"/>
    <w:rsid w:val="00870552"/>
    <w:rsid w:val="008706E3"/>
    <w:rsid w:val="008708E8"/>
    <w:rsid w:val="0087116D"/>
    <w:rsid w:val="008714FB"/>
    <w:rsid w:val="00871788"/>
    <w:rsid w:val="00871FA6"/>
    <w:rsid w:val="00872016"/>
    <w:rsid w:val="0087206F"/>
    <w:rsid w:val="0087246C"/>
    <w:rsid w:val="008724B9"/>
    <w:rsid w:val="00872A4D"/>
    <w:rsid w:val="00872BE0"/>
    <w:rsid w:val="00873003"/>
    <w:rsid w:val="00873111"/>
    <w:rsid w:val="0087354B"/>
    <w:rsid w:val="008738EE"/>
    <w:rsid w:val="0087393C"/>
    <w:rsid w:val="00873BD5"/>
    <w:rsid w:val="008744A7"/>
    <w:rsid w:val="00875449"/>
    <w:rsid w:val="008763CC"/>
    <w:rsid w:val="00876656"/>
    <w:rsid w:val="00876792"/>
    <w:rsid w:val="00876EA9"/>
    <w:rsid w:val="00877417"/>
    <w:rsid w:val="008775DC"/>
    <w:rsid w:val="008777A5"/>
    <w:rsid w:val="00877833"/>
    <w:rsid w:val="008778E9"/>
    <w:rsid w:val="00877F1B"/>
    <w:rsid w:val="0088058D"/>
    <w:rsid w:val="00880B7A"/>
    <w:rsid w:val="00881094"/>
    <w:rsid w:val="008810B7"/>
    <w:rsid w:val="008817B5"/>
    <w:rsid w:val="00881837"/>
    <w:rsid w:val="00881E2B"/>
    <w:rsid w:val="00882018"/>
    <w:rsid w:val="00882723"/>
    <w:rsid w:val="00882E6B"/>
    <w:rsid w:val="008830D1"/>
    <w:rsid w:val="0088310B"/>
    <w:rsid w:val="00883AB3"/>
    <w:rsid w:val="00883AB4"/>
    <w:rsid w:val="00883C62"/>
    <w:rsid w:val="00883EA3"/>
    <w:rsid w:val="00884590"/>
    <w:rsid w:val="008846D2"/>
    <w:rsid w:val="00884E52"/>
    <w:rsid w:val="00884EE9"/>
    <w:rsid w:val="00885004"/>
    <w:rsid w:val="00886F1B"/>
    <w:rsid w:val="0088792C"/>
    <w:rsid w:val="00887940"/>
    <w:rsid w:val="00887A44"/>
    <w:rsid w:val="00887BC3"/>
    <w:rsid w:val="00887FD7"/>
    <w:rsid w:val="008900E1"/>
    <w:rsid w:val="00890A1A"/>
    <w:rsid w:val="0089111E"/>
    <w:rsid w:val="008913BE"/>
    <w:rsid w:val="00891483"/>
    <w:rsid w:val="008916BE"/>
    <w:rsid w:val="00891A53"/>
    <w:rsid w:val="00891D73"/>
    <w:rsid w:val="00891F50"/>
    <w:rsid w:val="00892355"/>
    <w:rsid w:val="008923BE"/>
    <w:rsid w:val="00892402"/>
    <w:rsid w:val="0089253F"/>
    <w:rsid w:val="00892824"/>
    <w:rsid w:val="0089295A"/>
    <w:rsid w:val="00892B39"/>
    <w:rsid w:val="00892EFE"/>
    <w:rsid w:val="008938A3"/>
    <w:rsid w:val="00893901"/>
    <w:rsid w:val="00893E27"/>
    <w:rsid w:val="00894120"/>
    <w:rsid w:val="0089430F"/>
    <w:rsid w:val="00894327"/>
    <w:rsid w:val="00894490"/>
    <w:rsid w:val="00894567"/>
    <w:rsid w:val="008946C0"/>
    <w:rsid w:val="00894CDB"/>
    <w:rsid w:val="00894F8B"/>
    <w:rsid w:val="008952FB"/>
    <w:rsid w:val="00896750"/>
    <w:rsid w:val="00896AE0"/>
    <w:rsid w:val="00897362"/>
    <w:rsid w:val="008978B2"/>
    <w:rsid w:val="00897A2E"/>
    <w:rsid w:val="008A0086"/>
    <w:rsid w:val="008A0A59"/>
    <w:rsid w:val="008A11B2"/>
    <w:rsid w:val="008A138F"/>
    <w:rsid w:val="008A16C7"/>
    <w:rsid w:val="008A21D3"/>
    <w:rsid w:val="008A279C"/>
    <w:rsid w:val="008A3A98"/>
    <w:rsid w:val="008A435A"/>
    <w:rsid w:val="008A47A6"/>
    <w:rsid w:val="008A4B2C"/>
    <w:rsid w:val="008A4B81"/>
    <w:rsid w:val="008A5077"/>
    <w:rsid w:val="008A53ED"/>
    <w:rsid w:val="008A5894"/>
    <w:rsid w:val="008A5953"/>
    <w:rsid w:val="008A6442"/>
    <w:rsid w:val="008A6625"/>
    <w:rsid w:val="008A69D6"/>
    <w:rsid w:val="008A7101"/>
    <w:rsid w:val="008A7699"/>
    <w:rsid w:val="008B0415"/>
    <w:rsid w:val="008B0BF1"/>
    <w:rsid w:val="008B0E84"/>
    <w:rsid w:val="008B1605"/>
    <w:rsid w:val="008B1825"/>
    <w:rsid w:val="008B1A1F"/>
    <w:rsid w:val="008B1A51"/>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A20"/>
    <w:rsid w:val="008B5C46"/>
    <w:rsid w:val="008B63DD"/>
    <w:rsid w:val="008B68A3"/>
    <w:rsid w:val="008B68C3"/>
    <w:rsid w:val="008B692D"/>
    <w:rsid w:val="008B7307"/>
    <w:rsid w:val="008B7FB5"/>
    <w:rsid w:val="008C06EF"/>
    <w:rsid w:val="008C0990"/>
    <w:rsid w:val="008C0C21"/>
    <w:rsid w:val="008C0D70"/>
    <w:rsid w:val="008C1081"/>
    <w:rsid w:val="008C12F0"/>
    <w:rsid w:val="008C1946"/>
    <w:rsid w:val="008C1AEC"/>
    <w:rsid w:val="008C1D41"/>
    <w:rsid w:val="008C2789"/>
    <w:rsid w:val="008C3014"/>
    <w:rsid w:val="008C31A1"/>
    <w:rsid w:val="008C454B"/>
    <w:rsid w:val="008C4BC5"/>
    <w:rsid w:val="008C5270"/>
    <w:rsid w:val="008C5CBF"/>
    <w:rsid w:val="008C5E30"/>
    <w:rsid w:val="008C69D5"/>
    <w:rsid w:val="008C6C72"/>
    <w:rsid w:val="008C6D45"/>
    <w:rsid w:val="008C730E"/>
    <w:rsid w:val="008C773D"/>
    <w:rsid w:val="008C7F57"/>
    <w:rsid w:val="008D05A1"/>
    <w:rsid w:val="008D13BB"/>
    <w:rsid w:val="008D1831"/>
    <w:rsid w:val="008D1A25"/>
    <w:rsid w:val="008D1E10"/>
    <w:rsid w:val="008D1F56"/>
    <w:rsid w:val="008D1FF5"/>
    <w:rsid w:val="008D213C"/>
    <w:rsid w:val="008D21BF"/>
    <w:rsid w:val="008D23A0"/>
    <w:rsid w:val="008D252C"/>
    <w:rsid w:val="008D29F3"/>
    <w:rsid w:val="008D2E4C"/>
    <w:rsid w:val="008D2F8B"/>
    <w:rsid w:val="008D329D"/>
    <w:rsid w:val="008D3652"/>
    <w:rsid w:val="008D394B"/>
    <w:rsid w:val="008D3B1D"/>
    <w:rsid w:val="008D3BFB"/>
    <w:rsid w:val="008D3E14"/>
    <w:rsid w:val="008D424E"/>
    <w:rsid w:val="008D49C7"/>
    <w:rsid w:val="008D4FD5"/>
    <w:rsid w:val="008D5188"/>
    <w:rsid w:val="008D5557"/>
    <w:rsid w:val="008D5EEB"/>
    <w:rsid w:val="008D5FE2"/>
    <w:rsid w:val="008D6367"/>
    <w:rsid w:val="008D65C6"/>
    <w:rsid w:val="008D6B6B"/>
    <w:rsid w:val="008D712D"/>
    <w:rsid w:val="008D7271"/>
    <w:rsid w:val="008D7A48"/>
    <w:rsid w:val="008D7B1C"/>
    <w:rsid w:val="008D7B33"/>
    <w:rsid w:val="008D7ED9"/>
    <w:rsid w:val="008E0650"/>
    <w:rsid w:val="008E0A0B"/>
    <w:rsid w:val="008E0AEB"/>
    <w:rsid w:val="008E0BC0"/>
    <w:rsid w:val="008E0E80"/>
    <w:rsid w:val="008E0F5D"/>
    <w:rsid w:val="008E1091"/>
    <w:rsid w:val="008E151D"/>
    <w:rsid w:val="008E1812"/>
    <w:rsid w:val="008E2123"/>
    <w:rsid w:val="008E2265"/>
    <w:rsid w:val="008E2E8C"/>
    <w:rsid w:val="008E2FDC"/>
    <w:rsid w:val="008E32E7"/>
    <w:rsid w:val="008E3677"/>
    <w:rsid w:val="008E435E"/>
    <w:rsid w:val="008E4C14"/>
    <w:rsid w:val="008E5569"/>
    <w:rsid w:val="008E5B29"/>
    <w:rsid w:val="008E5BE2"/>
    <w:rsid w:val="008E6079"/>
    <w:rsid w:val="008E612A"/>
    <w:rsid w:val="008E6827"/>
    <w:rsid w:val="008E6EE7"/>
    <w:rsid w:val="008E728F"/>
    <w:rsid w:val="008E7B81"/>
    <w:rsid w:val="008F05DB"/>
    <w:rsid w:val="008F0F61"/>
    <w:rsid w:val="008F131D"/>
    <w:rsid w:val="008F1385"/>
    <w:rsid w:val="008F26DC"/>
    <w:rsid w:val="008F2791"/>
    <w:rsid w:val="008F29A3"/>
    <w:rsid w:val="008F2A05"/>
    <w:rsid w:val="008F2C36"/>
    <w:rsid w:val="008F4230"/>
    <w:rsid w:val="008F45F2"/>
    <w:rsid w:val="008F4E4E"/>
    <w:rsid w:val="008F534B"/>
    <w:rsid w:val="008F5757"/>
    <w:rsid w:val="008F5B92"/>
    <w:rsid w:val="008F5D5F"/>
    <w:rsid w:val="008F5F7E"/>
    <w:rsid w:val="008F6555"/>
    <w:rsid w:val="008F6566"/>
    <w:rsid w:val="008F6BCB"/>
    <w:rsid w:val="008F7188"/>
    <w:rsid w:val="008F739F"/>
    <w:rsid w:val="008F75D1"/>
    <w:rsid w:val="008F7C09"/>
    <w:rsid w:val="008F7ED4"/>
    <w:rsid w:val="00900334"/>
    <w:rsid w:val="009003E5"/>
    <w:rsid w:val="0090070B"/>
    <w:rsid w:val="00900838"/>
    <w:rsid w:val="00900A96"/>
    <w:rsid w:val="00900DA2"/>
    <w:rsid w:val="00900E96"/>
    <w:rsid w:val="0090176C"/>
    <w:rsid w:val="00901D27"/>
    <w:rsid w:val="00901EAD"/>
    <w:rsid w:val="00902169"/>
    <w:rsid w:val="00902493"/>
    <w:rsid w:val="00902858"/>
    <w:rsid w:val="009029F6"/>
    <w:rsid w:val="009037C3"/>
    <w:rsid w:val="00903862"/>
    <w:rsid w:val="00903D92"/>
    <w:rsid w:val="00903E3C"/>
    <w:rsid w:val="00903E53"/>
    <w:rsid w:val="009046A7"/>
    <w:rsid w:val="00904A07"/>
    <w:rsid w:val="00904C02"/>
    <w:rsid w:val="009051D3"/>
    <w:rsid w:val="009054C9"/>
    <w:rsid w:val="00905AE3"/>
    <w:rsid w:val="00905B7E"/>
    <w:rsid w:val="009063E0"/>
    <w:rsid w:val="00906924"/>
    <w:rsid w:val="00906945"/>
    <w:rsid w:val="00906BB2"/>
    <w:rsid w:val="0090705D"/>
    <w:rsid w:val="00907508"/>
    <w:rsid w:val="0091042F"/>
    <w:rsid w:val="009106D4"/>
    <w:rsid w:val="00910D6B"/>
    <w:rsid w:val="00910FBC"/>
    <w:rsid w:val="009114A9"/>
    <w:rsid w:val="009116D3"/>
    <w:rsid w:val="0091207C"/>
    <w:rsid w:val="00912372"/>
    <w:rsid w:val="00912BB7"/>
    <w:rsid w:val="009130BD"/>
    <w:rsid w:val="00913645"/>
    <w:rsid w:val="009138AF"/>
    <w:rsid w:val="00913FE2"/>
    <w:rsid w:val="009141E9"/>
    <w:rsid w:val="00914A2D"/>
    <w:rsid w:val="00914B1C"/>
    <w:rsid w:val="00914E3C"/>
    <w:rsid w:val="00914E53"/>
    <w:rsid w:val="00915750"/>
    <w:rsid w:val="0091598C"/>
    <w:rsid w:val="00915D20"/>
    <w:rsid w:val="00915F20"/>
    <w:rsid w:val="00915FD6"/>
    <w:rsid w:val="00916296"/>
    <w:rsid w:val="0091677F"/>
    <w:rsid w:val="00916A54"/>
    <w:rsid w:val="00916A98"/>
    <w:rsid w:val="0091737C"/>
    <w:rsid w:val="0091752F"/>
    <w:rsid w:val="00920026"/>
    <w:rsid w:val="00920348"/>
    <w:rsid w:val="0092053A"/>
    <w:rsid w:val="00920C6B"/>
    <w:rsid w:val="00921088"/>
    <w:rsid w:val="0092177A"/>
    <w:rsid w:val="0092212D"/>
    <w:rsid w:val="009226CF"/>
    <w:rsid w:val="00922BA7"/>
    <w:rsid w:val="0092370D"/>
    <w:rsid w:val="009238D2"/>
    <w:rsid w:val="00924029"/>
    <w:rsid w:val="00924C90"/>
    <w:rsid w:val="00925B9E"/>
    <w:rsid w:val="00925BBA"/>
    <w:rsid w:val="009261B0"/>
    <w:rsid w:val="00926609"/>
    <w:rsid w:val="009269D6"/>
    <w:rsid w:val="00927225"/>
    <w:rsid w:val="0092735E"/>
    <w:rsid w:val="009273AB"/>
    <w:rsid w:val="009274D5"/>
    <w:rsid w:val="00927542"/>
    <w:rsid w:val="00927947"/>
    <w:rsid w:val="00927BFA"/>
    <w:rsid w:val="00930354"/>
    <w:rsid w:val="009303F2"/>
    <w:rsid w:val="00930BD6"/>
    <w:rsid w:val="00930C71"/>
    <w:rsid w:val="0093141F"/>
    <w:rsid w:val="00931608"/>
    <w:rsid w:val="00932351"/>
    <w:rsid w:val="00932AE7"/>
    <w:rsid w:val="00933A96"/>
    <w:rsid w:val="00934757"/>
    <w:rsid w:val="00934A6C"/>
    <w:rsid w:val="00934C36"/>
    <w:rsid w:val="00935419"/>
    <w:rsid w:val="00935877"/>
    <w:rsid w:val="00935EC8"/>
    <w:rsid w:val="00936CF8"/>
    <w:rsid w:val="00937019"/>
    <w:rsid w:val="00937AB8"/>
    <w:rsid w:val="00937CB7"/>
    <w:rsid w:val="009403B2"/>
    <w:rsid w:val="0094040F"/>
    <w:rsid w:val="00940621"/>
    <w:rsid w:val="00940878"/>
    <w:rsid w:val="00940D2F"/>
    <w:rsid w:val="00941B12"/>
    <w:rsid w:val="00942090"/>
    <w:rsid w:val="00942151"/>
    <w:rsid w:val="009423FC"/>
    <w:rsid w:val="0094258F"/>
    <w:rsid w:val="00942B2C"/>
    <w:rsid w:val="00942E17"/>
    <w:rsid w:val="009431E9"/>
    <w:rsid w:val="009432AF"/>
    <w:rsid w:val="009432C0"/>
    <w:rsid w:val="00943363"/>
    <w:rsid w:val="009437CE"/>
    <w:rsid w:val="00943D65"/>
    <w:rsid w:val="00943DBD"/>
    <w:rsid w:val="00943E38"/>
    <w:rsid w:val="00943F72"/>
    <w:rsid w:val="00943FFC"/>
    <w:rsid w:val="009440EE"/>
    <w:rsid w:val="00944467"/>
    <w:rsid w:val="00944E4A"/>
    <w:rsid w:val="00944F35"/>
    <w:rsid w:val="00945B17"/>
    <w:rsid w:val="00945CA1"/>
    <w:rsid w:val="00945CC9"/>
    <w:rsid w:val="00945F5F"/>
    <w:rsid w:val="0094650B"/>
    <w:rsid w:val="00946B45"/>
    <w:rsid w:val="00946CE0"/>
    <w:rsid w:val="00946FB8"/>
    <w:rsid w:val="00947051"/>
    <w:rsid w:val="00947307"/>
    <w:rsid w:val="00947330"/>
    <w:rsid w:val="009474F9"/>
    <w:rsid w:val="00947A8B"/>
    <w:rsid w:val="00947BF7"/>
    <w:rsid w:val="0095021D"/>
    <w:rsid w:val="0095043E"/>
    <w:rsid w:val="009507D7"/>
    <w:rsid w:val="00950EE7"/>
    <w:rsid w:val="00951136"/>
    <w:rsid w:val="009512F9"/>
    <w:rsid w:val="00951582"/>
    <w:rsid w:val="0095193D"/>
    <w:rsid w:val="00951FC7"/>
    <w:rsid w:val="0095241A"/>
    <w:rsid w:val="00952D62"/>
    <w:rsid w:val="0095334D"/>
    <w:rsid w:val="00953CB6"/>
    <w:rsid w:val="00953DD6"/>
    <w:rsid w:val="00954277"/>
    <w:rsid w:val="009543A4"/>
    <w:rsid w:val="00954E37"/>
    <w:rsid w:val="00954E83"/>
    <w:rsid w:val="00955825"/>
    <w:rsid w:val="00955ABA"/>
    <w:rsid w:val="00956435"/>
    <w:rsid w:val="00956E90"/>
    <w:rsid w:val="00957648"/>
    <w:rsid w:val="00957A38"/>
    <w:rsid w:val="00957AD5"/>
    <w:rsid w:val="00957AF7"/>
    <w:rsid w:val="009609AB"/>
    <w:rsid w:val="00960C79"/>
    <w:rsid w:val="00960E93"/>
    <w:rsid w:val="00961623"/>
    <w:rsid w:val="00961B75"/>
    <w:rsid w:val="0096221A"/>
    <w:rsid w:val="0096240B"/>
    <w:rsid w:val="0096240C"/>
    <w:rsid w:val="009624C1"/>
    <w:rsid w:val="00962703"/>
    <w:rsid w:val="00962FD5"/>
    <w:rsid w:val="009631AF"/>
    <w:rsid w:val="009632AD"/>
    <w:rsid w:val="009633D5"/>
    <w:rsid w:val="0096368C"/>
    <w:rsid w:val="0096383C"/>
    <w:rsid w:val="00963D2A"/>
    <w:rsid w:val="00964ADD"/>
    <w:rsid w:val="00964D9F"/>
    <w:rsid w:val="00964E26"/>
    <w:rsid w:val="00965E7A"/>
    <w:rsid w:val="00966310"/>
    <w:rsid w:val="009666EE"/>
    <w:rsid w:val="00966968"/>
    <w:rsid w:val="00966CFA"/>
    <w:rsid w:val="00967013"/>
    <w:rsid w:val="00967181"/>
    <w:rsid w:val="00967240"/>
    <w:rsid w:val="0096756E"/>
    <w:rsid w:val="009679EC"/>
    <w:rsid w:val="00967A36"/>
    <w:rsid w:val="00970198"/>
    <w:rsid w:val="00970390"/>
    <w:rsid w:val="009706E8"/>
    <w:rsid w:val="00970825"/>
    <w:rsid w:val="00970C95"/>
    <w:rsid w:val="0097122B"/>
    <w:rsid w:val="009712E9"/>
    <w:rsid w:val="009713BE"/>
    <w:rsid w:val="0097143E"/>
    <w:rsid w:val="00971E19"/>
    <w:rsid w:val="00972005"/>
    <w:rsid w:val="0097225B"/>
    <w:rsid w:val="009723CF"/>
    <w:rsid w:val="0097255C"/>
    <w:rsid w:val="00972D29"/>
    <w:rsid w:val="00973027"/>
    <w:rsid w:val="00973B48"/>
    <w:rsid w:val="00973C8B"/>
    <w:rsid w:val="00974041"/>
    <w:rsid w:val="009744FA"/>
    <w:rsid w:val="0097461D"/>
    <w:rsid w:val="00974DA0"/>
    <w:rsid w:val="00974EEE"/>
    <w:rsid w:val="00974F64"/>
    <w:rsid w:val="009757C5"/>
    <w:rsid w:val="00975EDC"/>
    <w:rsid w:val="00976359"/>
    <w:rsid w:val="009765BA"/>
    <w:rsid w:val="00976F20"/>
    <w:rsid w:val="00976F3D"/>
    <w:rsid w:val="009776E4"/>
    <w:rsid w:val="009803A2"/>
    <w:rsid w:val="00980709"/>
    <w:rsid w:val="00980789"/>
    <w:rsid w:val="009807CB"/>
    <w:rsid w:val="0098092E"/>
    <w:rsid w:val="00980A5F"/>
    <w:rsid w:val="00980C9A"/>
    <w:rsid w:val="0098115F"/>
    <w:rsid w:val="009812DC"/>
    <w:rsid w:val="009814C1"/>
    <w:rsid w:val="00981954"/>
    <w:rsid w:val="00982430"/>
    <w:rsid w:val="00982542"/>
    <w:rsid w:val="009825A3"/>
    <w:rsid w:val="00982648"/>
    <w:rsid w:val="00982B13"/>
    <w:rsid w:val="0098308B"/>
    <w:rsid w:val="0098327E"/>
    <w:rsid w:val="00983658"/>
    <w:rsid w:val="00983E8D"/>
    <w:rsid w:val="00983EC9"/>
    <w:rsid w:val="00984297"/>
    <w:rsid w:val="0098497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445"/>
    <w:rsid w:val="00993D70"/>
    <w:rsid w:val="00993DE5"/>
    <w:rsid w:val="00994672"/>
    <w:rsid w:val="00994896"/>
    <w:rsid w:val="0099507B"/>
    <w:rsid w:val="0099536D"/>
    <w:rsid w:val="009960AC"/>
    <w:rsid w:val="00996852"/>
    <w:rsid w:val="00996C37"/>
    <w:rsid w:val="00996C6C"/>
    <w:rsid w:val="00997F16"/>
    <w:rsid w:val="009A067F"/>
    <w:rsid w:val="009A06DB"/>
    <w:rsid w:val="009A072D"/>
    <w:rsid w:val="009A08EB"/>
    <w:rsid w:val="009A08F7"/>
    <w:rsid w:val="009A0BB2"/>
    <w:rsid w:val="009A0F90"/>
    <w:rsid w:val="009A0FA1"/>
    <w:rsid w:val="009A1276"/>
    <w:rsid w:val="009A1460"/>
    <w:rsid w:val="009A1672"/>
    <w:rsid w:val="009A16AF"/>
    <w:rsid w:val="009A1B97"/>
    <w:rsid w:val="009A2096"/>
    <w:rsid w:val="009A2D13"/>
    <w:rsid w:val="009A2EB2"/>
    <w:rsid w:val="009A2F53"/>
    <w:rsid w:val="009A31B4"/>
    <w:rsid w:val="009A35F8"/>
    <w:rsid w:val="009A387B"/>
    <w:rsid w:val="009A3DEC"/>
    <w:rsid w:val="009A402D"/>
    <w:rsid w:val="009A408F"/>
    <w:rsid w:val="009A419C"/>
    <w:rsid w:val="009A4A1A"/>
    <w:rsid w:val="009A555A"/>
    <w:rsid w:val="009A567E"/>
    <w:rsid w:val="009A56F0"/>
    <w:rsid w:val="009A57FC"/>
    <w:rsid w:val="009A5CC7"/>
    <w:rsid w:val="009A6421"/>
    <w:rsid w:val="009A66CA"/>
    <w:rsid w:val="009A6873"/>
    <w:rsid w:val="009A6FAE"/>
    <w:rsid w:val="009A7AAD"/>
    <w:rsid w:val="009B0444"/>
    <w:rsid w:val="009B04C7"/>
    <w:rsid w:val="009B04D0"/>
    <w:rsid w:val="009B05AF"/>
    <w:rsid w:val="009B0700"/>
    <w:rsid w:val="009B0A00"/>
    <w:rsid w:val="009B0EC5"/>
    <w:rsid w:val="009B0F28"/>
    <w:rsid w:val="009B1035"/>
    <w:rsid w:val="009B15E4"/>
    <w:rsid w:val="009B1601"/>
    <w:rsid w:val="009B19A6"/>
    <w:rsid w:val="009B1C77"/>
    <w:rsid w:val="009B1D08"/>
    <w:rsid w:val="009B2439"/>
    <w:rsid w:val="009B2A67"/>
    <w:rsid w:val="009B2D32"/>
    <w:rsid w:val="009B331C"/>
    <w:rsid w:val="009B342F"/>
    <w:rsid w:val="009B3453"/>
    <w:rsid w:val="009B3830"/>
    <w:rsid w:val="009B3F30"/>
    <w:rsid w:val="009B445E"/>
    <w:rsid w:val="009B47B2"/>
    <w:rsid w:val="009B4C71"/>
    <w:rsid w:val="009B5742"/>
    <w:rsid w:val="009B58CD"/>
    <w:rsid w:val="009B58CF"/>
    <w:rsid w:val="009B5B48"/>
    <w:rsid w:val="009B7A03"/>
    <w:rsid w:val="009B7FEF"/>
    <w:rsid w:val="009C0030"/>
    <w:rsid w:val="009C046F"/>
    <w:rsid w:val="009C06FD"/>
    <w:rsid w:val="009C0876"/>
    <w:rsid w:val="009C0E03"/>
    <w:rsid w:val="009C0EE0"/>
    <w:rsid w:val="009C1246"/>
    <w:rsid w:val="009C18DC"/>
    <w:rsid w:val="009C1A52"/>
    <w:rsid w:val="009C202B"/>
    <w:rsid w:val="009C2259"/>
    <w:rsid w:val="009C2260"/>
    <w:rsid w:val="009C2610"/>
    <w:rsid w:val="009C26FB"/>
    <w:rsid w:val="009C2A4E"/>
    <w:rsid w:val="009C2AB9"/>
    <w:rsid w:val="009C2C4E"/>
    <w:rsid w:val="009C3254"/>
    <w:rsid w:val="009C3469"/>
    <w:rsid w:val="009C346A"/>
    <w:rsid w:val="009C3649"/>
    <w:rsid w:val="009C3850"/>
    <w:rsid w:val="009C3ACB"/>
    <w:rsid w:val="009C48BF"/>
    <w:rsid w:val="009C4A60"/>
    <w:rsid w:val="009C4DBE"/>
    <w:rsid w:val="009C4FD1"/>
    <w:rsid w:val="009C4FFC"/>
    <w:rsid w:val="009C54F6"/>
    <w:rsid w:val="009C5601"/>
    <w:rsid w:val="009C590A"/>
    <w:rsid w:val="009C5B63"/>
    <w:rsid w:val="009C5E01"/>
    <w:rsid w:val="009C5F4C"/>
    <w:rsid w:val="009C650F"/>
    <w:rsid w:val="009C683B"/>
    <w:rsid w:val="009C7369"/>
    <w:rsid w:val="009C76BB"/>
    <w:rsid w:val="009D004E"/>
    <w:rsid w:val="009D01AE"/>
    <w:rsid w:val="009D0527"/>
    <w:rsid w:val="009D06F9"/>
    <w:rsid w:val="009D0B0B"/>
    <w:rsid w:val="009D0F7D"/>
    <w:rsid w:val="009D0FDD"/>
    <w:rsid w:val="009D1464"/>
    <w:rsid w:val="009D1818"/>
    <w:rsid w:val="009D18BF"/>
    <w:rsid w:val="009D2AB5"/>
    <w:rsid w:val="009D32E5"/>
    <w:rsid w:val="009D34CB"/>
    <w:rsid w:val="009D37C1"/>
    <w:rsid w:val="009D3AD0"/>
    <w:rsid w:val="009D3D66"/>
    <w:rsid w:val="009D414F"/>
    <w:rsid w:val="009D441C"/>
    <w:rsid w:val="009D45CD"/>
    <w:rsid w:val="009D45E7"/>
    <w:rsid w:val="009D46B0"/>
    <w:rsid w:val="009D49F8"/>
    <w:rsid w:val="009D4D13"/>
    <w:rsid w:val="009D4FC8"/>
    <w:rsid w:val="009D5012"/>
    <w:rsid w:val="009D53D1"/>
    <w:rsid w:val="009D57F3"/>
    <w:rsid w:val="009D5BC6"/>
    <w:rsid w:val="009D63C5"/>
    <w:rsid w:val="009D691D"/>
    <w:rsid w:val="009D6CA2"/>
    <w:rsid w:val="009D6D89"/>
    <w:rsid w:val="009D76B3"/>
    <w:rsid w:val="009D776F"/>
    <w:rsid w:val="009E048B"/>
    <w:rsid w:val="009E0DB2"/>
    <w:rsid w:val="009E12DD"/>
    <w:rsid w:val="009E159D"/>
    <w:rsid w:val="009E160B"/>
    <w:rsid w:val="009E1D9A"/>
    <w:rsid w:val="009E1DDC"/>
    <w:rsid w:val="009E2918"/>
    <w:rsid w:val="009E2C7E"/>
    <w:rsid w:val="009E3625"/>
    <w:rsid w:val="009E3626"/>
    <w:rsid w:val="009E41F3"/>
    <w:rsid w:val="009E4AD0"/>
    <w:rsid w:val="009E4BA7"/>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623"/>
    <w:rsid w:val="009F0EAF"/>
    <w:rsid w:val="009F16A7"/>
    <w:rsid w:val="009F193E"/>
    <w:rsid w:val="009F19FF"/>
    <w:rsid w:val="009F1E14"/>
    <w:rsid w:val="009F28D7"/>
    <w:rsid w:val="009F2ACE"/>
    <w:rsid w:val="009F2FA9"/>
    <w:rsid w:val="009F30BC"/>
    <w:rsid w:val="009F35DE"/>
    <w:rsid w:val="009F3A31"/>
    <w:rsid w:val="009F3BFD"/>
    <w:rsid w:val="009F4071"/>
    <w:rsid w:val="009F4403"/>
    <w:rsid w:val="009F46C9"/>
    <w:rsid w:val="009F4713"/>
    <w:rsid w:val="009F471C"/>
    <w:rsid w:val="009F4792"/>
    <w:rsid w:val="009F4CE9"/>
    <w:rsid w:val="009F4CFD"/>
    <w:rsid w:val="009F54BB"/>
    <w:rsid w:val="009F5594"/>
    <w:rsid w:val="009F5F18"/>
    <w:rsid w:val="009F6112"/>
    <w:rsid w:val="009F686F"/>
    <w:rsid w:val="009F6C12"/>
    <w:rsid w:val="009F6C60"/>
    <w:rsid w:val="009F6DDD"/>
    <w:rsid w:val="009F7014"/>
    <w:rsid w:val="009F75F1"/>
    <w:rsid w:val="009F76B8"/>
    <w:rsid w:val="009F76F9"/>
    <w:rsid w:val="009F7AF2"/>
    <w:rsid w:val="009F7FCA"/>
    <w:rsid w:val="00A00663"/>
    <w:rsid w:val="00A007C3"/>
    <w:rsid w:val="00A01016"/>
    <w:rsid w:val="00A017D3"/>
    <w:rsid w:val="00A01839"/>
    <w:rsid w:val="00A01EB3"/>
    <w:rsid w:val="00A02203"/>
    <w:rsid w:val="00A02449"/>
    <w:rsid w:val="00A02A5F"/>
    <w:rsid w:val="00A02CC2"/>
    <w:rsid w:val="00A02EC7"/>
    <w:rsid w:val="00A041A7"/>
    <w:rsid w:val="00A042CD"/>
    <w:rsid w:val="00A045FC"/>
    <w:rsid w:val="00A04672"/>
    <w:rsid w:val="00A047EC"/>
    <w:rsid w:val="00A04C04"/>
    <w:rsid w:val="00A04E2B"/>
    <w:rsid w:val="00A05101"/>
    <w:rsid w:val="00A051FB"/>
    <w:rsid w:val="00A057FB"/>
    <w:rsid w:val="00A05BA3"/>
    <w:rsid w:val="00A05E5D"/>
    <w:rsid w:val="00A0616F"/>
    <w:rsid w:val="00A06263"/>
    <w:rsid w:val="00A067D3"/>
    <w:rsid w:val="00A06E52"/>
    <w:rsid w:val="00A06E79"/>
    <w:rsid w:val="00A07125"/>
    <w:rsid w:val="00A07249"/>
    <w:rsid w:val="00A07666"/>
    <w:rsid w:val="00A07D36"/>
    <w:rsid w:val="00A10071"/>
    <w:rsid w:val="00A107B8"/>
    <w:rsid w:val="00A108A7"/>
    <w:rsid w:val="00A11462"/>
    <w:rsid w:val="00A119D7"/>
    <w:rsid w:val="00A11B29"/>
    <w:rsid w:val="00A11CA4"/>
    <w:rsid w:val="00A121B1"/>
    <w:rsid w:val="00A121F8"/>
    <w:rsid w:val="00A122DD"/>
    <w:rsid w:val="00A122FF"/>
    <w:rsid w:val="00A12365"/>
    <w:rsid w:val="00A12560"/>
    <w:rsid w:val="00A12572"/>
    <w:rsid w:val="00A12A93"/>
    <w:rsid w:val="00A12EC7"/>
    <w:rsid w:val="00A12FC9"/>
    <w:rsid w:val="00A1387A"/>
    <w:rsid w:val="00A14548"/>
    <w:rsid w:val="00A15D48"/>
    <w:rsid w:val="00A15E57"/>
    <w:rsid w:val="00A16E94"/>
    <w:rsid w:val="00A179FD"/>
    <w:rsid w:val="00A17ADB"/>
    <w:rsid w:val="00A20212"/>
    <w:rsid w:val="00A20907"/>
    <w:rsid w:val="00A21596"/>
    <w:rsid w:val="00A2187D"/>
    <w:rsid w:val="00A222A5"/>
    <w:rsid w:val="00A2255B"/>
    <w:rsid w:val="00A22C6A"/>
    <w:rsid w:val="00A230E5"/>
    <w:rsid w:val="00A23C5B"/>
    <w:rsid w:val="00A24428"/>
    <w:rsid w:val="00A24676"/>
    <w:rsid w:val="00A255A2"/>
    <w:rsid w:val="00A255FA"/>
    <w:rsid w:val="00A25860"/>
    <w:rsid w:val="00A25BB4"/>
    <w:rsid w:val="00A25F02"/>
    <w:rsid w:val="00A265EF"/>
    <w:rsid w:val="00A2687E"/>
    <w:rsid w:val="00A268AF"/>
    <w:rsid w:val="00A272B9"/>
    <w:rsid w:val="00A2755F"/>
    <w:rsid w:val="00A27C54"/>
    <w:rsid w:val="00A308FA"/>
    <w:rsid w:val="00A30E31"/>
    <w:rsid w:val="00A3115E"/>
    <w:rsid w:val="00A319BB"/>
    <w:rsid w:val="00A31A1D"/>
    <w:rsid w:val="00A31B6A"/>
    <w:rsid w:val="00A31C30"/>
    <w:rsid w:val="00A31CC9"/>
    <w:rsid w:val="00A3252E"/>
    <w:rsid w:val="00A32530"/>
    <w:rsid w:val="00A32ED5"/>
    <w:rsid w:val="00A33411"/>
    <w:rsid w:val="00A33951"/>
    <w:rsid w:val="00A34061"/>
    <w:rsid w:val="00A34151"/>
    <w:rsid w:val="00A3473B"/>
    <w:rsid w:val="00A3499B"/>
    <w:rsid w:val="00A3561D"/>
    <w:rsid w:val="00A35A98"/>
    <w:rsid w:val="00A3607A"/>
    <w:rsid w:val="00A36088"/>
    <w:rsid w:val="00A360E6"/>
    <w:rsid w:val="00A36105"/>
    <w:rsid w:val="00A362A9"/>
    <w:rsid w:val="00A363E2"/>
    <w:rsid w:val="00A365AD"/>
    <w:rsid w:val="00A36A20"/>
    <w:rsid w:val="00A36BE5"/>
    <w:rsid w:val="00A36CC1"/>
    <w:rsid w:val="00A36DF0"/>
    <w:rsid w:val="00A378E5"/>
    <w:rsid w:val="00A37D75"/>
    <w:rsid w:val="00A40536"/>
    <w:rsid w:val="00A408B7"/>
    <w:rsid w:val="00A412B2"/>
    <w:rsid w:val="00A41626"/>
    <w:rsid w:val="00A4169A"/>
    <w:rsid w:val="00A41732"/>
    <w:rsid w:val="00A41940"/>
    <w:rsid w:val="00A41BD4"/>
    <w:rsid w:val="00A41FD6"/>
    <w:rsid w:val="00A4205D"/>
    <w:rsid w:val="00A42292"/>
    <w:rsid w:val="00A42469"/>
    <w:rsid w:val="00A42A55"/>
    <w:rsid w:val="00A42D27"/>
    <w:rsid w:val="00A43533"/>
    <w:rsid w:val="00A438A7"/>
    <w:rsid w:val="00A43944"/>
    <w:rsid w:val="00A44047"/>
    <w:rsid w:val="00A447E6"/>
    <w:rsid w:val="00A4485C"/>
    <w:rsid w:val="00A44DF2"/>
    <w:rsid w:val="00A453C1"/>
    <w:rsid w:val="00A456EA"/>
    <w:rsid w:val="00A45D9C"/>
    <w:rsid w:val="00A4635D"/>
    <w:rsid w:val="00A46C2E"/>
    <w:rsid w:val="00A46D50"/>
    <w:rsid w:val="00A46DA1"/>
    <w:rsid w:val="00A4706D"/>
    <w:rsid w:val="00A472DF"/>
    <w:rsid w:val="00A47F8C"/>
    <w:rsid w:val="00A5007B"/>
    <w:rsid w:val="00A5027F"/>
    <w:rsid w:val="00A50999"/>
    <w:rsid w:val="00A5165A"/>
    <w:rsid w:val="00A51A7C"/>
    <w:rsid w:val="00A523B8"/>
    <w:rsid w:val="00A52CCC"/>
    <w:rsid w:val="00A52DCF"/>
    <w:rsid w:val="00A52F43"/>
    <w:rsid w:val="00A532A1"/>
    <w:rsid w:val="00A5337A"/>
    <w:rsid w:val="00A5390A"/>
    <w:rsid w:val="00A53A64"/>
    <w:rsid w:val="00A53B9A"/>
    <w:rsid w:val="00A547DB"/>
    <w:rsid w:val="00A54D2D"/>
    <w:rsid w:val="00A55AFF"/>
    <w:rsid w:val="00A55DBE"/>
    <w:rsid w:val="00A56101"/>
    <w:rsid w:val="00A570AD"/>
    <w:rsid w:val="00A5712B"/>
    <w:rsid w:val="00A575C2"/>
    <w:rsid w:val="00A57746"/>
    <w:rsid w:val="00A57BAC"/>
    <w:rsid w:val="00A57BBB"/>
    <w:rsid w:val="00A57F40"/>
    <w:rsid w:val="00A604E6"/>
    <w:rsid w:val="00A60DE6"/>
    <w:rsid w:val="00A60FB6"/>
    <w:rsid w:val="00A61528"/>
    <w:rsid w:val="00A615DC"/>
    <w:rsid w:val="00A61E02"/>
    <w:rsid w:val="00A62897"/>
    <w:rsid w:val="00A62A4D"/>
    <w:rsid w:val="00A62FB3"/>
    <w:rsid w:val="00A638C2"/>
    <w:rsid w:val="00A64364"/>
    <w:rsid w:val="00A6491B"/>
    <w:rsid w:val="00A657DA"/>
    <w:rsid w:val="00A65BA8"/>
    <w:rsid w:val="00A664B2"/>
    <w:rsid w:val="00A66ABA"/>
    <w:rsid w:val="00A66B4F"/>
    <w:rsid w:val="00A66B83"/>
    <w:rsid w:val="00A66CB4"/>
    <w:rsid w:val="00A675FF"/>
    <w:rsid w:val="00A678DE"/>
    <w:rsid w:val="00A708F0"/>
    <w:rsid w:val="00A70CBB"/>
    <w:rsid w:val="00A70D15"/>
    <w:rsid w:val="00A70ED9"/>
    <w:rsid w:val="00A71417"/>
    <w:rsid w:val="00A7198A"/>
    <w:rsid w:val="00A72AD1"/>
    <w:rsid w:val="00A72FAE"/>
    <w:rsid w:val="00A73457"/>
    <w:rsid w:val="00A73546"/>
    <w:rsid w:val="00A73817"/>
    <w:rsid w:val="00A74191"/>
    <w:rsid w:val="00A7427A"/>
    <w:rsid w:val="00A74503"/>
    <w:rsid w:val="00A74606"/>
    <w:rsid w:val="00A74794"/>
    <w:rsid w:val="00A74E8B"/>
    <w:rsid w:val="00A74E94"/>
    <w:rsid w:val="00A759DF"/>
    <w:rsid w:val="00A75A28"/>
    <w:rsid w:val="00A76132"/>
    <w:rsid w:val="00A766DB"/>
    <w:rsid w:val="00A76B3E"/>
    <w:rsid w:val="00A76C47"/>
    <w:rsid w:val="00A7756D"/>
    <w:rsid w:val="00A803BB"/>
    <w:rsid w:val="00A804A0"/>
    <w:rsid w:val="00A8051D"/>
    <w:rsid w:val="00A806A3"/>
    <w:rsid w:val="00A807C6"/>
    <w:rsid w:val="00A811FD"/>
    <w:rsid w:val="00A81216"/>
    <w:rsid w:val="00A81B02"/>
    <w:rsid w:val="00A81B2E"/>
    <w:rsid w:val="00A8200B"/>
    <w:rsid w:val="00A82218"/>
    <w:rsid w:val="00A824C5"/>
    <w:rsid w:val="00A830EB"/>
    <w:rsid w:val="00A833D4"/>
    <w:rsid w:val="00A83B9C"/>
    <w:rsid w:val="00A83FD0"/>
    <w:rsid w:val="00A848E0"/>
    <w:rsid w:val="00A84DD1"/>
    <w:rsid w:val="00A84E25"/>
    <w:rsid w:val="00A84F98"/>
    <w:rsid w:val="00A85830"/>
    <w:rsid w:val="00A85A92"/>
    <w:rsid w:val="00A861E9"/>
    <w:rsid w:val="00A86240"/>
    <w:rsid w:val="00A8650D"/>
    <w:rsid w:val="00A8669D"/>
    <w:rsid w:val="00A867FB"/>
    <w:rsid w:val="00A86D1D"/>
    <w:rsid w:val="00A872A1"/>
    <w:rsid w:val="00A875B8"/>
    <w:rsid w:val="00A87A3A"/>
    <w:rsid w:val="00A87DAD"/>
    <w:rsid w:val="00A87EF6"/>
    <w:rsid w:val="00A90284"/>
    <w:rsid w:val="00A90668"/>
    <w:rsid w:val="00A90C00"/>
    <w:rsid w:val="00A90E1D"/>
    <w:rsid w:val="00A911A8"/>
    <w:rsid w:val="00A913C0"/>
    <w:rsid w:val="00A91455"/>
    <w:rsid w:val="00A918C8"/>
    <w:rsid w:val="00A918F1"/>
    <w:rsid w:val="00A91ED8"/>
    <w:rsid w:val="00A92203"/>
    <w:rsid w:val="00A92B0F"/>
    <w:rsid w:val="00A92B85"/>
    <w:rsid w:val="00A934EA"/>
    <w:rsid w:val="00A938CE"/>
    <w:rsid w:val="00A93BB6"/>
    <w:rsid w:val="00A9468B"/>
    <w:rsid w:val="00A94BB1"/>
    <w:rsid w:val="00A94CBF"/>
    <w:rsid w:val="00A94D0B"/>
    <w:rsid w:val="00A95208"/>
    <w:rsid w:val="00A95420"/>
    <w:rsid w:val="00A95A89"/>
    <w:rsid w:val="00A95F9B"/>
    <w:rsid w:val="00A9629D"/>
    <w:rsid w:val="00A969A8"/>
    <w:rsid w:val="00A96A1A"/>
    <w:rsid w:val="00A96D8F"/>
    <w:rsid w:val="00A97693"/>
    <w:rsid w:val="00AA04C7"/>
    <w:rsid w:val="00AA14C2"/>
    <w:rsid w:val="00AA1A1C"/>
    <w:rsid w:val="00AA1AB2"/>
    <w:rsid w:val="00AA1BF7"/>
    <w:rsid w:val="00AA1FF1"/>
    <w:rsid w:val="00AA219F"/>
    <w:rsid w:val="00AA263D"/>
    <w:rsid w:val="00AA2699"/>
    <w:rsid w:val="00AA2861"/>
    <w:rsid w:val="00AA2A1A"/>
    <w:rsid w:val="00AA2BC5"/>
    <w:rsid w:val="00AA2DDF"/>
    <w:rsid w:val="00AA3413"/>
    <w:rsid w:val="00AA36B0"/>
    <w:rsid w:val="00AA38C8"/>
    <w:rsid w:val="00AA3AFE"/>
    <w:rsid w:val="00AA3B24"/>
    <w:rsid w:val="00AA3F10"/>
    <w:rsid w:val="00AA412D"/>
    <w:rsid w:val="00AA456F"/>
    <w:rsid w:val="00AA4FC2"/>
    <w:rsid w:val="00AA5499"/>
    <w:rsid w:val="00AA59C3"/>
    <w:rsid w:val="00AA5B9A"/>
    <w:rsid w:val="00AA5DC6"/>
    <w:rsid w:val="00AA63A6"/>
    <w:rsid w:val="00AA651D"/>
    <w:rsid w:val="00AA69DC"/>
    <w:rsid w:val="00AA6BE3"/>
    <w:rsid w:val="00AA6E51"/>
    <w:rsid w:val="00AA6E7C"/>
    <w:rsid w:val="00AA6EBD"/>
    <w:rsid w:val="00AA74B1"/>
    <w:rsid w:val="00AA77AC"/>
    <w:rsid w:val="00AA7869"/>
    <w:rsid w:val="00AA7D00"/>
    <w:rsid w:val="00AB0401"/>
    <w:rsid w:val="00AB080E"/>
    <w:rsid w:val="00AB16A4"/>
    <w:rsid w:val="00AB17F2"/>
    <w:rsid w:val="00AB185F"/>
    <w:rsid w:val="00AB1999"/>
    <w:rsid w:val="00AB1B9D"/>
    <w:rsid w:val="00AB2701"/>
    <w:rsid w:val="00AB330D"/>
    <w:rsid w:val="00AB33FA"/>
    <w:rsid w:val="00AB3ADC"/>
    <w:rsid w:val="00AB3D5D"/>
    <w:rsid w:val="00AB4085"/>
    <w:rsid w:val="00AB42D0"/>
    <w:rsid w:val="00AB475D"/>
    <w:rsid w:val="00AB4AEC"/>
    <w:rsid w:val="00AB519A"/>
    <w:rsid w:val="00AB6275"/>
    <w:rsid w:val="00AB6544"/>
    <w:rsid w:val="00AB654F"/>
    <w:rsid w:val="00AB6884"/>
    <w:rsid w:val="00AB6D83"/>
    <w:rsid w:val="00AB70B2"/>
    <w:rsid w:val="00AB7956"/>
    <w:rsid w:val="00AB7BC4"/>
    <w:rsid w:val="00AB7CCF"/>
    <w:rsid w:val="00AB7F59"/>
    <w:rsid w:val="00AC041B"/>
    <w:rsid w:val="00AC0780"/>
    <w:rsid w:val="00AC0DDC"/>
    <w:rsid w:val="00AC0EBA"/>
    <w:rsid w:val="00AC1028"/>
    <w:rsid w:val="00AC12A6"/>
    <w:rsid w:val="00AC13D1"/>
    <w:rsid w:val="00AC14E8"/>
    <w:rsid w:val="00AC1B1E"/>
    <w:rsid w:val="00AC1BA7"/>
    <w:rsid w:val="00AC1CE2"/>
    <w:rsid w:val="00AC2018"/>
    <w:rsid w:val="00AC20E3"/>
    <w:rsid w:val="00AC2363"/>
    <w:rsid w:val="00AC2529"/>
    <w:rsid w:val="00AC2A92"/>
    <w:rsid w:val="00AC3055"/>
    <w:rsid w:val="00AC305B"/>
    <w:rsid w:val="00AC3261"/>
    <w:rsid w:val="00AC334C"/>
    <w:rsid w:val="00AC356C"/>
    <w:rsid w:val="00AC416B"/>
    <w:rsid w:val="00AC4205"/>
    <w:rsid w:val="00AC4264"/>
    <w:rsid w:val="00AC44C1"/>
    <w:rsid w:val="00AC44D5"/>
    <w:rsid w:val="00AC48D6"/>
    <w:rsid w:val="00AC5779"/>
    <w:rsid w:val="00AC5E7B"/>
    <w:rsid w:val="00AC603F"/>
    <w:rsid w:val="00AC6806"/>
    <w:rsid w:val="00AC6922"/>
    <w:rsid w:val="00AC69BB"/>
    <w:rsid w:val="00AC6FFE"/>
    <w:rsid w:val="00AC7171"/>
    <w:rsid w:val="00AC75CC"/>
    <w:rsid w:val="00AC7E92"/>
    <w:rsid w:val="00AD0081"/>
    <w:rsid w:val="00AD0983"/>
    <w:rsid w:val="00AD0FBE"/>
    <w:rsid w:val="00AD1B8A"/>
    <w:rsid w:val="00AD1FAB"/>
    <w:rsid w:val="00AD2091"/>
    <w:rsid w:val="00AD28F2"/>
    <w:rsid w:val="00AD2B10"/>
    <w:rsid w:val="00AD2BD6"/>
    <w:rsid w:val="00AD3031"/>
    <w:rsid w:val="00AD36F0"/>
    <w:rsid w:val="00AD3924"/>
    <w:rsid w:val="00AD39AD"/>
    <w:rsid w:val="00AD45E7"/>
    <w:rsid w:val="00AD47F3"/>
    <w:rsid w:val="00AD482A"/>
    <w:rsid w:val="00AD4A77"/>
    <w:rsid w:val="00AD5D6A"/>
    <w:rsid w:val="00AD5E9E"/>
    <w:rsid w:val="00AD5ECC"/>
    <w:rsid w:val="00AD6086"/>
    <w:rsid w:val="00AD6195"/>
    <w:rsid w:val="00AD65FC"/>
    <w:rsid w:val="00AD6634"/>
    <w:rsid w:val="00AD66F8"/>
    <w:rsid w:val="00AD67C3"/>
    <w:rsid w:val="00AD68C0"/>
    <w:rsid w:val="00AD6AC8"/>
    <w:rsid w:val="00AD6B1E"/>
    <w:rsid w:val="00AD6E1B"/>
    <w:rsid w:val="00AD6EB7"/>
    <w:rsid w:val="00AD712C"/>
    <w:rsid w:val="00AD78E7"/>
    <w:rsid w:val="00AD7AAF"/>
    <w:rsid w:val="00AD7C6C"/>
    <w:rsid w:val="00AD7EC4"/>
    <w:rsid w:val="00AD7FB6"/>
    <w:rsid w:val="00AE006F"/>
    <w:rsid w:val="00AE08F5"/>
    <w:rsid w:val="00AE0B27"/>
    <w:rsid w:val="00AE0C77"/>
    <w:rsid w:val="00AE1463"/>
    <w:rsid w:val="00AE1DBA"/>
    <w:rsid w:val="00AE253F"/>
    <w:rsid w:val="00AE261C"/>
    <w:rsid w:val="00AE27B6"/>
    <w:rsid w:val="00AE3548"/>
    <w:rsid w:val="00AE379F"/>
    <w:rsid w:val="00AE398B"/>
    <w:rsid w:val="00AE3A24"/>
    <w:rsid w:val="00AE412E"/>
    <w:rsid w:val="00AE49D1"/>
    <w:rsid w:val="00AE4A50"/>
    <w:rsid w:val="00AE568A"/>
    <w:rsid w:val="00AE596D"/>
    <w:rsid w:val="00AE5BC3"/>
    <w:rsid w:val="00AE5D25"/>
    <w:rsid w:val="00AE6035"/>
    <w:rsid w:val="00AE6124"/>
    <w:rsid w:val="00AE65FA"/>
    <w:rsid w:val="00AE6EBD"/>
    <w:rsid w:val="00AE7370"/>
    <w:rsid w:val="00AF0B7C"/>
    <w:rsid w:val="00AF11E1"/>
    <w:rsid w:val="00AF1AF3"/>
    <w:rsid w:val="00AF1F5D"/>
    <w:rsid w:val="00AF2718"/>
    <w:rsid w:val="00AF287E"/>
    <w:rsid w:val="00AF2FB0"/>
    <w:rsid w:val="00AF32F7"/>
    <w:rsid w:val="00AF38AC"/>
    <w:rsid w:val="00AF3935"/>
    <w:rsid w:val="00AF43BA"/>
    <w:rsid w:val="00AF46EE"/>
    <w:rsid w:val="00AF4C69"/>
    <w:rsid w:val="00AF50A8"/>
    <w:rsid w:val="00AF526F"/>
    <w:rsid w:val="00AF53F1"/>
    <w:rsid w:val="00AF569B"/>
    <w:rsid w:val="00AF5E0A"/>
    <w:rsid w:val="00AF622B"/>
    <w:rsid w:val="00AF69E4"/>
    <w:rsid w:val="00AF7076"/>
    <w:rsid w:val="00B00878"/>
    <w:rsid w:val="00B00914"/>
    <w:rsid w:val="00B0159E"/>
    <w:rsid w:val="00B016F3"/>
    <w:rsid w:val="00B01719"/>
    <w:rsid w:val="00B01B42"/>
    <w:rsid w:val="00B01CD6"/>
    <w:rsid w:val="00B0230E"/>
    <w:rsid w:val="00B027F9"/>
    <w:rsid w:val="00B02EEE"/>
    <w:rsid w:val="00B03643"/>
    <w:rsid w:val="00B03DB6"/>
    <w:rsid w:val="00B060FD"/>
    <w:rsid w:val="00B062A3"/>
    <w:rsid w:val="00B068BA"/>
    <w:rsid w:val="00B06AE8"/>
    <w:rsid w:val="00B07106"/>
    <w:rsid w:val="00B072B7"/>
    <w:rsid w:val="00B0767C"/>
    <w:rsid w:val="00B07819"/>
    <w:rsid w:val="00B07831"/>
    <w:rsid w:val="00B07C69"/>
    <w:rsid w:val="00B07D84"/>
    <w:rsid w:val="00B100E6"/>
    <w:rsid w:val="00B1030E"/>
    <w:rsid w:val="00B10354"/>
    <w:rsid w:val="00B105C4"/>
    <w:rsid w:val="00B109E5"/>
    <w:rsid w:val="00B114F7"/>
    <w:rsid w:val="00B11588"/>
    <w:rsid w:val="00B11EAA"/>
    <w:rsid w:val="00B1201D"/>
    <w:rsid w:val="00B122AF"/>
    <w:rsid w:val="00B12819"/>
    <w:rsid w:val="00B129AB"/>
    <w:rsid w:val="00B13285"/>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4AF"/>
    <w:rsid w:val="00B169BE"/>
    <w:rsid w:val="00B16BC6"/>
    <w:rsid w:val="00B16DA1"/>
    <w:rsid w:val="00B16FC9"/>
    <w:rsid w:val="00B17528"/>
    <w:rsid w:val="00B1752A"/>
    <w:rsid w:val="00B1767E"/>
    <w:rsid w:val="00B17798"/>
    <w:rsid w:val="00B17A22"/>
    <w:rsid w:val="00B17D33"/>
    <w:rsid w:val="00B17F3C"/>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D50"/>
    <w:rsid w:val="00B25296"/>
    <w:rsid w:val="00B25318"/>
    <w:rsid w:val="00B25FC1"/>
    <w:rsid w:val="00B263FF"/>
    <w:rsid w:val="00B26ECF"/>
    <w:rsid w:val="00B2706B"/>
    <w:rsid w:val="00B27182"/>
    <w:rsid w:val="00B27960"/>
    <w:rsid w:val="00B27DDB"/>
    <w:rsid w:val="00B27FD0"/>
    <w:rsid w:val="00B3042B"/>
    <w:rsid w:val="00B30437"/>
    <w:rsid w:val="00B30E59"/>
    <w:rsid w:val="00B31191"/>
    <w:rsid w:val="00B3158F"/>
    <w:rsid w:val="00B326F1"/>
    <w:rsid w:val="00B32A0C"/>
    <w:rsid w:val="00B32B49"/>
    <w:rsid w:val="00B33168"/>
    <w:rsid w:val="00B3320E"/>
    <w:rsid w:val="00B33C0E"/>
    <w:rsid w:val="00B33ED8"/>
    <w:rsid w:val="00B33F86"/>
    <w:rsid w:val="00B340A6"/>
    <w:rsid w:val="00B34448"/>
    <w:rsid w:val="00B34BA0"/>
    <w:rsid w:val="00B34CFC"/>
    <w:rsid w:val="00B34EEC"/>
    <w:rsid w:val="00B35110"/>
    <w:rsid w:val="00B3549B"/>
    <w:rsid w:val="00B35DE0"/>
    <w:rsid w:val="00B36038"/>
    <w:rsid w:val="00B36226"/>
    <w:rsid w:val="00B36E93"/>
    <w:rsid w:val="00B37047"/>
    <w:rsid w:val="00B37793"/>
    <w:rsid w:val="00B37C73"/>
    <w:rsid w:val="00B37E10"/>
    <w:rsid w:val="00B403B2"/>
    <w:rsid w:val="00B4070A"/>
    <w:rsid w:val="00B40736"/>
    <w:rsid w:val="00B407FA"/>
    <w:rsid w:val="00B4084A"/>
    <w:rsid w:val="00B40A2A"/>
    <w:rsid w:val="00B40A7A"/>
    <w:rsid w:val="00B40AAA"/>
    <w:rsid w:val="00B41042"/>
    <w:rsid w:val="00B4139E"/>
    <w:rsid w:val="00B41760"/>
    <w:rsid w:val="00B425DA"/>
    <w:rsid w:val="00B428FF"/>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C38"/>
    <w:rsid w:val="00B4553A"/>
    <w:rsid w:val="00B45859"/>
    <w:rsid w:val="00B462DF"/>
    <w:rsid w:val="00B4684D"/>
    <w:rsid w:val="00B46C32"/>
    <w:rsid w:val="00B46FFB"/>
    <w:rsid w:val="00B4793E"/>
    <w:rsid w:val="00B47ACC"/>
    <w:rsid w:val="00B50039"/>
    <w:rsid w:val="00B50056"/>
    <w:rsid w:val="00B504B3"/>
    <w:rsid w:val="00B505C8"/>
    <w:rsid w:val="00B5068C"/>
    <w:rsid w:val="00B50692"/>
    <w:rsid w:val="00B50DB7"/>
    <w:rsid w:val="00B50F06"/>
    <w:rsid w:val="00B512D2"/>
    <w:rsid w:val="00B5136A"/>
    <w:rsid w:val="00B5156C"/>
    <w:rsid w:val="00B5178C"/>
    <w:rsid w:val="00B51A7E"/>
    <w:rsid w:val="00B51AC5"/>
    <w:rsid w:val="00B51D00"/>
    <w:rsid w:val="00B51D35"/>
    <w:rsid w:val="00B52E24"/>
    <w:rsid w:val="00B53215"/>
    <w:rsid w:val="00B5334E"/>
    <w:rsid w:val="00B53C86"/>
    <w:rsid w:val="00B544E9"/>
    <w:rsid w:val="00B54598"/>
    <w:rsid w:val="00B545DD"/>
    <w:rsid w:val="00B54F4A"/>
    <w:rsid w:val="00B55FA8"/>
    <w:rsid w:val="00B56298"/>
    <w:rsid w:val="00B566D6"/>
    <w:rsid w:val="00B56707"/>
    <w:rsid w:val="00B56B8B"/>
    <w:rsid w:val="00B56E90"/>
    <w:rsid w:val="00B57100"/>
    <w:rsid w:val="00B573DB"/>
    <w:rsid w:val="00B57A2E"/>
    <w:rsid w:val="00B57A99"/>
    <w:rsid w:val="00B60204"/>
    <w:rsid w:val="00B60F1A"/>
    <w:rsid w:val="00B618D6"/>
    <w:rsid w:val="00B6192D"/>
    <w:rsid w:val="00B61FF3"/>
    <w:rsid w:val="00B625E7"/>
    <w:rsid w:val="00B630B6"/>
    <w:rsid w:val="00B63A0B"/>
    <w:rsid w:val="00B63E9C"/>
    <w:rsid w:val="00B63FF4"/>
    <w:rsid w:val="00B64492"/>
    <w:rsid w:val="00B652C9"/>
    <w:rsid w:val="00B65AA1"/>
    <w:rsid w:val="00B65CBB"/>
    <w:rsid w:val="00B65D64"/>
    <w:rsid w:val="00B65D6E"/>
    <w:rsid w:val="00B665FD"/>
    <w:rsid w:val="00B66C95"/>
    <w:rsid w:val="00B66CDA"/>
    <w:rsid w:val="00B66FC6"/>
    <w:rsid w:val="00B673D0"/>
    <w:rsid w:val="00B6765F"/>
    <w:rsid w:val="00B676E4"/>
    <w:rsid w:val="00B67C6A"/>
    <w:rsid w:val="00B67DEB"/>
    <w:rsid w:val="00B67F12"/>
    <w:rsid w:val="00B700C7"/>
    <w:rsid w:val="00B703B7"/>
    <w:rsid w:val="00B70A0F"/>
    <w:rsid w:val="00B70B00"/>
    <w:rsid w:val="00B70C16"/>
    <w:rsid w:val="00B70E63"/>
    <w:rsid w:val="00B70F68"/>
    <w:rsid w:val="00B71156"/>
    <w:rsid w:val="00B71738"/>
    <w:rsid w:val="00B71CF4"/>
    <w:rsid w:val="00B71FD8"/>
    <w:rsid w:val="00B7213B"/>
    <w:rsid w:val="00B726F7"/>
    <w:rsid w:val="00B72A0E"/>
    <w:rsid w:val="00B73747"/>
    <w:rsid w:val="00B738F3"/>
    <w:rsid w:val="00B73A93"/>
    <w:rsid w:val="00B73E52"/>
    <w:rsid w:val="00B73F2F"/>
    <w:rsid w:val="00B74F9F"/>
    <w:rsid w:val="00B752BE"/>
    <w:rsid w:val="00B75911"/>
    <w:rsid w:val="00B75C1E"/>
    <w:rsid w:val="00B76751"/>
    <w:rsid w:val="00B76FB6"/>
    <w:rsid w:val="00B770EA"/>
    <w:rsid w:val="00B777EF"/>
    <w:rsid w:val="00B77CFE"/>
    <w:rsid w:val="00B77D57"/>
    <w:rsid w:val="00B77F33"/>
    <w:rsid w:val="00B8049E"/>
    <w:rsid w:val="00B804A6"/>
    <w:rsid w:val="00B80F0C"/>
    <w:rsid w:val="00B80F64"/>
    <w:rsid w:val="00B81168"/>
    <w:rsid w:val="00B811BD"/>
    <w:rsid w:val="00B81E67"/>
    <w:rsid w:val="00B828E6"/>
    <w:rsid w:val="00B82CC7"/>
    <w:rsid w:val="00B82D53"/>
    <w:rsid w:val="00B82E02"/>
    <w:rsid w:val="00B82E8C"/>
    <w:rsid w:val="00B836B0"/>
    <w:rsid w:val="00B839C7"/>
    <w:rsid w:val="00B83A7A"/>
    <w:rsid w:val="00B8401D"/>
    <w:rsid w:val="00B840BB"/>
    <w:rsid w:val="00B85449"/>
    <w:rsid w:val="00B8569E"/>
    <w:rsid w:val="00B860A1"/>
    <w:rsid w:val="00B864EF"/>
    <w:rsid w:val="00B86D5C"/>
    <w:rsid w:val="00B86E30"/>
    <w:rsid w:val="00B86E50"/>
    <w:rsid w:val="00B870DA"/>
    <w:rsid w:val="00B8712C"/>
    <w:rsid w:val="00B8743E"/>
    <w:rsid w:val="00B874A6"/>
    <w:rsid w:val="00B876EB"/>
    <w:rsid w:val="00B87AB0"/>
    <w:rsid w:val="00B87B3E"/>
    <w:rsid w:val="00B87D58"/>
    <w:rsid w:val="00B87E89"/>
    <w:rsid w:val="00B90445"/>
    <w:rsid w:val="00B905BC"/>
    <w:rsid w:val="00B91864"/>
    <w:rsid w:val="00B91CD1"/>
    <w:rsid w:val="00B920A1"/>
    <w:rsid w:val="00B922D6"/>
    <w:rsid w:val="00B92683"/>
    <w:rsid w:val="00B9295F"/>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1EE3"/>
    <w:rsid w:val="00BA2204"/>
    <w:rsid w:val="00BA2436"/>
    <w:rsid w:val="00BA2636"/>
    <w:rsid w:val="00BA294C"/>
    <w:rsid w:val="00BA2A3E"/>
    <w:rsid w:val="00BA2DB7"/>
    <w:rsid w:val="00BA302D"/>
    <w:rsid w:val="00BA391E"/>
    <w:rsid w:val="00BA392A"/>
    <w:rsid w:val="00BA41A3"/>
    <w:rsid w:val="00BA5037"/>
    <w:rsid w:val="00BA5857"/>
    <w:rsid w:val="00BA5AA0"/>
    <w:rsid w:val="00BA5AD0"/>
    <w:rsid w:val="00BA5B3B"/>
    <w:rsid w:val="00BA62FF"/>
    <w:rsid w:val="00BA67AD"/>
    <w:rsid w:val="00BA67D1"/>
    <w:rsid w:val="00BA6E2D"/>
    <w:rsid w:val="00BA6E65"/>
    <w:rsid w:val="00BA725E"/>
    <w:rsid w:val="00BA79FD"/>
    <w:rsid w:val="00BB01BF"/>
    <w:rsid w:val="00BB051B"/>
    <w:rsid w:val="00BB0702"/>
    <w:rsid w:val="00BB079B"/>
    <w:rsid w:val="00BB0940"/>
    <w:rsid w:val="00BB0E2A"/>
    <w:rsid w:val="00BB1552"/>
    <w:rsid w:val="00BB1CA0"/>
    <w:rsid w:val="00BB1D7F"/>
    <w:rsid w:val="00BB2485"/>
    <w:rsid w:val="00BB25D6"/>
    <w:rsid w:val="00BB293E"/>
    <w:rsid w:val="00BB2E42"/>
    <w:rsid w:val="00BB2EC4"/>
    <w:rsid w:val="00BB458E"/>
    <w:rsid w:val="00BB4C4E"/>
    <w:rsid w:val="00BB4FA1"/>
    <w:rsid w:val="00BB7DFB"/>
    <w:rsid w:val="00BC0026"/>
    <w:rsid w:val="00BC0327"/>
    <w:rsid w:val="00BC07F5"/>
    <w:rsid w:val="00BC0B2D"/>
    <w:rsid w:val="00BC0E9B"/>
    <w:rsid w:val="00BC11A4"/>
    <w:rsid w:val="00BC11CE"/>
    <w:rsid w:val="00BC1A25"/>
    <w:rsid w:val="00BC1FF5"/>
    <w:rsid w:val="00BC2241"/>
    <w:rsid w:val="00BC2513"/>
    <w:rsid w:val="00BC2555"/>
    <w:rsid w:val="00BC27BF"/>
    <w:rsid w:val="00BC2BEA"/>
    <w:rsid w:val="00BC2EB5"/>
    <w:rsid w:val="00BC3C7C"/>
    <w:rsid w:val="00BC4146"/>
    <w:rsid w:val="00BC4662"/>
    <w:rsid w:val="00BC4BDE"/>
    <w:rsid w:val="00BC4C2E"/>
    <w:rsid w:val="00BC4D50"/>
    <w:rsid w:val="00BC5627"/>
    <w:rsid w:val="00BC5B20"/>
    <w:rsid w:val="00BC61A2"/>
    <w:rsid w:val="00BC6403"/>
    <w:rsid w:val="00BC6869"/>
    <w:rsid w:val="00BC6D77"/>
    <w:rsid w:val="00BC6DF2"/>
    <w:rsid w:val="00BC7283"/>
    <w:rsid w:val="00BC74EA"/>
    <w:rsid w:val="00BC77C2"/>
    <w:rsid w:val="00BC7A44"/>
    <w:rsid w:val="00BC7A64"/>
    <w:rsid w:val="00BC7EE5"/>
    <w:rsid w:val="00BC7FD8"/>
    <w:rsid w:val="00BD0946"/>
    <w:rsid w:val="00BD0C65"/>
    <w:rsid w:val="00BD0D94"/>
    <w:rsid w:val="00BD12FA"/>
    <w:rsid w:val="00BD17B3"/>
    <w:rsid w:val="00BD1AA9"/>
    <w:rsid w:val="00BD1ABF"/>
    <w:rsid w:val="00BD2160"/>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CDF"/>
    <w:rsid w:val="00BD5F3D"/>
    <w:rsid w:val="00BD6667"/>
    <w:rsid w:val="00BD687D"/>
    <w:rsid w:val="00BD6C97"/>
    <w:rsid w:val="00BD6EB6"/>
    <w:rsid w:val="00BD6F23"/>
    <w:rsid w:val="00BD7554"/>
    <w:rsid w:val="00BD7E15"/>
    <w:rsid w:val="00BE0028"/>
    <w:rsid w:val="00BE05BB"/>
    <w:rsid w:val="00BE05C6"/>
    <w:rsid w:val="00BE0BAB"/>
    <w:rsid w:val="00BE11F4"/>
    <w:rsid w:val="00BE18FB"/>
    <w:rsid w:val="00BE1FF3"/>
    <w:rsid w:val="00BE21B0"/>
    <w:rsid w:val="00BE23D1"/>
    <w:rsid w:val="00BE251F"/>
    <w:rsid w:val="00BE319E"/>
    <w:rsid w:val="00BE3458"/>
    <w:rsid w:val="00BE35B2"/>
    <w:rsid w:val="00BE39AF"/>
    <w:rsid w:val="00BE3DC6"/>
    <w:rsid w:val="00BE3FB3"/>
    <w:rsid w:val="00BE4151"/>
    <w:rsid w:val="00BE45AD"/>
    <w:rsid w:val="00BE4837"/>
    <w:rsid w:val="00BE4F08"/>
    <w:rsid w:val="00BE581D"/>
    <w:rsid w:val="00BE5C89"/>
    <w:rsid w:val="00BE5DCF"/>
    <w:rsid w:val="00BE5E41"/>
    <w:rsid w:val="00BE5E83"/>
    <w:rsid w:val="00BE63C5"/>
    <w:rsid w:val="00BE6D9C"/>
    <w:rsid w:val="00BE7392"/>
    <w:rsid w:val="00BE774E"/>
    <w:rsid w:val="00BE7B00"/>
    <w:rsid w:val="00BF0000"/>
    <w:rsid w:val="00BF08F8"/>
    <w:rsid w:val="00BF0B70"/>
    <w:rsid w:val="00BF109A"/>
    <w:rsid w:val="00BF14AA"/>
    <w:rsid w:val="00BF188B"/>
    <w:rsid w:val="00BF18B4"/>
    <w:rsid w:val="00BF2341"/>
    <w:rsid w:val="00BF287A"/>
    <w:rsid w:val="00BF28C7"/>
    <w:rsid w:val="00BF2C58"/>
    <w:rsid w:val="00BF2CAE"/>
    <w:rsid w:val="00BF2ED3"/>
    <w:rsid w:val="00BF2F27"/>
    <w:rsid w:val="00BF2FC5"/>
    <w:rsid w:val="00BF3E47"/>
    <w:rsid w:val="00BF4421"/>
    <w:rsid w:val="00BF4786"/>
    <w:rsid w:val="00BF5003"/>
    <w:rsid w:val="00BF520D"/>
    <w:rsid w:val="00BF560D"/>
    <w:rsid w:val="00BF5A7A"/>
    <w:rsid w:val="00BF5C72"/>
    <w:rsid w:val="00BF5E28"/>
    <w:rsid w:val="00BF6154"/>
    <w:rsid w:val="00BF6277"/>
    <w:rsid w:val="00BF633E"/>
    <w:rsid w:val="00BF6C8E"/>
    <w:rsid w:val="00BF77D8"/>
    <w:rsid w:val="00BF7990"/>
    <w:rsid w:val="00C00A46"/>
    <w:rsid w:val="00C00B4E"/>
    <w:rsid w:val="00C00E0A"/>
    <w:rsid w:val="00C00E87"/>
    <w:rsid w:val="00C01A74"/>
    <w:rsid w:val="00C01DAA"/>
    <w:rsid w:val="00C023A7"/>
    <w:rsid w:val="00C02505"/>
    <w:rsid w:val="00C02751"/>
    <w:rsid w:val="00C02ABD"/>
    <w:rsid w:val="00C02DA2"/>
    <w:rsid w:val="00C033F3"/>
    <w:rsid w:val="00C0347D"/>
    <w:rsid w:val="00C036C1"/>
    <w:rsid w:val="00C039EF"/>
    <w:rsid w:val="00C043F5"/>
    <w:rsid w:val="00C046AE"/>
    <w:rsid w:val="00C0470C"/>
    <w:rsid w:val="00C049B4"/>
    <w:rsid w:val="00C04E7C"/>
    <w:rsid w:val="00C053D3"/>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0DFC"/>
    <w:rsid w:val="00C11019"/>
    <w:rsid w:val="00C11906"/>
    <w:rsid w:val="00C127AA"/>
    <w:rsid w:val="00C12869"/>
    <w:rsid w:val="00C1292C"/>
    <w:rsid w:val="00C13AA7"/>
    <w:rsid w:val="00C13E4F"/>
    <w:rsid w:val="00C1412D"/>
    <w:rsid w:val="00C14A42"/>
    <w:rsid w:val="00C15055"/>
    <w:rsid w:val="00C15413"/>
    <w:rsid w:val="00C160DB"/>
    <w:rsid w:val="00C164CA"/>
    <w:rsid w:val="00C16541"/>
    <w:rsid w:val="00C16813"/>
    <w:rsid w:val="00C16A76"/>
    <w:rsid w:val="00C16D55"/>
    <w:rsid w:val="00C16D5A"/>
    <w:rsid w:val="00C16F17"/>
    <w:rsid w:val="00C1745F"/>
    <w:rsid w:val="00C179D4"/>
    <w:rsid w:val="00C201A6"/>
    <w:rsid w:val="00C21033"/>
    <w:rsid w:val="00C215A2"/>
    <w:rsid w:val="00C2198E"/>
    <w:rsid w:val="00C22E71"/>
    <w:rsid w:val="00C23196"/>
    <w:rsid w:val="00C23D1B"/>
    <w:rsid w:val="00C25299"/>
    <w:rsid w:val="00C253F8"/>
    <w:rsid w:val="00C256E5"/>
    <w:rsid w:val="00C2570B"/>
    <w:rsid w:val="00C2587A"/>
    <w:rsid w:val="00C2588E"/>
    <w:rsid w:val="00C26127"/>
    <w:rsid w:val="00C26984"/>
    <w:rsid w:val="00C26A09"/>
    <w:rsid w:val="00C26BEB"/>
    <w:rsid w:val="00C26DAD"/>
    <w:rsid w:val="00C2730F"/>
    <w:rsid w:val="00C27AAF"/>
    <w:rsid w:val="00C27AB0"/>
    <w:rsid w:val="00C27D62"/>
    <w:rsid w:val="00C27DE8"/>
    <w:rsid w:val="00C30113"/>
    <w:rsid w:val="00C3029F"/>
    <w:rsid w:val="00C31298"/>
    <w:rsid w:val="00C3142C"/>
    <w:rsid w:val="00C319AE"/>
    <w:rsid w:val="00C31B3C"/>
    <w:rsid w:val="00C323C2"/>
    <w:rsid w:val="00C32470"/>
    <w:rsid w:val="00C3264D"/>
    <w:rsid w:val="00C328CA"/>
    <w:rsid w:val="00C32A4C"/>
    <w:rsid w:val="00C32B57"/>
    <w:rsid w:val="00C33312"/>
    <w:rsid w:val="00C33542"/>
    <w:rsid w:val="00C335AB"/>
    <w:rsid w:val="00C3376E"/>
    <w:rsid w:val="00C33818"/>
    <w:rsid w:val="00C33DB0"/>
    <w:rsid w:val="00C34498"/>
    <w:rsid w:val="00C344DF"/>
    <w:rsid w:val="00C34CDA"/>
    <w:rsid w:val="00C34D47"/>
    <w:rsid w:val="00C352D1"/>
    <w:rsid w:val="00C353C1"/>
    <w:rsid w:val="00C3543A"/>
    <w:rsid w:val="00C358B2"/>
    <w:rsid w:val="00C365A1"/>
    <w:rsid w:val="00C36FB2"/>
    <w:rsid w:val="00C373DF"/>
    <w:rsid w:val="00C37C88"/>
    <w:rsid w:val="00C37CEA"/>
    <w:rsid w:val="00C401EF"/>
    <w:rsid w:val="00C4089C"/>
    <w:rsid w:val="00C40E58"/>
    <w:rsid w:val="00C4119E"/>
    <w:rsid w:val="00C414AE"/>
    <w:rsid w:val="00C414B5"/>
    <w:rsid w:val="00C41CA0"/>
    <w:rsid w:val="00C41DD4"/>
    <w:rsid w:val="00C421AA"/>
    <w:rsid w:val="00C42768"/>
    <w:rsid w:val="00C42791"/>
    <w:rsid w:val="00C427C2"/>
    <w:rsid w:val="00C4280F"/>
    <w:rsid w:val="00C42BC3"/>
    <w:rsid w:val="00C4325D"/>
    <w:rsid w:val="00C43731"/>
    <w:rsid w:val="00C43820"/>
    <w:rsid w:val="00C4400F"/>
    <w:rsid w:val="00C44996"/>
    <w:rsid w:val="00C44A2A"/>
    <w:rsid w:val="00C44E40"/>
    <w:rsid w:val="00C4568E"/>
    <w:rsid w:val="00C45ABD"/>
    <w:rsid w:val="00C45B55"/>
    <w:rsid w:val="00C4602E"/>
    <w:rsid w:val="00C462B1"/>
    <w:rsid w:val="00C4645C"/>
    <w:rsid w:val="00C46A97"/>
    <w:rsid w:val="00C46C75"/>
    <w:rsid w:val="00C46DF7"/>
    <w:rsid w:val="00C46F33"/>
    <w:rsid w:val="00C471C7"/>
    <w:rsid w:val="00C4747B"/>
    <w:rsid w:val="00C477C4"/>
    <w:rsid w:val="00C47888"/>
    <w:rsid w:val="00C4789C"/>
    <w:rsid w:val="00C47E65"/>
    <w:rsid w:val="00C50EED"/>
    <w:rsid w:val="00C50FD0"/>
    <w:rsid w:val="00C51209"/>
    <w:rsid w:val="00C51413"/>
    <w:rsid w:val="00C51874"/>
    <w:rsid w:val="00C51CD0"/>
    <w:rsid w:val="00C522D7"/>
    <w:rsid w:val="00C525EB"/>
    <w:rsid w:val="00C531E0"/>
    <w:rsid w:val="00C53655"/>
    <w:rsid w:val="00C538B0"/>
    <w:rsid w:val="00C53BBD"/>
    <w:rsid w:val="00C53CC9"/>
    <w:rsid w:val="00C53EBC"/>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D6C"/>
    <w:rsid w:val="00C61E53"/>
    <w:rsid w:val="00C6294B"/>
    <w:rsid w:val="00C6329E"/>
    <w:rsid w:val="00C633CA"/>
    <w:rsid w:val="00C6428B"/>
    <w:rsid w:val="00C644C7"/>
    <w:rsid w:val="00C647FC"/>
    <w:rsid w:val="00C64A51"/>
    <w:rsid w:val="00C64B25"/>
    <w:rsid w:val="00C64B49"/>
    <w:rsid w:val="00C64CE8"/>
    <w:rsid w:val="00C64F7E"/>
    <w:rsid w:val="00C65641"/>
    <w:rsid w:val="00C6641F"/>
    <w:rsid w:val="00C6681C"/>
    <w:rsid w:val="00C66C0A"/>
    <w:rsid w:val="00C66DA4"/>
    <w:rsid w:val="00C6740C"/>
    <w:rsid w:val="00C67885"/>
    <w:rsid w:val="00C67A56"/>
    <w:rsid w:val="00C7020A"/>
    <w:rsid w:val="00C70250"/>
    <w:rsid w:val="00C706F4"/>
    <w:rsid w:val="00C70C43"/>
    <w:rsid w:val="00C70CE8"/>
    <w:rsid w:val="00C71044"/>
    <w:rsid w:val="00C7109B"/>
    <w:rsid w:val="00C71226"/>
    <w:rsid w:val="00C714BA"/>
    <w:rsid w:val="00C714C6"/>
    <w:rsid w:val="00C71611"/>
    <w:rsid w:val="00C71892"/>
    <w:rsid w:val="00C71957"/>
    <w:rsid w:val="00C71B97"/>
    <w:rsid w:val="00C720E3"/>
    <w:rsid w:val="00C723C8"/>
    <w:rsid w:val="00C72542"/>
    <w:rsid w:val="00C72578"/>
    <w:rsid w:val="00C72661"/>
    <w:rsid w:val="00C7343B"/>
    <w:rsid w:val="00C73520"/>
    <w:rsid w:val="00C736AE"/>
    <w:rsid w:val="00C738C6"/>
    <w:rsid w:val="00C73994"/>
    <w:rsid w:val="00C73C3A"/>
    <w:rsid w:val="00C73D72"/>
    <w:rsid w:val="00C7444B"/>
    <w:rsid w:val="00C74F6A"/>
    <w:rsid w:val="00C75646"/>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282D"/>
    <w:rsid w:val="00C82E3E"/>
    <w:rsid w:val="00C82E68"/>
    <w:rsid w:val="00C82E6A"/>
    <w:rsid w:val="00C82F2D"/>
    <w:rsid w:val="00C83208"/>
    <w:rsid w:val="00C83436"/>
    <w:rsid w:val="00C8380E"/>
    <w:rsid w:val="00C83CD5"/>
    <w:rsid w:val="00C843BA"/>
    <w:rsid w:val="00C84653"/>
    <w:rsid w:val="00C85119"/>
    <w:rsid w:val="00C85312"/>
    <w:rsid w:val="00C8537B"/>
    <w:rsid w:val="00C854DC"/>
    <w:rsid w:val="00C855D2"/>
    <w:rsid w:val="00C85C1F"/>
    <w:rsid w:val="00C85F68"/>
    <w:rsid w:val="00C8606A"/>
    <w:rsid w:val="00C860A9"/>
    <w:rsid w:val="00C8616D"/>
    <w:rsid w:val="00C86229"/>
    <w:rsid w:val="00C866BF"/>
    <w:rsid w:val="00C867CE"/>
    <w:rsid w:val="00C86BE8"/>
    <w:rsid w:val="00C86E1B"/>
    <w:rsid w:val="00C8776E"/>
    <w:rsid w:val="00C8791E"/>
    <w:rsid w:val="00C9023F"/>
    <w:rsid w:val="00C9039A"/>
    <w:rsid w:val="00C905D1"/>
    <w:rsid w:val="00C90AB9"/>
    <w:rsid w:val="00C912EA"/>
    <w:rsid w:val="00C91709"/>
    <w:rsid w:val="00C918A3"/>
    <w:rsid w:val="00C91908"/>
    <w:rsid w:val="00C91916"/>
    <w:rsid w:val="00C9194F"/>
    <w:rsid w:val="00C91B14"/>
    <w:rsid w:val="00C92073"/>
    <w:rsid w:val="00C92077"/>
    <w:rsid w:val="00C92D2B"/>
    <w:rsid w:val="00C93378"/>
    <w:rsid w:val="00C9346F"/>
    <w:rsid w:val="00C9359D"/>
    <w:rsid w:val="00C93AF2"/>
    <w:rsid w:val="00C942EB"/>
    <w:rsid w:val="00C94755"/>
    <w:rsid w:val="00C94B96"/>
    <w:rsid w:val="00C952B5"/>
    <w:rsid w:val="00C95683"/>
    <w:rsid w:val="00C95D03"/>
    <w:rsid w:val="00C96101"/>
    <w:rsid w:val="00C96458"/>
    <w:rsid w:val="00C96DD7"/>
    <w:rsid w:val="00C96EE7"/>
    <w:rsid w:val="00C96F98"/>
    <w:rsid w:val="00C971E4"/>
    <w:rsid w:val="00C974AC"/>
    <w:rsid w:val="00C9792D"/>
    <w:rsid w:val="00CA0286"/>
    <w:rsid w:val="00CA0610"/>
    <w:rsid w:val="00CA08CF"/>
    <w:rsid w:val="00CA09E8"/>
    <w:rsid w:val="00CA0C64"/>
    <w:rsid w:val="00CA0D96"/>
    <w:rsid w:val="00CA1C29"/>
    <w:rsid w:val="00CA1E15"/>
    <w:rsid w:val="00CA20D1"/>
    <w:rsid w:val="00CA2110"/>
    <w:rsid w:val="00CA22A9"/>
    <w:rsid w:val="00CA3542"/>
    <w:rsid w:val="00CA3A66"/>
    <w:rsid w:val="00CA3B63"/>
    <w:rsid w:val="00CA4732"/>
    <w:rsid w:val="00CA4EE9"/>
    <w:rsid w:val="00CA4F5D"/>
    <w:rsid w:val="00CA5437"/>
    <w:rsid w:val="00CA5820"/>
    <w:rsid w:val="00CA5F61"/>
    <w:rsid w:val="00CA63F4"/>
    <w:rsid w:val="00CA6743"/>
    <w:rsid w:val="00CA7BBC"/>
    <w:rsid w:val="00CA7F12"/>
    <w:rsid w:val="00CB0047"/>
    <w:rsid w:val="00CB0399"/>
    <w:rsid w:val="00CB08B3"/>
    <w:rsid w:val="00CB13B4"/>
    <w:rsid w:val="00CB17D4"/>
    <w:rsid w:val="00CB228F"/>
    <w:rsid w:val="00CB2626"/>
    <w:rsid w:val="00CB2A54"/>
    <w:rsid w:val="00CB2C0F"/>
    <w:rsid w:val="00CB2F9C"/>
    <w:rsid w:val="00CB36C5"/>
    <w:rsid w:val="00CB39D1"/>
    <w:rsid w:val="00CB3B4E"/>
    <w:rsid w:val="00CB3F68"/>
    <w:rsid w:val="00CB5226"/>
    <w:rsid w:val="00CB58A5"/>
    <w:rsid w:val="00CB59C0"/>
    <w:rsid w:val="00CB5EA6"/>
    <w:rsid w:val="00CB6809"/>
    <w:rsid w:val="00CB7383"/>
    <w:rsid w:val="00CB73CF"/>
    <w:rsid w:val="00CB7EB1"/>
    <w:rsid w:val="00CB7FBC"/>
    <w:rsid w:val="00CC093B"/>
    <w:rsid w:val="00CC164F"/>
    <w:rsid w:val="00CC17C0"/>
    <w:rsid w:val="00CC1BA1"/>
    <w:rsid w:val="00CC22AF"/>
    <w:rsid w:val="00CC23E5"/>
    <w:rsid w:val="00CC2DAD"/>
    <w:rsid w:val="00CC3133"/>
    <w:rsid w:val="00CC3AD1"/>
    <w:rsid w:val="00CC3C76"/>
    <w:rsid w:val="00CC3EA4"/>
    <w:rsid w:val="00CC4044"/>
    <w:rsid w:val="00CC423A"/>
    <w:rsid w:val="00CC4332"/>
    <w:rsid w:val="00CC4478"/>
    <w:rsid w:val="00CC4713"/>
    <w:rsid w:val="00CC48B8"/>
    <w:rsid w:val="00CC4A13"/>
    <w:rsid w:val="00CC4E6A"/>
    <w:rsid w:val="00CC4F6D"/>
    <w:rsid w:val="00CC523A"/>
    <w:rsid w:val="00CC554F"/>
    <w:rsid w:val="00CC5850"/>
    <w:rsid w:val="00CC5AFF"/>
    <w:rsid w:val="00CC5BB6"/>
    <w:rsid w:val="00CC5BED"/>
    <w:rsid w:val="00CC6225"/>
    <w:rsid w:val="00CC6324"/>
    <w:rsid w:val="00CC6337"/>
    <w:rsid w:val="00CC67A0"/>
    <w:rsid w:val="00CC683B"/>
    <w:rsid w:val="00CC6906"/>
    <w:rsid w:val="00CC6C0B"/>
    <w:rsid w:val="00CC73E7"/>
    <w:rsid w:val="00CC74A0"/>
    <w:rsid w:val="00CC758D"/>
    <w:rsid w:val="00CC7C96"/>
    <w:rsid w:val="00CC7DDA"/>
    <w:rsid w:val="00CD0321"/>
    <w:rsid w:val="00CD0711"/>
    <w:rsid w:val="00CD0830"/>
    <w:rsid w:val="00CD0B28"/>
    <w:rsid w:val="00CD109A"/>
    <w:rsid w:val="00CD1307"/>
    <w:rsid w:val="00CD14D7"/>
    <w:rsid w:val="00CD2106"/>
    <w:rsid w:val="00CD21C3"/>
    <w:rsid w:val="00CD2383"/>
    <w:rsid w:val="00CD26A7"/>
    <w:rsid w:val="00CD27AD"/>
    <w:rsid w:val="00CD2EDE"/>
    <w:rsid w:val="00CD2F22"/>
    <w:rsid w:val="00CD3DA9"/>
    <w:rsid w:val="00CD43CF"/>
    <w:rsid w:val="00CD4CA2"/>
    <w:rsid w:val="00CD4CFF"/>
    <w:rsid w:val="00CD550E"/>
    <w:rsid w:val="00CD638A"/>
    <w:rsid w:val="00CD6788"/>
    <w:rsid w:val="00CD6856"/>
    <w:rsid w:val="00CD6871"/>
    <w:rsid w:val="00CD69A1"/>
    <w:rsid w:val="00CD6C6C"/>
    <w:rsid w:val="00CD7675"/>
    <w:rsid w:val="00CD7830"/>
    <w:rsid w:val="00CE0839"/>
    <w:rsid w:val="00CE11CD"/>
    <w:rsid w:val="00CE125B"/>
    <w:rsid w:val="00CE1453"/>
    <w:rsid w:val="00CE177E"/>
    <w:rsid w:val="00CE1A76"/>
    <w:rsid w:val="00CE2107"/>
    <w:rsid w:val="00CE22BD"/>
    <w:rsid w:val="00CE26F5"/>
    <w:rsid w:val="00CE2C0C"/>
    <w:rsid w:val="00CE3910"/>
    <w:rsid w:val="00CE3C68"/>
    <w:rsid w:val="00CE4B63"/>
    <w:rsid w:val="00CE4E58"/>
    <w:rsid w:val="00CE57A0"/>
    <w:rsid w:val="00CE59D5"/>
    <w:rsid w:val="00CE5FD5"/>
    <w:rsid w:val="00CE6A15"/>
    <w:rsid w:val="00CE6B6F"/>
    <w:rsid w:val="00CE6D28"/>
    <w:rsid w:val="00CE6E0B"/>
    <w:rsid w:val="00CE72AF"/>
    <w:rsid w:val="00CE7554"/>
    <w:rsid w:val="00CE7859"/>
    <w:rsid w:val="00CE78C9"/>
    <w:rsid w:val="00CE7DA4"/>
    <w:rsid w:val="00CF020F"/>
    <w:rsid w:val="00CF108F"/>
    <w:rsid w:val="00CF10BE"/>
    <w:rsid w:val="00CF1F4A"/>
    <w:rsid w:val="00CF200B"/>
    <w:rsid w:val="00CF2AA9"/>
    <w:rsid w:val="00CF2BFE"/>
    <w:rsid w:val="00CF2C2A"/>
    <w:rsid w:val="00CF3012"/>
    <w:rsid w:val="00CF32F5"/>
    <w:rsid w:val="00CF33D0"/>
    <w:rsid w:val="00CF364A"/>
    <w:rsid w:val="00CF4F86"/>
    <w:rsid w:val="00CF541F"/>
    <w:rsid w:val="00CF58BD"/>
    <w:rsid w:val="00CF5A2B"/>
    <w:rsid w:val="00CF5F6A"/>
    <w:rsid w:val="00CF6140"/>
    <w:rsid w:val="00CF6452"/>
    <w:rsid w:val="00CF64F0"/>
    <w:rsid w:val="00CF6CB5"/>
    <w:rsid w:val="00CF71E1"/>
    <w:rsid w:val="00CF7319"/>
    <w:rsid w:val="00CF73C0"/>
    <w:rsid w:val="00CF75ED"/>
    <w:rsid w:val="00CF786E"/>
    <w:rsid w:val="00CF7BBB"/>
    <w:rsid w:val="00CF7D48"/>
    <w:rsid w:val="00CF7FF2"/>
    <w:rsid w:val="00D009F2"/>
    <w:rsid w:val="00D00A8D"/>
    <w:rsid w:val="00D010CF"/>
    <w:rsid w:val="00D013EF"/>
    <w:rsid w:val="00D01555"/>
    <w:rsid w:val="00D0184F"/>
    <w:rsid w:val="00D02905"/>
    <w:rsid w:val="00D02A69"/>
    <w:rsid w:val="00D02F0D"/>
    <w:rsid w:val="00D03498"/>
    <w:rsid w:val="00D034A3"/>
    <w:rsid w:val="00D03740"/>
    <w:rsid w:val="00D0394F"/>
    <w:rsid w:val="00D039E8"/>
    <w:rsid w:val="00D03D57"/>
    <w:rsid w:val="00D04677"/>
    <w:rsid w:val="00D04853"/>
    <w:rsid w:val="00D0485A"/>
    <w:rsid w:val="00D048A9"/>
    <w:rsid w:val="00D04D2A"/>
    <w:rsid w:val="00D04DF4"/>
    <w:rsid w:val="00D04F17"/>
    <w:rsid w:val="00D05F35"/>
    <w:rsid w:val="00D06042"/>
    <w:rsid w:val="00D0614D"/>
    <w:rsid w:val="00D064F3"/>
    <w:rsid w:val="00D0697A"/>
    <w:rsid w:val="00D07C64"/>
    <w:rsid w:val="00D10645"/>
    <w:rsid w:val="00D10CEE"/>
    <w:rsid w:val="00D112E9"/>
    <w:rsid w:val="00D113D5"/>
    <w:rsid w:val="00D11D87"/>
    <w:rsid w:val="00D11DF5"/>
    <w:rsid w:val="00D12098"/>
    <w:rsid w:val="00D120BA"/>
    <w:rsid w:val="00D120CC"/>
    <w:rsid w:val="00D122C5"/>
    <w:rsid w:val="00D12779"/>
    <w:rsid w:val="00D127DF"/>
    <w:rsid w:val="00D12902"/>
    <w:rsid w:val="00D1353B"/>
    <w:rsid w:val="00D13A1A"/>
    <w:rsid w:val="00D13D41"/>
    <w:rsid w:val="00D1441F"/>
    <w:rsid w:val="00D14491"/>
    <w:rsid w:val="00D15024"/>
    <w:rsid w:val="00D1516B"/>
    <w:rsid w:val="00D15594"/>
    <w:rsid w:val="00D15687"/>
    <w:rsid w:val="00D1576D"/>
    <w:rsid w:val="00D15F08"/>
    <w:rsid w:val="00D16039"/>
    <w:rsid w:val="00D16062"/>
    <w:rsid w:val="00D1609D"/>
    <w:rsid w:val="00D16488"/>
    <w:rsid w:val="00D1679D"/>
    <w:rsid w:val="00D16BFD"/>
    <w:rsid w:val="00D16D1A"/>
    <w:rsid w:val="00D16D4E"/>
    <w:rsid w:val="00D16E12"/>
    <w:rsid w:val="00D1708D"/>
    <w:rsid w:val="00D170F5"/>
    <w:rsid w:val="00D17755"/>
    <w:rsid w:val="00D17828"/>
    <w:rsid w:val="00D1787C"/>
    <w:rsid w:val="00D17EC9"/>
    <w:rsid w:val="00D20274"/>
    <w:rsid w:val="00D20696"/>
    <w:rsid w:val="00D20BDD"/>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41D3"/>
    <w:rsid w:val="00D242E5"/>
    <w:rsid w:val="00D2431A"/>
    <w:rsid w:val="00D24937"/>
    <w:rsid w:val="00D24947"/>
    <w:rsid w:val="00D249F4"/>
    <w:rsid w:val="00D25D19"/>
    <w:rsid w:val="00D25D26"/>
    <w:rsid w:val="00D26413"/>
    <w:rsid w:val="00D26A04"/>
    <w:rsid w:val="00D26DA1"/>
    <w:rsid w:val="00D26EEC"/>
    <w:rsid w:val="00D26F6A"/>
    <w:rsid w:val="00D26FEF"/>
    <w:rsid w:val="00D272D5"/>
    <w:rsid w:val="00D273E0"/>
    <w:rsid w:val="00D27D78"/>
    <w:rsid w:val="00D27E41"/>
    <w:rsid w:val="00D30307"/>
    <w:rsid w:val="00D3072C"/>
    <w:rsid w:val="00D31131"/>
    <w:rsid w:val="00D31970"/>
    <w:rsid w:val="00D31A27"/>
    <w:rsid w:val="00D31A58"/>
    <w:rsid w:val="00D31AA6"/>
    <w:rsid w:val="00D31D9E"/>
    <w:rsid w:val="00D32394"/>
    <w:rsid w:val="00D324D6"/>
    <w:rsid w:val="00D3265F"/>
    <w:rsid w:val="00D32874"/>
    <w:rsid w:val="00D331F4"/>
    <w:rsid w:val="00D33568"/>
    <w:rsid w:val="00D3359A"/>
    <w:rsid w:val="00D33F14"/>
    <w:rsid w:val="00D3478D"/>
    <w:rsid w:val="00D34851"/>
    <w:rsid w:val="00D348F8"/>
    <w:rsid w:val="00D34B4B"/>
    <w:rsid w:val="00D34BAA"/>
    <w:rsid w:val="00D34CE9"/>
    <w:rsid w:val="00D35758"/>
    <w:rsid w:val="00D35B6A"/>
    <w:rsid w:val="00D3621E"/>
    <w:rsid w:val="00D3638E"/>
    <w:rsid w:val="00D36A4C"/>
    <w:rsid w:val="00D3716F"/>
    <w:rsid w:val="00D40246"/>
    <w:rsid w:val="00D404F6"/>
    <w:rsid w:val="00D40C2C"/>
    <w:rsid w:val="00D40E8E"/>
    <w:rsid w:val="00D40F3D"/>
    <w:rsid w:val="00D41247"/>
    <w:rsid w:val="00D41561"/>
    <w:rsid w:val="00D4160D"/>
    <w:rsid w:val="00D41643"/>
    <w:rsid w:val="00D41C93"/>
    <w:rsid w:val="00D41E72"/>
    <w:rsid w:val="00D42957"/>
    <w:rsid w:val="00D42978"/>
    <w:rsid w:val="00D42DDE"/>
    <w:rsid w:val="00D430F2"/>
    <w:rsid w:val="00D4340A"/>
    <w:rsid w:val="00D435A6"/>
    <w:rsid w:val="00D435FE"/>
    <w:rsid w:val="00D43740"/>
    <w:rsid w:val="00D437C5"/>
    <w:rsid w:val="00D43FEB"/>
    <w:rsid w:val="00D44398"/>
    <w:rsid w:val="00D446A1"/>
    <w:rsid w:val="00D44765"/>
    <w:rsid w:val="00D4486B"/>
    <w:rsid w:val="00D44B5C"/>
    <w:rsid w:val="00D44C10"/>
    <w:rsid w:val="00D44C9B"/>
    <w:rsid w:val="00D45168"/>
    <w:rsid w:val="00D453BA"/>
    <w:rsid w:val="00D454CC"/>
    <w:rsid w:val="00D45B70"/>
    <w:rsid w:val="00D45F3B"/>
    <w:rsid w:val="00D46024"/>
    <w:rsid w:val="00D46301"/>
    <w:rsid w:val="00D46CE1"/>
    <w:rsid w:val="00D46E3F"/>
    <w:rsid w:val="00D4747C"/>
    <w:rsid w:val="00D47905"/>
    <w:rsid w:val="00D4797D"/>
    <w:rsid w:val="00D505E0"/>
    <w:rsid w:val="00D511C2"/>
    <w:rsid w:val="00D51684"/>
    <w:rsid w:val="00D5175C"/>
    <w:rsid w:val="00D51ACC"/>
    <w:rsid w:val="00D51C1D"/>
    <w:rsid w:val="00D51D95"/>
    <w:rsid w:val="00D52512"/>
    <w:rsid w:val="00D52B83"/>
    <w:rsid w:val="00D52F5C"/>
    <w:rsid w:val="00D530FB"/>
    <w:rsid w:val="00D534FD"/>
    <w:rsid w:val="00D53B75"/>
    <w:rsid w:val="00D53FB0"/>
    <w:rsid w:val="00D540AD"/>
    <w:rsid w:val="00D54139"/>
    <w:rsid w:val="00D5420E"/>
    <w:rsid w:val="00D544A3"/>
    <w:rsid w:val="00D54833"/>
    <w:rsid w:val="00D5485B"/>
    <w:rsid w:val="00D54BFA"/>
    <w:rsid w:val="00D54DC7"/>
    <w:rsid w:val="00D55380"/>
    <w:rsid w:val="00D55671"/>
    <w:rsid w:val="00D55790"/>
    <w:rsid w:val="00D55A01"/>
    <w:rsid w:val="00D55B43"/>
    <w:rsid w:val="00D55E0A"/>
    <w:rsid w:val="00D56373"/>
    <w:rsid w:val="00D56BB7"/>
    <w:rsid w:val="00D56DA5"/>
    <w:rsid w:val="00D56E7D"/>
    <w:rsid w:val="00D5743F"/>
    <w:rsid w:val="00D577CA"/>
    <w:rsid w:val="00D57C16"/>
    <w:rsid w:val="00D57F6E"/>
    <w:rsid w:val="00D60249"/>
    <w:rsid w:val="00D60644"/>
    <w:rsid w:val="00D60844"/>
    <w:rsid w:val="00D60981"/>
    <w:rsid w:val="00D614EF"/>
    <w:rsid w:val="00D63085"/>
    <w:rsid w:val="00D6368F"/>
    <w:rsid w:val="00D63A92"/>
    <w:rsid w:val="00D63F7C"/>
    <w:rsid w:val="00D64099"/>
    <w:rsid w:val="00D64361"/>
    <w:rsid w:val="00D64770"/>
    <w:rsid w:val="00D64B2A"/>
    <w:rsid w:val="00D64BCD"/>
    <w:rsid w:val="00D64D32"/>
    <w:rsid w:val="00D65156"/>
    <w:rsid w:val="00D652AE"/>
    <w:rsid w:val="00D6553B"/>
    <w:rsid w:val="00D6566C"/>
    <w:rsid w:val="00D65A01"/>
    <w:rsid w:val="00D65E41"/>
    <w:rsid w:val="00D66903"/>
    <w:rsid w:val="00D66B56"/>
    <w:rsid w:val="00D66F61"/>
    <w:rsid w:val="00D6729C"/>
    <w:rsid w:val="00D678D6"/>
    <w:rsid w:val="00D67EEC"/>
    <w:rsid w:val="00D70BDB"/>
    <w:rsid w:val="00D7162F"/>
    <w:rsid w:val="00D7215B"/>
    <w:rsid w:val="00D731E0"/>
    <w:rsid w:val="00D7323E"/>
    <w:rsid w:val="00D7353A"/>
    <w:rsid w:val="00D74081"/>
    <w:rsid w:val="00D7418F"/>
    <w:rsid w:val="00D741E9"/>
    <w:rsid w:val="00D74244"/>
    <w:rsid w:val="00D7494B"/>
    <w:rsid w:val="00D74BA2"/>
    <w:rsid w:val="00D74CA4"/>
    <w:rsid w:val="00D74F92"/>
    <w:rsid w:val="00D75404"/>
    <w:rsid w:val="00D75A0E"/>
    <w:rsid w:val="00D75D6D"/>
    <w:rsid w:val="00D75D71"/>
    <w:rsid w:val="00D76621"/>
    <w:rsid w:val="00D77266"/>
    <w:rsid w:val="00D777EA"/>
    <w:rsid w:val="00D80195"/>
    <w:rsid w:val="00D801BC"/>
    <w:rsid w:val="00D813DD"/>
    <w:rsid w:val="00D818D3"/>
    <w:rsid w:val="00D81C19"/>
    <w:rsid w:val="00D81FBB"/>
    <w:rsid w:val="00D821CD"/>
    <w:rsid w:val="00D8283E"/>
    <w:rsid w:val="00D8292B"/>
    <w:rsid w:val="00D82A82"/>
    <w:rsid w:val="00D82E3F"/>
    <w:rsid w:val="00D82F05"/>
    <w:rsid w:val="00D8302A"/>
    <w:rsid w:val="00D8312C"/>
    <w:rsid w:val="00D83131"/>
    <w:rsid w:val="00D83AD2"/>
    <w:rsid w:val="00D84402"/>
    <w:rsid w:val="00D849CB"/>
    <w:rsid w:val="00D84B27"/>
    <w:rsid w:val="00D85027"/>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2CC"/>
    <w:rsid w:val="00D903B6"/>
    <w:rsid w:val="00D906C8"/>
    <w:rsid w:val="00D91336"/>
    <w:rsid w:val="00D91635"/>
    <w:rsid w:val="00D91D39"/>
    <w:rsid w:val="00D91F54"/>
    <w:rsid w:val="00D924F1"/>
    <w:rsid w:val="00D9279F"/>
    <w:rsid w:val="00D92826"/>
    <w:rsid w:val="00D92C16"/>
    <w:rsid w:val="00D92C90"/>
    <w:rsid w:val="00D92D65"/>
    <w:rsid w:val="00D932E7"/>
    <w:rsid w:val="00D9334E"/>
    <w:rsid w:val="00D94054"/>
    <w:rsid w:val="00D943C7"/>
    <w:rsid w:val="00D94A56"/>
    <w:rsid w:val="00D94AD9"/>
    <w:rsid w:val="00D94B99"/>
    <w:rsid w:val="00D94CA0"/>
    <w:rsid w:val="00D94CF9"/>
    <w:rsid w:val="00D94E37"/>
    <w:rsid w:val="00D955B9"/>
    <w:rsid w:val="00D956F7"/>
    <w:rsid w:val="00D95725"/>
    <w:rsid w:val="00D96015"/>
    <w:rsid w:val="00D96044"/>
    <w:rsid w:val="00D96422"/>
    <w:rsid w:val="00D96880"/>
    <w:rsid w:val="00D96CE3"/>
    <w:rsid w:val="00D96FF3"/>
    <w:rsid w:val="00D9780A"/>
    <w:rsid w:val="00D978D1"/>
    <w:rsid w:val="00D97D24"/>
    <w:rsid w:val="00D97E9D"/>
    <w:rsid w:val="00D97EC4"/>
    <w:rsid w:val="00DA01E5"/>
    <w:rsid w:val="00DA04A6"/>
    <w:rsid w:val="00DA09E5"/>
    <w:rsid w:val="00DA0A3B"/>
    <w:rsid w:val="00DA0D8E"/>
    <w:rsid w:val="00DA1058"/>
    <w:rsid w:val="00DA1568"/>
    <w:rsid w:val="00DA1A3E"/>
    <w:rsid w:val="00DA26BB"/>
    <w:rsid w:val="00DA279B"/>
    <w:rsid w:val="00DA2824"/>
    <w:rsid w:val="00DA3343"/>
    <w:rsid w:val="00DA3860"/>
    <w:rsid w:val="00DA38BE"/>
    <w:rsid w:val="00DA3A75"/>
    <w:rsid w:val="00DA3BEA"/>
    <w:rsid w:val="00DA4520"/>
    <w:rsid w:val="00DA487E"/>
    <w:rsid w:val="00DA4E0D"/>
    <w:rsid w:val="00DA50AA"/>
    <w:rsid w:val="00DA56C7"/>
    <w:rsid w:val="00DA58A2"/>
    <w:rsid w:val="00DA5A0C"/>
    <w:rsid w:val="00DA5FEE"/>
    <w:rsid w:val="00DA6280"/>
    <w:rsid w:val="00DA62D5"/>
    <w:rsid w:val="00DA635E"/>
    <w:rsid w:val="00DA643F"/>
    <w:rsid w:val="00DA68C2"/>
    <w:rsid w:val="00DA7399"/>
    <w:rsid w:val="00DA7402"/>
    <w:rsid w:val="00DA74F3"/>
    <w:rsid w:val="00DA75D7"/>
    <w:rsid w:val="00DA7A8E"/>
    <w:rsid w:val="00DA7B94"/>
    <w:rsid w:val="00DA7EE2"/>
    <w:rsid w:val="00DA7F0C"/>
    <w:rsid w:val="00DB01D7"/>
    <w:rsid w:val="00DB030E"/>
    <w:rsid w:val="00DB04B2"/>
    <w:rsid w:val="00DB08C1"/>
    <w:rsid w:val="00DB0ACF"/>
    <w:rsid w:val="00DB0B07"/>
    <w:rsid w:val="00DB0C04"/>
    <w:rsid w:val="00DB0EFB"/>
    <w:rsid w:val="00DB1417"/>
    <w:rsid w:val="00DB1CAA"/>
    <w:rsid w:val="00DB1E1E"/>
    <w:rsid w:val="00DB1F7A"/>
    <w:rsid w:val="00DB3650"/>
    <w:rsid w:val="00DB4321"/>
    <w:rsid w:val="00DB4330"/>
    <w:rsid w:val="00DB487E"/>
    <w:rsid w:val="00DB4D6E"/>
    <w:rsid w:val="00DB520E"/>
    <w:rsid w:val="00DB5770"/>
    <w:rsid w:val="00DB588D"/>
    <w:rsid w:val="00DB6051"/>
    <w:rsid w:val="00DB649D"/>
    <w:rsid w:val="00DB67B4"/>
    <w:rsid w:val="00DB6BFB"/>
    <w:rsid w:val="00DB6DBB"/>
    <w:rsid w:val="00DB6FB1"/>
    <w:rsid w:val="00DB72DB"/>
    <w:rsid w:val="00DB7535"/>
    <w:rsid w:val="00DB76B7"/>
    <w:rsid w:val="00DB7B5F"/>
    <w:rsid w:val="00DB7D7D"/>
    <w:rsid w:val="00DB7E78"/>
    <w:rsid w:val="00DC022D"/>
    <w:rsid w:val="00DC0362"/>
    <w:rsid w:val="00DC0595"/>
    <w:rsid w:val="00DC05AF"/>
    <w:rsid w:val="00DC0970"/>
    <w:rsid w:val="00DC1587"/>
    <w:rsid w:val="00DC16B4"/>
    <w:rsid w:val="00DC1AB8"/>
    <w:rsid w:val="00DC1C5B"/>
    <w:rsid w:val="00DC2C6F"/>
    <w:rsid w:val="00DC32F2"/>
    <w:rsid w:val="00DC347F"/>
    <w:rsid w:val="00DC43A5"/>
    <w:rsid w:val="00DC4837"/>
    <w:rsid w:val="00DC4A3A"/>
    <w:rsid w:val="00DC51E6"/>
    <w:rsid w:val="00DC584B"/>
    <w:rsid w:val="00DC645B"/>
    <w:rsid w:val="00DC6534"/>
    <w:rsid w:val="00DC66C9"/>
    <w:rsid w:val="00DC7029"/>
    <w:rsid w:val="00DC72C7"/>
    <w:rsid w:val="00DC743E"/>
    <w:rsid w:val="00DC792B"/>
    <w:rsid w:val="00DC7B05"/>
    <w:rsid w:val="00DC7E8E"/>
    <w:rsid w:val="00DD0176"/>
    <w:rsid w:val="00DD110B"/>
    <w:rsid w:val="00DD2077"/>
    <w:rsid w:val="00DD21D3"/>
    <w:rsid w:val="00DD2AD4"/>
    <w:rsid w:val="00DD2EDE"/>
    <w:rsid w:val="00DD3141"/>
    <w:rsid w:val="00DD3657"/>
    <w:rsid w:val="00DD3806"/>
    <w:rsid w:val="00DD3DC0"/>
    <w:rsid w:val="00DD421B"/>
    <w:rsid w:val="00DD4C73"/>
    <w:rsid w:val="00DD56DE"/>
    <w:rsid w:val="00DD66C7"/>
    <w:rsid w:val="00DD6949"/>
    <w:rsid w:val="00DD6A24"/>
    <w:rsid w:val="00DD6A9C"/>
    <w:rsid w:val="00DD7466"/>
    <w:rsid w:val="00DD74DC"/>
    <w:rsid w:val="00DD77F4"/>
    <w:rsid w:val="00DE05B8"/>
    <w:rsid w:val="00DE1276"/>
    <w:rsid w:val="00DE12E2"/>
    <w:rsid w:val="00DE1776"/>
    <w:rsid w:val="00DE1B3F"/>
    <w:rsid w:val="00DE1BF0"/>
    <w:rsid w:val="00DE1E00"/>
    <w:rsid w:val="00DE1E9C"/>
    <w:rsid w:val="00DE2571"/>
    <w:rsid w:val="00DE261E"/>
    <w:rsid w:val="00DE2AF4"/>
    <w:rsid w:val="00DE33E2"/>
    <w:rsid w:val="00DE35AF"/>
    <w:rsid w:val="00DE3653"/>
    <w:rsid w:val="00DE39E9"/>
    <w:rsid w:val="00DE3C57"/>
    <w:rsid w:val="00DE3D56"/>
    <w:rsid w:val="00DE3FFC"/>
    <w:rsid w:val="00DE4260"/>
    <w:rsid w:val="00DE44C0"/>
    <w:rsid w:val="00DE47ED"/>
    <w:rsid w:val="00DE4E24"/>
    <w:rsid w:val="00DE50D8"/>
    <w:rsid w:val="00DE5128"/>
    <w:rsid w:val="00DE5371"/>
    <w:rsid w:val="00DE56DB"/>
    <w:rsid w:val="00DE5EEA"/>
    <w:rsid w:val="00DE5FFB"/>
    <w:rsid w:val="00DE6074"/>
    <w:rsid w:val="00DE61CB"/>
    <w:rsid w:val="00DE61CF"/>
    <w:rsid w:val="00DE623F"/>
    <w:rsid w:val="00DE62BC"/>
    <w:rsid w:val="00DE6C1E"/>
    <w:rsid w:val="00DE6DCC"/>
    <w:rsid w:val="00DE6DDC"/>
    <w:rsid w:val="00DE720B"/>
    <w:rsid w:val="00DE744F"/>
    <w:rsid w:val="00DE761F"/>
    <w:rsid w:val="00DE77B2"/>
    <w:rsid w:val="00DE77E5"/>
    <w:rsid w:val="00DE7C40"/>
    <w:rsid w:val="00DE7CD4"/>
    <w:rsid w:val="00DF0536"/>
    <w:rsid w:val="00DF05B5"/>
    <w:rsid w:val="00DF069F"/>
    <w:rsid w:val="00DF085A"/>
    <w:rsid w:val="00DF0985"/>
    <w:rsid w:val="00DF12EF"/>
    <w:rsid w:val="00DF1528"/>
    <w:rsid w:val="00DF1B1F"/>
    <w:rsid w:val="00DF23D5"/>
    <w:rsid w:val="00DF27E7"/>
    <w:rsid w:val="00DF2ABC"/>
    <w:rsid w:val="00DF3148"/>
    <w:rsid w:val="00DF3640"/>
    <w:rsid w:val="00DF39B7"/>
    <w:rsid w:val="00DF3DDF"/>
    <w:rsid w:val="00DF48B2"/>
    <w:rsid w:val="00DF4D73"/>
    <w:rsid w:val="00DF4ECE"/>
    <w:rsid w:val="00DF529F"/>
    <w:rsid w:val="00DF5381"/>
    <w:rsid w:val="00DF56AD"/>
    <w:rsid w:val="00DF56B4"/>
    <w:rsid w:val="00DF5B89"/>
    <w:rsid w:val="00DF5BB4"/>
    <w:rsid w:val="00DF5C03"/>
    <w:rsid w:val="00DF5CE6"/>
    <w:rsid w:val="00DF5F5F"/>
    <w:rsid w:val="00DF64FB"/>
    <w:rsid w:val="00DF68D0"/>
    <w:rsid w:val="00DF71C8"/>
    <w:rsid w:val="00DF730D"/>
    <w:rsid w:val="00DF7360"/>
    <w:rsid w:val="00DF740E"/>
    <w:rsid w:val="00E00474"/>
    <w:rsid w:val="00E008E3"/>
    <w:rsid w:val="00E0126D"/>
    <w:rsid w:val="00E01B7D"/>
    <w:rsid w:val="00E01D56"/>
    <w:rsid w:val="00E01E9D"/>
    <w:rsid w:val="00E01F6B"/>
    <w:rsid w:val="00E021F4"/>
    <w:rsid w:val="00E02445"/>
    <w:rsid w:val="00E0269A"/>
    <w:rsid w:val="00E034BF"/>
    <w:rsid w:val="00E0366A"/>
    <w:rsid w:val="00E038B2"/>
    <w:rsid w:val="00E03968"/>
    <w:rsid w:val="00E04408"/>
    <w:rsid w:val="00E045F2"/>
    <w:rsid w:val="00E04683"/>
    <w:rsid w:val="00E04A38"/>
    <w:rsid w:val="00E04F55"/>
    <w:rsid w:val="00E0501A"/>
    <w:rsid w:val="00E05385"/>
    <w:rsid w:val="00E0581A"/>
    <w:rsid w:val="00E05BDA"/>
    <w:rsid w:val="00E06E8B"/>
    <w:rsid w:val="00E06EFE"/>
    <w:rsid w:val="00E073D0"/>
    <w:rsid w:val="00E073EE"/>
    <w:rsid w:val="00E078FC"/>
    <w:rsid w:val="00E07BDC"/>
    <w:rsid w:val="00E07EB1"/>
    <w:rsid w:val="00E10A38"/>
    <w:rsid w:val="00E10AC8"/>
    <w:rsid w:val="00E10DE7"/>
    <w:rsid w:val="00E10EF6"/>
    <w:rsid w:val="00E1164E"/>
    <w:rsid w:val="00E116AA"/>
    <w:rsid w:val="00E11EA5"/>
    <w:rsid w:val="00E12345"/>
    <w:rsid w:val="00E12365"/>
    <w:rsid w:val="00E12538"/>
    <w:rsid w:val="00E12811"/>
    <w:rsid w:val="00E1332C"/>
    <w:rsid w:val="00E134C7"/>
    <w:rsid w:val="00E13681"/>
    <w:rsid w:val="00E136FE"/>
    <w:rsid w:val="00E13E86"/>
    <w:rsid w:val="00E14058"/>
    <w:rsid w:val="00E141F2"/>
    <w:rsid w:val="00E143CF"/>
    <w:rsid w:val="00E14883"/>
    <w:rsid w:val="00E14885"/>
    <w:rsid w:val="00E14886"/>
    <w:rsid w:val="00E14C7C"/>
    <w:rsid w:val="00E14E7B"/>
    <w:rsid w:val="00E1536D"/>
    <w:rsid w:val="00E1552F"/>
    <w:rsid w:val="00E15B3B"/>
    <w:rsid w:val="00E160D7"/>
    <w:rsid w:val="00E167DB"/>
    <w:rsid w:val="00E16F32"/>
    <w:rsid w:val="00E17317"/>
    <w:rsid w:val="00E1742B"/>
    <w:rsid w:val="00E1766D"/>
    <w:rsid w:val="00E2001D"/>
    <w:rsid w:val="00E203ED"/>
    <w:rsid w:val="00E204B3"/>
    <w:rsid w:val="00E20528"/>
    <w:rsid w:val="00E2055B"/>
    <w:rsid w:val="00E20BBF"/>
    <w:rsid w:val="00E20EFC"/>
    <w:rsid w:val="00E2120D"/>
    <w:rsid w:val="00E21280"/>
    <w:rsid w:val="00E213B0"/>
    <w:rsid w:val="00E2149F"/>
    <w:rsid w:val="00E2185B"/>
    <w:rsid w:val="00E21873"/>
    <w:rsid w:val="00E2255A"/>
    <w:rsid w:val="00E2258F"/>
    <w:rsid w:val="00E22C47"/>
    <w:rsid w:val="00E22D36"/>
    <w:rsid w:val="00E22F51"/>
    <w:rsid w:val="00E2371C"/>
    <w:rsid w:val="00E23938"/>
    <w:rsid w:val="00E24C27"/>
    <w:rsid w:val="00E24EF4"/>
    <w:rsid w:val="00E25319"/>
    <w:rsid w:val="00E25A4E"/>
    <w:rsid w:val="00E264E0"/>
    <w:rsid w:val="00E268F8"/>
    <w:rsid w:val="00E2721B"/>
    <w:rsid w:val="00E27299"/>
    <w:rsid w:val="00E2780D"/>
    <w:rsid w:val="00E2795A"/>
    <w:rsid w:val="00E27E8A"/>
    <w:rsid w:val="00E30244"/>
    <w:rsid w:val="00E307AE"/>
    <w:rsid w:val="00E30926"/>
    <w:rsid w:val="00E31092"/>
    <w:rsid w:val="00E31560"/>
    <w:rsid w:val="00E31C5A"/>
    <w:rsid w:val="00E31E82"/>
    <w:rsid w:val="00E32277"/>
    <w:rsid w:val="00E32287"/>
    <w:rsid w:val="00E32752"/>
    <w:rsid w:val="00E32F31"/>
    <w:rsid w:val="00E32F5E"/>
    <w:rsid w:val="00E33140"/>
    <w:rsid w:val="00E33550"/>
    <w:rsid w:val="00E3377C"/>
    <w:rsid w:val="00E3403D"/>
    <w:rsid w:val="00E34D85"/>
    <w:rsid w:val="00E35C67"/>
    <w:rsid w:val="00E35E20"/>
    <w:rsid w:val="00E35E8F"/>
    <w:rsid w:val="00E35F27"/>
    <w:rsid w:val="00E3641B"/>
    <w:rsid w:val="00E3649A"/>
    <w:rsid w:val="00E36535"/>
    <w:rsid w:val="00E36675"/>
    <w:rsid w:val="00E36D1F"/>
    <w:rsid w:val="00E3730D"/>
    <w:rsid w:val="00E374BA"/>
    <w:rsid w:val="00E376A3"/>
    <w:rsid w:val="00E37953"/>
    <w:rsid w:val="00E402F1"/>
    <w:rsid w:val="00E4060F"/>
    <w:rsid w:val="00E407F8"/>
    <w:rsid w:val="00E40E42"/>
    <w:rsid w:val="00E4113B"/>
    <w:rsid w:val="00E4130A"/>
    <w:rsid w:val="00E41439"/>
    <w:rsid w:val="00E416EF"/>
    <w:rsid w:val="00E41EBD"/>
    <w:rsid w:val="00E42334"/>
    <w:rsid w:val="00E4237D"/>
    <w:rsid w:val="00E42667"/>
    <w:rsid w:val="00E42B0C"/>
    <w:rsid w:val="00E42BAF"/>
    <w:rsid w:val="00E42E69"/>
    <w:rsid w:val="00E43325"/>
    <w:rsid w:val="00E437AD"/>
    <w:rsid w:val="00E43BC9"/>
    <w:rsid w:val="00E440BF"/>
    <w:rsid w:val="00E4415C"/>
    <w:rsid w:val="00E451C1"/>
    <w:rsid w:val="00E460FA"/>
    <w:rsid w:val="00E464FB"/>
    <w:rsid w:val="00E46675"/>
    <w:rsid w:val="00E47078"/>
    <w:rsid w:val="00E47619"/>
    <w:rsid w:val="00E47729"/>
    <w:rsid w:val="00E47AA9"/>
    <w:rsid w:val="00E47C48"/>
    <w:rsid w:val="00E50177"/>
    <w:rsid w:val="00E505CC"/>
    <w:rsid w:val="00E50712"/>
    <w:rsid w:val="00E50978"/>
    <w:rsid w:val="00E50ABB"/>
    <w:rsid w:val="00E50F49"/>
    <w:rsid w:val="00E5109C"/>
    <w:rsid w:val="00E5122A"/>
    <w:rsid w:val="00E51474"/>
    <w:rsid w:val="00E514E9"/>
    <w:rsid w:val="00E52716"/>
    <w:rsid w:val="00E53BD5"/>
    <w:rsid w:val="00E53FD4"/>
    <w:rsid w:val="00E54903"/>
    <w:rsid w:val="00E54AC2"/>
    <w:rsid w:val="00E54B71"/>
    <w:rsid w:val="00E54F62"/>
    <w:rsid w:val="00E54F69"/>
    <w:rsid w:val="00E55733"/>
    <w:rsid w:val="00E55CAE"/>
    <w:rsid w:val="00E56682"/>
    <w:rsid w:val="00E56A6F"/>
    <w:rsid w:val="00E56F9F"/>
    <w:rsid w:val="00E57C57"/>
    <w:rsid w:val="00E600B8"/>
    <w:rsid w:val="00E603A8"/>
    <w:rsid w:val="00E60FB7"/>
    <w:rsid w:val="00E619FB"/>
    <w:rsid w:val="00E61A6C"/>
    <w:rsid w:val="00E61D76"/>
    <w:rsid w:val="00E61DB5"/>
    <w:rsid w:val="00E6205D"/>
    <w:rsid w:val="00E6219E"/>
    <w:rsid w:val="00E629D7"/>
    <w:rsid w:val="00E6344D"/>
    <w:rsid w:val="00E6363C"/>
    <w:rsid w:val="00E638B3"/>
    <w:rsid w:val="00E64385"/>
    <w:rsid w:val="00E64AE4"/>
    <w:rsid w:val="00E651B9"/>
    <w:rsid w:val="00E65C2D"/>
    <w:rsid w:val="00E65F31"/>
    <w:rsid w:val="00E65F52"/>
    <w:rsid w:val="00E66639"/>
    <w:rsid w:val="00E66690"/>
    <w:rsid w:val="00E66C8E"/>
    <w:rsid w:val="00E66D9F"/>
    <w:rsid w:val="00E66E3C"/>
    <w:rsid w:val="00E66E99"/>
    <w:rsid w:val="00E6712F"/>
    <w:rsid w:val="00E6775F"/>
    <w:rsid w:val="00E67C35"/>
    <w:rsid w:val="00E67E91"/>
    <w:rsid w:val="00E7086E"/>
    <w:rsid w:val="00E709D9"/>
    <w:rsid w:val="00E70A0B"/>
    <w:rsid w:val="00E70B58"/>
    <w:rsid w:val="00E70D33"/>
    <w:rsid w:val="00E7170F"/>
    <w:rsid w:val="00E71D1E"/>
    <w:rsid w:val="00E720EE"/>
    <w:rsid w:val="00E72402"/>
    <w:rsid w:val="00E7246E"/>
    <w:rsid w:val="00E7272C"/>
    <w:rsid w:val="00E7316E"/>
    <w:rsid w:val="00E735E6"/>
    <w:rsid w:val="00E7395C"/>
    <w:rsid w:val="00E742C2"/>
    <w:rsid w:val="00E74668"/>
    <w:rsid w:val="00E74A30"/>
    <w:rsid w:val="00E74B27"/>
    <w:rsid w:val="00E74DEB"/>
    <w:rsid w:val="00E755CD"/>
    <w:rsid w:val="00E75AEF"/>
    <w:rsid w:val="00E75E49"/>
    <w:rsid w:val="00E76600"/>
    <w:rsid w:val="00E768E7"/>
    <w:rsid w:val="00E769DD"/>
    <w:rsid w:val="00E77384"/>
    <w:rsid w:val="00E77966"/>
    <w:rsid w:val="00E77B57"/>
    <w:rsid w:val="00E80341"/>
    <w:rsid w:val="00E806F0"/>
    <w:rsid w:val="00E80826"/>
    <w:rsid w:val="00E810E9"/>
    <w:rsid w:val="00E81A47"/>
    <w:rsid w:val="00E81FB0"/>
    <w:rsid w:val="00E8209E"/>
    <w:rsid w:val="00E8214F"/>
    <w:rsid w:val="00E822A3"/>
    <w:rsid w:val="00E8319E"/>
    <w:rsid w:val="00E83462"/>
    <w:rsid w:val="00E83973"/>
    <w:rsid w:val="00E83C9B"/>
    <w:rsid w:val="00E83FB5"/>
    <w:rsid w:val="00E8407C"/>
    <w:rsid w:val="00E84481"/>
    <w:rsid w:val="00E8487A"/>
    <w:rsid w:val="00E848B3"/>
    <w:rsid w:val="00E84E2C"/>
    <w:rsid w:val="00E84E92"/>
    <w:rsid w:val="00E85135"/>
    <w:rsid w:val="00E851C6"/>
    <w:rsid w:val="00E852CB"/>
    <w:rsid w:val="00E853E1"/>
    <w:rsid w:val="00E8566D"/>
    <w:rsid w:val="00E85841"/>
    <w:rsid w:val="00E85E9A"/>
    <w:rsid w:val="00E860AE"/>
    <w:rsid w:val="00E861DE"/>
    <w:rsid w:val="00E8661C"/>
    <w:rsid w:val="00E86A44"/>
    <w:rsid w:val="00E871FA"/>
    <w:rsid w:val="00E87525"/>
    <w:rsid w:val="00E904FD"/>
    <w:rsid w:val="00E90AAF"/>
    <w:rsid w:val="00E90E70"/>
    <w:rsid w:val="00E9101F"/>
    <w:rsid w:val="00E9151C"/>
    <w:rsid w:val="00E919A1"/>
    <w:rsid w:val="00E924AA"/>
    <w:rsid w:val="00E92B05"/>
    <w:rsid w:val="00E930F4"/>
    <w:rsid w:val="00E9360B"/>
    <w:rsid w:val="00E942CF"/>
    <w:rsid w:val="00E94420"/>
    <w:rsid w:val="00E947C0"/>
    <w:rsid w:val="00E9496A"/>
    <w:rsid w:val="00E949F4"/>
    <w:rsid w:val="00E958A3"/>
    <w:rsid w:val="00E96512"/>
    <w:rsid w:val="00E96A06"/>
    <w:rsid w:val="00E96AB7"/>
    <w:rsid w:val="00E96D1F"/>
    <w:rsid w:val="00E96F92"/>
    <w:rsid w:val="00E973C9"/>
    <w:rsid w:val="00E975EF"/>
    <w:rsid w:val="00E978F5"/>
    <w:rsid w:val="00E97A14"/>
    <w:rsid w:val="00EA042A"/>
    <w:rsid w:val="00EA06B6"/>
    <w:rsid w:val="00EA0A0F"/>
    <w:rsid w:val="00EA1886"/>
    <w:rsid w:val="00EA21A8"/>
    <w:rsid w:val="00EA2633"/>
    <w:rsid w:val="00EA26C2"/>
    <w:rsid w:val="00EA26F5"/>
    <w:rsid w:val="00EA272D"/>
    <w:rsid w:val="00EA2FF0"/>
    <w:rsid w:val="00EA3347"/>
    <w:rsid w:val="00EA34CD"/>
    <w:rsid w:val="00EA3B78"/>
    <w:rsid w:val="00EA3CE7"/>
    <w:rsid w:val="00EA3ECE"/>
    <w:rsid w:val="00EA4356"/>
    <w:rsid w:val="00EA4E2F"/>
    <w:rsid w:val="00EA4F80"/>
    <w:rsid w:val="00EA517D"/>
    <w:rsid w:val="00EA5BBE"/>
    <w:rsid w:val="00EA5CA9"/>
    <w:rsid w:val="00EA5DC4"/>
    <w:rsid w:val="00EA60BA"/>
    <w:rsid w:val="00EA6256"/>
    <w:rsid w:val="00EA642C"/>
    <w:rsid w:val="00EA6A6C"/>
    <w:rsid w:val="00EA6AE5"/>
    <w:rsid w:val="00EA6DAD"/>
    <w:rsid w:val="00EA7BFF"/>
    <w:rsid w:val="00EA7F97"/>
    <w:rsid w:val="00EB00CC"/>
    <w:rsid w:val="00EB0FF1"/>
    <w:rsid w:val="00EB1169"/>
    <w:rsid w:val="00EB11D5"/>
    <w:rsid w:val="00EB170F"/>
    <w:rsid w:val="00EB194D"/>
    <w:rsid w:val="00EB1C05"/>
    <w:rsid w:val="00EB1C62"/>
    <w:rsid w:val="00EB1C87"/>
    <w:rsid w:val="00EB1E2C"/>
    <w:rsid w:val="00EB1F27"/>
    <w:rsid w:val="00EB2738"/>
    <w:rsid w:val="00EB2F5A"/>
    <w:rsid w:val="00EB3165"/>
    <w:rsid w:val="00EB33D3"/>
    <w:rsid w:val="00EB3453"/>
    <w:rsid w:val="00EB3944"/>
    <w:rsid w:val="00EB3B26"/>
    <w:rsid w:val="00EB3BE6"/>
    <w:rsid w:val="00EB3F55"/>
    <w:rsid w:val="00EB4567"/>
    <w:rsid w:val="00EB45F5"/>
    <w:rsid w:val="00EB483A"/>
    <w:rsid w:val="00EB4F78"/>
    <w:rsid w:val="00EB5346"/>
    <w:rsid w:val="00EB57E0"/>
    <w:rsid w:val="00EB5BFC"/>
    <w:rsid w:val="00EB5C12"/>
    <w:rsid w:val="00EB5E3E"/>
    <w:rsid w:val="00EB625E"/>
    <w:rsid w:val="00EB6CDD"/>
    <w:rsid w:val="00EB72D3"/>
    <w:rsid w:val="00EB73F5"/>
    <w:rsid w:val="00EB78E0"/>
    <w:rsid w:val="00EB7A2D"/>
    <w:rsid w:val="00EB7AAE"/>
    <w:rsid w:val="00EB7D69"/>
    <w:rsid w:val="00EC0090"/>
    <w:rsid w:val="00EC03E7"/>
    <w:rsid w:val="00EC0C8B"/>
    <w:rsid w:val="00EC1089"/>
    <w:rsid w:val="00EC1683"/>
    <w:rsid w:val="00EC270E"/>
    <w:rsid w:val="00EC2B97"/>
    <w:rsid w:val="00EC2C75"/>
    <w:rsid w:val="00EC2EF7"/>
    <w:rsid w:val="00EC2F55"/>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F75"/>
    <w:rsid w:val="00EC715F"/>
    <w:rsid w:val="00EC74DD"/>
    <w:rsid w:val="00EC77F0"/>
    <w:rsid w:val="00EC7BF1"/>
    <w:rsid w:val="00ED021B"/>
    <w:rsid w:val="00ED029C"/>
    <w:rsid w:val="00ED02F0"/>
    <w:rsid w:val="00ED06E4"/>
    <w:rsid w:val="00ED083C"/>
    <w:rsid w:val="00ED0A3D"/>
    <w:rsid w:val="00ED0B44"/>
    <w:rsid w:val="00ED1BFC"/>
    <w:rsid w:val="00ED1FE3"/>
    <w:rsid w:val="00ED2815"/>
    <w:rsid w:val="00ED2BFF"/>
    <w:rsid w:val="00ED2D8A"/>
    <w:rsid w:val="00ED300E"/>
    <w:rsid w:val="00ED3094"/>
    <w:rsid w:val="00ED3789"/>
    <w:rsid w:val="00ED379D"/>
    <w:rsid w:val="00ED4123"/>
    <w:rsid w:val="00ED43AE"/>
    <w:rsid w:val="00ED43BA"/>
    <w:rsid w:val="00ED452D"/>
    <w:rsid w:val="00ED4745"/>
    <w:rsid w:val="00ED47CA"/>
    <w:rsid w:val="00ED4B54"/>
    <w:rsid w:val="00ED4DB7"/>
    <w:rsid w:val="00ED4FBB"/>
    <w:rsid w:val="00ED505A"/>
    <w:rsid w:val="00ED5075"/>
    <w:rsid w:val="00ED5958"/>
    <w:rsid w:val="00ED5D4C"/>
    <w:rsid w:val="00ED62D9"/>
    <w:rsid w:val="00ED67DB"/>
    <w:rsid w:val="00ED6E28"/>
    <w:rsid w:val="00ED71E0"/>
    <w:rsid w:val="00ED7237"/>
    <w:rsid w:val="00ED76C3"/>
    <w:rsid w:val="00ED79B5"/>
    <w:rsid w:val="00ED7F03"/>
    <w:rsid w:val="00EE01AC"/>
    <w:rsid w:val="00EE044C"/>
    <w:rsid w:val="00EE0F15"/>
    <w:rsid w:val="00EE12F6"/>
    <w:rsid w:val="00EE1306"/>
    <w:rsid w:val="00EE1BD3"/>
    <w:rsid w:val="00EE1E74"/>
    <w:rsid w:val="00EE2876"/>
    <w:rsid w:val="00EE2B64"/>
    <w:rsid w:val="00EE2B73"/>
    <w:rsid w:val="00EE2C1B"/>
    <w:rsid w:val="00EE3077"/>
    <w:rsid w:val="00EE30A5"/>
    <w:rsid w:val="00EE31E9"/>
    <w:rsid w:val="00EE3227"/>
    <w:rsid w:val="00EE32FC"/>
    <w:rsid w:val="00EE40E9"/>
    <w:rsid w:val="00EE4106"/>
    <w:rsid w:val="00EE4162"/>
    <w:rsid w:val="00EE4AFE"/>
    <w:rsid w:val="00EE4FCB"/>
    <w:rsid w:val="00EE53CD"/>
    <w:rsid w:val="00EE54D1"/>
    <w:rsid w:val="00EE5B8F"/>
    <w:rsid w:val="00EE5CEC"/>
    <w:rsid w:val="00EE5D8C"/>
    <w:rsid w:val="00EE6324"/>
    <w:rsid w:val="00EE6973"/>
    <w:rsid w:val="00EE6E1B"/>
    <w:rsid w:val="00EE6F8E"/>
    <w:rsid w:val="00EE72C1"/>
    <w:rsid w:val="00EE77DB"/>
    <w:rsid w:val="00EE788B"/>
    <w:rsid w:val="00EE7F94"/>
    <w:rsid w:val="00EE7FEE"/>
    <w:rsid w:val="00EF00A3"/>
    <w:rsid w:val="00EF0470"/>
    <w:rsid w:val="00EF08CB"/>
    <w:rsid w:val="00EF0ACF"/>
    <w:rsid w:val="00EF0C6C"/>
    <w:rsid w:val="00EF157C"/>
    <w:rsid w:val="00EF19B5"/>
    <w:rsid w:val="00EF1B40"/>
    <w:rsid w:val="00EF1C5E"/>
    <w:rsid w:val="00EF1E63"/>
    <w:rsid w:val="00EF1EBA"/>
    <w:rsid w:val="00EF20CB"/>
    <w:rsid w:val="00EF2327"/>
    <w:rsid w:val="00EF2786"/>
    <w:rsid w:val="00EF32D4"/>
    <w:rsid w:val="00EF3D4A"/>
    <w:rsid w:val="00EF3D80"/>
    <w:rsid w:val="00EF3E91"/>
    <w:rsid w:val="00EF3F66"/>
    <w:rsid w:val="00EF4A90"/>
    <w:rsid w:val="00EF4B27"/>
    <w:rsid w:val="00EF4DA4"/>
    <w:rsid w:val="00EF51CC"/>
    <w:rsid w:val="00EF5605"/>
    <w:rsid w:val="00EF5C64"/>
    <w:rsid w:val="00EF5D10"/>
    <w:rsid w:val="00EF5E87"/>
    <w:rsid w:val="00EF5EF3"/>
    <w:rsid w:val="00EF61BD"/>
    <w:rsid w:val="00EF6C90"/>
    <w:rsid w:val="00EF6D69"/>
    <w:rsid w:val="00EF6E67"/>
    <w:rsid w:val="00EF6EB6"/>
    <w:rsid w:val="00EF76CA"/>
    <w:rsid w:val="00EF7D7B"/>
    <w:rsid w:val="00EF7E05"/>
    <w:rsid w:val="00EF7F06"/>
    <w:rsid w:val="00F00100"/>
    <w:rsid w:val="00F0014D"/>
    <w:rsid w:val="00F00244"/>
    <w:rsid w:val="00F00324"/>
    <w:rsid w:val="00F00437"/>
    <w:rsid w:val="00F004E3"/>
    <w:rsid w:val="00F00674"/>
    <w:rsid w:val="00F00995"/>
    <w:rsid w:val="00F0125F"/>
    <w:rsid w:val="00F01551"/>
    <w:rsid w:val="00F01886"/>
    <w:rsid w:val="00F01AA4"/>
    <w:rsid w:val="00F01F4C"/>
    <w:rsid w:val="00F024DD"/>
    <w:rsid w:val="00F02972"/>
    <w:rsid w:val="00F02DE3"/>
    <w:rsid w:val="00F03111"/>
    <w:rsid w:val="00F037CD"/>
    <w:rsid w:val="00F039D0"/>
    <w:rsid w:val="00F03CD6"/>
    <w:rsid w:val="00F03DBE"/>
    <w:rsid w:val="00F04407"/>
    <w:rsid w:val="00F04688"/>
    <w:rsid w:val="00F04A41"/>
    <w:rsid w:val="00F05236"/>
    <w:rsid w:val="00F0559B"/>
    <w:rsid w:val="00F05AC0"/>
    <w:rsid w:val="00F05C3A"/>
    <w:rsid w:val="00F05E35"/>
    <w:rsid w:val="00F06D83"/>
    <w:rsid w:val="00F07045"/>
    <w:rsid w:val="00F070A1"/>
    <w:rsid w:val="00F07185"/>
    <w:rsid w:val="00F07604"/>
    <w:rsid w:val="00F07B20"/>
    <w:rsid w:val="00F07DA2"/>
    <w:rsid w:val="00F103E0"/>
    <w:rsid w:val="00F10D57"/>
    <w:rsid w:val="00F10F3A"/>
    <w:rsid w:val="00F1104F"/>
    <w:rsid w:val="00F11EE6"/>
    <w:rsid w:val="00F122B0"/>
    <w:rsid w:val="00F128EF"/>
    <w:rsid w:val="00F12ABD"/>
    <w:rsid w:val="00F12E03"/>
    <w:rsid w:val="00F13217"/>
    <w:rsid w:val="00F133F1"/>
    <w:rsid w:val="00F1368B"/>
    <w:rsid w:val="00F13977"/>
    <w:rsid w:val="00F148F1"/>
    <w:rsid w:val="00F14A4C"/>
    <w:rsid w:val="00F14D43"/>
    <w:rsid w:val="00F158AF"/>
    <w:rsid w:val="00F15C23"/>
    <w:rsid w:val="00F1609D"/>
    <w:rsid w:val="00F16429"/>
    <w:rsid w:val="00F167AA"/>
    <w:rsid w:val="00F16C98"/>
    <w:rsid w:val="00F16CFB"/>
    <w:rsid w:val="00F16DEF"/>
    <w:rsid w:val="00F17392"/>
    <w:rsid w:val="00F17EA9"/>
    <w:rsid w:val="00F20202"/>
    <w:rsid w:val="00F20238"/>
    <w:rsid w:val="00F2071C"/>
    <w:rsid w:val="00F20DAB"/>
    <w:rsid w:val="00F20DB4"/>
    <w:rsid w:val="00F215B8"/>
    <w:rsid w:val="00F21895"/>
    <w:rsid w:val="00F21D83"/>
    <w:rsid w:val="00F226C5"/>
    <w:rsid w:val="00F2283A"/>
    <w:rsid w:val="00F2291C"/>
    <w:rsid w:val="00F22DC3"/>
    <w:rsid w:val="00F23247"/>
    <w:rsid w:val="00F2342F"/>
    <w:rsid w:val="00F23ED6"/>
    <w:rsid w:val="00F24A2D"/>
    <w:rsid w:val="00F250EA"/>
    <w:rsid w:val="00F251A3"/>
    <w:rsid w:val="00F25C79"/>
    <w:rsid w:val="00F25C95"/>
    <w:rsid w:val="00F26067"/>
    <w:rsid w:val="00F26CBA"/>
    <w:rsid w:val="00F26DC8"/>
    <w:rsid w:val="00F2714B"/>
    <w:rsid w:val="00F27E3F"/>
    <w:rsid w:val="00F27F01"/>
    <w:rsid w:val="00F3088E"/>
    <w:rsid w:val="00F30BDA"/>
    <w:rsid w:val="00F30C93"/>
    <w:rsid w:val="00F30DBA"/>
    <w:rsid w:val="00F30DF5"/>
    <w:rsid w:val="00F31460"/>
    <w:rsid w:val="00F3155A"/>
    <w:rsid w:val="00F31641"/>
    <w:rsid w:val="00F317EE"/>
    <w:rsid w:val="00F31948"/>
    <w:rsid w:val="00F3198A"/>
    <w:rsid w:val="00F31B98"/>
    <w:rsid w:val="00F31BC6"/>
    <w:rsid w:val="00F31D05"/>
    <w:rsid w:val="00F31DF4"/>
    <w:rsid w:val="00F31EDF"/>
    <w:rsid w:val="00F3230B"/>
    <w:rsid w:val="00F323BE"/>
    <w:rsid w:val="00F3272F"/>
    <w:rsid w:val="00F32C57"/>
    <w:rsid w:val="00F32D52"/>
    <w:rsid w:val="00F32E32"/>
    <w:rsid w:val="00F33384"/>
    <w:rsid w:val="00F334F3"/>
    <w:rsid w:val="00F3373A"/>
    <w:rsid w:val="00F33966"/>
    <w:rsid w:val="00F33A78"/>
    <w:rsid w:val="00F33BB2"/>
    <w:rsid w:val="00F34461"/>
    <w:rsid w:val="00F3504F"/>
    <w:rsid w:val="00F3593F"/>
    <w:rsid w:val="00F35B89"/>
    <w:rsid w:val="00F35BBE"/>
    <w:rsid w:val="00F35FC3"/>
    <w:rsid w:val="00F35FCD"/>
    <w:rsid w:val="00F36C76"/>
    <w:rsid w:val="00F37025"/>
    <w:rsid w:val="00F3714D"/>
    <w:rsid w:val="00F37300"/>
    <w:rsid w:val="00F37F2A"/>
    <w:rsid w:val="00F40385"/>
    <w:rsid w:val="00F41962"/>
    <w:rsid w:val="00F4203F"/>
    <w:rsid w:val="00F426C7"/>
    <w:rsid w:val="00F42D48"/>
    <w:rsid w:val="00F42EEC"/>
    <w:rsid w:val="00F42F7E"/>
    <w:rsid w:val="00F42FB3"/>
    <w:rsid w:val="00F430E9"/>
    <w:rsid w:val="00F43C39"/>
    <w:rsid w:val="00F43CCF"/>
    <w:rsid w:val="00F43E0B"/>
    <w:rsid w:val="00F43FE5"/>
    <w:rsid w:val="00F44648"/>
    <w:rsid w:val="00F44F3E"/>
    <w:rsid w:val="00F453A3"/>
    <w:rsid w:val="00F45A71"/>
    <w:rsid w:val="00F4606B"/>
    <w:rsid w:val="00F46609"/>
    <w:rsid w:val="00F46A9D"/>
    <w:rsid w:val="00F46DB7"/>
    <w:rsid w:val="00F46E0F"/>
    <w:rsid w:val="00F47061"/>
    <w:rsid w:val="00F473DD"/>
    <w:rsid w:val="00F47541"/>
    <w:rsid w:val="00F47A55"/>
    <w:rsid w:val="00F47AE0"/>
    <w:rsid w:val="00F504F4"/>
    <w:rsid w:val="00F50977"/>
    <w:rsid w:val="00F51215"/>
    <w:rsid w:val="00F5163F"/>
    <w:rsid w:val="00F5199D"/>
    <w:rsid w:val="00F51ED6"/>
    <w:rsid w:val="00F52295"/>
    <w:rsid w:val="00F525FC"/>
    <w:rsid w:val="00F52AA4"/>
    <w:rsid w:val="00F52C8B"/>
    <w:rsid w:val="00F52D87"/>
    <w:rsid w:val="00F52FE2"/>
    <w:rsid w:val="00F5303C"/>
    <w:rsid w:val="00F53208"/>
    <w:rsid w:val="00F539B4"/>
    <w:rsid w:val="00F53A2E"/>
    <w:rsid w:val="00F53F6F"/>
    <w:rsid w:val="00F54009"/>
    <w:rsid w:val="00F54015"/>
    <w:rsid w:val="00F5407A"/>
    <w:rsid w:val="00F541CB"/>
    <w:rsid w:val="00F54AF1"/>
    <w:rsid w:val="00F552EA"/>
    <w:rsid w:val="00F55973"/>
    <w:rsid w:val="00F56B59"/>
    <w:rsid w:val="00F56B5D"/>
    <w:rsid w:val="00F56C2C"/>
    <w:rsid w:val="00F56CFB"/>
    <w:rsid w:val="00F56DF1"/>
    <w:rsid w:val="00F572C8"/>
    <w:rsid w:val="00F57486"/>
    <w:rsid w:val="00F5772D"/>
    <w:rsid w:val="00F57FD5"/>
    <w:rsid w:val="00F601B3"/>
    <w:rsid w:val="00F6082C"/>
    <w:rsid w:val="00F60CE3"/>
    <w:rsid w:val="00F60FE9"/>
    <w:rsid w:val="00F61034"/>
    <w:rsid w:val="00F613F6"/>
    <w:rsid w:val="00F6153E"/>
    <w:rsid w:val="00F6274E"/>
    <w:rsid w:val="00F629D9"/>
    <w:rsid w:val="00F63139"/>
    <w:rsid w:val="00F6359F"/>
    <w:rsid w:val="00F63F85"/>
    <w:rsid w:val="00F644AF"/>
    <w:rsid w:val="00F64DF7"/>
    <w:rsid w:val="00F64F2F"/>
    <w:rsid w:val="00F6501C"/>
    <w:rsid w:val="00F651BB"/>
    <w:rsid w:val="00F654F9"/>
    <w:rsid w:val="00F6628E"/>
    <w:rsid w:val="00F662E7"/>
    <w:rsid w:val="00F663FA"/>
    <w:rsid w:val="00F664C3"/>
    <w:rsid w:val="00F66D9E"/>
    <w:rsid w:val="00F66E49"/>
    <w:rsid w:val="00F6718B"/>
    <w:rsid w:val="00F6753D"/>
    <w:rsid w:val="00F67915"/>
    <w:rsid w:val="00F67A61"/>
    <w:rsid w:val="00F67CD3"/>
    <w:rsid w:val="00F67F6F"/>
    <w:rsid w:val="00F70450"/>
    <w:rsid w:val="00F705C1"/>
    <w:rsid w:val="00F70A1C"/>
    <w:rsid w:val="00F7101A"/>
    <w:rsid w:val="00F71996"/>
    <w:rsid w:val="00F7268C"/>
    <w:rsid w:val="00F727A0"/>
    <w:rsid w:val="00F73144"/>
    <w:rsid w:val="00F73443"/>
    <w:rsid w:val="00F73503"/>
    <w:rsid w:val="00F737AF"/>
    <w:rsid w:val="00F73FA2"/>
    <w:rsid w:val="00F74BD9"/>
    <w:rsid w:val="00F74C4D"/>
    <w:rsid w:val="00F7514D"/>
    <w:rsid w:val="00F75700"/>
    <w:rsid w:val="00F75CBB"/>
    <w:rsid w:val="00F75D49"/>
    <w:rsid w:val="00F75D4E"/>
    <w:rsid w:val="00F75E34"/>
    <w:rsid w:val="00F75F66"/>
    <w:rsid w:val="00F7607A"/>
    <w:rsid w:val="00F76536"/>
    <w:rsid w:val="00F76953"/>
    <w:rsid w:val="00F76E9F"/>
    <w:rsid w:val="00F7729A"/>
    <w:rsid w:val="00F77AE1"/>
    <w:rsid w:val="00F77B91"/>
    <w:rsid w:val="00F77DA6"/>
    <w:rsid w:val="00F8043E"/>
    <w:rsid w:val="00F807CB"/>
    <w:rsid w:val="00F809EE"/>
    <w:rsid w:val="00F80B41"/>
    <w:rsid w:val="00F80B76"/>
    <w:rsid w:val="00F80F90"/>
    <w:rsid w:val="00F81946"/>
    <w:rsid w:val="00F820BD"/>
    <w:rsid w:val="00F8227E"/>
    <w:rsid w:val="00F8228F"/>
    <w:rsid w:val="00F823A0"/>
    <w:rsid w:val="00F828F4"/>
    <w:rsid w:val="00F82A41"/>
    <w:rsid w:val="00F8306E"/>
    <w:rsid w:val="00F831D6"/>
    <w:rsid w:val="00F83284"/>
    <w:rsid w:val="00F836A8"/>
    <w:rsid w:val="00F83963"/>
    <w:rsid w:val="00F83B13"/>
    <w:rsid w:val="00F83E16"/>
    <w:rsid w:val="00F83E33"/>
    <w:rsid w:val="00F83F66"/>
    <w:rsid w:val="00F84226"/>
    <w:rsid w:val="00F846C5"/>
    <w:rsid w:val="00F84A99"/>
    <w:rsid w:val="00F84F17"/>
    <w:rsid w:val="00F851F3"/>
    <w:rsid w:val="00F856E2"/>
    <w:rsid w:val="00F86310"/>
    <w:rsid w:val="00F867AF"/>
    <w:rsid w:val="00F86BFF"/>
    <w:rsid w:val="00F86C8A"/>
    <w:rsid w:val="00F870F3"/>
    <w:rsid w:val="00F87761"/>
    <w:rsid w:val="00F8787A"/>
    <w:rsid w:val="00F87B11"/>
    <w:rsid w:val="00F87BA7"/>
    <w:rsid w:val="00F87D2C"/>
    <w:rsid w:val="00F90557"/>
    <w:rsid w:val="00F9069C"/>
    <w:rsid w:val="00F91978"/>
    <w:rsid w:val="00F91BFD"/>
    <w:rsid w:val="00F920A8"/>
    <w:rsid w:val="00F9276E"/>
    <w:rsid w:val="00F928C6"/>
    <w:rsid w:val="00F930F3"/>
    <w:rsid w:val="00F93374"/>
    <w:rsid w:val="00F93A4A"/>
    <w:rsid w:val="00F94024"/>
    <w:rsid w:val="00F9449D"/>
    <w:rsid w:val="00F944F6"/>
    <w:rsid w:val="00F95BA8"/>
    <w:rsid w:val="00F95C60"/>
    <w:rsid w:val="00F9688D"/>
    <w:rsid w:val="00F96B15"/>
    <w:rsid w:val="00F974F7"/>
    <w:rsid w:val="00F97AED"/>
    <w:rsid w:val="00F97C59"/>
    <w:rsid w:val="00F97DBC"/>
    <w:rsid w:val="00F97ECF"/>
    <w:rsid w:val="00FA00BD"/>
    <w:rsid w:val="00FA01F8"/>
    <w:rsid w:val="00FA0242"/>
    <w:rsid w:val="00FA1159"/>
    <w:rsid w:val="00FA2018"/>
    <w:rsid w:val="00FA2035"/>
    <w:rsid w:val="00FA2148"/>
    <w:rsid w:val="00FA2548"/>
    <w:rsid w:val="00FA2824"/>
    <w:rsid w:val="00FA2977"/>
    <w:rsid w:val="00FA2B92"/>
    <w:rsid w:val="00FA348F"/>
    <w:rsid w:val="00FA35E5"/>
    <w:rsid w:val="00FA3801"/>
    <w:rsid w:val="00FA4034"/>
    <w:rsid w:val="00FA4826"/>
    <w:rsid w:val="00FA4ED3"/>
    <w:rsid w:val="00FA4F20"/>
    <w:rsid w:val="00FA50A8"/>
    <w:rsid w:val="00FA52B8"/>
    <w:rsid w:val="00FA5303"/>
    <w:rsid w:val="00FA5709"/>
    <w:rsid w:val="00FA5871"/>
    <w:rsid w:val="00FA5F13"/>
    <w:rsid w:val="00FA640D"/>
    <w:rsid w:val="00FA6635"/>
    <w:rsid w:val="00FA66BF"/>
    <w:rsid w:val="00FA6E63"/>
    <w:rsid w:val="00FA700F"/>
    <w:rsid w:val="00FA7800"/>
    <w:rsid w:val="00FA7913"/>
    <w:rsid w:val="00FA7EF2"/>
    <w:rsid w:val="00FB021F"/>
    <w:rsid w:val="00FB03C4"/>
    <w:rsid w:val="00FB057D"/>
    <w:rsid w:val="00FB0D29"/>
    <w:rsid w:val="00FB0D3F"/>
    <w:rsid w:val="00FB0DE8"/>
    <w:rsid w:val="00FB0F0C"/>
    <w:rsid w:val="00FB1631"/>
    <w:rsid w:val="00FB17AE"/>
    <w:rsid w:val="00FB17BC"/>
    <w:rsid w:val="00FB1B12"/>
    <w:rsid w:val="00FB1CC1"/>
    <w:rsid w:val="00FB2622"/>
    <w:rsid w:val="00FB2E0E"/>
    <w:rsid w:val="00FB2F8A"/>
    <w:rsid w:val="00FB2FE5"/>
    <w:rsid w:val="00FB3284"/>
    <w:rsid w:val="00FB376A"/>
    <w:rsid w:val="00FB3AB6"/>
    <w:rsid w:val="00FB3DB4"/>
    <w:rsid w:val="00FB3ED9"/>
    <w:rsid w:val="00FB493F"/>
    <w:rsid w:val="00FB49E7"/>
    <w:rsid w:val="00FB4CD9"/>
    <w:rsid w:val="00FB4EF8"/>
    <w:rsid w:val="00FB578F"/>
    <w:rsid w:val="00FB5996"/>
    <w:rsid w:val="00FB59AC"/>
    <w:rsid w:val="00FB5C56"/>
    <w:rsid w:val="00FB63C1"/>
    <w:rsid w:val="00FB691A"/>
    <w:rsid w:val="00FB69D8"/>
    <w:rsid w:val="00FB6B6D"/>
    <w:rsid w:val="00FB6C2D"/>
    <w:rsid w:val="00FB6D37"/>
    <w:rsid w:val="00FB72E6"/>
    <w:rsid w:val="00FB7580"/>
    <w:rsid w:val="00FB7620"/>
    <w:rsid w:val="00FB7EFF"/>
    <w:rsid w:val="00FC022B"/>
    <w:rsid w:val="00FC02C0"/>
    <w:rsid w:val="00FC038C"/>
    <w:rsid w:val="00FC060A"/>
    <w:rsid w:val="00FC0650"/>
    <w:rsid w:val="00FC07DA"/>
    <w:rsid w:val="00FC0D02"/>
    <w:rsid w:val="00FC0D35"/>
    <w:rsid w:val="00FC1258"/>
    <w:rsid w:val="00FC130F"/>
    <w:rsid w:val="00FC1413"/>
    <w:rsid w:val="00FC16F8"/>
    <w:rsid w:val="00FC1732"/>
    <w:rsid w:val="00FC189B"/>
    <w:rsid w:val="00FC1CEC"/>
    <w:rsid w:val="00FC2991"/>
    <w:rsid w:val="00FC30BB"/>
    <w:rsid w:val="00FC33DD"/>
    <w:rsid w:val="00FC4846"/>
    <w:rsid w:val="00FC4A83"/>
    <w:rsid w:val="00FC4D70"/>
    <w:rsid w:val="00FC4FD8"/>
    <w:rsid w:val="00FC5608"/>
    <w:rsid w:val="00FC5AB3"/>
    <w:rsid w:val="00FC6268"/>
    <w:rsid w:val="00FC657B"/>
    <w:rsid w:val="00FC66B1"/>
    <w:rsid w:val="00FC6A22"/>
    <w:rsid w:val="00FC6E32"/>
    <w:rsid w:val="00FC7083"/>
    <w:rsid w:val="00FC70AD"/>
    <w:rsid w:val="00FC70FD"/>
    <w:rsid w:val="00FC71F2"/>
    <w:rsid w:val="00FC76FE"/>
    <w:rsid w:val="00FC79FE"/>
    <w:rsid w:val="00FD07FA"/>
    <w:rsid w:val="00FD08BD"/>
    <w:rsid w:val="00FD0D50"/>
    <w:rsid w:val="00FD0E91"/>
    <w:rsid w:val="00FD224E"/>
    <w:rsid w:val="00FD2A88"/>
    <w:rsid w:val="00FD3344"/>
    <w:rsid w:val="00FD36D6"/>
    <w:rsid w:val="00FD3BD2"/>
    <w:rsid w:val="00FD3CBD"/>
    <w:rsid w:val="00FD4022"/>
    <w:rsid w:val="00FD40CD"/>
    <w:rsid w:val="00FD46FE"/>
    <w:rsid w:val="00FD49CC"/>
    <w:rsid w:val="00FD4D2C"/>
    <w:rsid w:val="00FD4D34"/>
    <w:rsid w:val="00FD5127"/>
    <w:rsid w:val="00FD5262"/>
    <w:rsid w:val="00FD547D"/>
    <w:rsid w:val="00FD5923"/>
    <w:rsid w:val="00FD5AF9"/>
    <w:rsid w:val="00FD5B18"/>
    <w:rsid w:val="00FD5FCC"/>
    <w:rsid w:val="00FD6082"/>
    <w:rsid w:val="00FD6270"/>
    <w:rsid w:val="00FD6972"/>
    <w:rsid w:val="00FD6AB5"/>
    <w:rsid w:val="00FD7472"/>
    <w:rsid w:val="00FD7521"/>
    <w:rsid w:val="00FD7BBF"/>
    <w:rsid w:val="00FE0042"/>
    <w:rsid w:val="00FE01F4"/>
    <w:rsid w:val="00FE082F"/>
    <w:rsid w:val="00FE1FFB"/>
    <w:rsid w:val="00FE25E4"/>
    <w:rsid w:val="00FE2BC1"/>
    <w:rsid w:val="00FE2CF1"/>
    <w:rsid w:val="00FE2D4B"/>
    <w:rsid w:val="00FE331A"/>
    <w:rsid w:val="00FE396E"/>
    <w:rsid w:val="00FE3A85"/>
    <w:rsid w:val="00FE408E"/>
    <w:rsid w:val="00FE40BE"/>
    <w:rsid w:val="00FE421B"/>
    <w:rsid w:val="00FE4991"/>
    <w:rsid w:val="00FE5587"/>
    <w:rsid w:val="00FE5A0C"/>
    <w:rsid w:val="00FE64AF"/>
    <w:rsid w:val="00FE69A4"/>
    <w:rsid w:val="00FE7787"/>
    <w:rsid w:val="00FE78AA"/>
    <w:rsid w:val="00FE79A8"/>
    <w:rsid w:val="00FF0028"/>
    <w:rsid w:val="00FF02EE"/>
    <w:rsid w:val="00FF07BC"/>
    <w:rsid w:val="00FF0AC2"/>
    <w:rsid w:val="00FF0EE5"/>
    <w:rsid w:val="00FF0F01"/>
    <w:rsid w:val="00FF11B7"/>
    <w:rsid w:val="00FF1926"/>
    <w:rsid w:val="00FF19E9"/>
    <w:rsid w:val="00FF1BC5"/>
    <w:rsid w:val="00FF1EBB"/>
    <w:rsid w:val="00FF23A6"/>
    <w:rsid w:val="00FF269E"/>
    <w:rsid w:val="00FF292F"/>
    <w:rsid w:val="00FF3C78"/>
    <w:rsid w:val="00FF3FDC"/>
    <w:rsid w:val="00FF44C5"/>
    <w:rsid w:val="00FF486B"/>
    <w:rsid w:val="00FF4937"/>
    <w:rsid w:val="00FF4AB7"/>
    <w:rsid w:val="00FF4C08"/>
    <w:rsid w:val="00FF4D58"/>
    <w:rsid w:val="00FF523B"/>
    <w:rsid w:val="00FF5654"/>
    <w:rsid w:val="00FF587D"/>
    <w:rsid w:val="00FF5F28"/>
    <w:rsid w:val="00FF6B0C"/>
    <w:rsid w:val="00FF6C36"/>
    <w:rsid w:val="00FF7F76"/>
    <w:rsid w:val="0436D8BD"/>
    <w:rsid w:val="0F27FC57"/>
    <w:rsid w:val="226208F6"/>
    <w:rsid w:val="35976267"/>
    <w:rsid w:val="42871C34"/>
    <w:rsid w:val="76B08E53"/>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8F954D2"/>
  <w15:docId w15:val="{1457B153-0299-4CC9-9432-5F71BB7D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6E"/>
    <w:rPr>
      <w:rFonts w:ascii="Calibri" w:eastAsia="Calibri" w:hAnsi="Calibri" w:cs="Cordia New"/>
      <w:lang w:val="en-AU"/>
    </w:rPr>
  </w:style>
  <w:style w:type="paragraph" w:styleId="Heading1">
    <w:name w:val="heading 1"/>
    <w:next w:val="Normal"/>
    <w:link w:val="Heading1Char"/>
    <w:uiPriority w:val="9"/>
    <w:qFormat/>
    <w:rsid w:val="00FC060A"/>
    <w:pPr>
      <w:numPr>
        <w:numId w:val="4"/>
      </w:numPr>
      <w:spacing w:after="120"/>
      <w:outlineLvl w:val="0"/>
    </w:pPr>
    <w:rPr>
      <w:rFonts w:ascii="Cambria" w:eastAsia="MS Gothic" w:hAnsi="Cambria" w:cs="Angsana New"/>
      <w:b/>
      <w:bCs/>
      <w:caps/>
      <w:sz w:val="28"/>
      <w:szCs w:val="28"/>
      <w:lang w:val="en-AU"/>
    </w:rPr>
  </w:style>
  <w:style w:type="paragraph" w:styleId="Heading2">
    <w:name w:val="heading 2"/>
    <w:next w:val="Normal"/>
    <w:link w:val="Heading2Char"/>
    <w:uiPriority w:val="9"/>
    <w:unhideWhenUsed/>
    <w:qFormat/>
    <w:rsid w:val="0001118A"/>
    <w:pPr>
      <w:numPr>
        <w:ilvl w:val="1"/>
        <w:numId w:val="4"/>
      </w:numPr>
      <w:spacing w:after="120"/>
      <w:outlineLvl w:val="1"/>
    </w:pPr>
    <w:rPr>
      <w:rFonts w:ascii="Cambria" w:eastAsia="Calibri" w:hAnsi="Cambria" w:cs="Cordia New"/>
      <w:b/>
      <w:smallCaps/>
      <w:sz w:val="24"/>
      <w:lang w:val="en-AU"/>
    </w:rPr>
  </w:style>
  <w:style w:type="paragraph" w:styleId="Heading3">
    <w:name w:val="heading 3"/>
    <w:next w:val="Normal"/>
    <w:link w:val="Heading3Char"/>
    <w:uiPriority w:val="9"/>
    <w:unhideWhenUsed/>
    <w:qFormat/>
    <w:rsid w:val="009063E0"/>
    <w:pPr>
      <w:spacing w:after="120"/>
      <w:ind w:left="230"/>
      <w:outlineLvl w:val="2"/>
    </w:pPr>
    <w:rPr>
      <w:rFonts w:ascii="Cambria" w:eastAsia="MS Gothic" w:hAnsi="Cambria" w:cs="Angsana New"/>
      <w:b/>
      <w:bCs/>
      <w:lang w:val="en-AU"/>
    </w:rPr>
  </w:style>
  <w:style w:type="paragraph" w:styleId="Heading4">
    <w:name w:val="heading 4"/>
    <w:basedOn w:val="Normal"/>
    <w:next w:val="Normal"/>
    <w:link w:val="Heading4Char"/>
    <w:uiPriority w:val="9"/>
    <w:unhideWhenUsed/>
    <w:qFormat/>
    <w:rsid w:val="00716254"/>
    <w:pPr>
      <w:keepNext/>
      <w:keepLines/>
      <w:spacing w:before="240" w:after="12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16254"/>
    <w:pPr>
      <w:keepNext/>
      <w:keepLines/>
      <w:spacing w:before="240" w:after="120" w:line="240" w:lineRule="auto"/>
      <w:outlineLvl w:val="4"/>
    </w:pPr>
    <w:rPr>
      <w:rFonts w:eastAsiaTheme="majorEastAsia" w:cstheme="majorBidi"/>
      <w:b/>
      <w:sz w:val="20"/>
    </w:rPr>
  </w:style>
  <w:style w:type="paragraph" w:styleId="Heading6">
    <w:name w:val="heading 6"/>
    <w:basedOn w:val="Normal"/>
    <w:next w:val="Normal"/>
    <w:link w:val="Heading6Char"/>
    <w:uiPriority w:val="9"/>
    <w:unhideWhenUsed/>
    <w:qFormat/>
    <w:rsid w:val="00716254"/>
    <w:pPr>
      <w:keepNext/>
      <w:keepLines/>
      <w:spacing w:before="200" w:after="0"/>
      <w:outlineLvl w:val="5"/>
    </w:pPr>
    <w:rPr>
      <w:rFonts w:ascii="Times New Roman Bold" w:eastAsiaTheme="majorEastAsia" w:hAnsi="Times New Roman Bold" w:cstheme="majorBidi"/>
      <w:b/>
      <w:iCs/>
      <w:sz w:val="18"/>
    </w:rPr>
  </w:style>
  <w:style w:type="paragraph" w:styleId="Heading7">
    <w:name w:val="heading 7"/>
    <w:basedOn w:val="Normal"/>
    <w:next w:val="Normal"/>
    <w:link w:val="Heading7Char"/>
    <w:uiPriority w:val="9"/>
    <w:semiHidden/>
    <w:unhideWhenUsed/>
    <w:qFormat/>
    <w:rsid w:val="00716254"/>
    <w:pPr>
      <w:keepNext/>
      <w:keepLines/>
      <w:spacing w:before="200" w:after="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716254"/>
    <w:pPr>
      <w:keepNext/>
      <w:keepLines/>
      <w:spacing w:before="200" w:after="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716254"/>
    <w:pPr>
      <w:keepNext/>
      <w:keepLines/>
      <w:spacing w:before="200" w:after="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centMajorChange">
    <w:name w:val="RecentMajorChange"/>
    <w:uiPriority w:val="1"/>
    <w:locked/>
    <w:rsid w:val="00716254"/>
    <w:rPr>
      <w:color w:val="FF00FF"/>
    </w:rPr>
  </w:style>
  <w:style w:type="paragraph" w:customStyle="1" w:styleId="BoxedWarningHeading">
    <w:name w:val="Boxed Warning Heading"/>
    <w:basedOn w:val="Normal"/>
    <w:rsid w:val="00716254"/>
    <w:pPr>
      <w:spacing w:before="120" w:after="120" w:line="240" w:lineRule="auto"/>
      <w:jc w:val="center"/>
    </w:pPr>
    <w:rPr>
      <w:b/>
    </w:rPr>
  </w:style>
  <w:style w:type="paragraph" w:customStyle="1" w:styleId="HighlightBox">
    <w:name w:val="Highlight Box"/>
    <w:basedOn w:val="Normal"/>
    <w:rsid w:val="00716254"/>
    <w:pPr>
      <w:shd w:val="clear" w:color="auto" w:fill="FFFF99"/>
    </w:pPr>
  </w:style>
  <w:style w:type="paragraph" w:customStyle="1" w:styleId="HighlightHeading">
    <w:name w:val="Highlight Heading"/>
    <w:basedOn w:val="Normal"/>
    <w:link w:val="HighlightHeadingChar"/>
    <w:rsid w:val="00716254"/>
    <w:pPr>
      <w:shd w:val="clear" w:color="auto" w:fill="FFFF99"/>
    </w:pPr>
    <w:rPr>
      <w:b/>
      <w:sz w:val="24"/>
    </w:rPr>
  </w:style>
  <w:style w:type="paragraph" w:customStyle="1" w:styleId="GatheredHighlight">
    <w:name w:val="Gathered Highlight"/>
    <w:basedOn w:val="Heading1"/>
    <w:rsid w:val="00716254"/>
    <w:pPr>
      <w:tabs>
        <w:tab w:val="center" w:leader="hyphen" w:pos="2520"/>
        <w:tab w:val="left" w:leader="hyphen" w:pos="5040"/>
      </w:tabs>
      <w:spacing w:before="160" w:after="0"/>
      <w:jc w:val="center"/>
      <w:outlineLvl w:val="9"/>
    </w:pPr>
    <w:rPr>
      <w:rFonts w:ascii="Times New Roman Bold" w:hAnsi="Times New Roman Bold"/>
      <w:caps w:val="0"/>
      <w:sz w:val="16"/>
    </w:rPr>
  </w:style>
  <w:style w:type="character" w:customStyle="1" w:styleId="HighlightHeadingChar">
    <w:name w:val="Highlight Heading Char"/>
    <w:basedOn w:val="DefaultParagraphFont"/>
    <w:link w:val="HighlightHeading"/>
    <w:rsid w:val="00716254"/>
    <w:rPr>
      <w:rFonts w:ascii="Times New Roman" w:eastAsiaTheme="minorHAnsi" w:hAnsi="Times New Roman"/>
      <w:b/>
      <w:sz w:val="24"/>
      <w:shd w:val="clear" w:color="auto" w:fill="FFFF99"/>
    </w:rPr>
  </w:style>
  <w:style w:type="paragraph" w:styleId="ListParagraph">
    <w:name w:val="List Paragraph"/>
    <w:basedOn w:val="Normal"/>
    <w:uiPriority w:val="34"/>
    <w:qFormat/>
    <w:rsid w:val="00716254"/>
    <w:pPr>
      <w:ind w:left="720"/>
      <w:contextualSpacing/>
    </w:pPr>
  </w:style>
  <w:style w:type="paragraph" w:styleId="ListNumber">
    <w:name w:val="List Number"/>
    <w:basedOn w:val="Normal"/>
    <w:uiPriority w:val="99"/>
    <w:rsid w:val="00716254"/>
    <w:pPr>
      <w:numPr>
        <w:numId w:val="3"/>
      </w:numPr>
      <w:contextualSpacing/>
    </w:pPr>
  </w:style>
  <w:style w:type="character" w:customStyle="1" w:styleId="Heading1Char">
    <w:name w:val="Heading 1 Char"/>
    <w:basedOn w:val="DefaultParagraphFont"/>
    <w:link w:val="Heading1"/>
    <w:uiPriority w:val="9"/>
    <w:rsid w:val="00FC060A"/>
    <w:rPr>
      <w:rFonts w:ascii="Cambria" w:eastAsia="MS Gothic" w:hAnsi="Cambria" w:cs="Angsana New"/>
      <w:b/>
      <w:bCs/>
      <w:caps/>
      <w:sz w:val="28"/>
      <w:szCs w:val="28"/>
      <w:lang w:val="en-AU"/>
    </w:rPr>
  </w:style>
  <w:style w:type="paragraph" w:styleId="ListNumber2">
    <w:name w:val="List Number 2"/>
    <w:basedOn w:val="Normal"/>
    <w:uiPriority w:val="99"/>
    <w:rsid w:val="00716254"/>
    <w:pPr>
      <w:numPr>
        <w:ilvl w:val="1"/>
        <w:numId w:val="3"/>
      </w:numPr>
      <w:contextualSpacing/>
    </w:pPr>
  </w:style>
  <w:style w:type="paragraph" w:styleId="ListNumber3">
    <w:name w:val="List Number 3"/>
    <w:basedOn w:val="Normal"/>
    <w:uiPriority w:val="99"/>
    <w:rsid w:val="00716254"/>
    <w:pPr>
      <w:numPr>
        <w:ilvl w:val="2"/>
        <w:numId w:val="3"/>
      </w:numPr>
      <w:contextualSpacing/>
    </w:pPr>
  </w:style>
  <w:style w:type="character" w:customStyle="1" w:styleId="Heading2Char">
    <w:name w:val="Heading 2 Char"/>
    <w:basedOn w:val="DefaultParagraphFont"/>
    <w:link w:val="Heading2"/>
    <w:uiPriority w:val="9"/>
    <w:rsid w:val="0001118A"/>
    <w:rPr>
      <w:rFonts w:ascii="Cambria" w:eastAsia="Calibri" w:hAnsi="Cambria" w:cs="Cordia New"/>
      <w:b/>
      <w:smallCaps/>
      <w:sz w:val="24"/>
      <w:lang w:val="en-AU"/>
    </w:rPr>
  </w:style>
  <w:style w:type="character" w:customStyle="1" w:styleId="Heading3Char">
    <w:name w:val="Heading 3 Char"/>
    <w:basedOn w:val="DefaultParagraphFont"/>
    <w:link w:val="Heading3"/>
    <w:uiPriority w:val="9"/>
    <w:rsid w:val="009063E0"/>
    <w:rPr>
      <w:rFonts w:ascii="Cambria" w:eastAsia="MS Gothic" w:hAnsi="Cambria" w:cs="Angsana New"/>
      <w:b/>
      <w:bCs/>
      <w:lang w:val="en-AU"/>
    </w:rPr>
  </w:style>
  <w:style w:type="paragraph" w:styleId="ListNumber4">
    <w:name w:val="List Number 4"/>
    <w:basedOn w:val="Normal"/>
    <w:uiPriority w:val="99"/>
    <w:rsid w:val="00716254"/>
    <w:pPr>
      <w:numPr>
        <w:ilvl w:val="3"/>
        <w:numId w:val="3"/>
      </w:numPr>
      <w:contextualSpacing/>
    </w:pPr>
  </w:style>
  <w:style w:type="paragraph" w:styleId="ListNumber5">
    <w:name w:val="List Number 5"/>
    <w:basedOn w:val="Normal"/>
    <w:uiPriority w:val="99"/>
    <w:rsid w:val="00716254"/>
    <w:pPr>
      <w:numPr>
        <w:ilvl w:val="4"/>
        <w:numId w:val="3"/>
      </w:numPr>
      <w:contextualSpacing/>
    </w:pPr>
  </w:style>
  <w:style w:type="paragraph" w:styleId="ListContinue">
    <w:name w:val="List Continue"/>
    <w:basedOn w:val="Normal"/>
    <w:uiPriority w:val="99"/>
    <w:rsid w:val="00716254"/>
    <w:pPr>
      <w:spacing w:after="120"/>
      <w:ind w:left="360"/>
      <w:contextualSpacing/>
    </w:pPr>
  </w:style>
  <w:style w:type="paragraph" w:styleId="ListContinue2">
    <w:name w:val="List Continue 2"/>
    <w:basedOn w:val="Normal"/>
    <w:uiPriority w:val="99"/>
    <w:rsid w:val="00716254"/>
    <w:pPr>
      <w:spacing w:after="120"/>
      <w:ind w:left="720"/>
      <w:contextualSpacing/>
    </w:pPr>
  </w:style>
  <w:style w:type="paragraph" w:styleId="ListBullet">
    <w:name w:val="List Bullet"/>
    <w:basedOn w:val="Normal"/>
    <w:uiPriority w:val="99"/>
    <w:rsid w:val="00716254"/>
    <w:pPr>
      <w:numPr>
        <w:numId w:val="1"/>
      </w:numPr>
      <w:contextualSpacing/>
    </w:pPr>
  </w:style>
  <w:style w:type="paragraph" w:styleId="ListBullet2">
    <w:name w:val="List Bullet 2"/>
    <w:basedOn w:val="Normal"/>
    <w:uiPriority w:val="99"/>
    <w:rsid w:val="00716254"/>
    <w:pPr>
      <w:numPr>
        <w:ilvl w:val="1"/>
        <w:numId w:val="1"/>
      </w:numPr>
      <w:contextualSpacing/>
    </w:pPr>
  </w:style>
  <w:style w:type="paragraph" w:styleId="ListBullet3">
    <w:name w:val="List Bullet 3"/>
    <w:basedOn w:val="Normal"/>
    <w:uiPriority w:val="99"/>
    <w:rsid w:val="00716254"/>
    <w:pPr>
      <w:numPr>
        <w:ilvl w:val="2"/>
        <w:numId w:val="1"/>
      </w:numPr>
      <w:contextualSpacing/>
    </w:pPr>
  </w:style>
  <w:style w:type="paragraph" w:styleId="ListBullet4">
    <w:name w:val="List Bullet 4"/>
    <w:basedOn w:val="Normal"/>
    <w:uiPriority w:val="99"/>
    <w:rsid w:val="00716254"/>
    <w:pPr>
      <w:numPr>
        <w:ilvl w:val="3"/>
        <w:numId w:val="1"/>
      </w:numPr>
      <w:contextualSpacing/>
    </w:pPr>
  </w:style>
  <w:style w:type="paragraph" w:styleId="ListBullet5">
    <w:name w:val="List Bullet 5"/>
    <w:basedOn w:val="Normal"/>
    <w:uiPriority w:val="99"/>
    <w:rsid w:val="00716254"/>
    <w:pPr>
      <w:numPr>
        <w:ilvl w:val="4"/>
        <w:numId w:val="1"/>
      </w:numPr>
      <w:contextualSpacing/>
    </w:pPr>
  </w:style>
  <w:style w:type="paragraph" w:styleId="FootnoteText">
    <w:name w:val="footnote text"/>
    <w:basedOn w:val="Normal"/>
    <w:link w:val="FootnoteTextChar"/>
    <w:uiPriority w:val="99"/>
    <w:rsid w:val="00716254"/>
    <w:pPr>
      <w:spacing w:after="0" w:line="240" w:lineRule="auto"/>
    </w:pPr>
    <w:rPr>
      <w:sz w:val="20"/>
      <w:szCs w:val="20"/>
    </w:rPr>
  </w:style>
  <w:style w:type="character" w:customStyle="1" w:styleId="Heading4Char">
    <w:name w:val="Heading 4 Char"/>
    <w:basedOn w:val="DefaultParagraphFont"/>
    <w:link w:val="Heading4"/>
    <w:uiPriority w:val="9"/>
    <w:rsid w:val="00716254"/>
    <w:rPr>
      <w:rFonts w:ascii="Times New Roman" w:eastAsiaTheme="majorEastAsia" w:hAnsi="Times New Roman" w:cstheme="majorBidi"/>
      <w:bCs/>
      <w:i/>
      <w:iCs/>
    </w:rPr>
  </w:style>
  <w:style w:type="character" w:customStyle="1" w:styleId="Heading5Char">
    <w:name w:val="Heading 5 Char"/>
    <w:basedOn w:val="DefaultParagraphFont"/>
    <w:link w:val="Heading5"/>
    <w:uiPriority w:val="9"/>
    <w:rsid w:val="00716254"/>
    <w:rPr>
      <w:rFonts w:ascii="Times New Roman" w:eastAsiaTheme="majorEastAsia" w:hAnsi="Times New Roman" w:cstheme="majorBidi"/>
      <w:b/>
      <w:sz w:val="20"/>
    </w:rPr>
  </w:style>
  <w:style w:type="character" w:customStyle="1" w:styleId="Heading6Char">
    <w:name w:val="Heading 6 Char"/>
    <w:basedOn w:val="DefaultParagraphFont"/>
    <w:link w:val="Heading6"/>
    <w:uiPriority w:val="9"/>
    <w:rsid w:val="00716254"/>
    <w:rPr>
      <w:rFonts w:ascii="Times New Roman Bold" w:eastAsiaTheme="majorEastAsia" w:hAnsi="Times New Roman Bold" w:cstheme="majorBidi"/>
      <w:b/>
      <w:iCs/>
      <w:sz w:val="18"/>
    </w:rPr>
  </w:style>
  <w:style w:type="character" w:customStyle="1" w:styleId="Heading7Char">
    <w:name w:val="Heading 7 Char"/>
    <w:basedOn w:val="DefaultParagraphFont"/>
    <w:link w:val="Heading7"/>
    <w:uiPriority w:val="9"/>
    <w:semiHidden/>
    <w:rsid w:val="00716254"/>
    <w:rPr>
      <w:rFonts w:ascii="Times New Roman" w:eastAsiaTheme="majorEastAsia" w:hAnsi="Times New Roman" w:cstheme="majorBidi"/>
      <w:iCs/>
    </w:rPr>
  </w:style>
  <w:style w:type="character" w:customStyle="1" w:styleId="Heading8Char">
    <w:name w:val="Heading 8 Char"/>
    <w:basedOn w:val="DefaultParagraphFont"/>
    <w:link w:val="Heading8"/>
    <w:uiPriority w:val="9"/>
    <w:semiHidden/>
    <w:rsid w:val="00716254"/>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semiHidden/>
    <w:rsid w:val="00716254"/>
    <w:rPr>
      <w:rFonts w:ascii="Times New Roman" w:eastAsiaTheme="majorEastAsia" w:hAnsi="Times New Roman" w:cstheme="majorBidi"/>
      <w:iCs/>
      <w:szCs w:val="20"/>
    </w:rPr>
  </w:style>
  <w:style w:type="character" w:customStyle="1" w:styleId="FootnoteTextChar">
    <w:name w:val="Footnote Text Char"/>
    <w:basedOn w:val="DefaultParagraphFont"/>
    <w:link w:val="FootnoteText"/>
    <w:uiPriority w:val="99"/>
    <w:rsid w:val="00716254"/>
    <w:rPr>
      <w:rFonts w:ascii="Times New Roman" w:eastAsiaTheme="minorHAnsi" w:hAnsi="Times New Roman"/>
      <w:sz w:val="20"/>
      <w:szCs w:val="20"/>
    </w:rPr>
  </w:style>
  <w:style w:type="character" w:styleId="FootnoteReference">
    <w:name w:val="footnote reference"/>
    <w:basedOn w:val="DefaultParagraphFont"/>
    <w:uiPriority w:val="99"/>
    <w:rsid w:val="00716254"/>
    <w:rPr>
      <w:vertAlign w:val="superscript"/>
    </w:rPr>
  </w:style>
  <w:style w:type="paragraph" w:styleId="EndnoteText">
    <w:name w:val="endnote text"/>
    <w:basedOn w:val="Normal"/>
    <w:link w:val="EndnoteTextChar"/>
    <w:uiPriority w:val="99"/>
    <w:semiHidden/>
    <w:unhideWhenUsed/>
    <w:rsid w:val="007162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6254"/>
    <w:rPr>
      <w:rFonts w:ascii="Times New Roman" w:eastAsiaTheme="minorHAnsi" w:hAnsi="Times New Roman"/>
      <w:sz w:val="20"/>
      <w:szCs w:val="20"/>
    </w:rPr>
  </w:style>
  <w:style w:type="character" w:styleId="EndnoteReference">
    <w:name w:val="endnote reference"/>
    <w:basedOn w:val="DefaultParagraphFont"/>
    <w:uiPriority w:val="99"/>
    <w:semiHidden/>
    <w:unhideWhenUsed/>
    <w:rsid w:val="00716254"/>
    <w:rPr>
      <w:vertAlign w:val="superscript"/>
    </w:rPr>
  </w:style>
  <w:style w:type="paragraph" w:styleId="Header">
    <w:name w:val="header"/>
    <w:basedOn w:val="Normal"/>
    <w:link w:val="HeaderChar"/>
    <w:uiPriority w:val="99"/>
    <w:unhideWhenUsed/>
    <w:rsid w:val="00716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54"/>
    <w:rPr>
      <w:rFonts w:ascii="Times New Roman" w:eastAsiaTheme="minorHAnsi" w:hAnsi="Times New Roman"/>
    </w:rPr>
  </w:style>
  <w:style w:type="paragraph" w:styleId="Footer">
    <w:name w:val="footer"/>
    <w:link w:val="FooterChar"/>
    <w:uiPriority w:val="99"/>
    <w:unhideWhenUsed/>
    <w:rsid w:val="00701C26"/>
    <w:pPr>
      <w:tabs>
        <w:tab w:val="center" w:pos="4680"/>
        <w:tab w:val="right" w:pos="9360"/>
      </w:tabs>
      <w:spacing w:after="0" w:line="240" w:lineRule="auto"/>
    </w:pPr>
    <w:rPr>
      <w:rFonts w:ascii="Cambria" w:eastAsiaTheme="minorHAnsi" w:hAnsi="Cambria"/>
      <w:sz w:val="20"/>
    </w:rPr>
  </w:style>
  <w:style w:type="character" w:customStyle="1" w:styleId="FooterChar">
    <w:name w:val="Footer Char"/>
    <w:basedOn w:val="DefaultParagraphFont"/>
    <w:link w:val="Footer"/>
    <w:uiPriority w:val="99"/>
    <w:rsid w:val="00701C26"/>
    <w:rPr>
      <w:rFonts w:ascii="Cambria" w:eastAsiaTheme="minorHAnsi" w:hAnsi="Cambria"/>
      <w:sz w:val="20"/>
    </w:rPr>
  </w:style>
  <w:style w:type="character" w:styleId="PlaceholderText">
    <w:name w:val="Placeholder Text"/>
    <w:basedOn w:val="DefaultParagraphFont"/>
    <w:uiPriority w:val="99"/>
    <w:rsid w:val="00716254"/>
    <w:rPr>
      <w:color w:val="808080"/>
    </w:rPr>
  </w:style>
  <w:style w:type="paragraph" w:styleId="BalloonText">
    <w:name w:val="Balloon Text"/>
    <w:basedOn w:val="Normal"/>
    <w:link w:val="BalloonTextChar"/>
    <w:uiPriority w:val="99"/>
    <w:unhideWhenUsed/>
    <w:rsid w:val="0071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16254"/>
    <w:rPr>
      <w:rFonts w:ascii="Tahoma" w:eastAsiaTheme="minorHAnsi" w:hAnsi="Tahoma" w:cs="Tahoma"/>
      <w:sz w:val="16"/>
      <w:szCs w:val="16"/>
    </w:rPr>
  </w:style>
  <w:style w:type="paragraph" w:styleId="TOCHeading">
    <w:name w:val="TOC Heading"/>
    <w:basedOn w:val="Heading1"/>
    <w:next w:val="Normal"/>
    <w:uiPriority w:val="39"/>
    <w:semiHidden/>
    <w:unhideWhenUsed/>
    <w:qFormat/>
    <w:rsid w:val="00716254"/>
    <w:pPr>
      <w:spacing w:before="480" w:after="0"/>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qFormat/>
    <w:rsid w:val="00716254"/>
    <w:pPr>
      <w:tabs>
        <w:tab w:val="right" w:leader="dot" w:pos="4950"/>
      </w:tabs>
      <w:spacing w:after="0" w:line="240" w:lineRule="auto"/>
    </w:pPr>
    <w:rPr>
      <w:rFonts w:ascii="Times New Roman Bold" w:hAnsi="Times New Roman Bold"/>
      <w:b/>
      <w:caps/>
      <w:noProof/>
      <w:sz w:val="16"/>
    </w:rPr>
  </w:style>
  <w:style w:type="character" w:styleId="Hyperlink">
    <w:name w:val="Hyperlink"/>
    <w:basedOn w:val="DefaultParagraphFont"/>
    <w:uiPriority w:val="99"/>
    <w:unhideWhenUsed/>
    <w:rsid w:val="00716254"/>
    <w:rPr>
      <w:color w:val="0000FF" w:themeColor="hyperlink"/>
      <w:u w:val="single"/>
    </w:rPr>
  </w:style>
  <w:style w:type="paragraph" w:styleId="Title">
    <w:name w:val="Title"/>
    <w:next w:val="Normal"/>
    <w:link w:val="TitleChar"/>
    <w:rsid w:val="0062486E"/>
    <w:pPr>
      <w:spacing w:before="480" w:after="240"/>
      <w:jc w:val="center"/>
    </w:pPr>
    <w:rPr>
      <w:rFonts w:ascii="Cambria" w:eastAsia="SimSun" w:hAnsi="Cambria" w:cs="Angsana New"/>
      <w:b/>
      <w:bCs/>
      <w:caps/>
      <w:sz w:val="28"/>
      <w:szCs w:val="28"/>
      <w:lang w:val="en-AU"/>
    </w:rPr>
  </w:style>
  <w:style w:type="character" w:customStyle="1" w:styleId="TitleChar">
    <w:name w:val="Title Char"/>
    <w:basedOn w:val="DefaultParagraphFont"/>
    <w:link w:val="Title"/>
    <w:rsid w:val="0062486E"/>
    <w:rPr>
      <w:rFonts w:ascii="Cambria" w:eastAsia="SimSun" w:hAnsi="Cambria" w:cs="Angsana New"/>
      <w:b/>
      <w:bCs/>
      <w:caps/>
      <w:sz w:val="28"/>
      <w:szCs w:val="28"/>
      <w:lang w:val="en-AU"/>
    </w:rPr>
  </w:style>
  <w:style w:type="paragraph" w:styleId="TOC2">
    <w:name w:val="toc 2"/>
    <w:basedOn w:val="Normal"/>
    <w:next w:val="Normal"/>
    <w:autoRedefine/>
    <w:uiPriority w:val="39"/>
    <w:unhideWhenUsed/>
    <w:qFormat/>
    <w:rsid w:val="00716254"/>
    <w:pPr>
      <w:spacing w:after="0" w:line="240" w:lineRule="auto"/>
      <w:ind w:left="216"/>
    </w:pPr>
    <w:rPr>
      <w:rFonts w:eastAsiaTheme="minorEastAsia"/>
      <w:sz w:val="16"/>
    </w:rPr>
  </w:style>
  <w:style w:type="paragraph" w:styleId="TOC3">
    <w:name w:val="toc 3"/>
    <w:basedOn w:val="Normal"/>
    <w:next w:val="Normal"/>
    <w:autoRedefine/>
    <w:uiPriority w:val="39"/>
    <w:semiHidden/>
    <w:unhideWhenUsed/>
    <w:qFormat/>
    <w:rsid w:val="00716254"/>
    <w:pPr>
      <w:spacing w:after="100"/>
      <w:ind w:left="440"/>
    </w:pPr>
    <w:rPr>
      <w:rFonts w:asciiTheme="minorHAnsi" w:eastAsiaTheme="minorEastAsia" w:hAnsiTheme="minorHAnsi"/>
    </w:rPr>
  </w:style>
  <w:style w:type="character" w:styleId="Strong">
    <w:name w:val="Strong"/>
    <w:basedOn w:val="DefaultParagraphFont"/>
    <w:uiPriority w:val="22"/>
    <w:qFormat/>
    <w:rsid w:val="00716254"/>
    <w:rPr>
      <w:b/>
      <w:bCs/>
    </w:rPr>
  </w:style>
  <w:style w:type="table" w:styleId="TableGrid">
    <w:name w:val="Table Grid"/>
    <w:basedOn w:val="TableNormal"/>
    <w:uiPriority w:val="59"/>
    <w:rsid w:val="0071625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locked/>
    <w:rsid w:val="00716254"/>
    <w:rPr>
      <w:rFonts w:ascii="Times New Roman" w:hAnsi="Times New Roman"/>
      <w:b/>
      <w:bCs w:val="0"/>
      <w:sz w:val="16"/>
    </w:rPr>
  </w:style>
  <w:style w:type="character" w:customStyle="1" w:styleId="Normal1">
    <w:name w:val="Normal1"/>
    <w:rsid w:val="00716254"/>
    <w:rPr>
      <w:rFonts w:ascii="Helvetica" w:hAnsi="Helvetica"/>
      <w:sz w:val="24"/>
    </w:rPr>
  </w:style>
  <w:style w:type="paragraph" w:styleId="Caption">
    <w:name w:val="caption"/>
    <w:basedOn w:val="Normal"/>
    <w:next w:val="Normal"/>
    <w:uiPriority w:val="99"/>
    <w:unhideWhenUsed/>
    <w:qFormat/>
    <w:rsid w:val="00716254"/>
    <w:pPr>
      <w:spacing w:after="220" w:line="240" w:lineRule="auto"/>
    </w:pPr>
    <w:rPr>
      <w:rFonts w:ascii="Arial" w:eastAsia="Times New Roman" w:hAnsi="Arial" w:cs="Times New Roman"/>
      <w:b/>
      <w:bCs/>
    </w:rPr>
  </w:style>
  <w:style w:type="paragraph" w:styleId="BodyText">
    <w:name w:val="Body Text"/>
    <w:basedOn w:val="Normal"/>
    <w:link w:val="BodyTextChar"/>
    <w:uiPriority w:val="99"/>
    <w:semiHidden/>
    <w:unhideWhenUsed/>
    <w:rsid w:val="00716254"/>
    <w:pPr>
      <w:spacing w:after="120"/>
    </w:pPr>
  </w:style>
  <w:style w:type="character" w:customStyle="1" w:styleId="BodyTextChar">
    <w:name w:val="Body Text Char"/>
    <w:basedOn w:val="DefaultParagraphFont"/>
    <w:link w:val="BodyText"/>
    <w:uiPriority w:val="99"/>
    <w:semiHidden/>
    <w:rsid w:val="00716254"/>
    <w:rPr>
      <w:rFonts w:ascii="Times New Roman" w:eastAsiaTheme="minorHAnsi" w:hAnsi="Times New Roman"/>
    </w:rPr>
  </w:style>
  <w:style w:type="paragraph" w:styleId="Subtitle">
    <w:name w:val="Subtitle"/>
    <w:basedOn w:val="Normal"/>
    <w:next w:val="Normal"/>
    <w:link w:val="SubtitleChar"/>
    <w:uiPriority w:val="11"/>
    <w:qFormat/>
    <w:rsid w:val="007162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16254"/>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7162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6254"/>
    <w:rPr>
      <w:rFonts w:ascii="Times New Roman" w:eastAsiaTheme="minorHAnsi" w:hAnsi="Times New Roman"/>
      <w:b/>
      <w:bCs/>
      <w:i/>
      <w:iCs/>
      <w:color w:val="4F81BD" w:themeColor="accent1"/>
    </w:rPr>
  </w:style>
  <w:style w:type="paragraph" w:customStyle="1" w:styleId="TableNotes">
    <w:name w:val="Table Notes"/>
    <w:basedOn w:val="ListParagraph"/>
    <w:uiPriority w:val="99"/>
    <w:locked/>
    <w:rsid w:val="00716254"/>
    <w:pPr>
      <w:numPr>
        <w:numId w:val="2"/>
      </w:numPr>
    </w:pPr>
    <w:rPr>
      <w:rFonts w:eastAsia="Times New Roman" w:cs="Times New Roman"/>
      <w:sz w:val="18"/>
      <w:szCs w:val="24"/>
      <w:lang w:val="en-CA"/>
    </w:rPr>
  </w:style>
  <w:style w:type="paragraph" w:customStyle="1" w:styleId="TableSource">
    <w:name w:val="Table Source"/>
    <w:basedOn w:val="Normal"/>
    <w:uiPriority w:val="99"/>
    <w:rsid w:val="00716254"/>
    <w:pPr>
      <w:spacing w:after="0" w:line="240" w:lineRule="auto"/>
      <w:ind w:left="288"/>
    </w:pPr>
    <w:rPr>
      <w:rFonts w:eastAsia="Times New Roman" w:cs="Times New Roman"/>
      <w:sz w:val="20"/>
      <w:szCs w:val="24"/>
    </w:rPr>
  </w:style>
  <w:style w:type="character" w:customStyle="1" w:styleId="TableNoteMarker">
    <w:name w:val="TableNoteMarker"/>
    <w:basedOn w:val="DefaultParagraphFont"/>
    <w:uiPriority w:val="1"/>
    <w:locked/>
    <w:rsid w:val="00716254"/>
    <w:rPr>
      <w:i/>
      <w:vertAlign w:val="superscript"/>
    </w:rPr>
  </w:style>
  <w:style w:type="paragraph" w:customStyle="1" w:styleId="TableNoteWrapper">
    <w:name w:val="TableNoteWrapper"/>
    <w:basedOn w:val="Normal"/>
    <w:next w:val="Normal"/>
    <w:rsid w:val="00716254"/>
    <w:pPr>
      <w:spacing w:after="0" w:line="240" w:lineRule="auto"/>
    </w:pPr>
    <w:rPr>
      <w:rFonts w:eastAsia="Times New Roman" w:cs="Times New Roman"/>
      <w:sz w:val="2"/>
      <w:szCs w:val="24"/>
      <w:lang w:val="en-GB"/>
    </w:rPr>
  </w:style>
  <w:style w:type="character" w:styleId="SubtleReference">
    <w:name w:val="Subtle Reference"/>
    <w:basedOn w:val="DefaultParagraphFont"/>
    <w:uiPriority w:val="31"/>
    <w:qFormat/>
    <w:rsid w:val="00716254"/>
    <w:rPr>
      <w:smallCaps/>
      <w:color w:val="C0504D" w:themeColor="accent2"/>
      <w:u w:val="single"/>
    </w:rPr>
  </w:style>
  <w:style w:type="paragraph" w:customStyle="1" w:styleId="BoxedWarningHeadingTOC">
    <w:name w:val="Boxed Warning Heading TOC"/>
    <w:basedOn w:val="BoxedWarningHeading"/>
    <w:qFormat/>
    <w:rsid w:val="00716254"/>
    <w:rPr>
      <w:rFonts w:eastAsia="Times New Roman" w:cs="Times New Roman"/>
      <w:szCs w:val="24"/>
    </w:rPr>
  </w:style>
  <w:style w:type="paragraph" w:styleId="NormalIndent">
    <w:name w:val="Normal Indent"/>
    <w:basedOn w:val="Normal"/>
    <w:uiPriority w:val="99"/>
    <w:rsid w:val="00716254"/>
    <w:pPr>
      <w:ind w:left="720"/>
    </w:pPr>
  </w:style>
  <w:style w:type="character" w:styleId="Emphasis">
    <w:name w:val="Emphasis"/>
    <w:basedOn w:val="DefaultParagraphFont"/>
    <w:uiPriority w:val="20"/>
    <w:qFormat/>
    <w:rsid w:val="00716254"/>
    <w:rPr>
      <w:i w:val="0"/>
      <w:iCs/>
      <w:shd w:val="clear" w:color="auto" w:fill="DBE5F1" w:themeFill="accent1" w:themeFillTint="33"/>
    </w:rPr>
  </w:style>
  <w:style w:type="numbering" w:customStyle="1" w:styleId="NoList1">
    <w:name w:val="No List1"/>
    <w:next w:val="NoList"/>
    <w:uiPriority w:val="99"/>
    <w:semiHidden/>
    <w:unhideWhenUsed/>
    <w:rsid w:val="00FC060A"/>
  </w:style>
  <w:style w:type="character" w:styleId="FollowedHyperlink">
    <w:name w:val="FollowedHyperlink"/>
    <w:basedOn w:val="DefaultParagraphFont"/>
    <w:uiPriority w:val="99"/>
    <w:semiHidden/>
    <w:unhideWhenUsed/>
    <w:rsid w:val="00FC060A"/>
    <w:rPr>
      <w:color w:val="800080" w:themeColor="followedHyperlink"/>
      <w:u w:val="single"/>
    </w:rPr>
  </w:style>
  <w:style w:type="paragraph" w:styleId="NormalWeb">
    <w:name w:val="Normal (Web)"/>
    <w:basedOn w:val="Normal"/>
    <w:uiPriority w:val="99"/>
    <w:unhideWhenUsed/>
    <w:rsid w:val="00FC060A"/>
    <w:rPr>
      <w:rFonts w:cs="Times New Roman"/>
      <w:sz w:val="24"/>
      <w:szCs w:val="24"/>
    </w:rPr>
  </w:style>
  <w:style w:type="paragraph" w:styleId="CommentText">
    <w:name w:val="annotation text"/>
    <w:basedOn w:val="Normal"/>
    <w:link w:val="CommentTextChar"/>
    <w:uiPriority w:val="99"/>
    <w:unhideWhenUsed/>
    <w:rsid w:val="00FC060A"/>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FC060A"/>
    <w:rPr>
      <w:rFonts w:ascii="Cambria" w:eastAsia="Calibri" w:hAnsi="Cambria" w:cs="Cordia New"/>
      <w:sz w:val="20"/>
      <w:szCs w:val="20"/>
      <w:lang w:val="en-AU"/>
    </w:rPr>
  </w:style>
  <w:style w:type="paragraph" w:styleId="CommentSubject">
    <w:name w:val="annotation subject"/>
    <w:basedOn w:val="CommentText"/>
    <w:next w:val="CommentText"/>
    <w:link w:val="CommentSubjectChar"/>
    <w:uiPriority w:val="99"/>
    <w:semiHidden/>
    <w:unhideWhenUsed/>
    <w:rsid w:val="00FC060A"/>
    <w:rPr>
      <w:rFonts w:ascii="Calibri" w:hAnsi="Calibri"/>
      <w:b/>
      <w:bCs/>
    </w:rPr>
  </w:style>
  <w:style w:type="character" w:customStyle="1" w:styleId="CommentSubjectChar">
    <w:name w:val="Comment Subject Char"/>
    <w:basedOn w:val="CommentTextChar"/>
    <w:link w:val="CommentSubject"/>
    <w:uiPriority w:val="99"/>
    <w:semiHidden/>
    <w:rsid w:val="00FC060A"/>
    <w:rPr>
      <w:rFonts w:ascii="Calibri" w:eastAsia="Calibri" w:hAnsi="Calibri" w:cs="Cordia New"/>
      <w:b/>
      <w:bCs/>
      <w:sz w:val="20"/>
      <w:szCs w:val="20"/>
      <w:lang w:val="en-AU"/>
    </w:rPr>
  </w:style>
  <w:style w:type="paragraph" w:customStyle="1" w:styleId="Default">
    <w:name w:val="Default"/>
    <w:uiPriority w:val="99"/>
    <w:rsid w:val="00FC060A"/>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CommentReference">
    <w:name w:val="annotation reference"/>
    <w:basedOn w:val="DefaultParagraphFont"/>
    <w:uiPriority w:val="99"/>
    <w:semiHidden/>
    <w:unhideWhenUsed/>
    <w:rsid w:val="00FC060A"/>
    <w:rPr>
      <w:sz w:val="16"/>
      <w:szCs w:val="16"/>
    </w:rPr>
  </w:style>
  <w:style w:type="table" w:customStyle="1" w:styleId="TableGrid1">
    <w:name w:val="Table Grid1"/>
    <w:basedOn w:val="TableNormal"/>
    <w:next w:val="TableGrid"/>
    <w:rsid w:val="00FC060A"/>
    <w:pPr>
      <w:spacing w:after="0" w:line="240" w:lineRule="auto"/>
    </w:pPr>
    <w:rPr>
      <w:rFonts w:ascii="Calibri" w:eastAsia="MS Mincho" w:hAnsi="Calibri" w:cs="Times New Roman"/>
      <w:sz w:val="20"/>
      <w:szCs w:val="20"/>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FC060A"/>
    <w:pPr>
      <w:spacing w:after="0" w:line="240" w:lineRule="auto"/>
    </w:pPr>
    <w:rPr>
      <w:rFonts w:ascii="Calibri" w:eastAsia="Calibri" w:hAnsi="Calibri" w:cs="Cordia New"/>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MS Gothic" w:hAnsi="Cambria" w:cs="Angsana New"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MS Gothic" w:hAnsi="Cambria" w:cs="Angsana New"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MS Gothic" w:hAnsi="Cambria" w:cs="Angsana New" w:hint="default"/>
        <w:b/>
        <w:bCs/>
      </w:rPr>
    </w:tblStylePr>
    <w:tblStylePr w:type="lastCol">
      <w:rPr>
        <w:rFonts w:ascii="Cambria" w:eastAsia="MS Gothic" w:hAnsi="Cambria" w:cs="Angsana New"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ofChanges">
    <w:name w:val="Table of Changes"/>
    <w:basedOn w:val="TableNormal"/>
    <w:uiPriority w:val="99"/>
    <w:rsid w:val="009F0623"/>
    <w:pPr>
      <w:spacing w:after="0" w:line="240" w:lineRule="auto"/>
    </w:pPr>
    <w:tblPr/>
  </w:style>
  <w:style w:type="paragraph" w:customStyle="1" w:styleId="SideEffectReportingHeading">
    <w:name w:val="Side Effect Reporting Heading"/>
    <w:qFormat/>
    <w:rsid w:val="00F43FE5"/>
    <w:pPr>
      <w:spacing w:before="200" w:after="0"/>
      <w:ind w:left="230"/>
      <w:outlineLvl w:val="2"/>
    </w:pPr>
    <w:rPr>
      <w:rFonts w:ascii="Cambria" w:eastAsia="MS Gothic" w:hAnsi="Cambria" w:cs="Angsana New"/>
      <w:b/>
      <w:bCs/>
      <w:lang w:val="en-AU"/>
    </w:rPr>
  </w:style>
  <w:style w:type="paragraph" w:customStyle="1" w:styleId="SummaryTableHeading">
    <w:name w:val="Summary Table Heading"/>
    <w:qFormat/>
    <w:rsid w:val="00AC4205"/>
    <w:pPr>
      <w:spacing w:after="120"/>
      <w:outlineLvl w:val="1"/>
    </w:pPr>
    <w:rPr>
      <w:rFonts w:ascii="Cambria" w:eastAsia="Calibri" w:hAnsi="Cambria" w:cs="Cambria"/>
      <w:b/>
      <w:bCs/>
      <w:smallCaps/>
      <w:sz w:val="24"/>
      <w:szCs w:val="24"/>
      <w:lang w:val="en-AU"/>
    </w:rPr>
  </w:style>
  <w:style w:type="table" w:customStyle="1" w:styleId="TableGrid2">
    <w:name w:val="Table Grid2"/>
    <w:basedOn w:val="TableNormal"/>
    <w:next w:val="TableGrid"/>
    <w:uiPriority w:val="59"/>
    <w:rsid w:val="00BE3FB3"/>
    <w:pPr>
      <w:spacing w:after="0" w:line="240" w:lineRule="auto"/>
    </w:pPr>
    <w:rPr>
      <w:rFonts w:cs="Myanmar Tex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3FB3"/>
    <w:pPr>
      <w:spacing w:after="0" w:line="240" w:lineRule="auto"/>
    </w:pPr>
    <w:rPr>
      <w:rFonts w:cs="Myanmar Tex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200B"/>
    <w:pPr>
      <w:spacing w:after="0" w:line="240" w:lineRule="auto"/>
    </w:pPr>
    <w:rPr>
      <w:rFonts w:cs="Myanmar Tex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F66D9E"/>
    <w:pPr>
      <w:spacing w:after="0" w:line="240" w:lineRule="auto"/>
    </w:pPr>
    <w:rPr>
      <w:rFonts w:ascii="Times New Roman" w:eastAsia="MS Mincho" w:hAnsi="Times New Roman" w:cs="Times New Roman"/>
      <w:sz w:val="20"/>
      <w:szCs w:val="20"/>
      <w:lang w:eastAsia="ja-JP"/>
    </w:rPr>
    <w:tblP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Pr>
  </w:style>
  <w:style w:type="paragraph" w:styleId="Revision">
    <w:name w:val="Revision"/>
    <w:hidden/>
    <w:uiPriority w:val="99"/>
    <w:semiHidden/>
    <w:rsid w:val="009C2259"/>
    <w:pPr>
      <w:spacing w:after="0" w:line="240" w:lineRule="auto"/>
    </w:pPr>
    <w:rPr>
      <w:rFonts w:ascii="Calibri" w:eastAsia="Calibri" w:hAnsi="Calibri" w:cs="Cordia New"/>
      <w:lang w:val="en-AU"/>
    </w:rPr>
  </w:style>
  <w:style w:type="character" w:styleId="UnresolvedMention">
    <w:name w:val="Unresolved Mention"/>
    <w:basedOn w:val="DefaultParagraphFont"/>
    <w:uiPriority w:val="99"/>
    <w:semiHidden/>
    <w:unhideWhenUsed/>
    <w:rsid w:val="00154A8E"/>
    <w:rPr>
      <w:color w:val="605E5C"/>
      <w:shd w:val="clear" w:color="auto" w:fill="E1DFDD"/>
    </w:rPr>
  </w:style>
  <w:style w:type="paragraph" w:customStyle="1" w:styleId="xmsonormal">
    <w:name w:val="x_msonormal"/>
    <w:basedOn w:val="Normal"/>
    <w:rsid w:val="001B647D"/>
    <w:pPr>
      <w:spacing w:after="0" w:line="240" w:lineRule="auto"/>
    </w:pPr>
    <w:rPr>
      <w:rFonts w:eastAsiaTheme="minorEastAsia" w:cs="Calibr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4527">
      <w:bodyDiv w:val="1"/>
      <w:marLeft w:val="0"/>
      <w:marRight w:val="0"/>
      <w:marTop w:val="0"/>
      <w:marBottom w:val="0"/>
      <w:divBdr>
        <w:top w:val="none" w:sz="0" w:space="0" w:color="auto"/>
        <w:left w:val="none" w:sz="0" w:space="0" w:color="auto"/>
        <w:bottom w:val="none" w:sz="0" w:space="0" w:color="auto"/>
        <w:right w:val="none" w:sz="0" w:space="0" w:color="auto"/>
      </w:divBdr>
    </w:div>
    <w:div w:id="51776878">
      <w:bodyDiv w:val="1"/>
      <w:marLeft w:val="0"/>
      <w:marRight w:val="0"/>
      <w:marTop w:val="0"/>
      <w:marBottom w:val="0"/>
      <w:divBdr>
        <w:top w:val="none" w:sz="0" w:space="0" w:color="auto"/>
        <w:left w:val="none" w:sz="0" w:space="0" w:color="auto"/>
        <w:bottom w:val="none" w:sz="0" w:space="0" w:color="auto"/>
        <w:right w:val="none" w:sz="0" w:space="0" w:color="auto"/>
      </w:divBdr>
    </w:div>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224340223">
      <w:bodyDiv w:val="1"/>
      <w:marLeft w:val="0"/>
      <w:marRight w:val="0"/>
      <w:marTop w:val="0"/>
      <w:marBottom w:val="0"/>
      <w:divBdr>
        <w:top w:val="none" w:sz="0" w:space="0" w:color="auto"/>
        <w:left w:val="none" w:sz="0" w:space="0" w:color="auto"/>
        <w:bottom w:val="none" w:sz="0" w:space="0" w:color="auto"/>
        <w:right w:val="none" w:sz="0" w:space="0" w:color="auto"/>
      </w:divBdr>
    </w:div>
    <w:div w:id="648095840">
      <w:bodyDiv w:val="1"/>
      <w:marLeft w:val="0"/>
      <w:marRight w:val="0"/>
      <w:marTop w:val="0"/>
      <w:marBottom w:val="0"/>
      <w:divBdr>
        <w:top w:val="none" w:sz="0" w:space="0" w:color="auto"/>
        <w:left w:val="none" w:sz="0" w:space="0" w:color="auto"/>
        <w:bottom w:val="none" w:sz="0" w:space="0" w:color="auto"/>
        <w:right w:val="none" w:sz="0" w:space="0" w:color="auto"/>
      </w:divBdr>
    </w:div>
    <w:div w:id="715010893">
      <w:bodyDiv w:val="1"/>
      <w:marLeft w:val="0"/>
      <w:marRight w:val="0"/>
      <w:marTop w:val="0"/>
      <w:marBottom w:val="0"/>
      <w:divBdr>
        <w:top w:val="none" w:sz="0" w:space="0" w:color="auto"/>
        <w:left w:val="none" w:sz="0" w:space="0" w:color="auto"/>
        <w:bottom w:val="none" w:sz="0" w:space="0" w:color="auto"/>
        <w:right w:val="none" w:sz="0" w:space="0" w:color="auto"/>
      </w:divBdr>
    </w:div>
    <w:div w:id="970288367">
      <w:bodyDiv w:val="1"/>
      <w:marLeft w:val="0"/>
      <w:marRight w:val="0"/>
      <w:marTop w:val="0"/>
      <w:marBottom w:val="0"/>
      <w:divBdr>
        <w:top w:val="none" w:sz="0" w:space="0" w:color="auto"/>
        <w:left w:val="none" w:sz="0" w:space="0" w:color="auto"/>
        <w:bottom w:val="none" w:sz="0" w:space="0" w:color="auto"/>
        <w:right w:val="none" w:sz="0" w:space="0" w:color="auto"/>
      </w:divBdr>
    </w:div>
    <w:div w:id="976955887">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095787723">
      <w:bodyDiv w:val="1"/>
      <w:marLeft w:val="0"/>
      <w:marRight w:val="0"/>
      <w:marTop w:val="0"/>
      <w:marBottom w:val="0"/>
      <w:divBdr>
        <w:top w:val="none" w:sz="0" w:space="0" w:color="auto"/>
        <w:left w:val="none" w:sz="0" w:space="0" w:color="auto"/>
        <w:bottom w:val="none" w:sz="0" w:space="0" w:color="auto"/>
        <w:right w:val="none" w:sz="0" w:space="0" w:color="auto"/>
      </w:divBdr>
    </w:div>
    <w:div w:id="1182746911">
      <w:bodyDiv w:val="1"/>
      <w:marLeft w:val="0"/>
      <w:marRight w:val="0"/>
      <w:marTop w:val="0"/>
      <w:marBottom w:val="0"/>
      <w:divBdr>
        <w:top w:val="none" w:sz="0" w:space="0" w:color="auto"/>
        <w:left w:val="none" w:sz="0" w:space="0" w:color="auto"/>
        <w:bottom w:val="none" w:sz="0" w:space="0" w:color="auto"/>
        <w:right w:val="none" w:sz="0" w:space="0" w:color="auto"/>
      </w:divBdr>
    </w:div>
    <w:div w:id="1938712164">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tyles" Target="styles.xml"/><Relationship Id="rId18" Type="http://schemas.openxmlformats.org/officeDocument/2006/relationships/hyperlink" Target="http://www.tga.gov.au/reporting-problems"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customXml" Target="../customXml/item6.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footnotes" Target="footnote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webSettings" Target="webSettings.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hyperlink" Target="http://www.tga.gov.au/reporting-problems" TargetMode="Externa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ettings" Target="settings.xml"/><Relationship Id="rId22" Type="http://schemas.openxmlformats.org/officeDocument/2006/relationships/image" Target="media/image3.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dd:ProductDefinition xmlns:pdd="http://www.i4i.com/ns/eul/product-definition">
  <eu-envelope>
    <envelope>
      <name>
      </name>
      <submission mode="" type="">
        <number>
        </number>
        <tracking>
          <number>
          </number>
        </tracking>
      </submission>
      <applicant/>
      <agency code=""/>
      <procedure type=""/>
      <invented-name/>
      <inn/>
      <sequence/>
      <related-sequence/>
      <submission-description/>
    </envelope>
  </eu-envelope>
  <InfoZone applies_to="" editMode="addDocument">
    <product_InfoZone approval_mode="complete" atp="no" biosimilar="no" id="ID_product" name="" orphan="no">
      <form_InfoZone id="ID_form_1" mode_administration_verb="take" name="">
        <strength_InfoZone id="ID_strength_1" name="">
          <presentation_InfoZone an2_legal_status="with-prescription" id="ID_pres_1" name="" out_legal_status="with-prescription">
            <labeling_InfoZone id="ID_label_1" level_immed_content="product" name="" type="Outer"/>
          </presentation_InfoZone>
        </strength_InfoZone>
      </form_InfoZone>
    </product_InfoZone>
    <documents_InfoZone>
    </documents_InfoZone>
  </InfoZone>
  <DocumentVariables>
  </DocumentVariables>
</pdd:ProductDefinition>
</file>

<file path=customXml/item10.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Cell4"/>
        <doctype name="Cell-PLR4"/>
        <doctype name="VetOTC4"/>
        <doctype name="VetOTCA4"/>
        <doctype name="VetOTCB4"/>
        <doctype name="VetOTCC4"/>
        <doctype name="Vet4"/>
        <doctype name="VetA4"/>
        <doctype name="VetB4"/>
        <doctype name="VetC4"/>
        <doctype name="Product Listing"/>
        <doctype name="Product Labeler"/>
        <doctype name="KitDevice4"/>
        <doctype name="KitDevice-PLR4"/>
        <doctype name="Cosmetic4"/>
        <doctype name="MedicalFood4"/>
        <doctype name="DietarySupplement4"/>
        <doctype name="OTC-PLR4"/>
      </doctypes>
      <keyworddef id="keyword_Brand_name" name="Brand name" type="text"/>
      <keyworddef id="keyword_Generic_name" name="Generic name" type="text"/>
      <keyworddef constrained="no" id="keyword_Dosage_form" name="Dosage form" vocabid="vocabid_Dosage_form"/>
      <keyworddef id="keyword_Dosage_strength" name="Dosage strength" type="text"/>
      <keyworddef id="keyword_Drug_substance" name="Active ingredient" type="text"/>
      <keyworddef id="keyword_Indication" name="Indication" type="text"/>
      <keyworddef id="keyword_Therapeutic_group" name="Therapeutic group" type="text"/>
      <keyworddef constrained="no" id="keyword_Administration_route" name="Administration route" vocabid="vocabid_Administration_route"/>
      <keyworddef constrained="no" id="keyword_Package" name="Package type" vocabid="vocabid_Package"/>
      <!-- If the user inserts a vocabulary list in the keyword, it will have to be the Generic Name vocabulary, but the user can type anything else... -->
    </keywordset>
    <keywordset name="All QRDs">
      <doctypes>
        <doctype name="CCDS"/>
        <doctype name="SPC"/>
        <doctype name="PL"/>
      </doctypes>
      <keyworddef id="keyword_Application_number" name="Application number"/>
      <keyworddef id="keyword_Authoring_site" name="Authoring site"/>
      <keyworddef constrained="yes" id="keyword_Language" name="Language" vocabid="vocabid_Language"/>
      <!-- If the user inserts a keyword, the value *has* to be from the vocabulary list.  There is no way to type anything else... -->
      <keyworddef id="keyword_Brand_name" name="Product name"/>
      <!-- Note as this keyword has a different name in EU than in the US -->
      <keyworddef constrained="no" id="keyword_Generic_name" name="INN" vocabid="vocabid_Generic_name"/>
      <!-- Note as this keyword has a different name in EU than in the US -->
      <keyworddef id="Qualifier Before Name" name="Qualifier Before Name"/>
      <keyworddef id="kw:PPN" name="PPN"/>
      <keyworddef id="Qualifier After Name" name="Qualifier After Name"/>
      <keyworddef id="Dosage strength" name="Dosage strength"/>
    </keywordset>
    <keywordset name="EULM">
      <doctypes>
        <doctype name="EU Label Master"/>
      </doctypes>
      <keyworddef id="keyword_Application_number" name="Application number"/>
      <keyworddef id="keyword_Authoring_site" name="Authoring site"/>
      <keyworddef constrained="yes" id="keyword_Language" name="Language"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constrained="no" id="keyword_Generic_name" name="INN" vocabid="vocabid_Generic_name"/>
      <!-- Note as this keyword has a different name in EU than in the US -->
    </keywordset>
    <keywordset name="ASABE">
      <doctypes>
        <doctype name="Article"/>
      </doctypes>
      <keyworddef id="keyword_model" name="Model"/>
      <keyworddef id="keyword_method" name="Method"/>
    </keywordset>
  </keywords>
  <ValuesListSet>
    <ValuesList id="vocabid_Country">
      <doctypes>
        <!-- This vocabulary list is not available for US documents -->
        <doctype display="Country" name="CCDS"/>
        <doctype display="Country" name="SPC"/>
        <doctype display="Country" name="PL"/>
        <doctype display="Country" name="EU Label Master"/>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display="Language" name="CCDS"/>
        <doctype display="Language" name="SPC"/>
        <doctype display="Language" name="PL"/>
        <doctype display="Language" name="EU Label Master"/>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Brand_name">
      <doctypes>
        <doctype display="Product Name" name="CCDS"/>
        <doctype display="Product Name" name="SPC"/>
        <!-- Note as this vocabulary has a different name in EU than in the US -->
        <doctype display="Product Name" name="PL"/>
        <!-- Note as this vocabulary has a different name in EU than in the US -->
        <doctype display="Product Name" name="EU Label Master"/>
        <!-- Note as this vocabulary has a different name in EU than in the US -->
      </doctypes>
      <Value>- n/a</Value>
      <Value>Ablacton</Value>
      <Value>Aciclovir</Value>
      <Value>Acid Mantle</Value>
      <Value>Aclasta</Value>
      <Value>Actron</Value>
      <Value>ACTRON PLUS</Value>
      <Value>AcuTect</Value>
      <Value>Ambroxol</Value>
      <Value>Ambroxol-Clenbuterol</Value>
      <Value>Amiada</Value>
      <Value>Amipaque</Value>
      <Value>Amlodipine</Value>
      <Value>Amoxicillin</Value>
      <Value>Antibioticx</Value>
      <Value>Apracur</Value>
      <Value>Asacol</Value>
      <Value>Asche Basis</Value>
      <Value>Ascorbic acid-Sodium Ascorbate</Value>
      <Value>Ascorvit</Value>
      <Value>Asmalide</Value>
      <Value>Asparaginase</Value>
      <Value>Aspenon</Value>
      <Value>Aspirin</Value>
      <Value>Aspisol</Value>
      <Value>Atosil</Value>
      <Value>Avaden</Value>
      <Value>Avelox</Value>
      <Value>AVINZA®</Value>
      <Value>Baclon</Value>
      <Value>Barigraf</Value>
      <Value>Barium Sulfate</Value>
      <Value>Barnetil</Value>
      <Value>Baycillin</Value>
      <Value>Baynas</Value>
      <Value>Baypen</Value>
      <Value>Baypress</Value>
      <Value>Bayro</Value>
      <Value>BCG</Value>
      <Value>Beien</Value>
      <Value>Belladonna</Value>
      <Value>Beta-Adalat</Value>
      <Value>Betades</Value>
      <Value>Betaferon</Value>
      <Value>Betamethasone</Value>
      <Value>Betapace</Value>
      <Value>Betapace AF</Value>
      <Value>Betaserc</Value>
      <Value>Bonefos</Value>
      <Value>Brevibloc</Value>
      <Value>Bromazepam</Value>
      <Value>Bufluidat</Value>
      <Value>Bupivacain</Value>
      <Value>Buscopan</Value>
      <Value>Echovist</Value>
      <Value>Eisenfumarat</Value>
      <Value>Elantan</Value>
      <Value>Elixophyllin</Value>
      <Value>Elumatic III</Value>
      <Value>Enalapril</Value>
      <Value>Endografin</Value>
      <Value>Endometrion</Value>
      <Value>Endoxan</Value>
      <Value>Erbium [169Er] citrate</Value>
      <Value>Erycinum</Value>
      <Value>Erythromycin</Value>
      <Value>Erythromycin Stearate</Value>
      <Value>Essaven</Value>
      <Value>Estracomb TTS</Value>
      <Value>Estraderm</Value>
      <Value>Estraderm Plus</Value>
      <Value>Estradiol</Value>
      <Value>Estreva</Value>
      <Value>Estriol</Value>
      <Value>Estrogel</Value>
      <Value>Estronorm</Value>
      <Value>Ethinylestradiol</Value>
      <Value>Etidronat</Value>
      <Value>Etoscol</Value>
      <Value>Eugynon</Value>
      <Value>Evestrel</Value>
      <Value>Exoderil</Value>
      <Value>G-Strophanthin</Value>
      <Value>Gadovist</Value>
      <Value>Gastrografin</Value>
      <Value>Gastrovison</Value>
      <Value>Gastrovist</Value>
      <Value>Gemfibrozil</Value>
      <Value>Gentamicin</Value>
      <Value>Glianimon</Value>
      <Value>Glianimon</Value>
      <Value>Glucobay</Value>
      <Value>Gravibinon</Value>
      <Value>Gravistat</Value>
      <Value>Gynamon</Value>
      <Value>Gyno-Travogen</Value>
      <Value>Gynodian Depot</Value>
      <Value>Holoxan</Value>
      <Value>Honvan</Value>
      <Value>Hydrocortison</Value>
      <Value>Hydrocutan</Value>
      <Value>Hypso</Value>
      <Value>ImmunoGam</Value>
      <Value>K.H.3</Value>
      <Value>Kaban</Value>
      <Value>Kabanimat</Value>
      <Value>Ketoconazol MK</Value>
      <Value>Ketotifen</Value>
      <Value>Kinetin</Value>
      <Value>Kira</Value>
      <Value>Klimonorm</Value>
      <Value>Kogenate Bayer</Value>
      <Value>Kwai</Value>
      <Value>Ladotec</Value>
      <Value>Lampit</Value>
      <Value>Lansoprazole</Value>
      <Value>Lanthanum carbonate</Value>
      <Value>Lenen</Value>
      <Value>Leukine</Value>
      <Value>Levitra</Value>
      <Value>Levofloxacin</Value>
      <Value>Levovist</Value>
      <Value>Levulan</Value>
      <Value>Lidocaine</Value>
      <Value>Lincomycina MK</Value>
      <Value>Liquibas</Value>
      <Value>Loratadine</Value>
      <Value>Loratadine-Pseudoephedrine</Value>
      <Value>Losartan</Value>
      <Value>Lovée</Value>
      <Value>Lugesteron</Value>
      <Value>Luminal</Value>
      <Value>Lurantal</Value>
      <Value>Lutenyl</Value>
      <Value>Magnesium</Value>
      <Value>Magnevist</Value>
      <Value>Marophen</Value>
      <Value>Maveral</Value>
      <Value>Medrocis</Value>
      <Value>Meliane</Value>
      <Value>Menostar</Value>
      <Value>Mesigyna</Value>
      <Value>Metformin</Value>
      <Value>Methylprednisolon</Value>
      <Value>MIBG-131-D</Value>
      <Value>MIBG-131-T</Value>
      <Value>Micanol</Value>
      <Value>Microgynon</Value>
      <Value>Microlut</Value>
      <Value>Mifurol</Value>
      <Value>Milligynon</Value>
      <Value>Milvane</Value>
      <Value>Mini</Value>
      <Value>Minias</Value>
      <Value>Miniphase</Value>
      <Value>Minisiston</Value>
      <Value>Minoclir</Value>
      <Value>Miradol</Value>
      <Value>Miranova</Value>
      <Value>Mirelle</Value>
      <Value>Mirena</Value>
      <Value>Mittoval</Value>
      <Value>Moexipril</Value>
      <Value>Mometasone</Value>
      <Value>MonoStep</Value>
      <Value>Mucosolvan</Value>
      <Value>Multivitamins with Minerals Nutritional Supplement</Value>
      <Value>Mupirocin</Value>
      <Value>Mycanden</Value>
      <Value>Myelografin</Value>
      <Value>Myocet</Value>
      <Value>Noctamid</Value>
      <Value>Non Ovlon</Value>
      <Value>Norethisteron</Value>
      <Value>Norfloxacin</Value>
      <Value>Noristerat</Value>
      <Value>Normacol</Value>
      <Value>Normosang</Value>
      <Value>Norplant</Value>
      <Value>Nortase</Value>
      <Value>Nova T</Value>
      <Value>Novarok</Value>
      <Value>NovoMix</Value>
      <Value>Nuvelle</Value>
      <Value>Nystatin</Value>
      <Value>Radialar</Value>
      <Value>Radiopaque</Value>
      <Value>Raloxifene</Value>
      <Value>Ranitidine</Value>
      <Value>Rantudil</Value>
      <Value>Rayvist</Value>
      <Value>Recofol</Value>
      <Value>Redul</Value>
      <Value>Refludan</Value>
      <Value>Remotiv</Value>
      <Value>Renocis</Value>
      <Value>Resochin</Value>
      <Value>Resovist</Value>
      <Value>Retacillin</Value>
      <Value>Rhenium [186Re] sulphide</Value>
      <Value>Rheuma</Value>
      <Value>Riball</Value>
      <Value>Rifampicin</Value>
      <Value>Rondo</Value>
      <Value>Rytmonorm</Value>
      <Value>Thymanax</Value>
      <Value>Vagizol</Value>
      <Value>Valeriana</Value>
      <Value>Valette</Value>
      <Value>Vancomycin</Value>
      <Value>Vasculocis</Value>
      <Value>Vasomotal</Value>
      <Value>Vasovist</Value>
      <Value>Vaspit</Value>
      <Value>Ventavis</Value>
      <Value>Veradol</Value>
      <Value>Veramon</Value>
      <Value>Water</Value>
      <Value>Wellnara</Value>
      <Value>Xapro</Value>
      <Value>Xarelto</Value>
      <Value>Xylocitin</Value>
      <Value>Yasmin</Value>
      <Value>Yasminelle</Value>
      <Value>Yaz</Value>
      <Value>Yomesan</Value>
      <Value>Yomesan</Value>
      <Value>Ytracis</Value>
      <Value>Yttrium [90Y]</Value>
    </ValuesList>
    <ValuesList id="vocabid_PPNF">
      <doctypes>
        <!-- This vocabulary list is not available for US documents -->
        <doctype display="PPNF" name="CCDS"/>
        <doctype display="PPNF" name="SPC"/>
        <!-- SPC Authors are familiar with the term PPNF -->
        <doctype display="Product Name and Form" name="PL"/>
        <!-- PL Authors want to see the PPNF term explained -->
        <doctype display="PPNF" name="EU Label Master"/>
        <!-- EULM Authors are familiar with the term PPNF -->
      </doctypes>
      <Value>- n/a</Value>
      <Value>Ablacton Solution</Value>
      <Value>Aciclovir; 200 mg; Tablet</Value>
      <Value>Aciclovir; 400 mg; Tablet</Value>
      <Value>Aciclovir; 5 %; Cream</Value>
      <Value>Aciclovir; 800 mg; Tablet</Value>
      <Value>Acid Mantle; 0.015 %; Cutaneous liquid</Value>
      <Value>Acid Mantle; 0.05 %; Cream</Value>
      <Value>Acid Mantle; 0.059 %; Cutaneous liquid</Value>
      <Value>Acid Mantle; 0.5 %; Ear drops, solution</Value>
      <Value>Aclasta; 5 mg/100 ml; Solution for injection</Value>
      <Value>ACTRON PLUS; Capsule, soft</Value>
      <Value>Actron; 100 mg/5 ml; Oral suspension</Value>
      <Value>Actron; 200 mg; Capsule, soft</Value>
      <Value>Actron; 200 mg; Tablet</Value>
      <Value>Actron; 40 mg/1 ml; Oral drops, suspension</Value>
      <Value>Actron; 400 mg; Capsule, soft</Value>
      <Value>Actron; 400 mg; Tablet</Value>
      <Value>Actron; 600 mg; Capsule, soft</Value>
      <Value>Actron; 600 mg; Tablet</Value>
      <Value>AcuTect Combipack</Value>
      <Value>Ambroxol-Clenbuterol; Oral solution</Value>
      <Value>Ambroxol; 0.3 %; Syrup</Value>
      <Value>Ambroxol; 15 mg/5 ml; Syrup</Value>
      <Value>Ambroxol; 30 mg; Capsule</Value>
      <Value>Amiada 125 mg; Tablets</Value>
      <Value>Amiada 250 mg; Tablets</Value>
      <Value>Amipaque 13.5 g; Powder</Value>
      <Value>Amipaque 3.75 g; Powder</Value>
      <Value>Amipaque 6.75 g; Powder</Value>
      <Value>Amlodipine; 10 mg; Tablet</Value>
      <Value>Amlodipine; 5 mg; Tablet</Value>
      <Value>Amoxicillin; 1000 mg; Film-coated tablet</Value>
      <Value>Amoxicillin; 125 mg/5 ml; Powder for oral suspension</Value>
      <Value>Amoxicillin; 250 mg/5 ml; Powder for oral suspension</Value>
      <Value>Amoxicillin; 500 mg/5 ml; Powder for oral suspension</Value>
      <Value>Amoxicillin; 500 mg; Capsule</Value>
      <Value>Antibioticx Tablet</Value>
      <Value>Apracur Coated Tablets</Value>
      <Value>Asacol 400 mg; Film Tablets</Value>
      <Value>Asacol 500 mg; Suppositories</Value>
      <Value>Asacol 800 mg; Film Tablets</Value>
      <Value>Asacol Rectal 1 g; Suspension</Value>
      <Value>Asacol Rectal 2 g; Suspension</Value>
      <Value>Asacol Rectal 4 g; Suspension</Value>
      <Value>Asche Basis Cream</Value>
      <Value>Asche Basis Fatty Ointment</Value>
      <Value>Asche Basis Med Fatty Ointment</Value>
      <Value>Asche Basis Milk</Value>
      <Value>Asche Basis Ointment</Value>
      <Value>Asche Basis Sun; After Sun Milk</Value>
      <Value>Asche Basis Sun; Display</Value>
      <Value>Asche Basis Sun; Gel</Value>
      <Value>Asche Basis Sun; Milk</Value>
      <Value>Ascorbic acid-Sodium Ascorbate; Chewable tablet</Value>
      <Value>Ascorbic acid-Sodium Ascorbate; Tablet</Value>
      <Value>Ascorvit 200 mg; Coated Tablets</Value>
      <Value>Ascorvit 500 mg; Coated Tablets</Value>
      <Value>Ascorvit 500 mg; Solution</Value>
      <Value>Asmalide 2mg; Tablets</Value>
      <Value>Asmalide Syrup</Value>
      <Value>Asparaginase 10000 I.U.; Powder</Value>
      <Value>Asparaginase 5000 I.U.; Powder</Value>
      <Value>Aspenon 1 %; Solution</Value>
      <Value>Aspenon 10 mg; Capsules</Value>
      <Value>Aspenon 20 mg; Capsules</Value>
      <Value>Aspirin; 100 mg; Gastro-resistant tablet</Value>
      <Value>Aspirin; 300 mg; Gastro-resistant tablet</Value>
      <Value>Aspisol; 1000 mg; Powder and solvent for solution for infusion</Value>
      <Value>Aspisol; 900 mg; Powder and solvent for solution for injection</Value>
      <Value>Atosil; 20 mg/1 ml; Oral drops</Value>
      <Value>Atosil; 25 mg; Film-coated tablet</Value>
      <Value>Atosil; 50 mg/2 ml; Solution for injection</Value>
      <Value>Avaden 1; 28 Film Tablets</Value>
      <Value>Avaden 2; 28 Film Tablets</Value>
      <Value>Avelox; 0.16 %/250 ml; Solution for infusion</Value>
      <Value>Avelox; 400 mg; Film-coated tablet</Value>
      <Value>Baclon 10 mg; Tablets</Value>
      <Value>Baclon 25 mg; Tablets</Value>
      <Value>Barigraf 250 g; Powder</Value>
      <Value>Barigraf 340 g; Powder</Value>
      <Value>Barigraf 454 g; Powder</Value>
      <Value>Barigraf 570 g; Powder</Value>
      <Value>Barium Sulfate Oral; Powder</Value>
      <Value>Barium Sulfate Oral; Suspension</Value>
      <Value>Barium Sulfate Rectal; Powder</Value>
      <Value>Barium Sulfate Rectal; Suspension</Value>
      <Value>Barnetil 100 mg; Film Tablets</Value>
      <Value>Barnetil 200 mg; Film Tablets</Value>
      <Value>Barnetil 50 mg; Film Tablets</Value>
      <Value>Barnetil 500; Powder</Value>
      <Value>Baycillin; 1 mega ie; Film-coated tablet</Value>
      <Value>Baycillin; 700 mg; Film-coated tablet</Value>
      <Value>Baynas; 50 mg; Tablet</Value>
      <Value>Baynas; 75 mg; Tablet</Value>
      <Value>Baypen; 0.5 g; Powder for solution for infusion</Value>
      <Value>Baypen; 1 g; Powder for solution for infusion</Value>
      <Value>Baypen; 2 g; Powder for solution for infusion</Value>
      <Value>Baypen; 4 g; Powder for solution for infusion</Value>
      <Value>Baypen; 5 g; Powder for solution for infusion</Value>
      <Value>Baypress; 10 mg; Tablet</Value>
      <Value>Baypress; 20 mg; Tablet</Value>
      <Value>Baypress; 5 mg; Oral solution</Value>
      <Value>Bayro; 1 g/2 ml; Solution for injection</Value>
      <Value>Bayro; 10 %; Cream</Value>
      <Value>Bayro; 10 %; Cutaneous emulsion</Value>
      <Value>Bayro; 10 %; Cutaneous spray</Value>
      <Value>Bayro; 10 %; Gel</Value>
      <Value>Bayro; 5 %; Gel</Value>
      <Value>Bayro; Active Ingredient</Value>
      <Value>Beien 100 mg; Capsules</Value>
      <Value>Beien 250 mg; Tablets</Value>
      <Value>Belladonna Powder</Value>
      <Value>Belladonna Tablets</Value>
      <Value>Beta-Adalat; Capsule</Value>
      <Value>Betades Tablets</Value>
      <Value>Betaferon Combipack</Value>
      <Value>Betamethasone; 0.1 %; Cream</Value>
      <Value>Betapace 120 mg; Tablets</Value>
      <Value>Betapace 160 mg; Tablets</Value>
      <Value>Betapace 240 mg; Tablets</Value>
      <Value>Betapace 80 mg; Tablets</Value>
      <Value>Betapace AF 100 mg; Tablets</Value>
      <Value>Betapace AF 120 mg; Tablets</Value>
      <Value>Betapace AF 160 mg; Tablets</Value>
      <Value>Betapace AF 40 mg; Tablets</Value>
      <Value>Betapace AF 60 mg; Tablets</Value>
      <Value>Betapace AF 80 mg; Tablets</Value>
      <Value>Betaserc 16 mg; Tablets</Value>
      <Value>Bonefos 400 mg; Capsules</Value>
      <Value>Bonefos 400 mg; Tablets</Value>
      <Value>Bonefos 800 mg; Tablets</Value>
      <Value>Bonefos Solution</Value>
      <Value>Brevibloc 10 mg; Solution</Value>
      <Value>Brevibloc 250 mg; Solution</Value>
      <Value>Bromazepam; 3 mg; Tablet</Value>
      <Value>Bromazepam; 6 mg; Tablet</Value>
      <Value>Bufluidat 150; Film Tablets</Value>
      <Value>Bufluidat 300; Film Tablets</Value>
      <Value>Bupivacain 0.25 %; Solution</Value>
      <Value>Bupivacain 0.5 % mit Epinephrin 0.0005 %; Solution</Value>
      <Value>Bupivacain 0.5 %; Solution</Value>
      <Value>Buscopan; solution</Value>
      <Value>Echovist 200; Combipack</Value>
      <Value>Echovist 300; Combipack</Value>
      <Value>Eisenfumarat 75 mg; Film Tablets</Value>
      <Value>Elantan 20 mg; Tablets</Value>
      <Value>Elantan 40 mg; Tablets</Value>
      <Value>Elixophyllin Elixir</Value>
      <Value>Elixophyllin KI Elixir</Value>
      <Value>Elixophyllin SR 125 mg; Tablets</Value>
      <Value>Elixophyllin SR 250 mg; Tablets</Value>
      <Value>Elumatic III Radionuclide generator</Value>
      <Value>Enalapril; 10 mg; Tablet</Value>
      <Value>Enalapril; 2.5 mg; Tablet</Value>
      <Value>Enalapril; 20 mg; Tablet</Value>
      <Value>Enalapril; 5 mg; Tablet</Value>
      <Value>Endografin Solution</Value>
      <Value>Endometrion Tablets</Value>
      <Value>Endoxan Coated Tablets</Value>
      <Value>Endoxan Solution</Value>
      <Value>Erbium [169Er] citrate Suspension</Value>
      <Value>Erycinum Film Tablets</Value>
      <Value>Erythromycin Stearate; 500 mg; Tablet</Value>
      <Value>Erythromycin; 125 mg/5 ml; Oral suspension</Value>
      <Value>Erythromycin; 250 mg/5 ml; Oral suspension</Value>
      <Value>Essaven Capsules</Value>
      <Value>Essaven Gel</Value>
      <Value>Estracomb TTS Patch</Value>
      <Value>Estraderm MX 100; Patch</Value>
      <Value>Estraderm MX 25; Patch</Value>
      <Value>Estraderm MX 50; Patch</Value>
      <Value>Estraderm Plus TTS 50; Patch</Value>
      <Value>Estraderm TTS 100; Patch</Value>
      <Value>Estraderm TTS 25; Patch</Value>
      <Value>Estraderm TTS 50; Patch</Value>
      <Value>Estradiol 2 mg; Tablets</Value>
      <Value>Estradiol 4 mg; Tablets</Value>
      <Value>Estradiol Depot 10 mg; Solution</Value>
      <Value>Estradiol Depot 5mg; Solution</Value>
      <Value>Estreva Gel</Value>
      <Value>Estreva Tablets</Value>
      <Value>Estriol 0.5 mg; Ovula</Value>
      <Value>Estriol 2 mg; Tablets</Value>
      <Value>Estrogel Gel</Value>
      <Value>Estronorm 1 mg; Film Tablets</Value>
      <Value>Estronorm 2 mg; Film Tablets</Value>
      <Value>Ethinylestradiol 25; Coated Tablets</Value>
      <Value>Etidronat 200 mg; Tablets</Value>
      <Value>Etoscol Solution</Value>
      <Value>Etoscol Tablets</Value>
      <Value>Eugynon 50; 21 Coated Tablets</Value>
      <Value>Eugynon 50; 21+7 Coated Tablets</Value>
      <Value>Evestrel Film Tablets</Value>
      <Value>Exoderil Cream</Value>
      <Value>Exoderil Gel</Value>
      <Value>Exoderil Solution</Value>
      <Value>Exoderil Spray</Value>
      <Value>G-Strophanthin 250; Solution</Value>
      <Value>Gadovist 0.5; Solution</Value>
      <Value>Gadovist 1; Solution</Value>
      <Value>Gastrografin Solution</Value>
      <Value>Gastrovison Combipack</Value>
      <Value>Gastrovist Solution</Value>
      <Value>Gemfibrozil; 600 mg; Film-coated tablet</Value>
      <Value>Gemfibrozil; 900 mg; Film-coated tablet</Value>
      <Value>Gentamicin; 160 mg/2 ml; Solution for injection</Value>
      <Value>Gentamicin; 80 mg/2 ml; Solution for injection</Value>
      <Value>Glianimon; 1 mg/1 ml Solution for injection</Value>
      <Value>Glianimon; 1 mg/1 ml; Solution for injection</Value>
      <Value>Glianimon; 10 mg Tablet</Value>
      <Value>Glianimon; 10 mg; Tablet</Value>
      <Value>Glianimon; 2 mg Tablet</Value>
      <Value>Glianimon; 2 mg/1 ml Oral solution</Value>
      <Value>Glianimon; 2 mg/1 ml; Oral solution</Value>
      <Value>Glianimon; 2 mg; Tablet</Value>
      <Value>Glianimon; 5 mg Tablet</Value>
      <Value>Glianimon; 5 mg; Tablet</Value>
      <Value>Glucobay; 100 mg; Tablet</Value>
      <Value>Glucobay; 25 mg; Tablet</Value>
      <Value>Glucobay; 50 mg; Tablet</Value>
      <Value>Glucobay; Active Ingredient</Value>
      <Value>Gravibinon; 1 Solution</Value>
      <Value>Gravibinon; 2 Solution</Value>
      <Value>Gravistat 125/50; 21 Coated Tablets</Value>
      <Value>Gravistat 250/50; 21 Coated Tablets</Value>
      <Value>Gynamon; 28 Film Tablets</Value>
      <Value>Gyno-Travogen Cream</Value>
      <Value>Gyno-Travogen P Cream</Value>
      <Value>Gyno-Travogen Vaginal 100 mg; Tablets</Value>
      <Value>Gyno-Travogen Vaginal 300 mg; Tablets</Value>
      <Value>Gyno-Travogen Vaginal 600 mg; Ovula</Value>
      <Value>Gynodian Depot Solution</Value>
      <Value>Holoxan Powder</Value>
      <Value>Honvan Solution</Value>
      <Value>Hydrocortison 10 mg; Tablets</Value>
      <Value>Hydrocutan 10 mg; Tablets</Value>
      <Value>Hypso Sun Cream</Value>
      <Value>Hypso Sun Lotion</Value>
      <Value>ImmunoGam 312 IU/ml solution for injection</Value>
      <Value>K.H.3 Capsules</Value>
      <Value>Kaban Cream</Value>
      <Value>Kaban Ointment</Value>
      <Value>Kabanimat Cream</Value>
      <Value>Kabanimat Ointment</Value>
      <Value>Ketoconazol MK; 2 %; Cream</Value>
      <Value>Ketoconazol MK; 200 mg; Tablet</Value>
      <Value>Ketoconazol MK; 25 mg; Capsule</Value>
      <Value>Ketotifen; 1 mg/5 ml; Syrup</Value>
      <Value>Ketotifen; 1 mg; Tablet</Value>
      <Value>Kinetin Powder</Value>
      <Value>Klimonorm; 21 Coated Tablets</Value>
      <Value>Kogenate Bayer; 1000 IU; Powder and solvent for solution for infusion</Value>
      <Value>Kogenate Bayer; 2000 IU; Powder and solvent for solution for infusion</Value>
      <Value>Kogenate Bayer; 250 IU; Powder and solvent for solution for infusion</Value>
      <Value>Kogenate Bayer; 500 IU; Powder and solvent for solution for infusion</Value>
      <Value>Ladotec 2.5 mg; Film Tablets</Value>
      <Value>Ladotec 5 mg; Film Tablets</Value>
      <Value>Lampit; 120 mg; Tablet</Value>
      <Value>Lampit; 30 mg; Tablet</Value>
      <Value>Lansoprazole; 30 mg; Capsule</Value>
      <Value>Lanthanum carbonate; 250 mg; Tablet</Value>
      <Value>Lanthanum carbonate; 500 mg; Tablet</Value>
      <Value>Lenen Powder</Value>
      <Value>Leukine 250; Powder</Value>
      <Value>Leukine 500; Solution</Value>
      <Value>Levitra; 10 mg; Film-coated tablet</Value>
      <Value>Levitra; 2.5 mg; Film-coated tablet</Value>
      <Value>Levitra; 20 mg; Film-coated tablet</Value>
      <Value>Levitra; 5 mg; Film-coated tablet</Value>
      <Value>Levofloxacin; 500 mg; Film-coated tablet</Value>
      <Value>Levofolene 4 mg; Tablets</Value>
      <Value>Levofolene 50 mg; Powder</Value>
      <Value>Levofolene 7.5 mg; Tablets</Value>
      <Value>Levofolene i.m. 25 mg; Solution</Value>
      <Value>Levofolene i.m. 7.5 mg; Solution</Value>
      <Value>Levofolene i.v. 100 mg; Solution</Value>
      <Value>Levofolene i.v. 175 mg; Solution</Value>
      <Value>Levofolene p.o. 7.5 mg; Solution</Value>
      <Value>Levovist 2.5 g; Combipack</Value>
      <Value>Levovist 4 g; Combipack</Value>
      <Value>Levulan Combipack</Value>
      <Value>Lidocaine; 1 %/2 ml; Solution for injection</Value>
      <Value>Lincomycina MK; 300 mg/1 ml; Solution for injection</Value>
      <Value>Lincomycina MK; 600 mg/2 ml; Solution for injection</Value>
      <Value>Liquibas Solution</Value>
      <Value>Loratadine-Pseudoephedrine; Syrup</Value>
      <Value>Loratadine; 10 mg; Tablet</Value>
      <Value>Loratadine; 5 mg/5 ml; Syrup</Value>
      <Value>Losartan; 50 mg; Film-coated tablet</Value>
      <Value>Lovée 20; 21 Coated Tablets</Value>
      <Value>Lovée 30; 21 Coated Tablets</Value>
      <Value>Lugesteron Capsules</Value>
      <Value>Luminal; 100 mg; Tablet</Value>
      <Value>Luminal; 15 mg; Tablet</Value>
      <Value>Luminal; 30 mg; Tablet</Value>
      <Value>Luminal; 50 mg; Tablet</Value>
      <Value>Lurantal 10 mg; Capsules</Value>
      <Value>Lurantal 20 mg; Capsules</Value>
      <Value>Lurantal 40 mg; Capsules</Value>
      <Value>Lurantal 5 mg; Capsules</Value>
      <Value>Lutenyl; 30 Tablets</Value>
      <Value>Magnesium 100 mg; Tablets</Value>
      <Value>Magnesium KT Tablets</Value>
      <Value>Magnevist Enteral Solution</Value>
      <Value>Magnevist i.v. Solution</Value>
      <Value>Magnevist Intraarticular Solution</Value>
      <Value>Marophen Suppositories</Value>
      <Value>Maveral 100 mg; Tablets</Value>
      <Value>Maveral 50 mg; Tablets</Value>
      <Value>Medrocis Powder</Value>
      <Value>Meliane; 21 Coated Tablets</Value>
      <Value>Meliane; 21+7 Coated Tablets</Value>
      <Value>Meliane; 23 Coated Tablets</Value>
      <Value>Meliane; 23+5 Coated Tablets</Value>
      <Value>Menostar 14; Patch</Value>
      <Value>Mesigyna Solution</Value>
      <Value>Metformin; 500 mg; Tablet</Value>
      <Value>Metformin; 850 mg; Tablet</Value>
      <Value>Methylprednisolon 16 mg; Tablets</Value>
      <Value>Methylprednisolon 4 mg; Tablets</Value>
      <Value>Methylprednisolon 8 mg; Tablets</Value>
      <Value>MIBG-131-D Solution</Value>
      <Value>MIBG-131-T Solution</Value>
      <Value>Micanol 1%; Cream</Value>
      <Value>Micanol 3%; Cream</Value>
      <Value>Microgynon 30; 21 Coated Tablets</Value>
      <Value>Microgynon 30; 21+7 Coated Tablets</Value>
      <Value>Microgynon 50; 21 Coated Tablets</Value>
      <Value>Microgynon 50; 21+7 Coated Tablets</Value>
      <Value>Microlut; 28 Coated Tablets</Value>
      <Value>Microlut; 35 Coated Tablets</Value>
      <Value>Mifurol 100 mg; Tablets</Value>
      <Value>Mifurol 200; Powder</Value>
      <Value>Milligynon; 28 Coated Tablets</Value>
      <Value>Milvane; 21 Coated Tablets</Value>
      <Value>Milvane; 21+7 Coated Tablets</Value>
      <Value>Minias 1 mg; Tablets</Value>
      <Value>Minias 2 mg; Tablets</Value>
      <Value>Minias Drops</Value>
      <Value>Miniphase; 21 Coated Tablets</Value>
      <Value>Minisiston; 21 Coated Tablets</Value>
      <Value>Minoclir 50 mg; Capsules</Value>
      <Value>Miradol 100 mg; Film Tablets</Value>
      <Value>Miradol 100; Powder</Value>
      <Value>Miradol 200 mg; Film Tablets</Value>
      <Value>Miradol 50 mg; Capsules</Value>
      <Value>Miradol 50 mg; Film Tablets</Value>
      <Value>Miradol 500; Powder</Value>
      <Value>Miranova; 21 Coated Tablets</Value>
      <Value>Miranova; 21+7 Coated Tablets</Value>
      <Value>Mirelle; 24 Film Tablets</Value>
      <Value>Mirelle; 24+4 Film Tablets</Value>
      <Value>Mirena IUS</Value>
      <Value>Mittoval 10 mg; Tablets</Value>
      <Value>Mittoval 2.5 mg; Tablets</Value>
      <Value>Mittoval 5 mg; Tablets</Value>
      <Value>Moexipril; 15 mg; Tablet</Value>
      <Value>Moexipril; 7.5 mg; Tablet</Value>
      <Value>Mometasone; 0.1 %; Cream</Value>
      <Value>MonoStep; 21 Coated Tablets</Value>
      <Value>Mucosolvan; solution</Value>
      <Value>Multivitamins with Minerals Nutritional Supplement; Film-coated tablet</Value>
      <Value>Mupirocin; 2 %; Ointment</Value>
      <Value>Mycanden Ointment</Value>
      <Value>Mycanden Solution</Value>
      <Value>Myelografin Solution</Value>
      <Value>Myocet 50 mg powder and pre-admixtures</Value>
      <Value>Noctamid 0.5 mg; Tablets</Value>
      <Value>Noctamid 1 mg; Tablets</Value>
      <Value>Noctamid 2 mg; Tablets</Value>
      <Value>Noctamid Drops</Value>
      <Value>Noctamid Solution</Value>
      <Value>Non Ovlon; 21 Coated Tablets</Value>
      <Value>Norethisteron 1 mg; Tablets</Value>
      <Value>Norethisteron 5 mg; Tablets</Value>
      <Value>Norfloxacin; 400 mg; Film-coated tablet</Value>
      <Value>Noristerat Solution</Value>
      <Value>Normacol Granules</Value>
      <Value>Normosang Solution</Value>
      <Value>Norplant Implants</Value>
      <Value>Nortase Capsules</Value>
      <Value>Nova T 200; IUD</Value>
      <Value>Nova T 380; IUD</Value>
      <Value>Novarok 10 mg; Tablets</Value>
      <Value>Novarok 2.5 mg; Tablets</Value>
      <Value>Novarok 5 mg; Tablets</Value>
      <Value>NovoMix</Value>
      <Value>Nuvelle; 28 Coated Tablets</Value>
      <Value>Nystatin Ovula</Value>
      <Value>Radialar 60 %; Solution</Value>
      <Value>Radialar 76 %; Solution</Value>
      <Value>Radiopaque SL without Aroma; Solution</Value>
      <Value>Radiopaque with Aroma; Solution</Value>
      <Value>Radiopaque without Aroma; Solution</Value>
      <Value>Raloxifene; 60 mg; Tablet</Value>
      <Value>Ranitidine; 150 mg; Film-coated tablet</Value>
      <Value>Ranitidine; 300 mg; Film-coated tablet</Value>
      <Value>Rantudil; 30 mg; Tablet</Value>
      <Value>Rantudil; 60 mg; Capsule</Value>
      <Value>Rantudil; 90 mg; Capsule</Value>
      <Value>Rantudil; Active Ingredient</Value>
      <Value>Rayvist 180; Solution</Value>
      <Value>Rayvist 235; Solution</Value>
      <Value>Rayvist 300; Solution</Value>
      <Value>Rayvist 350; Solution</Value>
      <Value>Rayvist 370; Solution</Value>
      <Value>Recofol 1 %; Emulsion</Value>
      <Value>Recofol 2 %; Emulsion</Value>
      <Value>Redul 1000; Solution</Value>
      <Value>Redul 500; Solution</Value>
      <Value>Refludan 20 mg; Powder</Value>
      <Value>Refludan 50 mg; Powder</Value>
      <Value>Remotiv; 250 mg; Tablet</Value>
      <Value>Renocis Powder</Value>
      <Value>Resochin; 250 mg/5 ml; Solution for infusion</Value>
      <Value>Resochin; 250 mg; Film-coated tablet</Value>
      <Value>Resochin; 500 mg; Film-coated tablet</Value>
      <Value>Resochin; 80 mg/5 ml; Oral suspension</Value>
      <Value>Resochin; 81 mg; Film-coated tablet</Value>
      <Value>Resovist Solution</Value>
      <Value>Retacillin Comp 1200000 I.U.; Solution</Value>
      <Value>Retacillin Comp 600000 I.U.; Solution</Value>
      <Value>Rhenium [186Re] sulphide Suspension</Value>
      <Value>Rheuma Cream</Value>
      <Value>Riball 100 mg; Tablets</Value>
      <Value>Riball 200; Powder</Value>
      <Value>Rifampicin; 300 mg; Capsule</Value>
      <Value>Rondo Spray</Value>
      <Value>Rytmonorm 150 mg; Film Tablets</Value>
      <Value>Rytmonorm 300 mg; Film Tablets</Value>
      <Value>Thymanax 25 mg film-coated tablets</Value>
      <Value>Vagizol 500 mg; Tablets</Value>
      <Value>Valeriana Coated Tablets</Value>
      <Value>Valette; 21 Coated Tablets</Value>
      <Value>Valette; 21+7 Coated Tablets</Value>
      <Value>Valette; 28 Coated Tablets</Value>
      <Value>Vancomycin; 1 g; Powder for solution for infusion</Value>
      <Value>Vancomycin; 500 mg; Powder for solution for infusion</Value>
      <Value>Vasculocis Powder</Value>
      <Value>Vasomotal 12 mg; Tablets</Value>
      <Value>Vasomotal 16 mg; Tablets</Value>
      <Value>Vasomotal 4 mg; Tablets</Value>
      <Value>Vasomotal 8 mg; Tablets</Value>
      <Value>Vasovist Solution</Value>
      <Value>Vaspit Cream</Value>
      <Value>Vaspit Fatty Ointment</Value>
      <Value>Vaspit Ointment</Value>
      <Value>Ventavis 10; Solution</Value>
      <Value>Veradol Tablets</Value>
      <Value>Veramon Tablets</Value>
      <Value>Wellnara; 28 Film Tablets</Value>
      <Value>Xapro Cream</Value>
      <Value>Xapro Ovula</Value>
      <Value>Xarelto; 10 mg; Film-coated tablet</Value>
      <Value>Xarelto; 15 mg; Film-coated tablet</Value>
      <Value>Xarelto; 2.5 mg; Film-coated tablet</Value>
      <Value>Xarelto; 20 mg; Film-coated tablet</Value>
      <Value>Xarelto; 5 mg; Film-coated tablet</Value>
      <Value>Xylocitin 2 % mit Epinephrin 0.001 %; Solution</Value>
      <Value>Xylocitin Cor 1 %; Solution</Value>
      <Value>Xylocitin Cor 2 %; Solution</Value>
      <Value>Xylocitin Loc 0.5 %; Solution</Value>
      <Value>Xylocitin Loc 1 %; Solution</Value>
      <Value>Xylocitin Loc 2 %; Solution</Value>
      <Value>Yasmin 30; 21 Film Tablets</Value>
      <Value>Yasmin 30; 21+7 Film Tablets</Value>
      <Value>Yasminelle; 21 Film Tablets</Value>
      <Value>Yasminelle; 21+7 Film Tablets</Value>
      <Value>Yomesan; 500 mg Tablet</Value>
      <Value>Yomesan; 500 mg; Tablet</Value>
      <Value>Ytracis Solution</Value>
      <Value>Yttrium [90Y] Suspension</Value>
    </ValuesList>
    <ValuesList id="vocabid_Generic_name">
      <doctypes>
        <doctype display="INN" name="CCDS"/>
        <doctype display="INN" name="SPC"/>
        <!-- SPC Authors are familiar with the term INN -->
        <doctype display="International Nonproprietary Name" name="PL"/>
        <!-- PL Authors want to see the INN term explained -->
        <doctype display="INN" name="EU Label Master"/>
        <!-- EULM Authors are familiar with the term INN -->
      </doctypes>
      <Value>(131I)Iobenguane</Value>
      <Value>(99m)Technetium apcitide, (change 2)</Value>
      <Value>- n/a</Value>
      <Value>5-Aminolevulinic acid hydrochloride, (change 1)</Value>
      <Value>5-Isosorbidmononitrate</Value>
      <Value>Abarelix</Value>
      <Value>Abecarnil</Value>
      <Value>Acetylanisol-4</Value>
      <Value>Adipiodone</Value>
      <Value>Aescine</Value>
      <Value>agomelatine</Value>
      <Value>Alemtuzumab</Value>
      <Value>Alfuzosin hydrochloride</Value>
      <Value>Allopurinol</Value>
      <Value>Aluminium sodium silicat</Value>
      <Value>Ambroxol hydrochloride</Value>
      <Value>Amidotrizoic acid</Value>
      <Value>Amidotrizoic acid meglumine</Value>
      <Value>Amidotrizoic acid sodium</Value>
      <Value>Ammoniumferric-(II)-sulfate hexahydrate</Value>
      <Value>Ampicilline</Value>
      <Value>Amylase</Value>
      <Value>Androstanolone</Value>
      <Value>Aprindine hydrochloride</Value>
      <Value>Ascorbic acid</Value>
      <Value>Asparaginase</Value>
      <Value>Atenolol</Value>
      <Value>Aurothioglucose</Value>
      <Value>Azelaic acid</Value>
      <Value>Baclofene</Value>
      <Value>Bariumsulfate</Value>
      <Value>Bassorit</Value>
      <Value>BCG Vaccines</Value>
      <Value>Belladonna extract</Value>
      <Value>Benperidol</Value>
      <Value>Benzathine benzylpenicillin tetrahydrate</Value>
      <Value>Benzoyl peroxide</Value>
      <Value>Benzylpenicillin sodium</Value>
      <Value>Benzylpenicilline potassium</Value>
      <Value>Betahistine dihydrochloride</Value>
      <Value>Betamethasone 17,21-dipropionate</Value>
      <Value>Betamethasone valerate</Value>
      <Value>Bicalutamide</Value>
      <Value>Biperiden hydrochloride</Value>
      <Value>Buflomedil hydrochloride</Value>
      <Value>Bupivacain hydrochloride</Value>
      <Value>Calcipotriol</Value>
      <Value>Calcitriol</Value>
      <Value>Calcium carbonate</Value>
      <Value>Calcium disodium edetate</Value>
      <Value>Calcium folinate</Value>
      <Value>Carmofur</Value>
      <Value>Ceftezol-sodium</Value>
      <Value>Cephakillitall</Value>
      <Value>Chinidinegluconate</Value>
      <Value>Chloramphenicol</Value>
      <Value>Chlormadinone acetate</Value>
      <Value>Chlorophenamin maleate</Value>
      <Value>Chloroquinaldol</Value>
      <Value>Chlorphenaethazine hydrochloride</Value>
      <Value>Choriongonadotropine</Value>
      <Value>Cimetidine</Value>
      <Value>Cinchocaine hydrochloride</Value>
      <Value>Citric acid</Value>
      <Value>Clemizol-penicilline</Value>
      <Value>Clemizole hydrochloride</Value>
      <Value>Clemizole undecylate</Value>
      <Value>Clindamycin dihydrogenphosphate</Value>
      <Value>Clindamycine hydrochloride</Value>
      <Value>Clocortolone capronate</Value>
      <Value>Clocortolone pivalate</Value>
      <Value>Clotrimazol</Value>
      <Value>Coffeine</Value>
      <Value>Colecalciferol</Value>
      <Value>Copper</Value>
      <Value>Cortex frangulae</Value>
      <Value>Cyanocobalamine</Value>
      <Value>Cyclofenil</Value>
      <Value>Cyclophosphamide</Value>
      <Value>Cyproterone acetate</Value>
      <Value>D,L-alpha-Tocopherol</Value>
      <Value>D-Gluconoic acid delta-lactone</Value>
      <Value>D-Pseudoephedrine hydrochloride</Value>
      <Value>Dacarbazine</Value>
      <Value>Dacarbazinecitrate (3:1 complex)</Value>
      <Value>Desogestrel</Value>
      <Value>Desoxycortone acetate</Value>
      <Value>Desoxycortone enantate</Value>
      <Value>Dexamethasone</Value>
      <Value>Dexamethasone 21-disodium phosphate</Value>
      <Value>Dexpanthenol</Value>
      <Value>Dextranomer</Value>
      <Value>Dibekacine sulfate</Value>
      <Value>Diclofenac-sodium</Value>
      <Value>Dienogest</Value>
      <Value>Diflucortolone 21-valerate</Value>
      <Value>Dihydrogesterone</Value>
      <Value>Dilazep dihydrochloride</Value>
      <Value>Diltiazem hydrochloride</Value>
      <Value>Dimercapto succinic acid</Value>
      <Value>Dimethyl polysiloxane (low molecular)</Value>
      <Value>Dimeticone</Value>
      <Value>Disodium clodronate</Value>
      <Value>Disodium edetate</Value>
      <Value>Dithranol</Value>
      <Value>Dobutamine hydrochloride</Value>
      <Value>Doxorubicin HCl</Value>
      <Value>Doxycycline hydrochloride</Value>
      <Value>Doxycycline monohydrate</Value>
      <Value>Drospirenone</Value>
      <Value>EOB-DTPA</Value>
      <Value>Epinephrine</Value>
      <Value>EPL substance (essential phospholipides)</Value>
      <Value>Ergotamine tartrate</Value>
      <Value>Erythromycine</Value>
      <Value>Esmolol hydrochloride</Value>
      <Value>Estradiol</Value>
      <Value>Estradiol benzoate</Value>
      <Value>Estradiol hemihydrate</Value>
      <Value>Estradiol undecylate</Value>
      <Value>Estradiol valerate</Value>
      <Value>Estriol</Value>
      <Value>Ethinylestradiol</Value>
      <Value>Ethinylestradiol-beta-cyclodextrine complex</Value>
      <Value>Ethosux imide</Value>
      <Value>Etidronic acid</Value>
      <Value>Etizolam</Value>
      <Value>Etonogestrel</Value>
      <Value>Extractum vitex agni casti siccum</Value>
      <Value>Fel tauri</Value>
      <Value>Fenticonazol nitrate</Value>
      <Value>Ferric proteine succinilate</Value>
      <Value>Ferucarbotran</Value>
      <Value>Fludarabine phosphate</Value>
      <Value>Fludeoxyglucose[18F]</Value>
      <Value>Fludrocortisone acetate</Value>
      <Value>Fluocortinbutyl</Value>
      <Value>Fluocortolone</Value>
      <Value>Fluocortolone 21-caproate</Value>
      <Value>Fluocortolone pivalate</Value>
      <Value>Flutazolam</Value>
      <Value>Fluvoxamine hydrogenmaleate</Value>
      <Value>Folic acid</Value>
      <Value>Framycetin sulfate</Value>
      <Value>Furosemid</Value>
      <Value>Furosemid sodium</Value>
      <Value>Fusidic acid</Value>
      <Value>g-Strophantine</Value>
      <Value>Gadobutrol</Value>
      <Value>Gadofosveset trisodium</Value>
      <Value>Gadolinium oxide</Value>
      <Value>Gadopentetic acid</Value>
      <Value>Gadopentetic acid dimeglumine</Value>
      <Value>Gadoxetic acid disodium</Value>
      <Value>Galactose</Value>
      <Value>Gestodene</Value>
      <Value>Gestonorone caproate</Value>
      <Value>Glisoxepide</Value>
      <Value>Glutathione</Value>
      <Value>Glycerol trinitrate</Value>
      <Value>Glymidine sodium</Value>
      <Value>Gosereline acetate</Value>
      <Value>Haemagglutinine</Value>
      <Value>Haloprogine</Value>
      <Value>Heparin sodium</Value>
      <Value>Heparine calcium</Value>
      <Value>Hexachlorophene</Value>
      <Value>Hexoprenaline sulfate</Value>
      <Value>Horse chestnut extract</Value>
      <Value>Human albumin</Value>
      <Value>Hyaluronidase</Value>
      <Value>Hydrochloro thiazide</Value>
      <Value>Hydrocortisone</Value>
      <Value>Hydrocortisone acetate</Value>
      <Value>Hydrocortisone caproate</Value>
      <Value>Hydroxyprogesterone caproate</Value>
      <Value>Hyoscine hydrobromide</Value>
      <Value>Hypericine</Value>
      <Value>Ibritumomab tiuxetan</Value>
      <Value>Ibuprofene</Value>
      <Value>Ifosfamide</Value>
      <Value>Iloprost</Value>
      <Value>Imidapril hydrochloride</Value>
      <Value>Imiquimod</Value>
      <Value>Indometacine</Value>
      <Value>Insulin aspart</Value>
      <Value>Interferone beta-1b</Value>
      <Value>Iocetaminic acid</Value>
      <Value>Iod amide</Value>
      <Value>Iodamide sodium</Value>
      <Value>Iodinated [125I]-human albumine</Value>
      <Value>Ioglicinic acid</Value>
      <Value>Ioglycaminic acid</Value>
      <Value>Iohexol</Value>
      <Value>Iopamidol</Value>
      <Value>Iopodinoic acid calcium</Value>
      <Value>Iopodinoic acid sodium</Value>
      <Value>Iopromide</Value>
      <Value>Iosamycin propionate</Value>
      <Value>Iosamycine</Value>
      <Value>Ioseric acid meglumine</Value>
      <Value>Iotrolan</Value>
      <Value>Iotroxinoic acid</Value>
      <Value>Iotroxinoic acid meglumine</Value>
      <Value>Iron (II)-fumarate</Value>
      <Value>Iron oxide</Value>
      <Value>Isoaminil citrate</Value>
      <Value>Isoconazole</Value>
      <Value>Isoconazolnitrate</Value>
      <Value>Isosorbid dinitrate</Value>
      <Value>Isotretinoin</Value>
      <Value>Isoxsuprine hydrochloride</Value>
      <Value>Isoxsuprine polystyrolsulfonate</Value>
      <Value>IU of anti-HBs</Value>
      <Value>L-Adrenaline bitartrate</Value>
      <Value>Lactulose</Value>
      <Value>Laevulinic acid</Value>
      <Value>Lepirudin</Value>
      <Value>Levomepromazine</Value>
      <Value>Levonorgestrel</Value>
      <Value>Lidocaine</Value>
      <Value>Lidocaine hydrochloride</Value>
      <Value>Lipase</Value>
      <Value>Lisuride hydrogenmaleate</Value>
      <Value>Lormetazepam</Value>
      <Value>Magnesium carbonate</Value>
      <Value>Magnesiumhydrogenaspartate</Value>
      <Value>Mebeverine hydrochloride</Value>
      <Value>Mebrofenin</Value>
      <Value>Medronic acid</Value>
      <Value>Medroxyprogesterone acetate</Value>
      <Value>Megestrol acetate</Value>
      <Value>Meglumine</Value>
      <Value>Menthol</Value>
      <Value>Mepindolol sulfate</Value>
      <Value>Mesalazine</Value>
      <Value>Mesterolone</Value>
      <Value>Metenolone acetate</Value>
      <Value>Metenolone enantate</Value>
      <Value>Methylhydroxypropylcellulose</Value>
      <Value>Methylprednisolone</Value>
      <Value>Methylprednisolone aceponate</Value>
      <Value>Methyltestosterone</Value>
      <Value>Metoclopramide hydrochloride</Value>
      <Value>Metoprolol tartrate</Value>
      <Value>Metrizamide</Value>
      <Value>Metronidazol</Value>
      <Value>Miconazol nitrate</Value>
      <Value>Minocycline hydrochloride dihydrate</Value>
      <Value>Minocycline hydrochloride monohydrate</Value>
      <Value>Monoclonal antibody MAb-BW 250/183</Value>
      <Value>N-Acetyl-D-methionine</Value>
      <Value>N-Acetyl-L-cysteine</Value>
      <Value>Naftifine hydrochloride</Value>
      <Value>Naproxene</Value>
      <Value>Nicardipine hydrochloride</Value>
      <Value>Niclosamide</Value>
      <Value>Nicotin amide</Value>
      <Value>Nifedipine</Value>
      <Value>Nifekalant hydrochloride</Value>
      <Value>Nitrendipine</Value>
      <Value>Nomegestrol acetate</Value>
      <Value>Norethisterone</Value>
      <Value>Norethisterone acetate</Value>
      <Value>Norethisterone enantate</Value>
      <Value>Norgestrel</Value>
      <Value>Nystatin</Value>
      <Value>Oxybutynine hydrochloride</Value>
      <Value>Oxytetracycline hydrochloride</Value>
      <Value>Palmitic acid</Value>
      <Value>Pankreatine Typ A</Value>
      <Value>Paracetamol</Value>
      <Value>Pegaspargase</Value>
      <Value>Penicillin G procaine hydrate</Value>
      <Value>Pentetic acid</Value>
      <Value>Perfluorohexane</Value>
      <Value>Pethidine hydrochloride</Value>
      <Value>Phenylephrine hydrochloride</Value>
      <Value>Phenylpropanol</Value>
      <Value>Piroxicam</Value>
      <Value>Prasterone enantate</Value>
      <Value>Prednisolone</Value>
      <Value>Prednisolone acetate</Value>
      <Value>Prednisolone caproate</Value>
      <Value>Prednisolone hydrogensuccinate</Value>
      <Value>Prednisolone sodium phosphate</Value>
      <Value>Procaine hydrochloride</Value>
      <Value>Progesterone</Value>
      <Value>Promestriene</Value>
      <Value>Propafenone</Value>
      <Value>Propofol</Value>
      <Value>Propyphenazone</Value>
      <Value>Pyrazinamide</Value>
      <Value>Pyridoxine hydrochloride</Value>
      <Value>rac-2-(Diphosphonomethyl)butanedioic acid tetrasodium salt</Value>
      <Value>Retinolpalmitate</Value>
      <Value>Riboflavine</Value>
      <Value>Riboflavine phosphate sodium</Value>
      <Value>Rifaximin</Value>
      <Value>Ritodrine hydrochloride</Value>
      <Value>Rutoside</Value>
      <Value>Salbutamol</Value>
      <Value>Salbutamol sulfate</Value>
      <Value>Salcatonin</Value>
      <Value>Salicyl amide</Value>
      <Value>Salicylic acid</Value>
      <Value>Samarium(153Sm) ethylenediaminetetramethylenephosphonic acid</Value>
      <Value>Sargramostim</Value>
      <Value>Satumomab pendetide</Value>
      <Value>Sertaconazole nitrate</Value>
      <Value>Silicon dioxide</Value>
      <Value>Silver</Value>
      <Value>Sodium (T-4)-technetate (99mTcO4)</Value>
      <Value>Sodium chloride</Value>
      <Value>Sodium fluoride</Value>
      <Value>Sodium hydrogencarbonate</Value>
      <Value>Sodium oxidronate</Value>
      <Value>Sodium phytate</Value>
      <Value>Sodium [123I]iodide</Value>
      <Value>Soluble insulin aspart*/protamine-crystallised insulin aspart*</Value>
      <Value>Sorafenib tosylate</Value>
      <Value>Sotalol</Value>
      <Value>Soya bean extract</Value>
      <Value>Spironolactone</Value>
      <Value>Sulpiride</Value>
      <Value>Sulprostone</Value>
      <Value>Sultopride hydrochloride</Value>
      <Value>Tamoxifene citrate</Value>
      <Value>Technetium-99m depreotide</Value>
      <Value>Terbinafine hydrochloride</Value>
      <Value>Terguride</Value>
      <Value>Testosterone</Value>
      <Value>Testosterone enantate</Value>
      <Value>Testosterone propionate</Value>
      <Value>Testosterone undecanoate</Value>
      <Value>Tetrasodium fosfestrol</Value>
      <Value>Tetrasodium pyrophosphate</Value>
      <Value>Thallium chloride [201Tl]</Value>
      <Value>Theophylline hydrate</Value>
      <Value>Triamterene</Value>
      <Value>Tricalciumdicitrate tetrahydrate</Value>
      <Value>Trofosfamide</Value>
      <Value>Tulobuterol</Value>
      <Value>Urea</Value>
      <Value>Valerianae radix</Value>
      <Value>Vincamine oxoglutarate</Value>
      <Value>Vitamin-B1 hydrochloride</Value>
      <Value>Vitamin-B1 nitrate</Value>
      <Value>Vitamin-B6</Value>
      <Value>Vitamin-D2</Value>
      <Value>Vitamin-E</Value>
      <Value>Vitamin-E acetate</Value>
      <Value>Xanthinolnicotinate</Value>
      <Value>Zinc oxide</Value>
      <Value>Zoledronic acid</Value>
      <Value>Zolmitriptan</Value>
      <Value>[131I]Sodium iodide</Value>
      <Value>[169Er]Erbium citrate</Value>
      <Value>[186Re]Rhenium heptasulfide</Value>
      <Value>[90Y]Yttrium citrate</Value>
      <Value>[90Y]Yttrium trichloride</Value>
    </ValuesList>
    <ValuesList display="Package type" id="vocabid_Package">
      <doctypes>
        <doctype display="Package type" name="SPL4"/>
        <doctype display="Package type" name="PLR4"/>
        <doctype display="Package type" name="OTC4"/>
        <doctype display="Package type" name="Bulk4"/>
        <doctype display="Package type" name="Allergenic4"/>
        <doctype display="Package type" name="Allergenic-PLR4"/>
        <doctype display="Package type" name="Vaccine4"/>
        <doctype display="Package type" name="Vaccine-PLR4"/>
        <doctype display="Package type" name="VaccineBulk4"/>
        <doctype display="Package type" name="Blood4"/>
        <doctype display="Package type" name="VetOTC4"/>
        <doctype display="Package type" name="VetOTCA4"/>
        <doctype display="Package type" name="VetOTCB4"/>
        <doctype display="Package type" name="VetOTCC4"/>
        <doctype display="Package type" name="Vet4"/>
        <doctype display="Package type" name="VetA4"/>
        <doctype display="Package type" name="VetB4"/>
        <doctype display="Package type" name="VetC4"/>
        <doctype display="Package type" name="Product Listing"/>
        <doctype display="Package type" name="Product Labeler"/>
        <doctype display="Package type" name="KitDevice4"/>
        <doctype display="Package type" name="KitDevice-PLR4"/>
        <doctype display="Package type" name="Cosmetic4"/>
        <doctype display="Package type" name="MedicalFood4"/>
        <doctype display="Package type" name="DietarySupplement4"/>
        <doctype display="Package type" name="OTC-PLR4"/>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display="Administration route" id="vocabid_Administration_route">
      <doctypes>
        <doctype display="Administration route" name="SPL4"/>
        <doctype display="Administration route" name="PLR4"/>
        <doctype display="Administration route" name="OTC4"/>
        <doctype display="Administration route" name="Bulk4"/>
        <doctype display="Administration route" name="Allergenic4"/>
        <doctype display="Administration route" name="Allergenic-PLR4"/>
        <doctype display="Administration route" name="Vaccine4"/>
        <doctype display="Administration route" name="Vaccine-PLR4"/>
        <doctype display="Administration route" name="VaccineBulk4"/>
        <doctype display="Administration route" name="Blood4"/>
        <doctype display="Administration route" name="VetOTC4"/>
        <doctype display="Administration route" name="VetOTCA4"/>
        <doctype display="Administration route" name="VetOTCB4"/>
        <doctype display="Administration route" name="VetOTCC4"/>
        <doctype display="Administration route" name="Vet4"/>
        <doctype display="Administration route" name="VetA4"/>
        <doctype display="Administration route" name="VetB4"/>
        <doctype display="Administration route" name="VetC4"/>
        <doctype display="Administration route" name="Product Listing"/>
        <doctype display="Administration route" name="Product Labeler"/>
        <doctype display="Administration route" name="KitDevice4"/>
        <doctype display="Administration route" name="KitDevice-PLR4"/>
        <doctype display="Administration route" name="Cosmetic4"/>
        <doctype display="Administration route" name="MedicalFood4"/>
        <doctype display="Administration route" name="DietarySupplement4"/>
        <doctype display="Administration route" name="OTC-PLR4"/>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topical</Value>
      <Value>transdermal</Value>
      <Value>transendocardial</Value>
      <Value>transmucosal</Value>
      <Value>transplacental</Value>
      <Value>transtracheal</Value>
      <Value>transtympanic</Value>
      <Value>ureteral</Value>
      <Value>urethral</Value>
      <Value>vaginal</Value>
    </ValuesList>
    <ValuesList display="Dosage form" id="vocabid_Dosage_form">
      <doctypes>
        <doctype display="Dosage form" name="SPL4"/>
        <doctype display="Dosage form" name="PLR4"/>
        <doctype display="Dosage form" name="OTC4"/>
        <doctype display="Dosage form" name="Bulk4"/>
        <doctype display="Dosage form" name="Allergenic4"/>
        <doctype display="Dosage form" name="Allergenic-PLR4"/>
        <doctype display="Dosage form" name="Vaccine4"/>
        <doctype display="Dosage form" name="Vaccine-PLR4"/>
        <doctype display="Dosage form" name="VaccineBulk4"/>
        <doctype display="Dosage form" name="Blood4"/>
        <doctype display="Dosage form" name="VetOTC4"/>
        <doctype display="Dosage form" name="VetOTCA4"/>
        <doctype display="Dosage form" name="VetOTCB4"/>
        <doctype display="Dosage form" name="VetOTCC4"/>
        <doctype display="Dosage form" name="Vet4"/>
        <doctype display="Dosage form" name="VetA4"/>
        <doctype display="Dosage form" name="VetB4"/>
        <doctype display="Dosage form" name="VetC4"/>
        <doctype display="Dosage form" name="Product Listing"/>
        <doctype display="Dosage form" name="Product Labeler"/>
        <doctype display="Dosage form" name="KitDevice4"/>
        <doctype display="Dosage form" name="KitDevice-PLR4"/>
        <doctype display="Dosage form" name="Cosmetic4"/>
        <doctype display="Dosage form" name="MedicalFood4"/>
        <doctype display="Dosage form" name="DietarySupplement4"/>
        <doctype display="Dosage form" name="OTC-PLR4"/>
        <doctype display="Dosage form" name="Annex II"/>
        <doctype display="Dosage form" name="Blister"/>
        <doctype display="Dosage form" name="CCDS"/>
        <doctype display="Dosage form" name="EULM"/>
        <doctype display="Dosage form" name="Immediate"/>
        <doctype display="Dosage form" name="Outer"/>
        <doctype display="Dosage form" name="PL"/>
        <doctype display="Dosage form" name="SPC"/>
      </doctypes>
      <Value>aerosol</Value>
      <Value>aerosol, foam</Value>
      <Value>aerosol, metered</Value>
      <Value>aerosol, powder</Value>
      <Value>aerosol, spray</Value>
      <Value>bar, chewable</Value>
      <Value>bead</Value>
      <Value>bead, implant, extended release</Value>
      <Value>block</Value>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cement</Value>
      <Value>cigarette</Value>
      <Value>cloth</Value>
      <Value>concentrate</Value>
      <Value>cone</Value>
      <Value>core, extended release</Value>
      <Value>cream</Value>
      <Value>cream, augmented</Value>
      <Value>crystal</Value>
      <Value>culture</Value>
      <Value>diaphragm</Value>
      <Value>disc</Value>
      <Value>douche</Value>
      <Value>dressing</Value>
      <Value>drug delivery system</Value>
      <Value>elixir</Value>
      <Value>emulsion</Value>
      <Value>enema</Value>
      <Value>extract</Value>
      <Value>fiber, extended release</Value>
      <Value>film</Value>
      <Value>film, extended release</Value>
      <Value>film, soluble</Value>
      <Value>for solution</Value>
      <Value>for solution, extended release</Value>
      <Value>gas</Value>
      <Value>gel</Value>
      <Value>gel, dentifrice</Value>
      <Value>gel, metered</Value>
      <Value>generator</Value>
      <Value>globule</Value>
      <Value>graft</Value>
      <Value>granule</Value>
      <Value>granule, delayed release</Value>
      <Value>granule, effervescent</Value>
      <Value>granule, for solution</Value>
      <Value>granule, for suspension</Value>
      <Value>granule, for suspension, extended release</Value>
      <Value>gum</Value>
      <Value>gum, chewing</Value>
      <Value>gum, resin</Value>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extened release</Value>
      <Value>injection, suspension, lipsomal</Value>
      <Value>injection, suspension, sonicated</Value>
      <Value>insert</Value>
      <Value>insert, extended release</Value>
      <Value>intrauterine device</Value>
      <Value>irrigant</Value>
      <Value>jelly</Value>
      <Value>kit</Value>
      <Value>liner, dental</Value>
      <Value>liniment</Value>
      <Value>lipstick</Value>
      <Value>liquid</Value>
      <Value>liquid, extended release</Value>
      <Value>lotion</Value>
      <Value>lotion, augmented</Value>
      <Value>lotion/shampoo</Value>
      <Value>lozenge</Value>
      <Value>mouthwash</Value>
      <Value>oil</Value>
      <Value>ointment</Value>
      <Value>ointment, augmented</Value>
      <Value>packing</Value>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Value>swab</Value>
      <Value>syrup</Value>
      <Value>tablet</Value>
      <Value>tablet, chewable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tampon</Value>
      <Value>tape</Value>
      <Value>tincture</Value>
      <Value>troche</Value>
      <Value>unassigned</Value>
      <Value>wafer</Value>
    </ValuesList>
    <ValuesList id="vocabid_Grain">
      <doctypes>
        <doctype display="Grain" name="Article"/>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display="Berry" name="Article"/>
      </doctypes>
      <Value>blackberry </Value>
      <Value>blueberry </Value>
      <Value>caneberry </Value>
      <Value>currant </Value>
      <Value>elderberry </Value>
      <Value>gooseberry </Value>
      <Value>huckleberry </Value>
      <Value>loganberry </Value>
      <Value>raspberry</Value>
    </ValuesList>
    <ValuesList id="vocabid_Grass">
      <doctypes>
        <doctype display="Grass, Forage, Fodder, Hay" name="Article"/>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019045CDE928469E4368BCC7197E20" ma:contentTypeVersion="17" ma:contentTypeDescription="Create a new document." ma:contentTypeScope="" ma:versionID="67566c6f188cf3b271c2a253d156ba85">
  <xsd:schema xmlns:xsd="http://www.w3.org/2001/XMLSchema" xmlns:xs="http://www.w3.org/2001/XMLSchema" xmlns:p="http://schemas.microsoft.com/office/2006/metadata/properties" xmlns:ns2="5434a321-f742-4e17-a2b8-93d687450b58" xmlns:ns3="d4aa04c7-815a-40f8-9131-fc16e00fa257" targetNamespace="http://schemas.microsoft.com/office/2006/metadata/properties" ma:root="true" ma:fieldsID="a1f759e16d76059fa4f1e53b95453a9d" ns2:_="" ns3:_="">
    <xsd:import namespace="5434a321-f742-4e17-a2b8-93d687450b58"/>
    <xsd:import namespace="d4aa04c7-815a-40f8-9131-fc16e00fa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4a321-f742-4e17-a2b8-93d687450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6e3a17-c120-4035-848b-e22179fa9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aa04c7-815a-40f8-9131-fc16e00fa2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e48c2-4bc8-423d-8c9f-0369988cb9f6}" ma:internalName="TaxCatchAll" ma:showField="CatchAllData" ma:web="d4aa04c7-815a-40f8-9131-fc16e00f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s:schema xmlns:xs="http://www.i4i.com/ns/x4o/schema">
  <xs:element name="title_page" type="title_page"/>
  <xs:complexType name="title_page">
    <xs:sequence/>
  </xs:complexType>
  <xs:element name="medicinal_name" type="medicinal_name"/>
  <xs:complexType name="medicinal_name">
    <xs:sequence>
      <xs:element maxOccurs="1" minOccurs="1" ref="medicinal_name_hd"/>
      <xs:element maxOccurs="1" minOccurs="1" ref="medicinal_name_body"/>
    </xs:sequence>
  </xs:complexType>
  <xs:element name="composition" type="composition"/>
  <xs:complexType name="composition">
    <xs:sequence>
      <xs:element maxOccurs="1" minOccurs="1" ref="composition_hd"/>
      <xs:element maxOccurs="1" minOccurs="1" ref="composition_body"/>
      <xs:element maxOccurs="1" minOccurs="1" ref="excipients_known_effect"/>
    </xs:sequence>
  </xs:complexType>
  <xs:element name="excipients_known_effect" type="excipients_known_effect"/>
  <xs:complexType name="excipients_known_effect">
    <xs:sequence>
      <xs:element maxOccurs="1" minOccurs="1" ref="excipients_known_effect_hd"/>
      <xs:element maxOccurs="1" minOccurs="1" ref="excipients_known_effect_body"/>
    </xs:sequence>
  </xs:complexType>
  <xs:element name="pharmaceutical_form" type="pharmaceutical_form"/>
  <xs:complexType name="pharmaceutical_form">
    <xs:sequence>
      <xs:element maxOccurs="1" minOccurs="1" ref="pharmaceutical_form_hd"/>
      <xs:element maxOccurs="1" minOccurs="1" ref="pharmaceutical_form_body"/>
    </xs:sequence>
  </xs:complexType>
  <xs:element name="clinical_particulars" type="clinical_particulars"/>
  <xs:complexType name="clinical_particulars">
    <xs:sequence>
      <xs:element maxOccurs="1" minOccurs="1" ref="clinical_particulars_hd"/>
      <xs:element maxOccurs="1" minOccurs="1" ref="clinical_particulars_body"/>
      <xs:element maxOccurs="1" minOccurs="1" ref="therapeutic_indication"/>
      <xs:element maxOccurs="1" minOccurs="1" ref="dosage_administration"/>
      <xs:element maxOccurs="1" minOccurs="1" ref="contraindications"/>
      <xs:element maxOccurs="1" minOccurs="1" ref="warnings_precautions"/>
      <xs:element maxOccurs="1" minOccurs="1" ref="interactions"/>
      <xs:element maxOccurs="1" minOccurs="1" ref="pregnancy_lactation"/>
      <xs:element maxOccurs="1" minOccurs="1" ref="user_safety_warnings"/>
      <xs:element maxOccurs="1" minOccurs="1" ref="undesirable_effects"/>
      <xs:element maxOccurs="1" minOccurs="1" ref="overdose"/>
    </xs:sequence>
  </xs:complexType>
  <xs:element name="therapeutic_indication" type="therapeutic_indication"/>
  <xs:complexType name="therapeutic_indication">
    <xs:sequence>
      <xs:element maxOccurs="1" minOccurs="1" ref="therapeutic_indication_hd"/>
      <xs:element maxOccurs="1" minOccurs="1" ref="therapeutic_indication_body"/>
    </xs:sequence>
  </xs:complexType>
  <xs:element name="dosage_administration" type="dosage_administration"/>
  <xs:complexType name="dosage_administration">
    <xs:sequence>
      <xs:element maxOccurs="1" minOccurs="1" ref="dosage_administration_hd"/>
      <xs:element maxOccurs="1" minOccurs="1" ref="dosage_administration_body"/>
    </xs:sequence>
  </xs:complexType>
  <xs:element name="contraindications" type="contraindications"/>
  <xs:complexType name="contraindications">
    <xs:sequence>
      <xs:element maxOccurs="1" minOccurs="1" ref="contraindications_hd"/>
      <xs:element maxOccurs="1" minOccurs="1" ref="contraindications_body"/>
    </xs:sequence>
  </xs:complexType>
  <xs:element name="warnings_precautions" type="warnings_precautions"/>
  <xs:complexType name="warnings_precautions">
    <xs:sequence>
      <xs:element maxOccurs="1" minOccurs="1" ref="warnings_precautions_hd"/>
      <xs:element maxOccurs="1" minOccurs="1" ref="warnings_precautions_body"/>
      <xs:element maxOccurs="1" minOccurs="1" ref="renal_admin"/>
      <xs:element maxOccurs="1" minOccurs="1" ref="geriatric_admin"/>
      <xs:element maxOccurs="1" minOccurs="1" ref="pediatric_admin"/>
      <xs:element maxOccurs="1" minOccurs="1" ref="lab_tests"/>
    </xs:sequence>
  </xs:complexType>
  <xs:element name="renal_admin" type="renal_admin"/>
  <xs:complexType name="renal_admin">
    <xs:sequence>
      <xs:element maxOccurs="1" minOccurs="1" ref="renal_admin_hd"/>
      <xs:element maxOccurs="1" minOccurs="1" ref="renal_admin_body"/>
    </xs:sequence>
  </xs:complexType>
  <xs:element name="geriatric_admin" type="geriatric_admin"/>
  <xs:complexType name="geriatric_admin">
    <xs:sequence>
      <xs:element maxOccurs="1" minOccurs="1" ref="geriatric_admin_hd"/>
      <xs:element maxOccurs="1" minOccurs="1" ref="geriatric_admin_body"/>
    </xs:sequence>
  </xs:complexType>
  <xs:element name="pediatric_admin" type="pediatric_admin"/>
  <xs:complexType name="pediatric_admin">
    <xs:sequence>
      <xs:element maxOccurs="1" minOccurs="1" ref="pediatric_admin_hd"/>
      <xs:element maxOccurs="1" minOccurs="1" ref="pediatric_admin_body"/>
    </xs:sequence>
  </xs:complexType>
  <xs:element name="lab_tests" type="lab_tests"/>
  <xs:complexType name="lab_tests">
    <xs:sequence>
      <xs:element maxOccurs="1" minOccurs="1" ref="lab_tests_hd"/>
      <xs:element maxOccurs="1" minOccurs="1" ref="lab_tests_body"/>
    </xs:sequence>
  </xs:complexType>
  <xs:element name="interactions" type="interactions"/>
  <xs:complexType name="interactions">
    <xs:sequence>
      <xs:element maxOccurs="1" minOccurs="1" ref="interactions_hd"/>
      <xs:element maxOccurs="1" minOccurs="1" ref="interactions_body"/>
    </xs:sequence>
  </xs:complexType>
  <xs:element name="pregnancy_lactation" type="pregnancy_lactation"/>
  <xs:complexType name="pregnancy_lactation">
    <xs:sequence>
      <xs:element maxOccurs="1" minOccurs="1" ref="pregnancy_lactation_hd"/>
      <xs:element maxOccurs="1" minOccurs="1" ref="pregnancy_lactation_body"/>
      <xs:element maxOccurs="1" minOccurs="1" ref="fertility"/>
      <xs:element maxOccurs="1" minOccurs="1" ref="pregnancy"/>
      <xs:element maxOccurs="1" minOccurs="1" ref="lactation"/>
    </xs:sequence>
  </xs:complexType>
  <xs:element name="fertility" type="fertility"/>
  <xs:complexType name="fertility">
    <xs:sequence>
      <xs:element maxOccurs="1" minOccurs="1" ref="fertility_hd"/>
      <xs:element maxOccurs="1" minOccurs="1" ref="fertility_body"/>
    </xs:sequence>
  </xs:complexType>
  <xs:element name="pregnancy" type="pregnancy"/>
  <xs:complexType name="pregnancy">
    <xs:sequence>
      <xs:element maxOccurs="1" minOccurs="1" ref="pregnancy_hd"/>
      <xs:element maxOccurs="1" minOccurs="1" ref="pregnancy_body"/>
    </xs:sequence>
  </xs:complexType>
  <xs:element name="lactation" type="lactation"/>
  <xs:complexType name="lactation">
    <xs:sequence>
      <xs:element maxOccurs="1" minOccurs="1" ref="lactation_hd"/>
      <xs:element maxOccurs="1" minOccurs="1" ref="lactation_body"/>
    </xs:sequence>
  </xs:complexType>
  <xs:element name="user_safety_warnings" type="user_safety_warnings"/>
  <xs:complexType name="user_safety_warnings">
    <xs:sequence>
      <xs:element maxOccurs="1" minOccurs="1" ref="user_safety_warnings_hd"/>
      <xs:element maxOccurs="1" minOccurs="1" ref="user_safety_warnings_body"/>
    </xs:sequence>
  </xs:complexType>
  <xs:element name="undesirable_effects" type="undesirable_effects"/>
  <xs:complexType name="undesirable_effects">
    <xs:sequence>
      <xs:element maxOccurs="1" minOccurs="1" ref="undesirable_effects_hd"/>
      <xs:element maxOccurs="1" minOccurs="1" ref="undesirable_effects_body"/>
      <xs:element maxOccurs="1" minOccurs="1" ref="report_side_effects"/>
    </xs:sequence>
  </xs:complexType>
  <xs:element name="report_side_effects" type="report_side_effects"/>
  <xs:complexType name="report_side_effects">
    <xs:sequence>
      <xs:element maxOccurs="1" minOccurs="1" ref="report_side_effects_hd"/>
    </xs:sequence>
  </xs:complexType>
  <xs:element name="overdose" type="overdose"/>
  <xs:complexType name="overdose">
    <xs:sequence>
      <xs:element maxOccurs="1" minOccurs="1" ref="overdose_hd"/>
      <xs:element maxOccurs="1" minOccurs="1" ref="overdose_management_hd"/>
    </xs:sequence>
  </xs:complexType>
  <xs:element name="pharmacological" type="pharmacological"/>
  <xs:complexType name="pharmacological">
    <xs:sequence>
      <xs:element maxOccurs="1" minOccurs="1" ref="pharmacological_hd"/>
      <xs:element maxOccurs="1" minOccurs="1" ref="pharmacological_body"/>
      <xs:element maxOccurs="1" minOccurs="1" ref="pharmacodynamic"/>
      <xs:element maxOccurs="1" minOccurs="1" ref="pharmacokinetics"/>
      <xs:element maxOccurs="1" minOccurs="1" ref="nonclinical_safety"/>
    </xs:sequence>
  </xs:complexType>
  <xs:element name="pharmacodynamic" type="pharmacodynamic"/>
  <xs:complexType name="pharmacodynamic">
    <xs:sequence>
      <xs:element maxOccurs="1" minOccurs="1" ref="pharmacodynamic_hd"/>
      <xs:element maxOccurs="1" minOccurs="1" ref="pharmacodynamic_body"/>
      <xs:element maxOccurs="1" minOccurs="1" ref="mechanism_action"/>
      <xs:element maxOccurs="1" minOccurs="1" ref="clinical_studies"/>
    </xs:sequence>
  </xs:complexType>
  <xs:element name="mechanism_action" type="mechanism_action"/>
  <xs:complexType name="mechanism_action">
    <xs:sequence>
      <xs:element maxOccurs="1" minOccurs="1" ref="mechanism_action_hd"/>
      <xs:element maxOccurs="1" minOccurs="1" ref="mechanism_action_body"/>
    </xs:sequence>
  </xs:complexType>
  <xs:element name="clinical_studies" type="clinical_studies"/>
  <xs:complexType name="clinical_studies">
    <xs:sequence>
      <xs:element maxOccurs="1" minOccurs="1" ref="clinical_studies_hd"/>
      <xs:element maxOccurs="1" minOccurs="1" ref="clinical_studies_body"/>
    </xs:sequence>
  </xs:complexType>
  <xs:element name="pharmacokinetics" type="pharmacokinetics"/>
  <xs:complexType name="pharmacokinetics">
    <xs:sequence>
      <xs:element maxOccurs="1" minOccurs="1" ref="pharmacokinetics_hd"/>
      <xs:element maxOccurs="1" minOccurs="1" ref="pharmacokinetics_body"/>
      <xs:element maxOccurs="1" minOccurs="1" ref="absorption"/>
      <xs:element maxOccurs="1" minOccurs="1" ref="distribution"/>
      <xs:element maxOccurs="1" minOccurs="1" ref="metabolism_elimination"/>
      <xs:element maxOccurs="1" minOccurs="1" ref="elimination"/>
      <xs:element maxOccurs="1" minOccurs="1" ref="linearitynon-linearity"/>
      <xs:element maxOccurs="1" minOccurs="1" ref="pharma_special"/>
    </xs:sequence>
  </xs:complexType>
  <xs:element name="absorption" type="absorption"/>
  <xs:complexType name="absorption">
    <xs:sequence>
      <xs:element maxOccurs="1" minOccurs="1" ref="absorption_hd"/>
      <xs:element maxOccurs="1" minOccurs="1" ref="absorption_body"/>
    </xs:sequence>
  </xs:complexType>
  <xs:element name="distribution" type="distribution"/>
  <xs:complexType name="distribution">
    <xs:sequence>
      <xs:element maxOccurs="1" minOccurs="1" ref="distribution_hd"/>
      <xs:element maxOccurs="1" minOccurs="1" ref="distribution_body"/>
    </xs:sequence>
  </xs:complexType>
  <xs:element name="metabolism_elimination" type="metabolism_elimination"/>
  <xs:complexType name="metabolism_elimination">
    <xs:sequence>
      <xs:element maxOccurs="1" minOccurs="1" ref="metabolism_elimination_hd"/>
      <xs:element maxOccurs="1" minOccurs="1" ref="metabolism_elimination_body"/>
    </xs:sequence>
  </xs:complexType>
  <xs:element name="elimination" type="elimination"/>
  <xs:complexType name="elimination">
    <xs:sequence>
      <xs:element maxOccurs="1" minOccurs="1" ref="elimination_hd"/>
      <xs:element maxOccurs="1" minOccurs="1" ref="elimination_body"/>
    </xs:sequence>
  </xs:complexType>
  <xs:element name="linearitynon-linearity" type="linearitynon-linearity"/>
  <xs:complexType name="linearitynon-linearity">
    <xs:sequence>
      <xs:element maxOccurs="1" minOccurs="1" ref="linearitynon-linearity_hd"/>
      <xs:element maxOccurs="1" minOccurs="1" ref="linearitynon-linearity_body"/>
    </xs:sequence>
  </xs:complexType>
  <xs:element name="pharma_special" type="pharma_special"/>
  <xs:complexType name="pharma_special">
    <xs:sequence>
      <xs:element maxOccurs="1" minOccurs="1" ref="pharma_special_hd"/>
      <xs:element maxOccurs="1" minOccurs="1" ref="pharma_special_body"/>
    </xs:sequence>
  </xs:complexType>
  <xs:element name="nonclinical_safety" type="nonclinical_safety"/>
  <xs:complexType name="nonclinical_safety">
    <xs:sequence>
      <xs:element maxOccurs="1" minOccurs="1" ref="nonclinical_safety_hd"/>
      <xs:element maxOccurs="1" minOccurs="1" ref="nonclinical_safety_body"/>
      <xs:element maxOccurs="1" minOccurs="1" ref="genotoxicity"/>
      <xs:element maxOccurs="1" minOccurs="1" ref="carcinogenicity"/>
    </xs:sequence>
  </xs:complexType>
  <xs:element name="genotoxicity" type="genotoxicity"/>
  <xs:complexType name="genotoxicity">
    <xs:sequence>
      <xs:element maxOccurs="1" minOccurs="1" ref="genotoxicity_hd"/>
      <xs:element maxOccurs="1" minOccurs="1" ref="genotoxicity_body"/>
    </xs:sequence>
  </xs:complexType>
  <xs:element name="carcinogenicity" type="carcinogenicity"/>
  <xs:complexType name="carcinogenicity">
    <xs:sequence>
      <xs:element maxOccurs="1" minOccurs="1" ref="carcinogenicity_hd"/>
      <xs:element maxOccurs="1" minOccurs="1" ref="carcinogenicity_body"/>
    </xs:sequence>
  </xs:complexType>
  <xs:element name="pharmaceutical_particular" type="pharmaceutical_particular"/>
  <xs:complexType name="pharmaceutical_particular">
    <xs:sequence>
      <xs:element maxOccurs="1" minOccurs="1" ref="pharmaceutical_particula_hd"/>
      <xs:element maxOccurs="1" minOccurs="1" ref="pharmaceutical_particula_body"/>
      <xs:element maxOccurs="1" minOccurs="1" ref="excipients"/>
      <xs:element maxOccurs="1" minOccurs="1" ref="incompatibilities"/>
      <xs:element maxOccurs="1" minOccurs="1" ref="shelf_life"/>
      <xs:element maxOccurs="1" minOccurs="1" ref="special_precautions"/>
      <xs:element maxOccurs="1" minOccurs="1" ref="presentation_appearance"/>
      <xs:element maxOccurs="1" minOccurs="1" ref="special_instructions"/>
      <xs:element maxOccurs="1" minOccurs="1" ref="physicochemistry"/>
    </xs:sequence>
  </xs:complexType>
  <xs:element name="excipients" type="excipients"/>
  <xs:complexType name="excipients">
    <xs:sequence>
      <xs:element maxOccurs="1" minOccurs="1" ref="excipients_hd"/>
      <xs:element maxOccurs="1" minOccurs="1" ref="excipients_body"/>
    </xs:sequence>
  </xs:complexType>
  <xs:element name="incompatibilities" type="incompatibilities"/>
  <xs:complexType name="incompatibilities">
    <xs:sequence>
      <xs:element maxOccurs="1" minOccurs="1" ref="incompatibilities_hd"/>
      <xs:element maxOccurs="1" minOccurs="1" ref="incompatibilities_body"/>
    </xs:sequence>
  </xs:complexType>
  <xs:element name="shelf_life" type="shelf_life"/>
  <xs:complexType name="shelf_life">
    <xs:sequence>
      <xs:element maxOccurs="1" minOccurs="1" ref="shelf_life_hd"/>
      <xs:element maxOccurs="1" minOccurs="1" ref="shelf_life_body"/>
    </xs:sequence>
  </xs:complexType>
  <xs:element name="special_precautions" type="special_precautions"/>
  <xs:complexType name="special_precautions">
    <xs:sequence>
      <xs:element maxOccurs="1" minOccurs="1" ref="special_precautions_hd"/>
      <xs:element maxOccurs="1" minOccurs="1" ref="special_precautions_body"/>
    </xs:sequence>
  </xs:complexType>
  <xs:element name="presentation_appearance" type="presentation_appearance"/>
  <xs:complexType name="presentation_appearance">
    <xs:sequence>
      <xs:element maxOccurs="1" minOccurs="1" ref="presentation_appearance_hd"/>
      <xs:element maxOccurs="1" minOccurs="1" ref="presentation_appearance_body"/>
    </xs:sequence>
  </xs:complexType>
  <xs:element name="special_instructions" type="special_instructions"/>
  <xs:complexType name="special_instructions">
    <xs:sequence>
      <xs:element maxOccurs="1" minOccurs="1" ref="special_instructions_hd"/>
      <xs:element maxOccurs="1" minOccurs="1" ref="special_instructions_body"/>
    </xs:sequence>
  </xs:complexType>
  <xs:element name="physicochemistry" type="physicochemistry"/>
  <xs:complexType name="physicochemistry">
    <xs:sequence>
      <xs:element maxOccurs="1" minOccurs="1" ref="physicochemistry_hd"/>
      <xs:element maxOccurs="1" minOccurs="1" ref="physicochemistry_body"/>
      <xs:element maxOccurs="1" minOccurs="1" ref="structural_formula"/>
      <xs:element maxOccurs="1" minOccurs="1" ref="cas_number"/>
    </xs:sequence>
  </xs:complexType>
  <xs:element name="structural_formula" type="structural_formula"/>
  <xs:complexType name="structural_formula">
    <xs:sequence>
      <xs:element maxOccurs="1" minOccurs="1" ref="structural_formula_hd"/>
      <xs:element maxOccurs="1" minOccurs="1" ref="structural_formula_body"/>
    </xs:sequence>
  </xs:complexType>
  <xs:element name="cas_number" type="cas_number"/>
  <xs:complexType name="cas_number">
    <xs:sequence>
      <xs:element maxOccurs="1" minOccurs="1" ref="cas_number_hd"/>
      <xs:element maxOccurs="1" minOccurs="1" ref="cas_number_body"/>
    </xs:sequence>
  </xs:complexType>
  <xs:element name="medicine_schedule" type="medicine_schedule"/>
  <xs:complexType name="medicine_schedule">
    <xs:sequence>
      <xs:element maxOccurs="1" minOccurs="1" ref="medicine_schedule_hd"/>
      <xs:element maxOccurs="1" minOccurs="1" ref="medicine_schedule_body"/>
    </xs:sequence>
  </xs:complexType>
  <xs:element name="manufacturer" type="manufacturer"/>
  <xs:complexType name="manufacturer">
    <xs:sequence>
      <xs:element maxOccurs="1" minOccurs="1" ref="manufacturer_hd"/>
      <xs:element maxOccurs="1" minOccurs="1" ref="manufacturer_body"/>
    </xs:sequence>
  </xs:complexType>
  <xs:element name="authorisation_date" type="authorisation_date"/>
  <xs:complexType name="authorisation_date">
    <xs:sequence>
      <xs:element maxOccurs="1" minOccurs="1" ref="authorisation_date_hd"/>
      <xs:element maxOccurs="1" minOccurs="1" ref="authorisation_date_body"/>
    </xs:sequence>
  </xs:complexType>
  <xs:element name="revision_section" type="revision_section"/>
  <xs:complexType name="revision_section">
    <xs:sequence>
      <xs:element maxOccurs="1" minOccurs="1" ref="revision_section_hd"/>
      <xs:element maxOccurs="1" minOccurs="1" ref="revision_section_body"/>
      <xs:element maxOccurs="1" minOccurs="1" ref="summary_changes"/>
    </xs:sequence>
  </xs:complexType>
  <xs:element name="summary_changes" type="summary_changes"/>
  <xs:complexType name="summary_changes">
    <xs:sequence>
      <xs:element maxOccurs="1" minOccurs="1" ref="summary_changes"/>
      <xs:element maxOccurs="1" minOccurs="1" ref="summary_changes_body"/>
    </xs:sequence>
  </xs:complexType>
  <xs:element name="i4iroot">
    <xs:complexType>
      <xs:sequence>
        <xs:element maxOccurs="1" minOccurs="1" ref="title_page"/>
        <xs:element maxOccurs="1" minOccurs="1" ref="medicinal_name"/>
        <xs:element maxOccurs="1" minOccurs="1" ref="composition"/>
        <xs:element maxOccurs="1" minOccurs="1" ref="pharmaceutical_form"/>
        <xs:element maxOccurs="1" minOccurs="1" ref="clinical_particulars"/>
        <xs:element maxOccurs="1" minOccurs="1" ref="pharmacological"/>
        <xs:element maxOccurs="1" minOccurs="1" ref="pharmaceutical_particular"/>
        <xs:element maxOccurs="1" minOccurs="1" ref="medicine_schedule"/>
        <xs:element maxOccurs="1" minOccurs="1" ref="manufacturer"/>
        <xs:element maxOccurs="1" minOccurs="1" ref="authorisation_date"/>
        <xs:element maxOccurs="1" minOccurs="1" ref="revision_section"/>
      </xs:sequence>
    </xs:complexType>
  </xs:element>
  <xs:element name="document_title_hd"/>
  <xs:element name="document_title_body"/>
  <xs:element name="medicinal_name_hd"/>
  <xs:element name="medicinal_name_body"/>
  <xs:element name="composition_hd"/>
  <xs:element name="composition_body"/>
  <xs:element name="excipients_known_effect_hd"/>
  <xs:element name="excipients_known_effect_body"/>
  <xs:element name="excipients_full_list_hd"/>
  <xs:element name="pharmaceutical_form_hd"/>
  <xs:element name="pharmaceutical_form_body"/>
  <xs:element name="clinical_particulars_hd"/>
  <xs:element name="clinical_particulars_body"/>
  <xs:element name="therapeutic_indication_hd"/>
  <xs:element name="therapeutic_indication_body"/>
  <xs:element name="dosage_administration_hd"/>
  <xs:element name="dosage_administration_body"/>
  <xs:element name="contraindications_hd"/>
  <xs:element name="contraindications_body"/>
  <xs:element name="warnings_precautions_hd"/>
  <xs:element name="warnings_precautions_body"/>
  <xs:element name="renal_admin_hd"/>
  <xs:element name="renal_admin_body"/>
  <xs:element name="geriatric_admin_hd"/>
  <xs:element name="geriatric_admin_body"/>
  <xs:element name="pediatric_admin_hd"/>
  <xs:element name="pediatric_admin_body"/>
  <xs:element name="lab_tests_hd"/>
  <xs:element name="lab_tests_body"/>
  <xs:element name="interactions_hd"/>
  <xs:element name="interactions_body"/>
  <xs:element name="pregnancy_lactation_hd"/>
  <xs:element name="pregnancy_lactation_body"/>
  <xs:element name="fertility_hd"/>
  <xs:element name="fertility_body"/>
  <xs:element name="pregnancy_hd"/>
  <xs:element name="pregnancy_body"/>
  <xs:element name="lactation_hd"/>
  <xs:element name="lactation_body"/>
  <xs:element name="user_safety_warnings_hd"/>
  <xs:element name="user_safety_warnings_body"/>
  <xs:element name="undesirable_effects_hd"/>
  <xs:element name="undesirable_effects_body"/>
  <xs:element name="report_side_effects_hd"/>
  <xs:element name="report_side_effects_body"/>
  <xs:element name="report_side_effects_hd"/>
  <xs:element name="overdose_hd"/>
  <xs:element name="overdose_body"/>
  <xs:element name="overdose_management_hd"/>
  <xs:element name="pharmacological_hd"/>
  <xs:element name="pharmacological_body"/>
  <xs:element name="pharmacodynamic_hd"/>
  <xs:element name="pharmacodynamic_body"/>
  <xs:element name="mechanism_action_hd"/>
  <xs:element name="mechanism_action_body"/>
  <xs:element name="clinical_studies_hd"/>
  <xs:element name="clinical_studies_body"/>
  <xs:element name="pharmacokinetics_hd"/>
  <xs:element name="pharmacokinetics_body"/>
  <xs:element name="absorption_hd"/>
  <xs:element name="absorption_body"/>
  <xs:element name="distribution_hd"/>
  <xs:element name="distribution_body"/>
  <xs:element name="metabolism_elimination_hd"/>
  <xs:element name="metabolism_elimination_body"/>
  <xs:element name="elimination_hd"/>
  <xs:element name="elimination_body"/>
  <xs:element name="linearitynon-linearity_hd"/>
  <xs:element name="linearitynon-linearity_body"/>
  <xs:element name="pharma_special_hd"/>
  <xs:element name="pharma_special_body"/>
  <xs:element name="nonclinical_safety_hd"/>
  <xs:element name="nonclinical_safety_body"/>
  <xs:element name="genotoxicity_hd"/>
  <xs:element name="genotoxicity_body"/>
  <xs:element name="carcinogenicity_hd"/>
  <xs:element name="carcinogenicity_body"/>
  <xs:element name="pharmaceutical_particula_hd"/>
  <xs:element name="pharmaceutical_particula_body"/>
  <xs:element name="excipients_hd"/>
  <xs:element name="excipients_body"/>
  <xs:element name="incompatibilities_hd"/>
  <xs:element name="incompatibilities_body"/>
  <xs:element name="shelf_life_hd"/>
  <xs:element name="shelf_life_body"/>
  <xs:element name="special_precautions_hd"/>
  <xs:element name="special_precautions_body"/>
  <xs:element name="presentation_appearance_hd"/>
  <xs:element name="presentation_appearance_body"/>
  <xs:element name="special_instructions_hd"/>
  <xs:element name="special_instructions_body"/>
  <xs:element name="physicochemistry_hd"/>
  <xs:element name="physicochemistry_body"/>
  <xs:element name="structural_formula_hd"/>
  <xs:element name="structural_formula_body"/>
  <xs:element name="cas_number_hd"/>
  <xs:element name="cas_number_body"/>
  <xs:element name="medicine_schedule_hd"/>
  <xs:element name="medicine_schedule_body"/>
  <xs:element name="manufacturer_hd"/>
  <xs:element name="manufacturer_body"/>
  <xs:element name="authorisation_date_hd"/>
  <xs:element name="authorisation_date_body"/>
  <xs:element name="revision_section_hd"/>
  <xs:element name="revision_section_body"/>
  <xs:element name="summary_changes"/>
  <xs:element name="summary_changes_body"/>
</xs:schema>
</file>

<file path=customXml/item5.xml><?xml version="1.0" encoding="utf-8"?>
<pinfc:productinformation xmlns:pinfc="http://www.i4i.com/ns/gl/productinformationcontainer" fragment-displayname="Product Information Container" fragment-href="94614" fragment-linkforward="true" fragment-version="110404">
  <ProductDefinitionData>
    <Properties>
      <Property name="BSPGenericCarryForwardTrue11" namespace="http://i4i.com/s4ent/BSP"/>
      <Property name="BSPGenericCarryForwardTrue13" namespace="http://i4i.com/s4ent/BSP"/>
      <Property name="Application_type" namespace="http://i4i.com/s4ent/A4L">NAP</Property>
    </Properties>
  </ProductDefinitionData>
  <InfoZone/>
  <DocumentVariables/>
  <PackageInfo>
    <name>Enfortumab Vedotin - Australia</name>
    <jurisdiction>Australia</jurisdiction>
    <primary_language>en (English)</primary_language>
    <document_classes>
      <document_class displayName="Prescriber Information" required="Y">AUS-Prescriber</document_class>
      <document_class create="Y" displayName="Patient Information" required="N">AUS-Patient</document_class>
      <document_class create="Y" displayName="Consumer Medicine Information" required="N">AUS_CMI-Patient</document_class>
      <document_class displayName="Patient Alert Card" required="N">PAC-Labelling</document_class>
    </document_classes>
    <submission_rules/>
    <primary_language_country>Australia</primary_language_country>
  </PackageInfo>
</pinfc:productinformation>
</file>

<file path=customXml/item6.xml><?xml version="1.0" encoding="utf-8"?>
<mqrd:MasterQRD xmlns:mqrd="http://www.i4i.com/ns/x4o/eulm/MasterQRD">
  <eu-envelope>
    <envelope>
      <name>
      </name>
      <submission mode="" type="">
        <number>
        </number>
        <tracking>
          <number>
          </number>
        </tracking>
      </submission>
      <applicant/>
      <agency code=""/>
      <procedure type=""/>
      <invented-name/>
      <inn/>
      <sequence/>
      <related-sequence/>
      <submission-description/>
    </envelope>
  </eu-envelope>
  <InfoZone applies_to="" editMode="addDocument">
    <product_InfoZone approval_mode="complete" atp="no" biosimilar="no" id="ID_product" name="" orphan="no">
      <form_InfoZone id="ID_form_1" mode_administration_verb="take" name="">
        <strength_InfoZone id="ID_strength_1" name="">
          <presentation_InfoZone an2_legal_status="with-prescription" id="ID_pres_1" name="" out_legal_status="with-prescription">
            <labeling_InfoZone id="ID_label_1" level_immed_content="product" name="" type="Outer"/>
          </presentation_InfoZone>
        </strength_InfoZone>
      </form_InfoZone>
    </product_InfoZone>
    <documents_InfoZone>
    </documents_InfoZone>
  </InfoZone>
  <DocumentVariables>
  </DocumentVariables>
</mqrd:MasterQRD>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5434a321-f742-4e17-a2b8-93d687450b58">
      <Terms xmlns="http://schemas.microsoft.com/office/infopath/2007/PartnerControls"/>
    </lcf76f155ced4ddcb4097134ff3c332f>
    <TaxCatchAll xmlns="d4aa04c7-815a-40f8-9131-fc16e00fa257" xsi:nil="true"/>
  </documentManagement>
</p:properties>
</file>

<file path=customXml/itemProps1.xml><?xml version="1.0" encoding="utf-8"?>
<ds:datastoreItem xmlns:ds="http://schemas.openxmlformats.org/officeDocument/2006/customXml" ds:itemID="{165BA9DB-2F3F-440B-8BCA-EFFDB944205E}">
  <ds:schemaRefs>
    <ds:schemaRef ds:uri="http://www.i4i.com/ns/eul/product-definition"/>
  </ds:schemaRefs>
</ds:datastoreItem>
</file>

<file path=customXml/itemProps10.xml><?xml version="1.0" encoding="utf-8"?>
<ds:datastoreItem xmlns:ds="http://schemas.openxmlformats.org/officeDocument/2006/customXml" ds:itemID="{4E6C64DE-3AF2-485A-9998-7FE64FEC3428}">
  <ds:schemaRefs>
    <ds:schemaRef ds:uri="http://www.i4i.com/ns/x4w/keywords"/>
  </ds:schemaRefs>
</ds:datastoreItem>
</file>

<file path=customXml/itemProps2.xml><?xml version="1.0" encoding="utf-8"?>
<ds:datastoreItem xmlns:ds="http://schemas.openxmlformats.org/officeDocument/2006/customXml" ds:itemID="{88E69AE1-0C21-4525-A2B7-652105C90F6B}">
  <ds:schemaRefs>
    <ds:schemaRef ds:uri="http://schemas.openxmlformats.org/officeDocument/2006/bibliography"/>
  </ds:schemaRefs>
</ds:datastoreItem>
</file>

<file path=customXml/itemProps3.xml><?xml version="1.0" encoding="utf-8"?>
<ds:datastoreItem xmlns:ds="http://schemas.openxmlformats.org/officeDocument/2006/customXml" ds:itemID="{A6540DC2-5CD8-4B12-A0FF-F4FAEDE09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4a321-f742-4e17-a2b8-93d687450b58"/>
    <ds:schemaRef ds:uri="d4aa04c7-815a-40f8-9131-fc16e00fa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2A4C8-0FFF-4EF0-9398-918D74886BD9}">
  <ds:schemaRefs>
    <ds:schemaRef ds:uri="http://www.i4i.com/ns/x4o/schema"/>
  </ds:schemaRefs>
</ds:datastoreItem>
</file>

<file path=customXml/itemProps5.xml><?xml version="1.0" encoding="utf-8"?>
<ds:datastoreItem xmlns:ds="http://schemas.openxmlformats.org/officeDocument/2006/customXml" ds:itemID="{DA09BD18-CCBA-43BC-BB13-6A0EC5EB6D21}">
  <ds:schemaRefs>
    <ds:schemaRef ds:uri="http://www.i4i.com/ns/gl/productinformationcontainer"/>
  </ds:schemaRefs>
</ds:datastoreItem>
</file>

<file path=customXml/itemProps6.xml><?xml version="1.0" encoding="utf-8"?>
<ds:datastoreItem xmlns:ds="http://schemas.openxmlformats.org/officeDocument/2006/customXml" ds:itemID="{769AA726-DE21-4E62-94FE-410B2CBBCE9C}">
  <ds:schemaRefs>
    <ds:schemaRef ds:uri="http://www.i4i.com/ns/x4o/eulm/MasterQRD"/>
  </ds:schemaRefs>
</ds:datastoreItem>
</file>

<file path=customXml/itemProps7.xml><?xml version="1.0" encoding="utf-8"?>
<ds:datastoreItem xmlns:ds="http://schemas.openxmlformats.org/officeDocument/2006/customXml" ds:itemID="{5BE46E9A-A376-4E19-8188-322115652688}">
  <ds:schemaRefs>
    <ds:schemaRef ds:uri="http://schemas.microsoft.com/sharepoint/v3/contenttype/forms"/>
  </ds:schemaRefs>
</ds:datastoreItem>
</file>

<file path=customXml/itemProps8.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9.xml><?xml version="1.0" encoding="utf-8"?>
<ds:datastoreItem xmlns:ds="http://schemas.openxmlformats.org/officeDocument/2006/customXml" ds:itemID="{030DE4DA-3E56-4ECE-A716-0E5968F0EDD1}">
  <ds:schemaRefs>
    <ds:schemaRef ds:uri="d4aa04c7-815a-40f8-9131-fc16e00fa257"/>
    <ds:schemaRef ds:uri="http://purl.org/dc/terms/"/>
    <ds:schemaRef ds:uri="http://schemas.openxmlformats.org/package/2006/metadata/core-properties"/>
    <ds:schemaRef ds:uri="http://schemas.microsoft.com/office/2006/documentManagement/types"/>
    <ds:schemaRef ds:uri="5434a321-f742-4e17-a2b8-93d687450b5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6320</Words>
  <Characters>36089</Characters>
  <Application>Microsoft Office Word</Application>
  <DocSecurity>0</DocSecurity>
  <Lines>902</Lines>
  <Paragraphs>558</Paragraphs>
  <ScaleCrop>false</ScaleCrop>
  <HeadingPairs>
    <vt:vector size="2" baseType="variant">
      <vt:variant>
        <vt:lpstr>Title</vt:lpstr>
      </vt:variant>
      <vt:variant>
        <vt:i4>1</vt:i4>
      </vt:variant>
    </vt:vector>
  </HeadingPairs>
  <TitlesOfParts>
    <vt:vector size="1" baseType="lpstr">
      <vt:lpstr>AusPAR Attachment 1: Product Information for Padcev</vt:lpstr>
    </vt:vector>
  </TitlesOfParts>
  <Manager/>
  <Company>Astellas Pharma Australia Pty Ltd</Company>
  <LinksUpToDate>false</LinksUpToDate>
  <CharactersWithSpaces>41851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Padcev</dc:title>
  <dc:subject>Prescription medicines</dc:subject>
  <dc:creator>Astellas Pharma Australia Pty Ltd</dc:creator>
  <cp:keywords>PADCEV</cp:keywords>
  <cp:revision>14</cp:revision>
  <cp:lastPrinted>2015-02-25T19:21:00Z</cp:lastPrinted>
  <dcterms:created xsi:type="dcterms:W3CDTF">2023-11-06T00:33:00Z</dcterms:created>
  <dcterms:modified xsi:type="dcterms:W3CDTF">2023-11-06T01:07:00Z</dcterms:modified>
  <cp:category>AUS-Prescriber</cp:category>
  <cp:contentStatus>Draft</cp:contentStatus>
  <dc:language>en (English)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4i:Class">
    <vt:lpwstr>AUS-Prescriber</vt:lpwstr>
  </property>
  <property fmtid="{D5CDD505-2E9C-101B-9397-08002B2CF9AE}" pid="3" name="i4i:Language">
    <vt:lpwstr>en (English)</vt:lpwstr>
  </property>
  <property fmtid="{D5CDD505-2E9C-101B-9397-08002B2CF9AE}" pid="4" name="i4i:MasterClass">
    <vt:lpwstr>ROW</vt:lpwstr>
  </property>
  <property fmtid="{D5CDD505-2E9C-101B-9397-08002B2CF9AE}" pid="5" name="i4i:TemplateVersion">
    <vt:lpwstr>288</vt:lpwstr>
  </property>
  <property fmtid="{D5CDD505-2E9C-101B-9397-08002B2CF9AE}" pid="6" name="i4i:Country">
    <vt:lpwstr>Australia</vt:lpwstr>
  </property>
  <property fmtid="{D5CDD505-2E9C-101B-9397-08002B2CF9AE}" pid="7" name="i4i:Shading">
    <vt:lpwstr>True</vt:lpwstr>
  </property>
  <property fmtid="{D5CDD505-2E9C-101B-9397-08002B2CF9AE}" pid="8" name="i4i:AuthoringTool">
    <vt:lpwstr>1</vt:lpwstr>
  </property>
  <property fmtid="{D5CDD505-2E9C-101B-9397-08002B2CF9AE}" pid="9" name="i4i:ImportedFromXSL">
    <vt:lpwstr>false</vt:lpwstr>
  </property>
  <property fmtid="{D5CDD505-2E9C-101B-9397-08002B2CF9AE}" pid="10" name="i4i:ToolkitVersion">
    <vt:lpwstr>1</vt:lpwstr>
  </property>
  <property fmtid="{D5CDD505-2E9C-101B-9397-08002B2CF9AE}" pid="11" name="Author">
    <vt:lpwstr>Alisiya Miadzvedzeva</vt:lpwstr>
  </property>
  <property fmtid="{D5CDD505-2E9C-101B-9397-08002B2CF9AE}" pid="12" name="ComponentType">
    <vt:lpwstr>Component</vt:lpwstr>
  </property>
  <property fmtid="{D5CDD505-2E9C-101B-9397-08002B2CF9AE}" pid="13" name="VersionCreatedBy">
    <vt:lpwstr>a4023889</vt:lpwstr>
  </property>
  <property fmtid="{D5CDD505-2E9C-101B-9397-08002B2CF9AE}" pid="14" name="VersionCreatedOn">
    <vt:lpwstr>2021-03-16T04:19:41Z</vt:lpwstr>
  </property>
  <property fmtid="{D5CDD505-2E9C-101B-9397-08002B2CF9AE}" pid="15" name="Title">
    <vt:lpwstr>ENFORTUMAB VEDOTIN-INF AUS-Prescriber Australia en</vt:lpwstr>
  </property>
  <property fmtid="{D5CDD505-2E9C-101B-9397-08002B2CF9AE}" pid="16" name="Identifier">
    <vt:lpwstr>94617</vt:lpwstr>
  </property>
  <property fmtid="{D5CDD505-2E9C-101B-9397-08002B2CF9AE}" pid="17" name="Status">
    <vt:lpwstr>Draft</vt:lpwstr>
  </property>
  <property fmtid="{D5CDD505-2E9C-101B-9397-08002B2CF9AE}" pid="18" name="Version">
    <vt:lpwstr>0.3</vt:lpwstr>
  </property>
  <property fmtid="{D5CDD505-2E9C-101B-9397-08002B2CF9AE}" pid="19" name="FileExtension">
    <vt:lpwstr>docx</vt:lpwstr>
  </property>
  <property fmtid="{D5CDD505-2E9C-101B-9397-08002B2CF9AE}" pid="20" name="CreatedBy">
    <vt:lpwstr>a4021651</vt:lpwstr>
  </property>
  <property fmtid="{D5CDD505-2E9C-101B-9397-08002B2CF9AE}" pid="21" name="ModifiedBy">
    <vt:lpwstr>a4023889</vt:lpwstr>
  </property>
  <property fmtid="{D5CDD505-2E9C-101B-9397-08002B2CF9AE}" pid="22" name="creationdate">
    <vt:lpwstr>2020-08-20T13:58:17Z</vt:lpwstr>
  </property>
  <property fmtid="{D5CDD505-2E9C-101B-9397-08002B2CF9AE}" pid="23" name="CreatedOn">
    <vt:lpwstr>2020-08-20T13:58:17Z</vt:lpwstr>
  </property>
  <property fmtid="{D5CDD505-2E9C-101B-9397-08002B2CF9AE}" pid="24" name="getlastmodified">
    <vt:lpwstr>2021-03-16T04:19:41Z</vt:lpwstr>
  </property>
  <property fmtid="{D5CDD505-2E9C-101B-9397-08002B2CF9AE}" pid="25" name="ModifiedOn">
    <vt:lpwstr>2021-03-16T04:19:41Z</vt:lpwstr>
  </property>
  <property fmtid="{D5CDD505-2E9C-101B-9397-08002B2CF9AE}" pid="26" name="FileName">
    <vt:lpwstr>ENFORTUMAB VEDOTIN-INF AUS-Prescriber Australia en.docx</vt:lpwstr>
  </property>
  <property fmtid="{D5CDD505-2E9C-101B-9397-08002B2CF9AE}" pid="27" name="checked-out">
    <vt:lpwstr>a4023889</vt:lpwstr>
  </property>
  <property fmtid="{D5CDD505-2E9C-101B-9397-08002B2CF9AE}" pid="28" name="getcontenttype">
    <vt:lpwstr>application/vnd.openxmlformats-officedocument.wordprocessingml.document</vt:lpwstr>
  </property>
  <property fmtid="{D5CDD505-2E9C-101B-9397-08002B2CF9AE}" pid="29" name="getcontentlength">
    <vt:lpwstr>494364</vt:lpwstr>
  </property>
  <property fmtid="{D5CDD505-2E9C-101B-9397-08002B2CF9AE}" pid="30" name="checkoutflag">
    <vt:lpwstr>Exclusive</vt:lpwstr>
  </property>
  <property fmtid="{D5CDD505-2E9C-101B-9397-08002B2CF9AE}" pid="31" name="Class">
    <vt:lpwstr>AUS-Prescriber</vt:lpwstr>
  </property>
  <property fmtid="{D5CDD505-2E9C-101B-9397-08002B2CF9AE}" pid="32" name="TemplateVersion">
    <vt:lpwstr>288</vt:lpwstr>
  </property>
  <property fmtid="{D5CDD505-2E9C-101B-9397-08002B2CF9AE}" pid="33" name="CheckedOutByMe">
    <vt:lpwstr>true</vt:lpwstr>
  </property>
  <property fmtid="{D5CDD505-2E9C-101B-9397-08002B2CF9AE}" pid="34" name="CheckedOutOn">
    <vt:lpwstr>2021-03-16T09:38:21Z</vt:lpwstr>
  </property>
  <property fmtid="{D5CDD505-2E9C-101B-9397-08002B2CF9AE}" pid="35" name="i4iAuthoringTool">
    <vt:lpwstr>5</vt:lpwstr>
  </property>
  <property fmtid="{D5CDD505-2E9C-101B-9397-08002B2CF9AE}" pid="36" name="MasterClass">
    <vt:lpwstr>ROW</vt:lpwstr>
  </property>
  <property fmtid="{D5CDD505-2E9C-101B-9397-08002B2CF9AE}" pid="37" name="Language">
    <vt:lpwstr>en (English)</vt:lpwstr>
  </property>
  <property fmtid="{D5CDD505-2E9C-101B-9397-08002B2CF9AE}" pid="38" name="HasTrackChanges">
    <vt:lpwstr>No</vt:lpwstr>
  </property>
  <property fmtid="{D5CDD505-2E9C-101B-9397-08002B2CF9AE}" pid="39" name="Country">
    <vt:lpwstr>Australia</vt:lpwstr>
  </property>
  <property fmtid="{D5CDD505-2E9C-101B-9397-08002B2CF9AE}" pid="40" name="Brand_name">
    <vt:lpwstr>PADCEV</vt:lpwstr>
  </property>
  <property fmtid="{D5CDD505-2E9C-101B-9397-08002B2CF9AE}" pid="41" name="Cmab_revision">
    <vt:lpwstr>9</vt:lpwstr>
  </property>
  <property fmtid="{D5CDD505-2E9C-101B-9397-08002B2CF9AE}" pid="42" name="Dosage_form">
    <vt:lpwstr>Lyophilized powder for solution</vt:lpwstr>
  </property>
  <property fmtid="{D5CDD505-2E9C-101B-9397-08002B2CF9AE}" pid="43" name="EU_Dosage_strength">
    <vt:lpwstr>20 mg</vt:lpwstr>
  </property>
  <property fmtid="{D5CDD505-2E9C-101B-9397-08002B2CF9AE}" pid="44" name="Generic_name">
    <vt:lpwstr>Enfortumab vedotin</vt:lpwstr>
  </property>
  <property fmtid="{D5CDD505-2E9C-101B-9397-08002B2CF9AE}" pid="45" name="Application_type">
    <vt:lpwstr>NAP</vt:lpwstr>
  </property>
  <property fmtid="{D5CDD505-2E9C-101B-9397-08002B2CF9AE}" pid="46" name="BSPGenericCarryForwardTrue1">
    <vt:lpwstr>Prescriber Information</vt:lpwstr>
  </property>
  <property fmtid="{D5CDD505-2E9C-101B-9397-08002B2CF9AE}" pid="47" name="BSPGenericCarryForwardTrue2">
    <vt:lpwstr>ENFORTUMAB VEDOTIN-INF</vt:lpwstr>
  </property>
  <property fmtid="{D5CDD505-2E9C-101B-9397-08002B2CF9AE}" pid="48" name="BSPGenericCarryForwardTrue9">
    <vt:lpwstr>ENFO-00027681</vt:lpwstr>
  </property>
  <property fmtid="{D5CDD505-2E9C-101B-9397-08002B2CF9AE}" pid="49" name="BSPGenericCarryForwardTrue14">
    <vt:lpwstr>Asia and Oceania</vt:lpwstr>
  </property>
  <property fmtid="{D5CDD505-2E9C-101B-9397-08002B2CF9AE}" pid="50" name="BSPGenericCarryForwardTrue15">
    <vt:lpwstr>Oceania</vt:lpwstr>
  </property>
  <property fmtid="{D5CDD505-2E9C-101B-9397-08002B2CF9AE}" pid="51" name="GL_jurisdiction">
    <vt:lpwstr>Australia</vt:lpwstr>
  </property>
  <property fmtid="{D5CDD505-2E9C-101B-9397-08002B2CF9AE}" pid="52" name="GL_PICID">
    <vt:lpwstr>94614</vt:lpwstr>
  </property>
  <property fmtid="{D5CDD505-2E9C-101B-9397-08002B2CF9AE}" pid="53" name="GL_PICVerID">
    <vt:lpwstr>94616</vt:lpwstr>
  </property>
  <property fmtid="{D5CDD505-2E9C-101B-9397-08002B2CF9AE}" pid="54" name="BaseDocId">
    <vt:lpwstr>94617</vt:lpwstr>
  </property>
  <property fmtid="{D5CDD505-2E9C-101B-9397-08002B2CF9AE}" pid="55" name="AliceSecurityAccessRights">
    <vt:lpwstr>100,150,200,201,202,203,205,206,207,208,209,210,214,215,217,219,222,223,225,226,228,229,237,238,239,241,242,243,244,245,246,248,253,254,263,267,268,270,274,275,276,281,282,283,308,310,311,314,317,318,327,328,329,330,339,341,346,355,356,357,358,368,382,383</vt:lpwstr>
  </property>
  <property fmtid="{D5CDD505-2E9C-101B-9397-08002B2CF9AE}" pid="56" name="displayname">
    <vt:lpwstr>ENFORTUMAB VEDOTIN-INF AUS-Prescriber Australia en</vt:lpwstr>
  </property>
  <property fmtid="{D5CDD505-2E9C-101B-9397-08002B2CF9AE}" pid="57" name="HeadingFileVersion">
    <vt:lpwstr>2.0</vt:lpwstr>
  </property>
  <property fmtid="{D5CDD505-2E9C-101B-9397-08002B2CF9AE}" pid="58" name="MultiLangVersion">
    <vt:lpwstr>2.0</vt:lpwstr>
  </property>
  <property fmtid="{D5CDD505-2E9C-101B-9397-08002B2CF9AE}" pid="59" name="constrain-results">
    <vt:lpwstr>yes</vt:lpwstr>
  </property>
  <property fmtid="{D5CDD505-2E9C-101B-9397-08002B2CF9AE}" pid="60" name="Translation_status">
    <vt:lpwstr>Not Translated</vt:lpwstr>
  </property>
  <property fmtid="{D5CDD505-2E9C-101B-9397-08002B2CF9AE}" pid="61" name="submission_generated">
    <vt:lpwstr>false</vt:lpwstr>
  </property>
  <property fmtid="{D5CDD505-2E9C-101B-9397-08002B2CF9AE}" pid="62" name="IDMPStatus">
    <vt:lpwstr>Not Tagged</vt:lpwstr>
  </property>
  <property fmtid="{D5CDD505-2E9C-101B-9397-08002B2CF9AE}" pid="63" name="BSPGenericCarryForwardFalse1">
    <vt:lpwstr>False</vt:lpwstr>
  </property>
  <property fmtid="{D5CDD505-2E9C-101B-9397-08002B2CF9AE}" pid="64" name="ProductDefinitionVerID">
    <vt:lpwstr>110404</vt:lpwstr>
  </property>
  <property fmtid="{D5CDD505-2E9C-101B-9397-08002B2CF9AE}" pid="65" name="ContentTypeId">
    <vt:lpwstr>0x01010064019045CDE928469E4368BCC7197E20</vt:lpwstr>
  </property>
</Properties>
</file>