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6CBBC6F" w14:textId="77777777" w:rsidTr="00BF1190">
        <w:trPr>
          <w:trHeight w:val="1863"/>
        </w:trPr>
        <w:tc>
          <w:tcPr>
            <w:tcW w:w="3652" w:type="dxa"/>
            <w:tcBorders>
              <w:top w:val="nil"/>
              <w:left w:val="nil"/>
              <w:bottom w:val="nil"/>
              <w:right w:val="nil"/>
            </w:tcBorders>
          </w:tcPr>
          <w:p w14:paraId="689C1482" w14:textId="6EDB7A8B" w:rsidR="008E7846" w:rsidRPr="00096AA7" w:rsidRDefault="00376F95" w:rsidP="00F931CE">
            <w:pPr>
              <w:pStyle w:val="Date"/>
              <w:framePr w:hSpace="0" w:wrap="auto" w:vAnchor="margin" w:hAnchor="text" w:yAlign="inline"/>
              <w:suppressOverlap w:val="0"/>
            </w:pPr>
            <w:r>
              <w:t>February</w:t>
            </w:r>
            <w:r w:rsidR="00CD64F0">
              <w:t xml:space="preserve">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1633849E" w14:textId="77777777" w:rsidTr="0032583B">
        <w:trPr>
          <w:trHeight w:val="868"/>
        </w:trPr>
        <w:tc>
          <w:tcPr>
            <w:tcW w:w="9079" w:type="dxa"/>
          </w:tcPr>
          <w:p w14:paraId="1108B5CF" w14:textId="5D04C666" w:rsidR="0032583B" w:rsidRPr="00A964D1" w:rsidRDefault="0032583B" w:rsidP="00F931CE">
            <w:pPr>
              <w:pStyle w:val="Title"/>
              <w:framePr w:hSpace="0" w:wrap="auto" w:vAnchor="margin" w:yAlign="inline"/>
            </w:pPr>
            <w:r w:rsidRPr="00A964D1">
              <w:t>Australian Public Assessment Report for</w:t>
            </w:r>
            <w:r w:rsidR="00AF2313">
              <w:t xml:space="preserve"> </w:t>
            </w:r>
            <w:r w:rsidR="003A51F3">
              <w:t>Maviret</w:t>
            </w:r>
          </w:p>
        </w:tc>
      </w:tr>
      <w:tr w:rsidR="0032583B" w:rsidRPr="00B64760" w14:paraId="524F32BE" w14:textId="77777777" w:rsidTr="0032583B">
        <w:tc>
          <w:tcPr>
            <w:tcW w:w="9079" w:type="dxa"/>
          </w:tcPr>
          <w:p w14:paraId="517360A3" w14:textId="48AABB64" w:rsidR="0032583B" w:rsidRPr="008E7846" w:rsidRDefault="00BB75D6" w:rsidP="00F931CE">
            <w:pPr>
              <w:pStyle w:val="Subtitle"/>
              <w:framePr w:hSpace="0" w:wrap="auto" w:vAnchor="margin" w:yAlign="inline"/>
            </w:pPr>
            <w:r>
              <w:t>Active ingredients</w:t>
            </w:r>
            <w:r w:rsidR="0032583B" w:rsidRPr="008E7846">
              <w:t xml:space="preserve">: </w:t>
            </w:r>
            <w:r w:rsidR="003A51F3">
              <w:t>Glecaprevir/pibrentasvir</w:t>
            </w:r>
          </w:p>
        </w:tc>
      </w:tr>
      <w:tr w:rsidR="0032583B" w:rsidRPr="00B64760" w14:paraId="022A13D0" w14:textId="77777777" w:rsidTr="0032583B">
        <w:trPr>
          <w:trHeight w:val="486"/>
        </w:trPr>
        <w:tc>
          <w:tcPr>
            <w:tcW w:w="9079" w:type="dxa"/>
          </w:tcPr>
          <w:p w14:paraId="435A8195" w14:textId="2277CC9F" w:rsidR="0032583B" w:rsidRPr="008E7846" w:rsidRDefault="00460036" w:rsidP="009556D7">
            <w:pPr>
              <w:pStyle w:val="Subtitle"/>
              <w:framePr w:hSpace="0" w:wrap="auto" w:vAnchor="margin" w:yAlign="inline"/>
            </w:pPr>
            <w:r>
              <w:t xml:space="preserve">Sponsor: </w:t>
            </w:r>
            <w:r w:rsidR="003A51F3">
              <w:t>Abb</w:t>
            </w:r>
            <w:r w:rsidR="00323F27">
              <w:t>V</w:t>
            </w:r>
            <w:r w:rsidR="003A51F3">
              <w:t>ie Pty Ltd</w:t>
            </w:r>
          </w:p>
        </w:tc>
      </w:tr>
    </w:tbl>
    <w:p w14:paraId="2346CE82" w14:textId="77777777" w:rsidR="008E7846" w:rsidRPr="0085156D" w:rsidRDefault="008E7846" w:rsidP="0085156D">
      <w:r w:rsidRPr="0085156D">
        <w:br w:type="page"/>
      </w:r>
    </w:p>
    <w:p w14:paraId="6E6D10B1" w14:textId="77777777" w:rsidR="008E7846" w:rsidRPr="001F6CBA" w:rsidRDefault="008E7846" w:rsidP="008E7846">
      <w:pPr>
        <w:pStyle w:val="NonTOCHeading2"/>
      </w:pPr>
      <w:r w:rsidRPr="001F6CBA">
        <w:lastRenderedPageBreak/>
        <w:t>About the Therapeutic Goods Administration (TGA)</w:t>
      </w:r>
    </w:p>
    <w:p w14:paraId="6926415F" w14:textId="2EAA7C59" w:rsidR="00AF2313" w:rsidRPr="00391B0C" w:rsidRDefault="00AF2313" w:rsidP="00AF2313">
      <w:pPr>
        <w:pStyle w:val="ListBullet"/>
      </w:pPr>
      <w:r w:rsidRPr="00391B0C">
        <w:t>The Therapeutic Goods Administration (TGA) is part of the Australian Government Department of Health</w:t>
      </w:r>
      <w:r w:rsidR="003A51F3">
        <w:t xml:space="preserve"> and Aged Care</w:t>
      </w:r>
      <w:r w:rsidRPr="00391B0C">
        <w:t xml:space="preserve"> and is responsible for regulating therapeutic goods, including medicines, medical devices, and biologicals.</w:t>
      </w:r>
    </w:p>
    <w:p w14:paraId="7BA6C914"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487CEFDD"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C0AC4D4"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442DE729" w14:textId="67C45419"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3009EA56" w14:textId="77777777" w:rsidR="008E7846" w:rsidRDefault="008E7846" w:rsidP="00875A6B">
      <w:pPr>
        <w:pStyle w:val="NonTOCHeading2"/>
      </w:pPr>
      <w:r>
        <w:t xml:space="preserve">About </w:t>
      </w:r>
      <w:proofErr w:type="spellStart"/>
      <w:r>
        <w:t>AusPARs</w:t>
      </w:r>
      <w:proofErr w:type="spellEnd"/>
    </w:p>
    <w:p w14:paraId="076FA1F0" w14:textId="71DB2DC7"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60A42C9B"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15502DE6"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3FFD8022"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B297F4D" w14:textId="77777777" w:rsidR="00924482" w:rsidRPr="00DF1D7F" w:rsidRDefault="00924482" w:rsidP="00F54B65">
      <w:pPr>
        <w:pStyle w:val="LegalSubheading"/>
        <w:spacing w:before="3120"/>
      </w:pPr>
      <w:r w:rsidRPr="00DF1D7F">
        <w:lastRenderedPageBreak/>
        <w:t>Copyright</w:t>
      </w:r>
    </w:p>
    <w:p w14:paraId="02059CD8" w14:textId="00781E50"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CD64F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2C5EC54A"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AC371EA" w14:textId="77777777" w:rsidR="0089635C" w:rsidRPr="0089635C" w:rsidRDefault="0089635C" w:rsidP="0010788A">
          <w:pPr>
            <w:pStyle w:val="Contents"/>
          </w:pPr>
          <w:r w:rsidRPr="0010788A">
            <w:t>Contents</w:t>
          </w:r>
        </w:p>
        <w:p w14:paraId="1111F43E" w14:textId="34ABFA8D" w:rsidR="00051287"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8033637" w:history="1">
            <w:r w:rsidR="00051287" w:rsidRPr="006A0C45">
              <w:rPr>
                <w:rStyle w:val="Hyperlink"/>
                <w:noProof/>
              </w:rPr>
              <w:t>List of abbreviations</w:t>
            </w:r>
            <w:r w:rsidR="00051287">
              <w:rPr>
                <w:noProof/>
                <w:webHidden/>
              </w:rPr>
              <w:tab/>
            </w:r>
            <w:r w:rsidR="00051287">
              <w:rPr>
                <w:noProof/>
                <w:webHidden/>
              </w:rPr>
              <w:fldChar w:fldCharType="begin"/>
            </w:r>
            <w:r w:rsidR="00051287">
              <w:rPr>
                <w:noProof/>
                <w:webHidden/>
              </w:rPr>
              <w:instrText xml:space="preserve"> PAGEREF _Toc128033637 \h </w:instrText>
            </w:r>
            <w:r w:rsidR="00051287">
              <w:rPr>
                <w:noProof/>
                <w:webHidden/>
              </w:rPr>
            </w:r>
            <w:r w:rsidR="00051287">
              <w:rPr>
                <w:noProof/>
                <w:webHidden/>
              </w:rPr>
              <w:fldChar w:fldCharType="separate"/>
            </w:r>
            <w:r w:rsidR="00051287">
              <w:rPr>
                <w:noProof/>
                <w:webHidden/>
              </w:rPr>
              <w:t>4</w:t>
            </w:r>
            <w:r w:rsidR="00051287">
              <w:rPr>
                <w:noProof/>
                <w:webHidden/>
              </w:rPr>
              <w:fldChar w:fldCharType="end"/>
            </w:r>
          </w:hyperlink>
        </w:p>
        <w:p w14:paraId="78D39D5A" w14:textId="595F6C54" w:rsidR="00051287" w:rsidRDefault="00EF1959">
          <w:pPr>
            <w:pStyle w:val="TOC1"/>
            <w:rPr>
              <w:rFonts w:asciiTheme="minorHAnsi" w:eastAsiaTheme="minorEastAsia" w:hAnsiTheme="minorHAnsi" w:cstheme="minorBidi"/>
              <w:b w:val="0"/>
              <w:noProof/>
              <w:sz w:val="22"/>
              <w:lang w:eastAsia="en-AU"/>
            </w:rPr>
          </w:pPr>
          <w:hyperlink w:anchor="_Toc128033638" w:history="1">
            <w:r w:rsidR="00051287" w:rsidRPr="006A0C45">
              <w:rPr>
                <w:rStyle w:val="Hyperlink"/>
                <w:noProof/>
              </w:rPr>
              <w:t>Product submission</w:t>
            </w:r>
            <w:r w:rsidR="00051287">
              <w:rPr>
                <w:noProof/>
                <w:webHidden/>
              </w:rPr>
              <w:tab/>
            </w:r>
            <w:r w:rsidR="00051287">
              <w:rPr>
                <w:noProof/>
                <w:webHidden/>
              </w:rPr>
              <w:fldChar w:fldCharType="begin"/>
            </w:r>
            <w:r w:rsidR="00051287">
              <w:rPr>
                <w:noProof/>
                <w:webHidden/>
              </w:rPr>
              <w:instrText xml:space="preserve"> PAGEREF _Toc128033638 \h </w:instrText>
            </w:r>
            <w:r w:rsidR="00051287">
              <w:rPr>
                <w:noProof/>
                <w:webHidden/>
              </w:rPr>
            </w:r>
            <w:r w:rsidR="00051287">
              <w:rPr>
                <w:noProof/>
                <w:webHidden/>
              </w:rPr>
              <w:fldChar w:fldCharType="separate"/>
            </w:r>
            <w:r w:rsidR="00051287">
              <w:rPr>
                <w:noProof/>
                <w:webHidden/>
              </w:rPr>
              <w:t>6</w:t>
            </w:r>
            <w:r w:rsidR="00051287">
              <w:rPr>
                <w:noProof/>
                <w:webHidden/>
              </w:rPr>
              <w:fldChar w:fldCharType="end"/>
            </w:r>
          </w:hyperlink>
        </w:p>
        <w:p w14:paraId="694873B0" w14:textId="77EA65B8" w:rsidR="00051287" w:rsidRDefault="00EF1959">
          <w:pPr>
            <w:pStyle w:val="TOC2"/>
            <w:rPr>
              <w:rFonts w:asciiTheme="minorHAnsi" w:eastAsiaTheme="minorEastAsia" w:hAnsiTheme="minorHAnsi" w:cstheme="minorBidi"/>
              <w:b w:val="0"/>
              <w:noProof/>
              <w:sz w:val="22"/>
              <w:lang w:eastAsia="en-AU"/>
            </w:rPr>
          </w:pPr>
          <w:hyperlink w:anchor="_Toc128033639" w:history="1">
            <w:r w:rsidR="00051287" w:rsidRPr="006A0C45">
              <w:rPr>
                <w:rStyle w:val="Hyperlink"/>
                <w:noProof/>
                <w:lang w:eastAsia="en-AU"/>
              </w:rPr>
              <w:t>Submission details</w:t>
            </w:r>
            <w:r w:rsidR="00051287">
              <w:rPr>
                <w:noProof/>
                <w:webHidden/>
              </w:rPr>
              <w:tab/>
            </w:r>
            <w:r w:rsidR="00051287">
              <w:rPr>
                <w:noProof/>
                <w:webHidden/>
              </w:rPr>
              <w:fldChar w:fldCharType="begin"/>
            </w:r>
            <w:r w:rsidR="00051287">
              <w:rPr>
                <w:noProof/>
                <w:webHidden/>
              </w:rPr>
              <w:instrText xml:space="preserve"> PAGEREF _Toc128033639 \h </w:instrText>
            </w:r>
            <w:r w:rsidR="00051287">
              <w:rPr>
                <w:noProof/>
                <w:webHidden/>
              </w:rPr>
            </w:r>
            <w:r w:rsidR="00051287">
              <w:rPr>
                <w:noProof/>
                <w:webHidden/>
              </w:rPr>
              <w:fldChar w:fldCharType="separate"/>
            </w:r>
            <w:r w:rsidR="00051287">
              <w:rPr>
                <w:noProof/>
                <w:webHidden/>
              </w:rPr>
              <w:t>6</w:t>
            </w:r>
            <w:r w:rsidR="00051287">
              <w:rPr>
                <w:noProof/>
                <w:webHidden/>
              </w:rPr>
              <w:fldChar w:fldCharType="end"/>
            </w:r>
          </w:hyperlink>
        </w:p>
        <w:p w14:paraId="1B8B19A8" w14:textId="797C927A" w:rsidR="00051287" w:rsidRDefault="00EF1959">
          <w:pPr>
            <w:pStyle w:val="TOC2"/>
            <w:rPr>
              <w:rFonts w:asciiTheme="minorHAnsi" w:eastAsiaTheme="minorEastAsia" w:hAnsiTheme="minorHAnsi" w:cstheme="minorBidi"/>
              <w:b w:val="0"/>
              <w:noProof/>
              <w:sz w:val="22"/>
              <w:lang w:eastAsia="en-AU"/>
            </w:rPr>
          </w:pPr>
          <w:hyperlink w:anchor="_Toc128033640" w:history="1">
            <w:r w:rsidR="00051287" w:rsidRPr="006A0C45">
              <w:rPr>
                <w:rStyle w:val="Hyperlink"/>
                <w:noProof/>
              </w:rPr>
              <w:t>Product background</w:t>
            </w:r>
            <w:r w:rsidR="00051287">
              <w:rPr>
                <w:noProof/>
                <w:webHidden/>
              </w:rPr>
              <w:tab/>
            </w:r>
            <w:r w:rsidR="00051287">
              <w:rPr>
                <w:noProof/>
                <w:webHidden/>
              </w:rPr>
              <w:fldChar w:fldCharType="begin"/>
            </w:r>
            <w:r w:rsidR="00051287">
              <w:rPr>
                <w:noProof/>
                <w:webHidden/>
              </w:rPr>
              <w:instrText xml:space="preserve"> PAGEREF _Toc128033640 \h </w:instrText>
            </w:r>
            <w:r w:rsidR="00051287">
              <w:rPr>
                <w:noProof/>
                <w:webHidden/>
              </w:rPr>
            </w:r>
            <w:r w:rsidR="00051287">
              <w:rPr>
                <w:noProof/>
                <w:webHidden/>
              </w:rPr>
              <w:fldChar w:fldCharType="separate"/>
            </w:r>
            <w:r w:rsidR="00051287">
              <w:rPr>
                <w:noProof/>
                <w:webHidden/>
              </w:rPr>
              <w:t>7</w:t>
            </w:r>
            <w:r w:rsidR="00051287">
              <w:rPr>
                <w:noProof/>
                <w:webHidden/>
              </w:rPr>
              <w:fldChar w:fldCharType="end"/>
            </w:r>
          </w:hyperlink>
        </w:p>
        <w:p w14:paraId="4263F907" w14:textId="40A71F55" w:rsidR="00051287" w:rsidRDefault="00EF1959">
          <w:pPr>
            <w:pStyle w:val="TOC2"/>
            <w:rPr>
              <w:rFonts w:asciiTheme="minorHAnsi" w:eastAsiaTheme="minorEastAsia" w:hAnsiTheme="minorHAnsi" w:cstheme="minorBidi"/>
              <w:b w:val="0"/>
              <w:noProof/>
              <w:sz w:val="22"/>
              <w:lang w:eastAsia="en-AU"/>
            </w:rPr>
          </w:pPr>
          <w:hyperlink w:anchor="_Toc128033641" w:history="1">
            <w:r w:rsidR="00051287" w:rsidRPr="006A0C45">
              <w:rPr>
                <w:rStyle w:val="Hyperlink"/>
                <w:noProof/>
              </w:rPr>
              <w:t>Regulatory status</w:t>
            </w:r>
            <w:r w:rsidR="00051287">
              <w:rPr>
                <w:noProof/>
                <w:webHidden/>
              </w:rPr>
              <w:tab/>
            </w:r>
            <w:r w:rsidR="00051287">
              <w:rPr>
                <w:noProof/>
                <w:webHidden/>
              </w:rPr>
              <w:fldChar w:fldCharType="begin"/>
            </w:r>
            <w:r w:rsidR="00051287">
              <w:rPr>
                <w:noProof/>
                <w:webHidden/>
              </w:rPr>
              <w:instrText xml:space="preserve"> PAGEREF _Toc128033641 \h </w:instrText>
            </w:r>
            <w:r w:rsidR="00051287">
              <w:rPr>
                <w:noProof/>
                <w:webHidden/>
              </w:rPr>
            </w:r>
            <w:r w:rsidR="00051287">
              <w:rPr>
                <w:noProof/>
                <w:webHidden/>
              </w:rPr>
              <w:fldChar w:fldCharType="separate"/>
            </w:r>
            <w:r w:rsidR="00051287">
              <w:rPr>
                <w:noProof/>
                <w:webHidden/>
              </w:rPr>
              <w:t>8</w:t>
            </w:r>
            <w:r w:rsidR="00051287">
              <w:rPr>
                <w:noProof/>
                <w:webHidden/>
              </w:rPr>
              <w:fldChar w:fldCharType="end"/>
            </w:r>
          </w:hyperlink>
        </w:p>
        <w:p w14:paraId="105567D3" w14:textId="238A7025" w:rsidR="00051287" w:rsidRDefault="00EF1959">
          <w:pPr>
            <w:pStyle w:val="TOC2"/>
            <w:rPr>
              <w:rFonts w:asciiTheme="minorHAnsi" w:eastAsiaTheme="minorEastAsia" w:hAnsiTheme="minorHAnsi" w:cstheme="minorBidi"/>
              <w:b w:val="0"/>
              <w:noProof/>
              <w:sz w:val="22"/>
              <w:lang w:eastAsia="en-AU"/>
            </w:rPr>
          </w:pPr>
          <w:hyperlink w:anchor="_Toc128033642" w:history="1">
            <w:r w:rsidR="00051287" w:rsidRPr="006A0C45">
              <w:rPr>
                <w:rStyle w:val="Hyperlink"/>
                <w:noProof/>
              </w:rPr>
              <w:t>Product Information</w:t>
            </w:r>
            <w:r w:rsidR="00051287">
              <w:rPr>
                <w:noProof/>
                <w:webHidden/>
              </w:rPr>
              <w:tab/>
            </w:r>
            <w:r w:rsidR="00051287">
              <w:rPr>
                <w:noProof/>
                <w:webHidden/>
              </w:rPr>
              <w:fldChar w:fldCharType="begin"/>
            </w:r>
            <w:r w:rsidR="00051287">
              <w:rPr>
                <w:noProof/>
                <w:webHidden/>
              </w:rPr>
              <w:instrText xml:space="preserve"> PAGEREF _Toc128033642 \h </w:instrText>
            </w:r>
            <w:r w:rsidR="00051287">
              <w:rPr>
                <w:noProof/>
                <w:webHidden/>
              </w:rPr>
            </w:r>
            <w:r w:rsidR="00051287">
              <w:rPr>
                <w:noProof/>
                <w:webHidden/>
              </w:rPr>
              <w:fldChar w:fldCharType="separate"/>
            </w:r>
            <w:r w:rsidR="00051287">
              <w:rPr>
                <w:noProof/>
                <w:webHidden/>
              </w:rPr>
              <w:t>10</w:t>
            </w:r>
            <w:r w:rsidR="00051287">
              <w:rPr>
                <w:noProof/>
                <w:webHidden/>
              </w:rPr>
              <w:fldChar w:fldCharType="end"/>
            </w:r>
          </w:hyperlink>
        </w:p>
        <w:p w14:paraId="377CBACE" w14:textId="5800384E" w:rsidR="00051287" w:rsidRDefault="00EF1959">
          <w:pPr>
            <w:pStyle w:val="TOC1"/>
            <w:rPr>
              <w:rFonts w:asciiTheme="minorHAnsi" w:eastAsiaTheme="minorEastAsia" w:hAnsiTheme="minorHAnsi" w:cstheme="minorBidi"/>
              <w:b w:val="0"/>
              <w:noProof/>
              <w:sz w:val="22"/>
              <w:lang w:eastAsia="en-AU"/>
            </w:rPr>
          </w:pPr>
          <w:hyperlink w:anchor="_Toc128033643" w:history="1">
            <w:r w:rsidR="00051287" w:rsidRPr="006A0C45">
              <w:rPr>
                <w:rStyle w:val="Hyperlink"/>
                <w:noProof/>
              </w:rPr>
              <w:t>Registration timeline</w:t>
            </w:r>
            <w:r w:rsidR="00051287">
              <w:rPr>
                <w:noProof/>
                <w:webHidden/>
              </w:rPr>
              <w:tab/>
            </w:r>
            <w:r w:rsidR="00051287">
              <w:rPr>
                <w:noProof/>
                <w:webHidden/>
              </w:rPr>
              <w:fldChar w:fldCharType="begin"/>
            </w:r>
            <w:r w:rsidR="00051287">
              <w:rPr>
                <w:noProof/>
                <w:webHidden/>
              </w:rPr>
              <w:instrText xml:space="preserve"> PAGEREF _Toc128033643 \h </w:instrText>
            </w:r>
            <w:r w:rsidR="00051287">
              <w:rPr>
                <w:noProof/>
                <w:webHidden/>
              </w:rPr>
            </w:r>
            <w:r w:rsidR="00051287">
              <w:rPr>
                <w:noProof/>
                <w:webHidden/>
              </w:rPr>
              <w:fldChar w:fldCharType="separate"/>
            </w:r>
            <w:r w:rsidR="00051287">
              <w:rPr>
                <w:noProof/>
                <w:webHidden/>
              </w:rPr>
              <w:t>10</w:t>
            </w:r>
            <w:r w:rsidR="00051287">
              <w:rPr>
                <w:noProof/>
                <w:webHidden/>
              </w:rPr>
              <w:fldChar w:fldCharType="end"/>
            </w:r>
          </w:hyperlink>
        </w:p>
        <w:p w14:paraId="471750AB" w14:textId="42F80536" w:rsidR="00051287" w:rsidRDefault="00EF1959">
          <w:pPr>
            <w:pStyle w:val="TOC1"/>
            <w:rPr>
              <w:rFonts w:asciiTheme="minorHAnsi" w:eastAsiaTheme="minorEastAsia" w:hAnsiTheme="minorHAnsi" w:cstheme="minorBidi"/>
              <w:b w:val="0"/>
              <w:noProof/>
              <w:sz w:val="22"/>
              <w:lang w:eastAsia="en-AU"/>
            </w:rPr>
          </w:pPr>
          <w:hyperlink w:anchor="_Toc128033644" w:history="1">
            <w:r w:rsidR="00051287" w:rsidRPr="006A0C45">
              <w:rPr>
                <w:rStyle w:val="Hyperlink"/>
                <w:noProof/>
              </w:rPr>
              <w:t>Submission overview and risk/benefit assessment</w:t>
            </w:r>
            <w:r w:rsidR="00051287">
              <w:rPr>
                <w:noProof/>
                <w:webHidden/>
              </w:rPr>
              <w:tab/>
            </w:r>
            <w:r w:rsidR="00051287">
              <w:rPr>
                <w:noProof/>
                <w:webHidden/>
              </w:rPr>
              <w:fldChar w:fldCharType="begin"/>
            </w:r>
            <w:r w:rsidR="00051287">
              <w:rPr>
                <w:noProof/>
                <w:webHidden/>
              </w:rPr>
              <w:instrText xml:space="preserve"> PAGEREF _Toc128033644 \h </w:instrText>
            </w:r>
            <w:r w:rsidR="00051287">
              <w:rPr>
                <w:noProof/>
                <w:webHidden/>
              </w:rPr>
            </w:r>
            <w:r w:rsidR="00051287">
              <w:rPr>
                <w:noProof/>
                <w:webHidden/>
              </w:rPr>
              <w:fldChar w:fldCharType="separate"/>
            </w:r>
            <w:r w:rsidR="00051287">
              <w:rPr>
                <w:noProof/>
                <w:webHidden/>
              </w:rPr>
              <w:t>11</w:t>
            </w:r>
            <w:r w:rsidR="00051287">
              <w:rPr>
                <w:noProof/>
                <w:webHidden/>
              </w:rPr>
              <w:fldChar w:fldCharType="end"/>
            </w:r>
          </w:hyperlink>
        </w:p>
        <w:p w14:paraId="647E962C" w14:textId="144EB958" w:rsidR="00051287" w:rsidRDefault="00EF1959">
          <w:pPr>
            <w:pStyle w:val="TOC2"/>
            <w:rPr>
              <w:rFonts w:asciiTheme="minorHAnsi" w:eastAsiaTheme="minorEastAsia" w:hAnsiTheme="minorHAnsi" w:cstheme="minorBidi"/>
              <w:b w:val="0"/>
              <w:noProof/>
              <w:sz w:val="22"/>
              <w:lang w:eastAsia="en-AU"/>
            </w:rPr>
          </w:pPr>
          <w:hyperlink w:anchor="_Toc128033645" w:history="1">
            <w:r w:rsidR="00051287" w:rsidRPr="006A0C45">
              <w:rPr>
                <w:rStyle w:val="Hyperlink"/>
                <w:noProof/>
              </w:rPr>
              <w:t>Quality</w:t>
            </w:r>
            <w:r w:rsidR="00051287">
              <w:rPr>
                <w:noProof/>
                <w:webHidden/>
              </w:rPr>
              <w:tab/>
            </w:r>
            <w:r w:rsidR="00051287">
              <w:rPr>
                <w:noProof/>
                <w:webHidden/>
              </w:rPr>
              <w:fldChar w:fldCharType="begin"/>
            </w:r>
            <w:r w:rsidR="00051287">
              <w:rPr>
                <w:noProof/>
                <w:webHidden/>
              </w:rPr>
              <w:instrText xml:space="preserve"> PAGEREF _Toc128033645 \h </w:instrText>
            </w:r>
            <w:r w:rsidR="00051287">
              <w:rPr>
                <w:noProof/>
                <w:webHidden/>
              </w:rPr>
            </w:r>
            <w:r w:rsidR="00051287">
              <w:rPr>
                <w:noProof/>
                <w:webHidden/>
              </w:rPr>
              <w:fldChar w:fldCharType="separate"/>
            </w:r>
            <w:r w:rsidR="00051287">
              <w:rPr>
                <w:noProof/>
                <w:webHidden/>
              </w:rPr>
              <w:t>11</w:t>
            </w:r>
            <w:r w:rsidR="00051287">
              <w:rPr>
                <w:noProof/>
                <w:webHidden/>
              </w:rPr>
              <w:fldChar w:fldCharType="end"/>
            </w:r>
          </w:hyperlink>
        </w:p>
        <w:p w14:paraId="6753FEF5" w14:textId="059DC4CA" w:rsidR="00051287" w:rsidRDefault="00EF1959">
          <w:pPr>
            <w:pStyle w:val="TOC2"/>
            <w:rPr>
              <w:rFonts w:asciiTheme="minorHAnsi" w:eastAsiaTheme="minorEastAsia" w:hAnsiTheme="minorHAnsi" w:cstheme="minorBidi"/>
              <w:b w:val="0"/>
              <w:noProof/>
              <w:sz w:val="22"/>
              <w:lang w:eastAsia="en-AU"/>
            </w:rPr>
          </w:pPr>
          <w:hyperlink w:anchor="_Toc128033646" w:history="1">
            <w:r w:rsidR="00051287" w:rsidRPr="006A0C45">
              <w:rPr>
                <w:rStyle w:val="Hyperlink"/>
                <w:noProof/>
              </w:rPr>
              <w:t>Nonclinical</w:t>
            </w:r>
            <w:r w:rsidR="00051287">
              <w:rPr>
                <w:noProof/>
                <w:webHidden/>
              </w:rPr>
              <w:tab/>
            </w:r>
            <w:r w:rsidR="00051287">
              <w:rPr>
                <w:noProof/>
                <w:webHidden/>
              </w:rPr>
              <w:fldChar w:fldCharType="begin"/>
            </w:r>
            <w:r w:rsidR="00051287">
              <w:rPr>
                <w:noProof/>
                <w:webHidden/>
              </w:rPr>
              <w:instrText xml:space="preserve"> PAGEREF _Toc128033646 \h </w:instrText>
            </w:r>
            <w:r w:rsidR="00051287">
              <w:rPr>
                <w:noProof/>
                <w:webHidden/>
              </w:rPr>
            </w:r>
            <w:r w:rsidR="00051287">
              <w:rPr>
                <w:noProof/>
                <w:webHidden/>
              </w:rPr>
              <w:fldChar w:fldCharType="separate"/>
            </w:r>
            <w:r w:rsidR="00051287">
              <w:rPr>
                <w:noProof/>
                <w:webHidden/>
              </w:rPr>
              <w:t>12</w:t>
            </w:r>
            <w:r w:rsidR="00051287">
              <w:rPr>
                <w:noProof/>
                <w:webHidden/>
              </w:rPr>
              <w:fldChar w:fldCharType="end"/>
            </w:r>
          </w:hyperlink>
        </w:p>
        <w:p w14:paraId="1C68E934" w14:textId="02DE2616" w:rsidR="00051287" w:rsidRDefault="00EF1959">
          <w:pPr>
            <w:pStyle w:val="TOC2"/>
            <w:rPr>
              <w:rFonts w:asciiTheme="minorHAnsi" w:eastAsiaTheme="minorEastAsia" w:hAnsiTheme="minorHAnsi" w:cstheme="minorBidi"/>
              <w:b w:val="0"/>
              <w:noProof/>
              <w:sz w:val="22"/>
              <w:lang w:eastAsia="en-AU"/>
            </w:rPr>
          </w:pPr>
          <w:hyperlink w:anchor="_Toc128033647" w:history="1">
            <w:r w:rsidR="00051287" w:rsidRPr="006A0C45">
              <w:rPr>
                <w:rStyle w:val="Hyperlink"/>
                <w:noProof/>
              </w:rPr>
              <w:t>Clinical</w:t>
            </w:r>
            <w:r w:rsidR="00051287">
              <w:rPr>
                <w:noProof/>
                <w:webHidden/>
              </w:rPr>
              <w:tab/>
            </w:r>
            <w:r w:rsidR="00051287">
              <w:rPr>
                <w:noProof/>
                <w:webHidden/>
              </w:rPr>
              <w:fldChar w:fldCharType="begin"/>
            </w:r>
            <w:r w:rsidR="00051287">
              <w:rPr>
                <w:noProof/>
                <w:webHidden/>
              </w:rPr>
              <w:instrText xml:space="preserve"> PAGEREF _Toc128033647 \h </w:instrText>
            </w:r>
            <w:r w:rsidR="00051287">
              <w:rPr>
                <w:noProof/>
                <w:webHidden/>
              </w:rPr>
            </w:r>
            <w:r w:rsidR="00051287">
              <w:rPr>
                <w:noProof/>
                <w:webHidden/>
              </w:rPr>
              <w:fldChar w:fldCharType="separate"/>
            </w:r>
            <w:r w:rsidR="00051287">
              <w:rPr>
                <w:noProof/>
                <w:webHidden/>
              </w:rPr>
              <w:t>13</w:t>
            </w:r>
            <w:r w:rsidR="00051287">
              <w:rPr>
                <w:noProof/>
                <w:webHidden/>
              </w:rPr>
              <w:fldChar w:fldCharType="end"/>
            </w:r>
          </w:hyperlink>
        </w:p>
        <w:p w14:paraId="7FC72E74" w14:textId="67A29FAE" w:rsidR="00051287" w:rsidRDefault="00EF1959">
          <w:pPr>
            <w:pStyle w:val="TOC2"/>
            <w:rPr>
              <w:rFonts w:asciiTheme="minorHAnsi" w:eastAsiaTheme="minorEastAsia" w:hAnsiTheme="minorHAnsi" w:cstheme="minorBidi"/>
              <w:b w:val="0"/>
              <w:noProof/>
              <w:sz w:val="22"/>
              <w:lang w:eastAsia="en-AU"/>
            </w:rPr>
          </w:pPr>
          <w:hyperlink w:anchor="_Toc128033648" w:history="1">
            <w:r w:rsidR="00051287" w:rsidRPr="006A0C45">
              <w:rPr>
                <w:rStyle w:val="Hyperlink"/>
                <w:noProof/>
                <w:lang w:eastAsia="en-AU"/>
              </w:rPr>
              <w:t>Risk management plan</w:t>
            </w:r>
            <w:r w:rsidR="00051287">
              <w:rPr>
                <w:noProof/>
                <w:webHidden/>
              </w:rPr>
              <w:tab/>
            </w:r>
            <w:r w:rsidR="00051287">
              <w:rPr>
                <w:noProof/>
                <w:webHidden/>
              </w:rPr>
              <w:fldChar w:fldCharType="begin"/>
            </w:r>
            <w:r w:rsidR="00051287">
              <w:rPr>
                <w:noProof/>
                <w:webHidden/>
              </w:rPr>
              <w:instrText xml:space="preserve"> PAGEREF _Toc128033648 \h </w:instrText>
            </w:r>
            <w:r w:rsidR="00051287">
              <w:rPr>
                <w:noProof/>
                <w:webHidden/>
              </w:rPr>
            </w:r>
            <w:r w:rsidR="00051287">
              <w:rPr>
                <w:noProof/>
                <w:webHidden/>
              </w:rPr>
              <w:fldChar w:fldCharType="separate"/>
            </w:r>
            <w:r w:rsidR="00051287">
              <w:rPr>
                <w:noProof/>
                <w:webHidden/>
              </w:rPr>
              <w:t>24</w:t>
            </w:r>
            <w:r w:rsidR="00051287">
              <w:rPr>
                <w:noProof/>
                <w:webHidden/>
              </w:rPr>
              <w:fldChar w:fldCharType="end"/>
            </w:r>
          </w:hyperlink>
        </w:p>
        <w:p w14:paraId="174E0BAF" w14:textId="0BC68162" w:rsidR="00051287" w:rsidRDefault="00EF1959">
          <w:pPr>
            <w:pStyle w:val="TOC2"/>
            <w:rPr>
              <w:rFonts w:asciiTheme="minorHAnsi" w:eastAsiaTheme="minorEastAsia" w:hAnsiTheme="minorHAnsi" w:cstheme="minorBidi"/>
              <w:b w:val="0"/>
              <w:noProof/>
              <w:sz w:val="22"/>
              <w:lang w:eastAsia="en-AU"/>
            </w:rPr>
          </w:pPr>
          <w:hyperlink w:anchor="_Toc128033649" w:history="1">
            <w:r w:rsidR="00051287" w:rsidRPr="006A0C45">
              <w:rPr>
                <w:rStyle w:val="Hyperlink"/>
                <w:noProof/>
              </w:rPr>
              <w:t>Risk-benefit analysis</w:t>
            </w:r>
            <w:r w:rsidR="00051287">
              <w:rPr>
                <w:noProof/>
                <w:webHidden/>
              </w:rPr>
              <w:tab/>
            </w:r>
            <w:r w:rsidR="00051287">
              <w:rPr>
                <w:noProof/>
                <w:webHidden/>
              </w:rPr>
              <w:fldChar w:fldCharType="begin"/>
            </w:r>
            <w:r w:rsidR="00051287">
              <w:rPr>
                <w:noProof/>
                <w:webHidden/>
              </w:rPr>
              <w:instrText xml:space="preserve"> PAGEREF _Toc128033649 \h </w:instrText>
            </w:r>
            <w:r w:rsidR="00051287">
              <w:rPr>
                <w:noProof/>
                <w:webHidden/>
              </w:rPr>
            </w:r>
            <w:r w:rsidR="00051287">
              <w:rPr>
                <w:noProof/>
                <w:webHidden/>
              </w:rPr>
              <w:fldChar w:fldCharType="separate"/>
            </w:r>
            <w:r w:rsidR="00051287">
              <w:rPr>
                <w:noProof/>
                <w:webHidden/>
              </w:rPr>
              <w:t>26</w:t>
            </w:r>
            <w:r w:rsidR="00051287">
              <w:rPr>
                <w:noProof/>
                <w:webHidden/>
              </w:rPr>
              <w:fldChar w:fldCharType="end"/>
            </w:r>
          </w:hyperlink>
        </w:p>
        <w:p w14:paraId="2822EFA6" w14:textId="6590F949" w:rsidR="00051287" w:rsidRDefault="00EF1959">
          <w:pPr>
            <w:pStyle w:val="TOC1"/>
            <w:rPr>
              <w:rFonts w:asciiTheme="minorHAnsi" w:eastAsiaTheme="minorEastAsia" w:hAnsiTheme="minorHAnsi" w:cstheme="minorBidi"/>
              <w:b w:val="0"/>
              <w:noProof/>
              <w:sz w:val="22"/>
              <w:lang w:eastAsia="en-AU"/>
            </w:rPr>
          </w:pPr>
          <w:hyperlink w:anchor="_Toc128033650" w:history="1">
            <w:r w:rsidR="00051287" w:rsidRPr="006A0C45">
              <w:rPr>
                <w:rStyle w:val="Hyperlink"/>
                <w:noProof/>
              </w:rPr>
              <w:t>Outcome</w:t>
            </w:r>
            <w:r w:rsidR="00051287">
              <w:rPr>
                <w:noProof/>
                <w:webHidden/>
              </w:rPr>
              <w:tab/>
            </w:r>
            <w:r w:rsidR="00051287">
              <w:rPr>
                <w:noProof/>
                <w:webHidden/>
              </w:rPr>
              <w:fldChar w:fldCharType="begin"/>
            </w:r>
            <w:r w:rsidR="00051287">
              <w:rPr>
                <w:noProof/>
                <w:webHidden/>
              </w:rPr>
              <w:instrText xml:space="preserve"> PAGEREF _Toc128033650 \h </w:instrText>
            </w:r>
            <w:r w:rsidR="00051287">
              <w:rPr>
                <w:noProof/>
                <w:webHidden/>
              </w:rPr>
            </w:r>
            <w:r w:rsidR="00051287">
              <w:rPr>
                <w:noProof/>
                <w:webHidden/>
              </w:rPr>
              <w:fldChar w:fldCharType="separate"/>
            </w:r>
            <w:r w:rsidR="00051287">
              <w:rPr>
                <w:noProof/>
                <w:webHidden/>
              </w:rPr>
              <w:t>29</w:t>
            </w:r>
            <w:r w:rsidR="00051287">
              <w:rPr>
                <w:noProof/>
                <w:webHidden/>
              </w:rPr>
              <w:fldChar w:fldCharType="end"/>
            </w:r>
          </w:hyperlink>
        </w:p>
        <w:p w14:paraId="5F507A2F" w14:textId="39015A54" w:rsidR="00051287" w:rsidRDefault="00EF1959">
          <w:pPr>
            <w:pStyle w:val="TOC2"/>
            <w:rPr>
              <w:rFonts w:asciiTheme="minorHAnsi" w:eastAsiaTheme="minorEastAsia" w:hAnsiTheme="minorHAnsi" w:cstheme="minorBidi"/>
              <w:b w:val="0"/>
              <w:noProof/>
              <w:sz w:val="22"/>
              <w:lang w:eastAsia="en-AU"/>
            </w:rPr>
          </w:pPr>
          <w:hyperlink w:anchor="_Toc128033651" w:history="1">
            <w:r w:rsidR="00051287" w:rsidRPr="006A0C45">
              <w:rPr>
                <w:rStyle w:val="Hyperlink"/>
                <w:noProof/>
              </w:rPr>
              <w:t>Specific conditions of registration applying to these goods</w:t>
            </w:r>
            <w:r w:rsidR="00051287">
              <w:rPr>
                <w:noProof/>
                <w:webHidden/>
              </w:rPr>
              <w:tab/>
            </w:r>
            <w:r w:rsidR="00051287">
              <w:rPr>
                <w:noProof/>
                <w:webHidden/>
              </w:rPr>
              <w:fldChar w:fldCharType="begin"/>
            </w:r>
            <w:r w:rsidR="00051287">
              <w:rPr>
                <w:noProof/>
                <w:webHidden/>
              </w:rPr>
              <w:instrText xml:space="preserve"> PAGEREF _Toc128033651 \h </w:instrText>
            </w:r>
            <w:r w:rsidR="00051287">
              <w:rPr>
                <w:noProof/>
                <w:webHidden/>
              </w:rPr>
            </w:r>
            <w:r w:rsidR="00051287">
              <w:rPr>
                <w:noProof/>
                <w:webHidden/>
              </w:rPr>
              <w:fldChar w:fldCharType="separate"/>
            </w:r>
            <w:r w:rsidR="00051287">
              <w:rPr>
                <w:noProof/>
                <w:webHidden/>
              </w:rPr>
              <w:t>30</w:t>
            </w:r>
            <w:r w:rsidR="00051287">
              <w:rPr>
                <w:noProof/>
                <w:webHidden/>
              </w:rPr>
              <w:fldChar w:fldCharType="end"/>
            </w:r>
          </w:hyperlink>
        </w:p>
        <w:p w14:paraId="2D6C56D6" w14:textId="53F8A200" w:rsidR="00051287" w:rsidRDefault="00EF1959">
          <w:pPr>
            <w:pStyle w:val="TOC1"/>
            <w:rPr>
              <w:rFonts w:asciiTheme="minorHAnsi" w:eastAsiaTheme="minorEastAsia" w:hAnsiTheme="minorHAnsi" w:cstheme="minorBidi"/>
              <w:b w:val="0"/>
              <w:noProof/>
              <w:sz w:val="22"/>
              <w:lang w:eastAsia="en-AU"/>
            </w:rPr>
          </w:pPr>
          <w:hyperlink w:anchor="_Toc128033652" w:history="1">
            <w:r w:rsidR="00051287" w:rsidRPr="006A0C45">
              <w:rPr>
                <w:rStyle w:val="Hyperlink"/>
                <w:noProof/>
              </w:rPr>
              <w:t>Attachment 1. Product Information</w:t>
            </w:r>
            <w:r w:rsidR="00051287">
              <w:rPr>
                <w:noProof/>
                <w:webHidden/>
              </w:rPr>
              <w:tab/>
            </w:r>
            <w:r w:rsidR="00051287">
              <w:rPr>
                <w:noProof/>
                <w:webHidden/>
              </w:rPr>
              <w:fldChar w:fldCharType="begin"/>
            </w:r>
            <w:r w:rsidR="00051287">
              <w:rPr>
                <w:noProof/>
                <w:webHidden/>
              </w:rPr>
              <w:instrText xml:space="preserve"> PAGEREF _Toc128033652 \h </w:instrText>
            </w:r>
            <w:r w:rsidR="00051287">
              <w:rPr>
                <w:noProof/>
                <w:webHidden/>
              </w:rPr>
            </w:r>
            <w:r w:rsidR="00051287">
              <w:rPr>
                <w:noProof/>
                <w:webHidden/>
              </w:rPr>
              <w:fldChar w:fldCharType="separate"/>
            </w:r>
            <w:r w:rsidR="00051287">
              <w:rPr>
                <w:noProof/>
                <w:webHidden/>
              </w:rPr>
              <w:t>30</w:t>
            </w:r>
            <w:r w:rsidR="00051287">
              <w:rPr>
                <w:noProof/>
                <w:webHidden/>
              </w:rPr>
              <w:fldChar w:fldCharType="end"/>
            </w:r>
          </w:hyperlink>
        </w:p>
        <w:p w14:paraId="207D7E1F" w14:textId="304C0997" w:rsidR="003A7F6C" w:rsidRPr="00B811C6" w:rsidRDefault="00C525A2" w:rsidP="00EB36D6">
          <w:r>
            <w:fldChar w:fldCharType="end"/>
          </w:r>
        </w:p>
      </w:sdtContent>
    </w:sdt>
    <w:bookmarkStart w:id="2" w:name="_Toc314842482" w:displacedByCustomXml="prev"/>
    <w:p w14:paraId="095C2483" w14:textId="77777777" w:rsidR="00FD119B" w:rsidRDefault="00FD119B">
      <w:pPr>
        <w:spacing w:before="0" w:after="200" w:line="0" w:lineRule="auto"/>
      </w:pPr>
      <w:r>
        <w:br w:type="page"/>
      </w:r>
    </w:p>
    <w:p w14:paraId="2EF16060" w14:textId="666FB820" w:rsidR="00AF2313" w:rsidRDefault="00AF2313" w:rsidP="00AF2313">
      <w:pPr>
        <w:pStyle w:val="Heading2"/>
      </w:pPr>
      <w:bookmarkStart w:id="3" w:name="_Toc98931917"/>
      <w:bookmarkStart w:id="4" w:name="_Toc128033637"/>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235C0D" w14:paraId="741FA3D6" w14:textId="77777777" w:rsidTr="00D92135">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64F925BF" w14:textId="77777777" w:rsidR="00235C0D" w:rsidRDefault="00235C0D" w:rsidP="00D92135">
            <w:pPr>
              <w:rPr>
                <w:color w:val="FFFFFF"/>
              </w:rPr>
            </w:pPr>
            <w:bookmarkStart w:id="5" w:name="_Hlk120022409"/>
            <w:r>
              <w:t>Abbreviation</w:t>
            </w:r>
          </w:p>
        </w:tc>
        <w:tc>
          <w:tcPr>
            <w:tcW w:w="3282" w:type="pct"/>
            <w:hideMark/>
          </w:tcPr>
          <w:p w14:paraId="4529EAC0" w14:textId="77777777" w:rsidR="00235C0D" w:rsidRDefault="00235C0D" w:rsidP="00D92135">
            <w:r>
              <w:t>Meaning</w:t>
            </w:r>
          </w:p>
        </w:tc>
      </w:tr>
      <w:tr w:rsidR="00235C0D" w14:paraId="776FC1B4"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7CDD2BA5" w14:textId="77777777" w:rsidR="00235C0D" w:rsidRPr="00713132" w:rsidRDefault="00235C0D" w:rsidP="00D92135">
            <w:pPr>
              <w:rPr>
                <w:color w:val="auto"/>
              </w:rPr>
            </w:pPr>
            <w:r w:rsidRPr="00713132">
              <w:rPr>
                <w:color w:val="auto"/>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4BE05027" w14:textId="77777777" w:rsidR="00235C0D" w:rsidRPr="00713132" w:rsidRDefault="00235C0D" w:rsidP="00D92135">
            <w:pPr>
              <w:rPr>
                <w:color w:val="auto"/>
              </w:rPr>
            </w:pPr>
            <w:r w:rsidRPr="00713132">
              <w:rPr>
                <w:color w:val="auto"/>
              </w:rPr>
              <w:t>Adverse event</w:t>
            </w:r>
          </w:p>
        </w:tc>
      </w:tr>
      <w:tr w:rsidR="00235C0D" w14:paraId="6D681491"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156718EB" w14:textId="77777777" w:rsidR="00235C0D" w:rsidRPr="00456D04" w:rsidRDefault="00235C0D" w:rsidP="00D92135">
            <w:pPr>
              <w:rPr>
                <w:color w:val="auto"/>
              </w:rPr>
            </w:pPr>
            <w:r w:rsidRPr="00456D04">
              <w:rPr>
                <w:color w:val="auto"/>
              </w:rPr>
              <w:t>ASA</w:t>
            </w:r>
          </w:p>
        </w:tc>
        <w:tc>
          <w:tcPr>
            <w:tcW w:w="3987" w:type="pct"/>
            <w:gridSpan w:val="2"/>
            <w:tcBorders>
              <w:top w:val="single" w:sz="8" w:space="0" w:color="002C47"/>
              <w:left w:val="single" w:sz="8" w:space="0" w:color="002C47"/>
              <w:bottom w:val="single" w:sz="8" w:space="0" w:color="002C47"/>
              <w:right w:val="single" w:sz="8" w:space="0" w:color="002C47"/>
            </w:tcBorders>
          </w:tcPr>
          <w:p w14:paraId="2F33B308" w14:textId="77777777" w:rsidR="00235C0D" w:rsidRPr="00456D04" w:rsidRDefault="00235C0D" w:rsidP="00D92135">
            <w:pPr>
              <w:rPr>
                <w:color w:val="auto"/>
              </w:rPr>
            </w:pPr>
            <w:r w:rsidRPr="00456D04">
              <w:rPr>
                <w:color w:val="auto"/>
              </w:rPr>
              <w:t>Australia specific annex</w:t>
            </w:r>
          </w:p>
        </w:tc>
      </w:tr>
      <w:tr w:rsidR="00235C0D" w14:paraId="275A286F"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4CE9F6A3" w14:textId="77777777" w:rsidR="00235C0D" w:rsidRPr="00456D04" w:rsidRDefault="00235C0D" w:rsidP="00D92135">
            <w:pPr>
              <w:rPr>
                <w:color w:val="auto"/>
              </w:rPr>
            </w:pPr>
            <w:proofErr w:type="spellStart"/>
            <w:r w:rsidRPr="00456D04">
              <w:rPr>
                <w:color w:val="auto"/>
              </w:rPr>
              <w:t>AusPAR</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6A79DB6" w14:textId="77777777" w:rsidR="00235C0D" w:rsidRPr="00456D04" w:rsidRDefault="00235C0D" w:rsidP="00D92135">
            <w:pPr>
              <w:rPr>
                <w:color w:val="auto"/>
              </w:rPr>
            </w:pPr>
            <w:r w:rsidRPr="00456D04">
              <w:rPr>
                <w:color w:val="auto"/>
              </w:rPr>
              <w:t>Australian Public Assessment Report</w:t>
            </w:r>
          </w:p>
        </w:tc>
      </w:tr>
      <w:tr w:rsidR="00235C0D" w14:paraId="31C83EF8"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48CDF195" w14:textId="77777777" w:rsidR="00235C0D" w:rsidRPr="007157C5" w:rsidRDefault="00235C0D" w:rsidP="00D92135">
            <w:pPr>
              <w:rPr>
                <w:color w:val="auto"/>
              </w:rPr>
            </w:pPr>
            <w:r w:rsidRPr="007157C5">
              <w:rPr>
                <w:color w:val="auto"/>
              </w:rPr>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1FB9B101" w14:textId="77777777" w:rsidR="00235C0D" w:rsidRPr="007157C5" w:rsidRDefault="00235C0D" w:rsidP="00D92135">
            <w:pPr>
              <w:rPr>
                <w:color w:val="auto"/>
              </w:rPr>
            </w:pPr>
            <w:r w:rsidRPr="007157C5">
              <w:rPr>
                <w:color w:val="auto"/>
              </w:rPr>
              <w:t>Area under the concentration time curve</w:t>
            </w:r>
          </w:p>
        </w:tc>
      </w:tr>
      <w:tr w:rsidR="00235C0D" w14:paraId="6A9FD716"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6A246E22" w14:textId="37387A91" w:rsidR="00235C0D" w:rsidRPr="007157C5" w:rsidRDefault="00235C0D" w:rsidP="00D92135">
            <w:r w:rsidRPr="0077516C">
              <w:t>AUC</w:t>
            </w:r>
            <w:r w:rsidRPr="0077516C">
              <w:rPr>
                <w:vertAlign w:val="subscript"/>
              </w:rPr>
              <w:t>0-24</w:t>
            </w:r>
            <w:r w:rsidR="00D92135">
              <w:rPr>
                <w:vertAlign w:val="subscript"/>
              </w:rPr>
              <w:t>h</w:t>
            </w:r>
          </w:p>
        </w:tc>
        <w:tc>
          <w:tcPr>
            <w:tcW w:w="3987" w:type="pct"/>
            <w:gridSpan w:val="2"/>
            <w:tcBorders>
              <w:top w:val="single" w:sz="8" w:space="0" w:color="002C47"/>
              <w:left w:val="single" w:sz="8" w:space="0" w:color="002C47"/>
              <w:bottom w:val="single" w:sz="8" w:space="0" w:color="002C47"/>
              <w:right w:val="single" w:sz="8" w:space="0" w:color="002C47"/>
            </w:tcBorders>
          </w:tcPr>
          <w:p w14:paraId="12A1F77B" w14:textId="68F1B345" w:rsidR="00235C0D" w:rsidRPr="007157C5" w:rsidRDefault="005821BF" w:rsidP="00D92135">
            <w:r w:rsidRPr="005821BF">
              <w:t>Area under the concentration time curve during 24 hours</w:t>
            </w:r>
          </w:p>
        </w:tc>
      </w:tr>
      <w:tr w:rsidR="00235C0D" w14:paraId="08266E94"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778F375B" w14:textId="77777777" w:rsidR="00235C0D" w:rsidRPr="00456D04" w:rsidRDefault="00235C0D" w:rsidP="00D92135">
            <w:pPr>
              <w:rPr>
                <w:color w:val="auto"/>
              </w:rPr>
            </w:pPr>
            <w:r w:rsidRPr="00456D04">
              <w:rPr>
                <w:color w:val="auto"/>
              </w:rP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4C4B847C" w14:textId="268C0E69" w:rsidR="00235C0D" w:rsidRPr="00456D04" w:rsidRDefault="00235C0D" w:rsidP="00D92135">
            <w:pPr>
              <w:rPr>
                <w:color w:val="auto"/>
              </w:rPr>
            </w:pPr>
            <w:r w:rsidRPr="00456D04">
              <w:rPr>
                <w:color w:val="auto"/>
              </w:rPr>
              <w:t xml:space="preserve">Consumer </w:t>
            </w:r>
            <w:r w:rsidR="00A53C83">
              <w:rPr>
                <w:color w:val="auto"/>
              </w:rPr>
              <w:t>M</w:t>
            </w:r>
            <w:r w:rsidRPr="00456D04">
              <w:rPr>
                <w:color w:val="auto"/>
              </w:rPr>
              <w:t xml:space="preserve">edicine </w:t>
            </w:r>
            <w:r w:rsidR="00A53C83">
              <w:rPr>
                <w:color w:val="auto"/>
              </w:rPr>
              <w:t>I</w:t>
            </w:r>
            <w:r w:rsidRPr="00456D04">
              <w:rPr>
                <w:color w:val="auto"/>
              </w:rPr>
              <w:t>nformation</w:t>
            </w:r>
          </w:p>
        </w:tc>
      </w:tr>
      <w:tr w:rsidR="00A53C83" w14:paraId="6B0AA0ED"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15CDA5B4" w14:textId="1629B38A" w:rsidR="00A53C83" w:rsidRPr="00456D04" w:rsidRDefault="00A53C83" w:rsidP="00A53C83">
            <w:r>
              <w:t>DAA</w:t>
            </w:r>
          </w:p>
        </w:tc>
        <w:tc>
          <w:tcPr>
            <w:tcW w:w="3987" w:type="pct"/>
            <w:gridSpan w:val="2"/>
            <w:tcBorders>
              <w:top w:val="single" w:sz="8" w:space="0" w:color="002C47"/>
              <w:left w:val="single" w:sz="8" w:space="0" w:color="002C47"/>
              <w:bottom w:val="single" w:sz="8" w:space="0" w:color="002C47"/>
              <w:right w:val="single" w:sz="8" w:space="0" w:color="002C47"/>
            </w:tcBorders>
          </w:tcPr>
          <w:p w14:paraId="0D5AAF7A" w14:textId="58D97798" w:rsidR="00A53C83" w:rsidRPr="00456D04" w:rsidRDefault="00A53C83" w:rsidP="00A53C83">
            <w:r>
              <w:t>Direct acting agent</w:t>
            </w:r>
          </w:p>
        </w:tc>
      </w:tr>
      <w:tr w:rsidR="00A53C83" w14:paraId="0D3936A8"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11CC9A7D" w14:textId="29CDE07B" w:rsidR="00A53C83" w:rsidRPr="00456D04" w:rsidRDefault="00A53C83" w:rsidP="00A53C83">
            <w:r>
              <w:t>DLP</w:t>
            </w:r>
          </w:p>
        </w:tc>
        <w:tc>
          <w:tcPr>
            <w:tcW w:w="3987" w:type="pct"/>
            <w:gridSpan w:val="2"/>
            <w:tcBorders>
              <w:top w:val="single" w:sz="8" w:space="0" w:color="002C47"/>
              <w:left w:val="single" w:sz="8" w:space="0" w:color="002C47"/>
              <w:bottom w:val="single" w:sz="8" w:space="0" w:color="002C47"/>
              <w:right w:val="single" w:sz="8" w:space="0" w:color="002C47"/>
            </w:tcBorders>
          </w:tcPr>
          <w:p w14:paraId="714F6095" w14:textId="5A29957D" w:rsidR="00A53C83" w:rsidRPr="00456D04" w:rsidRDefault="00A53C83" w:rsidP="00A53C83">
            <w:r>
              <w:t>Data lock point</w:t>
            </w:r>
          </w:p>
        </w:tc>
      </w:tr>
      <w:tr w:rsidR="00A53C83" w14:paraId="23C861AB"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456CDBF6" w14:textId="77777777" w:rsidR="00A53C83" w:rsidRPr="00456D04" w:rsidRDefault="00A53C83" w:rsidP="00A53C83">
            <w:pPr>
              <w:rPr>
                <w:color w:val="auto"/>
              </w:rPr>
            </w:pPr>
            <w:r w:rsidRPr="00456D04">
              <w:rPr>
                <w:color w:val="auto"/>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7C3F4F0B" w14:textId="77777777" w:rsidR="00A53C83" w:rsidRPr="00456D04" w:rsidRDefault="00A53C83" w:rsidP="00A53C83">
            <w:pPr>
              <w:rPr>
                <w:color w:val="auto"/>
              </w:rPr>
            </w:pPr>
            <w:r w:rsidRPr="00456D04">
              <w:rPr>
                <w:color w:val="auto"/>
              </w:rPr>
              <w:t>European Union</w:t>
            </w:r>
          </w:p>
        </w:tc>
      </w:tr>
      <w:tr w:rsidR="00A53C83" w14:paraId="6CD8D00C"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09D8B61A" w14:textId="03571967" w:rsidR="00A53C83" w:rsidRDefault="00A53C83" w:rsidP="00A53C83">
            <w:r w:rsidRPr="008B029D">
              <w:t>F1</w:t>
            </w:r>
          </w:p>
        </w:tc>
        <w:tc>
          <w:tcPr>
            <w:tcW w:w="3987" w:type="pct"/>
            <w:gridSpan w:val="2"/>
            <w:tcBorders>
              <w:top w:val="single" w:sz="8" w:space="0" w:color="002C47"/>
              <w:left w:val="single" w:sz="8" w:space="0" w:color="002C47"/>
              <w:bottom w:val="single" w:sz="8" w:space="0" w:color="002C47"/>
              <w:right w:val="single" w:sz="8" w:space="0" w:color="002C47"/>
            </w:tcBorders>
          </w:tcPr>
          <w:p w14:paraId="59CEC7EE" w14:textId="3D1203A1" w:rsidR="00A53C83" w:rsidRDefault="00A53C83" w:rsidP="00A53C83">
            <w:r w:rsidRPr="008B029D">
              <w:t>First filial</w:t>
            </w:r>
            <w:r w:rsidR="00D92135">
              <w:t xml:space="preserve"> (generation)</w:t>
            </w:r>
          </w:p>
        </w:tc>
      </w:tr>
      <w:tr w:rsidR="00A53C83" w14:paraId="26E2FB89"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282A9935" w14:textId="4A16CF04" w:rsidR="00A53C83" w:rsidRDefault="00A53C83" w:rsidP="00A53C83">
            <w:r>
              <w:t>GT</w:t>
            </w:r>
          </w:p>
        </w:tc>
        <w:tc>
          <w:tcPr>
            <w:tcW w:w="3987" w:type="pct"/>
            <w:gridSpan w:val="2"/>
            <w:tcBorders>
              <w:top w:val="single" w:sz="8" w:space="0" w:color="002C47"/>
              <w:left w:val="single" w:sz="8" w:space="0" w:color="002C47"/>
              <w:bottom w:val="single" w:sz="8" w:space="0" w:color="002C47"/>
              <w:right w:val="single" w:sz="8" w:space="0" w:color="002C47"/>
            </w:tcBorders>
          </w:tcPr>
          <w:p w14:paraId="054443A0" w14:textId="173EAFE6" w:rsidR="00A53C83" w:rsidRDefault="00A53C83" w:rsidP="00A53C83">
            <w:r>
              <w:t>Genotype</w:t>
            </w:r>
          </w:p>
        </w:tc>
      </w:tr>
      <w:tr w:rsidR="00A53C83" w14:paraId="065E6C4E"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03518FE7" w14:textId="77777777" w:rsidR="00A53C83" w:rsidRPr="00456D04" w:rsidRDefault="00A53C83" w:rsidP="00A53C83">
            <w:pPr>
              <w:rPr>
                <w:color w:val="auto"/>
              </w:rPr>
            </w:pPr>
            <w:r>
              <w:rPr>
                <w:color w:val="auto"/>
              </w:rPr>
              <w:t>HCV</w:t>
            </w:r>
          </w:p>
        </w:tc>
        <w:tc>
          <w:tcPr>
            <w:tcW w:w="3987" w:type="pct"/>
            <w:gridSpan w:val="2"/>
            <w:tcBorders>
              <w:top w:val="single" w:sz="8" w:space="0" w:color="002C47"/>
              <w:left w:val="single" w:sz="8" w:space="0" w:color="002C47"/>
              <w:bottom w:val="single" w:sz="8" w:space="0" w:color="002C47"/>
              <w:right w:val="single" w:sz="8" w:space="0" w:color="002C47"/>
            </w:tcBorders>
          </w:tcPr>
          <w:p w14:paraId="6B0A54A7" w14:textId="2DA6B7ED" w:rsidR="00A53C83" w:rsidRPr="00456D04" w:rsidRDefault="00A53C83" w:rsidP="00A53C83">
            <w:pPr>
              <w:rPr>
                <w:color w:val="auto"/>
              </w:rPr>
            </w:pPr>
            <w:r>
              <w:rPr>
                <w:color w:val="auto"/>
              </w:rPr>
              <w:t>Hepatitis C virus</w:t>
            </w:r>
          </w:p>
        </w:tc>
      </w:tr>
      <w:tr w:rsidR="00A53C83" w14:paraId="392253A9"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6F6DAA73" w14:textId="77777777" w:rsidR="00A53C83" w:rsidRDefault="00A53C83" w:rsidP="00A53C83">
            <w:r>
              <w:t>HIV</w:t>
            </w:r>
          </w:p>
        </w:tc>
        <w:tc>
          <w:tcPr>
            <w:tcW w:w="3987" w:type="pct"/>
            <w:gridSpan w:val="2"/>
            <w:tcBorders>
              <w:top w:val="single" w:sz="8" w:space="0" w:color="002C47"/>
              <w:left w:val="single" w:sz="8" w:space="0" w:color="002C47"/>
              <w:bottom w:val="single" w:sz="8" w:space="0" w:color="002C47"/>
              <w:right w:val="single" w:sz="8" w:space="0" w:color="002C47"/>
            </w:tcBorders>
          </w:tcPr>
          <w:p w14:paraId="5D30EDDE" w14:textId="77777777" w:rsidR="00A53C83" w:rsidRDefault="00A53C83" w:rsidP="00A53C83">
            <w:r>
              <w:t>Human immunodeficiency virus</w:t>
            </w:r>
          </w:p>
        </w:tc>
      </w:tr>
      <w:tr w:rsidR="00A53C83" w14:paraId="46F78DBB"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2BF6195D" w14:textId="77777777" w:rsidR="00A53C83" w:rsidRDefault="00A53C83" w:rsidP="00A53C83">
            <w:r>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1B37CE71" w14:textId="1B8315DA" w:rsidR="00A53C83" w:rsidRDefault="00A53C83" w:rsidP="00A53C83">
            <w:r w:rsidRPr="005821BF">
              <w:t>Intent to treat or intention to treat</w:t>
            </w:r>
          </w:p>
        </w:tc>
      </w:tr>
      <w:tr w:rsidR="00A53C83" w14:paraId="517D26E6"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365831B9" w14:textId="609166E2" w:rsidR="00A53C83" w:rsidRPr="007157C5" w:rsidRDefault="00A53C83" w:rsidP="00A53C83">
            <w:r w:rsidRPr="00C25FDA">
              <w:t>NS3</w:t>
            </w:r>
          </w:p>
        </w:tc>
        <w:tc>
          <w:tcPr>
            <w:tcW w:w="3987" w:type="pct"/>
            <w:gridSpan w:val="2"/>
            <w:tcBorders>
              <w:top w:val="single" w:sz="8" w:space="0" w:color="002C47"/>
              <w:left w:val="single" w:sz="8" w:space="0" w:color="002C47"/>
              <w:bottom w:val="single" w:sz="8" w:space="0" w:color="002C47"/>
              <w:right w:val="single" w:sz="8" w:space="0" w:color="002C47"/>
            </w:tcBorders>
          </w:tcPr>
          <w:p w14:paraId="7078485E" w14:textId="04A0E71E" w:rsidR="00A53C83" w:rsidRDefault="00A53C83" w:rsidP="00A53C83">
            <w:r>
              <w:t>N</w:t>
            </w:r>
            <w:r w:rsidRPr="00C25FDA">
              <w:t xml:space="preserve">on-structural protein </w:t>
            </w:r>
            <w:r>
              <w:t>3</w:t>
            </w:r>
          </w:p>
        </w:tc>
      </w:tr>
      <w:tr w:rsidR="00A53C83" w14:paraId="6A7D3144"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1FCC7A5F" w14:textId="6EC5D1E4" w:rsidR="00A53C83" w:rsidRPr="007157C5" w:rsidRDefault="00A53C83" w:rsidP="00A53C83">
            <w:r w:rsidRPr="00C25FDA">
              <w:t>NS4</w:t>
            </w:r>
          </w:p>
        </w:tc>
        <w:tc>
          <w:tcPr>
            <w:tcW w:w="3987" w:type="pct"/>
            <w:gridSpan w:val="2"/>
            <w:tcBorders>
              <w:top w:val="single" w:sz="8" w:space="0" w:color="002C47"/>
              <w:left w:val="single" w:sz="8" w:space="0" w:color="002C47"/>
              <w:bottom w:val="single" w:sz="8" w:space="0" w:color="002C47"/>
              <w:right w:val="single" w:sz="8" w:space="0" w:color="002C47"/>
            </w:tcBorders>
          </w:tcPr>
          <w:p w14:paraId="027F58C5" w14:textId="1D60C8EA" w:rsidR="00A53C83" w:rsidRDefault="00A53C83" w:rsidP="00A53C83">
            <w:r>
              <w:t>N</w:t>
            </w:r>
            <w:r w:rsidRPr="00C25FDA">
              <w:t>on-structural protein 4</w:t>
            </w:r>
          </w:p>
        </w:tc>
      </w:tr>
      <w:tr w:rsidR="00A53C83" w14:paraId="17494A43"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2A53FBBD" w14:textId="6AA50892" w:rsidR="00A53C83" w:rsidRPr="007157C5" w:rsidRDefault="00A53C83" w:rsidP="00A53C83">
            <w:r w:rsidRPr="00C25FDA">
              <w:t>NS5A</w:t>
            </w:r>
          </w:p>
        </w:tc>
        <w:tc>
          <w:tcPr>
            <w:tcW w:w="3987" w:type="pct"/>
            <w:gridSpan w:val="2"/>
            <w:tcBorders>
              <w:top w:val="single" w:sz="8" w:space="0" w:color="002C47"/>
              <w:left w:val="single" w:sz="8" w:space="0" w:color="002C47"/>
              <w:bottom w:val="single" w:sz="8" w:space="0" w:color="002C47"/>
              <w:right w:val="single" w:sz="8" w:space="0" w:color="002C47"/>
            </w:tcBorders>
          </w:tcPr>
          <w:p w14:paraId="72ED5E58" w14:textId="02D5358A" w:rsidR="00A53C83" w:rsidRDefault="00A53C83" w:rsidP="00A53C83">
            <w:r>
              <w:t>N</w:t>
            </w:r>
            <w:r w:rsidRPr="00C25FDA">
              <w:t>on-structural protein 5A</w:t>
            </w:r>
          </w:p>
        </w:tc>
      </w:tr>
      <w:tr w:rsidR="00A53C83" w14:paraId="5FCDB79E"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2205201E" w14:textId="77777777" w:rsidR="00A53C83" w:rsidRPr="007157C5" w:rsidRDefault="00A53C83" w:rsidP="00A53C83">
            <w:r w:rsidRPr="007157C5">
              <w:t>PEG</w:t>
            </w:r>
          </w:p>
        </w:tc>
        <w:tc>
          <w:tcPr>
            <w:tcW w:w="3987" w:type="pct"/>
            <w:gridSpan w:val="2"/>
            <w:tcBorders>
              <w:top w:val="single" w:sz="8" w:space="0" w:color="002C47"/>
              <w:left w:val="single" w:sz="8" w:space="0" w:color="002C47"/>
              <w:bottom w:val="single" w:sz="8" w:space="0" w:color="002C47"/>
              <w:right w:val="single" w:sz="8" w:space="0" w:color="002C47"/>
            </w:tcBorders>
          </w:tcPr>
          <w:p w14:paraId="39ADE8EE" w14:textId="77777777" w:rsidR="00A53C83" w:rsidRDefault="00A53C83" w:rsidP="00A53C83">
            <w:r>
              <w:t>P</w:t>
            </w:r>
            <w:r w:rsidRPr="00514C36">
              <w:t>olyethylene glycol</w:t>
            </w:r>
          </w:p>
        </w:tc>
      </w:tr>
      <w:tr w:rsidR="00A53C83" w14:paraId="6DFEE937"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720A1B56" w14:textId="77777777" w:rsidR="00A53C83" w:rsidRPr="007157C5" w:rsidRDefault="00A53C83" w:rsidP="00A53C83">
            <w:proofErr w:type="spellStart"/>
            <w:r>
              <w:t>PegIFN</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8C7A483" w14:textId="77777777" w:rsidR="00A53C83" w:rsidRDefault="00A53C83" w:rsidP="00A53C83">
            <w:r>
              <w:t>P</w:t>
            </w:r>
            <w:r w:rsidRPr="00B202D5">
              <w:t>egylated interferon</w:t>
            </w:r>
          </w:p>
        </w:tc>
      </w:tr>
      <w:tr w:rsidR="00A53C83" w14:paraId="7BA0EEFE"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4D181B77" w14:textId="77777777" w:rsidR="00A53C83" w:rsidRPr="00456D04" w:rsidRDefault="00A53C83" w:rsidP="00A53C83">
            <w:pPr>
              <w:rPr>
                <w:rStyle w:val="CommentReference"/>
                <w:color w:val="auto"/>
              </w:rPr>
            </w:pPr>
            <w:r w:rsidRPr="00456D04">
              <w:rPr>
                <w:color w:val="auto"/>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30E27B4C" w14:textId="5427ECE6" w:rsidR="00A53C83" w:rsidRPr="00456D04" w:rsidRDefault="00A53C83" w:rsidP="00A53C83">
            <w:pPr>
              <w:rPr>
                <w:color w:val="auto"/>
              </w:rPr>
            </w:pPr>
            <w:r w:rsidRPr="00456D04">
              <w:rPr>
                <w:color w:val="auto"/>
              </w:rPr>
              <w:t xml:space="preserve">Product </w:t>
            </w:r>
            <w:r>
              <w:rPr>
                <w:color w:val="auto"/>
              </w:rPr>
              <w:t>I</w:t>
            </w:r>
            <w:r w:rsidRPr="00456D04">
              <w:rPr>
                <w:color w:val="auto"/>
              </w:rPr>
              <w:t>nformation</w:t>
            </w:r>
          </w:p>
        </w:tc>
      </w:tr>
      <w:tr w:rsidR="00A53C83" w14:paraId="2FF758BE"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67FD850D" w14:textId="77777777" w:rsidR="00A53C83" w:rsidRPr="00456D04" w:rsidRDefault="00A53C83" w:rsidP="00A53C83">
            <w:pPr>
              <w:rPr>
                <w:color w:val="auto"/>
              </w:rPr>
            </w:pPr>
            <w:r w:rsidRPr="00456D04">
              <w:rPr>
                <w:color w:val="auto"/>
              </w:rPr>
              <w:t xml:space="preserve">PK </w:t>
            </w:r>
          </w:p>
        </w:tc>
        <w:tc>
          <w:tcPr>
            <w:tcW w:w="3987" w:type="pct"/>
            <w:gridSpan w:val="2"/>
            <w:tcBorders>
              <w:top w:val="single" w:sz="8" w:space="0" w:color="002C47"/>
              <w:left w:val="single" w:sz="8" w:space="0" w:color="002C47"/>
              <w:bottom w:val="single" w:sz="8" w:space="0" w:color="002C47"/>
              <w:right w:val="single" w:sz="8" w:space="0" w:color="002C47"/>
            </w:tcBorders>
          </w:tcPr>
          <w:p w14:paraId="03E62A74" w14:textId="51993B2D" w:rsidR="00A53C83" w:rsidRPr="00456D04" w:rsidRDefault="00A53C83" w:rsidP="00A53C83">
            <w:pPr>
              <w:rPr>
                <w:color w:val="auto"/>
              </w:rPr>
            </w:pPr>
            <w:r w:rsidRPr="00456D04">
              <w:rPr>
                <w:color w:val="auto"/>
              </w:rPr>
              <w:t>Pharmacokinetic</w:t>
            </w:r>
            <w:r>
              <w:rPr>
                <w:color w:val="auto"/>
              </w:rPr>
              <w:t>(</w:t>
            </w:r>
            <w:r w:rsidRPr="00456D04">
              <w:rPr>
                <w:color w:val="auto"/>
              </w:rPr>
              <w:t>s</w:t>
            </w:r>
            <w:r>
              <w:rPr>
                <w:color w:val="auto"/>
              </w:rPr>
              <w:t>)</w:t>
            </w:r>
          </w:p>
        </w:tc>
      </w:tr>
      <w:tr w:rsidR="00A53C83" w14:paraId="50FD4A80"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3D42AD30" w14:textId="4B0A18F2" w:rsidR="00A53C83" w:rsidRPr="00456D04" w:rsidRDefault="00A53C83" w:rsidP="00A53C83">
            <w:proofErr w:type="spellStart"/>
            <w:r>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1FAE3AD" w14:textId="4D8367C1" w:rsidR="00A53C83" w:rsidRPr="00456D04" w:rsidRDefault="00A53C83" w:rsidP="00A53C83">
            <w:r>
              <w:t>Population pharmacokinetic(s)</w:t>
            </w:r>
          </w:p>
        </w:tc>
      </w:tr>
      <w:tr w:rsidR="00A53C83" w14:paraId="532814BA"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3F143821" w14:textId="77777777" w:rsidR="00A53C83" w:rsidRPr="00871F07" w:rsidRDefault="00A53C83" w:rsidP="00A53C83">
            <w:pPr>
              <w:rPr>
                <w:color w:val="auto"/>
              </w:rPr>
            </w:pPr>
            <w:r w:rsidRPr="00871F07">
              <w:rPr>
                <w:color w:val="auto"/>
              </w:rPr>
              <w:lastRenderedPageBreak/>
              <w:t>PSUR</w:t>
            </w:r>
          </w:p>
        </w:tc>
        <w:tc>
          <w:tcPr>
            <w:tcW w:w="3987" w:type="pct"/>
            <w:gridSpan w:val="2"/>
            <w:tcBorders>
              <w:top w:val="single" w:sz="8" w:space="0" w:color="002C47"/>
              <w:left w:val="single" w:sz="8" w:space="0" w:color="002C47"/>
              <w:bottom w:val="single" w:sz="8" w:space="0" w:color="002C47"/>
              <w:right w:val="single" w:sz="8" w:space="0" w:color="002C47"/>
            </w:tcBorders>
          </w:tcPr>
          <w:p w14:paraId="05BA324B" w14:textId="77777777" w:rsidR="00A53C83" w:rsidRPr="00871F07" w:rsidRDefault="00A53C83" w:rsidP="00A53C83">
            <w:pPr>
              <w:rPr>
                <w:color w:val="auto"/>
              </w:rPr>
            </w:pPr>
            <w:r w:rsidRPr="00871F07">
              <w:rPr>
                <w:color w:val="auto"/>
              </w:rPr>
              <w:t>Periodic safety update reports</w:t>
            </w:r>
          </w:p>
        </w:tc>
      </w:tr>
      <w:tr w:rsidR="00A53C83" w14:paraId="757838FD"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43B0073A" w14:textId="77777777" w:rsidR="00A53C83" w:rsidRPr="00456D04" w:rsidRDefault="00A53C83" w:rsidP="00A53C83">
            <w:pPr>
              <w:rPr>
                <w:color w:val="auto"/>
              </w:rPr>
            </w:pPr>
            <w:r w:rsidRPr="00456D04">
              <w:rPr>
                <w:color w:val="auto"/>
              </w:rPr>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531205E0" w14:textId="77777777" w:rsidR="00A53C83" w:rsidRPr="00456D04" w:rsidRDefault="00A53C83" w:rsidP="00A53C83">
            <w:pPr>
              <w:rPr>
                <w:color w:val="auto"/>
              </w:rPr>
            </w:pPr>
            <w:r w:rsidRPr="00456D04">
              <w:rPr>
                <w:color w:val="auto"/>
              </w:rPr>
              <w:t>Risk management plan</w:t>
            </w:r>
          </w:p>
        </w:tc>
      </w:tr>
      <w:tr w:rsidR="00A53C83" w14:paraId="4C352A58"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0359D5A1" w14:textId="77777777" w:rsidR="00A53C83" w:rsidRPr="005148DD" w:rsidRDefault="00A53C83" w:rsidP="00A53C83">
            <w:r>
              <w:t>SVR12</w:t>
            </w:r>
          </w:p>
        </w:tc>
        <w:tc>
          <w:tcPr>
            <w:tcW w:w="3987" w:type="pct"/>
            <w:gridSpan w:val="2"/>
            <w:tcBorders>
              <w:top w:val="single" w:sz="8" w:space="0" w:color="002C47"/>
              <w:left w:val="single" w:sz="8" w:space="0" w:color="002C47"/>
              <w:bottom w:val="single" w:sz="8" w:space="0" w:color="002C47"/>
              <w:right w:val="single" w:sz="8" w:space="0" w:color="002C47"/>
            </w:tcBorders>
          </w:tcPr>
          <w:p w14:paraId="28652B26" w14:textId="77777777" w:rsidR="00A53C83" w:rsidRPr="005148DD" w:rsidRDefault="00A53C83" w:rsidP="00A53C83">
            <w:r>
              <w:t>Sustained virologic response for 12 weeks post treatme</w:t>
            </w:r>
            <w:r w:rsidRPr="00A05B63">
              <w:t>nt</w:t>
            </w:r>
          </w:p>
        </w:tc>
      </w:tr>
      <w:tr w:rsidR="00A53C83" w14:paraId="3155B803"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2EA64E22" w14:textId="77777777" w:rsidR="00A53C83" w:rsidRPr="005148DD" w:rsidRDefault="00A53C83" w:rsidP="00A53C83">
            <w:r>
              <w:t>SVR24</w:t>
            </w:r>
          </w:p>
        </w:tc>
        <w:tc>
          <w:tcPr>
            <w:tcW w:w="3987" w:type="pct"/>
            <w:gridSpan w:val="2"/>
            <w:tcBorders>
              <w:top w:val="single" w:sz="8" w:space="0" w:color="002C47"/>
              <w:left w:val="single" w:sz="8" w:space="0" w:color="002C47"/>
              <w:bottom w:val="single" w:sz="8" w:space="0" w:color="002C47"/>
              <w:right w:val="single" w:sz="8" w:space="0" w:color="002C47"/>
            </w:tcBorders>
          </w:tcPr>
          <w:p w14:paraId="3D1031DD" w14:textId="77777777" w:rsidR="00A53C83" w:rsidRPr="005148DD" w:rsidRDefault="00A53C83" w:rsidP="00A53C83">
            <w:r>
              <w:t>Sustained virologic response for 24 weeks post treatme</w:t>
            </w:r>
            <w:r w:rsidRPr="00A05B63">
              <w:t>nt</w:t>
            </w:r>
          </w:p>
        </w:tc>
      </w:tr>
      <w:tr w:rsidR="00A53C83" w14:paraId="071041BF"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408124EE" w14:textId="77777777" w:rsidR="00A53C83" w:rsidRPr="00456D04" w:rsidRDefault="00A53C83" w:rsidP="00A53C83">
            <w:pPr>
              <w:rPr>
                <w:color w:val="auto"/>
              </w:rPr>
            </w:pPr>
            <w:r w:rsidRPr="00456D04">
              <w:rPr>
                <w:color w:val="auto"/>
              </w:rPr>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35729022" w14:textId="77777777" w:rsidR="00A53C83" w:rsidRPr="00456D04" w:rsidRDefault="00A53C83" w:rsidP="00A53C83">
            <w:pPr>
              <w:rPr>
                <w:color w:val="auto"/>
              </w:rPr>
            </w:pPr>
            <w:r w:rsidRPr="00456D04">
              <w:rPr>
                <w:color w:val="auto"/>
              </w:rPr>
              <w:t>Therapeutic Goods Administration</w:t>
            </w:r>
          </w:p>
        </w:tc>
      </w:tr>
      <w:tr w:rsidR="00A63907" w14:paraId="6C824F37" w14:textId="77777777" w:rsidTr="00D92135">
        <w:trPr>
          <w:cantSplit/>
        </w:trPr>
        <w:tc>
          <w:tcPr>
            <w:tcW w:w="1013" w:type="pct"/>
            <w:tcBorders>
              <w:top w:val="single" w:sz="8" w:space="0" w:color="002C47"/>
              <w:left w:val="single" w:sz="8" w:space="0" w:color="002C47"/>
              <w:bottom w:val="single" w:sz="8" w:space="0" w:color="002C47"/>
              <w:right w:val="single" w:sz="8" w:space="0" w:color="002C47"/>
            </w:tcBorders>
          </w:tcPr>
          <w:p w14:paraId="6764BF59" w14:textId="7220CA58" w:rsidR="00A63907" w:rsidRPr="00456D04" w:rsidRDefault="00A63907" w:rsidP="00A53C83">
            <w:r>
              <w:t>US</w:t>
            </w:r>
            <w:r w:rsidR="00807B25">
              <w:t>(</w:t>
            </w:r>
            <w:r>
              <w:t>A</w:t>
            </w:r>
            <w:r w:rsidR="00807B25">
              <w:t>)</w:t>
            </w:r>
          </w:p>
        </w:tc>
        <w:tc>
          <w:tcPr>
            <w:tcW w:w="3987" w:type="pct"/>
            <w:gridSpan w:val="2"/>
            <w:tcBorders>
              <w:top w:val="single" w:sz="8" w:space="0" w:color="002C47"/>
              <w:left w:val="single" w:sz="8" w:space="0" w:color="002C47"/>
              <w:bottom w:val="single" w:sz="8" w:space="0" w:color="002C47"/>
              <w:right w:val="single" w:sz="8" w:space="0" w:color="002C47"/>
            </w:tcBorders>
          </w:tcPr>
          <w:p w14:paraId="1F0DB916" w14:textId="7DC72B16" w:rsidR="00A63907" w:rsidRPr="00456D04" w:rsidRDefault="00A63907" w:rsidP="00A53C83">
            <w:r>
              <w:t xml:space="preserve">United States </w:t>
            </w:r>
            <w:r w:rsidR="00807B25">
              <w:t>(</w:t>
            </w:r>
            <w:r>
              <w:t>of America</w:t>
            </w:r>
            <w:r w:rsidR="00807B25">
              <w:t>)</w:t>
            </w:r>
          </w:p>
        </w:tc>
      </w:tr>
      <w:bookmarkEnd w:id="5"/>
    </w:tbl>
    <w:p w14:paraId="26054DB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3E7BC69" w14:textId="3A6B76F5" w:rsidR="009E5A87" w:rsidRPr="00146F01" w:rsidRDefault="009F2673" w:rsidP="00146F01">
      <w:pPr>
        <w:pStyle w:val="Heading2"/>
      </w:pPr>
      <w:bookmarkStart w:id="6" w:name="_Toc128033638"/>
      <w:r>
        <w:lastRenderedPageBreak/>
        <w:t>Pr</w:t>
      </w:r>
      <w:r w:rsidR="008E7846">
        <w:t>oduct submission</w:t>
      </w:r>
      <w:bookmarkStart w:id="7" w:name="_Toc247691502"/>
      <w:bookmarkStart w:id="8" w:name="_Toc314842483"/>
      <w:bookmarkEnd w:id="6"/>
      <w:bookmarkEnd w:id="2"/>
      <w:bookmarkEnd w:id="0"/>
    </w:p>
    <w:p w14:paraId="6C33BF84" w14:textId="77777777" w:rsidR="008E7846" w:rsidRDefault="008E7846" w:rsidP="009E5A87">
      <w:pPr>
        <w:pStyle w:val="Heading3"/>
        <w:rPr>
          <w:lang w:eastAsia="en-AU"/>
        </w:rPr>
      </w:pPr>
      <w:bookmarkStart w:id="9" w:name="_Toc128033639"/>
      <w:r>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3D1E62" w14:paraId="215727FE" w14:textId="77777777" w:rsidTr="00146F01">
        <w:tc>
          <w:tcPr>
            <w:tcW w:w="1577" w:type="pct"/>
          </w:tcPr>
          <w:p w14:paraId="18470DB6" w14:textId="77777777" w:rsidR="009F2673" w:rsidRPr="003D1E62" w:rsidRDefault="009F2673" w:rsidP="009E5A87">
            <w:pPr>
              <w:rPr>
                <w:i/>
              </w:rPr>
            </w:pPr>
            <w:r>
              <w:rPr>
                <w:i/>
              </w:rPr>
              <w:t>Type of s</w:t>
            </w:r>
            <w:r w:rsidRPr="003D1E62">
              <w:rPr>
                <w:i/>
              </w:rPr>
              <w:t>ubmission</w:t>
            </w:r>
            <w:r>
              <w:rPr>
                <w:i/>
              </w:rPr>
              <w:t>:</w:t>
            </w:r>
          </w:p>
        </w:tc>
        <w:tc>
          <w:tcPr>
            <w:tcW w:w="3423" w:type="pct"/>
          </w:tcPr>
          <w:p w14:paraId="78E5C22D" w14:textId="6EE2CE74" w:rsidR="00255E8F" w:rsidRPr="003D1E62" w:rsidRDefault="00957F73" w:rsidP="009E5A87">
            <w:r>
              <w:t xml:space="preserve">Major variation </w:t>
            </w:r>
            <w:r w:rsidR="00A94F26">
              <w:t>and e</w:t>
            </w:r>
            <w:r>
              <w:t>xtension of indication</w:t>
            </w:r>
            <w:r w:rsidR="00971F2C">
              <w:t xml:space="preserve"> </w:t>
            </w:r>
          </w:p>
        </w:tc>
      </w:tr>
      <w:tr w:rsidR="009F2673" w:rsidRPr="003D1E62" w14:paraId="5CF21553" w14:textId="77777777" w:rsidTr="00146F01">
        <w:tc>
          <w:tcPr>
            <w:tcW w:w="1577" w:type="pct"/>
          </w:tcPr>
          <w:p w14:paraId="27A607A1" w14:textId="5528FC52" w:rsidR="009F2673" w:rsidRPr="003D1E62" w:rsidRDefault="009F2673" w:rsidP="009E5A87">
            <w:pPr>
              <w:rPr>
                <w:i/>
              </w:rPr>
            </w:pPr>
            <w:r w:rsidRPr="00460036">
              <w:rPr>
                <w:i/>
              </w:rPr>
              <w:t>Product name:</w:t>
            </w:r>
          </w:p>
        </w:tc>
        <w:tc>
          <w:tcPr>
            <w:tcW w:w="3423" w:type="pct"/>
          </w:tcPr>
          <w:p w14:paraId="277F627D" w14:textId="53BC740F" w:rsidR="009F2673" w:rsidRPr="003D1E62" w:rsidRDefault="003A51F3" w:rsidP="009E5A87">
            <w:r>
              <w:t>Maviret</w:t>
            </w:r>
          </w:p>
        </w:tc>
      </w:tr>
      <w:tr w:rsidR="009F2673" w:rsidRPr="003D1E62" w14:paraId="586DC1B1" w14:textId="77777777" w:rsidTr="00146F01">
        <w:tc>
          <w:tcPr>
            <w:tcW w:w="1577" w:type="pct"/>
          </w:tcPr>
          <w:p w14:paraId="4E28E8AB" w14:textId="541C895B" w:rsidR="009F2673" w:rsidRPr="003D1E62" w:rsidRDefault="009F2673" w:rsidP="009E5A87">
            <w:pPr>
              <w:rPr>
                <w:i/>
              </w:rPr>
            </w:pPr>
            <w:r w:rsidRPr="00460036">
              <w:rPr>
                <w:i/>
              </w:rPr>
              <w:t>Active ingredients:</w:t>
            </w:r>
          </w:p>
        </w:tc>
        <w:tc>
          <w:tcPr>
            <w:tcW w:w="3423" w:type="pct"/>
          </w:tcPr>
          <w:p w14:paraId="1272C7F5" w14:textId="4648BE66" w:rsidR="009F2673" w:rsidRPr="003D1E62" w:rsidRDefault="003A51F3" w:rsidP="009E5A87">
            <w:r>
              <w:t>G</w:t>
            </w:r>
            <w:r w:rsidRPr="00704FFE">
              <w:t>lecaprevir</w:t>
            </w:r>
            <w:r w:rsidR="007C50B6">
              <w:t xml:space="preserve"> and </w:t>
            </w:r>
            <w:r w:rsidRPr="00704FFE">
              <w:t>pibrentasvir</w:t>
            </w:r>
          </w:p>
        </w:tc>
      </w:tr>
      <w:tr w:rsidR="009F2673" w:rsidRPr="003D1E62" w14:paraId="3811F00E" w14:textId="77777777" w:rsidTr="00146F01">
        <w:tc>
          <w:tcPr>
            <w:tcW w:w="1577" w:type="pct"/>
          </w:tcPr>
          <w:p w14:paraId="05AC8C47" w14:textId="77777777" w:rsidR="009F2673" w:rsidRPr="009F2673" w:rsidRDefault="009F2673" w:rsidP="009E5A87">
            <w:pPr>
              <w:rPr>
                <w:i/>
              </w:rPr>
            </w:pPr>
            <w:r w:rsidRPr="003D1E62">
              <w:rPr>
                <w:i/>
              </w:rPr>
              <w:t>Decision</w:t>
            </w:r>
            <w:r w:rsidRPr="009F2673">
              <w:rPr>
                <w:i/>
              </w:rPr>
              <w:t>:</w:t>
            </w:r>
          </w:p>
        </w:tc>
        <w:tc>
          <w:tcPr>
            <w:tcW w:w="3423" w:type="pct"/>
          </w:tcPr>
          <w:p w14:paraId="478E45A0" w14:textId="64375E12" w:rsidR="009F2673" w:rsidRPr="003D1E62" w:rsidRDefault="009F2673" w:rsidP="009E5A87">
            <w:r w:rsidRPr="00460036">
              <w:t>Approved</w:t>
            </w:r>
          </w:p>
        </w:tc>
      </w:tr>
      <w:tr w:rsidR="009F2673" w:rsidRPr="003D1E62" w14:paraId="1D1B0A70" w14:textId="77777777" w:rsidTr="00146F01">
        <w:tc>
          <w:tcPr>
            <w:tcW w:w="1577" w:type="pct"/>
          </w:tcPr>
          <w:p w14:paraId="23331644"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79E9E59F" w14:textId="670D0A62" w:rsidR="009F2673" w:rsidRPr="003D1E62" w:rsidRDefault="003A51F3" w:rsidP="009E5A87">
            <w:r>
              <w:t>25 January 2022</w:t>
            </w:r>
          </w:p>
        </w:tc>
      </w:tr>
      <w:tr w:rsidR="009F2673" w:rsidRPr="003D1E62" w14:paraId="1FED2B3B" w14:textId="77777777" w:rsidTr="00146F01">
        <w:tc>
          <w:tcPr>
            <w:tcW w:w="1577" w:type="pct"/>
          </w:tcPr>
          <w:p w14:paraId="316C1FF6" w14:textId="77777777" w:rsidR="009F2673" w:rsidRPr="00441C3F" w:rsidRDefault="009F2673" w:rsidP="009E5A87">
            <w:pPr>
              <w:rPr>
                <w:i/>
              </w:rPr>
            </w:pPr>
            <w:r w:rsidRPr="00441C3F">
              <w:rPr>
                <w:i/>
              </w:rPr>
              <w:t>Date of entry onto ARTG</w:t>
            </w:r>
            <w:r>
              <w:rPr>
                <w:i/>
              </w:rPr>
              <w:t>:</w:t>
            </w:r>
          </w:p>
        </w:tc>
        <w:tc>
          <w:tcPr>
            <w:tcW w:w="3423" w:type="pct"/>
          </w:tcPr>
          <w:p w14:paraId="1C12FFD4" w14:textId="6CC2C76B" w:rsidR="009F2673" w:rsidRPr="009F2673" w:rsidRDefault="003A51F3" w:rsidP="009E5A87">
            <w:r>
              <w:t>7 February 2022</w:t>
            </w:r>
          </w:p>
        </w:tc>
      </w:tr>
      <w:tr w:rsidR="009F2673" w:rsidRPr="003D1E62" w14:paraId="78BCFFA4" w14:textId="77777777" w:rsidTr="00146F01">
        <w:tc>
          <w:tcPr>
            <w:tcW w:w="1577" w:type="pct"/>
          </w:tcPr>
          <w:p w14:paraId="68A02749" w14:textId="3424CD57" w:rsidR="009F2673" w:rsidRPr="00441C3F" w:rsidRDefault="009F2673" w:rsidP="009E5A87">
            <w:pPr>
              <w:rPr>
                <w:i/>
              </w:rPr>
            </w:pPr>
            <w:r>
              <w:rPr>
                <w:i/>
              </w:rPr>
              <w:t>ARTG numbers:</w:t>
            </w:r>
          </w:p>
        </w:tc>
        <w:tc>
          <w:tcPr>
            <w:tcW w:w="3423" w:type="pct"/>
          </w:tcPr>
          <w:p w14:paraId="631005D7" w14:textId="087731ED" w:rsidR="009F2673" w:rsidRPr="00441C3F" w:rsidRDefault="003A51F3" w:rsidP="009E5A87">
            <w:r>
              <w:t>284948, 325401 and 352573</w:t>
            </w:r>
          </w:p>
        </w:tc>
      </w:tr>
      <w:tr w:rsidR="009F2673" w:rsidRPr="003D1E62" w14:paraId="59102467" w14:textId="77777777" w:rsidTr="00146F01">
        <w:tc>
          <w:tcPr>
            <w:tcW w:w="1577" w:type="pct"/>
          </w:tcPr>
          <w:p w14:paraId="05A81E0F" w14:textId="046BAEF9"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1D95D315" w14:textId="7A205E2B" w:rsidR="009F2673" w:rsidRDefault="009F2673" w:rsidP="009E5A87">
            <w:r>
              <w:t>Yes</w:t>
            </w:r>
          </w:p>
          <w:p w14:paraId="61AA3069" w14:textId="496E2F9A" w:rsidR="009F2673" w:rsidRPr="00487162" w:rsidRDefault="009F2673" w:rsidP="009E5A87">
            <w:r>
              <w:t>This product will remain in the scheme for 5 years, starting on the date the new indication was approved</w:t>
            </w:r>
          </w:p>
        </w:tc>
      </w:tr>
      <w:tr w:rsidR="009F2673" w:rsidRPr="003D1E62" w14:paraId="11E56BD9" w14:textId="77777777" w:rsidTr="00146F01">
        <w:tc>
          <w:tcPr>
            <w:tcW w:w="1577" w:type="pct"/>
          </w:tcPr>
          <w:p w14:paraId="5B5171B6"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062FEF36" w14:textId="1522DD60" w:rsidR="009F2673" w:rsidRDefault="002E1075" w:rsidP="009E5A87">
            <w:r>
              <w:t>AbbVie</w:t>
            </w:r>
            <w:r w:rsidRPr="003A51F3">
              <w:t xml:space="preserve"> </w:t>
            </w:r>
            <w:r w:rsidR="003A51F3" w:rsidRPr="003A51F3">
              <w:t>Pty Ltd</w:t>
            </w:r>
          </w:p>
          <w:p w14:paraId="2076EFA8" w14:textId="77777777" w:rsidR="009710F1" w:rsidRDefault="009710F1" w:rsidP="009710F1">
            <w:r>
              <w:t xml:space="preserve">241 </w:t>
            </w:r>
            <w:proofErr w:type="spellStart"/>
            <w:r>
              <w:t>O’Riordan</w:t>
            </w:r>
            <w:proofErr w:type="spellEnd"/>
            <w:r>
              <w:t xml:space="preserve"> Street</w:t>
            </w:r>
          </w:p>
          <w:p w14:paraId="5E843B57" w14:textId="606565C9" w:rsidR="003A51F3" w:rsidRDefault="009710F1" w:rsidP="003A51F3">
            <w:r>
              <w:t>Mascot NSW 2020</w:t>
            </w:r>
          </w:p>
        </w:tc>
      </w:tr>
      <w:tr w:rsidR="009F2673" w:rsidRPr="003D1E62" w14:paraId="02151C92" w14:textId="77777777" w:rsidTr="00146F01">
        <w:tc>
          <w:tcPr>
            <w:tcW w:w="1577" w:type="pct"/>
          </w:tcPr>
          <w:p w14:paraId="2967253F" w14:textId="59DCF9F0" w:rsidR="009F2673" w:rsidRPr="00487162" w:rsidRDefault="009F2673" w:rsidP="009E5A87">
            <w:pPr>
              <w:rPr>
                <w:i/>
              </w:rPr>
            </w:pPr>
            <w:r>
              <w:rPr>
                <w:i/>
              </w:rPr>
              <w:t>Dose forms:</w:t>
            </w:r>
          </w:p>
        </w:tc>
        <w:tc>
          <w:tcPr>
            <w:tcW w:w="3423" w:type="pct"/>
          </w:tcPr>
          <w:p w14:paraId="750CAB50" w14:textId="441FC80E" w:rsidR="009F2673" w:rsidRDefault="00E13099" w:rsidP="009E5A87">
            <w:r>
              <w:t>T</w:t>
            </w:r>
            <w:r w:rsidR="003A51F3">
              <w:t>ablet and granule</w:t>
            </w:r>
          </w:p>
        </w:tc>
      </w:tr>
      <w:tr w:rsidR="009F2673" w:rsidRPr="003D1E62" w14:paraId="562FAAB5" w14:textId="77777777" w:rsidTr="00146F01">
        <w:tc>
          <w:tcPr>
            <w:tcW w:w="1577" w:type="pct"/>
          </w:tcPr>
          <w:p w14:paraId="7EF5ADEE" w14:textId="380F9615" w:rsidR="009F2673" w:rsidRPr="00487162" w:rsidRDefault="009F2673" w:rsidP="009E5A87">
            <w:pPr>
              <w:rPr>
                <w:i/>
              </w:rPr>
            </w:pPr>
            <w:r w:rsidRPr="00487162">
              <w:rPr>
                <w:i/>
              </w:rPr>
              <w:t>Strengths:</w:t>
            </w:r>
          </w:p>
        </w:tc>
        <w:tc>
          <w:tcPr>
            <w:tcW w:w="3423" w:type="pct"/>
          </w:tcPr>
          <w:p w14:paraId="321E79B4" w14:textId="4609E7AF" w:rsidR="009F2673" w:rsidRDefault="003A51F3" w:rsidP="009E5A87">
            <w:r w:rsidRPr="00C33EFE">
              <w:rPr>
                <w:rFonts w:asciiTheme="minorHAnsi" w:hAnsiTheme="minorHAnsi"/>
                <w:iCs/>
              </w:rPr>
              <w:t>100 mg</w:t>
            </w:r>
            <w:r>
              <w:rPr>
                <w:rFonts w:asciiTheme="minorHAnsi" w:hAnsiTheme="minorHAnsi"/>
                <w:iCs/>
              </w:rPr>
              <w:t xml:space="preserve"> </w:t>
            </w:r>
            <w:r>
              <w:rPr>
                <w:iCs/>
              </w:rPr>
              <w:t>g</w:t>
            </w:r>
            <w:r w:rsidRPr="00704FFE">
              <w:t>lecaprevir</w:t>
            </w:r>
            <w:r w:rsidRPr="00C33EFE">
              <w:rPr>
                <w:rFonts w:asciiTheme="minorHAnsi" w:hAnsiTheme="minorHAnsi"/>
                <w:iCs/>
              </w:rPr>
              <w:t>/40 mg</w:t>
            </w:r>
            <w:r>
              <w:rPr>
                <w:rFonts w:asciiTheme="minorHAnsi" w:hAnsiTheme="minorHAnsi"/>
                <w:iCs/>
              </w:rPr>
              <w:t xml:space="preserve"> </w:t>
            </w:r>
            <w:r w:rsidRPr="00704FFE">
              <w:t>pibrentasvir</w:t>
            </w:r>
            <w:r>
              <w:rPr>
                <w:rFonts w:asciiTheme="minorHAnsi" w:hAnsiTheme="minorHAnsi"/>
                <w:iCs/>
              </w:rPr>
              <w:t xml:space="preserve"> and 50</w:t>
            </w:r>
            <w:r w:rsidR="009710F1">
              <w:rPr>
                <w:rFonts w:asciiTheme="minorHAnsi" w:hAnsiTheme="minorHAnsi"/>
                <w:iCs/>
              </w:rPr>
              <w:t> </w:t>
            </w:r>
            <w:r>
              <w:rPr>
                <w:rFonts w:asciiTheme="minorHAnsi" w:hAnsiTheme="minorHAnsi"/>
                <w:iCs/>
              </w:rPr>
              <w:t>mg</w:t>
            </w:r>
            <w:r w:rsidR="009710F1">
              <w:rPr>
                <w:rFonts w:asciiTheme="minorHAnsi" w:hAnsiTheme="minorHAnsi"/>
                <w:iCs/>
              </w:rPr>
              <w:t> </w:t>
            </w:r>
            <w:r>
              <w:rPr>
                <w:iCs/>
              </w:rPr>
              <w:t>g</w:t>
            </w:r>
            <w:r w:rsidRPr="00704FFE">
              <w:t>lecaprevir</w:t>
            </w:r>
            <w:r>
              <w:rPr>
                <w:rFonts w:asciiTheme="minorHAnsi" w:hAnsiTheme="minorHAnsi"/>
                <w:iCs/>
              </w:rPr>
              <w:t xml:space="preserve">/20 mg </w:t>
            </w:r>
            <w:r w:rsidRPr="00704FFE">
              <w:t>pibrentasvir</w:t>
            </w:r>
          </w:p>
        </w:tc>
      </w:tr>
      <w:tr w:rsidR="009F2673" w:rsidRPr="003D1E62" w14:paraId="12B7CCF1" w14:textId="77777777" w:rsidTr="00146F01">
        <w:tc>
          <w:tcPr>
            <w:tcW w:w="1577" w:type="pct"/>
          </w:tcPr>
          <w:p w14:paraId="7DB4C40E" w14:textId="414464F0" w:rsidR="009F2673" w:rsidRPr="00487162" w:rsidRDefault="009F2673" w:rsidP="009E5A87">
            <w:pPr>
              <w:rPr>
                <w:i/>
              </w:rPr>
            </w:pPr>
            <w:r w:rsidRPr="00487162">
              <w:rPr>
                <w:i/>
              </w:rPr>
              <w:t>Containers:</w:t>
            </w:r>
          </w:p>
        </w:tc>
        <w:tc>
          <w:tcPr>
            <w:tcW w:w="3423" w:type="pct"/>
          </w:tcPr>
          <w:p w14:paraId="1AD25948" w14:textId="35D49D8D" w:rsidR="009F2673" w:rsidRDefault="00E13099" w:rsidP="009E5A87">
            <w:r>
              <w:t xml:space="preserve">Blister pack, </w:t>
            </w:r>
            <w:proofErr w:type="gramStart"/>
            <w:r>
              <w:t>bottle</w:t>
            </w:r>
            <w:proofErr w:type="gramEnd"/>
            <w:r>
              <w:t xml:space="preserve"> and sachet</w:t>
            </w:r>
          </w:p>
        </w:tc>
      </w:tr>
      <w:tr w:rsidR="009F2673" w:rsidRPr="003D1E62" w14:paraId="0931195C" w14:textId="77777777" w:rsidTr="00146F01">
        <w:tc>
          <w:tcPr>
            <w:tcW w:w="1577" w:type="pct"/>
          </w:tcPr>
          <w:p w14:paraId="303DEC5A" w14:textId="3D4A024E" w:rsidR="009F2673" w:rsidRPr="00487162" w:rsidRDefault="009F2673" w:rsidP="009E5A87">
            <w:pPr>
              <w:rPr>
                <w:i/>
              </w:rPr>
            </w:pPr>
            <w:r w:rsidRPr="00487162">
              <w:rPr>
                <w:i/>
              </w:rPr>
              <w:t>Pack siz</w:t>
            </w:r>
            <w:r w:rsidR="00957F73">
              <w:rPr>
                <w:i/>
              </w:rPr>
              <w:t>e</w:t>
            </w:r>
            <w:r w:rsidRPr="00487162">
              <w:rPr>
                <w:i/>
              </w:rPr>
              <w:t>s:</w:t>
            </w:r>
          </w:p>
        </w:tc>
        <w:tc>
          <w:tcPr>
            <w:tcW w:w="3423" w:type="pct"/>
          </w:tcPr>
          <w:p w14:paraId="52A11861" w14:textId="700A90DF" w:rsidR="009F2673" w:rsidRDefault="00E13099" w:rsidP="009E5A87">
            <w:r>
              <w:t>84 tablets and 28 sachets</w:t>
            </w:r>
          </w:p>
        </w:tc>
      </w:tr>
      <w:tr w:rsidR="009F2673" w:rsidRPr="003D1E62" w14:paraId="56EB2E53" w14:textId="77777777" w:rsidTr="00146F01">
        <w:tc>
          <w:tcPr>
            <w:tcW w:w="1577" w:type="pct"/>
          </w:tcPr>
          <w:p w14:paraId="3BA682EA"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7DF91017" w14:textId="364430B6" w:rsidR="009F2673" w:rsidRPr="00E13099" w:rsidRDefault="00E13099" w:rsidP="009E5A87">
            <w:pPr>
              <w:rPr>
                <w:i/>
                <w:iCs/>
              </w:rPr>
            </w:pPr>
            <w:r w:rsidRPr="00DA5E4B">
              <w:rPr>
                <w:i/>
                <w:iCs/>
              </w:rPr>
              <w:t>M</w:t>
            </w:r>
            <w:r w:rsidR="00B80C85">
              <w:rPr>
                <w:i/>
                <w:iCs/>
              </w:rPr>
              <w:t>aviret</w:t>
            </w:r>
            <w:r w:rsidRPr="00DA5E4B">
              <w:rPr>
                <w:i/>
                <w:iCs/>
              </w:rPr>
              <w:t xml:space="preserve"> is indicated for the treatment of adult and paediatric patients 3 years and older with chronic hepatitis C virus (HCV) genotype (GT) 1, 2, 3, 4, 5, or 6 </w:t>
            </w:r>
            <w:proofErr w:type="gramStart"/>
            <w:r w:rsidRPr="00DA5E4B">
              <w:rPr>
                <w:i/>
                <w:iCs/>
              </w:rPr>
              <w:t>infection</w:t>
            </w:r>
            <w:proofErr w:type="gramEnd"/>
            <w:r w:rsidRPr="00DA5E4B">
              <w:rPr>
                <w:i/>
                <w:iCs/>
              </w:rPr>
              <w:t xml:space="preserve"> with or without compensated cirrhosis. This includes patients with HCV GT1 infection who were previously treated with either a regimen of an NS5A inhibitor or with an NS3/4A protease inhibitor but not both classes of inhibitors (see 4.2 </w:t>
            </w:r>
            <w:r w:rsidR="00B80C85">
              <w:rPr>
                <w:i/>
                <w:iCs/>
              </w:rPr>
              <w:t>Dose</w:t>
            </w:r>
            <w:r w:rsidRPr="00DA5E4B">
              <w:rPr>
                <w:i/>
                <w:iCs/>
              </w:rPr>
              <w:t xml:space="preserve"> </w:t>
            </w:r>
            <w:r w:rsidR="00B80C85">
              <w:rPr>
                <w:i/>
                <w:iCs/>
              </w:rPr>
              <w:t xml:space="preserve">and Method of Administration </w:t>
            </w:r>
            <w:r w:rsidRPr="00DA5E4B">
              <w:rPr>
                <w:i/>
                <w:iCs/>
              </w:rPr>
              <w:t xml:space="preserve">and 5.1 </w:t>
            </w:r>
            <w:r w:rsidR="00B80C85">
              <w:rPr>
                <w:i/>
                <w:iCs/>
              </w:rPr>
              <w:t>Pharmacodynamic Properties</w:t>
            </w:r>
            <w:r w:rsidRPr="00DA5E4B">
              <w:rPr>
                <w:i/>
                <w:iCs/>
              </w:rPr>
              <w:t xml:space="preserve"> – Clinical trials</w:t>
            </w:r>
            <w:r w:rsidRPr="00E13099">
              <w:rPr>
                <w:i/>
                <w:iCs/>
              </w:rPr>
              <w:t>)</w:t>
            </w:r>
          </w:p>
        </w:tc>
      </w:tr>
      <w:tr w:rsidR="009F2673" w:rsidRPr="003D1E62" w14:paraId="586C1389" w14:textId="77777777" w:rsidTr="00146F01">
        <w:tc>
          <w:tcPr>
            <w:tcW w:w="1577" w:type="pct"/>
          </w:tcPr>
          <w:p w14:paraId="175D1C9E" w14:textId="5A1C2695" w:rsidR="009F2673" w:rsidRPr="00487162" w:rsidRDefault="009F2673" w:rsidP="009E5A87">
            <w:pPr>
              <w:rPr>
                <w:i/>
              </w:rPr>
            </w:pPr>
            <w:r w:rsidRPr="00487162">
              <w:rPr>
                <w:i/>
              </w:rPr>
              <w:t>Route of administration:</w:t>
            </w:r>
          </w:p>
        </w:tc>
        <w:tc>
          <w:tcPr>
            <w:tcW w:w="3423" w:type="pct"/>
          </w:tcPr>
          <w:p w14:paraId="6A1F938A" w14:textId="2B8E4FE5" w:rsidR="009F2673" w:rsidRPr="00487162" w:rsidRDefault="00E13099" w:rsidP="009E5A87">
            <w:r>
              <w:t>Oral</w:t>
            </w:r>
          </w:p>
        </w:tc>
      </w:tr>
      <w:tr w:rsidR="009F2673" w:rsidRPr="003D1E62" w14:paraId="13D3230E" w14:textId="77777777" w:rsidTr="00146F01">
        <w:tc>
          <w:tcPr>
            <w:tcW w:w="1577" w:type="pct"/>
          </w:tcPr>
          <w:p w14:paraId="45365905" w14:textId="77777777" w:rsidR="009F2673" w:rsidRPr="00487162" w:rsidRDefault="009F2673" w:rsidP="009E5A87">
            <w:pPr>
              <w:rPr>
                <w:i/>
              </w:rPr>
            </w:pPr>
            <w:r w:rsidRPr="00487162">
              <w:rPr>
                <w:i/>
              </w:rPr>
              <w:t>Dosage:</w:t>
            </w:r>
          </w:p>
        </w:tc>
        <w:tc>
          <w:tcPr>
            <w:tcW w:w="3423" w:type="pct"/>
          </w:tcPr>
          <w:p w14:paraId="5101DE05" w14:textId="639E34CF" w:rsidR="009F2673" w:rsidRPr="00DA5E4B" w:rsidRDefault="00DA5E4B" w:rsidP="00DA5E4B">
            <w:r w:rsidRPr="00DA5E4B">
              <w:t>The recommended oral dosage of Maviret for adults and adolescents 12 years and older or weighing at least 45 kg is three tablets (total daily dose: glecaprevir 300 mg and pibrentasvir 120 mg) once daily at the same time with food.</w:t>
            </w:r>
          </w:p>
          <w:p w14:paraId="475CD505" w14:textId="7593736E" w:rsidR="00DA5E4B" w:rsidRPr="00DA5E4B" w:rsidRDefault="00DA5E4B" w:rsidP="00DA5E4B">
            <w:r w:rsidRPr="00DA5E4B">
              <w:lastRenderedPageBreak/>
              <w:t>The</w:t>
            </w:r>
            <w:r w:rsidR="00661F70">
              <w:t xml:space="preserve"> dosage for </w:t>
            </w:r>
            <w:r w:rsidR="00661F70" w:rsidRPr="00DA5E4B">
              <w:t>paediatric patient</w:t>
            </w:r>
            <w:r w:rsidR="00323F27">
              <w:t>s</w:t>
            </w:r>
            <w:r w:rsidR="00661F70">
              <w:t xml:space="preserve"> of</w:t>
            </w:r>
            <w:r w:rsidR="00661F70" w:rsidRPr="00DA5E4B">
              <w:t xml:space="preserve"> 3 years to less than 12</w:t>
            </w:r>
            <w:r w:rsidR="00D80BC1">
              <w:t> </w:t>
            </w:r>
            <w:r w:rsidR="00661F70" w:rsidRPr="00DA5E4B">
              <w:t xml:space="preserve">years old and weighing 12 kg to less than 45 kg </w:t>
            </w:r>
            <w:r w:rsidR="00661F70">
              <w:t>is</w:t>
            </w:r>
            <w:r w:rsidRPr="00DA5E4B">
              <w:t xml:space="preserve"> based on body weight</w:t>
            </w:r>
            <w:r w:rsidR="00661F70">
              <w:t>.</w:t>
            </w:r>
          </w:p>
          <w:p w14:paraId="4FAF516A" w14:textId="77777777" w:rsidR="009F2673" w:rsidRPr="00487162" w:rsidRDefault="009F2673" w:rsidP="009E5A87">
            <w:r w:rsidRPr="00460036">
              <w:t>For further information regarding dosage, refer to the Product Information.</w:t>
            </w:r>
          </w:p>
        </w:tc>
      </w:tr>
      <w:tr w:rsidR="009F2673" w:rsidRPr="003D1E62" w14:paraId="70604B2A" w14:textId="77777777" w:rsidTr="00146F01">
        <w:tc>
          <w:tcPr>
            <w:tcW w:w="1577" w:type="pct"/>
          </w:tcPr>
          <w:p w14:paraId="25F497DF" w14:textId="77777777" w:rsidR="009F2673" w:rsidRPr="00487162" w:rsidRDefault="009F2673" w:rsidP="009E5A87">
            <w:pPr>
              <w:rPr>
                <w:i/>
              </w:rPr>
            </w:pPr>
            <w:r w:rsidRPr="00460036">
              <w:rPr>
                <w:i/>
              </w:rPr>
              <w:lastRenderedPageBreak/>
              <w:t>Pregnancy category</w:t>
            </w:r>
            <w:r>
              <w:rPr>
                <w:i/>
              </w:rPr>
              <w:t>:</w:t>
            </w:r>
          </w:p>
        </w:tc>
        <w:tc>
          <w:tcPr>
            <w:tcW w:w="3423" w:type="pct"/>
          </w:tcPr>
          <w:p w14:paraId="696BE8E2" w14:textId="743D3C3C" w:rsidR="00DA5E4B" w:rsidRDefault="00DA5E4B" w:rsidP="009F2673">
            <w:r>
              <w:t>B1</w:t>
            </w:r>
          </w:p>
          <w:p w14:paraId="10A4372F" w14:textId="59E53E46" w:rsidR="00DA5E4B" w:rsidRDefault="00DA5E4B" w:rsidP="00DA5E4B">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3372F9F0" w14:textId="06E5C40B" w:rsidR="009F2673" w:rsidRDefault="00DA5E4B" w:rsidP="00DA5E4B">
            <w:r>
              <w:t xml:space="preserve">Studies in animals have not shown evidence of an increased occurrence of </w:t>
            </w:r>
            <w:proofErr w:type="spellStart"/>
            <w:r>
              <w:t>fetal</w:t>
            </w:r>
            <w:proofErr w:type="spellEnd"/>
            <w:r>
              <w:t xml:space="preserve"> damage.</w:t>
            </w:r>
          </w:p>
          <w:p w14:paraId="317854F7" w14:textId="27F2EC0D" w:rsidR="009F2673" w:rsidRPr="00487162" w:rsidRDefault="009F2673" w:rsidP="00DA5E4B">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9307661" w14:textId="77777777" w:rsidR="008E7846" w:rsidRDefault="008E7846" w:rsidP="008E7846">
      <w:pPr>
        <w:pStyle w:val="Heading3"/>
      </w:pPr>
      <w:bookmarkStart w:id="10" w:name="_Toc247691503"/>
      <w:bookmarkStart w:id="11" w:name="_Toc314842484"/>
      <w:bookmarkStart w:id="12" w:name="_Toc128033640"/>
      <w:r>
        <w:t>Product background</w:t>
      </w:r>
      <w:bookmarkEnd w:id="10"/>
      <w:bookmarkEnd w:id="11"/>
      <w:bookmarkEnd w:id="12"/>
    </w:p>
    <w:p w14:paraId="133A4547" w14:textId="07A41E72" w:rsidR="009F2673"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r w:rsidR="00B80C85" w:rsidRPr="00B80C85">
        <w:t>Abb</w:t>
      </w:r>
      <w:r w:rsidR="00323F27">
        <w:t>V</w:t>
      </w:r>
      <w:r w:rsidR="00B80C85" w:rsidRPr="00B80C85">
        <w:t xml:space="preserve">ie Pty Ltd </w:t>
      </w:r>
      <w:r w:rsidRPr="000A4A42">
        <w:t xml:space="preserve">(the sponsor) to register </w:t>
      </w:r>
      <w:r w:rsidR="00786397" w:rsidRPr="00786397">
        <w:t xml:space="preserve">Maviret </w:t>
      </w:r>
      <w:r w:rsidRPr="000A4A42">
        <w:t>(</w:t>
      </w:r>
      <w:r w:rsidR="00786397">
        <w:t>g</w:t>
      </w:r>
      <w:r w:rsidR="00786397" w:rsidRPr="00786397">
        <w:t>lecaprevir</w:t>
      </w:r>
      <w:r w:rsidR="007C50B6">
        <w:t xml:space="preserve"> and </w:t>
      </w:r>
      <w:r w:rsidR="00786397" w:rsidRPr="00786397">
        <w:t>pibrentasvir</w:t>
      </w:r>
      <w:r w:rsidRPr="000A4A42">
        <w:t xml:space="preserve">) </w:t>
      </w:r>
      <w:r w:rsidR="00786397">
        <w:t xml:space="preserve">100 mg/40 mg tablets and 50 mg/20 mg granules </w:t>
      </w:r>
      <w:r w:rsidRPr="000A4A42">
        <w:t>for the</w:t>
      </w:r>
      <w:r w:rsidR="00786397">
        <w:t xml:space="preserve"> following </w:t>
      </w:r>
      <w:r w:rsidRPr="000A4A42">
        <w:t>extension of indications:</w:t>
      </w:r>
    </w:p>
    <w:p w14:paraId="18D949FA" w14:textId="72651C64" w:rsidR="004719B5" w:rsidRPr="004719B5" w:rsidRDefault="004719B5" w:rsidP="004719B5">
      <w:pPr>
        <w:ind w:left="720"/>
        <w:rPr>
          <w:i/>
          <w:iCs/>
        </w:rPr>
      </w:pPr>
      <w:r w:rsidRPr="004719B5">
        <w:rPr>
          <w:i/>
          <w:iCs/>
        </w:rPr>
        <w:t xml:space="preserve">Maviret is indicated for the treatment of adult and paediatric patients 3 years and older with chronic hepatitis C virus (HCV) genotype (GT) 1, 2, 3, 4, 5, or 6 </w:t>
      </w:r>
      <w:proofErr w:type="gramStart"/>
      <w:r w:rsidRPr="004719B5">
        <w:rPr>
          <w:i/>
          <w:iCs/>
        </w:rPr>
        <w:t>infection</w:t>
      </w:r>
      <w:proofErr w:type="gramEnd"/>
      <w:r w:rsidRPr="004719B5">
        <w:rPr>
          <w:i/>
          <w:iCs/>
        </w:rPr>
        <w:t xml:space="preserve"> with or without compensated cirrhosis. This includes patients with HCV GT1 infection who were previously treated with either a regimen of an NS5A inhibitor or with an NS3/4A protease inhibitor but not both classes of inhibitors (see 4.2 Dose and Method of Administration and 5.1 Pharmacodynamic Properties – Clinical trials).</w:t>
      </w:r>
    </w:p>
    <w:p w14:paraId="08E85512" w14:textId="3E30A7D9" w:rsidR="004B3A5E" w:rsidRDefault="004B3A5E" w:rsidP="009F6400">
      <w:bookmarkStart w:id="13" w:name="_Toc314842485"/>
      <w:bookmarkStart w:id="14" w:name="_Toc247691504"/>
      <w:r w:rsidRPr="009F6400">
        <w:t xml:space="preserve">Hepatitis C is a liver disease caused by the </w:t>
      </w:r>
      <w:r w:rsidR="00415F03" w:rsidRPr="00A15449">
        <w:rPr>
          <w:i/>
        </w:rPr>
        <w:t>h</w:t>
      </w:r>
      <w:r w:rsidRPr="00A15449">
        <w:rPr>
          <w:i/>
        </w:rPr>
        <w:t xml:space="preserve">epatitis C virus </w:t>
      </w:r>
      <w:r w:rsidRPr="009F6400">
        <w:t xml:space="preserve">(HCV). HCV is a single stranded, enveloped RNA virus that is mainly transmitted parenterally through blood products or contaminated needles, but other modes of transmission are possible. Unlike </w:t>
      </w:r>
      <w:r w:rsidR="00415F03">
        <w:t>h</w:t>
      </w:r>
      <w:r w:rsidRPr="009F6400">
        <w:t xml:space="preserve">epatitis A </w:t>
      </w:r>
      <w:r w:rsidR="00D80BC1">
        <w:t xml:space="preserve">(caused by </w:t>
      </w:r>
      <w:r w:rsidR="00D80BC1">
        <w:rPr>
          <w:i/>
        </w:rPr>
        <w:t>Hepatitis</w:t>
      </w:r>
      <w:r w:rsidR="00D80BC1" w:rsidRPr="00A15449">
        <w:rPr>
          <w:i/>
        </w:rPr>
        <w:t xml:space="preserve"> A</w:t>
      </w:r>
      <w:r w:rsidR="00D80BC1">
        <w:rPr>
          <w:i/>
        </w:rPr>
        <w:t xml:space="preserve"> virus</w:t>
      </w:r>
      <w:r w:rsidR="00D80BC1">
        <w:t xml:space="preserve">) </w:t>
      </w:r>
      <w:r w:rsidRPr="009F6400">
        <w:t xml:space="preserve">and </w:t>
      </w:r>
      <w:r w:rsidR="00D80BC1">
        <w:t xml:space="preserve">hepatitis </w:t>
      </w:r>
      <w:r w:rsidRPr="009F6400">
        <w:t>B</w:t>
      </w:r>
      <w:r w:rsidR="00D80BC1">
        <w:t xml:space="preserve"> (caused by </w:t>
      </w:r>
      <w:r w:rsidR="00D80BC1" w:rsidRPr="00A15449">
        <w:rPr>
          <w:i/>
        </w:rPr>
        <w:t>Hepatitis B virus</w:t>
      </w:r>
      <w:r w:rsidR="00D80BC1">
        <w:t>),</w:t>
      </w:r>
      <w:r w:rsidRPr="009F6400">
        <w:t xml:space="preserve"> no effective vaccination is available for </w:t>
      </w:r>
      <w:r w:rsidR="00415F03">
        <w:t>h</w:t>
      </w:r>
      <w:r w:rsidRPr="009F6400">
        <w:t>epatitis C. Most patients infected with HCV will remain asymptomatic during their acute infection and throughout the course until they develop chronic liver disease. Most patients progress to chronic liver disease and progression to cirrhosis and/or hepatocellular cancer occurs in a significant proportion of patients.</w:t>
      </w:r>
    </w:p>
    <w:p w14:paraId="789D5D4B" w14:textId="7733FE2E" w:rsidR="000F1DFD" w:rsidRPr="009F6400" w:rsidRDefault="000F1DFD" w:rsidP="009F6400">
      <w:r w:rsidRPr="000F1DFD">
        <w:lastRenderedPageBreak/>
        <w:t>At the end of 2020, it was estimated that there were 117 814 people in Australia living with chronic hepatitis C</w:t>
      </w:r>
      <w:r>
        <w:t>.</w:t>
      </w:r>
      <w:bookmarkStart w:id="15" w:name="_Ref127345148"/>
      <w:r>
        <w:rPr>
          <w:rStyle w:val="FootnoteReference"/>
        </w:rPr>
        <w:footnoteReference w:id="1"/>
      </w:r>
      <w:bookmarkEnd w:id="15"/>
      <w:r>
        <w:rPr>
          <w:vertAlign w:val="superscript"/>
        </w:rPr>
        <w:t>,</w:t>
      </w:r>
      <w:r>
        <w:rPr>
          <w:rStyle w:val="FootnoteReference"/>
        </w:rPr>
        <w:footnoteReference w:id="2"/>
      </w:r>
    </w:p>
    <w:p w14:paraId="541441EB" w14:textId="32B298CA" w:rsidR="004B3A5E" w:rsidRPr="009F6400" w:rsidRDefault="004B3A5E" w:rsidP="009F6400">
      <w:r w:rsidRPr="009F6400">
        <w:t>The prevalence of paediatric HCV infection is mainly due to perinatal transmission.</w:t>
      </w:r>
      <w:bookmarkStart w:id="16" w:name="_Ref127345112"/>
      <w:r w:rsidR="000F1DFD">
        <w:rPr>
          <w:rStyle w:val="FootnoteReference"/>
        </w:rPr>
        <w:footnoteReference w:id="3"/>
      </w:r>
      <w:bookmarkEnd w:id="16"/>
      <w:r w:rsidR="00C50118">
        <w:rPr>
          <w:vertAlign w:val="superscript"/>
        </w:rPr>
        <w:t>,</w:t>
      </w:r>
      <w:bookmarkStart w:id="17" w:name="_Ref128033307"/>
      <w:r w:rsidR="000F1DFD">
        <w:rPr>
          <w:rStyle w:val="FootnoteReference"/>
        </w:rPr>
        <w:footnoteReference w:id="4"/>
      </w:r>
      <w:bookmarkEnd w:id="17"/>
      <w:r w:rsidR="00A15449">
        <w:rPr>
          <w:vertAlign w:val="superscript"/>
        </w:rPr>
        <w:t xml:space="preserve"> </w:t>
      </w:r>
      <w:r w:rsidRPr="009F6400">
        <w:t>Compared to adults, the progression is generally slower and spontaneous clearance occurs more frequently.</w:t>
      </w:r>
      <w:r w:rsidR="00C50118" w:rsidRPr="00A15449">
        <w:rPr>
          <w:vertAlign w:val="superscript"/>
        </w:rPr>
        <w:fldChar w:fldCharType="begin"/>
      </w:r>
      <w:r w:rsidR="00C50118" w:rsidRPr="00A15449">
        <w:rPr>
          <w:vertAlign w:val="superscript"/>
        </w:rPr>
        <w:instrText xml:space="preserve"> NOTEREF _Ref127345112 \h </w:instrText>
      </w:r>
      <w:r w:rsidR="00C50118">
        <w:rPr>
          <w:vertAlign w:val="superscript"/>
        </w:rPr>
        <w:instrText xml:space="preserve"> \* MERGEFORMAT </w:instrText>
      </w:r>
      <w:r w:rsidR="00C50118" w:rsidRPr="00A15449">
        <w:rPr>
          <w:vertAlign w:val="superscript"/>
        </w:rPr>
      </w:r>
      <w:r w:rsidR="00C50118" w:rsidRPr="00A15449">
        <w:rPr>
          <w:vertAlign w:val="superscript"/>
        </w:rPr>
        <w:fldChar w:fldCharType="separate"/>
      </w:r>
      <w:r w:rsidR="00051287">
        <w:rPr>
          <w:vertAlign w:val="superscript"/>
        </w:rPr>
        <w:t>3</w:t>
      </w:r>
      <w:r w:rsidR="00C50118" w:rsidRPr="00A15449">
        <w:rPr>
          <w:vertAlign w:val="superscript"/>
        </w:rPr>
        <w:fldChar w:fldCharType="end"/>
      </w:r>
    </w:p>
    <w:p w14:paraId="6B2163EE" w14:textId="7126F33D" w:rsidR="004B3A5E" w:rsidRPr="009F6400" w:rsidRDefault="004B3A5E" w:rsidP="009F6400">
      <w:r w:rsidRPr="009F6400">
        <w:t>In Australia, the most common HCV genotypes are genotype 1 and genotype 3.</w:t>
      </w:r>
      <w:r w:rsidR="00C50118" w:rsidRPr="00A15449">
        <w:rPr>
          <w:vertAlign w:val="superscript"/>
        </w:rPr>
        <w:fldChar w:fldCharType="begin"/>
      </w:r>
      <w:r w:rsidR="00C50118" w:rsidRPr="00A15449">
        <w:rPr>
          <w:vertAlign w:val="superscript"/>
        </w:rPr>
        <w:instrText xml:space="preserve"> NOTEREF _Ref127345148 \h </w:instrText>
      </w:r>
      <w:r w:rsidR="00C50118">
        <w:rPr>
          <w:vertAlign w:val="superscript"/>
        </w:rPr>
        <w:instrText xml:space="preserve"> \* MERGEFORMAT </w:instrText>
      </w:r>
      <w:r w:rsidR="00C50118" w:rsidRPr="00A15449">
        <w:rPr>
          <w:vertAlign w:val="superscript"/>
        </w:rPr>
      </w:r>
      <w:r w:rsidR="00C50118" w:rsidRPr="00A15449">
        <w:rPr>
          <w:vertAlign w:val="superscript"/>
        </w:rPr>
        <w:fldChar w:fldCharType="separate"/>
      </w:r>
      <w:r w:rsidR="00051287">
        <w:rPr>
          <w:vertAlign w:val="superscript"/>
        </w:rPr>
        <w:t>1</w:t>
      </w:r>
      <w:r w:rsidR="00C50118" w:rsidRPr="00A15449">
        <w:rPr>
          <w:vertAlign w:val="superscript"/>
        </w:rPr>
        <w:fldChar w:fldCharType="end"/>
      </w:r>
    </w:p>
    <w:p w14:paraId="50A23509" w14:textId="1EE47E47" w:rsidR="004B3A5E" w:rsidRPr="009F6400" w:rsidRDefault="004B3A5E" w:rsidP="009F6400">
      <w:r w:rsidRPr="009F6400">
        <w:t>For children aged under three years, deferral of treatment until age three years is usually recommended. Children younger than 12 years that have cirrhosis are rare.</w:t>
      </w:r>
      <w:r w:rsidR="00C50118" w:rsidRPr="00FE1EC6">
        <w:rPr>
          <w:vertAlign w:val="superscript"/>
        </w:rPr>
        <w:fldChar w:fldCharType="begin"/>
      </w:r>
      <w:r w:rsidR="00C50118" w:rsidRPr="00FE1EC6">
        <w:rPr>
          <w:vertAlign w:val="superscript"/>
        </w:rPr>
        <w:instrText xml:space="preserve"> NOTEREF _Ref127345112 \h </w:instrText>
      </w:r>
      <w:r w:rsidR="00C50118">
        <w:rPr>
          <w:vertAlign w:val="superscript"/>
        </w:rPr>
        <w:instrText xml:space="preserve"> \* MERGEFORMAT </w:instrText>
      </w:r>
      <w:r w:rsidR="00C50118" w:rsidRPr="00FE1EC6">
        <w:rPr>
          <w:vertAlign w:val="superscript"/>
        </w:rPr>
      </w:r>
      <w:r w:rsidR="00C50118" w:rsidRPr="00FE1EC6">
        <w:rPr>
          <w:vertAlign w:val="superscript"/>
        </w:rPr>
        <w:fldChar w:fldCharType="separate"/>
      </w:r>
      <w:r w:rsidR="00051287">
        <w:rPr>
          <w:vertAlign w:val="superscript"/>
        </w:rPr>
        <w:t>3</w:t>
      </w:r>
      <w:r w:rsidR="00C50118" w:rsidRPr="00FE1EC6">
        <w:rPr>
          <w:vertAlign w:val="superscript"/>
        </w:rPr>
        <w:fldChar w:fldCharType="end"/>
      </w:r>
    </w:p>
    <w:p w14:paraId="153E756B" w14:textId="62F6378A" w:rsidR="004B3A5E" w:rsidRPr="009F6400" w:rsidRDefault="004B3A5E" w:rsidP="009F6400">
      <w:r w:rsidRPr="009F6400">
        <w:t xml:space="preserve">In Australia, no </w:t>
      </w:r>
      <w:r w:rsidR="00F055FA">
        <w:t>direct</w:t>
      </w:r>
      <w:r w:rsidR="00146F01">
        <w:t xml:space="preserve"> </w:t>
      </w:r>
      <w:r w:rsidR="00F055FA">
        <w:t>acting antiviral agent (</w:t>
      </w:r>
      <w:r w:rsidRPr="00F055FA">
        <w:t>DAA</w:t>
      </w:r>
      <w:r w:rsidR="00F055FA">
        <w:t>)</w:t>
      </w:r>
      <w:r w:rsidRPr="009F6400">
        <w:t xml:space="preserve"> is currently indicated for HCV treatment in children younger than 12 years. Relevant international and some Australian guidelines</w:t>
      </w:r>
      <w:r w:rsidR="000C411D">
        <w:t>;</w:t>
      </w:r>
      <w:r w:rsidR="000C411D" w:rsidRPr="00A15449">
        <w:rPr>
          <w:vertAlign w:val="superscript"/>
        </w:rPr>
        <w:fldChar w:fldCharType="begin"/>
      </w:r>
      <w:r w:rsidR="000C411D" w:rsidRPr="00A15449">
        <w:rPr>
          <w:vertAlign w:val="superscript"/>
        </w:rPr>
        <w:instrText xml:space="preserve"> NOTEREF _Ref127345112 \h </w:instrText>
      </w:r>
      <w:r w:rsidR="000C411D">
        <w:rPr>
          <w:vertAlign w:val="superscript"/>
        </w:rPr>
        <w:instrText xml:space="preserve"> \* MERGEFORMAT </w:instrText>
      </w:r>
      <w:r w:rsidR="000C411D" w:rsidRPr="00A15449">
        <w:rPr>
          <w:vertAlign w:val="superscript"/>
        </w:rPr>
      </w:r>
      <w:r w:rsidR="000C411D" w:rsidRPr="00A15449">
        <w:rPr>
          <w:vertAlign w:val="superscript"/>
        </w:rPr>
        <w:fldChar w:fldCharType="separate"/>
      </w:r>
      <w:r w:rsidR="00051287">
        <w:rPr>
          <w:vertAlign w:val="superscript"/>
        </w:rPr>
        <w:t>3</w:t>
      </w:r>
      <w:r w:rsidR="000C411D" w:rsidRPr="00A15449">
        <w:rPr>
          <w:vertAlign w:val="superscript"/>
        </w:rPr>
        <w:fldChar w:fldCharType="end"/>
      </w:r>
      <w:r w:rsidR="000C411D">
        <w:rPr>
          <w:vertAlign w:val="superscript"/>
        </w:rPr>
        <w:t>,</w:t>
      </w:r>
      <w:r w:rsidR="000C411D">
        <w:rPr>
          <w:rStyle w:val="FootnoteReference"/>
        </w:rPr>
        <w:footnoteReference w:id="5"/>
      </w:r>
      <w:r w:rsidRPr="009F6400">
        <w:t xml:space="preserve"> recommend the use of DAAs in that age group for naïve patients without cirrhosis, and in Australia, this would currently be off label. Options recommended include</w:t>
      </w:r>
      <w:r w:rsidR="009F6400" w:rsidRPr="009F6400">
        <w:t xml:space="preserve"> </w:t>
      </w:r>
      <w:r w:rsidRPr="009F6400">
        <w:t>sofosbuvir</w:t>
      </w:r>
      <w:r w:rsidR="00FF10AA">
        <w:t xml:space="preserve"> and </w:t>
      </w:r>
      <w:proofErr w:type="spellStart"/>
      <w:r w:rsidRPr="009F6400">
        <w:t>velpatasvir</w:t>
      </w:r>
      <w:proofErr w:type="spellEnd"/>
      <w:r w:rsidRPr="009F6400">
        <w:t xml:space="preserve"> (Epclusa)</w:t>
      </w:r>
      <w:r w:rsidR="00415F03">
        <w:t>;</w:t>
      </w:r>
      <w:r w:rsidRPr="00580731">
        <w:rPr>
          <w:vertAlign w:val="superscript"/>
        </w:rPr>
        <w:footnoteReference w:id="6"/>
      </w:r>
      <w:r w:rsidR="009F6400" w:rsidRPr="009F6400">
        <w:t xml:space="preserve"> or </w:t>
      </w:r>
      <w:proofErr w:type="spellStart"/>
      <w:r w:rsidRPr="009F6400">
        <w:t>glecaprevir</w:t>
      </w:r>
      <w:proofErr w:type="spellEnd"/>
      <w:r w:rsidR="00FF10AA">
        <w:t xml:space="preserve"> and </w:t>
      </w:r>
      <w:r w:rsidRPr="009F6400">
        <w:t>pibrentasvir (Maviret)</w:t>
      </w:r>
      <w:r w:rsidR="00415F03">
        <w:t>;</w:t>
      </w:r>
      <w:r w:rsidRPr="00580731">
        <w:rPr>
          <w:vertAlign w:val="superscript"/>
        </w:rPr>
        <w:footnoteReference w:id="7"/>
      </w:r>
      <w:r w:rsidR="009F6400" w:rsidRPr="00580731">
        <w:rPr>
          <w:vertAlign w:val="superscript"/>
        </w:rPr>
        <w:t xml:space="preserve"> </w:t>
      </w:r>
      <w:r w:rsidR="009F6400" w:rsidRPr="009F6400">
        <w:t xml:space="preserve">for any </w:t>
      </w:r>
      <w:r w:rsidRPr="009F6400">
        <w:t>genotype, or sofosbuvir</w:t>
      </w:r>
      <w:r w:rsidR="00FF10AA">
        <w:t xml:space="preserve"> and </w:t>
      </w:r>
      <w:r w:rsidRPr="009F6400">
        <w:t>ledipasvir (Harvoni)</w:t>
      </w:r>
      <w:r w:rsidR="00415F03">
        <w:t>;</w:t>
      </w:r>
      <w:r w:rsidR="009F6400" w:rsidRPr="00580731">
        <w:rPr>
          <w:vertAlign w:val="superscript"/>
        </w:rPr>
        <w:footnoteReference w:id="8"/>
      </w:r>
      <w:r w:rsidRPr="009F6400">
        <w:t xml:space="preserve"> for genotypes 1, 4, 5, or 6 only</w:t>
      </w:r>
      <w:r w:rsidR="009F6400" w:rsidRPr="009F6400">
        <w:t xml:space="preserve"> (Harvoni is</w:t>
      </w:r>
      <w:r w:rsidRPr="009F6400">
        <w:t xml:space="preserve"> not genotype restricted in the Australian indication, but genotype 2 and 3 data are limited).</w:t>
      </w:r>
    </w:p>
    <w:p w14:paraId="6429D25B" w14:textId="2950F752" w:rsidR="004B3A5E" w:rsidRPr="009F6400" w:rsidRDefault="004B3A5E" w:rsidP="009F6400">
      <w:r w:rsidRPr="009F6400">
        <w:t xml:space="preserve">Maviret is a combination of the </w:t>
      </w:r>
      <w:r w:rsidR="009F6400">
        <w:t>non</w:t>
      </w:r>
      <w:r w:rsidR="005407A8">
        <w:t>-</w:t>
      </w:r>
      <w:r w:rsidR="009F6400">
        <w:t>structural protein 3 (</w:t>
      </w:r>
      <w:r w:rsidRPr="009F6400">
        <w:t>NS3</w:t>
      </w:r>
      <w:r w:rsidR="009F6400">
        <w:t>)</w:t>
      </w:r>
      <w:r w:rsidRPr="009F6400">
        <w:t>/</w:t>
      </w:r>
      <w:r w:rsidR="009F6400">
        <w:t>non</w:t>
      </w:r>
      <w:r w:rsidR="005407A8">
        <w:t>-</w:t>
      </w:r>
      <w:r w:rsidR="009F6400">
        <w:t>structural protein 4 (</w:t>
      </w:r>
      <w:r w:rsidRPr="009F6400">
        <w:t>NS4</w:t>
      </w:r>
      <w:r w:rsidR="009F6400">
        <w:t>) protease</w:t>
      </w:r>
      <w:r w:rsidRPr="009F6400">
        <w:t xml:space="preserve"> inhibitor glecaprevir and the</w:t>
      </w:r>
      <w:r w:rsidR="009F6400">
        <w:t xml:space="preserve"> non</w:t>
      </w:r>
      <w:r w:rsidR="005407A8">
        <w:t>-</w:t>
      </w:r>
      <w:r w:rsidR="009F6400">
        <w:t xml:space="preserve">structural protein </w:t>
      </w:r>
      <w:r w:rsidR="009D6861">
        <w:t>5A (</w:t>
      </w:r>
      <w:r w:rsidRPr="009F6400">
        <w:t>NS5A</w:t>
      </w:r>
      <w:r w:rsidR="009D6861">
        <w:t>)</w:t>
      </w:r>
      <w:r w:rsidRPr="009F6400">
        <w:t xml:space="preserve"> inhibitor pibrentasvir and </w:t>
      </w:r>
      <w:r w:rsidR="009D6861">
        <w:t xml:space="preserve">is </w:t>
      </w:r>
      <w:r w:rsidRPr="009F6400">
        <w:t xml:space="preserve">currently registered for the treatment of adult and adolescent patients 12 years and older with chronic hepatitis C virus genotype 1, 2, 3, 4, 5, or 6 </w:t>
      </w:r>
      <w:proofErr w:type="gramStart"/>
      <w:r w:rsidRPr="009F6400">
        <w:t>infection</w:t>
      </w:r>
      <w:proofErr w:type="gramEnd"/>
      <w:r w:rsidRPr="009F6400">
        <w:t xml:space="preserve"> with or without compensated cirrhosis. This includes patients with HCV </w:t>
      </w:r>
      <w:r w:rsidR="00A01E26">
        <w:t>genotype</w:t>
      </w:r>
      <w:r w:rsidR="00A01E26" w:rsidRPr="009F6400">
        <w:t xml:space="preserve"> </w:t>
      </w:r>
      <w:r w:rsidRPr="009F6400">
        <w:t xml:space="preserve">1 infection who were previously treated </w:t>
      </w:r>
      <w:r w:rsidRPr="009F6400">
        <w:lastRenderedPageBreak/>
        <w:t>with either a regimen of an NS5A inhibitor or with an NS3/4A protease inhibitor but not both classes of inhibitors.</w:t>
      </w:r>
    </w:p>
    <w:p w14:paraId="1582938A" w14:textId="1ABD9BDA" w:rsidR="009F2673" w:rsidRPr="000A4A42" w:rsidRDefault="009F2673" w:rsidP="009F2673">
      <w:r w:rsidRPr="000A4A42">
        <w:t xml:space="preserve">This </w:t>
      </w:r>
      <w:r w:rsidR="00BB0B78">
        <w:t>submission</w:t>
      </w:r>
      <w:r w:rsidRPr="000A4A42">
        <w:t xml:space="preserve"> was evaluated as part of the </w:t>
      </w:r>
      <w:hyperlink r:id="rId15" w:history="1">
        <w:r>
          <w:rPr>
            <w:rStyle w:val="Hyperlink"/>
          </w:rPr>
          <w:t>Australia-Canada-Singapore-Switzerland-United Kingdom (ACCESS) Consortium</w:t>
        </w:r>
      </w:hyperlink>
      <w:r w:rsidRPr="000A4A42">
        <w:t xml:space="preserve"> with work-sharing between the TGA</w:t>
      </w:r>
      <w:r w:rsidR="00580731">
        <w:t xml:space="preserve"> and</w:t>
      </w:r>
      <w:r w:rsidRPr="000A4A42">
        <w:t xml:space="preserve"> </w:t>
      </w:r>
      <w:r w:rsidRPr="00580731">
        <w:rPr>
          <w:iCs/>
        </w:rPr>
        <w:t>Health Canada</w:t>
      </w:r>
      <w:r w:rsidR="00580731">
        <w:rPr>
          <w:iCs/>
          <w:color w:val="007099"/>
        </w:rPr>
        <w:t xml:space="preserve">. </w:t>
      </w:r>
      <w:r w:rsidRPr="000A4A42">
        <w:t>Each regulator made independent decisions regarding approval (market authorisation) of the new medicine.</w:t>
      </w:r>
    </w:p>
    <w:p w14:paraId="5848884D" w14:textId="77777777" w:rsidR="008E7846" w:rsidRPr="003F31A2" w:rsidRDefault="00386150" w:rsidP="008E7846">
      <w:pPr>
        <w:pStyle w:val="Heading3"/>
      </w:pPr>
      <w:bookmarkStart w:id="18" w:name="_Toc128033641"/>
      <w:r>
        <w:t>Regulatory s</w:t>
      </w:r>
      <w:r w:rsidR="008E7846">
        <w:t>tatus</w:t>
      </w:r>
      <w:bookmarkEnd w:id="13"/>
      <w:bookmarkEnd w:id="14"/>
      <w:bookmarkEnd w:id="18"/>
    </w:p>
    <w:p w14:paraId="7DFA47C9" w14:textId="7D364EA9" w:rsidR="00332715" w:rsidRDefault="00332715" w:rsidP="00332715">
      <w:bookmarkStart w:id="19" w:name="_Toc247691505"/>
      <w:bookmarkStart w:id="20" w:name="_Toc314842486"/>
      <w:r>
        <w:t>The product received initial registration on the Australian Register of Therapeutic Goods (ARTG) o</w:t>
      </w:r>
      <w:r w:rsidR="00AF7CF2">
        <w:t>n 2 January 2018 for the following indication:</w:t>
      </w:r>
      <w:bookmarkStart w:id="21" w:name="_Ref127347401"/>
      <w:r w:rsidR="0073129E">
        <w:rPr>
          <w:rStyle w:val="FootnoteReference"/>
        </w:rPr>
        <w:footnoteReference w:id="9"/>
      </w:r>
      <w:bookmarkEnd w:id="21"/>
    </w:p>
    <w:p w14:paraId="1A214FB9" w14:textId="6791B55C" w:rsidR="00AF7CF2" w:rsidRPr="00AF7CF2" w:rsidRDefault="00AF7CF2" w:rsidP="00AF7CF2">
      <w:pPr>
        <w:ind w:left="720"/>
        <w:rPr>
          <w:i/>
          <w:iCs/>
        </w:rPr>
      </w:pPr>
      <w:r w:rsidRPr="00AF7CF2">
        <w:rPr>
          <w:i/>
          <w:iCs/>
        </w:rPr>
        <w:t xml:space="preserve">Maviret is indicated for the treatment of adult patients with chronic hepatitis C virus (HCV) genotype 1, 2, 3, 4, 5, or 6 </w:t>
      </w:r>
      <w:proofErr w:type="gramStart"/>
      <w:r w:rsidRPr="00AF7CF2">
        <w:rPr>
          <w:i/>
          <w:iCs/>
        </w:rPr>
        <w:t>infection</w:t>
      </w:r>
      <w:proofErr w:type="gramEnd"/>
      <w:r w:rsidRPr="00AF7CF2">
        <w:rPr>
          <w:i/>
          <w:iCs/>
        </w:rPr>
        <w:t xml:space="preserve"> with or without compensated cirrhosis. This includes patients with HCV genotype 1 infection who were previously treated with either a regimen of an NS5A inhibitor or with an NS3/4A protease inhibitor but not both classes of inhibitors.</w:t>
      </w:r>
    </w:p>
    <w:p w14:paraId="06E21A14" w14:textId="7710B131" w:rsidR="00332715" w:rsidRDefault="00332715" w:rsidP="00332715">
      <w:r>
        <w:t xml:space="preserve">At the time the TGA considered this </w:t>
      </w:r>
      <w:r w:rsidR="00BB0B78">
        <w:t>submission</w:t>
      </w:r>
      <w:r>
        <w:t xml:space="preserve">, a similar </w:t>
      </w:r>
      <w:r w:rsidR="00BB0B78">
        <w:t>submission</w:t>
      </w:r>
      <w:r>
        <w:t xml:space="preserve"> had been approved </w:t>
      </w:r>
      <w:r w:rsidR="00AF7CF2">
        <w:t>in the European Union</w:t>
      </w:r>
      <w:r w:rsidR="00415F03">
        <w:t xml:space="preserve"> (EU)</w:t>
      </w:r>
      <w:r w:rsidR="00AF7CF2">
        <w:t xml:space="preserve"> (22 June 2021) and the United States of America </w:t>
      </w:r>
      <w:r w:rsidR="0074091E">
        <w:t xml:space="preserve">(USA) </w:t>
      </w:r>
      <w:r w:rsidR="00AF7CF2">
        <w:t>(10</w:t>
      </w:r>
      <w:r w:rsidR="0073129E">
        <w:t> </w:t>
      </w:r>
      <w:r w:rsidR="00AF7CF2">
        <w:t>June 2021)</w:t>
      </w:r>
      <w:r>
        <w:t xml:space="preserve">. A similar </w:t>
      </w:r>
      <w:r w:rsidR="00BB0B78">
        <w:t>submission</w:t>
      </w:r>
      <w:r>
        <w:t xml:space="preserve"> was under consideration in </w:t>
      </w:r>
      <w:r w:rsidR="00AF7CF2">
        <w:t>Canada (</w:t>
      </w:r>
      <w:r w:rsidR="0073129E">
        <w:t>s</w:t>
      </w:r>
      <w:r w:rsidR="00AF7CF2" w:rsidRPr="00AF7CF2">
        <w:t xml:space="preserve">ubmitted as part of </w:t>
      </w:r>
      <w:r w:rsidR="0073129E">
        <w:t xml:space="preserve">the </w:t>
      </w:r>
      <w:hyperlink r:id="rId16" w:history="1">
        <w:r w:rsidR="00AF7CF2" w:rsidRPr="0073129E">
          <w:rPr>
            <w:rStyle w:val="Hyperlink"/>
          </w:rPr>
          <w:t>ACCESS workshare</w:t>
        </w:r>
      </w:hyperlink>
      <w:r w:rsidR="00AF7CF2" w:rsidRPr="00AF7CF2">
        <w:t xml:space="preserve"> with Australia</w:t>
      </w:r>
      <w:r w:rsidR="00AF7CF2">
        <w:t>) and Great Britain</w:t>
      </w:r>
      <w:r>
        <w:t xml:space="preserve"> (submitted on </w:t>
      </w:r>
      <w:r w:rsidR="00AF7CF2">
        <w:t>20</w:t>
      </w:r>
      <w:r w:rsidR="0073129E">
        <w:t> </w:t>
      </w:r>
      <w:r w:rsidR="00AF7CF2">
        <w:t>May</w:t>
      </w:r>
      <w:r w:rsidR="0073129E">
        <w:t> </w:t>
      </w:r>
      <w:r w:rsidR="00AF7CF2">
        <w:t>2021</w:t>
      </w:r>
      <w:r>
        <w:t>).</w:t>
      </w:r>
    </w:p>
    <w:p w14:paraId="00576F4F"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3555E50B" w14:textId="5C20405A" w:rsidR="00324E45" w:rsidRPr="00F0146F" w:rsidRDefault="00324E45" w:rsidP="00324E45">
      <w:pPr>
        <w:pStyle w:val="TableTitle"/>
      </w:pPr>
      <w:bookmarkStart w:id="22" w:name="_Ref99705479"/>
      <w:r>
        <w:t xml:space="preserve">Table </w:t>
      </w:r>
      <w:r w:rsidR="00A42754">
        <w:fldChar w:fldCharType="begin"/>
      </w:r>
      <w:r w:rsidR="00A42754">
        <w:instrText xml:space="preserve"> SEQ Table \* ARABIC </w:instrText>
      </w:r>
      <w:r w:rsidR="00A42754">
        <w:fldChar w:fldCharType="separate"/>
      </w:r>
      <w:r w:rsidR="00051287">
        <w:rPr>
          <w:noProof/>
        </w:rPr>
        <w:t>1</w:t>
      </w:r>
      <w:r w:rsidR="00A42754">
        <w:rPr>
          <w:noProof/>
        </w:rPr>
        <w:fldChar w:fldCharType="end"/>
      </w:r>
      <w:bookmarkEnd w:id="22"/>
      <w:r>
        <w:t>: International regulatory status</w:t>
      </w:r>
    </w:p>
    <w:tbl>
      <w:tblPr>
        <w:tblStyle w:val="TableTGAblue"/>
        <w:tblW w:w="8815" w:type="dxa"/>
        <w:tblLook w:val="04A0" w:firstRow="1" w:lastRow="0" w:firstColumn="1" w:lastColumn="0" w:noHBand="0" w:noVBand="1"/>
      </w:tblPr>
      <w:tblGrid>
        <w:gridCol w:w="1255"/>
        <w:gridCol w:w="2224"/>
        <w:gridCol w:w="2046"/>
        <w:gridCol w:w="3290"/>
      </w:tblGrid>
      <w:tr w:rsidR="00A52BAD" w14:paraId="390A5BC6" w14:textId="77777777" w:rsidTr="00A15449">
        <w:trPr>
          <w:cnfStyle w:val="100000000000" w:firstRow="1" w:lastRow="0" w:firstColumn="0" w:lastColumn="0" w:oddVBand="0" w:evenVBand="0" w:oddHBand="0" w:evenHBand="0" w:firstRowFirstColumn="0" w:firstRowLastColumn="0" w:lastRowFirstColumn="0" w:lastRowLastColumn="0"/>
        </w:trPr>
        <w:tc>
          <w:tcPr>
            <w:tcW w:w="1255" w:type="dxa"/>
            <w:tcBorders>
              <w:top w:val="single" w:sz="4" w:space="0" w:color="auto"/>
              <w:left w:val="single" w:sz="4" w:space="0" w:color="auto"/>
              <w:bottom w:val="single" w:sz="4" w:space="0" w:color="auto"/>
              <w:right w:val="single" w:sz="4" w:space="0" w:color="auto"/>
            </w:tcBorders>
          </w:tcPr>
          <w:p w14:paraId="3B40AB71" w14:textId="77777777" w:rsidR="00006FAB" w:rsidRDefault="00006FAB" w:rsidP="00006FAB">
            <w:pPr>
              <w:ind w:left="0" w:right="0"/>
            </w:pPr>
            <w:r>
              <w:t>Region</w:t>
            </w:r>
          </w:p>
        </w:tc>
        <w:tc>
          <w:tcPr>
            <w:tcW w:w="2224" w:type="dxa"/>
            <w:tcBorders>
              <w:top w:val="single" w:sz="4" w:space="0" w:color="auto"/>
              <w:left w:val="single" w:sz="4" w:space="0" w:color="auto"/>
              <w:bottom w:val="single" w:sz="4" w:space="0" w:color="auto"/>
              <w:right w:val="single" w:sz="4" w:space="0" w:color="auto"/>
            </w:tcBorders>
          </w:tcPr>
          <w:p w14:paraId="3AFDEB1D" w14:textId="77777777" w:rsidR="00006FAB" w:rsidRDefault="00006FAB" w:rsidP="00006FAB">
            <w:pPr>
              <w:ind w:left="0" w:right="0"/>
            </w:pPr>
            <w:r>
              <w:t>Submission date</w:t>
            </w:r>
          </w:p>
        </w:tc>
        <w:tc>
          <w:tcPr>
            <w:tcW w:w="2046" w:type="dxa"/>
            <w:tcBorders>
              <w:top w:val="single" w:sz="4" w:space="0" w:color="auto"/>
              <w:left w:val="single" w:sz="4" w:space="0" w:color="auto"/>
              <w:bottom w:val="single" w:sz="4" w:space="0" w:color="auto"/>
              <w:right w:val="single" w:sz="4" w:space="0" w:color="auto"/>
            </w:tcBorders>
          </w:tcPr>
          <w:p w14:paraId="3A3181F1" w14:textId="77777777" w:rsidR="00006FAB" w:rsidRDefault="00006FAB" w:rsidP="00006FAB">
            <w:pPr>
              <w:ind w:left="0" w:right="0"/>
            </w:pPr>
            <w:r>
              <w:t>Status</w:t>
            </w:r>
          </w:p>
        </w:tc>
        <w:tc>
          <w:tcPr>
            <w:tcW w:w="3290" w:type="dxa"/>
            <w:tcBorders>
              <w:top w:val="single" w:sz="4" w:space="0" w:color="auto"/>
              <w:left w:val="single" w:sz="4" w:space="0" w:color="auto"/>
              <w:bottom w:val="single" w:sz="4" w:space="0" w:color="auto"/>
              <w:right w:val="single" w:sz="4" w:space="0" w:color="auto"/>
            </w:tcBorders>
          </w:tcPr>
          <w:p w14:paraId="1852BC31" w14:textId="77777777" w:rsidR="00006FAB" w:rsidRDefault="00006FAB" w:rsidP="00006FAB">
            <w:pPr>
              <w:ind w:left="0" w:right="0"/>
            </w:pPr>
            <w:r>
              <w:t>Approved indications</w:t>
            </w:r>
          </w:p>
        </w:tc>
      </w:tr>
      <w:tr w:rsidR="00A52BAD" w14:paraId="15409420" w14:textId="77777777" w:rsidTr="00A15449">
        <w:tc>
          <w:tcPr>
            <w:tcW w:w="1255" w:type="dxa"/>
            <w:tcBorders>
              <w:top w:val="single" w:sz="4" w:space="0" w:color="auto"/>
            </w:tcBorders>
          </w:tcPr>
          <w:p w14:paraId="5D6F88B4" w14:textId="72A5BD01" w:rsidR="00006FAB" w:rsidRDefault="00122D8A" w:rsidP="00006FAB">
            <w:pPr>
              <w:ind w:left="0" w:right="0"/>
            </w:pPr>
            <w:r>
              <w:t>European Union</w:t>
            </w:r>
          </w:p>
        </w:tc>
        <w:tc>
          <w:tcPr>
            <w:tcW w:w="2224" w:type="dxa"/>
            <w:tcBorders>
              <w:top w:val="single" w:sz="4" w:space="0" w:color="auto"/>
            </w:tcBorders>
          </w:tcPr>
          <w:p w14:paraId="1ADC5010" w14:textId="6E8FDA93" w:rsidR="00006FAB" w:rsidRDefault="00A52BAD" w:rsidP="00006FAB">
            <w:pPr>
              <w:ind w:left="0" w:right="0"/>
            </w:pPr>
            <w:r>
              <w:t>6 March 2020</w:t>
            </w:r>
          </w:p>
        </w:tc>
        <w:tc>
          <w:tcPr>
            <w:tcW w:w="2046" w:type="dxa"/>
            <w:tcBorders>
              <w:top w:val="single" w:sz="4" w:space="0" w:color="auto"/>
            </w:tcBorders>
          </w:tcPr>
          <w:p w14:paraId="10F83428" w14:textId="5248D62C" w:rsidR="00006FAB" w:rsidRDefault="00A52BAD" w:rsidP="00006FAB">
            <w:pPr>
              <w:ind w:left="0" w:right="0"/>
            </w:pPr>
            <w:r>
              <w:t>Approved on 22</w:t>
            </w:r>
            <w:r w:rsidR="0073129E">
              <w:t> </w:t>
            </w:r>
            <w:r>
              <w:t>June 2021</w:t>
            </w:r>
          </w:p>
        </w:tc>
        <w:tc>
          <w:tcPr>
            <w:tcW w:w="3290" w:type="dxa"/>
            <w:tcBorders>
              <w:top w:val="single" w:sz="4" w:space="0" w:color="auto"/>
            </w:tcBorders>
          </w:tcPr>
          <w:p w14:paraId="3AAEDE11" w14:textId="47207BE5" w:rsidR="00A52BAD" w:rsidRPr="00A52BAD" w:rsidRDefault="00A52BAD" w:rsidP="00A52BAD">
            <w:pPr>
              <w:ind w:left="0" w:right="0"/>
              <w:rPr>
                <w:i/>
                <w:iCs/>
              </w:rPr>
            </w:pPr>
            <w:r w:rsidRPr="00A52BAD">
              <w:rPr>
                <w:i/>
                <w:iCs/>
              </w:rPr>
              <w:t>Maviret is indicated for the treatment of chronic hepatitis C virus (HCV) infection in adults and children 3 years and older (see sections 4.2, 4.4. and 5.1).</w:t>
            </w:r>
          </w:p>
          <w:p w14:paraId="1CF59ACE" w14:textId="754223D6" w:rsidR="00006FAB" w:rsidRDefault="00A52BAD" w:rsidP="00A52BAD">
            <w:pPr>
              <w:ind w:left="0" w:right="0"/>
            </w:pPr>
            <w:r w:rsidRPr="00A52BAD">
              <w:rPr>
                <w:i/>
                <w:iCs/>
              </w:rPr>
              <w:t xml:space="preserve">Maviret coated granules is indicated for the treatment of chronic hepatitis C virus (HCV) infection in children 3 years and </w:t>
            </w:r>
            <w:r w:rsidRPr="00A52BAD">
              <w:rPr>
                <w:i/>
                <w:iCs/>
              </w:rPr>
              <w:lastRenderedPageBreak/>
              <w:t>older (see sections 4.2, 4.4. and 5.1).</w:t>
            </w:r>
          </w:p>
        </w:tc>
      </w:tr>
      <w:tr w:rsidR="00006FAB" w14:paraId="55EA5853" w14:textId="77777777" w:rsidTr="00A15449">
        <w:tc>
          <w:tcPr>
            <w:tcW w:w="1255" w:type="dxa"/>
          </w:tcPr>
          <w:p w14:paraId="697F4772" w14:textId="05F8C4BE" w:rsidR="00006FAB" w:rsidRDefault="00A52BAD" w:rsidP="00006FAB">
            <w:pPr>
              <w:ind w:left="0" w:right="0"/>
            </w:pPr>
            <w:r>
              <w:lastRenderedPageBreak/>
              <w:t>United States of America</w:t>
            </w:r>
          </w:p>
        </w:tc>
        <w:tc>
          <w:tcPr>
            <w:tcW w:w="2224" w:type="dxa"/>
          </w:tcPr>
          <w:p w14:paraId="52E4C69E" w14:textId="6EAEF1C5" w:rsidR="00006FAB" w:rsidRDefault="00A52BAD" w:rsidP="00006FAB">
            <w:pPr>
              <w:ind w:left="0" w:right="0"/>
            </w:pPr>
            <w:r>
              <w:t>10 December 2020</w:t>
            </w:r>
          </w:p>
        </w:tc>
        <w:tc>
          <w:tcPr>
            <w:tcW w:w="2046" w:type="dxa"/>
          </w:tcPr>
          <w:p w14:paraId="2DA46BF3" w14:textId="4F4D3FC8" w:rsidR="00006FAB" w:rsidRDefault="00A52BAD" w:rsidP="00006FAB">
            <w:pPr>
              <w:ind w:left="0" w:right="0"/>
            </w:pPr>
            <w:r>
              <w:t>Approved on 10</w:t>
            </w:r>
            <w:r w:rsidR="0073129E">
              <w:t> </w:t>
            </w:r>
            <w:r>
              <w:t>June 2021</w:t>
            </w:r>
          </w:p>
        </w:tc>
        <w:tc>
          <w:tcPr>
            <w:tcW w:w="3290" w:type="dxa"/>
          </w:tcPr>
          <w:p w14:paraId="04366037" w14:textId="2C7B42F9" w:rsidR="00006FAB" w:rsidRPr="00A52BAD" w:rsidRDefault="00A52BAD" w:rsidP="00A52BAD">
            <w:pPr>
              <w:ind w:left="0" w:right="0"/>
              <w:rPr>
                <w:i/>
                <w:iCs/>
              </w:rPr>
            </w:pPr>
            <w:r w:rsidRPr="00A52BAD">
              <w:rPr>
                <w:i/>
                <w:iCs/>
              </w:rPr>
              <w:t>M</w:t>
            </w:r>
            <w:r w:rsidR="00B80C85">
              <w:rPr>
                <w:i/>
                <w:iCs/>
              </w:rPr>
              <w:t>aviret</w:t>
            </w:r>
            <w:r w:rsidRPr="00A52BAD">
              <w:rPr>
                <w:i/>
                <w:iCs/>
              </w:rPr>
              <w:t xml:space="preserve"> is indicated for the treatment of adult and paediatric patients 3 years and older with chronic hepatitis C virus (HCV) genotype 1, 2, 3, 4, 5 or 6 </w:t>
            </w:r>
            <w:proofErr w:type="gramStart"/>
            <w:r w:rsidRPr="00A52BAD">
              <w:rPr>
                <w:i/>
                <w:iCs/>
              </w:rPr>
              <w:t>infection</w:t>
            </w:r>
            <w:proofErr w:type="gramEnd"/>
            <w:r w:rsidRPr="00A52BAD">
              <w:rPr>
                <w:i/>
                <w:iCs/>
              </w:rPr>
              <w:t xml:space="preserve"> without </w:t>
            </w:r>
            <w:r>
              <w:rPr>
                <w:i/>
                <w:iCs/>
              </w:rPr>
              <w:t>c</w:t>
            </w:r>
            <w:r w:rsidRPr="00A52BAD">
              <w:rPr>
                <w:i/>
                <w:iCs/>
              </w:rPr>
              <w:t>irrhosis or with compensated cirrhosis (Child-Pugh A).</w:t>
            </w:r>
          </w:p>
          <w:p w14:paraId="17CE06DF" w14:textId="7DBEA62E" w:rsidR="00A52BAD" w:rsidRDefault="00A52BAD" w:rsidP="00A52BAD">
            <w:pPr>
              <w:ind w:left="0" w:right="0"/>
            </w:pPr>
            <w:r w:rsidRPr="00A52BAD">
              <w:rPr>
                <w:i/>
                <w:iCs/>
              </w:rPr>
              <w:t>M</w:t>
            </w:r>
            <w:r w:rsidR="00B80C85">
              <w:rPr>
                <w:i/>
                <w:iCs/>
              </w:rPr>
              <w:t>aviret</w:t>
            </w:r>
            <w:r w:rsidRPr="00A52BAD">
              <w:rPr>
                <w:i/>
                <w:iCs/>
              </w:rPr>
              <w:t xml:space="preserve"> is indicated for the treatment of adult and </w:t>
            </w:r>
            <w:proofErr w:type="spellStart"/>
            <w:r w:rsidRPr="00A52BAD">
              <w:rPr>
                <w:i/>
                <w:iCs/>
              </w:rPr>
              <w:t>pediatric</w:t>
            </w:r>
            <w:proofErr w:type="spellEnd"/>
            <w:r w:rsidRPr="00A52BAD">
              <w:rPr>
                <w:i/>
                <w:iCs/>
              </w:rPr>
              <w:t xml:space="preserve"> patients 3 years and older with HCV genotype 1 infection, who previously have been treated with a regimen containing an HCV NS5A inhibitor or an NS3/4A protease inhibitor (PI), but not both [see Dosage and Administration (2.2) and Clinical Studies (14)].</w:t>
            </w:r>
          </w:p>
        </w:tc>
      </w:tr>
      <w:tr w:rsidR="00A52BAD" w14:paraId="3A1769C5" w14:textId="77777777" w:rsidTr="00A15449">
        <w:trPr>
          <w:cantSplit/>
        </w:trPr>
        <w:tc>
          <w:tcPr>
            <w:tcW w:w="1255" w:type="dxa"/>
          </w:tcPr>
          <w:p w14:paraId="0244D7DA" w14:textId="317FD9CD" w:rsidR="00A52BAD" w:rsidRDefault="00A52BAD" w:rsidP="00A52BAD">
            <w:pPr>
              <w:ind w:left="0"/>
            </w:pPr>
            <w:r>
              <w:t>Canada</w:t>
            </w:r>
          </w:p>
        </w:tc>
        <w:tc>
          <w:tcPr>
            <w:tcW w:w="2224" w:type="dxa"/>
          </w:tcPr>
          <w:p w14:paraId="26198789" w14:textId="16F464C7" w:rsidR="00A52BAD" w:rsidRDefault="00A52BAD" w:rsidP="00A52BAD">
            <w:pPr>
              <w:ind w:left="0"/>
            </w:pPr>
            <w:r>
              <w:t>18 December 2020</w:t>
            </w:r>
          </w:p>
        </w:tc>
        <w:tc>
          <w:tcPr>
            <w:tcW w:w="2046" w:type="dxa"/>
          </w:tcPr>
          <w:p w14:paraId="3C71553C" w14:textId="23C0FB41" w:rsidR="00A52BAD" w:rsidRDefault="00A52BAD" w:rsidP="00A52BAD">
            <w:pPr>
              <w:ind w:left="0"/>
            </w:pPr>
            <w:r>
              <w:t>Submitted as part of ACCESS workshare with Australia</w:t>
            </w:r>
            <w:r w:rsidR="0073129E">
              <w:t>;</w:t>
            </w:r>
            <w:r w:rsidR="001151BE">
              <w:t xml:space="preserve"> approved on </w:t>
            </w:r>
            <w:r w:rsidR="00AE59BA">
              <w:t>29</w:t>
            </w:r>
            <w:r w:rsidR="0073129E">
              <w:t> </w:t>
            </w:r>
            <w:r w:rsidR="00AE59BA">
              <w:t>November 2021</w:t>
            </w:r>
          </w:p>
        </w:tc>
        <w:tc>
          <w:tcPr>
            <w:tcW w:w="3290" w:type="dxa"/>
          </w:tcPr>
          <w:p w14:paraId="62DFADB2" w14:textId="1C49708F" w:rsidR="00A52BAD" w:rsidRPr="00A52BAD" w:rsidRDefault="00A52BAD" w:rsidP="00A52BAD">
            <w:pPr>
              <w:ind w:left="0" w:right="0"/>
              <w:rPr>
                <w:i/>
                <w:iCs/>
              </w:rPr>
            </w:pPr>
            <w:r w:rsidRPr="00A52BAD">
              <w:rPr>
                <w:i/>
                <w:iCs/>
              </w:rPr>
              <w:t>M</w:t>
            </w:r>
            <w:r w:rsidR="00B80C85">
              <w:rPr>
                <w:i/>
                <w:iCs/>
              </w:rPr>
              <w:t xml:space="preserve">aviret </w:t>
            </w:r>
            <w:r w:rsidRPr="00A52BAD">
              <w:rPr>
                <w:i/>
                <w:iCs/>
              </w:rPr>
              <w:t>(glecaprevir</w:t>
            </w:r>
            <w:r w:rsidR="007C50B6">
              <w:rPr>
                <w:i/>
                <w:iCs/>
              </w:rPr>
              <w:t xml:space="preserve"> and </w:t>
            </w:r>
            <w:r w:rsidRPr="00A52BAD">
              <w:rPr>
                <w:i/>
                <w:iCs/>
              </w:rPr>
              <w:t xml:space="preserve">pibrentasvir) is indicated for the treatment of chronic hepatitis C virus (HCV) infection in adults and </w:t>
            </w:r>
            <w:proofErr w:type="spellStart"/>
            <w:r w:rsidRPr="00A52BAD">
              <w:rPr>
                <w:i/>
                <w:iCs/>
              </w:rPr>
              <w:t>pediatric</w:t>
            </w:r>
            <w:proofErr w:type="spellEnd"/>
            <w:r w:rsidRPr="00A52BAD">
              <w:rPr>
                <w:i/>
                <w:iCs/>
              </w:rPr>
              <w:t xml:space="preserve"> patients 3 years of age and older </w:t>
            </w:r>
            <w:r w:rsidR="00AE59BA">
              <w:rPr>
                <w:i/>
                <w:iCs/>
              </w:rPr>
              <w:t xml:space="preserve">and weighing </w:t>
            </w:r>
            <w:r w:rsidR="00AE59BA" w:rsidRPr="00AE59BA">
              <w:rPr>
                <w:i/>
                <w:iCs/>
              </w:rPr>
              <w:t>≥</w:t>
            </w:r>
            <w:r w:rsidR="0073129E">
              <w:rPr>
                <w:i/>
                <w:iCs/>
              </w:rPr>
              <w:t> </w:t>
            </w:r>
            <w:r w:rsidR="00AE59BA" w:rsidRPr="00AE59BA">
              <w:rPr>
                <w:i/>
                <w:iCs/>
              </w:rPr>
              <w:t>12</w:t>
            </w:r>
            <w:r w:rsidR="0073129E">
              <w:rPr>
                <w:i/>
                <w:iCs/>
              </w:rPr>
              <w:t> </w:t>
            </w:r>
            <w:r w:rsidR="00AE59BA" w:rsidRPr="00AE59BA">
              <w:rPr>
                <w:i/>
                <w:iCs/>
              </w:rPr>
              <w:t xml:space="preserve">kg </w:t>
            </w:r>
            <w:r w:rsidRPr="00A52BAD">
              <w:rPr>
                <w:i/>
                <w:iCs/>
              </w:rPr>
              <w:t xml:space="preserve">(see </w:t>
            </w:r>
            <w:r w:rsidR="00AE59BA">
              <w:rPr>
                <w:i/>
                <w:iCs/>
              </w:rPr>
              <w:t xml:space="preserve">4 </w:t>
            </w:r>
            <w:r w:rsidRPr="00A52BAD">
              <w:rPr>
                <w:i/>
                <w:iCs/>
              </w:rPr>
              <w:t>D</w:t>
            </w:r>
            <w:r w:rsidR="00B80C85">
              <w:rPr>
                <w:i/>
                <w:iCs/>
              </w:rPr>
              <w:t>osage and Administration and</w:t>
            </w:r>
            <w:r w:rsidR="00AE59BA">
              <w:rPr>
                <w:i/>
                <w:iCs/>
              </w:rPr>
              <w:t>14</w:t>
            </w:r>
            <w:r w:rsidR="00B80C85">
              <w:rPr>
                <w:i/>
                <w:iCs/>
              </w:rPr>
              <w:t xml:space="preserve"> Clinical Trials).</w:t>
            </w:r>
          </w:p>
        </w:tc>
      </w:tr>
      <w:tr w:rsidR="00A52BAD" w14:paraId="2E8DF996" w14:textId="77777777" w:rsidTr="00A15449">
        <w:tc>
          <w:tcPr>
            <w:tcW w:w="1255" w:type="dxa"/>
          </w:tcPr>
          <w:p w14:paraId="06A6CBA9" w14:textId="5C072EB6" w:rsidR="00A52BAD" w:rsidRDefault="00A52BAD" w:rsidP="00A52BAD">
            <w:pPr>
              <w:ind w:left="0"/>
            </w:pPr>
            <w:r>
              <w:t>Great Britain</w:t>
            </w:r>
          </w:p>
        </w:tc>
        <w:tc>
          <w:tcPr>
            <w:tcW w:w="2224" w:type="dxa"/>
          </w:tcPr>
          <w:p w14:paraId="47DFD4DB" w14:textId="556A4121" w:rsidR="00A52BAD" w:rsidRDefault="00A52BAD" w:rsidP="00A52BAD">
            <w:pPr>
              <w:ind w:left="0"/>
            </w:pPr>
            <w:r>
              <w:t>20 May 2021</w:t>
            </w:r>
          </w:p>
        </w:tc>
        <w:tc>
          <w:tcPr>
            <w:tcW w:w="2046" w:type="dxa"/>
          </w:tcPr>
          <w:p w14:paraId="70F5B3D1" w14:textId="06453707" w:rsidR="00255E8F" w:rsidRDefault="001151BE" w:rsidP="00A52BAD">
            <w:pPr>
              <w:ind w:left="0"/>
            </w:pPr>
            <w:r>
              <w:t>27 August 2021</w:t>
            </w:r>
          </w:p>
        </w:tc>
        <w:tc>
          <w:tcPr>
            <w:tcW w:w="3290" w:type="dxa"/>
          </w:tcPr>
          <w:p w14:paraId="1D004619" w14:textId="4779D01A" w:rsidR="00A52BAD" w:rsidRPr="00A15449" w:rsidRDefault="00AE59BA" w:rsidP="00A52BAD">
            <w:pPr>
              <w:ind w:left="0"/>
              <w:rPr>
                <w:i/>
              </w:rPr>
            </w:pPr>
            <w:r w:rsidRPr="00A15449">
              <w:rPr>
                <w:i/>
              </w:rPr>
              <w:t>Maviret is indicated for the treatment of chronic hepatitis C virus (HCV) infection in adults and children aged</w:t>
            </w:r>
            <w:r w:rsidR="00A15449">
              <w:rPr>
                <w:i/>
              </w:rPr>
              <w:t xml:space="preserve"> </w:t>
            </w:r>
            <w:r w:rsidRPr="00A15449">
              <w:rPr>
                <w:i/>
              </w:rPr>
              <w:t>3</w:t>
            </w:r>
            <w:r w:rsidR="0073129E">
              <w:rPr>
                <w:i/>
              </w:rPr>
              <w:t> </w:t>
            </w:r>
            <w:r w:rsidRPr="00A15449">
              <w:rPr>
                <w:i/>
              </w:rPr>
              <w:t>years and older (see sections 4.2, 4.4. and 5.1).</w:t>
            </w:r>
          </w:p>
        </w:tc>
      </w:tr>
    </w:tbl>
    <w:p w14:paraId="1A4B54A7" w14:textId="77777777" w:rsidR="008E7846" w:rsidRDefault="008E7846" w:rsidP="00940A89">
      <w:pPr>
        <w:pStyle w:val="Heading3"/>
      </w:pPr>
      <w:bookmarkStart w:id="23" w:name="_Toc128033642"/>
      <w:r>
        <w:lastRenderedPageBreak/>
        <w:t>Product Information</w:t>
      </w:r>
      <w:bookmarkEnd w:id="19"/>
      <w:bookmarkEnd w:id="20"/>
      <w:bookmarkEnd w:id="23"/>
    </w:p>
    <w:p w14:paraId="56FB3EBE" w14:textId="5C51A60B" w:rsidR="00332715" w:rsidRDefault="00332715" w:rsidP="00332715">
      <w:bookmarkStart w:id="24" w:name="_Toc504480011"/>
      <w:bookmarkStart w:id="25" w:name="_Toc247691506"/>
      <w:bookmarkStart w:id="26"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7" w:history="1">
        <w:r>
          <w:rPr>
            <w:rStyle w:val="Hyperlink"/>
          </w:rPr>
          <w:t>PI/CMI search facility</w:t>
        </w:r>
        <w:r w:rsidRPr="009556D7">
          <w:rPr>
            <w:rStyle w:val="Hyperlink"/>
            <w:color w:val="auto"/>
            <w:u w:val="none"/>
          </w:rPr>
          <w:t>.</w:t>
        </w:r>
      </w:hyperlink>
    </w:p>
    <w:p w14:paraId="26C7F80D" w14:textId="77777777" w:rsidR="00500337" w:rsidRDefault="00500337" w:rsidP="00500337">
      <w:pPr>
        <w:pStyle w:val="Heading2"/>
      </w:pPr>
      <w:bookmarkStart w:id="27" w:name="_Toc128033643"/>
      <w:r>
        <w:t>Registration timeline</w:t>
      </w:r>
      <w:bookmarkEnd w:id="24"/>
      <w:bookmarkEnd w:id="27"/>
    </w:p>
    <w:p w14:paraId="6083DC05" w14:textId="77777777" w:rsidR="0074163C" w:rsidRPr="00C93EC1" w:rsidRDefault="0074163C" w:rsidP="0074163C">
      <w:r w:rsidRPr="00C93EC1">
        <w:t xml:space="preserve">The following table captures the key steps and dates for this </w:t>
      </w:r>
      <w:r w:rsidR="00804D99">
        <w:t>submission</w:t>
      </w:r>
      <w:r w:rsidRPr="00C93EC1">
        <w:t>.</w:t>
      </w:r>
    </w:p>
    <w:p w14:paraId="3FA6830F" w14:textId="14CB67F4" w:rsidR="0074163C" w:rsidRPr="00957F73" w:rsidRDefault="0074163C" w:rsidP="00957F73">
      <w:pPr>
        <w:pStyle w:val="TableTitle"/>
      </w:pPr>
      <w:r>
        <w:t xml:space="preserve">Table </w:t>
      </w:r>
      <w:r w:rsidR="00A42754">
        <w:fldChar w:fldCharType="begin"/>
      </w:r>
      <w:r w:rsidR="00A42754">
        <w:instrText xml:space="preserve"> SEQ Table \* ARABIC </w:instrText>
      </w:r>
      <w:r w:rsidR="00A42754">
        <w:fldChar w:fldCharType="separate"/>
      </w:r>
      <w:r w:rsidR="00051287">
        <w:rPr>
          <w:noProof/>
        </w:rPr>
        <w:t>2</w:t>
      </w:r>
      <w:r w:rsidR="00A42754">
        <w:rPr>
          <w:noProof/>
        </w:rPr>
        <w:fldChar w:fldCharType="end"/>
      </w:r>
      <w:r>
        <w:t>:</w:t>
      </w:r>
      <w:r w:rsidRPr="006A58A8">
        <w:t xml:space="preserve"> Timeline for Submission </w:t>
      </w:r>
      <w:r w:rsidR="00AF7CF2" w:rsidRPr="00AF7CF2">
        <w:t>PM-2020-06602-1-2</w:t>
      </w:r>
    </w:p>
    <w:tbl>
      <w:tblPr>
        <w:tblStyle w:val="TableTGAblue"/>
        <w:tblW w:w="0" w:type="auto"/>
        <w:tblLook w:val="04A0" w:firstRow="1" w:lastRow="0" w:firstColumn="1" w:lastColumn="0" w:noHBand="0" w:noVBand="1"/>
      </w:tblPr>
      <w:tblGrid>
        <w:gridCol w:w="4255"/>
        <w:gridCol w:w="4239"/>
      </w:tblGrid>
      <w:tr w:rsidR="0074163C" w14:paraId="79D4FE4F"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71FEA891" w14:textId="77777777" w:rsidR="0074163C" w:rsidRDefault="0074163C" w:rsidP="009E5A87">
            <w:r>
              <w:t>Description</w:t>
            </w:r>
          </w:p>
        </w:tc>
        <w:tc>
          <w:tcPr>
            <w:tcW w:w="4360" w:type="dxa"/>
            <w:tcBorders>
              <w:top w:val="single" w:sz="4" w:space="0" w:color="auto"/>
              <w:left w:val="single" w:sz="4" w:space="0" w:color="auto"/>
              <w:bottom w:val="single" w:sz="4" w:space="0" w:color="auto"/>
              <w:right w:val="single" w:sz="4" w:space="0" w:color="auto"/>
            </w:tcBorders>
          </w:tcPr>
          <w:p w14:paraId="5195C5E0" w14:textId="77777777" w:rsidR="0074163C" w:rsidRDefault="0074163C" w:rsidP="009E5A87">
            <w:r>
              <w:t>Date</w:t>
            </w:r>
          </w:p>
        </w:tc>
      </w:tr>
      <w:tr w:rsidR="0074163C" w14:paraId="6E14A62A" w14:textId="77777777" w:rsidTr="009E5A87">
        <w:tc>
          <w:tcPr>
            <w:tcW w:w="4360" w:type="dxa"/>
            <w:tcBorders>
              <w:top w:val="single" w:sz="4" w:space="0" w:color="auto"/>
            </w:tcBorders>
          </w:tcPr>
          <w:p w14:paraId="7B2D1807" w14:textId="77777777" w:rsidR="0074163C" w:rsidRDefault="0074163C" w:rsidP="009E5A87">
            <w:r>
              <w:t>Submission dossier accepted and first round evaluation commenced</w:t>
            </w:r>
          </w:p>
        </w:tc>
        <w:tc>
          <w:tcPr>
            <w:tcW w:w="4360" w:type="dxa"/>
            <w:tcBorders>
              <w:top w:val="single" w:sz="4" w:space="0" w:color="auto"/>
            </w:tcBorders>
          </w:tcPr>
          <w:p w14:paraId="0BFFC426" w14:textId="23B6FE42" w:rsidR="0074163C" w:rsidRDefault="00040C13" w:rsidP="009E5A87">
            <w:r>
              <w:t>1 February 2021</w:t>
            </w:r>
          </w:p>
        </w:tc>
      </w:tr>
      <w:tr w:rsidR="0074163C" w14:paraId="01F81CA1" w14:textId="77777777" w:rsidTr="009E5A87">
        <w:tc>
          <w:tcPr>
            <w:tcW w:w="4360" w:type="dxa"/>
          </w:tcPr>
          <w:p w14:paraId="29379A96" w14:textId="77777777" w:rsidR="0074163C" w:rsidRDefault="0074163C" w:rsidP="009E5A87">
            <w:r>
              <w:t>First round evaluation completed</w:t>
            </w:r>
          </w:p>
        </w:tc>
        <w:tc>
          <w:tcPr>
            <w:tcW w:w="4360" w:type="dxa"/>
          </w:tcPr>
          <w:p w14:paraId="553233BF" w14:textId="0A6C9A61" w:rsidR="0074163C" w:rsidRDefault="00040C13" w:rsidP="009E5A87">
            <w:r>
              <w:t>30 June 2021</w:t>
            </w:r>
          </w:p>
        </w:tc>
      </w:tr>
      <w:tr w:rsidR="0074163C" w14:paraId="69FB6095" w14:textId="77777777" w:rsidTr="009E5A87">
        <w:tc>
          <w:tcPr>
            <w:tcW w:w="4360" w:type="dxa"/>
          </w:tcPr>
          <w:p w14:paraId="266EF1BB" w14:textId="3BF081D8" w:rsidR="0074163C" w:rsidRDefault="0074163C" w:rsidP="009E5A87">
            <w:r>
              <w:t>Sponsor provides responses on questions raised in first round evaluation</w:t>
            </w:r>
          </w:p>
        </w:tc>
        <w:tc>
          <w:tcPr>
            <w:tcW w:w="4360" w:type="dxa"/>
          </w:tcPr>
          <w:p w14:paraId="093C50FB" w14:textId="3E5D2539" w:rsidR="0074163C" w:rsidRDefault="00040C13" w:rsidP="009E5A87">
            <w:r>
              <w:t>28 July 202</w:t>
            </w:r>
            <w:r w:rsidR="00A23685">
              <w:t>1</w:t>
            </w:r>
          </w:p>
        </w:tc>
      </w:tr>
      <w:tr w:rsidR="0074163C" w14:paraId="5F98D6B2" w14:textId="77777777" w:rsidTr="009E5A87">
        <w:tc>
          <w:tcPr>
            <w:tcW w:w="4360" w:type="dxa"/>
          </w:tcPr>
          <w:p w14:paraId="6BB52531" w14:textId="77777777" w:rsidR="0074163C" w:rsidRDefault="0074163C" w:rsidP="009E5A87">
            <w:r>
              <w:t>Second round evaluation completed</w:t>
            </w:r>
          </w:p>
        </w:tc>
        <w:tc>
          <w:tcPr>
            <w:tcW w:w="4360" w:type="dxa"/>
          </w:tcPr>
          <w:p w14:paraId="1F60CCAD" w14:textId="47F81304" w:rsidR="0074163C" w:rsidRDefault="00040C13" w:rsidP="009E5A87">
            <w:r>
              <w:t>3 September 202</w:t>
            </w:r>
            <w:r w:rsidR="00A23685">
              <w:t>1</w:t>
            </w:r>
          </w:p>
        </w:tc>
      </w:tr>
      <w:tr w:rsidR="0074163C" w14:paraId="2CA10899" w14:textId="77777777" w:rsidTr="009E5A87">
        <w:tc>
          <w:tcPr>
            <w:tcW w:w="4360" w:type="dxa"/>
          </w:tcPr>
          <w:p w14:paraId="0571604E" w14:textId="68C3091C" w:rsidR="0074163C" w:rsidRDefault="0074163C" w:rsidP="009E5A87">
            <w:r>
              <w:t xml:space="preserve">Delegate’s Overall benefit-risk </w:t>
            </w:r>
            <w:r w:rsidRPr="00040C13">
              <w:rPr>
                <w:color w:val="auto"/>
              </w:rPr>
              <w:t>assessment and request for Advisory Committee advice</w:t>
            </w:r>
          </w:p>
        </w:tc>
        <w:tc>
          <w:tcPr>
            <w:tcW w:w="4360" w:type="dxa"/>
          </w:tcPr>
          <w:p w14:paraId="69884A8E" w14:textId="1A06813F" w:rsidR="0074163C" w:rsidRDefault="00040C13" w:rsidP="009E5A87">
            <w:r>
              <w:t>2 November 2021</w:t>
            </w:r>
          </w:p>
        </w:tc>
      </w:tr>
      <w:tr w:rsidR="0074163C" w14:paraId="526812B8" w14:textId="77777777" w:rsidTr="009E5A87">
        <w:tc>
          <w:tcPr>
            <w:tcW w:w="4360" w:type="dxa"/>
          </w:tcPr>
          <w:p w14:paraId="38D39559" w14:textId="77777777" w:rsidR="0074163C" w:rsidRDefault="0074163C" w:rsidP="009E5A87">
            <w:r>
              <w:t>Sponsor’s pre-Advisory Committee response</w:t>
            </w:r>
          </w:p>
        </w:tc>
        <w:tc>
          <w:tcPr>
            <w:tcW w:w="4360" w:type="dxa"/>
          </w:tcPr>
          <w:p w14:paraId="281540EA" w14:textId="4E15A6F1" w:rsidR="0074163C" w:rsidRDefault="00040C13" w:rsidP="009E5A87">
            <w:r>
              <w:t>10 November 2021</w:t>
            </w:r>
          </w:p>
        </w:tc>
      </w:tr>
      <w:tr w:rsidR="0074163C" w14:paraId="2A8DB8A0" w14:textId="77777777" w:rsidTr="009E5A87">
        <w:tc>
          <w:tcPr>
            <w:tcW w:w="4360" w:type="dxa"/>
          </w:tcPr>
          <w:p w14:paraId="7DA30225" w14:textId="77777777" w:rsidR="0074163C" w:rsidRDefault="0074163C" w:rsidP="009E5A87">
            <w:r>
              <w:t>Advisory Committee meeting</w:t>
            </w:r>
          </w:p>
        </w:tc>
        <w:tc>
          <w:tcPr>
            <w:tcW w:w="4360" w:type="dxa"/>
          </w:tcPr>
          <w:p w14:paraId="71963575" w14:textId="4AE37928" w:rsidR="0074163C" w:rsidRDefault="00040C13" w:rsidP="009E5A87">
            <w:r>
              <w:t>2 December 2021</w:t>
            </w:r>
          </w:p>
        </w:tc>
      </w:tr>
      <w:tr w:rsidR="0074163C" w14:paraId="2B058FCC" w14:textId="77777777" w:rsidTr="009E5A87">
        <w:tc>
          <w:tcPr>
            <w:tcW w:w="4360" w:type="dxa"/>
          </w:tcPr>
          <w:p w14:paraId="19F093FD" w14:textId="77777777" w:rsidR="0074163C" w:rsidRDefault="0074163C" w:rsidP="009E5A87">
            <w:r>
              <w:t>Registration decision (Outcome)</w:t>
            </w:r>
          </w:p>
        </w:tc>
        <w:tc>
          <w:tcPr>
            <w:tcW w:w="4360" w:type="dxa"/>
          </w:tcPr>
          <w:p w14:paraId="3D6A1DC9" w14:textId="4A59BA09" w:rsidR="0074163C" w:rsidRDefault="00040C13" w:rsidP="009E5A87">
            <w:r>
              <w:t>25 January 2022</w:t>
            </w:r>
          </w:p>
        </w:tc>
      </w:tr>
      <w:tr w:rsidR="0074163C" w14:paraId="3882EA9D" w14:textId="77777777" w:rsidTr="009E5A87">
        <w:tc>
          <w:tcPr>
            <w:tcW w:w="4360" w:type="dxa"/>
          </w:tcPr>
          <w:p w14:paraId="0F6A4E8B" w14:textId="77777777" w:rsidR="0074163C" w:rsidRDefault="0074163C" w:rsidP="009E5A87">
            <w:r w:rsidRPr="005A79F5">
              <w:t>Completion of administrative activities and registration on the ARTG</w:t>
            </w:r>
          </w:p>
        </w:tc>
        <w:tc>
          <w:tcPr>
            <w:tcW w:w="4360" w:type="dxa"/>
          </w:tcPr>
          <w:p w14:paraId="7C53DE45" w14:textId="4798E196" w:rsidR="0074163C" w:rsidRDefault="00040C13" w:rsidP="009E5A87">
            <w:r>
              <w:t>7 February 2022</w:t>
            </w:r>
          </w:p>
        </w:tc>
      </w:tr>
      <w:tr w:rsidR="0074163C" w14:paraId="69CBE73D" w14:textId="77777777" w:rsidTr="009E5A87">
        <w:tc>
          <w:tcPr>
            <w:tcW w:w="4360" w:type="dxa"/>
          </w:tcPr>
          <w:p w14:paraId="116F5218" w14:textId="77777777" w:rsidR="0074163C" w:rsidRDefault="0074163C" w:rsidP="009E5A87">
            <w:r w:rsidRPr="007F6CBB">
              <w:t>Number of working days from submission dossier acceptance to registration decision*</w:t>
            </w:r>
          </w:p>
        </w:tc>
        <w:tc>
          <w:tcPr>
            <w:tcW w:w="4360" w:type="dxa"/>
          </w:tcPr>
          <w:p w14:paraId="76AD1A03" w14:textId="04A00F7E" w:rsidR="0074163C" w:rsidRDefault="00E84B3A" w:rsidP="009E5A87">
            <w:r>
              <w:t>210</w:t>
            </w:r>
          </w:p>
        </w:tc>
      </w:tr>
    </w:tbl>
    <w:p w14:paraId="4E72FCA1"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13EE30C9" w14:textId="77777777" w:rsidR="008E7846" w:rsidRPr="00792A32" w:rsidRDefault="00006FAB" w:rsidP="008E7846">
      <w:pPr>
        <w:pStyle w:val="Heading2"/>
      </w:pPr>
      <w:bookmarkStart w:id="28" w:name="_Toc196046504"/>
      <w:bookmarkStart w:id="29" w:name="_Toc247691527"/>
      <w:bookmarkStart w:id="30" w:name="_Toc314842510"/>
      <w:bookmarkStart w:id="31" w:name="_Toc128033644"/>
      <w:bookmarkStart w:id="32" w:name="_Toc163441390"/>
      <w:bookmarkEnd w:id="25"/>
      <w:bookmarkEnd w:id="26"/>
      <w:bookmarkEnd w:id="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1"/>
    </w:p>
    <w:p w14:paraId="33D258E6" w14:textId="77777777" w:rsidR="005A79F5" w:rsidRDefault="005A79F5" w:rsidP="00490F11">
      <w:pPr>
        <w:rPr>
          <w:i/>
        </w:rPr>
      </w:pPr>
      <w:bookmarkStart w:id="33" w:name="_Toc247691528"/>
      <w:bookmarkStart w:id="34" w:name="_Toc314842511"/>
      <w:r w:rsidRPr="005A79F5">
        <w:t>A summary of the TGA’s assessment for this submission is provided below</w:t>
      </w:r>
      <w:r>
        <w:t>.</w:t>
      </w:r>
    </w:p>
    <w:p w14:paraId="250132E6" w14:textId="77777777" w:rsidR="0074163C" w:rsidRDefault="0074163C" w:rsidP="0074163C">
      <w:r>
        <w:t>This section is a TGA summary of wording used in TGA’s evaluation report, which discussed numerous aspects of overseas evaluation reports and included some information that was commercial-in-confidence.</w:t>
      </w:r>
    </w:p>
    <w:p w14:paraId="3E83CAD5" w14:textId="7EFA8C4D" w:rsidR="008E7846" w:rsidRDefault="008E7846" w:rsidP="008E7846">
      <w:pPr>
        <w:pStyle w:val="Heading3"/>
      </w:pPr>
      <w:bookmarkStart w:id="35" w:name="_Toc128033645"/>
      <w:r>
        <w:t>Quality</w:t>
      </w:r>
      <w:bookmarkEnd w:id="33"/>
      <w:bookmarkEnd w:id="34"/>
      <w:bookmarkEnd w:id="35"/>
    </w:p>
    <w:p w14:paraId="6CE55623" w14:textId="78EE7275" w:rsidR="00DB42E3" w:rsidRDefault="00DB42E3" w:rsidP="00DB42E3">
      <w:pPr>
        <w:pStyle w:val="Heading4"/>
      </w:pPr>
      <w:r>
        <w:t>Drug substance</w:t>
      </w:r>
    </w:p>
    <w:p w14:paraId="2ABF25D4" w14:textId="27315D5F" w:rsidR="00DB42E3" w:rsidRPr="00DB42E3" w:rsidRDefault="00DB42E3" w:rsidP="00DB42E3">
      <w:r w:rsidRPr="00DB42E3">
        <w:t>Glecaprevir and pibrentasvir drug substances have poor aqueous solubility over the physiological pH range in their crystalline forms as manufactured</w:t>
      </w:r>
      <w:r>
        <w:t>.</w:t>
      </w:r>
      <w:r w:rsidRPr="00DB42E3">
        <w:t xml:space="preserve"> </w:t>
      </w:r>
      <w:r>
        <w:t>T</w:t>
      </w:r>
      <w:r w:rsidRPr="00DB42E3">
        <w:t>herefore, they are processed separately as an amorphous solid dispersion of the drug substances</w:t>
      </w:r>
      <w:r w:rsidR="00AC3CA8">
        <w:t>.</w:t>
      </w:r>
    </w:p>
    <w:p w14:paraId="6EA9DAA7" w14:textId="2BD7DCE1" w:rsidR="00DB42E3" w:rsidRPr="00DB42E3" w:rsidRDefault="00DB42E3" w:rsidP="00DB42E3">
      <w:r w:rsidRPr="00DB42E3">
        <w:t xml:space="preserve">The glecaprevir and pibrentasvir drug substances and </w:t>
      </w:r>
      <w:r w:rsidR="00AC3CA8">
        <w:t xml:space="preserve">the </w:t>
      </w:r>
      <w:r w:rsidRPr="00DB42E3">
        <w:t>amorphous</w:t>
      </w:r>
      <w:r w:rsidR="00AC3CA8">
        <w:t xml:space="preserve"> solid dispersion</w:t>
      </w:r>
      <w:r w:rsidRPr="00DB42E3">
        <w:t xml:space="preserve"> used to manufacture the granules are the same as that for the approved </w:t>
      </w:r>
      <w:r w:rsidR="00733869" w:rsidRPr="00DB42E3">
        <w:t xml:space="preserve">100 mg/40 mg </w:t>
      </w:r>
      <w:r w:rsidRPr="00DB42E3">
        <w:t>glecaprevir</w:t>
      </w:r>
      <w:r w:rsidR="007C50B6">
        <w:t xml:space="preserve"> and </w:t>
      </w:r>
      <w:r w:rsidRPr="00DB42E3">
        <w:t>pibrentasvir film coated tablets currently indicated for adults and adolescents.</w:t>
      </w:r>
    </w:p>
    <w:p w14:paraId="566850E2" w14:textId="68BA2A59" w:rsidR="00DB42E3" w:rsidRDefault="00DB42E3" w:rsidP="00DB42E3">
      <w:pPr>
        <w:pStyle w:val="Heading4"/>
      </w:pPr>
      <w:r>
        <w:t>Drug Product</w:t>
      </w:r>
    </w:p>
    <w:p w14:paraId="22135C46" w14:textId="73F319FF" w:rsidR="00DB42E3" w:rsidRPr="00DB42E3" w:rsidRDefault="00DB42E3" w:rsidP="00DB42E3">
      <w:r w:rsidRPr="00DB42E3">
        <w:t>The drug product consists of glecaprevir</w:t>
      </w:r>
      <w:r w:rsidR="00D47AED">
        <w:t xml:space="preserve">, </w:t>
      </w:r>
      <w:r w:rsidR="00A15449">
        <w:t>as</w:t>
      </w:r>
      <w:r w:rsidR="00A15449" w:rsidRPr="00DB42E3">
        <w:t xml:space="preserve"> pink</w:t>
      </w:r>
      <w:r w:rsidRPr="00DB42E3">
        <w:t>, film coated granules and pibrentasvir,</w:t>
      </w:r>
      <w:r w:rsidR="00D47AED">
        <w:t xml:space="preserve"> as</w:t>
      </w:r>
      <w:r w:rsidRPr="00DB42E3">
        <w:t xml:space="preserve"> yellow, film coated granules, 2 mm in size, round and biconvex in shape, and co</w:t>
      </w:r>
      <w:r w:rsidR="002E1D6F">
        <w:t>-</w:t>
      </w:r>
      <w:r w:rsidRPr="00DB42E3">
        <w:t>filled into a sachet laminate. Each sachet contains 50 mg of glecaprevir and 20 mg of pibrentasvir.</w:t>
      </w:r>
    </w:p>
    <w:p w14:paraId="5BC7AB84" w14:textId="77777777" w:rsidR="00DB42E3" w:rsidRPr="00DB42E3" w:rsidRDefault="00DB42E3" w:rsidP="00DB42E3">
      <w:r w:rsidRPr="00DB42E3">
        <w:t>The excipients are the same, including the grade, as those used for the film coated tablets, and the glecaprevir and pibrentasvir coated granules are manufactured from their corresponding extrudates via a manufacturing process consisting of milling, blending, compression, and coating.</w:t>
      </w:r>
    </w:p>
    <w:p w14:paraId="5D20AFB5" w14:textId="512BC9DC" w:rsidR="00DB42E3" w:rsidRDefault="00DB42E3" w:rsidP="00DB42E3">
      <w:r w:rsidRPr="00DB42E3">
        <w:t>Compatibility in use stability studies demonstrated that there were no significant changes to the quality of the granules after a hold time of 60 minutes when suspended in peanut butter, chocolate hazelnut spread, and jam. Furthermore, the sponsor has provided data to demonstrate that there is no significant degradation of the drug substances when dispersed in foods with relatively higher water contents such as Greek yoghurt and cream cheese for 15 minutes. Though there was evidence that the pibrentasvir drug substance was diffusing into the Greek yoghurt and cream cheese mediums, with pibrentasvir granule assay levels decreasing by 10% and 23.5%, respectively, within 15 minutes.</w:t>
      </w:r>
    </w:p>
    <w:p w14:paraId="4A01A3AC" w14:textId="77777777" w:rsidR="00DB42E3" w:rsidRPr="00DB42E3" w:rsidRDefault="00DB42E3" w:rsidP="00DB42E3">
      <w:r w:rsidRPr="00DB42E3">
        <w:lastRenderedPageBreak/>
        <w:t>It is recommended that the mixture of food and granules be swallowed immediately (within 15 minutes of preparation</w:t>
      </w:r>
      <w:proofErr w:type="gramStart"/>
      <w:r w:rsidRPr="00DB42E3">
        <w:t>)</w:t>
      </w:r>
      <w:proofErr w:type="gramEnd"/>
      <w:r w:rsidRPr="00DB42E3">
        <w:t xml:space="preserve"> and the granules should not be crushed or chewed.</w:t>
      </w:r>
    </w:p>
    <w:p w14:paraId="48F77937" w14:textId="50393369" w:rsidR="00DB42E3" w:rsidRPr="00DB42E3" w:rsidRDefault="00DB42E3" w:rsidP="00DB42E3">
      <w:r w:rsidRPr="00DB42E3">
        <w:t>The provided stability data support the shelf life of 24 months when stored below 30°C. Storage of the open sachet is not appropriate and the sponsor has been asked to provide clear instructions that the drug product be used immediately after opening in the Product Information and on the labels.</w:t>
      </w:r>
    </w:p>
    <w:p w14:paraId="29D0C3DB" w14:textId="43A6337C" w:rsidR="00DB42E3" w:rsidRDefault="00DB42E3" w:rsidP="00DB42E3">
      <w:pPr>
        <w:pStyle w:val="Heading4"/>
      </w:pPr>
      <w:r>
        <w:t>Biopharmaceutics</w:t>
      </w:r>
    </w:p>
    <w:p w14:paraId="7A93914E" w14:textId="75EC1E51" w:rsidR="00DB42E3" w:rsidRPr="00DB42E3" w:rsidRDefault="00DB42E3" w:rsidP="00DB42E3">
      <w:r w:rsidRPr="00DB42E3">
        <w:t xml:space="preserve">The objectives of </w:t>
      </w:r>
      <w:r>
        <w:t>S</w:t>
      </w:r>
      <w:r w:rsidRPr="00DB42E3">
        <w:t xml:space="preserve">tudy M17-142 were to determine the bioavailability of the glecaprevir </w:t>
      </w:r>
      <w:r>
        <w:t>and</w:t>
      </w:r>
      <w:r w:rsidRPr="00DB42E3">
        <w:t xml:space="preserve"> pibrentasvir paediatric formulation relative to the reference Phase </w:t>
      </w:r>
      <w:r w:rsidR="00957F73">
        <w:t xml:space="preserve">III </w:t>
      </w:r>
      <w:r w:rsidRPr="00DB42E3">
        <w:t>adult formulation under fasting and non</w:t>
      </w:r>
      <w:r w:rsidR="00EB2478">
        <w:t>-</w:t>
      </w:r>
      <w:r w:rsidRPr="00DB42E3">
        <w:t>fasting conditions (Part 1) and to assess the effect of high</w:t>
      </w:r>
      <w:r>
        <w:t xml:space="preserve"> </w:t>
      </w:r>
      <w:r w:rsidRPr="00DB42E3">
        <w:t xml:space="preserve">fat and </w:t>
      </w:r>
      <w:proofErr w:type="gramStart"/>
      <w:r w:rsidRPr="00DB42E3">
        <w:t>low</w:t>
      </w:r>
      <w:r w:rsidR="00B02322">
        <w:t xml:space="preserve"> </w:t>
      </w:r>
      <w:r w:rsidRPr="00DB42E3">
        <w:t>fat</w:t>
      </w:r>
      <w:proofErr w:type="gramEnd"/>
      <w:r w:rsidRPr="00DB42E3">
        <w:t xml:space="preserve"> meals on the experimental </w:t>
      </w:r>
      <w:r w:rsidR="00121E86">
        <w:t>g</w:t>
      </w:r>
      <w:r w:rsidR="00121E86" w:rsidRPr="00786397">
        <w:t>lecaprevir</w:t>
      </w:r>
      <w:r>
        <w:t xml:space="preserve"> and</w:t>
      </w:r>
      <w:r w:rsidRPr="00DB42E3">
        <w:t xml:space="preserve"> </w:t>
      </w:r>
      <w:r w:rsidR="00605660" w:rsidRPr="00DB42E3">
        <w:t>pibrentasvir</w:t>
      </w:r>
      <w:r w:rsidRPr="00DB42E3">
        <w:t xml:space="preserve"> paediatric formulation relative to fasting conditions (Part 2).</w:t>
      </w:r>
    </w:p>
    <w:p w14:paraId="0A3A4F15" w14:textId="519FFD7B" w:rsidR="00DB42E3" w:rsidRPr="00DB42E3" w:rsidRDefault="00DB42E3" w:rsidP="00DB42E3">
      <w:r w:rsidRPr="00DB42E3">
        <w:t xml:space="preserve">Under fasting conditions, </w:t>
      </w:r>
      <w:r w:rsidR="00D47AED">
        <w:t xml:space="preserve">the </w:t>
      </w:r>
      <w:r w:rsidRPr="00DB42E3">
        <w:t xml:space="preserve">administration of </w:t>
      </w:r>
      <w:r w:rsidR="00EB2478" w:rsidRPr="00DB42E3">
        <w:t xml:space="preserve">300 mg </w:t>
      </w:r>
      <w:r w:rsidR="00121E86">
        <w:t>g</w:t>
      </w:r>
      <w:r w:rsidR="00121E86" w:rsidRPr="00786397">
        <w:t>lecaprevir</w:t>
      </w:r>
      <w:r w:rsidRPr="00DB42E3">
        <w:t xml:space="preserve"> </w:t>
      </w:r>
      <w:r>
        <w:t>and</w:t>
      </w:r>
      <w:r w:rsidRPr="00DB42E3">
        <w:t xml:space="preserve"> </w:t>
      </w:r>
      <w:r w:rsidR="00605660" w:rsidRPr="00DB42E3">
        <w:t>120 mg pibrentasvir</w:t>
      </w:r>
      <w:r w:rsidRPr="00DB42E3">
        <w:t xml:space="preserve"> pellets compared to </w:t>
      </w:r>
      <w:r w:rsidR="00605660">
        <w:t xml:space="preserve">300 mg </w:t>
      </w:r>
      <w:r w:rsidR="00121E86">
        <w:t>g</w:t>
      </w:r>
      <w:r w:rsidR="00121E86" w:rsidRPr="00786397">
        <w:t>lecaprevir</w:t>
      </w:r>
      <w:r>
        <w:t xml:space="preserve"> and </w:t>
      </w:r>
      <w:r w:rsidR="00605660" w:rsidRPr="00DB42E3">
        <w:t>120 mg pibrentasvir</w:t>
      </w:r>
      <w:r w:rsidRPr="00DB42E3">
        <w:t xml:space="preserve"> tablets resulted in slightly lower exposures (</w:t>
      </w:r>
      <w:r w:rsidR="00514C36">
        <w:t>a</w:t>
      </w:r>
      <w:r w:rsidR="00514C36" w:rsidRPr="00514C36">
        <w:t>rea under the concentration</w:t>
      </w:r>
      <w:r w:rsidR="002E1D6F">
        <w:t xml:space="preserve"> </w:t>
      </w:r>
      <w:r w:rsidR="00514C36" w:rsidRPr="00514C36">
        <w:t>time curve</w:t>
      </w:r>
      <w:r w:rsidR="00514C36">
        <w:t xml:space="preserve"> (</w:t>
      </w:r>
      <w:r w:rsidRPr="00DB42E3">
        <w:t>AUC)</w:t>
      </w:r>
      <w:r w:rsidR="00514C36">
        <w:t>)</w:t>
      </w:r>
      <w:r w:rsidRPr="00DB42E3">
        <w:t xml:space="preserve"> of </w:t>
      </w:r>
      <w:r w:rsidR="00121E86">
        <w:t>g</w:t>
      </w:r>
      <w:r w:rsidR="00121E86" w:rsidRPr="00786397">
        <w:t>lecaprevir</w:t>
      </w:r>
      <w:r w:rsidRPr="00DB42E3">
        <w:t xml:space="preserve"> (39% decrease) and </w:t>
      </w:r>
      <w:r w:rsidR="00605660" w:rsidRPr="00DB42E3">
        <w:t>pibrentasvir</w:t>
      </w:r>
      <w:r w:rsidRPr="00DB42E3">
        <w:t xml:space="preserve"> (14% decrease). Under non</w:t>
      </w:r>
      <w:r w:rsidR="00EB2478">
        <w:t>-</w:t>
      </w:r>
      <w:r w:rsidRPr="00DB42E3">
        <w:t xml:space="preserve">fasting conditions, </w:t>
      </w:r>
      <w:r w:rsidR="00D47AED">
        <w:t xml:space="preserve">the </w:t>
      </w:r>
      <w:r w:rsidRPr="00DB42E3">
        <w:t xml:space="preserve">administration of 300 mg </w:t>
      </w:r>
      <w:r w:rsidR="00121E86">
        <w:t>g</w:t>
      </w:r>
      <w:r w:rsidR="00121E86" w:rsidRPr="00786397">
        <w:t>lecaprevir</w:t>
      </w:r>
      <w:r w:rsidR="00121E86">
        <w:t xml:space="preserve"> </w:t>
      </w:r>
      <w:r w:rsidR="00514C36">
        <w:t>and</w:t>
      </w:r>
      <w:r w:rsidRPr="00DB42E3">
        <w:t xml:space="preserve"> </w:t>
      </w:r>
      <w:r w:rsidR="00605660" w:rsidRPr="00DB42E3">
        <w:t>120 mg pibrentasvir</w:t>
      </w:r>
      <w:r w:rsidRPr="00DB42E3">
        <w:t xml:space="preserve"> pellets compared to</w:t>
      </w:r>
      <w:r w:rsidR="00514C36" w:rsidRPr="00514C36">
        <w:t xml:space="preserve"> 300</w:t>
      </w:r>
      <w:r w:rsidR="00A45FC2">
        <w:t> </w:t>
      </w:r>
      <w:r w:rsidR="00514C36" w:rsidRPr="00514C36">
        <w:t>mg</w:t>
      </w:r>
      <w:r w:rsidR="00121E86">
        <w:t xml:space="preserve"> g</w:t>
      </w:r>
      <w:r w:rsidR="00121E86" w:rsidRPr="00786397">
        <w:t>lecaprevir</w:t>
      </w:r>
      <w:r w:rsidR="00514C36" w:rsidRPr="00514C36">
        <w:t xml:space="preserve"> and </w:t>
      </w:r>
      <w:r w:rsidR="00605660" w:rsidRPr="00514C36">
        <w:t xml:space="preserve">120 mg </w:t>
      </w:r>
      <w:r w:rsidR="00605660" w:rsidRPr="00DB42E3">
        <w:t>pibrentasvir</w:t>
      </w:r>
      <w:r w:rsidR="00514C36" w:rsidRPr="00514C36">
        <w:t xml:space="preserve"> </w:t>
      </w:r>
      <w:r w:rsidRPr="00DB42E3">
        <w:t xml:space="preserve">tablets resulted in comparable </w:t>
      </w:r>
      <w:r w:rsidR="00121E86">
        <w:t>g</w:t>
      </w:r>
      <w:r w:rsidR="00121E86" w:rsidRPr="00786397">
        <w:t>lecaprevir</w:t>
      </w:r>
      <w:r w:rsidRPr="00DB42E3">
        <w:t xml:space="preserve"> and </w:t>
      </w:r>
      <w:r w:rsidR="00605660" w:rsidRPr="00DB42E3">
        <w:t>pibrentasvir</w:t>
      </w:r>
      <w:r w:rsidRPr="00DB42E3">
        <w:t xml:space="preserve"> exposures (AUC) to that of the adult formulation (differences </w:t>
      </w:r>
      <w:r w:rsidR="00514C36">
        <w:t>of less than or equal to</w:t>
      </w:r>
      <w:r w:rsidRPr="00DB42E3">
        <w:t xml:space="preserve"> 22%).</w:t>
      </w:r>
    </w:p>
    <w:p w14:paraId="79F881E9" w14:textId="2ADF03DA" w:rsidR="00DB42E3" w:rsidRPr="00DB42E3" w:rsidRDefault="00DB42E3" w:rsidP="00DB42E3">
      <w:r w:rsidRPr="00DB42E3">
        <w:t xml:space="preserve">Food increased </w:t>
      </w:r>
      <w:r w:rsidR="00D47AED">
        <w:t xml:space="preserve">the </w:t>
      </w:r>
      <w:r w:rsidRPr="00DB42E3">
        <w:t>bioavailability of the paediatric formulations. Compar</w:t>
      </w:r>
      <w:r w:rsidR="00514C36">
        <w:t>ed to</w:t>
      </w:r>
      <w:r w:rsidRPr="00DB42E3">
        <w:t xml:space="preserve"> fasting conditions, </w:t>
      </w:r>
      <w:r w:rsidR="00121E86">
        <w:t>g</w:t>
      </w:r>
      <w:r w:rsidR="00121E86" w:rsidRPr="00786397">
        <w:t>lecaprevir</w:t>
      </w:r>
      <w:r w:rsidRPr="00DB42E3">
        <w:t xml:space="preserve"> exposures (AUC) were 2.3 to </w:t>
      </w:r>
      <w:proofErr w:type="gramStart"/>
      <w:r w:rsidRPr="00DB42E3">
        <w:t>2.7</w:t>
      </w:r>
      <w:r w:rsidR="00514C36">
        <w:t xml:space="preserve"> </w:t>
      </w:r>
      <w:r w:rsidRPr="00DB42E3">
        <w:t>fold</w:t>
      </w:r>
      <w:proofErr w:type="gramEnd"/>
      <w:r w:rsidRPr="00DB42E3">
        <w:t xml:space="preserve"> and </w:t>
      </w:r>
      <w:r w:rsidR="00605660" w:rsidRPr="00DB42E3">
        <w:t>pibrentasvir</w:t>
      </w:r>
      <w:r w:rsidRPr="00DB42E3">
        <w:t xml:space="preserve"> exposures were 1.6</w:t>
      </w:r>
      <w:r w:rsidR="00514C36">
        <w:t xml:space="preserve"> </w:t>
      </w:r>
      <w:r w:rsidRPr="00DB42E3">
        <w:t>to 2.1</w:t>
      </w:r>
      <w:r w:rsidR="00514C36">
        <w:t xml:space="preserve"> </w:t>
      </w:r>
      <w:r w:rsidRPr="00DB42E3">
        <w:t>fold following a low or high</w:t>
      </w:r>
      <w:r w:rsidR="00514C36">
        <w:t xml:space="preserve"> </w:t>
      </w:r>
      <w:r w:rsidRPr="00DB42E3">
        <w:t xml:space="preserve">fat breakfast relative to the exposures evaluated under fasting conditions. Fat content in the meals had minimal impact on </w:t>
      </w:r>
      <w:r w:rsidR="00121E86">
        <w:t>g</w:t>
      </w:r>
      <w:r w:rsidR="00121E86" w:rsidRPr="00786397">
        <w:t>lecaprevir</w:t>
      </w:r>
      <w:r w:rsidRPr="00DB42E3">
        <w:t xml:space="preserve"> and </w:t>
      </w:r>
      <w:r w:rsidR="00605660" w:rsidRPr="00DB42E3">
        <w:t>pibrentasvir</w:t>
      </w:r>
      <w:r w:rsidRPr="00DB42E3">
        <w:t xml:space="preserve"> exposures for the paediatric formulations.</w:t>
      </w:r>
    </w:p>
    <w:p w14:paraId="4D9CCB11" w14:textId="77777777" w:rsidR="00DB42E3" w:rsidRPr="00DB42E3" w:rsidRDefault="00DB42E3" w:rsidP="00DB42E3">
      <w:r w:rsidRPr="00DB42E3">
        <w:t>Since the formulations have different pharmacokinetic profiles, the tablets and the granules are not interchangeable.</w:t>
      </w:r>
    </w:p>
    <w:p w14:paraId="5A11E759" w14:textId="0EBD7EE4" w:rsidR="00DB42E3" w:rsidRPr="00DB42E3" w:rsidRDefault="00514C36" w:rsidP="00DB42E3">
      <w:r>
        <w:t>The overseas regulator</w:t>
      </w:r>
      <w:r w:rsidR="00DB42E3" w:rsidRPr="00DB42E3">
        <w:t xml:space="preserve"> bioequivalence review report for the food effect study for M</w:t>
      </w:r>
      <w:r>
        <w:t>aviret</w:t>
      </w:r>
      <w:r w:rsidR="00DB42E3" w:rsidRPr="00DB42E3">
        <w:t xml:space="preserve"> was reviewed by the TGA and there were no further comments from a pharmaceutical chemistry perspective.</w:t>
      </w:r>
    </w:p>
    <w:p w14:paraId="2940AC77" w14:textId="17D3A42F" w:rsidR="00DB42E3" w:rsidRDefault="00DB42E3" w:rsidP="00DB42E3">
      <w:pPr>
        <w:pStyle w:val="Heading4"/>
      </w:pPr>
      <w:r>
        <w:lastRenderedPageBreak/>
        <w:t>Recommendation</w:t>
      </w:r>
    </w:p>
    <w:p w14:paraId="2D4E50C1" w14:textId="036503D4" w:rsidR="00514C36" w:rsidRPr="00514C36" w:rsidRDefault="00514C36" w:rsidP="00514C36">
      <w:r w:rsidRPr="00514C36">
        <w:t>Approval is recommended for registration of the proposed product from a pharmaceutical chemistry perspective.</w:t>
      </w:r>
    </w:p>
    <w:p w14:paraId="40BCA692" w14:textId="5165288C" w:rsidR="008E7846" w:rsidRDefault="008E7846" w:rsidP="008E7846">
      <w:pPr>
        <w:pStyle w:val="Heading3"/>
      </w:pPr>
      <w:bookmarkStart w:id="36" w:name="_Toc314842512"/>
      <w:bookmarkStart w:id="37" w:name="_Toc128033646"/>
      <w:r>
        <w:t>Nonclinical</w:t>
      </w:r>
      <w:bookmarkEnd w:id="36"/>
      <w:bookmarkEnd w:id="37"/>
    </w:p>
    <w:p w14:paraId="42AA7C11" w14:textId="262F4828" w:rsidR="00514C36" w:rsidRPr="00514C36" w:rsidRDefault="00514C36" w:rsidP="00A23685">
      <w:r w:rsidRPr="00514C36">
        <w:t>No toxicity studies have been submitted with the current submission. In the original registration submission</w:t>
      </w:r>
      <w:r w:rsidR="00D47AED">
        <w:t>;</w:t>
      </w:r>
      <w:r w:rsidR="00D47AED" w:rsidRPr="00A15449">
        <w:rPr>
          <w:vertAlign w:val="superscript"/>
        </w:rPr>
        <w:fldChar w:fldCharType="begin"/>
      </w:r>
      <w:r w:rsidR="00D47AED" w:rsidRPr="00A15449">
        <w:rPr>
          <w:vertAlign w:val="superscript"/>
        </w:rPr>
        <w:instrText xml:space="preserve"> NOTEREF _Ref127347401 \h </w:instrText>
      </w:r>
      <w:r w:rsidR="00D47AED">
        <w:rPr>
          <w:vertAlign w:val="superscript"/>
        </w:rPr>
        <w:instrText xml:space="preserve"> \* MERGEFORMAT </w:instrText>
      </w:r>
      <w:r w:rsidR="00D47AED" w:rsidRPr="00A15449">
        <w:rPr>
          <w:vertAlign w:val="superscript"/>
        </w:rPr>
      </w:r>
      <w:r w:rsidR="00D47AED" w:rsidRPr="00A15449">
        <w:rPr>
          <w:vertAlign w:val="superscript"/>
        </w:rPr>
        <w:fldChar w:fldCharType="separate"/>
      </w:r>
      <w:r w:rsidR="00051287">
        <w:rPr>
          <w:vertAlign w:val="superscript"/>
        </w:rPr>
        <w:t>9</w:t>
      </w:r>
      <w:r w:rsidR="00D47AED" w:rsidRPr="00A15449">
        <w:rPr>
          <w:vertAlign w:val="superscript"/>
        </w:rPr>
        <w:fldChar w:fldCharType="end"/>
      </w:r>
      <w:r w:rsidRPr="00514C36">
        <w:t xml:space="preserve"> a rat pre</w:t>
      </w:r>
      <w:r>
        <w:t xml:space="preserve">natal and </w:t>
      </w:r>
      <w:r w:rsidRPr="00514C36">
        <w:t>postnatal developmental study for glecaprevir at maternal doses up to 120 mg/kg/day and a mouse pre</w:t>
      </w:r>
      <w:r>
        <w:t xml:space="preserve">natal and </w:t>
      </w:r>
      <w:r w:rsidRPr="00514C36">
        <w:t xml:space="preserve">postnatal developmental study for pibrentasvir at maternal doses up to 100 mg/kg/day showed no significant effect on the body weight gain and sexual maturation of </w:t>
      </w:r>
      <w:r w:rsidR="00BB3F45">
        <w:t>the first filial (</w:t>
      </w:r>
      <w:r w:rsidRPr="00514C36">
        <w:t>F1</w:t>
      </w:r>
      <w:r w:rsidR="00BB3F45">
        <w:t>)</w:t>
      </w:r>
      <w:r w:rsidRPr="00514C36">
        <w:t xml:space="preserve"> generation exposed through maternal exposures (maternal exposures 47 and 74 times clinical exposures for two drugs). However, drug concentrations in F1 generation blood samples were not available (except for pibrentasvir in pre</w:t>
      </w:r>
      <w:r w:rsidR="00C61601">
        <w:t>-</w:t>
      </w:r>
      <w:r w:rsidRPr="00514C36">
        <w:t xml:space="preserve">weaned mice on </w:t>
      </w:r>
      <w:r w:rsidR="007C50B6">
        <w:t xml:space="preserve">postnatal </w:t>
      </w:r>
      <w:r w:rsidR="0074091E">
        <w:t>D</w:t>
      </w:r>
      <w:r w:rsidR="007C50B6">
        <w:t>ay</w:t>
      </w:r>
      <w:r w:rsidR="0074091E">
        <w:t> </w:t>
      </w:r>
      <w:r w:rsidR="007C50B6">
        <w:t>14</w:t>
      </w:r>
      <w:r w:rsidRPr="00514C36">
        <w:t>)</w:t>
      </w:r>
      <w:r w:rsidR="007C50B6">
        <w:t xml:space="preserve">. Therefore, </w:t>
      </w:r>
      <w:r w:rsidRPr="00514C36">
        <w:t>exposure ratios for F1 generation animals of relevant age to the current submission are not available. A juvenile animal study was also not submitted with the original M</w:t>
      </w:r>
      <w:r w:rsidR="007C50B6">
        <w:t>aviret</w:t>
      </w:r>
      <w:r w:rsidRPr="00514C36">
        <w:t xml:space="preserve"> registration submission</w:t>
      </w:r>
      <w:r w:rsidR="007C50B6">
        <w:t xml:space="preserve">. </w:t>
      </w:r>
      <w:r w:rsidRPr="00514C36">
        <w:t>This is considered a deficiency however it was noted that the pharmacological targets of glecaprevir and pibrentasvir have no role in organ development.</w:t>
      </w:r>
    </w:p>
    <w:p w14:paraId="7A8E98D3" w14:textId="77777777" w:rsidR="00C61601" w:rsidRDefault="00514C36" w:rsidP="00514C36">
      <w:r w:rsidRPr="00514C36">
        <w:t>The glecaprevir</w:t>
      </w:r>
      <w:r w:rsidR="007C50B6">
        <w:t xml:space="preserve"> and </w:t>
      </w:r>
      <w:r w:rsidRPr="00514C36">
        <w:t>pibrentasvir film</w:t>
      </w:r>
      <w:r w:rsidR="007C50B6">
        <w:t xml:space="preserve"> </w:t>
      </w:r>
      <w:r w:rsidRPr="00514C36">
        <w:t xml:space="preserve">coated granule sachet contains propylene glycol monocaprylate type II (4 mg per sachet) and tocopherol polyethylene glycol </w:t>
      </w:r>
      <w:r w:rsidR="00C61601">
        <w:t xml:space="preserve">(PEG) </w:t>
      </w:r>
      <w:r w:rsidRPr="00514C36">
        <w:t>succinate (41</w:t>
      </w:r>
      <w:r w:rsidR="002E1D6F">
        <w:t> </w:t>
      </w:r>
      <w:r w:rsidRPr="00514C36">
        <w:t>mg per sachet). The proposed paediatric dose is three to five sachets per day, which will result in maximum daily doses of 12</w:t>
      </w:r>
      <w:r w:rsidR="00FF10AA">
        <w:t xml:space="preserve"> to </w:t>
      </w:r>
      <w:r w:rsidRPr="00514C36">
        <w:t>20</w:t>
      </w:r>
      <w:r w:rsidR="0074091E">
        <w:t> </w:t>
      </w:r>
      <w:r w:rsidRPr="00514C36">
        <w:t>mg for propylene glycol monocaprylate and 123</w:t>
      </w:r>
      <w:r w:rsidR="00FF10AA">
        <w:t xml:space="preserve"> to </w:t>
      </w:r>
      <w:r w:rsidRPr="00514C36">
        <w:t>205</w:t>
      </w:r>
      <w:r w:rsidR="0074091E">
        <w:t> </w:t>
      </w:r>
      <w:r w:rsidRPr="00514C36">
        <w:t xml:space="preserve">mg for </w:t>
      </w:r>
      <w:r w:rsidR="002E1D6F" w:rsidRPr="002E1D6F">
        <w:t>tocopherol polyethylene glycol succinate</w:t>
      </w:r>
      <w:r w:rsidRPr="00514C36">
        <w:t xml:space="preserve">. In the original registration submission, a </w:t>
      </w:r>
      <w:proofErr w:type="gramStart"/>
      <w:r w:rsidRPr="00514C36">
        <w:t>28</w:t>
      </w:r>
      <w:r w:rsidR="00FF10AA">
        <w:t> </w:t>
      </w:r>
      <w:r w:rsidRPr="00514C36">
        <w:t>day</w:t>
      </w:r>
      <w:proofErr w:type="gramEnd"/>
      <w:r w:rsidRPr="00514C36">
        <w:t xml:space="preserve"> oral rat study, an embryofetal developmental study and Ames assay were submitted for propylene glycol monocaprylate (</w:t>
      </w:r>
      <w:proofErr w:type="spellStart"/>
      <w:r w:rsidRPr="00514C36">
        <w:t>Capryol</w:t>
      </w:r>
      <w:proofErr w:type="spellEnd"/>
      <w:r w:rsidRPr="00514C36">
        <w:t xml:space="preserve"> 90).</w:t>
      </w:r>
    </w:p>
    <w:p w14:paraId="4038FAC1" w14:textId="43FFFA8E" w:rsidR="00C61601" w:rsidRDefault="00514C36" w:rsidP="00514C36">
      <w:r w:rsidRPr="00514C36">
        <w:t xml:space="preserve">The </w:t>
      </w:r>
      <w:r w:rsidR="008C7124">
        <w:t>European Medicine Ag</w:t>
      </w:r>
      <w:r w:rsidR="00E91C5B">
        <w:t>en</w:t>
      </w:r>
      <w:r w:rsidR="008C7124">
        <w:t>cy</w:t>
      </w:r>
      <w:r w:rsidRPr="00514C36">
        <w:t xml:space="preserve"> </w:t>
      </w:r>
      <w:r w:rsidR="00C61601">
        <w:t>guidance on the use of propylene glycol as an excipient</w:t>
      </w:r>
      <w:r w:rsidR="0074091E">
        <w:t>;</w:t>
      </w:r>
      <w:r w:rsidR="00FF10AA">
        <w:rPr>
          <w:rStyle w:val="FootnoteReference"/>
        </w:rPr>
        <w:footnoteReference w:id="10"/>
      </w:r>
      <w:r w:rsidRPr="00514C36">
        <w:t xml:space="preserve"> states a threshold value of 50</w:t>
      </w:r>
      <w:r w:rsidR="00E91C5B">
        <w:t> </w:t>
      </w:r>
      <w:r w:rsidRPr="00514C36">
        <w:t xml:space="preserve">mg/kg/day for propylene glycol and its esters if taken by children below </w:t>
      </w:r>
      <w:r w:rsidR="00D52CB0">
        <w:t>five</w:t>
      </w:r>
      <w:r w:rsidRPr="00514C36">
        <w:t xml:space="preserve"> years of age (except neonates). Thus, the maximum oral daily dose of 12</w:t>
      </w:r>
      <w:r w:rsidR="00D52CB0">
        <w:t xml:space="preserve"> to </w:t>
      </w:r>
      <w:r w:rsidRPr="00514C36">
        <w:t>20</w:t>
      </w:r>
      <w:r w:rsidR="0074091E">
        <w:t> </w:t>
      </w:r>
      <w:r w:rsidRPr="00514C36">
        <w:t>mg propylene glycol monocaprylate in the proposed product is not expected to be a health risk for paediatric patients (3</w:t>
      </w:r>
      <w:r w:rsidR="00D52CB0">
        <w:t xml:space="preserve"> to </w:t>
      </w:r>
      <w:r w:rsidRPr="00514C36">
        <w:t>12 years old</w:t>
      </w:r>
      <w:r w:rsidR="00C61601">
        <w:t xml:space="preserve">, </w:t>
      </w:r>
      <w:r w:rsidRPr="00514C36">
        <w:t>weighing 12</w:t>
      </w:r>
      <w:r w:rsidR="00D52CB0">
        <w:t xml:space="preserve"> to </w:t>
      </w:r>
      <w:r w:rsidRPr="00514C36">
        <w:t>45 kg).</w:t>
      </w:r>
    </w:p>
    <w:p w14:paraId="55EDE36B" w14:textId="798E67F6" w:rsidR="00C61601" w:rsidRDefault="00514C36" w:rsidP="00514C36">
      <w:r w:rsidRPr="00514C36">
        <w:lastRenderedPageBreak/>
        <w:t>The US Food and Nutrition Board has established a tolerable upper intake limit for vitamin</w:t>
      </w:r>
      <w:r w:rsidR="009A0B6B">
        <w:t> </w:t>
      </w:r>
      <w:r w:rsidRPr="00514C36">
        <w:t>E in children aged 4</w:t>
      </w:r>
      <w:r w:rsidR="00D52CB0">
        <w:t xml:space="preserve"> to </w:t>
      </w:r>
      <w:r w:rsidRPr="00514C36">
        <w:t>8 years of 300</w:t>
      </w:r>
      <w:r w:rsidR="00071A0B">
        <w:t> </w:t>
      </w:r>
      <w:r w:rsidRPr="00514C36">
        <w:t xml:space="preserve">mg per day based on the potential for haemorrhagic effects. The maximum daily dose of vitamin E from </w:t>
      </w:r>
      <w:r w:rsidR="003227F3" w:rsidRPr="00514C36">
        <w:t xml:space="preserve">tocopherol polyethylene glycol </w:t>
      </w:r>
      <w:r w:rsidR="00C61601">
        <w:t xml:space="preserve">(PEG) </w:t>
      </w:r>
      <w:r w:rsidR="003227F3" w:rsidRPr="00514C36">
        <w:t xml:space="preserve">succinate </w:t>
      </w:r>
      <w:r w:rsidRPr="00514C36">
        <w:t>in the proposed granule formulation is estimated to be about 60</w:t>
      </w:r>
      <w:r w:rsidR="00C61601">
        <w:t> </w:t>
      </w:r>
      <w:r w:rsidRPr="00514C36">
        <w:t>mg/day, which is not expected to be a health risk for paediatric patients.</w:t>
      </w:r>
    </w:p>
    <w:p w14:paraId="677B8F5E" w14:textId="04B55101" w:rsidR="00C61601" w:rsidRDefault="00514C36" w:rsidP="00514C36">
      <w:r w:rsidRPr="00514C36">
        <w:t xml:space="preserve">However, the proportion of </w:t>
      </w:r>
      <w:r w:rsidR="003227F3" w:rsidRPr="003227F3">
        <w:t>polyethylene glycol</w:t>
      </w:r>
      <w:r w:rsidR="003227F3">
        <w:t xml:space="preserve"> (PEG</w:t>
      </w:r>
      <w:r w:rsidR="00C61601">
        <w:t xml:space="preserve">; </w:t>
      </w:r>
      <w:r w:rsidRPr="00514C36">
        <w:t>about 80</w:t>
      </w:r>
      <w:r w:rsidR="00EA646C">
        <w:t xml:space="preserve"> to </w:t>
      </w:r>
      <w:r w:rsidRPr="00514C36">
        <w:t>130 mg) in maximum daily dose of</w:t>
      </w:r>
      <w:r w:rsidR="003227F3">
        <w:t xml:space="preserve"> </w:t>
      </w:r>
      <w:r w:rsidR="003227F3" w:rsidRPr="00514C36">
        <w:t xml:space="preserve">tocopherol polyethylene glycol </w:t>
      </w:r>
      <w:r w:rsidR="00C61601">
        <w:t xml:space="preserve">(PEG) </w:t>
      </w:r>
      <w:r w:rsidR="003227F3" w:rsidRPr="00514C36">
        <w:t>succinate</w:t>
      </w:r>
      <w:r w:rsidRPr="00514C36">
        <w:t xml:space="preserve"> in the M</w:t>
      </w:r>
      <w:r w:rsidR="00EA646C">
        <w:t>aviret</w:t>
      </w:r>
      <w:r w:rsidRPr="00514C36">
        <w:t xml:space="preserve"> granule formulation may exceed the </w:t>
      </w:r>
      <w:r w:rsidR="00EA646C">
        <w:t>European Food Safety Authority</w:t>
      </w:r>
      <w:r w:rsidRPr="00514C36">
        <w:t xml:space="preserve"> recommended acceptable daily intake (5</w:t>
      </w:r>
      <w:r w:rsidR="00EA646C">
        <w:t> </w:t>
      </w:r>
      <w:r w:rsidRPr="00514C36">
        <w:t>mg/kg/day for PEG</w:t>
      </w:r>
      <w:r w:rsidR="003227F3">
        <w:t xml:space="preserve"> </w:t>
      </w:r>
      <w:r w:rsidRPr="00514C36">
        <w:t>300</w:t>
      </w:r>
      <w:r w:rsidR="00EA646C">
        <w:t xml:space="preserve"> to </w:t>
      </w:r>
      <w:r w:rsidRPr="00514C36">
        <w:t>4000) for lower weight children in the recommended dose groups (12</w:t>
      </w:r>
      <w:r w:rsidR="00EA646C">
        <w:t xml:space="preserve"> to </w:t>
      </w:r>
      <w:r w:rsidRPr="00514C36">
        <w:t>15</w:t>
      </w:r>
      <w:r w:rsidR="003227F3">
        <w:t> </w:t>
      </w:r>
      <w:r w:rsidRPr="00514C36">
        <w:t xml:space="preserve">kg children taking </w:t>
      </w:r>
      <w:r w:rsidR="00EA646C">
        <w:t>three</w:t>
      </w:r>
      <w:r w:rsidRPr="00514C36">
        <w:t xml:space="preserve"> sachets</w:t>
      </w:r>
      <w:r w:rsidR="00EA646C">
        <w:t xml:space="preserve"> per </w:t>
      </w:r>
      <w:r w:rsidRPr="00514C36">
        <w:t>day).</w:t>
      </w:r>
    </w:p>
    <w:p w14:paraId="30D167DD" w14:textId="5570F531" w:rsidR="00514C36" w:rsidRDefault="00514C36" w:rsidP="00514C36">
      <w:r w:rsidRPr="00514C36">
        <w:t>The recommended treatment duration for M</w:t>
      </w:r>
      <w:r w:rsidR="00EA646C">
        <w:t xml:space="preserve">aviret </w:t>
      </w:r>
      <w:r w:rsidRPr="00514C36">
        <w:t>sachet granules is only 8</w:t>
      </w:r>
      <w:r w:rsidR="00EA646C">
        <w:t xml:space="preserve"> to </w:t>
      </w:r>
      <w:r w:rsidRPr="00514C36">
        <w:t xml:space="preserve">16 weeks and </w:t>
      </w:r>
      <w:r w:rsidR="00EA646C">
        <w:t>the Joint Food and Agriculture Organi</w:t>
      </w:r>
      <w:r w:rsidR="00C61601">
        <w:t>z</w:t>
      </w:r>
      <w:r w:rsidR="00EA646C">
        <w:t xml:space="preserve">ation </w:t>
      </w:r>
      <w:r w:rsidR="00C61601">
        <w:t xml:space="preserve">(FAO) </w:t>
      </w:r>
      <w:r w:rsidR="00EA646C">
        <w:t xml:space="preserve">of the United Nations </w:t>
      </w:r>
      <w:r w:rsidR="00C61601">
        <w:t xml:space="preserve">(UN) </w:t>
      </w:r>
      <w:r w:rsidR="00EA646C">
        <w:t xml:space="preserve">and World Health Organisation </w:t>
      </w:r>
      <w:r w:rsidR="00C61601">
        <w:t xml:space="preserve">(WHO) </w:t>
      </w:r>
      <w:r w:rsidR="00EA646C">
        <w:t>Expert Committee on Food Additives</w:t>
      </w:r>
      <w:r w:rsidRPr="00514C36">
        <w:t xml:space="preserve"> recommended acceptable daily intake for PEG</w:t>
      </w:r>
      <w:r w:rsidR="00E91C5B">
        <w:t xml:space="preserve"> </w:t>
      </w:r>
      <w:r w:rsidRPr="00514C36">
        <w:t>200</w:t>
      </w:r>
      <w:r w:rsidR="00EA646C">
        <w:t xml:space="preserve"> to </w:t>
      </w:r>
      <w:r w:rsidRPr="00514C36">
        <w:t>10000 is set at 10</w:t>
      </w:r>
      <w:r w:rsidR="003227F3">
        <w:t> </w:t>
      </w:r>
      <w:r w:rsidRPr="00514C36">
        <w:t>mg/kg/day. Thus, it is unlikely that the daily intake of PEG in M</w:t>
      </w:r>
      <w:r w:rsidR="00EA646C">
        <w:t>aviret</w:t>
      </w:r>
      <w:r w:rsidRPr="00514C36">
        <w:t xml:space="preserve"> granule</w:t>
      </w:r>
      <w:r w:rsidR="00EA646C">
        <w:t>s</w:t>
      </w:r>
      <w:r w:rsidRPr="00514C36">
        <w:t xml:space="preserve"> will be a significant health risk for paediatric patients</w:t>
      </w:r>
      <w:r>
        <w:t>.</w:t>
      </w:r>
    </w:p>
    <w:p w14:paraId="48DE8F5A" w14:textId="26DDD8BA" w:rsidR="00514C36" w:rsidRDefault="00514C36" w:rsidP="00514C36">
      <w:pPr>
        <w:pStyle w:val="Heading4"/>
      </w:pPr>
      <w:r>
        <w:t>Recommendation</w:t>
      </w:r>
    </w:p>
    <w:p w14:paraId="1F2F5289" w14:textId="382E070F" w:rsidR="00FD332D" w:rsidRPr="00FD332D" w:rsidRDefault="00FD332D" w:rsidP="00FD332D">
      <w:r w:rsidRPr="00FD332D">
        <w:t xml:space="preserve">The proposed extension of indications for </w:t>
      </w:r>
      <w:r w:rsidR="0045784E">
        <w:t xml:space="preserve">the </w:t>
      </w:r>
      <w:r w:rsidRPr="00FD332D">
        <w:t>new Maviret sachet granule formulation, to include children aged between three and 12 years and weighing between 12 and 45 kg, is only recommended if the safety of medicine is clinically justified.</w:t>
      </w:r>
    </w:p>
    <w:p w14:paraId="27D019F5" w14:textId="07A0BC15" w:rsidR="00514C36" w:rsidRPr="00514C36" w:rsidRDefault="00FD332D" w:rsidP="00FD332D">
      <w:r w:rsidRPr="00FD332D">
        <w:t>No changes are required to the nonclinical sections of the glecaprevir and pibrentasvir (Maviret) Product Information</w:t>
      </w:r>
      <w:r w:rsidR="00B02322">
        <w:t xml:space="preserve"> </w:t>
      </w:r>
      <w:r w:rsidR="00B17318">
        <w:t>(PI)</w:t>
      </w:r>
      <w:r>
        <w:t>.</w:t>
      </w:r>
    </w:p>
    <w:p w14:paraId="05094777" w14:textId="29745F4B" w:rsidR="008E7846" w:rsidRDefault="008E7846" w:rsidP="008E7846">
      <w:pPr>
        <w:pStyle w:val="Heading3"/>
      </w:pPr>
      <w:bookmarkStart w:id="38" w:name="_Toc247691530"/>
      <w:bookmarkStart w:id="39" w:name="_Toc314842513"/>
      <w:bookmarkStart w:id="40" w:name="_Toc128033647"/>
      <w:r>
        <w:t>Clinical</w:t>
      </w:r>
      <w:bookmarkEnd w:id="38"/>
      <w:bookmarkEnd w:id="39"/>
      <w:bookmarkEnd w:id="40"/>
    </w:p>
    <w:p w14:paraId="69155D7A" w14:textId="35FA9346" w:rsidR="00FD332D" w:rsidRPr="00FD332D" w:rsidRDefault="00FD332D" w:rsidP="00FD332D">
      <w:r w:rsidRPr="00FD332D">
        <w:t>The M</w:t>
      </w:r>
      <w:r>
        <w:t>aviret</w:t>
      </w:r>
      <w:r w:rsidRPr="00FD332D">
        <w:t xml:space="preserve"> development program for this submission consisted of one clinical efficacy, </w:t>
      </w:r>
      <w:proofErr w:type="gramStart"/>
      <w:r w:rsidRPr="00FD332D">
        <w:t>safety</w:t>
      </w:r>
      <w:proofErr w:type="gramEnd"/>
      <w:r w:rsidRPr="00FD332D">
        <w:t xml:space="preserve"> and </w:t>
      </w:r>
      <w:r>
        <w:t>pharmacokinetics (PK)</w:t>
      </w:r>
      <w:r w:rsidRPr="00FD332D">
        <w:t xml:space="preserve"> study, one clinical PK (food effect) study, and one </w:t>
      </w:r>
      <w:r>
        <w:t>population pharmacokinetics (</w:t>
      </w:r>
      <w:proofErr w:type="spellStart"/>
      <w:r w:rsidRPr="00FD332D">
        <w:t>popPK</w:t>
      </w:r>
      <w:proofErr w:type="spellEnd"/>
      <w:r>
        <w:t>)</w:t>
      </w:r>
      <w:r w:rsidRPr="00FD332D">
        <w:t xml:space="preserve"> analysis:</w:t>
      </w:r>
    </w:p>
    <w:p w14:paraId="73AFF173" w14:textId="02D6A3D2" w:rsidR="00FD332D" w:rsidRPr="00FD332D" w:rsidRDefault="00FD332D" w:rsidP="00FD332D">
      <w:pPr>
        <w:pStyle w:val="ListBullet"/>
      </w:pPr>
      <w:r w:rsidRPr="00FD332D">
        <w:t>Study M16-123 (DORA</w:t>
      </w:r>
      <w:r w:rsidR="00E84115">
        <w:t xml:space="preserve"> trial</w:t>
      </w:r>
      <w:r w:rsidRPr="00FD332D">
        <w:t xml:space="preserve">) (Part 2): A Phase </w:t>
      </w:r>
      <w:r w:rsidR="00957F73">
        <w:t>II</w:t>
      </w:r>
      <w:r w:rsidRPr="00FD332D">
        <w:t>/</w:t>
      </w:r>
      <w:r w:rsidR="00957F73">
        <w:t>III</w:t>
      </w:r>
      <w:r w:rsidRPr="00FD332D">
        <w:t>, open</w:t>
      </w:r>
      <w:r>
        <w:t xml:space="preserve"> </w:t>
      </w:r>
      <w:r w:rsidRPr="00FD332D">
        <w:t>label, single</w:t>
      </w:r>
      <w:r>
        <w:t xml:space="preserve"> </w:t>
      </w:r>
      <w:r w:rsidRPr="00FD332D">
        <w:t xml:space="preserve">arm, multicentre (38 centres; 24 centres for Part 2) study to evaluate the PK, efficacy, and safety of </w:t>
      </w:r>
      <w:r w:rsidR="00121E86">
        <w:t>g</w:t>
      </w:r>
      <w:r w:rsidR="00121E86" w:rsidRPr="00786397">
        <w:t>lecaprevir</w:t>
      </w:r>
      <w:r>
        <w:t xml:space="preserve"> and </w:t>
      </w:r>
      <w:r w:rsidR="00605660" w:rsidRPr="00DB42E3">
        <w:t>pibrentasvir</w:t>
      </w:r>
      <w:r w:rsidRPr="00FD332D">
        <w:t xml:space="preserve"> for 8, 12, or 16 weeks in HCV </w:t>
      </w:r>
      <w:r w:rsidR="00A01E26">
        <w:t xml:space="preserve">genotype </w:t>
      </w:r>
      <w:r w:rsidRPr="00FD332D">
        <w:t>1 to</w:t>
      </w:r>
      <w:r w:rsidR="00A01E26">
        <w:t xml:space="preserve"> </w:t>
      </w:r>
      <w:r w:rsidRPr="00FD332D">
        <w:t>6</w:t>
      </w:r>
      <w:r>
        <w:t xml:space="preserve"> </w:t>
      </w:r>
      <w:r w:rsidRPr="00FD332D">
        <w:t xml:space="preserve">infected paediatric patients aged </w:t>
      </w:r>
      <w:r>
        <w:t xml:space="preserve">greater than or equal to </w:t>
      </w:r>
      <w:r w:rsidRPr="00FD332D">
        <w:t>3 to</w:t>
      </w:r>
      <w:r>
        <w:t xml:space="preserve"> less than </w:t>
      </w:r>
      <w:r w:rsidRPr="00FD332D">
        <w:t xml:space="preserve">18 years, with and without compensated cirrhosis, with </w:t>
      </w:r>
      <w:r w:rsidRPr="00FD332D">
        <w:lastRenderedPageBreak/>
        <w:t xml:space="preserve">or without </w:t>
      </w:r>
      <w:r w:rsidR="003F3F7D">
        <w:t>h</w:t>
      </w:r>
      <w:r w:rsidR="003F3F7D" w:rsidRPr="003F3F7D">
        <w:t xml:space="preserve">uman immunodeficiency virus </w:t>
      </w:r>
      <w:r w:rsidR="003F3F7D">
        <w:t>(</w:t>
      </w:r>
      <w:r w:rsidRPr="00FD332D">
        <w:t>HIV</w:t>
      </w:r>
      <w:r w:rsidR="003F3F7D">
        <w:t>)</w:t>
      </w:r>
      <w:r w:rsidRPr="00FD332D">
        <w:t xml:space="preserve"> co-infection, who were either treatment </w:t>
      </w:r>
      <w:r w:rsidR="00D65163">
        <w:t>naive</w:t>
      </w:r>
      <w:r w:rsidRPr="00FD332D">
        <w:t>, treatment experienced with pegylated interferon (</w:t>
      </w:r>
      <w:proofErr w:type="spellStart"/>
      <w:r w:rsidRPr="00FD332D">
        <w:t>pegIFN</w:t>
      </w:r>
      <w:proofErr w:type="spellEnd"/>
      <w:r w:rsidRPr="00FD332D">
        <w:t xml:space="preserve">) with or without ribavirin or </w:t>
      </w:r>
      <w:r w:rsidR="00605660">
        <w:t>treatment exposure</w:t>
      </w:r>
      <w:r w:rsidRPr="00FD332D">
        <w:t xml:space="preserve"> with </w:t>
      </w:r>
      <w:r w:rsidR="00B52FF7">
        <w:t>sofosbuvir</w:t>
      </w:r>
      <w:r w:rsidRPr="00FD332D">
        <w:t xml:space="preserve"> and </w:t>
      </w:r>
      <w:r w:rsidR="00605660">
        <w:t>ribavirin</w:t>
      </w:r>
      <w:r w:rsidRPr="00FD332D">
        <w:t xml:space="preserve"> with or without </w:t>
      </w:r>
      <w:proofErr w:type="spellStart"/>
      <w:r w:rsidRPr="00FD332D">
        <w:t>pegIFN</w:t>
      </w:r>
      <w:proofErr w:type="spellEnd"/>
      <w:r w:rsidRPr="00FD332D">
        <w:t>.</w:t>
      </w:r>
    </w:p>
    <w:p w14:paraId="3FCECAB4" w14:textId="1FBB65F9" w:rsidR="00FD332D" w:rsidRPr="00FD332D" w:rsidRDefault="00FD332D" w:rsidP="00B52FF7">
      <w:pPr>
        <w:pStyle w:val="ListBullet"/>
      </w:pPr>
      <w:r w:rsidRPr="00FD332D">
        <w:t xml:space="preserve">Study M17-142: A bioavailability and food effect PK study of an experimental glecaprevir </w:t>
      </w:r>
      <w:r w:rsidR="00B52FF7">
        <w:t>and</w:t>
      </w:r>
      <w:r w:rsidRPr="00FD332D">
        <w:t xml:space="preserve"> pibrentasvir paediatric formulation in healthy adult subjects, which evaluated the relative bioavailability of the paediatric formulation compared to the adult formulation under fasting and no</w:t>
      </w:r>
      <w:r w:rsidR="00B02322">
        <w:t>n-</w:t>
      </w:r>
      <w:r w:rsidRPr="00FD332D">
        <w:t>fasting conditions in healthy adult subjects (Part 1) and also assessed the effect of high</w:t>
      </w:r>
      <w:r w:rsidR="00D81F3C">
        <w:t xml:space="preserve"> </w:t>
      </w:r>
      <w:r w:rsidRPr="00FD332D">
        <w:t xml:space="preserve">fat and </w:t>
      </w:r>
      <w:proofErr w:type="gramStart"/>
      <w:r w:rsidRPr="00FD332D">
        <w:t>low</w:t>
      </w:r>
      <w:r w:rsidR="00D81F3C">
        <w:t xml:space="preserve"> </w:t>
      </w:r>
      <w:r w:rsidRPr="00FD332D">
        <w:t>fat</w:t>
      </w:r>
      <w:proofErr w:type="gramEnd"/>
      <w:r w:rsidRPr="00FD332D">
        <w:t xml:space="preserve"> meals on the paediatric formulation relative to fasting conditions in healthy adult subjects (Part 2).</w:t>
      </w:r>
    </w:p>
    <w:p w14:paraId="70788CD2" w14:textId="7EF08509" w:rsidR="00FD332D" w:rsidRDefault="00FD332D" w:rsidP="00D81F3C">
      <w:pPr>
        <w:pStyle w:val="ListBullet"/>
      </w:pPr>
      <w:r w:rsidRPr="00FD332D">
        <w:t xml:space="preserve">Population </w:t>
      </w:r>
      <w:r w:rsidR="002212CA">
        <w:t xml:space="preserve">pharmacokinetics </w:t>
      </w:r>
      <w:r w:rsidR="0045784E">
        <w:t xml:space="preserve">Analysis </w:t>
      </w:r>
      <w:r w:rsidR="005B5687">
        <w:t>RD200613</w:t>
      </w:r>
      <w:r w:rsidRPr="00FD332D">
        <w:t xml:space="preserve">: A population pharmacokinetic analysis of glecaprevir and pibrentasvir in paediatric subjects </w:t>
      </w:r>
      <w:r w:rsidR="00D81F3C">
        <w:t xml:space="preserve">greater than or equal to </w:t>
      </w:r>
      <w:r w:rsidRPr="00FD332D">
        <w:t xml:space="preserve">3 to </w:t>
      </w:r>
      <w:r w:rsidR="00D81F3C">
        <w:t xml:space="preserve">less than </w:t>
      </w:r>
      <w:r w:rsidRPr="00FD332D">
        <w:t xml:space="preserve">12 years of age with </w:t>
      </w:r>
      <w:r w:rsidR="00E91C5B">
        <w:t>g</w:t>
      </w:r>
      <w:r w:rsidRPr="00FD332D">
        <w:t>enotype 1</w:t>
      </w:r>
      <w:r w:rsidR="00D81F3C">
        <w:t xml:space="preserve"> to </w:t>
      </w:r>
      <w:r w:rsidRPr="00FD332D">
        <w:t xml:space="preserve">6 chronic HCV infection (using data from Phase </w:t>
      </w:r>
      <w:r w:rsidR="00957F73">
        <w:t>II</w:t>
      </w:r>
      <w:r w:rsidR="009446FC">
        <w:t>/</w:t>
      </w:r>
      <w:r w:rsidR="00957F73">
        <w:t>III</w:t>
      </w:r>
      <w:r w:rsidRPr="00FD332D">
        <w:t xml:space="preserve"> Study</w:t>
      </w:r>
      <w:r w:rsidR="00A01E26">
        <w:t> </w:t>
      </w:r>
      <w:r w:rsidRPr="00FD332D">
        <w:t xml:space="preserve">M16-123 </w:t>
      </w:r>
      <w:r w:rsidR="00522FBC">
        <w:t>(</w:t>
      </w:r>
      <w:r w:rsidRPr="00FD332D">
        <w:t>Part 2</w:t>
      </w:r>
      <w:r w:rsidR="00522FBC">
        <w:t>)</w:t>
      </w:r>
      <w:r w:rsidRPr="00FD332D">
        <w:t xml:space="preserve"> combining intensive and sparse pharmacokinetic data).</w:t>
      </w:r>
    </w:p>
    <w:p w14:paraId="0E1435F8" w14:textId="31CB207F" w:rsidR="00D81F3C" w:rsidRDefault="00D81F3C" w:rsidP="00D81F3C">
      <w:pPr>
        <w:pStyle w:val="Heading4"/>
      </w:pPr>
      <w:r>
        <w:t>Pharmacology</w:t>
      </w:r>
    </w:p>
    <w:p w14:paraId="58AA722A" w14:textId="038EC0E4" w:rsidR="00D81F3C" w:rsidRDefault="00D81F3C" w:rsidP="00D81F3C">
      <w:pPr>
        <w:pStyle w:val="Heading5"/>
      </w:pPr>
      <w:r>
        <w:t>Pharmacokinetics</w:t>
      </w:r>
    </w:p>
    <w:p w14:paraId="186AB216" w14:textId="03217EDA" w:rsidR="00D81F3C" w:rsidRPr="00D81F3C" w:rsidRDefault="0045784E" w:rsidP="00D81F3C">
      <w:r>
        <w:t xml:space="preserve">The </w:t>
      </w:r>
      <w:r w:rsidR="005F7335" w:rsidRPr="005F7335">
        <w:t>Study M16-123 (Part 2)</w:t>
      </w:r>
      <w:r w:rsidR="00D81F3C" w:rsidRPr="00D81F3C">
        <w:t xml:space="preserve"> primary PK endpoint was the AUC </w:t>
      </w:r>
      <w:r>
        <w:t xml:space="preserve">at steady-state </w:t>
      </w:r>
      <w:r w:rsidR="00D81F3C" w:rsidRPr="00D81F3C">
        <w:t xml:space="preserve">of </w:t>
      </w:r>
      <w:r w:rsidR="00121E86">
        <w:t>g</w:t>
      </w:r>
      <w:r w:rsidR="00121E86" w:rsidRPr="00786397">
        <w:t>lecaprevir</w:t>
      </w:r>
      <w:r w:rsidR="00D81F3C" w:rsidRPr="00D81F3C">
        <w:t xml:space="preserve"> and </w:t>
      </w:r>
      <w:r w:rsidR="00605660" w:rsidRPr="00DB42E3">
        <w:t>pibrentasvir</w:t>
      </w:r>
      <w:r w:rsidR="00D81F3C" w:rsidRPr="00D81F3C">
        <w:t xml:space="preserve"> to be estimated by non</w:t>
      </w:r>
      <w:r w:rsidR="00B02322">
        <w:t>-</w:t>
      </w:r>
      <w:r w:rsidR="00D81F3C" w:rsidRPr="00D81F3C">
        <w:t>compartmental PK analysis or population PK analysis, including AUC at 2 weeks in subjects with</w:t>
      </w:r>
      <w:r w:rsidR="00D81F3C">
        <w:t xml:space="preserve"> intensive </w:t>
      </w:r>
      <w:r>
        <w:t>PK</w:t>
      </w:r>
      <w:r w:rsidR="00D81F3C" w:rsidRPr="00D81F3C">
        <w:t xml:space="preserve"> samples and AUC in all subjects with or without </w:t>
      </w:r>
      <w:r>
        <w:t xml:space="preserve">intensive </w:t>
      </w:r>
      <w:r w:rsidR="00D81F3C" w:rsidRPr="00D81F3C">
        <w:t xml:space="preserve">PK samples. Sparse pharmacokinetic blood samples for the </w:t>
      </w:r>
      <w:r w:rsidR="00121E86">
        <w:t>g</w:t>
      </w:r>
      <w:r w:rsidR="00121E86" w:rsidRPr="00786397">
        <w:t>lecaprevir</w:t>
      </w:r>
      <w:r w:rsidR="00D81F3C" w:rsidRPr="00D81F3C">
        <w:t xml:space="preserve"> and </w:t>
      </w:r>
      <w:r w:rsidR="00605660" w:rsidRPr="00DB42E3">
        <w:t>pibrentasvir</w:t>
      </w:r>
      <w:r w:rsidR="00D81F3C" w:rsidRPr="00D81F3C">
        <w:t xml:space="preserve"> assays were collected by venepuncture.</w:t>
      </w:r>
    </w:p>
    <w:p w14:paraId="503EC6EA" w14:textId="370C21F9" w:rsidR="00D81F3C" w:rsidRPr="00A01E26" w:rsidRDefault="00D81F3C" w:rsidP="0077516C">
      <w:r w:rsidRPr="00D81F3C">
        <w:t>The initial proposed formulation on which dosing was to be based was the 40</w:t>
      </w:r>
      <w:r w:rsidR="000525A7">
        <w:t> </w:t>
      </w:r>
      <w:r w:rsidRPr="00D81F3C">
        <w:t xml:space="preserve">mg </w:t>
      </w:r>
      <w:r w:rsidR="00121E86">
        <w:t>g</w:t>
      </w:r>
      <w:r w:rsidR="00121E86" w:rsidRPr="00786397">
        <w:t>lecaprevir</w:t>
      </w:r>
      <w:r w:rsidRPr="00D81F3C">
        <w:t xml:space="preserve"> </w:t>
      </w:r>
      <w:r>
        <w:t>and</w:t>
      </w:r>
      <w:r w:rsidRPr="00D81F3C">
        <w:t xml:space="preserve"> 15</w:t>
      </w:r>
      <w:r w:rsidR="000525A7">
        <w:t> </w:t>
      </w:r>
      <w:r w:rsidRPr="00D81F3C">
        <w:t xml:space="preserve">mg </w:t>
      </w:r>
      <w:r w:rsidR="00605660" w:rsidRPr="00DB42E3">
        <w:t>pibrentasvir</w:t>
      </w:r>
      <w:r w:rsidRPr="00D81F3C">
        <w:t xml:space="preserve"> dose ratio. The sponsor changed this to a 50</w:t>
      </w:r>
      <w:r w:rsidR="000525A7">
        <w:t> </w:t>
      </w:r>
      <w:r w:rsidRPr="00D81F3C">
        <w:t xml:space="preserve">mg </w:t>
      </w:r>
      <w:r w:rsidR="00121E86">
        <w:t>g</w:t>
      </w:r>
      <w:r w:rsidR="00121E86" w:rsidRPr="00786397">
        <w:t>lecaprevir</w:t>
      </w:r>
      <w:r>
        <w:t xml:space="preserve"> and</w:t>
      </w:r>
      <w:r w:rsidRPr="00D81F3C">
        <w:t xml:space="preserve"> 20</w:t>
      </w:r>
      <w:r w:rsidR="000525A7">
        <w:t> </w:t>
      </w:r>
      <w:r w:rsidRPr="00D81F3C">
        <w:t xml:space="preserve">mg </w:t>
      </w:r>
      <w:r w:rsidR="00605660" w:rsidRPr="00DB42E3">
        <w:t>pibrentasvir</w:t>
      </w:r>
      <w:r w:rsidRPr="00D81F3C">
        <w:t xml:space="preserve"> dose ratio,</w:t>
      </w:r>
      <w:r w:rsidR="0077516C">
        <w:t xml:space="preserve"> for </w:t>
      </w:r>
      <w:r w:rsidRPr="00D81F3C">
        <w:t>the following reasons</w:t>
      </w:r>
      <w:r w:rsidR="0077516C">
        <w:t xml:space="preserve">. </w:t>
      </w:r>
      <w:r w:rsidRPr="0077516C">
        <w:t>After analysis of the PK data using the 40</w:t>
      </w:r>
      <w:r w:rsidR="00121E86">
        <w:t> </w:t>
      </w:r>
      <w:r w:rsidRPr="0077516C">
        <w:t xml:space="preserve">mg </w:t>
      </w:r>
      <w:r w:rsidR="00121E86">
        <w:t>g</w:t>
      </w:r>
      <w:r w:rsidR="00121E86" w:rsidRPr="00786397">
        <w:t>lecaprevir</w:t>
      </w:r>
      <w:r w:rsidRPr="0077516C">
        <w:t xml:space="preserve"> and 15 mg </w:t>
      </w:r>
      <w:r w:rsidR="00605660" w:rsidRPr="00DB42E3">
        <w:t>pibrentasvir</w:t>
      </w:r>
      <w:r w:rsidRPr="0077516C">
        <w:t xml:space="preserve"> dose ratio (with a regimen based on this) in 17 HCV infected noncirrhotic paediatric patients, each Part 2 cohort experienced both lower </w:t>
      </w:r>
      <w:r w:rsidR="00121E86">
        <w:t>g</w:t>
      </w:r>
      <w:r w:rsidR="00121E86" w:rsidRPr="00786397">
        <w:t>lecaprevir</w:t>
      </w:r>
      <w:r w:rsidRPr="0077516C">
        <w:t xml:space="preserve"> and lower </w:t>
      </w:r>
      <w:r w:rsidR="00605660" w:rsidRPr="00DB42E3">
        <w:t>pibrentasvir</w:t>
      </w:r>
      <w:r w:rsidRPr="0077516C">
        <w:t xml:space="preserve"> geometric mean exposures (up to 65% and 39% lower for </w:t>
      </w:r>
      <w:r w:rsidR="00121E86">
        <w:t>g</w:t>
      </w:r>
      <w:r w:rsidR="00121E86" w:rsidRPr="00786397">
        <w:t>lecaprevir</w:t>
      </w:r>
      <w:r w:rsidR="00121E86" w:rsidRPr="0077516C">
        <w:t xml:space="preserve"> </w:t>
      </w:r>
      <w:r w:rsidRPr="0077516C">
        <w:t xml:space="preserve">and </w:t>
      </w:r>
      <w:r w:rsidR="00605660" w:rsidRPr="00DB42E3">
        <w:t>pibrentasvir</w:t>
      </w:r>
      <w:r w:rsidRPr="0077516C">
        <w:t xml:space="preserve">, respectively) than the targeted adult exposures (geometric mean </w:t>
      </w:r>
      <w:r w:rsidR="00121E86">
        <w:t>g</w:t>
      </w:r>
      <w:r w:rsidR="00121E86" w:rsidRPr="00786397">
        <w:t>lecaprevir</w:t>
      </w:r>
      <w:r w:rsidRPr="0077516C">
        <w:t xml:space="preserve"> and </w:t>
      </w:r>
      <w:r w:rsidR="00605660" w:rsidRPr="00DB42E3">
        <w:t>pibrentasvir</w:t>
      </w:r>
      <w:r w:rsidRPr="0077516C">
        <w:t xml:space="preserve"> </w:t>
      </w:r>
      <w:r w:rsidR="000801EF" w:rsidRPr="0077516C">
        <w:t>area under the concentration time curve from time 0 to 24 hours (</w:t>
      </w:r>
      <w:r w:rsidRPr="0077516C">
        <w:t>AUC</w:t>
      </w:r>
      <w:r w:rsidR="000801EF" w:rsidRPr="0077516C">
        <w:rPr>
          <w:vertAlign w:val="subscript"/>
        </w:rPr>
        <w:t>0-</w:t>
      </w:r>
      <w:r w:rsidRPr="0077516C">
        <w:rPr>
          <w:vertAlign w:val="subscript"/>
        </w:rPr>
        <w:t>24</w:t>
      </w:r>
      <w:r w:rsidR="00BD55D4">
        <w:rPr>
          <w:vertAlign w:val="subscript"/>
        </w:rPr>
        <w:t>h</w:t>
      </w:r>
      <w:r w:rsidR="000801EF" w:rsidRPr="007F1640">
        <w:t>)</w:t>
      </w:r>
      <w:r w:rsidR="000801EF" w:rsidRPr="0077516C">
        <w:rPr>
          <w:vertAlign w:val="subscript"/>
        </w:rPr>
        <w:t xml:space="preserve"> </w:t>
      </w:r>
      <w:r w:rsidRPr="0077516C">
        <w:t>values of 4800 ng</w:t>
      </w:r>
      <w:r w:rsidR="000801EF" w:rsidRPr="0077516C">
        <w:t xml:space="preserve"> </w:t>
      </w:r>
      <w:r w:rsidR="00BD55D4">
        <w:t>x</w:t>
      </w:r>
      <w:r w:rsidR="00BD55D4" w:rsidRPr="0077516C">
        <w:t xml:space="preserve"> </w:t>
      </w:r>
      <w:r w:rsidRPr="0077516C">
        <w:t>hr/mL and 1430 ng</w:t>
      </w:r>
      <w:r w:rsidR="000801EF" w:rsidRPr="0077516C">
        <w:t xml:space="preserve"> </w:t>
      </w:r>
      <w:r w:rsidR="00BD55D4">
        <w:t>x</w:t>
      </w:r>
      <w:r w:rsidR="000801EF" w:rsidRPr="0077516C">
        <w:t xml:space="preserve"> </w:t>
      </w:r>
      <w:r w:rsidRPr="0077516C">
        <w:t>hr/mL, respectively).</w:t>
      </w:r>
    </w:p>
    <w:p w14:paraId="1361DF72" w14:textId="5F86FFCB" w:rsidR="00D81F3C" w:rsidRPr="00D81F3C" w:rsidRDefault="00D81F3C" w:rsidP="00D81F3C">
      <w:r w:rsidRPr="00D81F3C">
        <w:t xml:space="preserve">One of </w:t>
      </w:r>
      <w:r w:rsidR="00870197">
        <w:t xml:space="preserve">the </w:t>
      </w:r>
      <w:r w:rsidRPr="00D81F3C">
        <w:t xml:space="preserve">patients in </w:t>
      </w:r>
      <w:r w:rsidR="00B57FA6">
        <w:t>C</w:t>
      </w:r>
      <w:r w:rsidRPr="00D81F3C">
        <w:t>ohort 2 on the initial lower dosing regimen experienced virologic relapse.</w:t>
      </w:r>
    </w:p>
    <w:p w14:paraId="2CC5C320" w14:textId="3C8B83F5" w:rsidR="00D81F3C" w:rsidRDefault="00D81F3C" w:rsidP="00D81F3C">
      <w:r w:rsidRPr="00D81F3C">
        <w:t>The final proposed formulation on which dosing was to be based was the 50</w:t>
      </w:r>
      <w:r w:rsidR="000525A7">
        <w:t> </w:t>
      </w:r>
      <w:r w:rsidRPr="00D81F3C">
        <w:t>mg</w:t>
      </w:r>
      <w:r w:rsidR="00121E86">
        <w:t xml:space="preserve"> g</w:t>
      </w:r>
      <w:r w:rsidR="00121E86" w:rsidRPr="00786397">
        <w:t>lecaprevir</w:t>
      </w:r>
      <w:r w:rsidRPr="00D81F3C">
        <w:t xml:space="preserve"> </w:t>
      </w:r>
      <w:r w:rsidR="000801EF">
        <w:t>and</w:t>
      </w:r>
      <w:r w:rsidRPr="00D81F3C">
        <w:t xml:space="preserve"> 20</w:t>
      </w:r>
      <w:r w:rsidR="000525A7">
        <w:t> </w:t>
      </w:r>
      <w:r w:rsidRPr="00D81F3C">
        <w:t xml:space="preserve">mg </w:t>
      </w:r>
      <w:r w:rsidR="00605660" w:rsidRPr="00DB42E3">
        <w:t>pibrentasvir</w:t>
      </w:r>
      <w:r w:rsidRPr="00D81F3C">
        <w:t xml:space="preserve"> dose ratio. The sponsor claims that the results for this demonstrated that the </w:t>
      </w:r>
      <w:r w:rsidRPr="00D81F3C">
        <w:lastRenderedPageBreak/>
        <w:t xml:space="preserve">Week 2 </w:t>
      </w:r>
      <w:r w:rsidR="00BD55D4">
        <w:t xml:space="preserve">intensive </w:t>
      </w:r>
      <w:r w:rsidRPr="00D81F3C">
        <w:t xml:space="preserve">PK exposures of </w:t>
      </w:r>
      <w:r w:rsidR="00121E86">
        <w:t>g</w:t>
      </w:r>
      <w:r w:rsidR="00121E86" w:rsidRPr="00786397">
        <w:t>lecaprevir</w:t>
      </w:r>
      <w:r w:rsidRPr="00D81F3C">
        <w:t xml:space="preserve"> and </w:t>
      </w:r>
      <w:r w:rsidR="00605660" w:rsidRPr="00DB42E3">
        <w:t>pibrentasvir</w:t>
      </w:r>
      <w:r w:rsidRPr="00D81F3C">
        <w:t xml:space="preserve"> in 38 HCV</w:t>
      </w:r>
      <w:r w:rsidR="000801EF">
        <w:t xml:space="preserve"> </w:t>
      </w:r>
      <w:r w:rsidRPr="00D81F3C">
        <w:t>infected noncirrhotic paediatric patients were within the range of exposures observed in HCV</w:t>
      </w:r>
      <w:r w:rsidR="000801EF">
        <w:t xml:space="preserve"> </w:t>
      </w:r>
      <w:r w:rsidRPr="00D81F3C">
        <w:t>infected noncirrhotic adult subjects (AUC</w:t>
      </w:r>
      <w:r w:rsidR="000801EF" w:rsidRPr="000801EF">
        <w:rPr>
          <w:vertAlign w:val="subscript"/>
        </w:rPr>
        <w:t>0-24</w:t>
      </w:r>
      <w:r w:rsidR="00BD55D4">
        <w:rPr>
          <w:vertAlign w:val="subscript"/>
        </w:rPr>
        <w:t>h</w:t>
      </w:r>
      <w:r w:rsidRPr="000801EF">
        <w:rPr>
          <w:vertAlign w:val="subscript"/>
        </w:rPr>
        <w:t xml:space="preserve"> </w:t>
      </w:r>
      <w:r w:rsidRPr="00D81F3C">
        <w:t xml:space="preserve">values range from 123 </w:t>
      </w:r>
      <w:r w:rsidR="000801EF">
        <w:t>to</w:t>
      </w:r>
      <w:r w:rsidRPr="00D81F3C">
        <w:t xml:space="preserve"> 297000</w:t>
      </w:r>
      <w:r w:rsidR="00E81EC7">
        <w:t> </w:t>
      </w:r>
      <w:r w:rsidRPr="00D81F3C">
        <w:t>ng</w:t>
      </w:r>
      <w:r w:rsidR="00E81EC7">
        <w:t> </w:t>
      </w:r>
      <w:r w:rsidR="00BD55D4">
        <w:t xml:space="preserve">x </w:t>
      </w:r>
      <w:r w:rsidRPr="00D81F3C">
        <w:t xml:space="preserve">hr/mL and 148 </w:t>
      </w:r>
      <w:r w:rsidR="000801EF">
        <w:t xml:space="preserve">to </w:t>
      </w:r>
      <w:r w:rsidRPr="00D81F3C">
        <w:t>14200 ng</w:t>
      </w:r>
      <w:r w:rsidR="000801EF">
        <w:t xml:space="preserve"> </w:t>
      </w:r>
      <w:r w:rsidR="00BD55D4">
        <w:t xml:space="preserve">x </w:t>
      </w:r>
      <w:r w:rsidRPr="00D81F3C">
        <w:t xml:space="preserve">hr/mL, respectively, for </w:t>
      </w:r>
      <w:r w:rsidR="00121E86">
        <w:t>g</w:t>
      </w:r>
      <w:r w:rsidR="00121E86" w:rsidRPr="00786397">
        <w:t>lecaprevir</w:t>
      </w:r>
      <w:r w:rsidR="00121E86" w:rsidRPr="00D81F3C">
        <w:t xml:space="preserve"> </w:t>
      </w:r>
      <w:r w:rsidRPr="00D81F3C">
        <w:t xml:space="preserve">and </w:t>
      </w:r>
      <w:r w:rsidR="00605660" w:rsidRPr="00DB42E3">
        <w:t>pibrentasvir</w:t>
      </w:r>
      <w:r w:rsidRPr="00D81F3C">
        <w:t>).</w:t>
      </w:r>
    </w:p>
    <w:p w14:paraId="652B4478" w14:textId="16700B51" w:rsidR="00D81F3C" w:rsidRDefault="00D81F3C" w:rsidP="00D81F3C">
      <w:r w:rsidRPr="00D81F3C">
        <w:t>The exposures for all Japanese subjects were contained within the exposure range of non</w:t>
      </w:r>
      <w:r w:rsidR="00071A0B">
        <w:noBreakHyphen/>
      </w:r>
      <w:r w:rsidRPr="00D81F3C">
        <w:t>Japanese paediatric subjects. Their exposures were also falling within the efficacious range observed in Japanese adult subjects.</w:t>
      </w:r>
    </w:p>
    <w:p w14:paraId="4BE3D1D8" w14:textId="71A4F4D2" w:rsidR="006B608F" w:rsidRDefault="006B608F" w:rsidP="006B608F">
      <w:pPr>
        <w:pStyle w:val="Heading5"/>
      </w:pPr>
      <w:r>
        <w:t>Pharmacokinetic food effect</w:t>
      </w:r>
    </w:p>
    <w:p w14:paraId="41323AE4" w14:textId="42DFC580" w:rsidR="006B608F" w:rsidRDefault="006B608F" w:rsidP="006B608F">
      <w:r w:rsidRPr="006B608F">
        <w:t xml:space="preserve">The objectives of </w:t>
      </w:r>
      <w:r>
        <w:t>S</w:t>
      </w:r>
      <w:r w:rsidRPr="006B608F">
        <w:t>tudy M17-142 were to determine the bioavailability of the glecaprevir</w:t>
      </w:r>
      <w:r>
        <w:t xml:space="preserve"> and</w:t>
      </w:r>
      <w:r w:rsidRPr="006B608F">
        <w:t xml:space="preserve"> pibrentasvir paediatric formulation relative to the reference Phase </w:t>
      </w:r>
      <w:r w:rsidR="00957F73">
        <w:t>III</w:t>
      </w:r>
      <w:r w:rsidRPr="006B608F">
        <w:t xml:space="preserve"> adult formulation under fasting and non</w:t>
      </w:r>
      <w:r w:rsidR="00071A0B">
        <w:t>-</w:t>
      </w:r>
      <w:r w:rsidRPr="006B608F">
        <w:t>fasting conditions (Part 1) and to assess the effect of high</w:t>
      </w:r>
      <w:r w:rsidR="00137CDF">
        <w:t xml:space="preserve"> </w:t>
      </w:r>
      <w:r w:rsidRPr="006B608F">
        <w:t xml:space="preserve">fat and </w:t>
      </w:r>
      <w:proofErr w:type="gramStart"/>
      <w:r w:rsidRPr="006B608F">
        <w:t>low</w:t>
      </w:r>
      <w:r w:rsidR="00137CDF">
        <w:t xml:space="preserve"> </w:t>
      </w:r>
      <w:r w:rsidRPr="006B608F">
        <w:t>fat</w:t>
      </w:r>
      <w:proofErr w:type="gramEnd"/>
      <w:r w:rsidRPr="006B608F">
        <w:t xml:space="preserve"> meals on the experimental </w:t>
      </w:r>
      <w:r w:rsidR="00121E86">
        <w:t>g</w:t>
      </w:r>
      <w:r w:rsidR="00121E86" w:rsidRPr="00786397">
        <w:t>lecaprevir</w:t>
      </w:r>
      <w:r w:rsidRPr="006B608F">
        <w:t xml:space="preserve"> </w:t>
      </w:r>
      <w:r w:rsidR="00137CDF">
        <w:t>and</w:t>
      </w:r>
      <w:r w:rsidRPr="006B608F">
        <w:t xml:space="preserve"> </w:t>
      </w:r>
      <w:r w:rsidR="00605660" w:rsidRPr="00DB42E3">
        <w:t>pibrentasvir</w:t>
      </w:r>
      <w:r w:rsidRPr="006B608F">
        <w:t xml:space="preserve"> paediatric formulation relative to fasting conditions (Part 2).</w:t>
      </w:r>
    </w:p>
    <w:p w14:paraId="61AC3E86" w14:textId="77777777" w:rsidR="00D20985" w:rsidRDefault="00137CDF" w:rsidP="00D20985">
      <w:pPr>
        <w:pStyle w:val="Heading5"/>
      </w:pPr>
      <w:r>
        <w:t>Population pharmacokinetics data</w:t>
      </w:r>
    </w:p>
    <w:p w14:paraId="00AA9A96" w14:textId="70A0730F" w:rsidR="00137CDF" w:rsidRDefault="00933C97" w:rsidP="00137CDF">
      <w:r>
        <w:t>The</w:t>
      </w:r>
      <w:r w:rsidR="0075122E">
        <w:t xml:space="preserve"> objectives of the</w:t>
      </w:r>
      <w:r>
        <w:t xml:space="preserve"> population pharmacokinetics </w:t>
      </w:r>
      <w:r w:rsidR="00BD55D4">
        <w:t xml:space="preserve">analysis (Analysis </w:t>
      </w:r>
      <w:r w:rsidR="005B5687">
        <w:t>RD200613</w:t>
      </w:r>
      <w:r w:rsidR="00BD55D4">
        <w:t>)</w:t>
      </w:r>
      <w:r w:rsidR="005F7335" w:rsidRPr="00D20985">
        <w:t xml:space="preserve"> were t</w:t>
      </w:r>
      <w:r w:rsidR="00137CDF" w:rsidRPr="00D20985">
        <w:t xml:space="preserve">o characterise the </w:t>
      </w:r>
      <w:proofErr w:type="spellStart"/>
      <w:r w:rsidR="0075122E">
        <w:t>popPK</w:t>
      </w:r>
      <w:proofErr w:type="spellEnd"/>
      <w:r w:rsidR="0075122E" w:rsidRPr="00D20985">
        <w:t xml:space="preserve"> </w:t>
      </w:r>
      <w:r w:rsidR="00137CDF" w:rsidRPr="00D20985">
        <w:t xml:space="preserve">of </w:t>
      </w:r>
      <w:proofErr w:type="spellStart"/>
      <w:r w:rsidR="00121E86" w:rsidRPr="00D20985">
        <w:t>glecaprevir</w:t>
      </w:r>
      <w:proofErr w:type="spellEnd"/>
      <w:r w:rsidR="00137CDF" w:rsidRPr="00D20985">
        <w:t xml:space="preserve"> and </w:t>
      </w:r>
      <w:r w:rsidR="00605660" w:rsidRPr="00D20985">
        <w:t>pibrentasvir</w:t>
      </w:r>
      <w:r w:rsidR="00137CDF" w:rsidRPr="00D20985">
        <w:t xml:space="preserve"> when administered </w:t>
      </w:r>
      <w:r w:rsidR="0075122E">
        <w:t>as a</w:t>
      </w:r>
      <w:r w:rsidR="0075122E" w:rsidRPr="00D20985">
        <w:t xml:space="preserve"> </w:t>
      </w:r>
      <w:r w:rsidR="00137CDF" w:rsidRPr="00D20985">
        <w:t xml:space="preserve">combination </w:t>
      </w:r>
      <w:r w:rsidR="0075122E">
        <w:t>to paediatric patients infected with</w:t>
      </w:r>
      <w:r w:rsidR="0075122E" w:rsidRPr="00D20985">
        <w:t xml:space="preserve"> </w:t>
      </w:r>
      <w:r w:rsidR="00137CDF" w:rsidRPr="00D20985">
        <w:t xml:space="preserve">HCV </w:t>
      </w:r>
      <w:r w:rsidR="00A01E26" w:rsidRPr="00D20985">
        <w:t>genotype</w:t>
      </w:r>
      <w:r w:rsidR="0075122E">
        <w:t>s</w:t>
      </w:r>
      <w:r w:rsidR="00137CDF" w:rsidRPr="00D20985">
        <w:t xml:space="preserve"> 1 to 6</w:t>
      </w:r>
      <w:r w:rsidR="0075122E">
        <w:t xml:space="preserve">, who were </w:t>
      </w:r>
      <w:r w:rsidR="00137CDF" w:rsidRPr="00D20985">
        <w:t xml:space="preserve">aged </w:t>
      </w:r>
      <w:r w:rsidR="0075122E">
        <w:t xml:space="preserve">from </w:t>
      </w:r>
      <w:r w:rsidR="00137CDF" w:rsidRPr="00D20985">
        <w:t xml:space="preserve">3 </w:t>
      </w:r>
      <w:r w:rsidR="0075122E">
        <w:t xml:space="preserve">years </w:t>
      </w:r>
      <w:r w:rsidR="00137CDF" w:rsidRPr="00D20985">
        <w:t xml:space="preserve">to </w:t>
      </w:r>
      <w:r w:rsidR="0075122E">
        <w:t>under</w:t>
      </w:r>
      <w:r w:rsidR="00137CDF" w:rsidRPr="00D20985">
        <w:t xml:space="preserve"> 12 years</w:t>
      </w:r>
      <w:r w:rsidR="0075122E">
        <w:t xml:space="preserve"> of age</w:t>
      </w:r>
      <w:r w:rsidR="005F7335" w:rsidRPr="00D20985">
        <w:t xml:space="preserve">, and to </w:t>
      </w:r>
      <w:r w:rsidR="00137CDF" w:rsidRPr="00D20985">
        <w:t xml:space="preserve">identify demographic, pathophysiologic and treatment factors that may contribute to the variability in the pharmacokinetics of </w:t>
      </w:r>
      <w:r w:rsidR="00121E86" w:rsidRPr="00D20985">
        <w:t>glecaprevir</w:t>
      </w:r>
      <w:r w:rsidR="00137CDF" w:rsidRPr="00D20985">
        <w:t xml:space="preserve"> and </w:t>
      </w:r>
      <w:r w:rsidR="00605660" w:rsidRPr="00D20985">
        <w:t>pibrentasvir</w:t>
      </w:r>
      <w:r w:rsidR="00137CDF" w:rsidRPr="00D20985">
        <w:t>.</w:t>
      </w:r>
      <w:r w:rsidR="00D20985">
        <w:t xml:space="preserve"> </w:t>
      </w:r>
      <w:r w:rsidR="00137CDF" w:rsidRPr="00137CDF">
        <w:t>The results will inform the dose regimens in this patient group.</w:t>
      </w:r>
    </w:p>
    <w:p w14:paraId="1F5A0692" w14:textId="069B0B0D" w:rsidR="00137CDF" w:rsidRPr="00E81EC7" w:rsidRDefault="00137CDF" w:rsidP="00E81EC7">
      <w:pPr>
        <w:pStyle w:val="Heading6"/>
      </w:pPr>
      <w:r w:rsidRPr="00E81EC7">
        <w:t>Pharmacokinetics clinical data source</w:t>
      </w:r>
    </w:p>
    <w:p w14:paraId="0503AE0B" w14:textId="60E87D7D" w:rsidR="00137CDF" w:rsidRPr="00137CDF" w:rsidRDefault="00137CDF" w:rsidP="00137CDF">
      <w:r>
        <w:t>One hundred and twenty</w:t>
      </w:r>
      <w:r w:rsidR="0075122E">
        <w:t>-</w:t>
      </w:r>
      <w:r>
        <w:t xml:space="preserve">six </w:t>
      </w:r>
      <w:r w:rsidR="0075122E">
        <w:t xml:space="preserve">(126) </w:t>
      </w:r>
      <w:r w:rsidRPr="00137CDF">
        <w:t xml:space="preserve">paediatric and adolescent patients aged </w:t>
      </w:r>
      <w:r w:rsidR="0075122E">
        <w:t xml:space="preserve">from </w:t>
      </w:r>
      <w:r w:rsidRPr="00137CDF">
        <w:t xml:space="preserve">3 </w:t>
      </w:r>
      <w:r w:rsidR="0075122E">
        <w:t xml:space="preserve">years </w:t>
      </w:r>
      <w:r w:rsidRPr="00137CDF">
        <w:t xml:space="preserve">to </w:t>
      </w:r>
      <w:r>
        <w:t xml:space="preserve">less than </w:t>
      </w:r>
      <w:r w:rsidRPr="00137CDF">
        <w:t>18</w:t>
      </w:r>
      <w:r>
        <w:t xml:space="preserve"> </w:t>
      </w:r>
      <w:r w:rsidRPr="00137CDF">
        <w:t>y</w:t>
      </w:r>
      <w:r>
        <w:t>ears</w:t>
      </w:r>
      <w:r w:rsidRPr="00137CDF">
        <w:t xml:space="preserve"> from Study M16-123 (</w:t>
      </w:r>
      <w:r w:rsidR="0075122E">
        <w:t xml:space="preserve">also known as the </w:t>
      </w:r>
      <w:r w:rsidRPr="00137CDF">
        <w:t>DORA</w:t>
      </w:r>
      <w:r w:rsidR="005F7335">
        <w:t xml:space="preserve"> trial</w:t>
      </w:r>
      <w:r w:rsidRPr="00137CDF">
        <w:t xml:space="preserve">) were included in the </w:t>
      </w:r>
      <w:proofErr w:type="spellStart"/>
      <w:r w:rsidR="000525A7">
        <w:t>popPK</w:t>
      </w:r>
      <w:proofErr w:type="spellEnd"/>
      <w:r w:rsidRPr="00137CDF">
        <w:t xml:space="preserve"> analysis. The adolescent subjects (Part 1, Cohort 1) received </w:t>
      </w:r>
      <w:r w:rsidR="00121E86" w:rsidRPr="00137CDF">
        <w:t>300</w:t>
      </w:r>
      <w:r w:rsidR="000525A7">
        <w:t> </w:t>
      </w:r>
      <w:r w:rsidR="00121E86" w:rsidRPr="00137CDF">
        <w:t>mg/120</w:t>
      </w:r>
      <w:r w:rsidR="00E81EC7">
        <w:t> </w:t>
      </w:r>
      <w:r w:rsidR="00121E86" w:rsidRPr="00137CDF">
        <w:t xml:space="preserve">mg </w:t>
      </w:r>
      <w:r w:rsidR="00121E86">
        <w:t>g</w:t>
      </w:r>
      <w:r w:rsidR="00121E86" w:rsidRPr="00786397">
        <w:t>lecaprevir</w:t>
      </w:r>
      <w:r w:rsidR="00121E86">
        <w:t xml:space="preserve"> </w:t>
      </w:r>
      <w:r>
        <w:t xml:space="preserve">and </w:t>
      </w:r>
      <w:r w:rsidR="00605660" w:rsidRPr="00DB42E3">
        <w:t>pibrentasvir</w:t>
      </w:r>
      <w:r w:rsidRPr="00137CDF">
        <w:t xml:space="preserve"> once daily adult formulation, and the paediatric subjects (Part 2, Cohorts 2, 3 and 4) received body weight group</w:t>
      </w:r>
      <w:r>
        <w:t xml:space="preserve"> </w:t>
      </w:r>
      <w:r w:rsidRPr="00137CDF">
        <w:t xml:space="preserve">based </w:t>
      </w:r>
      <w:r w:rsidR="00605660">
        <w:t>g</w:t>
      </w:r>
      <w:r w:rsidR="00605660" w:rsidRPr="00786397">
        <w:t>lecaprevir</w:t>
      </w:r>
      <w:r>
        <w:t xml:space="preserve"> and </w:t>
      </w:r>
      <w:r w:rsidR="00605660" w:rsidRPr="00DB42E3">
        <w:t>pibrentasvir</w:t>
      </w:r>
      <w:r w:rsidRPr="00137CDF">
        <w:t xml:space="preserve"> paediatric formulation.</w:t>
      </w:r>
    </w:p>
    <w:p w14:paraId="0B1BCB96" w14:textId="43CEDC4D" w:rsidR="00137CDF" w:rsidRPr="00E81EC7" w:rsidRDefault="00137CDF" w:rsidP="00E81EC7">
      <w:pPr>
        <w:pStyle w:val="Heading6"/>
      </w:pPr>
      <w:r w:rsidRPr="00E81EC7">
        <w:t>Model</w:t>
      </w:r>
      <w:r w:rsidR="0075122E">
        <w:t>ling</w:t>
      </w:r>
    </w:p>
    <w:p w14:paraId="655F88BE" w14:textId="50C920EE" w:rsidR="00137CDF" w:rsidRPr="00137CDF" w:rsidRDefault="00137CDF" w:rsidP="00137CDF">
      <w:r w:rsidRPr="00137CDF">
        <w:t>Nonlinear mixed</w:t>
      </w:r>
      <w:r>
        <w:t xml:space="preserve"> </w:t>
      </w:r>
      <w:r w:rsidRPr="00137CDF">
        <w:t xml:space="preserve">effect models were developed to characterise the </w:t>
      </w:r>
      <w:proofErr w:type="spellStart"/>
      <w:r w:rsidR="000525A7">
        <w:t>popPK</w:t>
      </w:r>
      <w:proofErr w:type="spellEnd"/>
      <w:r w:rsidRPr="00137CDF">
        <w:t xml:space="preserve"> in the 79 paediatric patients. The final models were evaluated based on goodness</w:t>
      </w:r>
      <w:r>
        <w:t xml:space="preserve"> </w:t>
      </w:r>
      <w:r w:rsidRPr="00137CDF">
        <w:t>of</w:t>
      </w:r>
      <w:r>
        <w:t xml:space="preserve"> </w:t>
      </w:r>
      <w:r w:rsidRPr="00137CDF">
        <w:t xml:space="preserve">fit plots, </w:t>
      </w:r>
      <w:bookmarkStart w:id="41" w:name="_Hlk122006698"/>
      <w:r w:rsidRPr="00137CDF">
        <w:t xml:space="preserve">visual predictive checks </w:t>
      </w:r>
      <w:bookmarkEnd w:id="41"/>
      <w:r w:rsidRPr="00137CDF">
        <w:t>and prediction</w:t>
      </w:r>
      <w:r>
        <w:t xml:space="preserve"> </w:t>
      </w:r>
      <w:r w:rsidRPr="00137CDF">
        <w:t>corrected</w:t>
      </w:r>
      <w:r w:rsidR="00D05B6E" w:rsidRPr="00D05B6E">
        <w:t xml:space="preserve"> visual predictive checks</w:t>
      </w:r>
      <w:r w:rsidRPr="00137CDF">
        <w:t xml:space="preserve">, and nonparametric bootstrap. </w:t>
      </w:r>
      <w:r>
        <w:t xml:space="preserve">Nonlinear mixed effects modelling </w:t>
      </w:r>
      <w:r w:rsidRPr="00137CDF">
        <w:t xml:space="preserve">was used for all data analysis and </w:t>
      </w:r>
      <w:proofErr w:type="gramStart"/>
      <w:r w:rsidRPr="00137CDF">
        <w:t>simulation</w:t>
      </w:r>
      <w:r>
        <w:t xml:space="preserve"> </w:t>
      </w:r>
      <w:r w:rsidRPr="00137CDF">
        <w:t>based</w:t>
      </w:r>
      <w:proofErr w:type="gramEnd"/>
      <w:r w:rsidRPr="00137CDF">
        <w:t xml:space="preserve"> dose justification.</w:t>
      </w:r>
    </w:p>
    <w:p w14:paraId="7C0C9DE1" w14:textId="52230691" w:rsidR="00137CDF" w:rsidRPr="00137CDF" w:rsidRDefault="00137CDF" w:rsidP="00137CDF">
      <w:r w:rsidRPr="00137CDF">
        <w:lastRenderedPageBreak/>
        <w:t xml:space="preserve">As the data from the 79 paediatric patients aged </w:t>
      </w:r>
      <w:r w:rsidR="0075122E">
        <w:t>from</w:t>
      </w:r>
      <w:r>
        <w:t xml:space="preserve"> </w:t>
      </w:r>
      <w:r w:rsidRPr="00137CDF">
        <w:t xml:space="preserve">3 </w:t>
      </w:r>
      <w:r w:rsidR="0075122E">
        <w:t xml:space="preserve">years </w:t>
      </w:r>
      <w:r w:rsidRPr="00137CDF">
        <w:t xml:space="preserve">to </w:t>
      </w:r>
      <w:r>
        <w:t xml:space="preserve">less than </w:t>
      </w:r>
      <w:r w:rsidRPr="00137CDF">
        <w:t>12 years (Part 2) were scarce, those data were combined with the adolescent PK dataset (Part</w:t>
      </w:r>
      <w:r w:rsidR="00E81EC7">
        <w:t> </w:t>
      </w:r>
      <w:r w:rsidRPr="00137CDF">
        <w:t>1) for the analysis. The difference in formulations used in the paediatric subjects v</w:t>
      </w:r>
      <w:r>
        <w:t>ersus</w:t>
      </w:r>
      <w:r w:rsidRPr="00137CDF">
        <w:t xml:space="preserve"> adolescents was accounted for by parameterising the relative bioavailability based on results from Phase </w:t>
      </w:r>
      <w:r w:rsidR="00957F73">
        <w:t>I</w:t>
      </w:r>
      <w:r w:rsidRPr="00137CDF">
        <w:t xml:space="preserve"> bioavailability </w:t>
      </w:r>
      <w:r w:rsidR="00541D6C">
        <w:t>S</w:t>
      </w:r>
      <w:r w:rsidRPr="00137CDF">
        <w:t xml:space="preserve">tudy M17-142, even though the formulation used in that study differed from the formulation used in Study M16-123. This approach taken by the sponsor was considered adequate by the </w:t>
      </w:r>
      <w:r w:rsidR="00541D6C">
        <w:t>Delegate.</w:t>
      </w:r>
    </w:p>
    <w:p w14:paraId="100D84AF" w14:textId="7EF9435E" w:rsidR="00137CDF" w:rsidRPr="00E81EC7" w:rsidRDefault="00137CDF" w:rsidP="00E81EC7">
      <w:pPr>
        <w:pStyle w:val="Heading6"/>
      </w:pPr>
      <w:r w:rsidRPr="00E81EC7">
        <w:t>Covariates</w:t>
      </w:r>
    </w:p>
    <w:p w14:paraId="3B9A61E3" w14:textId="3191A83E" w:rsidR="00541D6C" w:rsidRPr="00541D6C" w:rsidRDefault="00541D6C" w:rsidP="00541D6C">
      <w:r w:rsidRPr="00541D6C">
        <w:t xml:space="preserve">Covariates investigated for influence on </w:t>
      </w:r>
      <w:r w:rsidR="00121E86">
        <w:t>g</w:t>
      </w:r>
      <w:r w:rsidR="00121E86" w:rsidRPr="00786397">
        <w:t>lecaprevir</w:t>
      </w:r>
      <w:r w:rsidRPr="00541D6C">
        <w:t xml:space="preserve"> and </w:t>
      </w:r>
      <w:r w:rsidR="00605660" w:rsidRPr="00DB42E3">
        <w:t>pibrentasvir</w:t>
      </w:r>
      <w:r w:rsidRPr="00541D6C">
        <w:t xml:space="preserve"> pharmacokinetics (apparent clearance and apparent volume of distribution of the central compartment) included </w:t>
      </w:r>
      <w:r>
        <w:t>b</w:t>
      </w:r>
      <w:r w:rsidRPr="00541D6C">
        <w:t>ody weight (kg), body surface area (m</w:t>
      </w:r>
      <w:r w:rsidRPr="009446FC">
        <w:rPr>
          <w:vertAlign w:val="superscript"/>
        </w:rPr>
        <w:t>2</w:t>
      </w:r>
      <w:r w:rsidRPr="00541D6C">
        <w:t xml:space="preserve">), age (years), sex (male </w:t>
      </w:r>
      <w:r>
        <w:t>versus</w:t>
      </w:r>
      <w:r w:rsidRPr="00541D6C">
        <w:t xml:space="preserve"> female), race (</w:t>
      </w:r>
      <w:r>
        <w:t>W</w:t>
      </w:r>
      <w:r w:rsidRPr="00541D6C">
        <w:t xml:space="preserve">hite </w:t>
      </w:r>
      <w:r>
        <w:t>versus</w:t>
      </w:r>
      <w:r w:rsidRPr="00541D6C">
        <w:t xml:space="preserve"> others), Japanese race (Japanese </w:t>
      </w:r>
      <w:r>
        <w:t>versus</w:t>
      </w:r>
      <w:r w:rsidRPr="00541D6C">
        <w:t xml:space="preserve"> non</w:t>
      </w:r>
      <w:r w:rsidR="00071A0B">
        <w:t>-</w:t>
      </w:r>
      <w:r w:rsidRPr="00541D6C">
        <w:t xml:space="preserve">Japanese). Body weight was included as a covariate in the structural model. Those covariates were tested using the </w:t>
      </w:r>
      <w:r>
        <w:t>s</w:t>
      </w:r>
      <w:r w:rsidRPr="00541D6C">
        <w:t xml:space="preserve">tepwise </w:t>
      </w:r>
      <w:r>
        <w:t>c</w:t>
      </w:r>
      <w:r w:rsidRPr="00541D6C">
        <w:t xml:space="preserve">ovariate </w:t>
      </w:r>
      <w:r>
        <w:t>m</w:t>
      </w:r>
      <w:r w:rsidRPr="00541D6C">
        <w:t>odel for forward selection and backward elimination of covariates to the model.</w:t>
      </w:r>
    </w:p>
    <w:p w14:paraId="52AFDDD3" w14:textId="24BFC092" w:rsidR="00137CDF" w:rsidRPr="00E81EC7" w:rsidRDefault="00137CDF" w:rsidP="00E81EC7">
      <w:pPr>
        <w:pStyle w:val="Heading6"/>
      </w:pPr>
      <w:r w:rsidRPr="00E81EC7">
        <w:t>Dose</w:t>
      </w:r>
      <w:r w:rsidR="0075122E">
        <w:noBreakHyphen/>
      </w:r>
      <w:r w:rsidRPr="00E81EC7">
        <w:t>exposure relationship</w:t>
      </w:r>
    </w:p>
    <w:p w14:paraId="4C557CA1" w14:textId="7489FE0F" w:rsidR="00137CDF" w:rsidRPr="00541D6C" w:rsidRDefault="00541D6C" w:rsidP="00541D6C">
      <w:r w:rsidRPr="00541D6C">
        <w:t>Simulations were performed with 10,000 subjects in each weight group to obtain realistic estimates of exposures for the</w:t>
      </w:r>
      <w:r w:rsidR="00121E86" w:rsidRPr="00121E86">
        <w:t xml:space="preserve"> </w:t>
      </w:r>
      <w:r w:rsidR="00121E86">
        <w:t>g</w:t>
      </w:r>
      <w:r w:rsidR="00121E86" w:rsidRPr="00786397">
        <w:t>lecaprevir</w:t>
      </w:r>
      <w:r w:rsidRPr="00541D6C">
        <w:t xml:space="preserve"> and </w:t>
      </w:r>
      <w:r w:rsidR="00605660" w:rsidRPr="00DB42E3">
        <w:t>pibrentasvir</w:t>
      </w:r>
      <w:r w:rsidRPr="00541D6C">
        <w:t xml:space="preserve"> proposed body weight </w:t>
      </w:r>
      <w:proofErr w:type="gramStart"/>
      <w:r w:rsidRPr="00541D6C">
        <w:t>group</w:t>
      </w:r>
      <w:r w:rsidR="00D20985">
        <w:t xml:space="preserve"> </w:t>
      </w:r>
      <w:r w:rsidRPr="00541D6C">
        <w:t>based</w:t>
      </w:r>
      <w:proofErr w:type="gramEnd"/>
      <w:r w:rsidRPr="00541D6C">
        <w:t xml:space="preserve"> doses in paediatric subjects.</w:t>
      </w:r>
    </w:p>
    <w:p w14:paraId="01AE5166" w14:textId="6B7FA3E4" w:rsidR="00137CDF" w:rsidRPr="00E81EC7" w:rsidRDefault="00541D6C" w:rsidP="00E81EC7">
      <w:pPr>
        <w:pStyle w:val="Heading6"/>
      </w:pPr>
      <w:r w:rsidRPr="00E81EC7">
        <w:t>Results and conclusions</w:t>
      </w:r>
    </w:p>
    <w:p w14:paraId="12070F7B" w14:textId="5033DA55" w:rsidR="00541D6C" w:rsidRDefault="00440199" w:rsidP="00440199">
      <w:r w:rsidRPr="00440199">
        <w:t xml:space="preserve">The individual </w:t>
      </w:r>
      <w:r w:rsidR="00121E86">
        <w:t>g</w:t>
      </w:r>
      <w:r w:rsidR="00121E86" w:rsidRPr="00786397">
        <w:t>lecaprevir</w:t>
      </w:r>
      <w:r w:rsidRPr="00440199">
        <w:t xml:space="preserve"> concentrations were described using a one</w:t>
      </w:r>
      <w:r>
        <w:t xml:space="preserve"> </w:t>
      </w:r>
      <w:r w:rsidRPr="00440199">
        <w:t>compartment PK model with first</w:t>
      </w:r>
      <w:r>
        <w:t xml:space="preserve"> </w:t>
      </w:r>
      <w:r w:rsidRPr="00440199">
        <w:t xml:space="preserve">order absorption and </w:t>
      </w:r>
      <w:r w:rsidRPr="00A3571E">
        <w:t xml:space="preserve">elimination. </w:t>
      </w:r>
      <w:r w:rsidR="00361FBC" w:rsidRPr="00A3571E">
        <w:t xml:space="preserve">The </w:t>
      </w:r>
      <w:r w:rsidR="009446FC" w:rsidRPr="00137CDF">
        <w:t>prediction</w:t>
      </w:r>
      <w:r w:rsidR="009446FC">
        <w:t xml:space="preserve"> </w:t>
      </w:r>
      <w:r w:rsidR="009446FC" w:rsidRPr="00137CDF">
        <w:t>corrected</w:t>
      </w:r>
      <w:r w:rsidR="009446FC" w:rsidRPr="00D05B6E">
        <w:t xml:space="preserve"> visual predictive checks</w:t>
      </w:r>
      <w:r w:rsidR="009446FC" w:rsidRPr="00A3571E">
        <w:t xml:space="preserve"> </w:t>
      </w:r>
      <w:r w:rsidRPr="00440199">
        <w:t>showed potential issues in the absorption and elimination phases (</w:t>
      </w:r>
      <w:r w:rsidR="0075122E">
        <w:t xml:space="preserve">see </w:t>
      </w:r>
      <w:r w:rsidR="00361FBC">
        <w:fldChar w:fldCharType="begin"/>
      </w:r>
      <w:r w:rsidR="00361FBC">
        <w:instrText xml:space="preserve"> REF _Ref121833042 \h </w:instrText>
      </w:r>
      <w:r w:rsidR="00361FBC">
        <w:fldChar w:fldCharType="separate"/>
      </w:r>
      <w:r w:rsidR="00051287">
        <w:t xml:space="preserve">Figure </w:t>
      </w:r>
      <w:r w:rsidR="00051287">
        <w:rPr>
          <w:noProof/>
        </w:rPr>
        <w:t>1</w:t>
      </w:r>
      <w:r w:rsidR="00361FBC">
        <w:fldChar w:fldCharType="end"/>
      </w:r>
      <w:r w:rsidR="0075122E">
        <w:t>, below</w:t>
      </w:r>
      <w:r w:rsidRPr="00440199">
        <w:t>).</w:t>
      </w:r>
    </w:p>
    <w:p w14:paraId="7E48BCC2" w14:textId="659E83F1" w:rsidR="00440199" w:rsidRDefault="00440199" w:rsidP="00440199">
      <w:pPr>
        <w:pStyle w:val="FigureTitle"/>
      </w:pPr>
      <w:bookmarkStart w:id="42" w:name="_Ref121833042"/>
      <w:r>
        <w:t xml:space="preserve">Figure </w:t>
      </w:r>
      <w:r w:rsidR="00A42754">
        <w:fldChar w:fldCharType="begin"/>
      </w:r>
      <w:r w:rsidR="00A42754">
        <w:instrText xml:space="preserve"> SEQ Figure \* ARABIC </w:instrText>
      </w:r>
      <w:r w:rsidR="00A42754">
        <w:fldChar w:fldCharType="separate"/>
      </w:r>
      <w:r w:rsidR="00051287">
        <w:rPr>
          <w:noProof/>
        </w:rPr>
        <w:t>1</w:t>
      </w:r>
      <w:r w:rsidR="00A42754">
        <w:rPr>
          <w:noProof/>
        </w:rPr>
        <w:fldChar w:fldCharType="end"/>
      </w:r>
      <w:bookmarkEnd w:id="42"/>
      <w:r>
        <w:t xml:space="preserve">: </w:t>
      </w:r>
      <w:r w:rsidR="0075122E">
        <w:t>Analysis</w:t>
      </w:r>
      <w:r w:rsidR="005B5687">
        <w:t xml:space="preserve"> RD200613 </w:t>
      </w:r>
      <w:r w:rsidR="0075122E">
        <w:t>P</w:t>
      </w:r>
      <w:r w:rsidRPr="00440199">
        <w:t xml:space="preserve">opulation </w:t>
      </w:r>
      <w:r>
        <w:t>pharmacokinetics</w:t>
      </w:r>
      <w:r w:rsidR="00B84644">
        <w:t>,</w:t>
      </w:r>
      <w:r w:rsidR="00C25FDA">
        <w:t xml:space="preserve"> </w:t>
      </w:r>
      <w:r w:rsidR="00B84644">
        <w:t>p</w:t>
      </w:r>
      <w:r w:rsidRPr="00440199">
        <w:t>rediction</w:t>
      </w:r>
      <w:r>
        <w:t xml:space="preserve"> c</w:t>
      </w:r>
      <w:r w:rsidRPr="00440199">
        <w:t xml:space="preserve">orrected </w:t>
      </w:r>
      <w:r>
        <w:t>v</w:t>
      </w:r>
      <w:r w:rsidRPr="00440199">
        <w:t xml:space="preserve">isual </w:t>
      </w:r>
      <w:r>
        <w:t>p</w:t>
      </w:r>
      <w:r w:rsidRPr="00440199">
        <w:t xml:space="preserve">redictive </w:t>
      </w:r>
      <w:r>
        <w:t>c</w:t>
      </w:r>
      <w:r w:rsidRPr="00440199">
        <w:t xml:space="preserve">heck of </w:t>
      </w:r>
      <w:r>
        <w:t>glecaprevir</w:t>
      </w:r>
      <w:r w:rsidRPr="00440199">
        <w:t xml:space="preserve"> </w:t>
      </w:r>
      <w:r>
        <w:t>c</w:t>
      </w:r>
      <w:r w:rsidRPr="00440199">
        <w:t xml:space="preserve">oncentration </w:t>
      </w:r>
      <w:r>
        <w:t>v</w:t>
      </w:r>
      <w:r w:rsidRPr="00440199">
        <w:t xml:space="preserve">ersus </w:t>
      </w:r>
      <w:r>
        <w:t>t</w:t>
      </w:r>
      <w:r w:rsidRPr="00440199">
        <w:t xml:space="preserve">ime </w:t>
      </w:r>
      <w:r>
        <w:t>s</w:t>
      </w:r>
      <w:r w:rsidRPr="00440199">
        <w:t xml:space="preserve">ince </w:t>
      </w:r>
      <w:r>
        <w:t>l</w:t>
      </w:r>
      <w:r w:rsidRPr="00440199">
        <w:t xml:space="preserve">ast </w:t>
      </w:r>
      <w:r>
        <w:t>d</w:t>
      </w:r>
      <w:r w:rsidRPr="00440199">
        <w:t>ose</w:t>
      </w:r>
    </w:p>
    <w:p w14:paraId="35EB8531" w14:textId="77777777" w:rsidR="00BF03DF" w:rsidRDefault="00440199" w:rsidP="00440199">
      <w:r>
        <w:rPr>
          <w:noProof/>
          <w:lang w:val="en-GB" w:eastAsia="en-GB"/>
        </w:rPr>
        <w:drawing>
          <wp:anchor distT="0" distB="0" distL="114300" distR="114300" simplePos="0" relativeHeight="251658240" behindDoc="0" locked="0" layoutInCell="1" allowOverlap="1" wp14:anchorId="3EE05043" wp14:editId="16173E30">
            <wp:simplePos x="1076325" y="2352675"/>
            <wp:positionH relativeFrom="column">
              <wp:align>left</wp:align>
            </wp:positionH>
            <wp:positionV relativeFrom="paragraph">
              <wp:align>top</wp:align>
            </wp:positionV>
            <wp:extent cx="4142630" cy="2809240"/>
            <wp:effectExtent l="0" t="0" r="0" b="0"/>
            <wp:wrapSquare wrapText="bothSides"/>
            <wp:docPr id="3" name="Picture 3" descr="Analysis RD200613 Population pharmacokinetics, prediction corrected visual predictive check of glecaprevir concentration versus time since las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alysis RD200613 Population pharmacokinetics, prediction corrected visual predictive check of glecaprevir concentration versus time since last dose"/>
                    <pic:cNvPicPr>
                      <a:picLocks noChangeAspect="1" noChangeArrowheads="1"/>
                    </pic:cNvPicPr>
                  </pic:nvPicPr>
                  <pic:blipFill rotWithShape="1">
                    <a:blip r:embed="rId18">
                      <a:extLst>
                        <a:ext uri="{28A0092B-C50C-407E-A947-70E740481C1C}">
                          <a14:useLocalDpi xmlns:a14="http://schemas.microsoft.com/office/drawing/2010/main" val="0"/>
                        </a:ext>
                      </a:extLst>
                    </a:blip>
                    <a:srcRect l="13866" r="7599" b="20954"/>
                    <a:stretch/>
                  </pic:blipFill>
                  <pic:spPr bwMode="auto">
                    <a:xfrm>
                      <a:off x="0" y="0"/>
                      <a:ext cx="4142630" cy="2809240"/>
                    </a:xfrm>
                    <a:prstGeom prst="rect">
                      <a:avLst/>
                    </a:prstGeom>
                    <a:noFill/>
                    <a:ln>
                      <a:noFill/>
                    </a:ln>
                    <a:extLst>
                      <a:ext uri="{53640926-AAD7-44D8-BBD7-CCE9431645EC}">
                        <a14:shadowObscured xmlns:a14="http://schemas.microsoft.com/office/drawing/2010/main"/>
                      </a:ext>
                    </a:extLst>
                  </pic:spPr>
                </pic:pic>
              </a:graphicData>
            </a:graphic>
          </wp:anchor>
        </w:drawing>
      </w:r>
    </w:p>
    <w:p w14:paraId="6BC2646A" w14:textId="276168B7" w:rsidR="00440199" w:rsidRDefault="00BF03DF" w:rsidP="00BF03DF">
      <w:pPr>
        <w:tabs>
          <w:tab w:val="center" w:pos="900"/>
        </w:tabs>
      </w:pPr>
      <w:r>
        <w:lastRenderedPageBreak/>
        <w:tab/>
      </w:r>
      <w:r>
        <w:br w:type="textWrapping" w:clear="all"/>
      </w:r>
    </w:p>
    <w:p w14:paraId="749E8B03" w14:textId="71EFB414" w:rsidR="00440199" w:rsidRDefault="00440199" w:rsidP="007B7948">
      <w:pPr>
        <w:pStyle w:val="FigureDescription"/>
      </w:pPr>
      <w:r>
        <w:t xml:space="preserve">The shaded blue areas represent the 90% prediction interval of the </w:t>
      </w:r>
      <w:r w:rsidRPr="0075122E">
        <w:t>5</w:t>
      </w:r>
      <w:r w:rsidRPr="00BF03DF">
        <w:t>th</w:t>
      </w:r>
      <w:r w:rsidRPr="0075122E">
        <w:t>, 50</w:t>
      </w:r>
      <w:r w:rsidRPr="00BF03DF">
        <w:t>th</w:t>
      </w:r>
      <w:r w:rsidRPr="0075122E">
        <w:t>, and 95</w:t>
      </w:r>
      <w:r w:rsidRPr="00BF03DF">
        <w:t>th</w:t>
      </w:r>
      <w:r w:rsidRPr="0075122E">
        <w:t xml:space="preserve"> </w:t>
      </w:r>
      <w:r>
        <w:t xml:space="preserve">percentiles of simulated </w:t>
      </w:r>
      <w:r w:rsidR="00121E86">
        <w:t>g</w:t>
      </w:r>
      <w:r w:rsidR="00121E86" w:rsidRPr="00786397">
        <w:t>lecaprevir</w:t>
      </w:r>
      <w:r>
        <w:t xml:space="preserve"> concentrations, the solid red line represents median of observed </w:t>
      </w:r>
      <w:r w:rsidR="00121E86">
        <w:t>g</w:t>
      </w:r>
      <w:r w:rsidR="00121E86" w:rsidRPr="00786397">
        <w:t>lecaprevir</w:t>
      </w:r>
      <w:r>
        <w:t xml:space="preserve"> concentration and dashed red lines represent </w:t>
      </w:r>
      <w:r w:rsidRPr="0075122E">
        <w:t>the 5</w:t>
      </w:r>
      <w:r w:rsidRPr="00BF03DF">
        <w:t>th</w:t>
      </w:r>
      <w:r w:rsidRPr="0075122E">
        <w:t xml:space="preserve"> and 95</w:t>
      </w:r>
      <w:r w:rsidRPr="00BF03DF">
        <w:t>th</w:t>
      </w:r>
      <w:r>
        <w:t xml:space="preserve"> percentile of the observed </w:t>
      </w:r>
      <w:r w:rsidR="00121E86">
        <w:t>g</w:t>
      </w:r>
      <w:r w:rsidR="00121E86" w:rsidRPr="00786397">
        <w:t>lecaprevir</w:t>
      </w:r>
      <w:r>
        <w:t xml:space="preserve"> concentration. The open circles represent observed </w:t>
      </w:r>
      <w:r w:rsidR="00121E86">
        <w:t>g</w:t>
      </w:r>
      <w:r w:rsidR="00121E86" w:rsidRPr="00786397">
        <w:t>lecaprevir</w:t>
      </w:r>
      <w:r>
        <w:t xml:space="preserve"> concentrations. Note:</w:t>
      </w:r>
      <w:r w:rsidRPr="00440199">
        <w:t xml:space="preserve"> visual predictive checks</w:t>
      </w:r>
      <w:r>
        <w:t xml:space="preserve"> are cut at 24 hours after last dose, as data are too sparse beyond.</w:t>
      </w:r>
    </w:p>
    <w:p w14:paraId="592779A9" w14:textId="1AAED70F" w:rsidR="00361FBC" w:rsidRDefault="00361FBC" w:rsidP="00361FBC">
      <w:r w:rsidRPr="00361FBC">
        <w:t xml:space="preserve">The individual </w:t>
      </w:r>
      <w:r w:rsidR="00605660" w:rsidRPr="00DB42E3">
        <w:t>pibrentasvir</w:t>
      </w:r>
      <w:r w:rsidRPr="00361FBC">
        <w:t xml:space="preserve"> concentration</w:t>
      </w:r>
      <w:r>
        <w:t xml:space="preserve"> </w:t>
      </w:r>
      <w:r w:rsidRPr="00361FBC">
        <w:t>time data were described using a two</w:t>
      </w:r>
      <w:r>
        <w:t xml:space="preserve"> </w:t>
      </w:r>
      <w:r w:rsidRPr="00361FBC">
        <w:t>compartment PK model with a lag time followed by first</w:t>
      </w:r>
      <w:r>
        <w:t xml:space="preserve"> o</w:t>
      </w:r>
      <w:r w:rsidRPr="00361FBC">
        <w:t>rder absorption and eliminat</w:t>
      </w:r>
      <w:r w:rsidRPr="00A3571E">
        <w:t>ion. The</w:t>
      </w:r>
      <w:r w:rsidR="009446FC" w:rsidRPr="00137CDF">
        <w:t xml:space="preserve"> prediction</w:t>
      </w:r>
      <w:r w:rsidR="009446FC">
        <w:t xml:space="preserve"> </w:t>
      </w:r>
      <w:r w:rsidR="009446FC" w:rsidRPr="00137CDF">
        <w:t>corrected</w:t>
      </w:r>
      <w:r w:rsidR="009446FC" w:rsidRPr="00D05B6E">
        <w:t xml:space="preserve"> visual predictive checks</w:t>
      </w:r>
      <w:r w:rsidR="009446FC" w:rsidRPr="00A3571E">
        <w:t xml:space="preserve"> </w:t>
      </w:r>
      <w:r w:rsidRPr="00361FBC">
        <w:t>showed potential issues in the elimination phase</w:t>
      </w:r>
      <w:r w:rsidR="0075122E">
        <w:t>, as shown below in</w:t>
      </w:r>
      <w:r w:rsidR="00BF03DF">
        <w:t xml:space="preserve"> </w:t>
      </w:r>
      <w:r w:rsidR="002D7816">
        <w:fldChar w:fldCharType="begin"/>
      </w:r>
      <w:r w:rsidR="002D7816">
        <w:instrText xml:space="preserve"> REF _Ref121836305 \h </w:instrText>
      </w:r>
      <w:r w:rsidR="002D7816">
        <w:fldChar w:fldCharType="separate"/>
      </w:r>
      <w:r w:rsidR="00051287">
        <w:t xml:space="preserve">Figure </w:t>
      </w:r>
      <w:r w:rsidR="00051287">
        <w:rPr>
          <w:noProof/>
        </w:rPr>
        <w:t>2</w:t>
      </w:r>
      <w:r w:rsidR="002D7816">
        <w:fldChar w:fldCharType="end"/>
      </w:r>
      <w:r w:rsidRPr="00361FBC">
        <w:t>.</w:t>
      </w:r>
    </w:p>
    <w:p w14:paraId="39A12D51" w14:textId="7456C167" w:rsidR="00361FBC" w:rsidRDefault="00361FBC" w:rsidP="00361FBC">
      <w:pPr>
        <w:pStyle w:val="FigureTitle"/>
      </w:pPr>
      <w:bookmarkStart w:id="43" w:name="_Ref121836305"/>
      <w:r>
        <w:t xml:space="preserve">Figure </w:t>
      </w:r>
      <w:r w:rsidR="00A42754">
        <w:fldChar w:fldCharType="begin"/>
      </w:r>
      <w:r w:rsidR="00A42754">
        <w:instrText xml:space="preserve"> SEQ Figure \* ARABIC </w:instrText>
      </w:r>
      <w:r w:rsidR="00A42754">
        <w:fldChar w:fldCharType="separate"/>
      </w:r>
      <w:r w:rsidR="00051287">
        <w:rPr>
          <w:noProof/>
        </w:rPr>
        <w:t>2</w:t>
      </w:r>
      <w:r w:rsidR="00A42754">
        <w:rPr>
          <w:noProof/>
        </w:rPr>
        <w:fldChar w:fldCharType="end"/>
      </w:r>
      <w:bookmarkEnd w:id="43"/>
      <w:r>
        <w:t xml:space="preserve">: </w:t>
      </w:r>
      <w:r w:rsidR="0075122E">
        <w:t>Analysis</w:t>
      </w:r>
      <w:r w:rsidR="005B5687">
        <w:t xml:space="preserve"> RD200613 </w:t>
      </w:r>
      <w:r w:rsidR="0075122E">
        <w:t>P</w:t>
      </w:r>
      <w:r w:rsidRPr="00361FBC">
        <w:t xml:space="preserve">opulation </w:t>
      </w:r>
      <w:r>
        <w:t>pharmacokinetics</w:t>
      </w:r>
      <w:r w:rsidR="00C25FDA">
        <w:t>, p</w:t>
      </w:r>
      <w:r w:rsidRPr="00361FBC">
        <w:t>rediction</w:t>
      </w:r>
      <w:r>
        <w:t xml:space="preserve"> c</w:t>
      </w:r>
      <w:r w:rsidRPr="00361FBC">
        <w:t xml:space="preserve">orrected </w:t>
      </w:r>
      <w:r>
        <w:t>v</w:t>
      </w:r>
      <w:r w:rsidRPr="00361FBC">
        <w:t xml:space="preserve">isual </w:t>
      </w:r>
      <w:r>
        <w:t>p</w:t>
      </w:r>
      <w:r w:rsidRPr="00361FBC">
        <w:t xml:space="preserve">redictive </w:t>
      </w:r>
      <w:r>
        <w:t>c</w:t>
      </w:r>
      <w:r w:rsidRPr="00361FBC">
        <w:t xml:space="preserve">heck of </w:t>
      </w:r>
      <w:r>
        <w:t>pibrentasvir</w:t>
      </w:r>
      <w:r w:rsidRPr="00361FBC">
        <w:t xml:space="preserve"> </w:t>
      </w:r>
      <w:r>
        <w:t>c</w:t>
      </w:r>
      <w:r w:rsidRPr="00361FBC">
        <w:t xml:space="preserve">oncentration versus </w:t>
      </w:r>
      <w:r>
        <w:t>t</w:t>
      </w:r>
      <w:r w:rsidRPr="00361FBC">
        <w:t xml:space="preserve">ime </w:t>
      </w:r>
      <w:r>
        <w:t>s</w:t>
      </w:r>
      <w:r w:rsidRPr="00361FBC">
        <w:t xml:space="preserve">ince </w:t>
      </w:r>
      <w:r>
        <w:t>l</w:t>
      </w:r>
      <w:r w:rsidRPr="00361FBC">
        <w:t xml:space="preserve">ast </w:t>
      </w:r>
      <w:r>
        <w:t>d</w:t>
      </w:r>
      <w:r w:rsidRPr="00361FBC">
        <w:t>ose.</w:t>
      </w:r>
    </w:p>
    <w:p w14:paraId="3F116325" w14:textId="793005E3" w:rsidR="00361FBC" w:rsidRDefault="00361FBC" w:rsidP="00361FBC">
      <w:r>
        <w:rPr>
          <w:noProof/>
          <w:lang w:val="en-GB" w:eastAsia="en-GB"/>
        </w:rPr>
        <w:drawing>
          <wp:inline distT="0" distB="0" distL="0" distR="0" wp14:anchorId="27BE2D13" wp14:editId="41434C30">
            <wp:extent cx="4238046" cy="2818765"/>
            <wp:effectExtent l="0" t="0" r="0" b="635"/>
            <wp:docPr id="4" name="Picture 4" descr="Analysis RD200613 Population pharmacokinetics, prediction corrected visual predictive check of pibrentasvir concentration versus time since last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alysis RD200613 Population pharmacokinetics, prediction corrected visual predictive check of pibrentasvir concentration versus time since last dose."/>
                    <pic:cNvPicPr>
                      <a:picLocks noChangeAspect="1" noChangeArrowheads="1"/>
                    </pic:cNvPicPr>
                  </pic:nvPicPr>
                  <pic:blipFill rotWithShape="1">
                    <a:blip r:embed="rId19">
                      <a:extLst>
                        <a:ext uri="{28A0092B-C50C-407E-A947-70E740481C1C}">
                          <a14:useLocalDpi xmlns:a14="http://schemas.microsoft.com/office/drawing/2010/main" val="0"/>
                        </a:ext>
                      </a:extLst>
                    </a:blip>
                    <a:srcRect l="10341" r="9758" b="22756"/>
                    <a:stretch/>
                  </pic:blipFill>
                  <pic:spPr bwMode="auto">
                    <a:xfrm>
                      <a:off x="0" y="0"/>
                      <a:ext cx="4249017" cy="2826062"/>
                    </a:xfrm>
                    <a:prstGeom prst="rect">
                      <a:avLst/>
                    </a:prstGeom>
                    <a:noFill/>
                    <a:ln>
                      <a:noFill/>
                    </a:ln>
                    <a:extLst>
                      <a:ext uri="{53640926-AAD7-44D8-BBD7-CCE9431645EC}">
                        <a14:shadowObscured xmlns:a14="http://schemas.microsoft.com/office/drawing/2010/main"/>
                      </a:ext>
                    </a:extLst>
                  </pic:spPr>
                </pic:pic>
              </a:graphicData>
            </a:graphic>
          </wp:inline>
        </w:drawing>
      </w:r>
    </w:p>
    <w:p w14:paraId="425EDF8F" w14:textId="553E95E0" w:rsidR="00361FBC" w:rsidRPr="00361FBC" w:rsidRDefault="00361FBC" w:rsidP="007B7948">
      <w:pPr>
        <w:pStyle w:val="FigureDescription"/>
      </w:pPr>
      <w:r>
        <w:t>The shaded blue areas represent the 90% prediction interval of the 5</w:t>
      </w:r>
      <w:r w:rsidRPr="00361FBC">
        <w:rPr>
          <w:vertAlign w:val="superscript"/>
        </w:rPr>
        <w:t>th</w:t>
      </w:r>
      <w:r>
        <w:t>, 50</w:t>
      </w:r>
      <w:r w:rsidRPr="00361FBC">
        <w:rPr>
          <w:vertAlign w:val="superscript"/>
        </w:rPr>
        <w:t>th</w:t>
      </w:r>
      <w:r>
        <w:t xml:space="preserve"> and 95</w:t>
      </w:r>
      <w:r w:rsidRPr="00361FBC">
        <w:rPr>
          <w:vertAlign w:val="superscript"/>
        </w:rPr>
        <w:t>th</w:t>
      </w:r>
      <w:r>
        <w:t xml:space="preserve"> percentiles of simulated </w:t>
      </w:r>
      <w:r w:rsidR="00605660" w:rsidRPr="00DB42E3">
        <w:t>pibrentasvir</w:t>
      </w:r>
      <w:r w:rsidR="00605660">
        <w:t xml:space="preserve"> </w:t>
      </w:r>
      <w:r>
        <w:t xml:space="preserve">concentrations, the solid red line represents median of observed </w:t>
      </w:r>
      <w:r w:rsidR="00605660" w:rsidRPr="00DB42E3">
        <w:t>pibrentasvir</w:t>
      </w:r>
      <w:r>
        <w:t xml:space="preserve"> concentration and dashed red lines represent the 5</w:t>
      </w:r>
      <w:r w:rsidRPr="00361FBC">
        <w:rPr>
          <w:vertAlign w:val="superscript"/>
        </w:rPr>
        <w:t>th</w:t>
      </w:r>
      <w:r>
        <w:t xml:space="preserve"> and 95</w:t>
      </w:r>
      <w:r w:rsidRPr="00361FBC">
        <w:rPr>
          <w:vertAlign w:val="superscript"/>
        </w:rPr>
        <w:t>th</w:t>
      </w:r>
      <w:r>
        <w:t xml:space="preserve"> percentile of observed </w:t>
      </w:r>
      <w:r w:rsidR="00605660" w:rsidRPr="00DB42E3">
        <w:t>pibrentasvir</w:t>
      </w:r>
      <w:r>
        <w:t xml:space="preserve"> concentration. The open circles represent observed </w:t>
      </w:r>
      <w:r w:rsidR="00605660" w:rsidRPr="00DB42E3">
        <w:t>pibrentasvir</w:t>
      </w:r>
      <w:r>
        <w:t xml:space="preserve"> concentrations. Note: </w:t>
      </w:r>
      <w:r w:rsidRPr="00440199">
        <w:t>visual predictive checks</w:t>
      </w:r>
      <w:r>
        <w:t xml:space="preserve"> are cut at 24 hours after last dose, as data are too sparse beyond.</w:t>
      </w:r>
    </w:p>
    <w:p w14:paraId="4E70BDDE" w14:textId="023C3990" w:rsidR="00361FBC" w:rsidRPr="00361FBC" w:rsidRDefault="00361FBC" w:rsidP="00361FBC">
      <w:r w:rsidRPr="00361FBC">
        <w:t>All tested covariates</w:t>
      </w:r>
      <w:r>
        <w:t xml:space="preserve"> </w:t>
      </w:r>
      <w:r w:rsidRPr="00361FBC">
        <w:t>except race (</w:t>
      </w:r>
      <w:r>
        <w:t>W</w:t>
      </w:r>
      <w:r w:rsidRPr="00361FBC">
        <w:t>hite v</w:t>
      </w:r>
      <w:r>
        <w:t>ersus</w:t>
      </w:r>
      <w:r w:rsidRPr="00361FBC">
        <w:t xml:space="preserve"> others) did not significantly affect the pharmacokinetics of</w:t>
      </w:r>
      <w:r w:rsidR="00121E86" w:rsidRPr="00121E86">
        <w:t xml:space="preserve"> </w:t>
      </w:r>
      <w:r w:rsidR="00121E86">
        <w:t>g</w:t>
      </w:r>
      <w:r w:rsidR="00121E86" w:rsidRPr="00786397">
        <w:t>lecaprevir</w:t>
      </w:r>
      <w:r w:rsidRPr="00361FBC">
        <w:t xml:space="preserve"> or </w:t>
      </w:r>
      <w:r w:rsidR="00605660" w:rsidRPr="00DB42E3">
        <w:t>pibrentasvir</w:t>
      </w:r>
      <w:r w:rsidRPr="00361FBC">
        <w:t xml:space="preserve"> in HCV</w:t>
      </w:r>
      <w:r>
        <w:t xml:space="preserve"> </w:t>
      </w:r>
      <w:r w:rsidRPr="00361FBC">
        <w:t>infected paediatric subjects after including body weight</w:t>
      </w:r>
      <w:r>
        <w:t xml:space="preserve"> </w:t>
      </w:r>
      <w:r w:rsidRPr="00361FBC">
        <w:t>based allometric scaling of apparent clearance and apparent volume of distribution as a structural covariate in the model. The race covariate co</w:t>
      </w:r>
      <w:r>
        <w:t>u</w:t>
      </w:r>
      <w:r w:rsidRPr="00361FBC">
        <w:t>ld not be assessed due to limited patient numbers.</w:t>
      </w:r>
    </w:p>
    <w:p w14:paraId="258B5712" w14:textId="0C1EBA54" w:rsidR="00440199" w:rsidRPr="00361FBC" w:rsidRDefault="00361FBC" w:rsidP="00361FBC">
      <w:r>
        <w:lastRenderedPageBreak/>
        <w:t>Body surface area</w:t>
      </w:r>
      <w:r w:rsidRPr="00361FBC">
        <w:t>, age and weight were highly correlated in paediatric patients and thus can be considered significant alternative covariates (</w:t>
      </w:r>
      <w:r>
        <w:t>that is</w:t>
      </w:r>
      <w:r w:rsidRPr="00361FBC">
        <w:t xml:space="preserve"> the model could have </w:t>
      </w:r>
      <w:r>
        <w:t>body surface area</w:t>
      </w:r>
      <w:r w:rsidRPr="00361FBC">
        <w:t xml:space="preserve"> or age as significant variable instead of the body weight).</w:t>
      </w:r>
    </w:p>
    <w:p w14:paraId="7939021F" w14:textId="51C99194" w:rsidR="007F1640" w:rsidRDefault="00B84644" w:rsidP="007F1640">
      <w:r>
        <w:t xml:space="preserve">For dose exposure relationship, the </w:t>
      </w:r>
      <w:r>
        <w:rPr>
          <w:i/>
          <w:iCs/>
        </w:rPr>
        <w:t>p</w:t>
      </w:r>
      <w:r w:rsidR="007F1640" w:rsidRPr="007F1640">
        <w:rPr>
          <w:i/>
          <w:iCs/>
        </w:rPr>
        <w:t>ost hoc</w:t>
      </w:r>
      <w:r w:rsidR="007F1640" w:rsidRPr="007F1640">
        <w:t xml:space="preserve"> estimated </w:t>
      </w:r>
      <w:r w:rsidR="00121E86">
        <w:t>g</w:t>
      </w:r>
      <w:r w:rsidR="00121E86" w:rsidRPr="00786397">
        <w:t>lecaprevir</w:t>
      </w:r>
      <w:r w:rsidR="007F1640" w:rsidRPr="007F1640">
        <w:t xml:space="preserve"> and </w:t>
      </w:r>
      <w:r w:rsidR="00605660" w:rsidRPr="00DB42E3">
        <w:t>pibrentasvir</w:t>
      </w:r>
      <w:r w:rsidR="007F1640" w:rsidRPr="007F1640">
        <w:t xml:space="preserve"> exposure ranges in HCV</w:t>
      </w:r>
      <w:r w:rsidR="007F1640">
        <w:t xml:space="preserve"> </w:t>
      </w:r>
      <w:r w:rsidR="007F1640" w:rsidRPr="007F1640">
        <w:t>infected paediatric subjects (N</w:t>
      </w:r>
      <w:r w:rsidR="007F1640">
        <w:t> </w:t>
      </w:r>
      <w:r w:rsidR="007F1640" w:rsidRPr="007F1640">
        <w:t>=</w:t>
      </w:r>
      <w:r w:rsidR="007F1640">
        <w:t> </w:t>
      </w:r>
      <w:r w:rsidR="007F1640" w:rsidRPr="007F1640">
        <w:t>61) and adolescents (N</w:t>
      </w:r>
      <w:r w:rsidR="007F1640">
        <w:t xml:space="preserve"> </w:t>
      </w:r>
      <w:r w:rsidR="007F1640" w:rsidRPr="007F1640">
        <w:t>=</w:t>
      </w:r>
      <w:r w:rsidR="007F1640">
        <w:t xml:space="preserve"> </w:t>
      </w:r>
      <w:r w:rsidR="007F1640" w:rsidRPr="007F1640">
        <w:t>44) were generally consistent with the ranges in HCV</w:t>
      </w:r>
      <w:r w:rsidR="007F1640">
        <w:t xml:space="preserve"> </w:t>
      </w:r>
      <w:r w:rsidR="007F1640" w:rsidRPr="007F1640">
        <w:t>infected noncirrhotic adults (N</w:t>
      </w:r>
      <w:r w:rsidR="007F1640">
        <w:t xml:space="preserve"> </w:t>
      </w:r>
      <w:r w:rsidR="007F1640" w:rsidRPr="007F1640">
        <w:t>=</w:t>
      </w:r>
      <w:r w:rsidR="007F1640">
        <w:t xml:space="preserve"> </w:t>
      </w:r>
      <w:r w:rsidR="007F1640" w:rsidRPr="007F1640">
        <w:t>1804) (</w:t>
      </w:r>
      <w:r w:rsidR="0075122E">
        <w:t xml:space="preserve">see </w:t>
      </w:r>
      <w:r w:rsidR="002D7816">
        <w:fldChar w:fldCharType="begin"/>
      </w:r>
      <w:r w:rsidR="002D7816">
        <w:instrText xml:space="preserve"> REF _Ref121836578 \h </w:instrText>
      </w:r>
      <w:r w:rsidR="002D7816">
        <w:fldChar w:fldCharType="separate"/>
      </w:r>
      <w:r w:rsidR="00051287" w:rsidRPr="00161292">
        <w:t xml:space="preserve">Table </w:t>
      </w:r>
      <w:r w:rsidR="00051287">
        <w:rPr>
          <w:noProof/>
        </w:rPr>
        <w:t>3</w:t>
      </w:r>
      <w:r w:rsidR="002D7816">
        <w:fldChar w:fldCharType="end"/>
      </w:r>
      <w:r w:rsidR="0075122E">
        <w:t>, below</w:t>
      </w:r>
      <w:r w:rsidR="002D7816">
        <w:t>)</w:t>
      </w:r>
      <w:r w:rsidR="007F1640" w:rsidRPr="007F1640">
        <w:t>. Most of the simulated individuals were exposed within a range of 0.5 to 2 times the geometric mean adult exposure.</w:t>
      </w:r>
    </w:p>
    <w:p w14:paraId="1B135DE5" w14:textId="6AF5908D" w:rsidR="007F1640" w:rsidRPr="007F1640" w:rsidRDefault="007F1640" w:rsidP="007F1640">
      <w:r w:rsidRPr="007F1640">
        <w:t xml:space="preserve">However, the estimated paediatric geometric mean </w:t>
      </w:r>
      <w:r w:rsidR="0075122E">
        <w:t>exposures (</w:t>
      </w:r>
      <w:r w:rsidRPr="007F1640">
        <w:t>AUC</w:t>
      </w:r>
      <w:r w:rsidR="002D7816" w:rsidRPr="002D7816">
        <w:rPr>
          <w:vertAlign w:val="subscript"/>
        </w:rPr>
        <w:t>0-</w:t>
      </w:r>
      <w:r w:rsidRPr="002D7816">
        <w:rPr>
          <w:vertAlign w:val="subscript"/>
        </w:rPr>
        <w:t>24</w:t>
      </w:r>
      <w:r w:rsidR="0075122E">
        <w:rPr>
          <w:vertAlign w:val="subscript"/>
        </w:rPr>
        <w:t>h</w:t>
      </w:r>
      <w:r w:rsidR="0075122E">
        <w:t>) w</w:t>
      </w:r>
      <w:r w:rsidRPr="007F1640">
        <w:t xml:space="preserve">ere higher (up to 77% for </w:t>
      </w:r>
      <w:r w:rsidR="00121E86">
        <w:t>g</w:t>
      </w:r>
      <w:r w:rsidR="00121E86" w:rsidRPr="00786397">
        <w:t>lecaprevir</w:t>
      </w:r>
      <w:r w:rsidRPr="007F1640">
        <w:t xml:space="preserve"> (Cohort 4) and up to 44% for </w:t>
      </w:r>
      <w:r w:rsidR="00605660" w:rsidRPr="00DB42E3">
        <w:t>pibrentasvir</w:t>
      </w:r>
      <w:r w:rsidR="00605660" w:rsidRPr="007F1640">
        <w:t xml:space="preserve"> </w:t>
      </w:r>
      <w:r w:rsidRPr="007F1640">
        <w:t xml:space="preserve">(Cohort 2)) than the reported geometric mean </w:t>
      </w:r>
      <w:r w:rsidR="00121E86">
        <w:t>g</w:t>
      </w:r>
      <w:r w:rsidR="00121E86" w:rsidRPr="00786397">
        <w:t>lecaprevir</w:t>
      </w:r>
      <w:r w:rsidRPr="007F1640">
        <w:t xml:space="preserve"> and </w:t>
      </w:r>
      <w:r w:rsidR="00605660" w:rsidRPr="00DB42E3">
        <w:t>pibrentasvir</w:t>
      </w:r>
      <w:r w:rsidRPr="007F1640">
        <w:t xml:space="preserve"> A</w:t>
      </w:r>
      <w:r w:rsidR="002D7816" w:rsidRPr="007F1640">
        <w:t>UC</w:t>
      </w:r>
      <w:r w:rsidR="002D7816" w:rsidRPr="002D7816">
        <w:rPr>
          <w:vertAlign w:val="subscript"/>
        </w:rPr>
        <w:t>0-24</w:t>
      </w:r>
      <w:r w:rsidR="0075122E">
        <w:rPr>
          <w:vertAlign w:val="subscript"/>
        </w:rPr>
        <w:t>h</w:t>
      </w:r>
      <w:r w:rsidRPr="007F1640">
        <w:t xml:space="preserve"> (values of 4800 ng</w:t>
      </w:r>
      <w:r w:rsidR="002D7816">
        <w:t xml:space="preserve"> </w:t>
      </w:r>
      <w:r w:rsidR="0075122E">
        <w:t xml:space="preserve">x </w:t>
      </w:r>
      <w:r w:rsidRPr="007F1640">
        <w:t>hr/mL and 1430 ng</w:t>
      </w:r>
      <w:r w:rsidR="002D7816">
        <w:t xml:space="preserve"> </w:t>
      </w:r>
      <w:r w:rsidR="0075122E">
        <w:t xml:space="preserve">x </w:t>
      </w:r>
      <w:r w:rsidRPr="007F1640">
        <w:t>hr/mL, respectively) in HCV</w:t>
      </w:r>
      <w:r w:rsidR="002D7816">
        <w:t xml:space="preserve"> </w:t>
      </w:r>
      <w:r w:rsidRPr="007F1640">
        <w:t>infected noncirrhotic adults receiving 300</w:t>
      </w:r>
      <w:r w:rsidR="00E81EC7">
        <w:t> </w:t>
      </w:r>
      <w:r w:rsidRPr="007F1640">
        <w:t>mg/120 mg</w:t>
      </w:r>
      <w:r w:rsidR="002D7816">
        <w:t xml:space="preserve"> (</w:t>
      </w:r>
      <w:r w:rsidR="002D7816">
        <w:fldChar w:fldCharType="begin"/>
      </w:r>
      <w:r w:rsidR="002D7816">
        <w:instrText xml:space="preserve"> REF _Ref121836578 \h </w:instrText>
      </w:r>
      <w:r w:rsidR="002D7816">
        <w:fldChar w:fldCharType="separate"/>
      </w:r>
      <w:r w:rsidR="00051287" w:rsidRPr="00161292">
        <w:t xml:space="preserve">Table </w:t>
      </w:r>
      <w:r w:rsidR="00051287">
        <w:rPr>
          <w:noProof/>
        </w:rPr>
        <w:t>3</w:t>
      </w:r>
      <w:r w:rsidR="002D7816">
        <w:fldChar w:fldCharType="end"/>
      </w:r>
      <w:r w:rsidRPr="007F1640">
        <w:t xml:space="preserve">). There was a very large </w:t>
      </w:r>
      <w:r w:rsidRPr="004B7CC7">
        <w:t>difference in sample sizes and rather large variability (high or moderate to high</w:t>
      </w:r>
      <w:r w:rsidR="004B7CC7" w:rsidRPr="004B7CC7">
        <w:t xml:space="preserve"> coefficient of variation</w:t>
      </w:r>
      <w:r w:rsidRPr="004B7CC7">
        <w:t xml:space="preserve"> </w:t>
      </w:r>
      <w:r w:rsidR="004B7CC7" w:rsidRPr="004B7CC7">
        <w:t>(</w:t>
      </w:r>
      <w:r w:rsidRPr="004B7CC7">
        <w:t>%CV</w:t>
      </w:r>
      <w:r w:rsidR="004B7CC7">
        <w:t>)</w:t>
      </w:r>
      <w:r w:rsidRPr="007F1640">
        <w:t>), and hence caution is required for interpretation, but may still be acceptable.</w:t>
      </w:r>
    </w:p>
    <w:p w14:paraId="404DDC27" w14:textId="43D16614" w:rsidR="002D7816" w:rsidRDefault="002D7816" w:rsidP="002D7816">
      <w:pPr>
        <w:pStyle w:val="Tabletitle0"/>
      </w:pPr>
      <w:bookmarkStart w:id="44" w:name="_Ref121836578"/>
      <w:r w:rsidRPr="00161292">
        <w:t xml:space="preserve">Table </w:t>
      </w:r>
      <w:r w:rsidR="00A42754">
        <w:fldChar w:fldCharType="begin"/>
      </w:r>
      <w:r w:rsidR="00A42754">
        <w:instrText xml:space="preserve"> SEQ Table \* ARABIC </w:instrText>
      </w:r>
      <w:r w:rsidR="00A42754">
        <w:fldChar w:fldCharType="separate"/>
      </w:r>
      <w:r w:rsidR="00051287">
        <w:rPr>
          <w:noProof/>
        </w:rPr>
        <w:t>3</w:t>
      </w:r>
      <w:r w:rsidR="00A42754">
        <w:rPr>
          <w:noProof/>
        </w:rPr>
        <w:fldChar w:fldCharType="end"/>
      </w:r>
      <w:bookmarkEnd w:id="44"/>
      <w:r w:rsidRPr="00161292">
        <w:t xml:space="preserve">: </w:t>
      </w:r>
      <w:r w:rsidR="0075122E">
        <w:t>Analysis</w:t>
      </w:r>
      <w:r w:rsidR="005B5687">
        <w:t xml:space="preserve"> RD200613</w:t>
      </w:r>
      <w:r w:rsidR="00BF03DF">
        <w:t xml:space="preserve"> </w:t>
      </w:r>
      <w:r w:rsidR="0075122E">
        <w:t>P</w:t>
      </w:r>
      <w:r w:rsidRPr="00161292">
        <w:t>opulation pharmacokinetics</w:t>
      </w:r>
      <w:r w:rsidR="00C25FDA">
        <w:t>, m</w:t>
      </w:r>
      <w:r w:rsidRPr="00161292">
        <w:t>odel predicted glecaprevir and pibrentasvir steady state area under the concentration time curve from time 0 to 24 hours</w:t>
      </w:r>
    </w:p>
    <w:p w14:paraId="39106B81" w14:textId="3BEC05D9" w:rsidR="002D7816" w:rsidRDefault="002D7816" w:rsidP="002D7816">
      <w:pPr>
        <w:spacing w:before="0" w:after="0"/>
      </w:pPr>
      <w:r w:rsidRPr="006611AE">
        <w:rPr>
          <w:noProof/>
          <w:lang w:val="en-GB" w:eastAsia="en-GB"/>
        </w:rPr>
        <w:drawing>
          <wp:inline distT="0" distB="0" distL="0" distR="0" wp14:anchorId="7B7347E2" wp14:editId="036ED042">
            <wp:extent cx="5360670" cy="2543175"/>
            <wp:effectExtent l="0" t="0" r="0" b="9525"/>
            <wp:docPr id="5" name="Picture 5" descr="Analysis RD200613 Population pharmacokinetics, model predicted glecaprevir and pibrentasvir steady state area under the concentration time curve from time 0 to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alysis RD200613 Population pharmacokinetics, model predicted glecaprevir and pibrentasvir steady state area under the concentration time curve from time 0 to 24 hours"/>
                    <pic:cNvPicPr>
                      <a:picLocks noChangeAspect="1" noChangeArrowheads="1"/>
                    </pic:cNvPicPr>
                  </pic:nvPicPr>
                  <pic:blipFill rotWithShape="1">
                    <a:blip r:embed="rId20">
                      <a:extLst>
                        <a:ext uri="{28A0092B-C50C-407E-A947-70E740481C1C}">
                          <a14:useLocalDpi xmlns:a14="http://schemas.microsoft.com/office/drawing/2010/main" val="0"/>
                        </a:ext>
                      </a:extLst>
                    </a:blip>
                    <a:srcRect b="19333"/>
                    <a:stretch/>
                  </pic:blipFill>
                  <pic:spPr bwMode="auto">
                    <a:xfrm>
                      <a:off x="0" y="0"/>
                      <a:ext cx="5376131" cy="2550510"/>
                    </a:xfrm>
                    <a:prstGeom prst="rect">
                      <a:avLst/>
                    </a:prstGeom>
                    <a:noFill/>
                    <a:ln>
                      <a:noFill/>
                    </a:ln>
                    <a:extLst>
                      <a:ext uri="{53640926-AAD7-44D8-BBD7-CCE9431645EC}">
                        <a14:shadowObscured xmlns:a14="http://schemas.microsoft.com/office/drawing/2010/main"/>
                      </a:ext>
                    </a:extLst>
                  </pic:spPr>
                </pic:pic>
              </a:graphicData>
            </a:graphic>
          </wp:inline>
        </w:drawing>
      </w:r>
    </w:p>
    <w:p w14:paraId="68A92B19" w14:textId="41B131E9" w:rsidR="00C13175" w:rsidRDefault="007D24CD" w:rsidP="00161292">
      <w:pPr>
        <w:pStyle w:val="TableDescription"/>
      </w:pPr>
      <w:r>
        <w:t>AUC</w:t>
      </w:r>
      <w:r>
        <w:rPr>
          <w:sz w:val="13"/>
          <w:szCs w:val="13"/>
        </w:rPr>
        <w:t>24 (a</w:t>
      </w:r>
      <w:r>
        <w:t>rea under the plasma concentration time curve from time 0 to 24 hours at steady</w:t>
      </w:r>
      <w:r w:rsidR="00161292">
        <w:t xml:space="preserve"> </w:t>
      </w:r>
      <w:r>
        <w:t>state), CV (coefficient of variation calculated as</w:t>
      </w:r>
      <m:oMath>
        <m:r>
          <w:rPr>
            <w:rFonts w:ascii="Cambria Math" w:hAnsi="Cambria Math"/>
          </w:rPr>
          <m:t xml:space="preserve"> </m:t>
        </m:r>
        <m:r>
          <m:rPr>
            <m:sty m:val="p"/>
          </m:rPr>
          <w:rPr>
            <w:rFonts w:ascii="Cambria Math" w:eastAsiaTheme="minorHAnsi" w:hAnsi="Cambria Math" w:cs="CambriaMath"/>
          </w:rPr>
          <m:t>%</m:t>
        </m:r>
        <m:r>
          <m:rPr>
            <m:sty m:val="p"/>
          </m:rPr>
          <w:rPr>
            <w:rFonts w:ascii="Cambria Math" w:eastAsia="Cambria Math" w:hAnsi="Cambria Math" w:cs="Cambria Math"/>
          </w:rPr>
          <m:t>CV</m:t>
        </m:r>
        <m:r>
          <m:rPr>
            <m:sty m:val="p"/>
          </m:rPr>
          <w:rPr>
            <w:rFonts w:ascii="Cambria Math" w:eastAsiaTheme="minorHAnsi" w:hAnsi="Cambria Math" w:cs="CambriaMath"/>
          </w:rPr>
          <m:t>=100 ∙</m:t>
        </m:r>
        <m:rad>
          <m:radPr>
            <m:degHide m:val="1"/>
            <m:ctrlPr>
              <w:rPr>
                <w:rFonts w:ascii="Cambria Math" w:eastAsiaTheme="minorHAnsi" w:hAnsi="Cambria Math" w:cs="CambriaMath"/>
              </w:rPr>
            </m:ctrlPr>
          </m:radPr>
          <m:deg>
            <m:ctrlPr>
              <w:rPr>
                <w:rFonts w:ascii="Cambria Math" w:eastAsia="Cambria Math" w:hAnsi="Cambria Math" w:cs="Cambria Math"/>
                <w:i/>
                <w:sz w:val="13"/>
                <w:szCs w:val="13"/>
              </w:rPr>
            </m:ctrlPr>
          </m:deg>
          <m:e>
            <m:r>
              <w:rPr>
                <w:rFonts w:ascii="Cambria Math" w:eastAsia="Cambria Math" w:hAnsi="Cambria Math" w:cs="Cambria Math"/>
                <w:sz w:val="13"/>
                <w:szCs w:val="13"/>
              </w:rPr>
              <m:t>e[σ (In(P))]2- 1</m:t>
            </m:r>
          </m:e>
        </m:rad>
      </m:oMath>
      <w:r>
        <w:t xml:space="preserve"> where </w:t>
      </w:r>
      <w:r>
        <w:rPr>
          <w:rFonts w:hint="eastAsia"/>
        </w:rPr>
        <w:t>σ</w:t>
      </w:r>
      <w:r>
        <w:t xml:space="preserve"> is the standard deviation and P is the pharmacokinetic</w:t>
      </w:r>
      <w:r w:rsidR="00161292">
        <w:t xml:space="preserve"> </w:t>
      </w:r>
      <w:r>
        <w:t>parameter of interest</w:t>
      </w:r>
      <w:r w:rsidR="00161292">
        <w:t xml:space="preserve">, </w:t>
      </w:r>
      <w:r>
        <w:t xml:space="preserve">QD </w:t>
      </w:r>
      <w:r w:rsidR="00161292">
        <w:t>(</w:t>
      </w:r>
      <w:r>
        <w:t>once daily</w:t>
      </w:r>
      <w:r w:rsidR="00161292">
        <w:t xml:space="preserve">), </w:t>
      </w:r>
      <w:r>
        <w:t xml:space="preserve">Range </w:t>
      </w:r>
      <w:r w:rsidR="00161292">
        <w:t>is</w:t>
      </w:r>
      <w:r>
        <w:t xml:space="preserve"> minimum to maximum value of the pharmacokinetic parameter of</w:t>
      </w:r>
      <w:r w:rsidR="00161292">
        <w:t xml:space="preserve"> </w:t>
      </w:r>
      <w:r>
        <w:t>interest.</w:t>
      </w:r>
    </w:p>
    <w:p w14:paraId="4C1A2019" w14:textId="4FB908BA" w:rsidR="00137CDF" w:rsidRDefault="002D7816" w:rsidP="002D7816">
      <w:pPr>
        <w:pStyle w:val="Heading4"/>
      </w:pPr>
      <w:r w:rsidRPr="006611AE">
        <w:lastRenderedPageBreak/>
        <w:t>Efficacy</w:t>
      </w:r>
    </w:p>
    <w:p w14:paraId="0EE8BCC6" w14:textId="4D381E16" w:rsidR="002D7816" w:rsidRDefault="00094251" w:rsidP="00D20985">
      <w:pPr>
        <w:pStyle w:val="Heading5"/>
      </w:pPr>
      <w:r>
        <w:t>Study M16-</w:t>
      </w:r>
      <w:r w:rsidR="005E10E9">
        <w:t>123 (</w:t>
      </w:r>
      <w:r>
        <w:t>Dora trial)</w:t>
      </w:r>
    </w:p>
    <w:p w14:paraId="5461B58C" w14:textId="0F717786" w:rsidR="00402B2C" w:rsidRPr="00402B2C" w:rsidRDefault="00D20985" w:rsidP="00402B2C">
      <w:r>
        <w:t>Study M16-123 (</w:t>
      </w:r>
      <w:r w:rsidR="00873C12">
        <w:t xml:space="preserve">also known as the </w:t>
      </w:r>
      <w:r>
        <w:t>DORA trial</w:t>
      </w:r>
      <w:r w:rsidR="00873C12">
        <w:t>;</w:t>
      </w:r>
      <w:r>
        <w:t xml:space="preserve"> Part 2 only) was a</w:t>
      </w:r>
      <w:r w:rsidR="00402B2C" w:rsidRPr="00402B2C">
        <w:t xml:space="preserve"> Phase </w:t>
      </w:r>
      <w:r w:rsidR="00957F73">
        <w:t>II</w:t>
      </w:r>
      <w:r w:rsidR="009446FC">
        <w:t>/</w:t>
      </w:r>
      <w:r w:rsidR="00957F73">
        <w:t>III</w:t>
      </w:r>
      <w:r w:rsidR="00402B2C" w:rsidRPr="00402B2C">
        <w:t>, open</w:t>
      </w:r>
      <w:r w:rsidR="00402B2C">
        <w:t xml:space="preserve"> </w:t>
      </w:r>
      <w:r w:rsidR="00402B2C" w:rsidRPr="00402B2C">
        <w:t>label, single</w:t>
      </w:r>
      <w:r w:rsidR="00402B2C">
        <w:t xml:space="preserve"> </w:t>
      </w:r>
      <w:r w:rsidR="00402B2C" w:rsidRPr="00402B2C">
        <w:t xml:space="preserve">arm, multicentre (38 centres; 24 centres for Part 2) study to evaluate the PK, efficacy, and safety of </w:t>
      </w:r>
      <w:r w:rsidR="00121E86">
        <w:t>g</w:t>
      </w:r>
      <w:r w:rsidR="00121E86" w:rsidRPr="00786397">
        <w:t>lecaprevir</w:t>
      </w:r>
      <w:r w:rsidR="00402B2C">
        <w:t xml:space="preserve"> and </w:t>
      </w:r>
      <w:r w:rsidR="00605660" w:rsidRPr="00DB42E3">
        <w:t>pibrentasvir</w:t>
      </w:r>
      <w:r w:rsidR="00402B2C" w:rsidRPr="00402B2C">
        <w:t xml:space="preserve"> for 8, 12, or 16 weeks in HCV </w:t>
      </w:r>
      <w:r w:rsidR="00A01E26">
        <w:t>genotype</w:t>
      </w:r>
      <w:r w:rsidR="00A01E26" w:rsidRPr="00402B2C">
        <w:t xml:space="preserve"> </w:t>
      </w:r>
      <w:r w:rsidR="00402B2C" w:rsidRPr="00402B2C">
        <w:t>1 to 6</w:t>
      </w:r>
      <w:r w:rsidR="00402B2C">
        <w:t xml:space="preserve"> </w:t>
      </w:r>
      <w:r w:rsidR="00402B2C" w:rsidRPr="00402B2C">
        <w:t xml:space="preserve">infected paediatric patients aged </w:t>
      </w:r>
      <w:r w:rsidR="00402B2C">
        <w:t xml:space="preserve">equal to or greater than </w:t>
      </w:r>
      <w:r w:rsidR="00402B2C" w:rsidRPr="00402B2C">
        <w:t xml:space="preserve">3 to </w:t>
      </w:r>
      <w:r w:rsidR="00402B2C">
        <w:t xml:space="preserve">less than </w:t>
      </w:r>
      <w:r w:rsidR="00402B2C" w:rsidRPr="00402B2C">
        <w:t xml:space="preserve">18 years, with and without compensated cirrhosis, with or without HIV coinfection, who were either </w:t>
      </w:r>
      <w:r w:rsidR="00D65163">
        <w:t>treatment naive</w:t>
      </w:r>
      <w:r w:rsidR="00402B2C" w:rsidRPr="00402B2C">
        <w:t xml:space="preserve">, </w:t>
      </w:r>
      <w:r w:rsidR="00D65163">
        <w:t>treatment experienced</w:t>
      </w:r>
      <w:r w:rsidR="00402B2C" w:rsidRPr="00402B2C">
        <w:t xml:space="preserve"> with </w:t>
      </w:r>
      <w:proofErr w:type="spellStart"/>
      <w:r w:rsidR="00402B2C" w:rsidRPr="00402B2C">
        <w:t>pegIFN</w:t>
      </w:r>
      <w:proofErr w:type="spellEnd"/>
      <w:r w:rsidR="00402B2C" w:rsidRPr="00402B2C">
        <w:t xml:space="preserve"> with or without </w:t>
      </w:r>
      <w:r w:rsidR="00D65163">
        <w:t>ribavirin</w:t>
      </w:r>
      <w:r w:rsidR="00402B2C" w:rsidRPr="00402B2C">
        <w:t xml:space="preserve">, or </w:t>
      </w:r>
      <w:r w:rsidR="00D65163">
        <w:t>treatment experienced</w:t>
      </w:r>
      <w:r w:rsidR="00402B2C" w:rsidRPr="00402B2C">
        <w:t xml:space="preserve"> with </w:t>
      </w:r>
      <w:r w:rsidR="00D65163">
        <w:t>sofosbuvir</w:t>
      </w:r>
      <w:r w:rsidR="00402B2C" w:rsidRPr="00402B2C">
        <w:t xml:space="preserve"> </w:t>
      </w:r>
      <w:r w:rsidR="00402B2C">
        <w:t>and</w:t>
      </w:r>
      <w:r w:rsidR="00402B2C" w:rsidRPr="00402B2C">
        <w:t xml:space="preserve"> </w:t>
      </w:r>
      <w:r w:rsidR="00D65163">
        <w:t>ribavirin</w:t>
      </w:r>
      <w:r w:rsidR="00402B2C" w:rsidRPr="00402B2C">
        <w:t xml:space="preserve"> with or without </w:t>
      </w:r>
      <w:proofErr w:type="spellStart"/>
      <w:r w:rsidR="00402B2C" w:rsidRPr="00402B2C">
        <w:t>pegIFN</w:t>
      </w:r>
      <w:proofErr w:type="spellEnd"/>
      <w:r w:rsidR="00402B2C" w:rsidRPr="00402B2C">
        <w:t>. Part</w:t>
      </w:r>
      <w:r w:rsidR="000B66F8">
        <w:t>s 1 &amp;</w:t>
      </w:r>
      <w:r w:rsidR="00402B2C" w:rsidRPr="00402B2C">
        <w:t xml:space="preserve"> 2 of the study w</w:t>
      </w:r>
      <w:r w:rsidR="000B66F8">
        <w:t>ere</w:t>
      </w:r>
      <w:r w:rsidR="00402B2C" w:rsidRPr="00402B2C">
        <w:t xml:space="preserve"> conducted between 20 March 2017 and </w:t>
      </w:r>
      <w:r w:rsidR="00B46C0E">
        <w:t>21</w:t>
      </w:r>
      <w:r w:rsidR="00402B2C" w:rsidRPr="00402B2C">
        <w:t xml:space="preserve"> May 2020.</w:t>
      </w:r>
    </w:p>
    <w:p w14:paraId="437EA655" w14:textId="0286B2E3" w:rsidR="00402B2C" w:rsidRPr="00402B2C" w:rsidRDefault="00402B2C" w:rsidP="00402B2C">
      <w:r w:rsidRPr="00402B2C">
        <w:t>The study was divided into 2 parts (only DORA</w:t>
      </w:r>
      <w:r w:rsidR="00B02322">
        <w:t xml:space="preserve"> trial</w:t>
      </w:r>
      <w:r w:rsidRPr="00402B2C">
        <w:t xml:space="preserve"> Part 2 was considered for this application)</w:t>
      </w:r>
      <w:r>
        <w:t>:</w:t>
      </w:r>
    </w:p>
    <w:p w14:paraId="6CBFE8FD" w14:textId="0864A4B6" w:rsidR="00402B2C" w:rsidRPr="00402B2C" w:rsidRDefault="00402B2C" w:rsidP="00402B2C">
      <w:pPr>
        <w:pStyle w:val="ListBullet"/>
      </w:pPr>
      <w:r w:rsidRPr="00402B2C">
        <w:t xml:space="preserve">Part 1 enrolled </w:t>
      </w:r>
      <w:r w:rsidR="00B46C0E">
        <w:t>48 (47 subjects were treated)</w:t>
      </w:r>
      <w:r w:rsidRPr="00402B2C">
        <w:t xml:space="preserve"> HCV </w:t>
      </w:r>
      <w:r w:rsidR="00A01E26">
        <w:t>genotype</w:t>
      </w:r>
      <w:r w:rsidR="00A01E26" w:rsidRPr="00402B2C">
        <w:t xml:space="preserve"> </w:t>
      </w:r>
      <w:r w:rsidRPr="00402B2C">
        <w:t xml:space="preserve">1 to 6 infected adolescent patients aged </w:t>
      </w:r>
      <w:r w:rsidR="00325BF7">
        <w:t>from</w:t>
      </w:r>
      <w:r>
        <w:t xml:space="preserve"> </w:t>
      </w:r>
      <w:r w:rsidRPr="00402B2C">
        <w:t xml:space="preserve">12 </w:t>
      </w:r>
      <w:r w:rsidR="00094251">
        <w:t>up t</w:t>
      </w:r>
      <w:r w:rsidR="00B816DB">
        <w:t>o</w:t>
      </w:r>
      <w:r w:rsidR="00BF03DF">
        <w:t xml:space="preserve"> </w:t>
      </w:r>
      <w:r w:rsidRPr="00402B2C">
        <w:t xml:space="preserve">18 years and used the adult formulation of </w:t>
      </w:r>
      <w:r w:rsidR="00121E86">
        <w:t>g</w:t>
      </w:r>
      <w:r w:rsidR="00121E86" w:rsidRPr="00786397">
        <w:t>lecaprevir</w:t>
      </w:r>
      <w:r>
        <w:t xml:space="preserve"> and </w:t>
      </w:r>
      <w:r w:rsidR="00605660" w:rsidRPr="00DB42E3">
        <w:t>pibrentasvir</w:t>
      </w:r>
      <w:r w:rsidRPr="00402B2C">
        <w:t xml:space="preserve"> (Cohort 1). This part was not considered in this application.</w:t>
      </w:r>
    </w:p>
    <w:p w14:paraId="3710B0A1" w14:textId="3E2FCBFA" w:rsidR="00402B2C" w:rsidRDefault="00402B2C" w:rsidP="00121E86">
      <w:pPr>
        <w:pStyle w:val="ListBullet"/>
      </w:pPr>
      <w:r w:rsidRPr="00402B2C">
        <w:t xml:space="preserve">Part 2 enrolled 81 </w:t>
      </w:r>
      <w:r w:rsidR="00B46C0E">
        <w:t xml:space="preserve">(80 subjects were treated) </w:t>
      </w:r>
      <w:r w:rsidRPr="00402B2C">
        <w:t xml:space="preserve">HCV </w:t>
      </w:r>
      <w:r w:rsidR="00A01E26">
        <w:t>genotype</w:t>
      </w:r>
      <w:r w:rsidR="00A01E26" w:rsidRPr="00402B2C">
        <w:t xml:space="preserve"> </w:t>
      </w:r>
      <w:r w:rsidRPr="00402B2C">
        <w:t xml:space="preserve">1 to 6 infected paediatric patients divided into </w:t>
      </w:r>
      <w:r w:rsidR="00094251">
        <w:t>4 cohorts: from</w:t>
      </w:r>
      <w:r w:rsidR="00094251" w:rsidRPr="00402B2C">
        <w:t xml:space="preserve"> </w:t>
      </w:r>
      <w:r w:rsidRPr="00402B2C">
        <w:t xml:space="preserve">9 to </w:t>
      </w:r>
      <w:r w:rsidR="00094251">
        <w:t>under</w:t>
      </w:r>
      <w:r>
        <w:t xml:space="preserve"> </w:t>
      </w:r>
      <w:r w:rsidRPr="00402B2C">
        <w:t>12</w:t>
      </w:r>
      <w:r>
        <w:t xml:space="preserve"> </w:t>
      </w:r>
      <w:r w:rsidRPr="00402B2C">
        <w:t>y</w:t>
      </w:r>
      <w:r>
        <w:t>ears</w:t>
      </w:r>
      <w:r w:rsidR="00094251">
        <w:t xml:space="preserve"> of age</w:t>
      </w:r>
      <w:r w:rsidRPr="00402B2C">
        <w:t xml:space="preserve"> (Cohort 2), </w:t>
      </w:r>
      <w:r w:rsidR="00094251">
        <w:t>from</w:t>
      </w:r>
      <w:r>
        <w:t xml:space="preserve"> </w:t>
      </w:r>
      <w:r w:rsidRPr="00402B2C">
        <w:t xml:space="preserve">6 to </w:t>
      </w:r>
      <w:r w:rsidR="00094251">
        <w:t xml:space="preserve">under </w:t>
      </w:r>
      <w:r w:rsidRPr="00402B2C">
        <w:t>9</w:t>
      </w:r>
      <w:r>
        <w:t xml:space="preserve"> </w:t>
      </w:r>
      <w:r w:rsidRPr="00402B2C">
        <w:t>y</w:t>
      </w:r>
      <w:r>
        <w:t>ears</w:t>
      </w:r>
      <w:r w:rsidRPr="00402B2C">
        <w:t xml:space="preserve"> (Cohort 3), and </w:t>
      </w:r>
      <w:r w:rsidR="00094251">
        <w:t xml:space="preserve">from </w:t>
      </w:r>
      <w:r w:rsidRPr="00402B2C">
        <w:t xml:space="preserve">3 to </w:t>
      </w:r>
      <w:r w:rsidR="00094251">
        <w:t>under</w:t>
      </w:r>
      <w:r>
        <w:t xml:space="preserve"> </w:t>
      </w:r>
      <w:r w:rsidRPr="00402B2C">
        <w:t>6</w:t>
      </w:r>
      <w:r>
        <w:t xml:space="preserve"> </w:t>
      </w:r>
      <w:r w:rsidRPr="00402B2C">
        <w:t>y</w:t>
      </w:r>
      <w:r>
        <w:t>ears</w:t>
      </w:r>
      <w:r w:rsidRPr="00402B2C">
        <w:t xml:space="preserve"> (Cohort 4) age groups, who received the paediatric formulation of </w:t>
      </w:r>
      <w:r w:rsidR="00121E86">
        <w:t>g</w:t>
      </w:r>
      <w:r w:rsidR="00121E86" w:rsidRPr="00786397">
        <w:t>lecaprevir</w:t>
      </w:r>
      <w:r w:rsidRPr="00402B2C">
        <w:t xml:space="preserve"> </w:t>
      </w:r>
      <w:r>
        <w:t>and</w:t>
      </w:r>
      <w:r w:rsidRPr="00402B2C">
        <w:t xml:space="preserve"> </w:t>
      </w:r>
      <w:r w:rsidR="00605660" w:rsidRPr="00DB42E3">
        <w:t>pibrentasvir</w:t>
      </w:r>
      <w:r w:rsidRPr="00402B2C">
        <w:t xml:space="preserve">. In each cohort, subjects were enrolled first into the </w:t>
      </w:r>
      <w:r w:rsidR="00094251">
        <w:t xml:space="preserve">intensive </w:t>
      </w:r>
      <w:r w:rsidRPr="00402B2C">
        <w:t>PK portion, followed by the non</w:t>
      </w:r>
      <w:r w:rsidR="00094251">
        <w:t xml:space="preserve">-intensive </w:t>
      </w:r>
      <w:r w:rsidRPr="00402B2C">
        <w:t>PK safety</w:t>
      </w:r>
      <w:r>
        <w:t xml:space="preserve"> and </w:t>
      </w:r>
      <w:r w:rsidRPr="00402B2C">
        <w:t>efficacy portions. Subjects in each cohort were enrolled in parallel (</w:t>
      </w:r>
      <w:r w:rsidR="00094251">
        <w:t xml:space="preserve">see </w:t>
      </w:r>
      <w:r>
        <w:fldChar w:fldCharType="begin"/>
      </w:r>
      <w:r>
        <w:instrText xml:space="preserve"> REF _Ref121837515 \h </w:instrText>
      </w:r>
      <w:r>
        <w:fldChar w:fldCharType="separate"/>
      </w:r>
      <w:r w:rsidR="00051287">
        <w:t xml:space="preserve">Figure </w:t>
      </w:r>
      <w:r w:rsidR="00051287">
        <w:rPr>
          <w:noProof/>
        </w:rPr>
        <w:t>3</w:t>
      </w:r>
      <w:r>
        <w:fldChar w:fldCharType="end"/>
      </w:r>
      <w:r w:rsidR="00094251">
        <w:t>, below</w:t>
      </w:r>
      <w:r w:rsidRPr="00402B2C">
        <w:t>).</w:t>
      </w:r>
    </w:p>
    <w:p w14:paraId="10277B2A" w14:textId="12FCBA14" w:rsidR="00402B2C" w:rsidRDefault="00402B2C" w:rsidP="00402B2C">
      <w:pPr>
        <w:pStyle w:val="FigureTitle"/>
      </w:pPr>
      <w:bookmarkStart w:id="45" w:name="_Ref121837515"/>
      <w:r>
        <w:t xml:space="preserve">Figure </w:t>
      </w:r>
      <w:r w:rsidR="00A42754">
        <w:fldChar w:fldCharType="begin"/>
      </w:r>
      <w:r w:rsidR="00A42754">
        <w:instrText xml:space="preserve"> SEQ Figure \* ARABIC </w:instrText>
      </w:r>
      <w:r w:rsidR="00A42754">
        <w:fldChar w:fldCharType="separate"/>
      </w:r>
      <w:r w:rsidR="00051287">
        <w:rPr>
          <w:noProof/>
        </w:rPr>
        <w:t>3</w:t>
      </w:r>
      <w:r w:rsidR="00A42754">
        <w:rPr>
          <w:noProof/>
        </w:rPr>
        <w:fldChar w:fldCharType="end"/>
      </w:r>
      <w:bookmarkEnd w:id="45"/>
      <w:r>
        <w:t xml:space="preserve">: </w:t>
      </w:r>
      <w:bookmarkStart w:id="46" w:name="_Hlk127785504"/>
      <w:r w:rsidR="00094251">
        <w:t>Study M16-123 (</w:t>
      </w:r>
      <w:r>
        <w:t xml:space="preserve">DORA </w:t>
      </w:r>
      <w:r w:rsidR="00B02322">
        <w:t>trial</w:t>
      </w:r>
      <w:r w:rsidR="00094251">
        <w:t>) Study</w:t>
      </w:r>
      <w:r w:rsidR="00B02322">
        <w:t xml:space="preserve"> </w:t>
      </w:r>
      <w:r>
        <w:t>design</w:t>
      </w:r>
      <w:bookmarkEnd w:id="46"/>
    </w:p>
    <w:p w14:paraId="3820523E" w14:textId="541DDC2A" w:rsidR="00402B2C" w:rsidRDefault="00402B2C" w:rsidP="00402B2C">
      <w:r>
        <w:rPr>
          <w:noProof/>
          <w:lang w:val="en-GB" w:eastAsia="en-GB"/>
        </w:rPr>
        <w:drawing>
          <wp:inline distT="0" distB="0" distL="0" distR="0" wp14:anchorId="0387145F" wp14:editId="6090D224">
            <wp:extent cx="5304155" cy="2724150"/>
            <wp:effectExtent l="0" t="0" r="0" b="0"/>
            <wp:docPr id="6" name="Picture 6" descr="Study M16-123 (DORA trial) Study design. &#10;Part 1 enrolled 44 HCV genotype 1 to 6 infected adolescent patients aged greater than or equal to 12 to less than 18 years and used the adult formulation of glecaprevir and pibrentasvir (Cohort 1).&#10;Part 2 enrolled 81 HCV genotype 1 to 6 infected paediatric patients divided into the equal to or greater than 9 to less than 12 years (Cohort 2), greater than or equal to 6 to less than 9 years (Cohort 3), and greater than or equal to 3 to less than 6 years (Cohort 4) age groups, who received the paediatric formulation of glecaprevir and pibrentasv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udy M16-123 (DORA trial) Study design. &#10;Part 1 enrolled 44 HCV genotype 1 to 6 infected adolescent patients aged greater than or equal to 12 to less than 18 years and used the adult formulation of glecaprevir and pibrentasvir (Cohort 1).&#10;Part 2 enrolled 81 HCV genotype 1 to 6 infected paediatric patients divided into the equal to or greater than 9 to less than 12 years (Cohort 2), greater than or equal to 6 to less than 9 years (Cohort 3), and greater than or equal to 3 to less than 6 years (Cohort 4) age groups, who received the paediatric formulation of glecaprevir and pibrentasvir. "/>
                    <pic:cNvPicPr>
                      <a:picLocks noChangeAspect="1" noChangeArrowheads="1"/>
                    </pic:cNvPicPr>
                  </pic:nvPicPr>
                  <pic:blipFill rotWithShape="1">
                    <a:blip r:embed="rId21">
                      <a:extLst>
                        <a:ext uri="{28A0092B-C50C-407E-A947-70E740481C1C}">
                          <a14:useLocalDpi xmlns:a14="http://schemas.microsoft.com/office/drawing/2010/main" val="0"/>
                        </a:ext>
                      </a:extLst>
                    </a:blip>
                    <a:srcRect b="10101"/>
                    <a:stretch/>
                  </pic:blipFill>
                  <pic:spPr bwMode="auto">
                    <a:xfrm>
                      <a:off x="0" y="0"/>
                      <a:ext cx="5304155" cy="2724150"/>
                    </a:xfrm>
                    <a:prstGeom prst="rect">
                      <a:avLst/>
                    </a:prstGeom>
                    <a:noFill/>
                    <a:ln>
                      <a:noFill/>
                    </a:ln>
                    <a:extLst>
                      <a:ext uri="{53640926-AAD7-44D8-BBD7-CCE9431645EC}">
                        <a14:shadowObscured xmlns:a14="http://schemas.microsoft.com/office/drawing/2010/main"/>
                      </a:ext>
                    </a:extLst>
                  </pic:spPr>
                </pic:pic>
              </a:graphicData>
            </a:graphic>
          </wp:inline>
        </w:drawing>
      </w:r>
    </w:p>
    <w:p w14:paraId="18942C4C" w14:textId="5F3550C0" w:rsidR="00402B2C" w:rsidRDefault="00094251" w:rsidP="00490F11">
      <w:pPr>
        <w:pStyle w:val="FigureDescription"/>
      </w:pPr>
      <w:r>
        <w:lastRenderedPageBreak/>
        <w:t xml:space="preserve">Abbreviations: </w:t>
      </w:r>
      <w:r w:rsidR="00402B2C">
        <w:t>GT (genotype), PK (pharmacokinetic). PD (pharmacodynamic), PT WK (post treatment week)</w:t>
      </w:r>
    </w:p>
    <w:p w14:paraId="3197A1FF" w14:textId="77777777" w:rsidR="00AD3A5E" w:rsidRDefault="00AD3A5E" w:rsidP="00AD3A5E">
      <w:r>
        <w:t>The primary objectives of this study were to:</w:t>
      </w:r>
    </w:p>
    <w:p w14:paraId="212E853C" w14:textId="68E5EB1D" w:rsidR="00AD3A5E" w:rsidRDefault="00AD3A5E" w:rsidP="00AD3A5E">
      <w:pPr>
        <w:pStyle w:val="ListBullet"/>
      </w:pPr>
      <w:r>
        <w:t xml:space="preserve">Assess the AUC, and to assess the PK of </w:t>
      </w:r>
      <w:r w:rsidR="00121E86">
        <w:t>g</w:t>
      </w:r>
      <w:r w:rsidR="00121E86" w:rsidRPr="00786397">
        <w:t>lecaprevir</w:t>
      </w:r>
      <w:r>
        <w:t xml:space="preserve"> and </w:t>
      </w:r>
      <w:r w:rsidR="00605660" w:rsidRPr="00DB42E3">
        <w:t>pibrentasvir</w:t>
      </w:r>
      <w:r>
        <w:t xml:space="preserve"> in paediatric subjects following multiple dosing by age group.</w:t>
      </w:r>
    </w:p>
    <w:p w14:paraId="10BA2139" w14:textId="76A4536F" w:rsidR="00AD3A5E" w:rsidRDefault="00AD3A5E" w:rsidP="00AD3A5E">
      <w:pPr>
        <w:pStyle w:val="ListBullet"/>
      </w:pPr>
      <w:r>
        <w:t xml:space="preserve">Evaluate the safety and tolerability of </w:t>
      </w:r>
      <w:r w:rsidR="00121E86">
        <w:t>g</w:t>
      </w:r>
      <w:r w:rsidR="00121E86" w:rsidRPr="00786397">
        <w:t>lecaprevir</w:t>
      </w:r>
      <w:r>
        <w:t xml:space="preserve"> and </w:t>
      </w:r>
      <w:r w:rsidR="00605660" w:rsidRPr="00DB42E3">
        <w:t>pibrentasvir</w:t>
      </w:r>
      <w:r>
        <w:t xml:space="preserve"> by age group, cirrhosis status, and across all subjects.</w:t>
      </w:r>
    </w:p>
    <w:p w14:paraId="20AED74B" w14:textId="1B3A8F1E" w:rsidR="00AD3A5E" w:rsidRDefault="00AD3A5E" w:rsidP="00AD3A5E">
      <w:pPr>
        <w:pStyle w:val="ListBullet"/>
      </w:pPr>
      <w:r>
        <w:t>Evaluate the percentage of subjects with sustained virologic response for 12 weeks post</w:t>
      </w:r>
      <w:r w:rsidR="00094251">
        <w:t>-</w:t>
      </w:r>
      <w:r>
        <w:t>treatme</w:t>
      </w:r>
      <w:r w:rsidRPr="00A05B63">
        <w:t>nt (SVR12)</w:t>
      </w:r>
      <w:r>
        <w:t xml:space="preserve"> in HCV </w:t>
      </w:r>
      <w:r w:rsidR="00A01E26">
        <w:t xml:space="preserve">genotype </w:t>
      </w:r>
      <w:r>
        <w:t>1 to 6 infected paediatric subjects.</w:t>
      </w:r>
    </w:p>
    <w:p w14:paraId="75655AB5" w14:textId="4F0137C8" w:rsidR="00AD3A5E" w:rsidRDefault="00AD3A5E" w:rsidP="00AD3A5E">
      <w:r w:rsidRPr="00AD3A5E">
        <w:t>The main inclusion criteria were</w:t>
      </w:r>
      <w:r>
        <w:t xml:space="preserve"> </w:t>
      </w:r>
      <w:r w:rsidRPr="00AD3A5E">
        <w:t xml:space="preserve">age </w:t>
      </w:r>
      <w:r>
        <w:t xml:space="preserve">greater than or equal to </w:t>
      </w:r>
      <w:r w:rsidRPr="00AD3A5E">
        <w:t xml:space="preserve">3 to </w:t>
      </w:r>
      <w:r>
        <w:t xml:space="preserve">less than </w:t>
      </w:r>
      <w:r w:rsidRPr="00AD3A5E">
        <w:t>18 y</w:t>
      </w:r>
      <w:r>
        <w:t>ears</w:t>
      </w:r>
      <w:r w:rsidRPr="00AD3A5E">
        <w:t xml:space="preserve"> (</w:t>
      </w:r>
      <w:r>
        <w:t xml:space="preserve">greater than or equal to </w:t>
      </w:r>
      <w:r w:rsidRPr="00AD3A5E">
        <w:t xml:space="preserve">3 to </w:t>
      </w:r>
      <w:r>
        <w:t xml:space="preserve">less than </w:t>
      </w:r>
      <w:r w:rsidRPr="00AD3A5E">
        <w:t>12</w:t>
      </w:r>
      <w:r>
        <w:t xml:space="preserve"> years</w:t>
      </w:r>
      <w:r w:rsidRPr="00AD3A5E">
        <w:t xml:space="preserve"> for Part 2)</w:t>
      </w:r>
      <w:r>
        <w:t>,</w:t>
      </w:r>
      <w:r w:rsidRPr="00AD3A5E">
        <w:t xml:space="preserve"> chronic HCV </w:t>
      </w:r>
      <w:r w:rsidR="00A01E26">
        <w:t>genotype</w:t>
      </w:r>
      <w:r w:rsidRPr="00AD3A5E">
        <w:t xml:space="preserve"> 1, 2, 3, 4, 5, or 6 </w:t>
      </w:r>
      <w:proofErr w:type="gramStart"/>
      <w:r w:rsidRPr="00AD3A5E">
        <w:t>infection</w:t>
      </w:r>
      <w:proofErr w:type="gramEnd"/>
      <w:r>
        <w:t>,</w:t>
      </w:r>
      <w:r w:rsidRPr="00AD3A5E">
        <w:t xml:space="preserve"> if participating in the intensive PK part</w:t>
      </w:r>
      <w:r>
        <w:t>,</w:t>
      </w:r>
      <w:r w:rsidRPr="00AD3A5E">
        <w:t xml:space="preserve"> HIV</w:t>
      </w:r>
      <w:r w:rsidR="00F22C04">
        <w:t>-</w:t>
      </w:r>
      <w:r w:rsidRPr="00AD3A5E">
        <w:t xml:space="preserve">1 negative and HCV </w:t>
      </w:r>
      <w:r w:rsidR="00D65163">
        <w:t>treatment naive</w:t>
      </w:r>
      <w:r w:rsidRPr="00AD3A5E">
        <w:t>. The main exclusion criteria were pregnancy</w:t>
      </w:r>
      <w:r>
        <w:t>,</w:t>
      </w:r>
      <w:r w:rsidRPr="00AD3A5E">
        <w:t xml:space="preserve"> </w:t>
      </w:r>
      <w:r w:rsidR="00B57FA6">
        <w:t>hepatitis B virus i</w:t>
      </w:r>
      <w:r w:rsidRPr="00AD3A5E">
        <w:t xml:space="preserve">nfection; </w:t>
      </w:r>
      <w:r w:rsidRPr="00C71A51">
        <w:t>Child-Pugh stages B or C</w:t>
      </w:r>
      <w:r w:rsidR="00AD40ED">
        <w:t>;</w:t>
      </w:r>
      <w:r w:rsidR="006611AE">
        <w:rPr>
          <w:rStyle w:val="FootnoteReference"/>
        </w:rPr>
        <w:footnoteReference w:id="11"/>
      </w:r>
      <w:r>
        <w:t xml:space="preserve"> and</w:t>
      </w:r>
      <w:r w:rsidRPr="00AD3A5E">
        <w:t xml:space="preserve"> </w:t>
      </w:r>
      <w:r w:rsidR="00C71A51">
        <w:t>hepatocellular carcinoma</w:t>
      </w:r>
      <w:r w:rsidRPr="00AD3A5E">
        <w:t>.</w:t>
      </w:r>
    </w:p>
    <w:p w14:paraId="47FB912D" w14:textId="3C82D170" w:rsidR="00402B2C" w:rsidRPr="00D65163" w:rsidRDefault="00402B2C" w:rsidP="00D65163">
      <w:pPr>
        <w:pStyle w:val="Heading6"/>
      </w:pPr>
      <w:r w:rsidRPr="00D65163">
        <w:t>Endpoints</w:t>
      </w:r>
    </w:p>
    <w:p w14:paraId="01A9833E" w14:textId="1E0103E9" w:rsidR="00AD3A5E" w:rsidRPr="00AD3A5E" w:rsidRDefault="00AD3A5E" w:rsidP="00AD3A5E">
      <w:r w:rsidRPr="00AD3A5E">
        <w:t xml:space="preserve">The primary </w:t>
      </w:r>
      <w:r w:rsidR="002B61CE">
        <w:t xml:space="preserve">efficacy </w:t>
      </w:r>
      <w:r w:rsidRPr="00AD3A5E">
        <w:t>endpoint was SVR12. The secondary efficacy variables were on</w:t>
      </w:r>
      <w:r>
        <w:t xml:space="preserve"> </w:t>
      </w:r>
      <w:r w:rsidRPr="00AD3A5E">
        <w:t>treatment virologic failure (</w:t>
      </w:r>
      <w:r>
        <w:t xml:space="preserve">for example </w:t>
      </w:r>
      <w:r w:rsidRPr="00AD3A5E">
        <w:t>breakthrough), post</w:t>
      </w:r>
      <w:r>
        <w:t xml:space="preserve"> </w:t>
      </w:r>
      <w:r w:rsidRPr="00AD3A5E">
        <w:t>treatment relapse, subjects with new HCV infection (</w:t>
      </w:r>
      <w:r>
        <w:t>that is</w:t>
      </w:r>
      <w:r w:rsidRPr="00AD3A5E">
        <w:t xml:space="preserve"> reinfection), and assessment of palatability/acceptability of the paediatric formulation.</w:t>
      </w:r>
    </w:p>
    <w:p w14:paraId="3FA1505C" w14:textId="6F940F08" w:rsidR="00402B2C" w:rsidRPr="00D65163" w:rsidRDefault="00402B2C" w:rsidP="00D65163">
      <w:pPr>
        <w:pStyle w:val="Heading6"/>
      </w:pPr>
      <w:r w:rsidRPr="00D65163">
        <w:t>Study treatment</w:t>
      </w:r>
    </w:p>
    <w:p w14:paraId="3859229A" w14:textId="50A92CF3" w:rsidR="00AD3A5E" w:rsidRPr="00AD3A5E" w:rsidRDefault="00AD3A5E" w:rsidP="00AD3A5E">
      <w:r w:rsidRPr="00AD3A5E">
        <w:t xml:space="preserve">Patients in Part 2 were dosed based on a </w:t>
      </w:r>
      <w:proofErr w:type="gramStart"/>
      <w:r w:rsidRPr="00AD3A5E">
        <w:t>weight</w:t>
      </w:r>
      <w:r>
        <w:t xml:space="preserve"> </w:t>
      </w:r>
      <w:r w:rsidRPr="00AD3A5E">
        <w:t>based</w:t>
      </w:r>
      <w:proofErr w:type="gramEnd"/>
      <w:r w:rsidRPr="00AD3A5E">
        <w:t xml:space="preserve"> regimen (as per</w:t>
      </w:r>
      <w:r>
        <w:t xml:space="preserve"> </w:t>
      </w:r>
      <w:r>
        <w:rPr>
          <w:highlight w:val="yellow"/>
        </w:rPr>
        <w:fldChar w:fldCharType="begin"/>
      </w:r>
      <w:r>
        <w:instrText xml:space="preserve"> REF _Ref121838101 \h </w:instrText>
      </w:r>
      <w:r>
        <w:rPr>
          <w:highlight w:val="yellow"/>
        </w:rPr>
      </w:r>
      <w:r>
        <w:rPr>
          <w:highlight w:val="yellow"/>
        </w:rPr>
        <w:fldChar w:fldCharType="separate"/>
      </w:r>
      <w:r w:rsidR="00051287">
        <w:t xml:space="preserve">Table </w:t>
      </w:r>
      <w:r w:rsidR="00051287">
        <w:rPr>
          <w:noProof/>
        </w:rPr>
        <w:t>4</w:t>
      </w:r>
      <w:r>
        <w:rPr>
          <w:highlight w:val="yellow"/>
        </w:rPr>
        <w:fldChar w:fldCharType="end"/>
      </w:r>
      <w:r w:rsidR="00094251">
        <w:t>, shown below</w:t>
      </w:r>
      <w:r w:rsidRPr="00AD3A5E">
        <w:t xml:space="preserve">). Even though age ranges were matched with the </w:t>
      </w:r>
      <w:r>
        <w:t>three</w:t>
      </w:r>
      <w:r w:rsidRPr="00AD3A5E">
        <w:t xml:space="preserve"> weight ranges, the weight took precedent for dosing, </w:t>
      </w:r>
      <w:r>
        <w:t>that is</w:t>
      </w:r>
      <w:r w:rsidRPr="00AD3A5E">
        <w:t xml:space="preserve"> some patients were in either a higher or lower </w:t>
      </w:r>
      <w:proofErr w:type="gramStart"/>
      <w:r w:rsidRPr="00AD3A5E">
        <w:t>weight</w:t>
      </w:r>
      <w:r>
        <w:t xml:space="preserve"> </w:t>
      </w:r>
      <w:r w:rsidRPr="00AD3A5E">
        <w:t>based</w:t>
      </w:r>
      <w:proofErr w:type="gramEnd"/>
      <w:r w:rsidRPr="00AD3A5E">
        <w:t xml:space="preserve"> group and were dosed accordingly.</w:t>
      </w:r>
    </w:p>
    <w:p w14:paraId="1E118DFC" w14:textId="7CC5CE04" w:rsidR="00AD3A5E" w:rsidRDefault="00AD3A5E" w:rsidP="00AD3A5E">
      <w:r w:rsidRPr="00AD3A5E">
        <w:t xml:space="preserve">The maximum dose of </w:t>
      </w:r>
      <w:r w:rsidR="00121E86">
        <w:t>g</w:t>
      </w:r>
      <w:r w:rsidR="00121E86" w:rsidRPr="00786397">
        <w:t>lecaprevir</w:t>
      </w:r>
      <w:r w:rsidRPr="00AD3A5E">
        <w:t xml:space="preserve"> and </w:t>
      </w:r>
      <w:r w:rsidR="00605660" w:rsidRPr="00DB42E3">
        <w:t>pibrentasvir</w:t>
      </w:r>
      <w:r w:rsidRPr="00AD3A5E">
        <w:t xml:space="preserve"> did not exceed 300 mg and 120</w:t>
      </w:r>
      <w:r w:rsidR="00AD40ED">
        <w:t> </w:t>
      </w:r>
      <w:r w:rsidRPr="00AD3A5E">
        <w:t xml:space="preserve">mg, respectively, per day for up to 16 weeks. 17 paediatric patients received the lower doses for the whole </w:t>
      </w:r>
      <w:r w:rsidRPr="00AD3A5E">
        <w:lastRenderedPageBreak/>
        <w:t xml:space="preserve">treatment period (8 weeks, as none of the 17 were assigned a </w:t>
      </w:r>
      <w:proofErr w:type="gramStart"/>
      <w:r w:rsidRPr="00AD3A5E">
        <w:t>12 or 16 week</w:t>
      </w:r>
      <w:proofErr w:type="gramEnd"/>
      <w:r w:rsidRPr="00AD3A5E">
        <w:t xml:space="preserve"> duration)</w:t>
      </w:r>
      <w:r>
        <w:t>.</w:t>
      </w:r>
      <w:r w:rsidRPr="00AD3A5E">
        <w:t xml:space="preserve"> After a PK analysis showing low </w:t>
      </w:r>
      <w:proofErr w:type="gramStart"/>
      <w:r w:rsidRPr="00AD3A5E">
        <w:t>exposure</w:t>
      </w:r>
      <w:proofErr w:type="gramEnd"/>
      <w:r w:rsidRPr="00AD3A5E">
        <w:t xml:space="preserve"> the regimen was changed to a higher dose</w:t>
      </w:r>
      <w:r>
        <w:t>.</w:t>
      </w:r>
      <w:r w:rsidRPr="00AD3A5E">
        <w:t xml:space="preserve"> 62 patients across the </w:t>
      </w:r>
      <w:r>
        <w:t>three</w:t>
      </w:r>
      <w:r w:rsidRPr="00AD3A5E">
        <w:t xml:space="preserve"> age cohorts were assessed on the final doses in Part 2. 78 subjects were assigned to the </w:t>
      </w:r>
      <w:proofErr w:type="gramStart"/>
      <w:r w:rsidRPr="00AD3A5E">
        <w:t>8</w:t>
      </w:r>
      <w:r>
        <w:t xml:space="preserve"> </w:t>
      </w:r>
      <w:r w:rsidRPr="00AD3A5E">
        <w:t>week</w:t>
      </w:r>
      <w:proofErr w:type="gramEnd"/>
      <w:r w:rsidRPr="00AD3A5E">
        <w:t xml:space="preserve"> treatment duration and </w:t>
      </w:r>
      <w:r w:rsidR="00B57FA6">
        <w:t>one</w:t>
      </w:r>
      <w:r w:rsidRPr="00AD3A5E">
        <w:t xml:space="preserve"> subject each was assigned to the 12 and 16</w:t>
      </w:r>
      <w:r>
        <w:t xml:space="preserve"> </w:t>
      </w:r>
      <w:r w:rsidRPr="00AD3A5E">
        <w:t>week treatment duration</w:t>
      </w:r>
      <w:r>
        <w:t>.</w:t>
      </w:r>
    </w:p>
    <w:p w14:paraId="13DB8181" w14:textId="35AAD6B7" w:rsidR="00AD3A5E" w:rsidRPr="00BB2FE2" w:rsidRDefault="00AD3A5E" w:rsidP="00BB2FE2">
      <w:pPr>
        <w:pStyle w:val="Tabletitle0"/>
      </w:pPr>
      <w:bookmarkStart w:id="47" w:name="_Ref121838101"/>
      <w:r>
        <w:t xml:space="preserve">Table </w:t>
      </w:r>
      <w:r w:rsidR="00A42754">
        <w:fldChar w:fldCharType="begin"/>
      </w:r>
      <w:r w:rsidR="00A42754">
        <w:instrText xml:space="preserve"> SEQ Table \* ARABIC </w:instrText>
      </w:r>
      <w:r w:rsidR="00A42754">
        <w:fldChar w:fldCharType="separate"/>
      </w:r>
      <w:r w:rsidR="00051287">
        <w:rPr>
          <w:noProof/>
        </w:rPr>
        <w:t>4</w:t>
      </w:r>
      <w:r w:rsidR="00A42754">
        <w:rPr>
          <w:noProof/>
        </w:rPr>
        <w:fldChar w:fldCharType="end"/>
      </w:r>
      <w:bookmarkEnd w:id="47"/>
      <w:r>
        <w:t xml:space="preserve">: </w:t>
      </w:r>
      <w:r w:rsidR="00094251">
        <w:t>Study M16-123 (</w:t>
      </w:r>
      <w:r>
        <w:t>DORA</w:t>
      </w:r>
      <w:r w:rsidR="00B02322">
        <w:t xml:space="preserve"> trial</w:t>
      </w:r>
      <w:r w:rsidR="00094251">
        <w:t>)</w:t>
      </w:r>
      <w:r>
        <w:t xml:space="preserve"> </w:t>
      </w:r>
      <w:r w:rsidR="00094251">
        <w:t>G</w:t>
      </w:r>
      <w:r>
        <w:t>lecaprevir and pibrentasvir doses</w:t>
      </w:r>
    </w:p>
    <w:p w14:paraId="45B6ED63" w14:textId="482D7BB4" w:rsidR="00BB2FE2" w:rsidRDefault="00BB2FE2" w:rsidP="00BB2FE2">
      <w:r w:rsidRPr="004C6E22">
        <w:rPr>
          <w:rFonts w:asciiTheme="minorHAnsi" w:hAnsiTheme="minorHAnsi"/>
          <w:noProof/>
          <w:lang w:val="en-GB" w:eastAsia="en-GB"/>
        </w:rPr>
        <w:drawing>
          <wp:inline distT="0" distB="0" distL="0" distR="0" wp14:anchorId="6F00DF2F" wp14:editId="6B3CC57A">
            <wp:extent cx="5285672" cy="1943100"/>
            <wp:effectExtent l="0" t="0" r="0" b="0"/>
            <wp:docPr id="26" name="Picture 26" descr="Study M16-123 (DORA trial) Glecaprevir and pibrentasvir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M16-123 (DORA trial) Glecaprevir and pibrentasvir doses"/>
                    <pic:cNvPicPr>
                      <a:picLocks noChangeAspect="1" noChangeArrowheads="1"/>
                    </pic:cNvPicPr>
                  </pic:nvPicPr>
                  <pic:blipFill rotWithShape="1">
                    <a:blip r:embed="rId22">
                      <a:extLst>
                        <a:ext uri="{28A0092B-C50C-407E-A947-70E740481C1C}">
                          <a14:useLocalDpi xmlns:a14="http://schemas.microsoft.com/office/drawing/2010/main" val="0"/>
                        </a:ext>
                      </a:extLst>
                    </a:blip>
                    <a:srcRect b="14929"/>
                    <a:stretch/>
                  </pic:blipFill>
                  <pic:spPr bwMode="auto">
                    <a:xfrm>
                      <a:off x="0" y="0"/>
                      <a:ext cx="5310799" cy="1952337"/>
                    </a:xfrm>
                    <a:prstGeom prst="rect">
                      <a:avLst/>
                    </a:prstGeom>
                    <a:noFill/>
                    <a:ln>
                      <a:noFill/>
                    </a:ln>
                    <a:extLst>
                      <a:ext uri="{53640926-AAD7-44D8-BBD7-CCE9431645EC}">
                        <a14:shadowObscured xmlns:a14="http://schemas.microsoft.com/office/drawing/2010/main"/>
                      </a:ext>
                    </a:extLst>
                  </pic:spPr>
                </pic:pic>
              </a:graphicData>
            </a:graphic>
          </wp:inline>
        </w:drawing>
      </w:r>
    </w:p>
    <w:p w14:paraId="652DBB16" w14:textId="266F36DA" w:rsidR="005524BD" w:rsidRDefault="00094251" w:rsidP="00B57FA6">
      <w:pPr>
        <w:pStyle w:val="TableDescription"/>
        <w:spacing w:before="0"/>
      </w:pPr>
      <w:r>
        <w:t xml:space="preserve">Abbreviations: </w:t>
      </w:r>
      <w:r w:rsidR="00BB2FE2">
        <w:t>GLE (</w:t>
      </w:r>
      <w:proofErr w:type="spellStart"/>
      <w:r w:rsidR="00BB2FE2">
        <w:t>glecaprevir</w:t>
      </w:r>
      <w:proofErr w:type="spellEnd"/>
      <w:r w:rsidR="00BB2FE2">
        <w:t>), PIB (</w:t>
      </w:r>
      <w:proofErr w:type="spellStart"/>
      <w:r w:rsidR="00BB2FE2">
        <w:t>pibrentasvir</w:t>
      </w:r>
      <w:proofErr w:type="spellEnd"/>
      <w:r w:rsidR="00BB2FE2">
        <w:t xml:space="preserve">), </w:t>
      </w:r>
      <w:proofErr w:type="spellStart"/>
      <w:r w:rsidR="00BB2FE2">
        <w:t>yr</w:t>
      </w:r>
      <w:proofErr w:type="spellEnd"/>
      <w:r w:rsidR="00BB2FE2">
        <w:t xml:space="preserve"> (year).</w:t>
      </w:r>
    </w:p>
    <w:p w14:paraId="389EF211" w14:textId="6B5CE0EC" w:rsidR="00BB2FE2" w:rsidRDefault="00BB2FE2" w:rsidP="00B57FA6">
      <w:pPr>
        <w:pStyle w:val="TableDescription"/>
        <w:spacing w:before="0"/>
      </w:pPr>
      <w:r>
        <w:t xml:space="preserve">a. each sachet contains 50 mg/20 mg unit dose of </w:t>
      </w:r>
      <w:r w:rsidR="00121E86">
        <w:t>g</w:t>
      </w:r>
      <w:r w:rsidR="00121E86" w:rsidRPr="00786397">
        <w:t>lecaprevir</w:t>
      </w:r>
      <w:r>
        <w:t xml:space="preserve"> and </w:t>
      </w:r>
      <w:r w:rsidR="00605660" w:rsidRPr="00DB42E3">
        <w:t>pibrentasvir</w:t>
      </w:r>
      <w:r>
        <w:t xml:space="preserve"> granules.</w:t>
      </w:r>
    </w:p>
    <w:p w14:paraId="7F4F73C7" w14:textId="0A192AC9" w:rsidR="00402B2C" w:rsidRPr="00D65163" w:rsidRDefault="00402B2C" w:rsidP="00D65163">
      <w:pPr>
        <w:pStyle w:val="Heading6"/>
      </w:pPr>
      <w:r w:rsidRPr="00D65163">
        <w:t>Baseline characteristics</w:t>
      </w:r>
    </w:p>
    <w:p w14:paraId="028B232F" w14:textId="5F8447D1" w:rsidR="00BB2FE2" w:rsidRPr="00BB2FE2" w:rsidRDefault="00BB2FE2" w:rsidP="00BB2FE2">
      <w:r w:rsidRPr="00BB2FE2">
        <w:t>Most patients were White (68.8%)</w:t>
      </w:r>
      <w:r w:rsidR="00094251">
        <w:t xml:space="preserve">, with 17.5% being </w:t>
      </w:r>
      <w:r w:rsidRPr="00BB2FE2">
        <w:t xml:space="preserve">Asian. Most patients matched the weight band for their age group. Most patients had </w:t>
      </w:r>
      <w:r w:rsidR="00A01E26">
        <w:t>genotype</w:t>
      </w:r>
      <w:r w:rsidR="00A01E26" w:rsidRPr="00BB2FE2">
        <w:t xml:space="preserve"> </w:t>
      </w:r>
      <w:r w:rsidRPr="00BB2FE2">
        <w:t xml:space="preserve">1 (72.5%) </w:t>
      </w:r>
      <w:r w:rsidR="00E60756">
        <w:t xml:space="preserve">or </w:t>
      </w:r>
      <w:r w:rsidR="00A01E26">
        <w:t>genotype</w:t>
      </w:r>
      <w:r w:rsidR="00A01E26" w:rsidRPr="00BB2FE2">
        <w:t xml:space="preserve"> </w:t>
      </w:r>
      <w:r w:rsidRPr="00BB2FE2">
        <w:t xml:space="preserve">3 (22.5%). None had cirrhosis, most were </w:t>
      </w:r>
      <w:r w:rsidR="00D65163">
        <w:t>treatment naive</w:t>
      </w:r>
      <w:r w:rsidRPr="00BB2FE2">
        <w:t xml:space="preserve"> (97.5%), and one patient (1.3%) had a HIV coinfection.</w:t>
      </w:r>
    </w:p>
    <w:p w14:paraId="3A8BAD58" w14:textId="43E42C8D" w:rsidR="00402B2C" w:rsidRPr="00D65163" w:rsidRDefault="00402B2C" w:rsidP="00D65163">
      <w:pPr>
        <w:pStyle w:val="Heading6"/>
      </w:pPr>
      <w:r w:rsidRPr="00D65163">
        <w:t>Subject disposition</w:t>
      </w:r>
    </w:p>
    <w:p w14:paraId="238E0201" w14:textId="289F51B9" w:rsidR="00BB2FE2" w:rsidRPr="00BB2FE2" w:rsidRDefault="00BB2FE2" w:rsidP="00BB2FE2">
      <w:r>
        <w:t>Eighty</w:t>
      </w:r>
      <w:r w:rsidR="00094251">
        <w:t>-</w:t>
      </w:r>
      <w:r>
        <w:t>one</w:t>
      </w:r>
      <w:r w:rsidRPr="00BB2FE2">
        <w:t xml:space="preserve"> </w:t>
      </w:r>
      <w:r w:rsidR="00094251">
        <w:t xml:space="preserve">(81) </w:t>
      </w:r>
      <w:r w:rsidRPr="00BB2FE2">
        <w:t xml:space="preserve">subjects were enrolled in Part 2 of the study. </w:t>
      </w:r>
      <w:r w:rsidR="00E344B6" w:rsidRPr="00BB2FE2">
        <w:t xml:space="preserve">One subject (Cohort 4) enrolled but </w:t>
      </w:r>
      <w:r w:rsidR="00E344B6">
        <w:t xml:space="preserve">was </w:t>
      </w:r>
      <w:r w:rsidR="00E344B6" w:rsidRPr="00BB2FE2">
        <w:t xml:space="preserve">never dosed. </w:t>
      </w:r>
      <w:r w:rsidRPr="00BB2FE2">
        <w:t>Two subjects prematurely discontinued</w:t>
      </w:r>
      <w:r w:rsidR="00E60756">
        <w:t xml:space="preserve"> study drug</w:t>
      </w:r>
      <w:r>
        <w:t>.</w:t>
      </w:r>
      <w:r w:rsidRPr="00BB2FE2">
        <w:t xml:space="preserve"> One subject (Cohort 4) refused the study </w:t>
      </w:r>
      <w:proofErr w:type="gramStart"/>
      <w:r w:rsidRPr="00BB2FE2">
        <w:t>drug</w:t>
      </w:r>
      <w:proofErr w:type="gramEnd"/>
      <w:r w:rsidRPr="00BB2FE2">
        <w:t xml:space="preserve"> and one subject (Cohort 2) experienced a study drug related </w:t>
      </w:r>
      <w:r>
        <w:t>adverse event (</w:t>
      </w:r>
      <w:r w:rsidRPr="00BB2FE2">
        <w:t>AE</w:t>
      </w:r>
      <w:r>
        <w:t>)</w:t>
      </w:r>
      <w:r w:rsidRPr="00BB2FE2">
        <w:t xml:space="preserve"> of erythematous rash. Overall, 78 patients completed the Part 2 study.</w:t>
      </w:r>
    </w:p>
    <w:p w14:paraId="39C9329E" w14:textId="3336443A" w:rsidR="00BB2FE2" w:rsidRPr="00BB2FE2" w:rsidRDefault="00BB2FE2" w:rsidP="00D20985">
      <w:pPr>
        <w:pStyle w:val="Heading5"/>
      </w:pPr>
      <w:r w:rsidRPr="000774B7">
        <w:t>Magnitude of the treatment effect and its clinical significance</w:t>
      </w:r>
    </w:p>
    <w:p w14:paraId="2A8A6BA5" w14:textId="34E9CE42" w:rsidR="00402B2C" w:rsidRPr="00D65163" w:rsidRDefault="00402B2C" w:rsidP="00D65163">
      <w:pPr>
        <w:pStyle w:val="Heading6"/>
      </w:pPr>
      <w:r w:rsidRPr="00D65163">
        <w:t>Primary efficacy endpoint</w:t>
      </w:r>
    </w:p>
    <w:p w14:paraId="0B352050" w14:textId="0E49DCCE" w:rsidR="00BB2FE2" w:rsidRDefault="00BB2FE2" w:rsidP="00BB2FE2">
      <w:r>
        <w:t>Sustained virologic response 12 weeks post end</w:t>
      </w:r>
      <w:r w:rsidR="00B57FA6">
        <w:t xml:space="preserve"> of </w:t>
      </w:r>
      <w:r>
        <w:t xml:space="preserve">treatment </w:t>
      </w:r>
      <w:r w:rsidR="00094251">
        <w:t xml:space="preserve">(SVR12) </w:t>
      </w:r>
      <w:r>
        <w:t>was achieved by 96.3% (77</w:t>
      </w:r>
      <w:r w:rsidR="00094251">
        <w:t> </w:t>
      </w:r>
      <w:r w:rsidR="00B57FA6">
        <w:t xml:space="preserve">out of </w:t>
      </w:r>
      <w:r>
        <w:t xml:space="preserve">80) of the </w:t>
      </w:r>
      <w:r w:rsidR="00B57FA6">
        <w:t>intention to treat (</w:t>
      </w:r>
      <w:r>
        <w:t>ITT</w:t>
      </w:r>
      <w:r w:rsidR="00B57FA6">
        <w:t>)</w:t>
      </w:r>
      <w:r>
        <w:t xml:space="preserve"> population and consistent with adults</w:t>
      </w:r>
      <w:r w:rsidR="00071A0B">
        <w:t xml:space="preserve"> </w:t>
      </w:r>
      <w:r w:rsidR="002007A7">
        <w:t>(</w:t>
      </w:r>
      <w:r w:rsidR="00094251">
        <w:t xml:space="preserve">see </w:t>
      </w:r>
      <w:r w:rsidR="002007A7">
        <w:rPr>
          <w:highlight w:val="yellow"/>
        </w:rPr>
        <w:fldChar w:fldCharType="begin"/>
      </w:r>
      <w:r w:rsidR="002007A7">
        <w:instrText xml:space="preserve"> REF _Ref121838826 \h </w:instrText>
      </w:r>
      <w:r w:rsidR="002007A7">
        <w:rPr>
          <w:highlight w:val="yellow"/>
        </w:rPr>
      </w:r>
      <w:r w:rsidR="002007A7">
        <w:rPr>
          <w:highlight w:val="yellow"/>
        </w:rPr>
        <w:fldChar w:fldCharType="separate"/>
      </w:r>
      <w:r w:rsidR="00051287">
        <w:t xml:space="preserve">Table </w:t>
      </w:r>
      <w:r w:rsidR="00051287">
        <w:rPr>
          <w:noProof/>
        </w:rPr>
        <w:t>5</w:t>
      </w:r>
      <w:r w:rsidR="002007A7">
        <w:rPr>
          <w:highlight w:val="yellow"/>
        </w:rPr>
        <w:fldChar w:fldCharType="end"/>
      </w:r>
      <w:r w:rsidR="002007A7">
        <w:t>)</w:t>
      </w:r>
      <w:r>
        <w:t>.</w:t>
      </w:r>
    </w:p>
    <w:p w14:paraId="10254753" w14:textId="2E3C1055" w:rsidR="00BB2FE2" w:rsidRDefault="00BB2FE2" w:rsidP="00BB2FE2">
      <w:r>
        <w:t>In Cohort 2, one Asian patient experienced virologic relapse by 12 weeks post treatment, and one patient prematurely discontinued</w:t>
      </w:r>
      <w:r w:rsidR="00074AB7">
        <w:t xml:space="preserve"> study treatment</w:t>
      </w:r>
      <w:r>
        <w:t xml:space="preserve"> due to a rash (rash on Day 1; discontin</w:t>
      </w:r>
      <w:r>
        <w:lastRenderedPageBreak/>
        <w:t xml:space="preserve">ued on Day 4). All other patients achieved </w:t>
      </w:r>
      <w:r w:rsidR="00FD2B36">
        <w:t>SVR12</w:t>
      </w:r>
      <w:r>
        <w:t xml:space="preserve">. In </w:t>
      </w:r>
      <w:r w:rsidR="00B57FA6">
        <w:t>C</w:t>
      </w:r>
      <w:r>
        <w:t xml:space="preserve">ohort 3, all patients achieved </w:t>
      </w:r>
      <w:r w:rsidR="00FD2B36">
        <w:t>SVR12</w:t>
      </w:r>
      <w:r>
        <w:t xml:space="preserve">. In </w:t>
      </w:r>
      <w:r w:rsidR="00B57FA6">
        <w:t>C</w:t>
      </w:r>
      <w:r>
        <w:t xml:space="preserve">ohort 4, one patient refused the study drug. All other patients achieved </w:t>
      </w:r>
      <w:r w:rsidR="00D65163">
        <w:t>SVR12</w:t>
      </w:r>
      <w:r>
        <w:t>. No Part 2 subjects on the final 50</w:t>
      </w:r>
      <w:r w:rsidR="00D65163">
        <w:t> </w:t>
      </w:r>
      <w:r>
        <w:t>mg/20</w:t>
      </w:r>
      <w:r w:rsidR="00B57FA6">
        <w:t> </w:t>
      </w:r>
      <w:r>
        <w:t>mg dose ratio experienced virologic failure.</w:t>
      </w:r>
    </w:p>
    <w:p w14:paraId="089A8894" w14:textId="605C76DC" w:rsidR="00BB2FE2" w:rsidRDefault="00BB2FE2" w:rsidP="00BB2FE2">
      <w:r>
        <w:t xml:space="preserve">The results of the </w:t>
      </w:r>
      <w:r w:rsidR="00FD2B36">
        <w:t xml:space="preserve">SVR12 </w:t>
      </w:r>
      <w:r>
        <w:t>endpoint (77</w:t>
      </w:r>
      <w:r w:rsidR="007F59CB">
        <w:t xml:space="preserve"> out </w:t>
      </w:r>
      <w:r w:rsidR="007F59CB" w:rsidRPr="00A05B63">
        <w:t xml:space="preserve">of </w:t>
      </w:r>
      <w:r w:rsidRPr="00A05B63">
        <w:t xml:space="preserve">80) are generally supported by the </w:t>
      </w:r>
      <w:r w:rsidR="00A05B63" w:rsidRPr="00A05B63">
        <w:t>sustained virologic response for 24 weeks post treatment (</w:t>
      </w:r>
      <w:r w:rsidRPr="00A05B63">
        <w:t>SVR24</w:t>
      </w:r>
      <w:r w:rsidR="00A05B63" w:rsidRPr="00A05B63">
        <w:t>)</w:t>
      </w:r>
      <w:r>
        <w:t xml:space="preserve"> endpoint: 89.6% (43</w:t>
      </w:r>
      <w:r w:rsidR="007F59CB">
        <w:t xml:space="preserve"> </w:t>
      </w:r>
      <w:r w:rsidR="00FD2B36">
        <w:t xml:space="preserve">out of </w:t>
      </w:r>
      <w:r>
        <w:t>48) (</w:t>
      </w:r>
      <w:r w:rsidR="00094251">
        <w:t xml:space="preserve">see </w:t>
      </w:r>
      <w:r w:rsidR="00707DB7">
        <w:rPr>
          <w:highlight w:val="yellow"/>
        </w:rPr>
        <w:fldChar w:fldCharType="begin"/>
      </w:r>
      <w:r w:rsidR="00707DB7">
        <w:instrText xml:space="preserve"> REF _Ref121838842 \h </w:instrText>
      </w:r>
      <w:r w:rsidR="00707DB7">
        <w:rPr>
          <w:highlight w:val="yellow"/>
        </w:rPr>
      </w:r>
      <w:r w:rsidR="00707DB7">
        <w:rPr>
          <w:highlight w:val="yellow"/>
        </w:rPr>
        <w:fldChar w:fldCharType="separate"/>
      </w:r>
      <w:r w:rsidR="00051287" w:rsidRPr="00A05B63">
        <w:t xml:space="preserve">Table </w:t>
      </w:r>
      <w:r w:rsidR="00051287">
        <w:rPr>
          <w:noProof/>
        </w:rPr>
        <w:t>6</w:t>
      </w:r>
      <w:r w:rsidR="00707DB7">
        <w:rPr>
          <w:highlight w:val="yellow"/>
        </w:rPr>
        <w:fldChar w:fldCharType="end"/>
      </w:r>
      <w:r w:rsidR="00094251">
        <w:t>, below</w:t>
      </w:r>
      <w:r>
        <w:t>).</w:t>
      </w:r>
    </w:p>
    <w:p w14:paraId="68B5116F" w14:textId="441DCA3C" w:rsidR="00707DB7" w:rsidRDefault="00707DB7" w:rsidP="00FA35F9">
      <w:pPr>
        <w:pStyle w:val="Tabletitle0"/>
        <w:rPr>
          <w:bCs/>
          <w:lang w:val="en-CA"/>
        </w:rPr>
      </w:pPr>
      <w:bookmarkStart w:id="48" w:name="_Ref121838826"/>
      <w:r>
        <w:t xml:space="preserve">Table </w:t>
      </w:r>
      <w:r w:rsidR="00A42754">
        <w:fldChar w:fldCharType="begin"/>
      </w:r>
      <w:r w:rsidR="00A42754">
        <w:instrText xml:space="preserve"> SEQ Table \* ARABIC </w:instrText>
      </w:r>
      <w:r w:rsidR="00A42754">
        <w:fldChar w:fldCharType="separate"/>
      </w:r>
      <w:r w:rsidR="00051287">
        <w:rPr>
          <w:noProof/>
        </w:rPr>
        <w:t>5</w:t>
      </w:r>
      <w:r w:rsidR="00A42754">
        <w:rPr>
          <w:noProof/>
        </w:rPr>
        <w:fldChar w:fldCharType="end"/>
      </w:r>
      <w:bookmarkEnd w:id="48"/>
      <w:r>
        <w:t xml:space="preserve">: </w:t>
      </w:r>
      <w:r w:rsidR="00094251">
        <w:t>Study M16-123 (</w:t>
      </w:r>
      <w:r>
        <w:rPr>
          <w:bCs/>
          <w:lang w:val="en-CA"/>
        </w:rPr>
        <w:t xml:space="preserve">DORA </w:t>
      </w:r>
      <w:r w:rsidR="00B02322">
        <w:rPr>
          <w:bCs/>
          <w:lang w:val="en-CA"/>
        </w:rPr>
        <w:t>trial</w:t>
      </w:r>
      <w:r w:rsidR="00094251">
        <w:rPr>
          <w:bCs/>
          <w:lang w:val="en-CA"/>
        </w:rPr>
        <w:t>,</w:t>
      </w:r>
      <w:r w:rsidR="00B02322">
        <w:rPr>
          <w:bCs/>
          <w:lang w:val="en-CA"/>
        </w:rPr>
        <w:t xml:space="preserve"> </w:t>
      </w:r>
      <w:r w:rsidR="00071A0B">
        <w:rPr>
          <w:bCs/>
          <w:lang w:val="en-CA"/>
        </w:rPr>
        <w:t>P</w:t>
      </w:r>
      <w:r>
        <w:rPr>
          <w:bCs/>
          <w:lang w:val="en-CA"/>
        </w:rPr>
        <w:t xml:space="preserve">art </w:t>
      </w:r>
      <w:r w:rsidR="00FA35F9">
        <w:rPr>
          <w:bCs/>
          <w:lang w:val="en-CA"/>
        </w:rPr>
        <w:t>2</w:t>
      </w:r>
      <w:r w:rsidR="00094251">
        <w:rPr>
          <w:bCs/>
          <w:lang w:val="en-CA"/>
        </w:rPr>
        <w:t>)</w:t>
      </w:r>
      <w:r w:rsidR="00B02322">
        <w:rPr>
          <w:bCs/>
          <w:lang w:val="en-CA"/>
        </w:rPr>
        <w:t xml:space="preserve"> </w:t>
      </w:r>
      <w:r w:rsidR="00094251">
        <w:rPr>
          <w:bCs/>
          <w:lang w:val="en-CA"/>
        </w:rPr>
        <w:t>P</w:t>
      </w:r>
      <w:r>
        <w:rPr>
          <w:bCs/>
          <w:lang w:val="en-CA"/>
        </w:rPr>
        <w:t xml:space="preserve">rimary efficacy endpoint: </w:t>
      </w:r>
      <w:r>
        <w:t>sustained virologic response for 12 weeks post treatment</w:t>
      </w:r>
      <w:r w:rsidR="00FA35F9">
        <w:rPr>
          <w:bCs/>
          <w:lang w:val="en-CA"/>
        </w:rPr>
        <w:t xml:space="preserve"> in </w:t>
      </w:r>
      <w:r>
        <w:rPr>
          <w:bCs/>
          <w:lang w:val="en-CA"/>
        </w:rPr>
        <w:t xml:space="preserve">intention to </w:t>
      </w:r>
      <w:r w:rsidR="0057362F">
        <w:rPr>
          <w:bCs/>
          <w:lang w:val="en-CA"/>
        </w:rPr>
        <w:t xml:space="preserve">treat </w:t>
      </w:r>
      <w:r>
        <w:rPr>
          <w:bCs/>
          <w:lang w:val="en-CA"/>
        </w:rPr>
        <w:t>p</w:t>
      </w:r>
      <w:r w:rsidRPr="00D44D44">
        <w:rPr>
          <w:bCs/>
          <w:lang w:val="en-CA"/>
        </w:rPr>
        <w:t>opulation</w:t>
      </w:r>
    </w:p>
    <w:p w14:paraId="16C3E839" w14:textId="74FE256A" w:rsidR="00707DB7" w:rsidRDefault="00707DB7" w:rsidP="00707DB7">
      <w:pPr>
        <w:rPr>
          <w:lang w:val="en-CA"/>
        </w:rPr>
      </w:pPr>
      <w:r>
        <w:rPr>
          <w:noProof/>
          <w:lang w:val="en-GB" w:eastAsia="en-GB"/>
        </w:rPr>
        <w:drawing>
          <wp:inline distT="0" distB="0" distL="0" distR="0" wp14:anchorId="1073C27B" wp14:editId="3B70C3C7">
            <wp:extent cx="5372100" cy="2609850"/>
            <wp:effectExtent l="0" t="0" r="0" b="0"/>
            <wp:docPr id="8" name="Picture 8" descr="Study M16-123 (DORA trial, Part 2) Primary efficacy endpoint: sustained virologic response for 12 weeks post treatment in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udy M16-123 (DORA trial, Part 2) Primary efficacy endpoint: sustained virologic response for 12 weeks post treatment in intention to treat population"/>
                    <pic:cNvPicPr>
                      <a:picLocks noChangeAspect="1" noChangeArrowheads="1"/>
                    </pic:cNvPicPr>
                  </pic:nvPicPr>
                  <pic:blipFill rotWithShape="1">
                    <a:blip r:embed="rId23">
                      <a:extLst>
                        <a:ext uri="{28A0092B-C50C-407E-A947-70E740481C1C}">
                          <a14:useLocalDpi xmlns:a14="http://schemas.microsoft.com/office/drawing/2010/main" val="0"/>
                        </a:ext>
                      </a:extLst>
                    </a:blip>
                    <a:srcRect r="4763" b="6481"/>
                    <a:stretch/>
                  </pic:blipFill>
                  <pic:spPr bwMode="auto">
                    <a:xfrm>
                      <a:off x="0" y="0"/>
                      <a:ext cx="5389328" cy="2618220"/>
                    </a:xfrm>
                    <a:prstGeom prst="rect">
                      <a:avLst/>
                    </a:prstGeom>
                    <a:noFill/>
                    <a:ln>
                      <a:noFill/>
                    </a:ln>
                    <a:extLst>
                      <a:ext uri="{53640926-AAD7-44D8-BBD7-CCE9431645EC}">
                        <a14:shadowObscured xmlns:a14="http://schemas.microsoft.com/office/drawing/2010/main"/>
                      </a:ext>
                    </a:extLst>
                  </pic:spPr>
                </pic:pic>
              </a:graphicData>
            </a:graphic>
          </wp:inline>
        </w:drawing>
      </w:r>
    </w:p>
    <w:p w14:paraId="41D14864" w14:textId="19638D77" w:rsidR="00707DB7" w:rsidRPr="005524BD" w:rsidRDefault="00094251" w:rsidP="0012664A">
      <w:pPr>
        <w:pStyle w:val="TableDescription"/>
      </w:pPr>
      <w:r w:rsidRPr="005524BD">
        <w:t xml:space="preserve">Abbreviations: </w:t>
      </w:r>
      <w:r w:rsidR="00707DB7" w:rsidRPr="005524BD">
        <w:t>CI (confidence interval), EOT (end of treatment), HCV (hepatitis C virus), ITT (intention to t</w:t>
      </w:r>
      <w:r w:rsidR="00B57FA6" w:rsidRPr="005524BD">
        <w:t>reat</w:t>
      </w:r>
      <w:r w:rsidR="00707DB7" w:rsidRPr="005524BD">
        <w:t>), SVR12 (sustained virologic response for 12 weeks post treatment).</w:t>
      </w:r>
    </w:p>
    <w:p w14:paraId="20CC0D14" w14:textId="091F5A06" w:rsidR="00707DB7" w:rsidRDefault="00707DB7" w:rsidP="00FA35F9">
      <w:pPr>
        <w:pStyle w:val="Tabletitle0"/>
      </w:pPr>
      <w:bookmarkStart w:id="49" w:name="_Ref121838842"/>
      <w:r w:rsidRPr="00A05B63">
        <w:t xml:space="preserve">Table </w:t>
      </w:r>
      <w:r w:rsidR="00A42754">
        <w:fldChar w:fldCharType="begin"/>
      </w:r>
      <w:r w:rsidR="00A42754">
        <w:instrText xml:space="preserve"> SEQ Table \* ARABIC </w:instrText>
      </w:r>
      <w:r w:rsidR="00A42754">
        <w:fldChar w:fldCharType="separate"/>
      </w:r>
      <w:r w:rsidR="00051287">
        <w:rPr>
          <w:noProof/>
        </w:rPr>
        <w:t>6</w:t>
      </w:r>
      <w:r w:rsidR="00A42754">
        <w:rPr>
          <w:noProof/>
        </w:rPr>
        <w:fldChar w:fldCharType="end"/>
      </w:r>
      <w:bookmarkEnd w:id="49"/>
      <w:r w:rsidRPr="00A05B63">
        <w:t xml:space="preserve">: </w:t>
      </w:r>
      <w:r w:rsidR="00094251">
        <w:t>Study M16-123 (</w:t>
      </w:r>
      <w:r w:rsidRPr="00A05B63">
        <w:t xml:space="preserve">DORA </w:t>
      </w:r>
      <w:r w:rsidR="00B02322">
        <w:t>trial</w:t>
      </w:r>
      <w:r w:rsidR="00094251">
        <w:t>,</w:t>
      </w:r>
      <w:r w:rsidR="00B02322">
        <w:t xml:space="preserve"> </w:t>
      </w:r>
      <w:r w:rsidR="00071A0B">
        <w:t>P</w:t>
      </w:r>
      <w:r w:rsidRPr="00A05B63">
        <w:t>art 2</w:t>
      </w:r>
      <w:r w:rsidR="00094251">
        <w:t>)</w:t>
      </w:r>
      <w:r w:rsidR="00B02322">
        <w:t xml:space="preserve"> </w:t>
      </w:r>
      <w:r w:rsidR="00094251">
        <w:t>O</w:t>
      </w:r>
      <w:r w:rsidRPr="00A05B63">
        <w:t xml:space="preserve">ther efficacy endpoint: </w:t>
      </w:r>
      <w:r w:rsidR="00A05B63" w:rsidRPr="00A05B63">
        <w:t xml:space="preserve">sustained virologic response for </w:t>
      </w:r>
      <w:r w:rsidRPr="00A05B63">
        <w:t>24</w:t>
      </w:r>
      <w:r w:rsidR="00A05B63" w:rsidRPr="00A05B63">
        <w:t xml:space="preserve"> weeks post treatment</w:t>
      </w:r>
      <w:r w:rsidRPr="00A05B63">
        <w:t xml:space="preserve"> </w:t>
      </w:r>
      <w:r w:rsidR="00A05B63" w:rsidRPr="00A05B63">
        <w:t xml:space="preserve">in </w:t>
      </w:r>
      <w:r w:rsidRPr="00A05B63">
        <w:t xml:space="preserve">intention to </w:t>
      </w:r>
      <w:r w:rsidR="0057362F">
        <w:t>treat</w:t>
      </w:r>
      <w:r w:rsidRPr="00A05B63">
        <w:t xml:space="preserve"> population </w:t>
      </w:r>
      <w:r w:rsidR="00A05B63" w:rsidRPr="00A05B63">
        <w:t xml:space="preserve">intensive pharmacokinetic </w:t>
      </w:r>
      <w:r w:rsidRPr="00A05B63">
        <w:t>subjects only</w:t>
      </w:r>
      <w:r w:rsidR="00A05B63" w:rsidRPr="00A05B63">
        <w:t>.</w:t>
      </w:r>
    </w:p>
    <w:p w14:paraId="7FE5ECD6" w14:textId="4C0A888D" w:rsidR="00707DB7" w:rsidRDefault="00F13A72" w:rsidP="00707DB7">
      <w:r>
        <w:rPr>
          <w:noProof/>
          <w:lang w:val="en-GB" w:eastAsia="en-GB"/>
        </w:rPr>
        <w:drawing>
          <wp:inline distT="0" distB="0" distL="0" distR="0" wp14:anchorId="32384588" wp14:editId="24F717ED">
            <wp:extent cx="5366852" cy="1694815"/>
            <wp:effectExtent l="0" t="0" r="5715" b="635"/>
            <wp:docPr id="12" name="Picture 12" descr="Study M16-123 (DORA trial, Part 2) Other efficacy endpoint: sustained virologic response for 24 weeks post treatment in intention to treat population intensive pharmacokinetic subjec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udy M16-123 (DORA trial, Part 2) Other efficacy endpoint: sustained virologic response for 24 weeks post treatment in intention to treat population intensive pharmacokinetic subjects only."/>
                    <pic:cNvPicPr>
                      <a:picLocks noChangeAspect="1" noChangeArrowheads="1"/>
                    </pic:cNvPicPr>
                  </pic:nvPicPr>
                  <pic:blipFill rotWithShape="1">
                    <a:blip r:embed="rId24">
                      <a:extLst>
                        <a:ext uri="{28A0092B-C50C-407E-A947-70E740481C1C}">
                          <a14:useLocalDpi xmlns:a14="http://schemas.microsoft.com/office/drawing/2010/main" val="0"/>
                        </a:ext>
                      </a:extLst>
                    </a:blip>
                    <a:srcRect l="1426"/>
                    <a:stretch/>
                  </pic:blipFill>
                  <pic:spPr bwMode="auto">
                    <a:xfrm>
                      <a:off x="0" y="0"/>
                      <a:ext cx="5366852" cy="1694815"/>
                    </a:xfrm>
                    <a:prstGeom prst="rect">
                      <a:avLst/>
                    </a:prstGeom>
                    <a:noFill/>
                    <a:ln>
                      <a:noFill/>
                    </a:ln>
                    <a:extLst>
                      <a:ext uri="{53640926-AAD7-44D8-BBD7-CCE9431645EC}">
                        <a14:shadowObscured xmlns:a14="http://schemas.microsoft.com/office/drawing/2010/main"/>
                      </a:ext>
                    </a:extLst>
                  </pic:spPr>
                </pic:pic>
              </a:graphicData>
            </a:graphic>
          </wp:inline>
        </w:drawing>
      </w:r>
    </w:p>
    <w:p w14:paraId="1B7050FB" w14:textId="011726F9" w:rsidR="0012664A" w:rsidRDefault="0012664A" w:rsidP="005524BD">
      <w:pPr>
        <w:pStyle w:val="TableDescription"/>
      </w:pPr>
      <w:r w:rsidRPr="00FE1EC6">
        <w:t xml:space="preserve">Abbreviations: CI (confidence interval), HCV (hepatitis C virus), ITT (intention to treat), </w:t>
      </w:r>
      <w:r>
        <w:t>SVR24</w:t>
      </w:r>
      <w:r w:rsidRPr="00FE1EC6">
        <w:t xml:space="preserve"> (sus</w:t>
      </w:r>
      <w:r>
        <w:t>tained virologic response for 24</w:t>
      </w:r>
      <w:r w:rsidRPr="00FE1EC6">
        <w:t xml:space="preserve"> weeks post treatment).</w:t>
      </w:r>
    </w:p>
    <w:p w14:paraId="729E5C41" w14:textId="32E93DEE" w:rsidR="00707DB7" w:rsidRPr="00094251" w:rsidRDefault="00707DB7" w:rsidP="005524BD">
      <w:pPr>
        <w:pStyle w:val="TableDescription"/>
      </w:pPr>
      <w:r w:rsidRPr="0012664A">
        <w:lastRenderedPageBreak/>
        <w:t>Cohort 1: 12 to less than 18 year</w:t>
      </w:r>
      <w:r w:rsidR="00FD2B36" w:rsidRPr="0012664A">
        <w:t>s</w:t>
      </w:r>
      <w:r w:rsidRPr="0012664A">
        <w:t xml:space="preserve"> old</w:t>
      </w:r>
      <w:r w:rsidR="0012664A">
        <w:t xml:space="preserve">; </w:t>
      </w:r>
      <w:r w:rsidRPr="0012664A">
        <w:t>Cohort 2: 9 to less than 12 years old</w:t>
      </w:r>
      <w:r w:rsidR="0012664A">
        <w:t xml:space="preserve">; </w:t>
      </w:r>
      <w:r w:rsidRPr="0012664A">
        <w:t>Cohort 3: 6 to les</w:t>
      </w:r>
      <w:r w:rsidR="00F13A72" w:rsidRPr="0012664A">
        <w:t>s</w:t>
      </w:r>
      <w:r w:rsidRPr="0012664A">
        <w:t xml:space="preserve"> than 12 years old</w:t>
      </w:r>
      <w:r w:rsidR="0012664A">
        <w:t xml:space="preserve">; </w:t>
      </w:r>
      <w:r w:rsidRPr="00094251">
        <w:t>Cohort 4: 3 to less than 6 years old</w:t>
      </w:r>
    </w:p>
    <w:p w14:paraId="58C26D40" w14:textId="3D6E9551" w:rsidR="00707DB7" w:rsidRPr="00094251" w:rsidRDefault="00FD2B36" w:rsidP="005524BD">
      <w:pPr>
        <w:pStyle w:val="TableDescription"/>
      </w:pPr>
      <w:r w:rsidRPr="00094251">
        <w:t>SVR24 – HCV RNA less than</w:t>
      </w:r>
      <w:r w:rsidR="00A05B63" w:rsidRPr="00094251">
        <w:t xml:space="preserve"> lower limit of quantification</w:t>
      </w:r>
      <w:r w:rsidRPr="00094251">
        <w:t xml:space="preserve"> </w:t>
      </w:r>
      <w:r w:rsidR="00A05B63" w:rsidRPr="00094251">
        <w:t>(</w:t>
      </w:r>
      <w:r w:rsidRPr="00094251">
        <w:t>LLOQ</w:t>
      </w:r>
      <w:r w:rsidR="00A05B63" w:rsidRPr="00094251">
        <w:t>)</w:t>
      </w:r>
      <w:r w:rsidRPr="00094251">
        <w:t xml:space="preserve"> in the SVR 24 window (24 weeks after the last actual dose of the study drug) without any confirmed quantifiable (greater than or equal to LLOQ) post treatment value before or during the SVR window.</w:t>
      </w:r>
    </w:p>
    <w:p w14:paraId="1DC2D0A4" w14:textId="674FAAFB" w:rsidR="00FD2B36" w:rsidRPr="00094251" w:rsidRDefault="00FD2B36" w:rsidP="005524BD">
      <w:pPr>
        <w:pStyle w:val="TableDescription"/>
      </w:pPr>
      <w:r w:rsidRPr="00094251">
        <w:t>Note: Backward imputation, where applicable, was used to impute missing data. After applying backward imputation, if there is still no value in the window but there is an HCV RNA value from a local laboratory present, then it will be imputed into the SVR window. Otherwise, subjects with missing data are counted as failures.</w:t>
      </w:r>
    </w:p>
    <w:p w14:paraId="0465AC39" w14:textId="7E0029C7" w:rsidR="00FD2B36" w:rsidRPr="00094251" w:rsidRDefault="00FD2B36" w:rsidP="005524BD">
      <w:pPr>
        <w:pStyle w:val="TableDescription"/>
      </w:pPr>
      <w:r w:rsidRPr="00094251">
        <w:t>@ CI – confidence interval calculated using Wilson’s score method.</w:t>
      </w:r>
    </w:p>
    <w:p w14:paraId="48F8455C" w14:textId="22E4F4A1" w:rsidR="00707DB7" w:rsidRPr="00BB2FE2" w:rsidRDefault="00707DB7" w:rsidP="00D20985">
      <w:pPr>
        <w:pStyle w:val="Heading5"/>
      </w:pPr>
      <w:r>
        <w:t>Sensitivity analyses</w:t>
      </w:r>
    </w:p>
    <w:p w14:paraId="3BDF4FDE" w14:textId="7B7915A5" w:rsidR="00402B2C" w:rsidRPr="00F22C04" w:rsidRDefault="00402B2C" w:rsidP="00F22C04">
      <w:pPr>
        <w:pStyle w:val="Heading6"/>
      </w:pPr>
      <w:r w:rsidRPr="00F22C04">
        <w:t>Initially proposed dose versus final dose</w:t>
      </w:r>
      <w:r w:rsidR="00FD2B36" w:rsidRPr="00F22C04">
        <w:t xml:space="preserve"> (further stratified by </w:t>
      </w:r>
      <w:proofErr w:type="gramStart"/>
      <w:r w:rsidR="00FD2B36" w:rsidRPr="00F22C04">
        <w:t>weight</w:t>
      </w:r>
      <w:r w:rsidR="00B57FA6" w:rsidRPr="00F22C04">
        <w:t xml:space="preserve"> </w:t>
      </w:r>
      <w:r w:rsidR="00FD2B36" w:rsidRPr="00F22C04">
        <w:t>based</w:t>
      </w:r>
      <w:proofErr w:type="gramEnd"/>
      <w:r w:rsidR="00FD2B36" w:rsidRPr="00F22C04">
        <w:t xml:space="preserve"> dosing)</w:t>
      </w:r>
    </w:p>
    <w:p w14:paraId="3A2972F4" w14:textId="1A8FF9A6" w:rsidR="00FD2B36" w:rsidRDefault="00FD2B36" w:rsidP="00FD2B36">
      <w:pPr>
        <w:pStyle w:val="ListBullet"/>
      </w:pPr>
      <w:r>
        <w:t>For subjects on the initial 40 mg/15 mg dose ratio: the SVR12</w:t>
      </w:r>
      <w:r w:rsidR="009A2721">
        <w:t xml:space="preserve"> rate</w:t>
      </w:r>
      <w:r>
        <w:t xml:space="preserve"> was 88.9% (16 out of 18) </w:t>
      </w:r>
      <w:r w:rsidR="0012664A">
        <w:t>(</w:t>
      </w:r>
      <w:r>
        <w:t>95% CI: 67.2%, 96.9%</w:t>
      </w:r>
      <w:r w:rsidR="0012664A">
        <w:t>)</w:t>
      </w:r>
      <w:r>
        <w:t>.</w:t>
      </w:r>
    </w:p>
    <w:p w14:paraId="632BD65A" w14:textId="206910A6" w:rsidR="00FD2B36" w:rsidRDefault="00FD2B36" w:rsidP="00FD2B36">
      <w:pPr>
        <w:pStyle w:val="ListBullet"/>
      </w:pPr>
      <w:r>
        <w:t xml:space="preserve">For subjects on the final 50 mg/20 mg dose ratio: the SVR12 </w:t>
      </w:r>
      <w:r w:rsidR="009A2721">
        <w:t xml:space="preserve">rate </w:t>
      </w:r>
      <w:r>
        <w:t>was:</w:t>
      </w:r>
    </w:p>
    <w:p w14:paraId="23CB2120" w14:textId="03E1886E" w:rsidR="00FD2B36" w:rsidRDefault="00FD2B36" w:rsidP="00FD2B36">
      <w:pPr>
        <w:pStyle w:val="ListBullet2"/>
      </w:pPr>
      <w:r>
        <w:t xml:space="preserve">95.8% (23 out of 24) </w:t>
      </w:r>
      <w:r w:rsidR="0012664A">
        <w:t>(</w:t>
      </w:r>
      <w:r>
        <w:t>95% CI: 79.8%, 99.3%</w:t>
      </w:r>
      <w:r w:rsidR="0012664A">
        <w:t>)</w:t>
      </w:r>
      <w:r>
        <w:t xml:space="preserve"> for the </w:t>
      </w:r>
      <w:r w:rsidR="00121E86">
        <w:t>250 mg g</w:t>
      </w:r>
      <w:r w:rsidR="00121E86" w:rsidRPr="00786397">
        <w:t>lecaprevir</w:t>
      </w:r>
      <w:r>
        <w:t xml:space="preserve"> and </w:t>
      </w:r>
      <w:r w:rsidR="00121E86">
        <w:t xml:space="preserve">100 mg </w:t>
      </w:r>
      <w:r w:rsidR="00605660" w:rsidRPr="00DB42E3">
        <w:t>pibrentasvir</w:t>
      </w:r>
      <w:r>
        <w:t xml:space="preserve"> dose</w:t>
      </w:r>
      <w:r w:rsidR="00B57FA6">
        <w:t>.</w:t>
      </w:r>
    </w:p>
    <w:p w14:paraId="42C287B7" w14:textId="4D9B0777" w:rsidR="00FD2B36" w:rsidRDefault="00FD2B36" w:rsidP="00FD2B36">
      <w:pPr>
        <w:pStyle w:val="ListBullet2"/>
      </w:pPr>
      <w:r>
        <w:t xml:space="preserve">100% (21 out of 21) </w:t>
      </w:r>
      <w:r w:rsidR="0012664A">
        <w:t>(</w:t>
      </w:r>
      <w:r>
        <w:t>95% CI: 84.5%, 100.0%</w:t>
      </w:r>
      <w:r w:rsidR="0012664A">
        <w:t>)</w:t>
      </w:r>
      <w:r>
        <w:t xml:space="preserve"> for the </w:t>
      </w:r>
      <w:r w:rsidR="00121E86">
        <w:t>200 mg g</w:t>
      </w:r>
      <w:r w:rsidR="00121E86" w:rsidRPr="00786397">
        <w:t>lecaprevir</w:t>
      </w:r>
      <w:r>
        <w:t xml:space="preserve"> and </w:t>
      </w:r>
      <w:r w:rsidR="00121E86">
        <w:t xml:space="preserve">80 mg </w:t>
      </w:r>
      <w:r w:rsidR="00605660" w:rsidRPr="00DB42E3">
        <w:t>pibrentasvir</w:t>
      </w:r>
      <w:r>
        <w:t xml:space="preserve"> dose</w:t>
      </w:r>
      <w:r w:rsidR="00B57FA6">
        <w:t>.</w:t>
      </w:r>
    </w:p>
    <w:p w14:paraId="19B127AE" w14:textId="1F409425" w:rsidR="00FD2B36" w:rsidRPr="00FD2B36" w:rsidRDefault="00FD2B36" w:rsidP="00FD2B36">
      <w:pPr>
        <w:pStyle w:val="ListBullet2"/>
      </w:pPr>
      <w:r>
        <w:t xml:space="preserve">100% (17 out of 17) </w:t>
      </w:r>
      <w:r w:rsidR="0012664A">
        <w:t>(</w:t>
      </w:r>
      <w:r>
        <w:t>95% CI: 81.6%, 100.0%</w:t>
      </w:r>
      <w:r w:rsidR="0012664A">
        <w:t>)</w:t>
      </w:r>
      <w:r>
        <w:t xml:space="preserve"> for the </w:t>
      </w:r>
      <w:r w:rsidR="00121E86">
        <w:t>150 mg g</w:t>
      </w:r>
      <w:r w:rsidR="00121E86" w:rsidRPr="00786397">
        <w:t>lecaprevir</w:t>
      </w:r>
      <w:r>
        <w:t xml:space="preserve"> and </w:t>
      </w:r>
      <w:r w:rsidR="00121E86">
        <w:t xml:space="preserve">60 mg </w:t>
      </w:r>
      <w:r w:rsidR="00605660" w:rsidRPr="00DB42E3">
        <w:t>pibrentasvir</w:t>
      </w:r>
      <w:r>
        <w:t xml:space="preserve"> dose.</w:t>
      </w:r>
    </w:p>
    <w:p w14:paraId="41DFBAD4" w14:textId="3D63479F" w:rsidR="00402B2C" w:rsidRPr="00F22C04" w:rsidRDefault="00402B2C" w:rsidP="00F22C04">
      <w:pPr>
        <w:pStyle w:val="Heading6"/>
      </w:pPr>
      <w:r w:rsidRPr="00F22C04">
        <w:t>Japanese subjects compared to non</w:t>
      </w:r>
      <w:r w:rsidR="00D20985" w:rsidRPr="00F22C04">
        <w:t>-</w:t>
      </w:r>
      <w:r w:rsidRPr="00F22C04">
        <w:t>Japanese subjects</w:t>
      </w:r>
    </w:p>
    <w:p w14:paraId="264F0B27" w14:textId="6401D771" w:rsidR="007F59CB" w:rsidRPr="007F59CB" w:rsidRDefault="007F59CB" w:rsidP="007F59CB">
      <w:r>
        <w:t>A</w:t>
      </w:r>
      <w:r w:rsidRPr="007F59CB">
        <w:t>ll 13 of the Japanese subjects (100%) achieved SVR12. No difference in efficacy was observed.</w:t>
      </w:r>
    </w:p>
    <w:p w14:paraId="559CC3B2" w14:textId="35B2FBB8" w:rsidR="00402B2C" w:rsidRPr="00F22C04" w:rsidRDefault="00402B2C" w:rsidP="00F22C04">
      <w:pPr>
        <w:pStyle w:val="Heading6"/>
      </w:pPr>
      <w:r w:rsidRPr="00F22C04">
        <w:t>Baseline polymorphisms</w:t>
      </w:r>
    </w:p>
    <w:p w14:paraId="2E6F8A60" w14:textId="3C9E67FF" w:rsidR="007F59CB" w:rsidRDefault="007F59CB" w:rsidP="007F59CB">
      <w:r w:rsidRPr="007F59CB">
        <w:t>There was no definite evidence that baseline polymorphisms had an impact on treatment outcome.</w:t>
      </w:r>
    </w:p>
    <w:p w14:paraId="24087C3A" w14:textId="28FA8D04" w:rsidR="00FA35F9" w:rsidRDefault="00FA35F9" w:rsidP="00FA35F9">
      <w:pPr>
        <w:pStyle w:val="Heading4"/>
      </w:pPr>
      <w:r>
        <w:t>Safety</w:t>
      </w:r>
    </w:p>
    <w:p w14:paraId="2F009909" w14:textId="78963690" w:rsidR="00FA35F9" w:rsidRDefault="00FA35F9" w:rsidP="00FA35F9">
      <w:r w:rsidRPr="00FA35F9">
        <w:t xml:space="preserve">Safety data are based on </w:t>
      </w:r>
      <w:r w:rsidR="0012664A">
        <w:t>Study M16-123 (</w:t>
      </w:r>
      <w:r w:rsidRPr="00FA35F9">
        <w:t xml:space="preserve">the DORA </w:t>
      </w:r>
      <w:r w:rsidR="00B02322">
        <w:t>trial</w:t>
      </w:r>
      <w:r w:rsidR="0012664A">
        <w:t>)</w:t>
      </w:r>
      <w:r w:rsidRPr="00FA35F9">
        <w:t xml:space="preserve">, as this was </w:t>
      </w:r>
      <w:r>
        <w:t xml:space="preserve">the </w:t>
      </w:r>
      <w:r w:rsidRPr="00FA35F9">
        <w:t xml:space="preserve">only study in the target population </w:t>
      </w:r>
      <w:proofErr w:type="gramStart"/>
      <w:r w:rsidRPr="00FA35F9">
        <w:t>and also</w:t>
      </w:r>
      <w:proofErr w:type="gramEnd"/>
      <w:r w:rsidRPr="00FA35F9">
        <w:t xml:space="preserve"> used for pharmacology data.</w:t>
      </w:r>
    </w:p>
    <w:p w14:paraId="4D4B3D30" w14:textId="1A3F040C" w:rsidR="00FA35F9" w:rsidRDefault="00FA35F9" w:rsidP="00FA35F9">
      <w:pPr>
        <w:pStyle w:val="Heading5"/>
      </w:pPr>
      <w:r>
        <w:lastRenderedPageBreak/>
        <w:t>Exposure</w:t>
      </w:r>
    </w:p>
    <w:p w14:paraId="7E8AFE9F" w14:textId="7B2B5B26" w:rsidR="00FA35F9" w:rsidRDefault="00FA35F9" w:rsidP="00FA35F9">
      <w:r w:rsidRPr="00FA35F9">
        <w:t xml:space="preserve">Most patients received treatment for </w:t>
      </w:r>
      <w:r w:rsidR="005124DE">
        <w:t>eight</w:t>
      </w:r>
      <w:r w:rsidRPr="00FA35F9">
        <w:t xml:space="preserve"> weeks across all cohorts, with only a limited number exposed to 12</w:t>
      </w:r>
      <w:r w:rsidR="005124DE">
        <w:t xml:space="preserve"> to </w:t>
      </w:r>
      <w:r w:rsidRPr="00FA35F9">
        <w:t>16 weeks (</w:t>
      </w:r>
      <w:r w:rsidR="00382778">
        <w:t>two</w:t>
      </w:r>
      <w:r w:rsidRPr="00FA35F9">
        <w:t xml:space="preserve"> in the relevant Cohorts 2</w:t>
      </w:r>
      <w:r w:rsidR="00382778">
        <w:t xml:space="preserve"> to 4</w:t>
      </w:r>
      <w:r w:rsidRPr="00FA35F9">
        <w:t>) (</w:t>
      </w:r>
      <w:r w:rsidR="0012664A">
        <w:t xml:space="preserve">see </w:t>
      </w:r>
      <w:r w:rsidR="005124DE">
        <w:fldChar w:fldCharType="begin"/>
      </w:r>
      <w:r w:rsidR="005124DE">
        <w:instrText xml:space="preserve"> REF _Ref121988221 \h </w:instrText>
      </w:r>
      <w:r w:rsidR="005124DE">
        <w:fldChar w:fldCharType="separate"/>
      </w:r>
      <w:r w:rsidR="00051287">
        <w:t xml:space="preserve">Table </w:t>
      </w:r>
      <w:r w:rsidR="00051287">
        <w:rPr>
          <w:noProof/>
        </w:rPr>
        <w:t>7</w:t>
      </w:r>
      <w:r w:rsidR="005124DE">
        <w:fldChar w:fldCharType="end"/>
      </w:r>
      <w:r w:rsidR="0012664A">
        <w:t>, below</w:t>
      </w:r>
      <w:r w:rsidRPr="00FA35F9">
        <w:t>).</w:t>
      </w:r>
    </w:p>
    <w:p w14:paraId="30A3D7FA" w14:textId="4CFF40E1" w:rsidR="00FA35F9" w:rsidRDefault="00FA35F9" w:rsidP="00FA35F9">
      <w:pPr>
        <w:pStyle w:val="Tabletitle0"/>
      </w:pPr>
      <w:bookmarkStart w:id="50" w:name="_Ref121988221"/>
      <w:r>
        <w:t xml:space="preserve">Table </w:t>
      </w:r>
      <w:r w:rsidR="00A42754">
        <w:fldChar w:fldCharType="begin"/>
      </w:r>
      <w:r w:rsidR="00A42754">
        <w:instrText xml:space="preserve"> SEQ Table \* ARABIC </w:instrText>
      </w:r>
      <w:r w:rsidR="00A42754">
        <w:fldChar w:fldCharType="separate"/>
      </w:r>
      <w:r w:rsidR="00051287">
        <w:rPr>
          <w:noProof/>
        </w:rPr>
        <w:t>7</w:t>
      </w:r>
      <w:r w:rsidR="00A42754">
        <w:rPr>
          <w:noProof/>
        </w:rPr>
        <w:fldChar w:fldCharType="end"/>
      </w:r>
      <w:bookmarkEnd w:id="50"/>
      <w:r>
        <w:t xml:space="preserve">: </w:t>
      </w:r>
      <w:r w:rsidR="0012664A">
        <w:t>Study M16-123 (</w:t>
      </w:r>
      <w:r w:rsidRPr="00FA35F9">
        <w:t xml:space="preserve">DORA </w:t>
      </w:r>
      <w:r w:rsidR="00B02322">
        <w:t>trial</w:t>
      </w:r>
      <w:r w:rsidR="0012664A">
        <w:t>,</w:t>
      </w:r>
      <w:r w:rsidRPr="00FA35F9">
        <w:t xml:space="preserve"> </w:t>
      </w:r>
      <w:r w:rsidR="00071A0B">
        <w:t>P</w:t>
      </w:r>
      <w:r w:rsidRPr="00FA35F9">
        <w:t>art 2</w:t>
      </w:r>
      <w:r w:rsidR="0012664A">
        <w:t>)</w:t>
      </w:r>
      <w:r w:rsidR="00B02322">
        <w:t xml:space="preserve"> </w:t>
      </w:r>
      <w:r w:rsidR="0012664A">
        <w:t>Exposure; d</w:t>
      </w:r>
      <w:r w:rsidRPr="00FA35F9">
        <w:t xml:space="preserve">uration of </w:t>
      </w:r>
      <w:r w:rsidR="00B02322">
        <w:t>t</w:t>
      </w:r>
      <w:r w:rsidRPr="00FA35F9">
        <w:t xml:space="preserve">reatment in </w:t>
      </w:r>
      <w:r w:rsidR="00B02322">
        <w:t>d</w:t>
      </w:r>
      <w:r w:rsidRPr="00FA35F9">
        <w:t xml:space="preserve">ays </w:t>
      </w:r>
      <w:r>
        <w:t>in intention to test population</w:t>
      </w:r>
    </w:p>
    <w:p w14:paraId="51470ADC" w14:textId="5A95F9F3" w:rsidR="00FA35F9" w:rsidRDefault="00FA35F9" w:rsidP="00FA35F9">
      <w:r>
        <w:rPr>
          <w:noProof/>
          <w:lang w:val="en-GB" w:eastAsia="en-GB"/>
        </w:rPr>
        <w:drawing>
          <wp:inline distT="0" distB="0" distL="0" distR="0" wp14:anchorId="6E004498" wp14:editId="7E7158C5">
            <wp:extent cx="4847140" cy="2695575"/>
            <wp:effectExtent l="0" t="0" r="0" b="0"/>
            <wp:docPr id="1" name="Picture 1" descr="Study M16-123 (DORA trial, Part 2) Exposure; duration of treatment in days in intention to tes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M16-123 (DORA trial, Part 2) Exposure; duration of treatment in days in intention to test population"/>
                    <pic:cNvPicPr>
                      <a:picLocks noChangeAspect="1" noChangeArrowheads="1"/>
                    </pic:cNvPicPr>
                  </pic:nvPicPr>
                  <pic:blipFill rotWithShape="1">
                    <a:blip r:embed="rId25">
                      <a:extLst>
                        <a:ext uri="{28A0092B-C50C-407E-A947-70E740481C1C}">
                          <a14:useLocalDpi xmlns:a14="http://schemas.microsoft.com/office/drawing/2010/main" val="0"/>
                        </a:ext>
                      </a:extLst>
                    </a:blip>
                    <a:srcRect b="13468"/>
                    <a:stretch/>
                  </pic:blipFill>
                  <pic:spPr bwMode="auto">
                    <a:xfrm>
                      <a:off x="0" y="0"/>
                      <a:ext cx="4849291" cy="2696771"/>
                    </a:xfrm>
                    <a:prstGeom prst="rect">
                      <a:avLst/>
                    </a:prstGeom>
                    <a:noFill/>
                    <a:ln>
                      <a:noFill/>
                    </a:ln>
                    <a:extLst>
                      <a:ext uri="{53640926-AAD7-44D8-BBD7-CCE9431645EC}">
                        <a14:shadowObscured xmlns:a14="http://schemas.microsoft.com/office/drawing/2010/main"/>
                      </a:ext>
                    </a:extLst>
                  </pic:spPr>
                </pic:pic>
              </a:graphicData>
            </a:graphic>
          </wp:inline>
        </w:drawing>
      </w:r>
    </w:p>
    <w:p w14:paraId="1E6819DA" w14:textId="3E782A44" w:rsidR="00FA35F9" w:rsidRDefault="0012664A" w:rsidP="005524BD">
      <w:pPr>
        <w:pStyle w:val="TableDescription"/>
      </w:pPr>
      <w:r>
        <w:t xml:space="preserve">Abbreviations: </w:t>
      </w:r>
      <w:r w:rsidR="00FA35F9">
        <w:t>CSR (clinical study report), ITT (intention to t</w:t>
      </w:r>
      <w:r w:rsidR="00B57FA6">
        <w:t>reat</w:t>
      </w:r>
      <w:r w:rsidR="00FA35F9">
        <w:t xml:space="preserve">), min (minimum), max (maximum), PT (post treatment), SD (standard deviation). </w:t>
      </w:r>
    </w:p>
    <w:p w14:paraId="15A18A25" w14:textId="2898AED7" w:rsidR="00FA35F9" w:rsidRPr="00FA35F9" w:rsidRDefault="00FA35F9" w:rsidP="005124DE">
      <w:pPr>
        <w:pStyle w:val="TableDescription"/>
        <w:spacing w:before="0"/>
      </w:pPr>
      <w:r>
        <w:t>Note: duration of treatment</w:t>
      </w:r>
      <w:r w:rsidR="005124DE">
        <w:t xml:space="preserve"> is the last study drug dose date minus the first study drug dose date plus one day.</w:t>
      </w:r>
    </w:p>
    <w:p w14:paraId="54028F93" w14:textId="24832572" w:rsidR="00FD332D" w:rsidRDefault="005124DE" w:rsidP="005124DE">
      <w:pPr>
        <w:pStyle w:val="Heading5"/>
      </w:pPr>
      <w:r>
        <w:t>Adverse event overview</w:t>
      </w:r>
    </w:p>
    <w:p w14:paraId="564043B4" w14:textId="4CF63C2F" w:rsidR="005124DE" w:rsidRDefault="005124DE" w:rsidP="005124DE">
      <w:proofErr w:type="gramStart"/>
      <w:r w:rsidRPr="005124DE">
        <w:t>The majority of</w:t>
      </w:r>
      <w:proofErr w:type="gramEnd"/>
      <w:r w:rsidRPr="005124DE">
        <w:t xml:space="preserve"> </w:t>
      </w:r>
      <w:r w:rsidR="0012664A">
        <w:t>adverse events (</w:t>
      </w:r>
      <w:r w:rsidRPr="005124DE">
        <w:t>AEs</w:t>
      </w:r>
      <w:r w:rsidR="0012664A">
        <w:t>)</w:t>
      </w:r>
      <w:r w:rsidRPr="005124DE">
        <w:t xml:space="preserve"> were mild. The most frequently reported AEs for paediatric subjects (Cohorts 2</w:t>
      </w:r>
      <w:r>
        <w:t xml:space="preserve"> to </w:t>
      </w:r>
      <w:r w:rsidRPr="005124DE">
        <w:t>4 combined) were headache, vomiting, and diarrhoea (</w:t>
      </w:r>
      <w:r w:rsidR="0012664A">
        <w:t xml:space="preserve">see </w:t>
      </w:r>
      <w:r w:rsidR="00382778">
        <w:fldChar w:fldCharType="begin"/>
      </w:r>
      <w:r w:rsidR="00382778">
        <w:instrText xml:space="preserve"> REF _Ref121988356 \h </w:instrText>
      </w:r>
      <w:r w:rsidR="00382778">
        <w:fldChar w:fldCharType="separate"/>
      </w:r>
      <w:r w:rsidR="00051287">
        <w:t xml:space="preserve">Table </w:t>
      </w:r>
      <w:r w:rsidR="00051287">
        <w:rPr>
          <w:noProof/>
        </w:rPr>
        <w:t>8</w:t>
      </w:r>
      <w:r w:rsidR="00382778">
        <w:fldChar w:fldCharType="end"/>
      </w:r>
      <w:r w:rsidR="0012664A">
        <w:t xml:space="preserve"> for a breakdown of treatment-emergent adverse events in this study</w:t>
      </w:r>
      <w:r w:rsidRPr="005124DE">
        <w:t>).</w:t>
      </w:r>
      <w:r w:rsidR="00F630DF">
        <w:t xml:space="preserve"> </w:t>
      </w:r>
      <w:r w:rsidR="005B5687">
        <w:t xml:space="preserve">Gastrointestinal events such as diarrhoea, nausea and vomiting, fatigue and headache all occurred at a higher incidence than in the adult population. </w:t>
      </w:r>
      <w:r w:rsidRPr="005124DE">
        <w:t>All events of nasopharyngitis and upper respiratory tract infection were assessed as not study drug</w:t>
      </w:r>
      <w:r w:rsidR="00382778">
        <w:t xml:space="preserve"> </w:t>
      </w:r>
      <w:r w:rsidRPr="005124DE">
        <w:t>related.</w:t>
      </w:r>
    </w:p>
    <w:p w14:paraId="34318E12" w14:textId="395DAF8B" w:rsidR="00382778" w:rsidRDefault="00382778" w:rsidP="00382778">
      <w:pPr>
        <w:pStyle w:val="Tabletitle0"/>
      </w:pPr>
      <w:bookmarkStart w:id="51" w:name="_Ref121988356"/>
      <w:r>
        <w:lastRenderedPageBreak/>
        <w:t xml:space="preserve">Table </w:t>
      </w:r>
      <w:r w:rsidR="00A42754">
        <w:fldChar w:fldCharType="begin"/>
      </w:r>
      <w:r w:rsidR="00A42754">
        <w:instrText xml:space="preserve"> SEQ Table \* ARABIC </w:instrText>
      </w:r>
      <w:r w:rsidR="00A42754">
        <w:fldChar w:fldCharType="separate"/>
      </w:r>
      <w:r w:rsidR="00051287">
        <w:rPr>
          <w:noProof/>
        </w:rPr>
        <w:t>8</w:t>
      </w:r>
      <w:r w:rsidR="00A42754">
        <w:rPr>
          <w:noProof/>
        </w:rPr>
        <w:fldChar w:fldCharType="end"/>
      </w:r>
      <w:bookmarkEnd w:id="51"/>
      <w:r>
        <w:t xml:space="preserve">: </w:t>
      </w:r>
      <w:r w:rsidR="0012664A">
        <w:t>Study M16-123 (</w:t>
      </w:r>
      <w:r w:rsidRPr="00382778">
        <w:t xml:space="preserve">DORA </w:t>
      </w:r>
      <w:r w:rsidR="00B02322">
        <w:t>trial</w:t>
      </w:r>
      <w:r w:rsidR="0012664A">
        <w:t>)</w:t>
      </w:r>
      <w:r w:rsidR="00B02322">
        <w:t xml:space="preserve"> </w:t>
      </w:r>
      <w:r w:rsidR="0012664A">
        <w:t>T</w:t>
      </w:r>
      <w:r w:rsidRPr="00382778">
        <w:t>reatment</w:t>
      </w:r>
      <w:r w:rsidR="0012664A">
        <w:t>-</w:t>
      </w:r>
      <w:r w:rsidRPr="00382778">
        <w:t>emergent adverse event</w:t>
      </w:r>
      <w:r>
        <w:t>s</w:t>
      </w:r>
      <w:r w:rsidRPr="00382778">
        <w:t xml:space="preserve"> reported in </w:t>
      </w:r>
      <w:r>
        <w:t xml:space="preserve">greater than or equal to </w:t>
      </w:r>
      <w:r w:rsidRPr="00382778">
        <w:t xml:space="preserve">5% of all subjects </w:t>
      </w:r>
      <w:r>
        <w:t>in the s</w:t>
      </w:r>
      <w:r w:rsidRPr="00382778">
        <w:t xml:space="preserve">afety </w:t>
      </w:r>
      <w:r>
        <w:t>p</w:t>
      </w:r>
      <w:r w:rsidRPr="00382778">
        <w:t>opulation</w:t>
      </w:r>
    </w:p>
    <w:p w14:paraId="5A648167" w14:textId="1FFCFACF" w:rsidR="00382778" w:rsidRPr="00382778" w:rsidRDefault="00382778" w:rsidP="00382778">
      <w:r>
        <w:rPr>
          <w:noProof/>
          <w:lang w:val="en-GB" w:eastAsia="en-GB"/>
        </w:rPr>
        <w:drawing>
          <wp:inline distT="0" distB="0" distL="0" distR="0" wp14:anchorId="4FFBDD04" wp14:editId="57AF7B88">
            <wp:extent cx="5373472" cy="2628900"/>
            <wp:effectExtent l="0" t="0" r="0" b="0"/>
            <wp:docPr id="10" name="Picture 10" descr="Study M16-123 (DORA trial) Treatment-emergent adverse events reported in greater than or equal to 5% of all subjects in th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M16-123 (DORA trial) Treatment-emergent adverse events reported in greater than or equal to 5% of all subjects in the safety population"/>
                    <pic:cNvPicPr>
                      <a:picLocks noChangeAspect="1" noChangeArrowheads="1"/>
                    </pic:cNvPicPr>
                  </pic:nvPicPr>
                  <pic:blipFill rotWithShape="1">
                    <a:blip r:embed="rId26">
                      <a:extLst>
                        <a:ext uri="{28A0092B-C50C-407E-A947-70E740481C1C}">
                          <a14:useLocalDpi xmlns:a14="http://schemas.microsoft.com/office/drawing/2010/main" val="0"/>
                        </a:ext>
                      </a:extLst>
                    </a:blip>
                    <a:srcRect b="12875"/>
                    <a:stretch/>
                  </pic:blipFill>
                  <pic:spPr bwMode="auto">
                    <a:xfrm>
                      <a:off x="0" y="0"/>
                      <a:ext cx="5381382" cy="2632770"/>
                    </a:xfrm>
                    <a:prstGeom prst="rect">
                      <a:avLst/>
                    </a:prstGeom>
                    <a:noFill/>
                    <a:ln>
                      <a:noFill/>
                    </a:ln>
                    <a:extLst>
                      <a:ext uri="{53640926-AAD7-44D8-BBD7-CCE9431645EC}">
                        <a14:shadowObscured xmlns:a14="http://schemas.microsoft.com/office/drawing/2010/main"/>
                      </a:ext>
                    </a:extLst>
                  </pic:spPr>
                </pic:pic>
              </a:graphicData>
            </a:graphic>
          </wp:inline>
        </w:drawing>
      </w:r>
    </w:p>
    <w:p w14:paraId="6331167D" w14:textId="0222F856" w:rsidR="00382778" w:rsidRDefault="005E10E9" w:rsidP="005524BD">
      <w:pPr>
        <w:pStyle w:val="TableDescription"/>
      </w:pPr>
      <w:r>
        <w:t xml:space="preserve">Abbreviations: </w:t>
      </w:r>
      <w:r w:rsidR="00382778">
        <w:t>CSR (clinical study report), MedDRA (medical dictionary for regulatory activities), PT (</w:t>
      </w:r>
      <w:r w:rsidR="0012664A">
        <w:t>Preferred Term</w:t>
      </w:r>
      <w:r w:rsidR="00382778">
        <w:t>)</w:t>
      </w:r>
    </w:p>
    <w:p w14:paraId="0D5CE8BF" w14:textId="4413A5D8" w:rsidR="00382778" w:rsidRDefault="00382778" w:rsidP="005524BD">
      <w:pPr>
        <w:pStyle w:val="TableDescription"/>
      </w:pPr>
      <w:r>
        <w:t>Note: subjects are counted once in each row, regardless of the number of events they may have had.</w:t>
      </w:r>
    </w:p>
    <w:p w14:paraId="40CE3B37" w14:textId="6268FF1A" w:rsidR="00382778" w:rsidRDefault="00382778" w:rsidP="00382778">
      <w:pPr>
        <w:pStyle w:val="TableDescription"/>
        <w:spacing w:before="0"/>
      </w:pPr>
      <w:r>
        <w:t>Cross reference: Study M16-123 all Part 1 and Part 2 PT Week 12 primary data CSR.</w:t>
      </w:r>
    </w:p>
    <w:p w14:paraId="3F2A1DDA" w14:textId="30820620" w:rsidR="00382778" w:rsidRDefault="00382778" w:rsidP="00382778">
      <w:pPr>
        <w:pStyle w:val="Heading5"/>
      </w:pPr>
      <w:r>
        <w:t>Treatment related adverse event overview</w:t>
      </w:r>
    </w:p>
    <w:p w14:paraId="0731D830" w14:textId="129DAC40" w:rsidR="00382778" w:rsidRDefault="00382778" w:rsidP="00382778">
      <w:r>
        <w:t>Twenty</w:t>
      </w:r>
      <w:r w:rsidR="005E10E9">
        <w:t>-</w:t>
      </w:r>
      <w:r>
        <w:t>three</w:t>
      </w:r>
      <w:r w:rsidRPr="00382778">
        <w:t xml:space="preserve"> (28.8%) paediatric subjects experienced study drug</w:t>
      </w:r>
      <w:r>
        <w:t xml:space="preserve"> </w:t>
      </w:r>
      <w:r w:rsidRPr="00382778">
        <w:t>related AEs with the most frequently reported (</w:t>
      </w:r>
      <w:r>
        <w:t>greater than or equal to</w:t>
      </w:r>
      <w:r w:rsidRPr="00382778">
        <w:t xml:space="preserve"> 5% subjects overall) being fatigue, headache, and vomiting.</w:t>
      </w:r>
    </w:p>
    <w:p w14:paraId="08E8E578" w14:textId="300709B2" w:rsidR="00382778" w:rsidRDefault="00382778" w:rsidP="00382778">
      <w:pPr>
        <w:pStyle w:val="Heading5"/>
      </w:pPr>
      <w:r>
        <w:t>Deaths</w:t>
      </w:r>
    </w:p>
    <w:p w14:paraId="190BC30A" w14:textId="45E5BEC9" w:rsidR="00382778" w:rsidRDefault="00382778" w:rsidP="00382778">
      <w:r w:rsidRPr="00382778">
        <w:t xml:space="preserve">No </w:t>
      </w:r>
      <w:r w:rsidR="005E10E9">
        <w:t>adverse events</w:t>
      </w:r>
      <w:r w:rsidR="005E10E9" w:rsidRPr="00382778">
        <w:t xml:space="preserve"> </w:t>
      </w:r>
      <w:r w:rsidRPr="00382778">
        <w:t>leading to death were reported during the study.</w:t>
      </w:r>
    </w:p>
    <w:p w14:paraId="4AEEB9F1" w14:textId="3D1F8516" w:rsidR="00382778" w:rsidRDefault="00793122" w:rsidP="00793122">
      <w:pPr>
        <w:pStyle w:val="Heading5"/>
      </w:pPr>
      <w:r>
        <w:t>Serious adverse events</w:t>
      </w:r>
    </w:p>
    <w:p w14:paraId="7D416B97" w14:textId="7E0B63AF" w:rsidR="00793122" w:rsidRDefault="00793122" w:rsidP="00793122">
      <w:r w:rsidRPr="00793122">
        <w:t>No subjects experienced a treatment</w:t>
      </w:r>
      <w:r w:rsidR="005E10E9">
        <w:t>-</w:t>
      </w:r>
      <w:r w:rsidRPr="00793122">
        <w:t xml:space="preserve">emergent </w:t>
      </w:r>
      <w:r>
        <w:t>serious adverse event</w:t>
      </w:r>
      <w:r w:rsidRPr="00793122">
        <w:t xml:space="preserve"> during the study. One subject in Cohort 4 experienced a post</w:t>
      </w:r>
      <w:r w:rsidR="005E10E9">
        <w:t>-</w:t>
      </w:r>
      <w:r w:rsidRPr="00793122">
        <w:t xml:space="preserve">treatment </w:t>
      </w:r>
      <w:r w:rsidR="005E10E9">
        <w:t xml:space="preserve">serious adverse event of </w:t>
      </w:r>
      <w:r w:rsidRPr="00793122">
        <w:t>osteomyelitis (not considered study</w:t>
      </w:r>
      <w:r>
        <w:t xml:space="preserve"> </w:t>
      </w:r>
      <w:r w:rsidRPr="00793122">
        <w:t>drug related).</w:t>
      </w:r>
    </w:p>
    <w:p w14:paraId="08F07293" w14:textId="5D9AF1A9" w:rsidR="00793122" w:rsidRDefault="00793122" w:rsidP="00793122">
      <w:pPr>
        <w:pStyle w:val="Heading5"/>
      </w:pPr>
      <w:r>
        <w:t>Discontinuations</w:t>
      </w:r>
    </w:p>
    <w:p w14:paraId="1C35DA3C" w14:textId="367E41CE" w:rsidR="00793122" w:rsidRDefault="00793122" w:rsidP="00793122">
      <w:r w:rsidRPr="00793122">
        <w:t>One subject (</w:t>
      </w:r>
      <w:r w:rsidR="005E10E9">
        <w:t xml:space="preserve">an </w:t>
      </w:r>
      <w:proofErr w:type="gramStart"/>
      <w:r w:rsidRPr="00793122">
        <w:t>11</w:t>
      </w:r>
      <w:r>
        <w:t xml:space="preserve"> </w:t>
      </w:r>
      <w:r w:rsidRPr="00793122">
        <w:t>year</w:t>
      </w:r>
      <w:r>
        <w:t xml:space="preserve"> old</w:t>
      </w:r>
      <w:proofErr w:type="gramEnd"/>
      <w:r w:rsidRPr="00793122">
        <w:t xml:space="preserve"> female) prematurely discontinued study drug on treatment Day 4 due to a nonserious AE, considered drug</w:t>
      </w:r>
      <w:r>
        <w:t xml:space="preserve"> </w:t>
      </w:r>
      <w:r w:rsidRPr="00793122">
        <w:t xml:space="preserve">related: an erythematous rash on treatment </w:t>
      </w:r>
      <w:r w:rsidR="008B4368">
        <w:t>D</w:t>
      </w:r>
      <w:r w:rsidR="008B4368" w:rsidRPr="00793122">
        <w:t>ay</w:t>
      </w:r>
      <w:r w:rsidR="00071A0B">
        <w:t> </w:t>
      </w:r>
      <w:r w:rsidRPr="00793122">
        <w:t>1 (treated with cetirizine</w:t>
      </w:r>
      <w:r>
        <w:t xml:space="preserve">, </w:t>
      </w:r>
      <w:r w:rsidRPr="00793122">
        <w:t>potentially erythema multiforme).</w:t>
      </w:r>
      <w:r>
        <w:t xml:space="preserve"> </w:t>
      </w:r>
      <w:r w:rsidRPr="00793122">
        <w:t xml:space="preserve">A </w:t>
      </w:r>
      <w:proofErr w:type="gramStart"/>
      <w:r w:rsidRPr="00793122">
        <w:t>9</w:t>
      </w:r>
      <w:r>
        <w:t xml:space="preserve"> </w:t>
      </w:r>
      <w:r w:rsidRPr="00793122">
        <w:t>year</w:t>
      </w:r>
      <w:r>
        <w:t xml:space="preserve"> </w:t>
      </w:r>
      <w:r w:rsidRPr="00793122">
        <w:t>old</w:t>
      </w:r>
      <w:proofErr w:type="gramEnd"/>
      <w:r w:rsidRPr="00793122">
        <w:t xml:space="preserve"> male had a nonserious respiratory tract infection AE lead</w:t>
      </w:r>
      <w:r>
        <w:t>ing</w:t>
      </w:r>
      <w:r w:rsidRPr="00793122">
        <w:t xml:space="preserve"> to a 4</w:t>
      </w:r>
      <w:r>
        <w:t xml:space="preserve"> </w:t>
      </w:r>
      <w:r w:rsidRPr="00793122">
        <w:t>day interruption of study drug.</w:t>
      </w:r>
    </w:p>
    <w:p w14:paraId="7785F175" w14:textId="3517C338" w:rsidR="00793122" w:rsidRDefault="00793122" w:rsidP="00793122">
      <w:pPr>
        <w:pStyle w:val="Heading5"/>
      </w:pPr>
      <w:r>
        <w:lastRenderedPageBreak/>
        <w:t>Adverse events of special interest</w:t>
      </w:r>
    </w:p>
    <w:p w14:paraId="0A6ADED5" w14:textId="269274BB" w:rsidR="00793122" w:rsidRPr="00F22C04" w:rsidRDefault="00793122" w:rsidP="00F22C04">
      <w:pPr>
        <w:pStyle w:val="Heading6"/>
        <w:rPr>
          <w:rFonts w:eastAsia="Cambria"/>
        </w:rPr>
      </w:pPr>
      <w:r w:rsidRPr="00F22C04">
        <w:rPr>
          <w:rFonts w:eastAsia="Cambria"/>
        </w:rPr>
        <w:t>Treatment emergent hepatic decompensation/hepatic failure</w:t>
      </w:r>
    </w:p>
    <w:p w14:paraId="2775E7B4" w14:textId="50A3BF44" w:rsidR="00793122" w:rsidRDefault="00793122" w:rsidP="00793122">
      <w:r>
        <w:t>None identified. The was no occurrence of a clinically significant laboratory abnormality, and no cases of suspected drug induced liver injury or liver related toxicities.</w:t>
      </w:r>
    </w:p>
    <w:p w14:paraId="6BEC3B5E" w14:textId="0D25F08C" w:rsidR="00793122" w:rsidRPr="00F22C04" w:rsidRDefault="00793122" w:rsidP="00F22C04">
      <w:pPr>
        <w:pStyle w:val="Heading6"/>
        <w:rPr>
          <w:rFonts w:eastAsia="Cambria"/>
        </w:rPr>
      </w:pPr>
      <w:r w:rsidRPr="00F22C04">
        <w:rPr>
          <w:rFonts w:eastAsia="Cambria"/>
        </w:rPr>
        <w:t>Postbaseline events of hepatocellular carcinoma</w:t>
      </w:r>
    </w:p>
    <w:p w14:paraId="7146BE27" w14:textId="2113ACE5" w:rsidR="00793122" w:rsidRDefault="00793122" w:rsidP="00793122">
      <w:r>
        <w:t>None identified.</w:t>
      </w:r>
    </w:p>
    <w:p w14:paraId="60AB3500" w14:textId="77777777" w:rsidR="00793122" w:rsidRPr="00F22C04" w:rsidRDefault="00793122" w:rsidP="00F22C04">
      <w:pPr>
        <w:pStyle w:val="Heading6"/>
      </w:pPr>
      <w:r w:rsidRPr="00F22C04">
        <w:rPr>
          <w:rFonts w:eastAsia="Cambria"/>
        </w:rPr>
        <w:t>Growth and Development</w:t>
      </w:r>
      <w:r w:rsidRPr="00F22C04">
        <w:t xml:space="preserve"> </w:t>
      </w:r>
    </w:p>
    <w:p w14:paraId="41F9CF3C" w14:textId="71BECCE5" w:rsidR="00793122" w:rsidRDefault="00793122" w:rsidP="00793122">
      <w:r>
        <w:t>Growth rate, weight and height z score, and body mass index standardised score were analysed. The sponsor states that there were no clinically important trends in growth and development.</w:t>
      </w:r>
    </w:p>
    <w:p w14:paraId="6FDB884B" w14:textId="77777777" w:rsidR="00793122" w:rsidRPr="00F22C04" w:rsidRDefault="00793122" w:rsidP="00F22C04">
      <w:pPr>
        <w:pStyle w:val="Heading6"/>
        <w:rPr>
          <w:rFonts w:eastAsia="Cambria"/>
        </w:rPr>
      </w:pPr>
      <w:r w:rsidRPr="00F22C04">
        <w:rPr>
          <w:rFonts w:eastAsia="Cambria"/>
        </w:rPr>
        <w:t>Laboratory abnormalities</w:t>
      </w:r>
    </w:p>
    <w:p w14:paraId="27900E62" w14:textId="67C360EC" w:rsidR="00793122" w:rsidRPr="00793122" w:rsidRDefault="00793122" w:rsidP="00B479D5">
      <w:pPr>
        <w:rPr>
          <w:bCs/>
          <w:i/>
          <w:szCs w:val="21"/>
        </w:rPr>
      </w:pPr>
      <w:r>
        <w:t>One paediatric subject had a single low neutrophil count that was not considered clinically significant and improved over time. No other clinically significant laboratory abnormalities were seen.</w:t>
      </w:r>
    </w:p>
    <w:p w14:paraId="0636209A" w14:textId="0B4EED3E" w:rsidR="00793122" w:rsidRPr="00F22C04" w:rsidRDefault="00793122" w:rsidP="00F22C04">
      <w:pPr>
        <w:pStyle w:val="Heading6"/>
        <w:rPr>
          <w:rFonts w:eastAsia="Cambria"/>
        </w:rPr>
      </w:pPr>
      <w:r w:rsidRPr="00F22C04">
        <w:rPr>
          <w:rFonts w:eastAsia="Cambria"/>
        </w:rPr>
        <w:t>Cardiovascular events</w:t>
      </w:r>
    </w:p>
    <w:p w14:paraId="6BA91555" w14:textId="52E9E7A6" w:rsidR="00793122" w:rsidRDefault="00793122" w:rsidP="00793122">
      <w:r>
        <w:rPr>
          <w:rStyle w:val="Heading6Char"/>
          <w:rFonts w:eastAsia="Cambria"/>
          <w:i w:val="0"/>
          <w:iCs/>
        </w:rPr>
        <w:t>T</w:t>
      </w:r>
      <w:r>
        <w:t>wo paediatric subjects had a clinically significant abnormal</w:t>
      </w:r>
      <w:r w:rsidR="00A05B63">
        <w:t xml:space="preserve"> e</w:t>
      </w:r>
      <w:r w:rsidR="00A05B63" w:rsidRPr="00A05B63">
        <w:t>lectrocardiogram</w:t>
      </w:r>
      <w:r>
        <w:t xml:space="preserve"> finding. One subject was found to have left ventricular hypertrophy at screening and one subject was assessed as having a possible atrial septal defect on treatment </w:t>
      </w:r>
      <w:r w:rsidR="00071A0B">
        <w:t>D</w:t>
      </w:r>
      <w:r>
        <w:t>ay 15. No cardiovascular AEs were reported for either subject.</w:t>
      </w:r>
    </w:p>
    <w:p w14:paraId="4BDFDE85" w14:textId="2AECFFC9" w:rsidR="00793122" w:rsidRPr="00071A0B" w:rsidRDefault="00793122" w:rsidP="00071A0B">
      <w:pPr>
        <w:pStyle w:val="Heading5"/>
      </w:pPr>
      <w:r w:rsidRPr="00071A0B">
        <w:t>Post market experience</w:t>
      </w:r>
    </w:p>
    <w:p w14:paraId="611D9DE1" w14:textId="15FC1967" w:rsidR="00793122" w:rsidRPr="00793122" w:rsidRDefault="00793122" w:rsidP="00793122">
      <w:r>
        <w:t>No paediatric (3 to 12 years) data available.</w:t>
      </w:r>
    </w:p>
    <w:p w14:paraId="664DA3F1" w14:textId="55A7DB89" w:rsidR="008E7846" w:rsidRDefault="00386150" w:rsidP="007B6132">
      <w:pPr>
        <w:pStyle w:val="Heading3"/>
        <w:rPr>
          <w:lang w:eastAsia="en-AU"/>
        </w:rPr>
      </w:pPr>
      <w:bookmarkStart w:id="52" w:name="_Toc314842514"/>
      <w:bookmarkStart w:id="53" w:name="_Toc128033648"/>
      <w:r>
        <w:rPr>
          <w:lang w:eastAsia="en-AU"/>
        </w:rPr>
        <w:t>Risk m</w:t>
      </w:r>
      <w:r w:rsidR="008E7846">
        <w:rPr>
          <w:lang w:eastAsia="en-AU"/>
        </w:rPr>
        <w:t xml:space="preserve">anagement </w:t>
      </w:r>
      <w:r>
        <w:rPr>
          <w:lang w:eastAsia="en-AU"/>
        </w:rPr>
        <w:t>p</w:t>
      </w:r>
      <w:r w:rsidR="008E7846">
        <w:rPr>
          <w:lang w:eastAsia="en-AU"/>
        </w:rPr>
        <w:t>lan</w:t>
      </w:r>
      <w:bookmarkEnd w:id="52"/>
      <w:bookmarkEnd w:id="53"/>
    </w:p>
    <w:p w14:paraId="47205C2E" w14:textId="03673C65" w:rsidR="00913134" w:rsidRPr="00913134" w:rsidRDefault="00913134" w:rsidP="00913134">
      <w:r w:rsidRPr="00913134">
        <w:t>The most recently evaluated</w:t>
      </w:r>
      <w:r>
        <w:t xml:space="preserve"> European Union </w:t>
      </w:r>
      <w:r w:rsidR="00B479D5">
        <w:t>risk management plan (</w:t>
      </w:r>
      <w:r w:rsidRPr="00913134">
        <w:t>RMP</w:t>
      </w:r>
      <w:r w:rsidR="00B479D5">
        <w:t>)</w:t>
      </w:r>
      <w:r w:rsidRPr="00913134">
        <w:t xml:space="preserve"> was version 4.1 (date November 2018; </w:t>
      </w:r>
      <w:r>
        <w:t>data lock point (</w:t>
      </w:r>
      <w:r w:rsidRPr="00913134">
        <w:t>DLP</w:t>
      </w:r>
      <w:r>
        <w:t>)</w:t>
      </w:r>
      <w:r w:rsidRPr="00913134">
        <w:t xml:space="preserve"> 20 July 2018) and </w:t>
      </w:r>
      <w:r>
        <w:t>Australia specific annex (</w:t>
      </w:r>
      <w:r w:rsidRPr="00913134">
        <w:t>ASA</w:t>
      </w:r>
      <w:r>
        <w:t>)</w:t>
      </w:r>
      <w:r w:rsidRPr="00913134">
        <w:t xml:space="preserve"> version 4.2 (date July 2019). In support of the extended indications, the sponsor has submitted Core RMP version 5.0 (date February 2020; DLP 14 June 2019) and ASA version 5.0 (date December 2020). At </w:t>
      </w:r>
      <w:r w:rsidR="00E47A46">
        <w:t xml:space="preserve">the first </w:t>
      </w:r>
      <w:r w:rsidR="008B4368">
        <w:t>round</w:t>
      </w:r>
      <w:r w:rsidRPr="00913134">
        <w:t xml:space="preserve"> the sponsor submitted EU</w:t>
      </w:r>
      <w:r>
        <w:t xml:space="preserve"> </w:t>
      </w:r>
      <w:r w:rsidRPr="00913134">
        <w:t>RMP version 8.0 (date April 2021; DLP 25 July 2020) and ASA version 7.0 (date July 2021).</w:t>
      </w:r>
    </w:p>
    <w:p w14:paraId="3D02E7B5" w14:textId="3496852B" w:rsidR="00913134" w:rsidRDefault="0074163C" w:rsidP="0074163C">
      <w:bookmarkStart w:id="54" w:name="_Toc247691531"/>
      <w:bookmarkStart w:id="55" w:name="_Toc314842515"/>
      <w:bookmarkStart w:id="56" w:name="_Toc196046505"/>
      <w:bookmarkStart w:id="57" w:name="_Toc196046949"/>
      <w:r>
        <w:t xml:space="preserve">The summary of safety concerns and their associated risk monitoring and mitigation strategies are summarised in </w:t>
      </w:r>
      <w:r w:rsidR="00913134">
        <w:fldChar w:fldCharType="begin"/>
      </w:r>
      <w:r w:rsidR="00913134">
        <w:instrText xml:space="preserve"> REF _Ref97629131 \h </w:instrText>
      </w:r>
      <w:r w:rsidR="00913134">
        <w:fldChar w:fldCharType="separate"/>
      </w:r>
      <w:r w:rsidR="00051287">
        <w:t xml:space="preserve">Table </w:t>
      </w:r>
      <w:r w:rsidR="00051287">
        <w:rPr>
          <w:noProof/>
        </w:rPr>
        <w:t>9</w:t>
      </w:r>
      <w:r w:rsidR="00913134">
        <w:fldChar w:fldCharType="end"/>
      </w:r>
      <w:r w:rsidR="00913134">
        <w:t xml:space="preserve">. </w:t>
      </w:r>
      <w:r>
        <w:t xml:space="preserve">Further information regarding </w:t>
      </w:r>
      <w:r w:rsidR="00CC5044">
        <w:t>the TGA</w:t>
      </w:r>
      <w:r w:rsidR="00BF7063">
        <w:t>’</w:t>
      </w:r>
      <w:r w:rsidR="00CC5044">
        <w:t>s r</w:t>
      </w:r>
      <w:r>
        <w:t xml:space="preserve">isk management approach </w:t>
      </w:r>
      <w:r>
        <w:lastRenderedPageBreak/>
        <w:t xml:space="preserve">can be found in </w:t>
      </w:r>
      <w:hyperlink r:id="rId27" w:history="1">
        <w:r w:rsidRPr="0023444E">
          <w:rPr>
            <w:rStyle w:val="Hyperlink"/>
          </w:rPr>
          <w:t>risk management plans for medicines and biologicals</w:t>
        </w:r>
      </w:hyperlink>
      <w:r>
        <w:t xml:space="preserve"> and </w:t>
      </w:r>
      <w:hyperlink r:id="rId28" w:history="1">
        <w:r w:rsidRPr="0023444E">
          <w:rPr>
            <w:rStyle w:val="Hyperlink"/>
          </w:rPr>
          <w:t>the TGA's risk management approach</w:t>
        </w:r>
      </w:hyperlink>
      <w:r>
        <w:t>.</w:t>
      </w:r>
    </w:p>
    <w:p w14:paraId="16201DA2" w14:textId="01CCF9A6" w:rsidR="0074163C" w:rsidRDefault="0074163C" w:rsidP="0074163C">
      <w:pPr>
        <w:pStyle w:val="TableTitle"/>
      </w:pPr>
      <w:bookmarkStart w:id="58" w:name="_Ref97629131"/>
      <w:r>
        <w:t xml:space="preserve">Table </w:t>
      </w:r>
      <w:r w:rsidR="00A42754">
        <w:fldChar w:fldCharType="begin"/>
      </w:r>
      <w:r w:rsidR="00A42754">
        <w:instrText xml:space="preserve"> SEQ Table \* ARABIC </w:instrText>
      </w:r>
      <w:r w:rsidR="00A42754">
        <w:fldChar w:fldCharType="separate"/>
      </w:r>
      <w:r w:rsidR="00051287">
        <w:rPr>
          <w:noProof/>
        </w:rPr>
        <w:t>9</w:t>
      </w:r>
      <w:r w:rsidR="00A42754">
        <w:rPr>
          <w:noProof/>
        </w:rPr>
        <w:fldChar w:fldCharType="end"/>
      </w:r>
      <w:bookmarkEnd w:id="58"/>
      <w:r>
        <w:t>: Summary of safety concerns</w:t>
      </w:r>
    </w:p>
    <w:tbl>
      <w:tblPr>
        <w:tblStyle w:val="TableGrid"/>
        <w:tblW w:w="0" w:type="auto"/>
        <w:jc w:val="center"/>
        <w:tblBorders>
          <w:top w:val="single" w:sz="8" w:space="0" w:color="auto"/>
          <w:left w:val="single" w:sz="8" w:space="0" w:color="auto"/>
          <w:bottom w:val="single" w:sz="8" w:space="0" w:color="auto"/>
          <w:right w:val="single" w:sz="8" w:space="0" w:color="auto"/>
        </w:tblBorders>
        <w:tblCellMar>
          <w:left w:w="85" w:type="dxa"/>
          <w:right w:w="85" w:type="dxa"/>
        </w:tblCellMar>
        <w:tblLook w:val="04A0" w:firstRow="1" w:lastRow="0" w:firstColumn="1" w:lastColumn="0" w:noHBand="0" w:noVBand="1"/>
      </w:tblPr>
      <w:tblGrid>
        <w:gridCol w:w="1753"/>
        <w:gridCol w:w="3057"/>
        <w:gridCol w:w="946"/>
        <w:gridCol w:w="976"/>
        <w:gridCol w:w="776"/>
        <w:gridCol w:w="976"/>
      </w:tblGrid>
      <w:tr w:rsidR="005125AA" w:rsidRPr="005125AA" w14:paraId="0808DF96" w14:textId="77777777" w:rsidTr="005125AA">
        <w:trPr>
          <w:trHeight w:val="131"/>
          <w:jc w:val="center"/>
        </w:trPr>
        <w:tc>
          <w:tcPr>
            <w:tcW w:w="4810" w:type="dxa"/>
            <w:gridSpan w:val="2"/>
            <w:vMerge w:val="restart"/>
            <w:tcBorders>
              <w:top w:val="single" w:sz="8" w:space="0" w:color="auto"/>
              <w:bottom w:val="single" w:sz="4" w:space="0" w:color="auto"/>
              <w:right w:val="single" w:sz="4" w:space="0" w:color="auto"/>
            </w:tcBorders>
            <w:shd w:val="clear" w:color="auto" w:fill="006DA7"/>
          </w:tcPr>
          <w:p w14:paraId="7D41A174" w14:textId="77777777" w:rsidR="005125AA" w:rsidRPr="005125AA" w:rsidRDefault="005125AA" w:rsidP="00D92135">
            <w:pPr>
              <w:pStyle w:val="Tabletext"/>
              <w:rPr>
                <w:b/>
                <w:color w:val="FFFFFF" w:themeColor="background1"/>
              </w:rPr>
            </w:pPr>
            <w:r w:rsidRPr="005125AA">
              <w:rPr>
                <w:b/>
                <w:color w:val="FFFFFF" w:themeColor="background1"/>
              </w:rPr>
              <w:t>Summary of safety concerns</w:t>
            </w:r>
          </w:p>
        </w:tc>
        <w:tc>
          <w:tcPr>
            <w:tcW w:w="1922" w:type="dxa"/>
            <w:gridSpan w:val="2"/>
            <w:tcBorders>
              <w:top w:val="single" w:sz="8" w:space="0" w:color="auto"/>
              <w:left w:val="single" w:sz="4" w:space="0" w:color="auto"/>
              <w:bottom w:val="single" w:sz="4" w:space="0" w:color="auto"/>
            </w:tcBorders>
            <w:shd w:val="clear" w:color="auto" w:fill="006DA7"/>
          </w:tcPr>
          <w:p w14:paraId="59DBD155" w14:textId="77777777" w:rsidR="005125AA" w:rsidRPr="005125AA" w:rsidRDefault="005125AA" w:rsidP="00D92135">
            <w:pPr>
              <w:pStyle w:val="Tabletext"/>
              <w:rPr>
                <w:b/>
                <w:color w:val="FFFFFF" w:themeColor="background1"/>
                <w:sz w:val="18"/>
              </w:rPr>
            </w:pPr>
            <w:r w:rsidRPr="005125AA">
              <w:rPr>
                <w:b/>
                <w:color w:val="FFFFFF" w:themeColor="background1"/>
                <w:sz w:val="18"/>
              </w:rPr>
              <w:t>Pharmacovigilance</w:t>
            </w:r>
          </w:p>
        </w:tc>
        <w:tc>
          <w:tcPr>
            <w:tcW w:w="0" w:type="auto"/>
            <w:gridSpan w:val="2"/>
            <w:tcBorders>
              <w:top w:val="single" w:sz="8" w:space="0" w:color="auto"/>
              <w:left w:val="single" w:sz="4" w:space="0" w:color="auto"/>
              <w:bottom w:val="single" w:sz="4" w:space="0" w:color="auto"/>
            </w:tcBorders>
            <w:shd w:val="clear" w:color="auto" w:fill="006DA7"/>
          </w:tcPr>
          <w:p w14:paraId="60FA93E7" w14:textId="77777777" w:rsidR="005125AA" w:rsidRPr="005125AA" w:rsidRDefault="005125AA" w:rsidP="00D92135">
            <w:pPr>
              <w:pStyle w:val="Tabletext"/>
              <w:rPr>
                <w:b/>
                <w:color w:val="FFFFFF" w:themeColor="background1"/>
                <w:sz w:val="18"/>
              </w:rPr>
            </w:pPr>
            <w:r w:rsidRPr="005125AA">
              <w:rPr>
                <w:b/>
                <w:color w:val="FFFFFF" w:themeColor="background1"/>
                <w:sz w:val="18"/>
              </w:rPr>
              <w:t>Risk Minimisation</w:t>
            </w:r>
          </w:p>
        </w:tc>
      </w:tr>
      <w:tr w:rsidR="005125AA" w:rsidRPr="00BF52F4" w14:paraId="34A314EE" w14:textId="77777777" w:rsidTr="005125AA">
        <w:trPr>
          <w:trHeight w:val="150"/>
          <w:jc w:val="center"/>
        </w:trPr>
        <w:tc>
          <w:tcPr>
            <w:tcW w:w="4810" w:type="dxa"/>
            <w:gridSpan w:val="2"/>
            <w:vMerge/>
            <w:tcBorders>
              <w:top w:val="single" w:sz="4" w:space="0" w:color="auto"/>
              <w:left w:val="single" w:sz="4" w:space="0" w:color="auto"/>
              <w:bottom w:val="single" w:sz="4" w:space="0" w:color="auto"/>
              <w:right w:val="single" w:sz="4" w:space="0" w:color="auto"/>
            </w:tcBorders>
            <w:shd w:val="clear" w:color="auto" w:fill="006DA7"/>
          </w:tcPr>
          <w:p w14:paraId="577628BA" w14:textId="77777777" w:rsidR="005125AA" w:rsidRPr="00BF52F4" w:rsidRDefault="005125AA" w:rsidP="00D92135">
            <w:pPr>
              <w:pStyle w:val="Tabletext"/>
              <w:rPr>
                <w:b/>
              </w:rPr>
            </w:pPr>
          </w:p>
        </w:tc>
        <w:tc>
          <w:tcPr>
            <w:tcW w:w="946" w:type="dxa"/>
            <w:tcBorders>
              <w:top w:val="single" w:sz="4" w:space="0" w:color="auto"/>
              <w:left w:val="single" w:sz="4" w:space="0" w:color="auto"/>
              <w:bottom w:val="single" w:sz="4" w:space="0" w:color="auto"/>
              <w:right w:val="single" w:sz="4" w:space="0" w:color="auto"/>
            </w:tcBorders>
            <w:shd w:val="clear" w:color="auto" w:fill="006DA7"/>
          </w:tcPr>
          <w:p w14:paraId="6B0539FD" w14:textId="77777777" w:rsidR="005125AA" w:rsidRPr="005125AA" w:rsidRDefault="005125AA" w:rsidP="00D92135">
            <w:pPr>
              <w:pStyle w:val="Tabletext"/>
              <w:rPr>
                <w:color w:val="FFFFFF" w:themeColor="background1"/>
                <w:sz w:val="18"/>
              </w:rPr>
            </w:pPr>
            <w:r w:rsidRPr="005125AA">
              <w:rPr>
                <w:color w:val="FFFFFF" w:themeColor="background1"/>
                <w:sz w:val="18"/>
              </w:rPr>
              <w:t>Routine</w:t>
            </w:r>
          </w:p>
        </w:tc>
        <w:tc>
          <w:tcPr>
            <w:tcW w:w="0" w:type="auto"/>
            <w:tcBorders>
              <w:top w:val="single" w:sz="4" w:space="0" w:color="auto"/>
              <w:left w:val="single" w:sz="4" w:space="0" w:color="auto"/>
              <w:bottom w:val="single" w:sz="4" w:space="0" w:color="auto"/>
              <w:right w:val="single" w:sz="4" w:space="0" w:color="auto"/>
            </w:tcBorders>
            <w:shd w:val="clear" w:color="auto" w:fill="006DA7"/>
          </w:tcPr>
          <w:p w14:paraId="428E979F" w14:textId="77777777" w:rsidR="005125AA" w:rsidRPr="005125AA" w:rsidRDefault="005125AA" w:rsidP="00D92135">
            <w:pPr>
              <w:pStyle w:val="Tabletext"/>
              <w:rPr>
                <w:color w:val="FFFFFF" w:themeColor="background1"/>
                <w:sz w:val="18"/>
              </w:rPr>
            </w:pPr>
            <w:r w:rsidRPr="005125AA">
              <w:rPr>
                <w:color w:val="FFFFFF" w:themeColor="background1"/>
                <w:sz w:val="18"/>
              </w:rPr>
              <w:t>Additional</w:t>
            </w:r>
          </w:p>
        </w:tc>
        <w:tc>
          <w:tcPr>
            <w:tcW w:w="0" w:type="auto"/>
            <w:tcBorders>
              <w:top w:val="single" w:sz="4" w:space="0" w:color="auto"/>
              <w:left w:val="single" w:sz="4" w:space="0" w:color="auto"/>
              <w:bottom w:val="single" w:sz="4" w:space="0" w:color="auto"/>
              <w:right w:val="single" w:sz="4" w:space="0" w:color="auto"/>
            </w:tcBorders>
            <w:shd w:val="clear" w:color="auto" w:fill="006DA7"/>
          </w:tcPr>
          <w:p w14:paraId="735B7A36" w14:textId="77777777" w:rsidR="005125AA" w:rsidRPr="005125AA" w:rsidRDefault="005125AA" w:rsidP="00D92135">
            <w:pPr>
              <w:pStyle w:val="Tabletext"/>
              <w:rPr>
                <w:color w:val="FFFFFF" w:themeColor="background1"/>
                <w:sz w:val="18"/>
              </w:rPr>
            </w:pPr>
            <w:r w:rsidRPr="005125AA">
              <w:rPr>
                <w:color w:val="FFFFFF" w:themeColor="background1"/>
                <w:sz w:val="18"/>
              </w:rPr>
              <w:t>Routine</w:t>
            </w:r>
          </w:p>
        </w:tc>
        <w:tc>
          <w:tcPr>
            <w:tcW w:w="0" w:type="auto"/>
            <w:tcBorders>
              <w:top w:val="single" w:sz="4" w:space="0" w:color="auto"/>
              <w:left w:val="single" w:sz="4" w:space="0" w:color="auto"/>
              <w:bottom w:val="single" w:sz="4" w:space="0" w:color="auto"/>
              <w:right w:val="single" w:sz="4" w:space="0" w:color="auto"/>
            </w:tcBorders>
            <w:shd w:val="clear" w:color="auto" w:fill="006DA7"/>
          </w:tcPr>
          <w:p w14:paraId="176C6673" w14:textId="77777777" w:rsidR="005125AA" w:rsidRPr="005125AA" w:rsidRDefault="005125AA" w:rsidP="00D92135">
            <w:pPr>
              <w:pStyle w:val="Tabletext"/>
              <w:rPr>
                <w:color w:val="FFFFFF" w:themeColor="background1"/>
                <w:sz w:val="18"/>
              </w:rPr>
            </w:pPr>
            <w:r w:rsidRPr="005125AA">
              <w:rPr>
                <w:color w:val="FFFFFF" w:themeColor="background1"/>
                <w:sz w:val="18"/>
              </w:rPr>
              <w:t>Additional</w:t>
            </w:r>
          </w:p>
        </w:tc>
      </w:tr>
      <w:tr w:rsidR="005125AA" w:rsidRPr="00BF52F4" w14:paraId="2EF04DCF" w14:textId="77777777" w:rsidTr="005125AA">
        <w:trPr>
          <w:trHeight w:val="789"/>
          <w:jc w:val="center"/>
        </w:trPr>
        <w:tc>
          <w:tcPr>
            <w:tcW w:w="0" w:type="auto"/>
            <w:tcBorders>
              <w:top w:val="single" w:sz="4" w:space="0" w:color="auto"/>
              <w:left w:val="single" w:sz="4" w:space="0" w:color="auto"/>
              <w:bottom w:val="single" w:sz="4" w:space="0" w:color="auto"/>
              <w:right w:val="single" w:sz="4" w:space="0" w:color="auto"/>
            </w:tcBorders>
          </w:tcPr>
          <w:p w14:paraId="6F66CF6A" w14:textId="77777777" w:rsidR="005125AA" w:rsidRPr="008624E5" w:rsidRDefault="005125AA" w:rsidP="00D92135">
            <w:pPr>
              <w:pStyle w:val="Tabletext"/>
              <w:rPr>
                <w:b/>
              </w:rPr>
            </w:pPr>
            <w:r w:rsidRPr="008624E5">
              <w:rPr>
                <w:b/>
              </w:rPr>
              <w:t>Important identified risks</w:t>
            </w:r>
          </w:p>
        </w:tc>
        <w:tc>
          <w:tcPr>
            <w:tcW w:w="3057" w:type="dxa"/>
            <w:tcBorders>
              <w:top w:val="single" w:sz="4" w:space="0" w:color="auto"/>
              <w:left w:val="single" w:sz="4" w:space="0" w:color="auto"/>
              <w:bottom w:val="single" w:sz="4" w:space="0" w:color="auto"/>
              <w:right w:val="single" w:sz="4" w:space="0" w:color="auto"/>
            </w:tcBorders>
          </w:tcPr>
          <w:p w14:paraId="5630175C" w14:textId="77777777" w:rsidR="005125AA" w:rsidRPr="008624E5" w:rsidRDefault="005125AA" w:rsidP="00D92135">
            <w:pPr>
              <w:pStyle w:val="Tabletext"/>
            </w:pPr>
            <w:r w:rsidRPr="008624E5">
              <w:t>None</w:t>
            </w:r>
          </w:p>
        </w:tc>
        <w:tc>
          <w:tcPr>
            <w:tcW w:w="946" w:type="dxa"/>
            <w:tcBorders>
              <w:top w:val="single" w:sz="4" w:space="0" w:color="auto"/>
              <w:left w:val="single" w:sz="4" w:space="0" w:color="auto"/>
              <w:bottom w:val="single" w:sz="4" w:space="0" w:color="auto"/>
              <w:right w:val="single" w:sz="4" w:space="0" w:color="auto"/>
            </w:tcBorders>
            <w:vAlign w:val="center"/>
          </w:tcPr>
          <w:p w14:paraId="0DFCF606" w14:textId="77777777" w:rsidR="005125AA" w:rsidRPr="00C45A03" w:rsidRDefault="005125AA" w:rsidP="00D92135">
            <w:pPr>
              <w:pStyle w:val="Tabletext"/>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C76F03D" w14:textId="77777777" w:rsidR="005125AA" w:rsidRPr="00180498" w:rsidRDefault="005125AA" w:rsidP="00D92135">
            <w:pPr>
              <w:pStyle w:val="Tabletext"/>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39EB2682" w14:textId="77777777" w:rsidR="005125AA" w:rsidRPr="00097C1F" w:rsidRDefault="005125AA" w:rsidP="00D92135">
            <w:pPr>
              <w:pStyle w:val="Tabletext"/>
              <w:jc w:val="center"/>
            </w:pPr>
          </w:p>
        </w:tc>
        <w:tc>
          <w:tcPr>
            <w:tcW w:w="0" w:type="auto"/>
            <w:tcBorders>
              <w:top w:val="single" w:sz="4" w:space="0" w:color="auto"/>
              <w:left w:val="single" w:sz="4" w:space="0" w:color="auto"/>
              <w:bottom w:val="single" w:sz="4" w:space="0" w:color="auto"/>
              <w:right w:val="single" w:sz="4" w:space="0" w:color="auto"/>
            </w:tcBorders>
            <w:vAlign w:val="center"/>
          </w:tcPr>
          <w:p w14:paraId="0D31149C" w14:textId="77777777" w:rsidR="005125AA" w:rsidRPr="00097C1F" w:rsidRDefault="005125AA" w:rsidP="00D92135">
            <w:pPr>
              <w:pStyle w:val="Tabletext"/>
              <w:jc w:val="center"/>
            </w:pPr>
          </w:p>
        </w:tc>
      </w:tr>
      <w:tr w:rsidR="005125AA" w:rsidRPr="00BF52F4" w14:paraId="1167EB23" w14:textId="77777777" w:rsidTr="005125AA">
        <w:trPr>
          <w:trHeight w:val="159"/>
          <w:jc w:val="center"/>
        </w:trPr>
        <w:tc>
          <w:tcPr>
            <w:tcW w:w="0" w:type="auto"/>
            <w:vMerge w:val="restart"/>
            <w:tcBorders>
              <w:top w:val="single" w:sz="4" w:space="0" w:color="auto"/>
              <w:left w:val="single" w:sz="4" w:space="0" w:color="auto"/>
              <w:bottom w:val="single" w:sz="4" w:space="0" w:color="auto"/>
              <w:right w:val="single" w:sz="4" w:space="0" w:color="auto"/>
            </w:tcBorders>
          </w:tcPr>
          <w:p w14:paraId="53E5CD53" w14:textId="77777777" w:rsidR="005125AA" w:rsidRPr="00BF52F4" w:rsidRDefault="005125AA" w:rsidP="00D92135">
            <w:pPr>
              <w:pStyle w:val="Tabletext"/>
              <w:rPr>
                <w:b/>
              </w:rPr>
            </w:pPr>
            <w:r w:rsidRPr="00BF52F4">
              <w:rPr>
                <w:b/>
              </w:rPr>
              <w:t>Important potential risks</w:t>
            </w:r>
          </w:p>
        </w:tc>
        <w:tc>
          <w:tcPr>
            <w:tcW w:w="3057" w:type="dxa"/>
            <w:tcBorders>
              <w:top w:val="single" w:sz="4" w:space="0" w:color="auto"/>
              <w:left w:val="single" w:sz="4" w:space="0" w:color="auto"/>
              <w:bottom w:val="single" w:sz="4" w:space="0" w:color="auto"/>
              <w:right w:val="single" w:sz="4" w:space="0" w:color="auto"/>
            </w:tcBorders>
          </w:tcPr>
          <w:p w14:paraId="3202BBCD" w14:textId="77777777" w:rsidR="005125AA" w:rsidRPr="00BF52F4" w:rsidRDefault="005125AA" w:rsidP="00D92135">
            <w:pPr>
              <w:pStyle w:val="Tabletext"/>
            </w:pPr>
            <w:r>
              <w:t>Recurrence of hepatocellular carcinoma</w:t>
            </w:r>
          </w:p>
        </w:tc>
        <w:tc>
          <w:tcPr>
            <w:tcW w:w="946" w:type="dxa"/>
            <w:tcBorders>
              <w:top w:val="single" w:sz="4" w:space="0" w:color="auto"/>
              <w:left w:val="single" w:sz="4" w:space="0" w:color="auto"/>
              <w:bottom w:val="single" w:sz="4" w:space="0" w:color="auto"/>
              <w:right w:val="single" w:sz="4" w:space="0" w:color="auto"/>
            </w:tcBorders>
            <w:vAlign w:val="center"/>
          </w:tcPr>
          <w:p w14:paraId="2DEB685D" w14:textId="77777777" w:rsidR="005125AA" w:rsidRPr="00C45A03" w:rsidRDefault="005125AA" w:rsidP="00D92135">
            <w:pPr>
              <w:pStyle w:val="Tabletext"/>
              <w:jc w:val="center"/>
            </w:pPr>
            <w:r w:rsidRPr="00097C1F">
              <w:t>–</w:t>
            </w:r>
          </w:p>
        </w:tc>
        <w:tc>
          <w:tcPr>
            <w:tcW w:w="0" w:type="auto"/>
            <w:tcBorders>
              <w:top w:val="single" w:sz="4" w:space="0" w:color="auto"/>
              <w:left w:val="single" w:sz="4" w:space="0" w:color="auto"/>
              <w:bottom w:val="single" w:sz="4" w:space="0" w:color="auto"/>
              <w:right w:val="single" w:sz="4" w:space="0" w:color="auto"/>
            </w:tcBorders>
            <w:vAlign w:val="center"/>
          </w:tcPr>
          <w:p w14:paraId="3B0F76CD" w14:textId="77777777" w:rsidR="005125AA" w:rsidRPr="002F2009" w:rsidRDefault="005125AA" w:rsidP="00D92135">
            <w:pPr>
              <w:pStyle w:val="Tabletext"/>
              <w:jc w:val="center"/>
            </w:pPr>
            <w:r w:rsidRPr="002F2009">
              <w:sym w:font="Wingdings" w:char="F0FC"/>
            </w:r>
            <w:r w:rsidRPr="002F2009">
              <w:t>§</w:t>
            </w:r>
          </w:p>
        </w:tc>
        <w:tc>
          <w:tcPr>
            <w:tcW w:w="0" w:type="auto"/>
            <w:tcBorders>
              <w:top w:val="single" w:sz="4" w:space="0" w:color="auto"/>
              <w:left w:val="single" w:sz="4" w:space="0" w:color="auto"/>
              <w:bottom w:val="single" w:sz="4" w:space="0" w:color="auto"/>
              <w:right w:val="single" w:sz="4" w:space="0" w:color="auto"/>
            </w:tcBorders>
            <w:vAlign w:val="center"/>
          </w:tcPr>
          <w:p w14:paraId="5B4D6718" w14:textId="77777777" w:rsidR="005125AA" w:rsidRPr="00097C1F" w:rsidRDefault="005125AA" w:rsidP="00D92135">
            <w:pPr>
              <w:pStyle w:val="Tabletext"/>
              <w:jc w:val="center"/>
            </w:pPr>
            <w:r w:rsidRPr="00097C1F">
              <w:t>–</w:t>
            </w:r>
          </w:p>
        </w:tc>
        <w:tc>
          <w:tcPr>
            <w:tcW w:w="0" w:type="auto"/>
            <w:tcBorders>
              <w:top w:val="single" w:sz="4" w:space="0" w:color="auto"/>
              <w:left w:val="single" w:sz="4" w:space="0" w:color="auto"/>
              <w:bottom w:val="single" w:sz="4" w:space="0" w:color="auto"/>
              <w:right w:val="single" w:sz="4" w:space="0" w:color="auto"/>
            </w:tcBorders>
            <w:vAlign w:val="center"/>
          </w:tcPr>
          <w:p w14:paraId="4378EEA4" w14:textId="77777777" w:rsidR="005125AA" w:rsidRPr="00097C1F" w:rsidRDefault="005125AA" w:rsidP="00D92135">
            <w:pPr>
              <w:pStyle w:val="Tabletext"/>
              <w:jc w:val="center"/>
            </w:pPr>
            <w:r w:rsidRPr="00097C1F">
              <w:t>–</w:t>
            </w:r>
          </w:p>
        </w:tc>
      </w:tr>
      <w:tr w:rsidR="005125AA" w:rsidRPr="00BF52F4" w14:paraId="62754D22" w14:textId="77777777" w:rsidTr="005125AA">
        <w:trPr>
          <w:trHeight w:val="112"/>
          <w:jc w:val="center"/>
        </w:trPr>
        <w:tc>
          <w:tcPr>
            <w:tcW w:w="0" w:type="auto"/>
            <w:vMerge/>
            <w:tcBorders>
              <w:top w:val="single" w:sz="4" w:space="0" w:color="auto"/>
              <w:left w:val="single" w:sz="4" w:space="0" w:color="auto"/>
              <w:bottom w:val="single" w:sz="4" w:space="0" w:color="auto"/>
              <w:right w:val="single" w:sz="4" w:space="0" w:color="auto"/>
            </w:tcBorders>
          </w:tcPr>
          <w:p w14:paraId="5AB46439" w14:textId="77777777" w:rsidR="005125AA" w:rsidRPr="00BF52F4" w:rsidRDefault="005125AA" w:rsidP="00D92135">
            <w:pPr>
              <w:pStyle w:val="Tabletext"/>
              <w:rPr>
                <w:b/>
              </w:rPr>
            </w:pPr>
          </w:p>
        </w:tc>
        <w:tc>
          <w:tcPr>
            <w:tcW w:w="3057" w:type="dxa"/>
            <w:tcBorders>
              <w:top w:val="single" w:sz="4" w:space="0" w:color="auto"/>
              <w:left w:val="single" w:sz="4" w:space="0" w:color="auto"/>
              <w:bottom w:val="single" w:sz="4" w:space="0" w:color="auto"/>
              <w:right w:val="single" w:sz="4" w:space="0" w:color="auto"/>
            </w:tcBorders>
          </w:tcPr>
          <w:p w14:paraId="5575B59F" w14:textId="77777777" w:rsidR="005125AA" w:rsidRPr="00BF52F4" w:rsidRDefault="005125AA" w:rsidP="00D92135">
            <w:pPr>
              <w:pStyle w:val="Tabletext"/>
            </w:pPr>
            <w:r>
              <w:t>Emergence of hepatocellular carcinoma</w:t>
            </w:r>
          </w:p>
        </w:tc>
        <w:tc>
          <w:tcPr>
            <w:tcW w:w="946" w:type="dxa"/>
            <w:tcBorders>
              <w:top w:val="single" w:sz="4" w:space="0" w:color="auto"/>
              <w:left w:val="single" w:sz="4" w:space="0" w:color="auto"/>
              <w:bottom w:val="single" w:sz="4" w:space="0" w:color="auto"/>
              <w:right w:val="single" w:sz="4" w:space="0" w:color="auto"/>
            </w:tcBorders>
            <w:vAlign w:val="center"/>
          </w:tcPr>
          <w:p w14:paraId="1FC58994" w14:textId="77777777" w:rsidR="005125AA" w:rsidRPr="00C45A03" w:rsidRDefault="005125AA" w:rsidP="00D92135">
            <w:pPr>
              <w:pStyle w:val="Tabletext"/>
              <w:jc w:val="center"/>
            </w:pPr>
            <w:r w:rsidRPr="00097C1F">
              <w:t>–</w:t>
            </w:r>
          </w:p>
        </w:tc>
        <w:tc>
          <w:tcPr>
            <w:tcW w:w="0" w:type="auto"/>
            <w:tcBorders>
              <w:top w:val="single" w:sz="4" w:space="0" w:color="auto"/>
              <w:left w:val="single" w:sz="4" w:space="0" w:color="auto"/>
              <w:bottom w:val="single" w:sz="4" w:space="0" w:color="auto"/>
              <w:right w:val="single" w:sz="4" w:space="0" w:color="auto"/>
            </w:tcBorders>
            <w:vAlign w:val="center"/>
          </w:tcPr>
          <w:p w14:paraId="783BAD0F" w14:textId="77777777" w:rsidR="005125AA" w:rsidRPr="002F2009" w:rsidRDefault="005125AA" w:rsidP="00D92135">
            <w:pPr>
              <w:pStyle w:val="Tabletext"/>
              <w:jc w:val="center"/>
            </w:pPr>
            <w:r w:rsidRPr="002F2009">
              <w:sym w:font="Wingdings" w:char="F0FC"/>
            </w:r>
            <w:r w:rsidRPr="002F2009">
              <w:t>‡</w:t>
            </w:r>
          </w:p>
        </w:tc>
        <w:tc>
          <w:tcPr>
            <w:tcW w:w="0" w:type="auto"/>
            <w:tcBorders>
              <w:top w:val="single" w:sz="4" w:space="0" w:color="auto"/>
              <w:left w:val="single" w:sz="4" w:space="0" w:color="auto"/>
              <w:bottom w:val="single" w:sz="4" w:space="0" w:color="auto"/>
              <w:right w:val="single" w:sz="4" w:space="0" w:color="auto"/>
            </w:tcBorders>
            <w:vAlign w:val="center"/>
          </w:tcPr>
          <w:p w14:paraId="246AFE6E" w14:textId="77777777" w:rsidR="005125AA" w:rsidRPr="00097C1F" w:rsidRDefault="005125AA" w:rsidP="00D92135">
            <w:pPr>
              <w:pStyle w:val="Tabletext"/>
              <w:jc w:val="center"/>
            </w:pPr>
            <w:r w:rsidRPr="00097C1F">
              <w:t>–</w:t>
            </w:r>
          </w:p>
        </w:tc>
        <w:tc>
          <w:tcPr>
            <w:tcW w:w="0" w:type="auto"/>
            <w:tcBorders>
              <w:top w:val="single" w:sz="4" w:space="0" w:color="auto"/>
              <w:left w:val="single" w:sz="4" w:space="0" w:color="auto"/>
              <w:bottom w:val="single" w:sz="4" w:space="0" w:color="auto"/>
              <w:right w:val="single" w:sz="4" w:space="0" w:color="auto"/>
            </w:tcBorders>
            <w:vAlign w:val="center"/>
          </w:tcPr>
          <w:p w14:paraId="37AF7DAE" w14:textId="77777777" w:rsidR="005125AA" w:rsidRPr="00097C1F" w:rsidRDefault="005125AA" w:rsidP="00D92135">
            <w:pPr>
              <w:pStyle w:val="Tabletext"/>
              <w:jc w:val="center"/>
            </w:pPr>
            <w:r w:rsidRPr="00097C1F">
              <w:t>–</w:t>
            </w:r>
          </w:p>
        </w:tc>
      </w:tr>
      <w:tr w:rsidR="005125AA" w:rsidRPr="00BF52F4" w14:paraId="4BE797B7" w14:textId="77777777" w:rsidTr="005125AA">
        <w:trPr>
          <w:trHeight w:val="178"/>
          <w:jc w:val="center"/>
        </w:trPr>
        <w:tc>
          <w:tcPr>
            <w:tcW w:w="0" w:type="auto"/>
            <w:vMerge w:val="restart"/>
            <w:tcBorders>
              <w:top w:val="single" w:sz="4" w:space="0" w:color="auto"/>
              <w:left w:val="single" w:sz="4" w:space="0" w:color="auto"/>
              <w:bottom w:val="single" w:sz="4" w:space="0" w:color="auto"/>
              <w:right w:val="single" w:sz="4" w:space="0" w:color="auto"/>
            </w:tcBorders>
          </w:tcPr>
          <w:p w14:paraId="491CF1C9" w14:textId="77777777" w:rsidR="005125AA" w:rsidRPr="00BF52F4" w:rsidRDefault="005125AA" w:rsidP="00D92135">
            <w:pPr>
              <w:pStyle w:val="Tabletext"/>
              <w:rPr>
                <w:b/>
              </w:rPr>
            </w:pPr>
            <w:r w:rsidRPr="00BF52F4">
              <w:rPr>
                <w:b/>
              </w:rPr>
              <w:t>Missing information</w:t>
            </w:r>
          </w:p>
        </w:tc>
        <w:tc>
          <w:tcPr>
            <w:tcW w:w="3057" w:type="dxa"/>
            <w:tcBorders>
              <w:top w:val="single" w:sz="4" w:space="0" w:color="auto"/>
              <w:left w:val="single" w:sz="4" w:space="0" w:color="auto"/>
              <w:bottom w:val="single" w:sz="4" w:space="0" w:color="auto"/>
              <w:right w:val="single" w:sz="4" w:space="0" w:color="auto"/>
            </w:tcBorders>
          </w:tcPr>
          <w:p w14:paraId="76747D17" w14:textId="36226442" w:rsidR="005125AA" w:rsidRPr="00BF52F4" w:rsidRDefault="005125AA" w:rsidP="00D92135">
            <w:pPr>
              <w:pStyle w:val="Tabletext"/>
            </w:pPr>
            <w:r w:rsidRPr="005A052C">
              <w:t>Safety in</w:t>
            </w:r>
            <w:r>
              <w:t xml:space="preserve"> patients with moderate hepatic </w:t>
            </w:r>
            <w:r w:rsidRPr="005A052C">
              <w:t xml:space="preserve">impairment (Child-Pugh B) </w:t>
            </w:r>
          </w:p>
        </w:tc>
        <w:tc>
          <w:tcPr>
            <w:tcW w:w="946" w:type="dxa"/>
            <w:tcBorders>
              <w:top w:val="single" w:sz="4" w:space="0" w:color="auto"/>
              <w:left w:val="single" w:sz="4" w:space="0" w:color="auto"/>
              <w:bottom w:val="single" w:sz="4" w:space="0" w:color="auto"/>
              <w:right w:val="single" w:sz="4" w:space="0" w:color="auto"/>
            </w:tcBorders>
            <w:vAlign w:val="center"/>
          </w:tcPr>
          <w:p w14:paraId="6DEFC9B9" w14:textId="77777777" w:rsidR="005125AA" w:rsidRPr="00C45A03" w:rsidRDefault="005125AA" w:rsidP="00D92135">
            <w:pPr>
              <w:pStyle w:val="Tabletext"/>
              <w:jc w:val="center"/>
            </w:pPr>
            <w:r w:rsidRPr="00F30E4F">
              <w:t>–</w:t>
            </w:r>
            <w:r w:rsidRPr="00C45A03">
              <w:t>*</w:t>
            </w:r>
          </w:p>
        </w:tc>
        <w:tc>
          <w:tcPr>
            <w:tcW w:w="0" w:type="auto"/>
            <w:tcBorders>
              <w:top w:val="single" w:sz="4" w:space="0" w:color="auto"/>
              <w:left w:val="single" w:sz="4" w:space="0" w:color="auto"/>
              <w:bottom w:val="single" w:sz="4" w:space="0" w:color="auto"/>
              <w:right w:val="single" w:sz="4" w:space="0" w:color="auto"/>
            </w:tcBorders>
            <w:vAlign w:val="center"/>
          </w:tcPr>
          <w:p w14:paraId="231AAD7A" w14:textId="77777777" w:rsidR="005125AA" w:rsidRPr="002F2009" w:rsidRDefault="005125AA" w:rsidP="00D92135">
            <w:pPr>
              <w:pStyle w:val="Tabletext"/>
              <w:jc w:val="center"/>
            </w:pPr>
            <w:r w:rsidRPr="002F2009">
              <w:t>–</w:t>
            </w:r>
          </w:p>
        </w:tc>
        <w:tc>
          <w:tcPr>
            <w:tcW w:w="0" w:type="auto"/>
            <w:tcBorders>
              <w:top w:val="single" w:sz="4" w:space="0" w:color="auto"/>
              <w:left w:val="single" w:sz="4" w:space="0" w:color="auto"/>
              <w:bottom w:val="single" w:sz="4" w:space="0" w:color="auto"/>
              <w:right w:val="single" w:sz="4" w:space="0" w:color="auto"/>
            </w:tcBorders>
            <w:vAlign w:val="center"/>
          </w:tcPr>
          <w:p w14:paraId="517DF11E" w14:textId="77777777" w:rsidR="005125AA" w:rsidRPr="00097C1F" w:rsidRDefault="005125AA" w:rsidP="00D92135">
            <w:pPr>
              <w:pStyle w:val="Tabletext"/>
              <w:jc w:val="center"/>
            </w:pPr>
            <w:r w:rsidRPr="00097C1F">
              <w:sym w:font="Wingdings" w:char="F0FC"/>
            </w:r>
          </w:p>
        </w:tc>
        <w:tc>
          <w:tcPr>
            <w:tcW w:w="0" w:type="auto"/>
            <w:tcBorders>
              <w:top w:val="single" w:sz="4" w:space="0" w:color="auto"/>
              <w:left w:val="single" w:sz="4" w:space="0" w:color="auto"/>
              <w:bottom w:val="single" w:sz="4" w:space="0" w:color="auto"/>
              <w:right w:val="single" w:sz="4" w:space="0" w:color="auto"/>
            </w:tcBorders>
            <w:vAlign w:val="center"/>
          </w:tcPr>
          <w:p w14:paraId="6797F6E5" w14:textId="77777777" w:rsidR="005125AA" w:rsidRPr="00097C1F" w:rsidRDefault="005125AA" w:rsidP="00D92135">
            <w:pPr>
              <w:pStyle w:val="Tabletext"/>
              <w:jc w:val="center"/>
            </w:pPr>
            <w:r w:rsidRPr="00097C1F">
              <w:t>–</w:t>
            </w:r>
          </w:p>
        </w:tc>
      </w:tr>
      <w:tr w:rsidR="005125AA" w:rsidRPr="00BF52F4" w14:paraId="4B3847FD" w14:textId="77777777" w:rsidTr="005125AA">
        <w:trPr>
          <w:trHeight w:val="140"/>
          <w:jc w:val="center"/>
        </w:trPr>
        <w:tc>
          <w:tcPr>
            <w:tcW w:w="0" w:type="auto"/>
            <w:vMerge/>
            <w:tcBorders>
              <w:top w:val="single" w:sz="4" w:space="0" w:color="auto"/>
              <w:left w:val="single" w:sz="4" w:space="0" w:color="auto"/>
              <w:bottom w:val="single" w:sz="4" w:space="0" w:color="auto"/>
              <w:right w:val="single" w:sz="4" w:space="0" w:color="auto"/>
            </w:tcBorders>
          </w:tcPr>
          <w:p w14:paraId="0EB4303C" w14:textId="77777777" w:rsidR="005125AA" w:rsidRPr="00BF52F4" w:rsidRDefault="005125AA" w:rsidP="00D92135">
            <w:pPr>
              <w:pStyle w:val="Tabletext"/>
            </w:pPr>
          </w:p>
        </w:tc>
        <w:tc>
          <w:tcPr>
            <w:tcW w:w="3057" w:type="dxa"/>
            <w:tcBorders>
              <w:top w:val="single" w:sz="4" w:space="0" w:color="auto"/>
              <w:left w:val="single" w:sz="4" w:space="0" w:color="auto"/>
              <w:bottom w:val="single" w:sz="4" w:space="0" w:color="auto"/>
              <w:right w:val="single" w:sz="4" w:space="0" w:color="auto"/>
            </w:tcBorders>
          </w:tcPr>
          <w:p w14:paraId="31AB1EBA" w14:textId="2CF2BB44" w:rsidR="005125AA" w:rsidRPr="00BF52F4" w:rsidRDefault="005125AA" w:rsidP="00D92135">
            <w:pPr>
              <w:pStyle w:val="Tabletext"/>
            </w:pPr>
            <w:r w:rsidRPr="008C23EA">
              <w:t>Safety in patien</w:t>
            </w:r>
            <w:r>
              <w:t xml:space="preserve">ts with previous hepatocellular </w:t>
            </w:r>
            <w:r w:rsidRPr="008C23EA">
              <w:t>carc</w:t>
            </w:r>
            <w:r>
              <w:t>in</w:t>
            </w:r>
            <w:r w:rsidRPr="008C23EA">
              <w:t>oma</w:t>
            </w:r>
          </w:p>
        </w:tc>
        <w:tc>
          <w:tcPr>
            <w:tcW w:w="946" w:type="dxa"/>
            <w:tcBorders>
              <w:top w:val="single" w:sz="4" w:space="0" w:color="auto"/>
              <w:left w:val="single" w:sz="4" w:space="0" w:color="auto"/>
              <w:bottom w:val="single" w:sz="4" w:space="0" w:color="auto"/>
              <w:right w:val="single" w:sz="4" w:space="0" w:color="auto"/>
            </w:tcBorders>
            <w:vAlign w:val="center"/>
          </w:tcPr>
          <w:p w14:paraId="0CC69081" w14:textId="77777777" w:rsidR="005125AA" w:rsidRPr="00C45A03" w:rsidRDefault="005125AA" w:rsidP="00D92135">
            <w:pPr>
              <w:pStyle w:val="Tabletext"/>
              <w:jc w:val="center"/>
            </w:pPr>
            <w:r w:rsidRPr="00F30E4F">
              <w:t>–</w:t>
            </w:r>
          </w:p>
        </w:tc>
        <w:tc>
          <w:tcPr>
            <w:tcW w:w="0" w:type="auto"/>
            <w:tcBorders>
              <w:top w:val="single" w:sz="4" w:space="0" w:color="auto"/>
              <w:left w:val="single" w:sz="4" w:space="0" w:color="auto"/>
              <w:bottom w:val="single" w:sz="4" w:space="0" w:color="auto"/>
              <w:right w:val="single" w:sz="4" w:space="0" w:color="auto"/>
            </w:tcBorders>
            <w:vAlign w:val="center"/>
          </w:tcPr>
          <w:p w14:paraId="38A24A8E" w14:textId="77777777" w:rsidR="005125AA" w:rsidRPr="002F2009" w:rsidRDefault="005125AA" w:rsidP="00D92135">
            <w:pPr>
              <w:pStyle w:val="Tabletext"/>
              <w:jc w:val="center"/>
            </w:pPr>
            <w:r w:rsidRPr="002F2009">
              <w:sym w:font="Wingdings" w:char="F0FC"/>
            </w:r>
            <w:r w:rsidRPr="002F2009">
              <w:t>§</w:t>
            </w:r>
          </w:p>
        </w:tc>
        <w:tc>
          <w:tcPr>
            <w:tcW w:w="0" w:type="auto"/>
            <w:tcBorders>
              <w:top w:val="single" w:sz="4" w:space="0" w:color="auto"/>
              <w:left w:val="single" w:sz="4" w:space="0" w:color="auto"/>
              <w:bottom w:val="single" w:sz="4" w:space="0" w:color="auto"/>
              <w:right w:val="single" w:sz="4" w:space="0" w:color="auto"/>
            </w:tcBorders>
            <w:vAlign w:val="center"/>
          </w:tcPr>
          <w:p w14:paraId="4512EB13" w14:textId="77777777" w:rsidR="005125AA" w:rsidRPr="00097C1F" w:rsidRDefault="005125AA" w:rsidP="00D92135">
            <w:pPr>
              <w:pStyle w:val="Tabletext"/>
              <w:jc w:val="center"/>
            </w:pPr>
            <w:r w:rsidRPr="00097C1F">
              <w:t>–</w:t>
            </w:r>
          </w:p>
        </w:tc>
        <w:tc>
          <w:tcPr>
            <w:tcW w:w="0" w:type="auto"/>
            <w:tcBorders>
              <w:top w:val="single" w:sz="4" w:space="0" w:color="auto"/>
              <w:left w:val="single" w:sz="4" w:space="0" w:color="auto"/>
              <w:bottom w:val="single" w:sz="4" w:space="0" w:color="auto"/>
              <w:right w:val="single" w:sz="4" w:space="0" w:color="auto"/>
            </w:tcBorders>
            <w:vAlign w:val="center"/>
          </w:tcPr>
          <w:p w14:paraId="01D1084E" w14:textId="77777777" w:rsidR="005125AA" w:rsidRPr="00097C1F" w:rsidRDefault="005125AA" w:rsidP="00D92135">
            <w:pPr>
              <w:pStyle w:val="Tabletext"/>
              <w:jc w:val="center"/>
            </w:pPr>
            <w:r w:rsidRPr="00097C1F">
              <w:t>–</w:t>
            </w:r>
          </w:p>
        </w:tc>
      </w:tr>
    </w:tbl>
    <w:p w14:paraId="55127360" w14:textId="77777777" w:rsidR="005125AA" w:rsidRPr="00003A79" w:rsidRDefault="005125AA" w:rsidP="005524BD">
      <w:pPr>
        <w:pStyle w:val="TableDescription"/>
      </w:pPr>
      <w:r w:rsidRPr="00003A79">
        <w:t>* Targeted follow up form</w:t>
      </w:r>
    </w:p>
    <w:p w14:paraId="3FE10969" w14:textId="77777777" w:rsidR="005125AA" w:rsidRPr="00003A79" w:rsidRDefault="005125AA" w:rsidP="005524BD">
      <w:pPr>
        <w:pStyle w:val="TableDescription"/>
      </w:pPr>
      <w:r w:rsidRPr="00003A79">
        <w:t>‡ Study B20-146</w:t>
      </w:r>
    </w:p>
    <w:p w14:paraId="5704D125" w14:textId="17587FD8" w:rsidR="00913134" w:rsidRPr="00003A79" w:rsidRDefault="005125AA" w:rsidP="005524BD">
      <w:pPr>
        <w:pStyle w:val="TableDescription"/>
      </w:pPr>
      <w:r w:rsidRPr="00003A79">
        <w:t>§ PASS study B16-959</w:t>
      </w:r>
    </w:p>
    <w:p w14:paraId="382342A7" w14:textId="2A84961B" w:rsidR="005125AA" w:rsidRDefault="005125AA" w:rsidP="005125AA">
      <w:r>
        <w:t xml:space="preserve">No new safety concerns have been proposed for the new formulation and indication. The Australian specific safety concern ‘use in patients below 12 years of age’ has been removed from the summary of safety concerns, in support of the application to extend the use of Maviret in paediatric patients. At </w:t>
      </w:r>
      <w:r w:rsidR="00C6372E">
        <w:t xml:space="preserve">the first </w:t>
      </w:r>
      <w:r w:rsidR="00071A0B">
        <w:t>round</w:t>
      </w:r>
      <w:r>
        <w:t xml:space="preserve"> the important identified risks of ‘</w:t>
      </w:r>
      <w:r w:rsidRPr="00F22C04">
        <w:t>HBV</w:t>
      </w:r>
      <w:r>
        <w:t xml:space="preserve"> </w:t>
      </w:r>
      <w:r w:rsidR="00F22C04">
        <w:t xml:space="preserve">[hepatitis B virus] </w:t>
      </w:r>
      <w:r>
        <w:t>reactivation’ and ‘resistance development’, the important potential risk of ‘drug-drug interaction’, and the missing information ‘safety in pregnant and breastfeeding patients’ were removed from the ASA to align with a revised EU RMP. The summary of safety concerns aligns with the EU RMP and no new safety concerns were raised during the current evaluation. The summary of safety concerns is acceptable.</w:t>
      </w:r>
    </w:p>
    <w:p w14:paraId="3BC0E286" w14:textId="3B7F521D" w:rsidR="005125AA" w:rsidRDefault="005125AA" w:rsidP="005125AA">
      <w:r>
        <w:t xml:space="preserve">The sponsor has updated the ‘summary of the RMP’ table in the ASA to include routine pharmacovigilance for all safety concerns as requested. A targeted follow up form has been included in the ASA for the missing information ‘safety in patients with moderate hepatic impairment (Child-Pugh B)’, in alignment with the EU RMP. Additional pharmacovigilance activities were </w:t>
      </w:r>
      <w:r>
        <w:lastRenderedPageBreak/>
        <w:t xml:space="preserve">proposed at round 1 for risks of ‘resistance development’, ‘recurrence/emergence of hepatocellular carcinoma’ and ‘safety in patients with previous hepatocellular carcinoma’. At </w:t>
      </w:r>
      <w:r w:rsidR="00003A79">
        <w:t>the second round</w:t>
      </w:r>
      <w:r>
        <w:t xml:space="preserve"> the sponsor has confirmed the completion and consequently the removal of Study M13-576 and confirmed the status of the remaining additional pharmacovigilance activities. The pharmacovigilance plan is acceptable.</w:t>
      </w:r>
    </w:p>
    <w:p w14:paraId="71BF110F" w14:textId="1E7E073E" w:rsidR="005125AA" w:rsidRDefault="005125AA" w:rsidP="005125AA">
      <w:r>
        <w:t xml:space="preserve">Routine risk minimisation activities remain unchanged from ASA version 4.2. Additional risk minimisation activities are not proposed. An instruction for use leaflet will be included in the product packaging for the proposed granules formulation to guide user compliance. At round 2 the sponsor has incorporated agreed changes to the PI, Consumer Medicines Information (CMI) and instruction for use (IFU) to strengthen the communication and help minimise the risk of medication error due to lack of interchangeability between existing film coated tablet and newly proposed granular dosage forms. At </w:t>
      </w:r>
      <w:r w:rsidR="00071A0B">
        <w:t>third round</w:t>
      </w:r>
      <w:r>
        <w:t xml:space="preserve"> the sponsor updated the CMI and PI to ensure a full course of treatment with the same presentation and with instructions should vomiting </w:t>
      </w:r>
      <w:r w:rsidR="00AC4016">
        <w:t>occur but</w:t>
      </w:r>
      <w:r>
        <w:t xml:space="preserve"> has not agreed to include the Black Triangle Scheme statement and wording on the IFU document. This issue will not be pursued. The risk minimisation plan is considered acceptable. </w:t>
      </w:r>
    </w:p>
    <w:p w14:paraId="392D4C06" w14:textId="2F7D91C8" w:rsidR="005125AA" w:rsidRDefault="005125AA" w:rsidP="005125AA">
      <w:r>
        <w:t>There are no new or outstanding recommendations.</w:t>
      </w:r>
    </w:p>
    <w:p w14:paraId="7F4E81E4" w14:textId="4634E389" w:rsidR="00A35A1A" w:rsidRDefault="008B4368" w:rsidP="00A35A1A">
      <w:pPr>
        <w:pStyle w:val="Heading4"/>
      </w:pPr>
      <w:r>
        <w:t xml:space="preserve">Proposed wording for </w:t>
      </w:r>
      <w:r w:rsidR="00A35A1A">
        <w:t>conditions of registration</w:t>
      </w:r>
    </w:p>
    <w:p w14:paraId="0C6F33B5" w14:textId="77777777" w:rsidR="00A35A1A" w:rsidRPr="00A35A1A" w:rsidRDefault="00A35A1A" w:rsidP="00A35A1A">
      <w:r w:rsidRPr="00A35A1A">
        <w:t xml:space="preserve">Any changes to which the sponsor has agreed should be included in a revised RMP and ASA. However, irrespective of </w:t>
      </w:r>
      <w:proofErr w:type="gramStart"/>
      <w:r w:rsidRPr="00A35A1A">
        <w:t>whether or not</w:t>
      </w:r>
      <w:proofErr w:type="gramEnd"/>
      <w:r w:rsidRPr="00A35A1A">
        <w:t xml:space="preserve"> they are included in the currently available version of the RMP document, the agreed changes become part of the risk management system. </w:t>
      </w:r>
    </w:p>
    <w:p w14:paraId="211F5357" w14:textId="6949DC67" w:rsidR="00A35A1A" w:rsidRPr="00070376" w:rsidRDefault="00A35A1A" w:rsidP="00A35A1A">
      <w:r w:rsidRPr="00070376">
        <w:t>The suggested wording is:</w:t>
      </w:r>
    </w:p>
    <w:p w14:paraId="49CCE701" w14:textId="7D6E24FB" w:rsidR="00A35A1A" w:rsidRPr="00070376" w:rsidRDefault="00A35A1A" w:rsidP="00A35A1A">
      <w:pPr>
        <w:ind w:left="720"/>
        <w:rPr>
          <w:i/>
          <w:iCs/>
        </w:rPr>
      </w:pPr>
      <w:r w:rsidRPr="00A35A1A">
        <w:t>‘The Maviret EU-Risk Management Plan (RMP) (version 8.0, dated April 2021, data lock point 25 July 2020), with Australian Specific Annex (version 7.0, dated July 2021), included with submission PM-2020-06602-1-2, and any subsequent revisions, as agreed with the TGA will be implemented in Australia.’</w:t>
      </w:r>
    </w:p>
    <w:p w14:paraId="54C6E642" w14:textId="77777777" w:rsidR="00A35A1A" w:rsidRPr="00070376" w:rsidRDefault="00A35A1A" w:rsidP="00A35A1A">
      <w:r w:rsidRPr="00070376">
        <w:t>The following wording is recommended for the PSUR requirement:</w:t>
      </w:r>
    </w:p>
    <w:p w14:paraId="6D7C4418" w14:textId="5B239F81" w:rsidR="00A35A1A" w:rsidRPr="00A35A1A" w:rsidRDefault="00A35A1A" w:rsidP="00A35A1A">
      <w:pPr>
        <w:ind w:left="720"/>
      </w:pPr>
      <w:r w:rsidRPr="00A35A1A">
        <w:t xml:space="preserve">‘An obligatory component of risk management plans is routine pharmacovigilance. Routine pharmacovigilance includes the submission of periodic safety update reports (PSURs). </w:t>
      </w:r>
    </w:p>
    <w:p w14:paraId="534D4FEB" w14:textId="2664AB7E" w:rsidR="00A35A1A" w:rsidRPr="00A35A1A" w:rsidRDefault="00A35A1A" w:rsidP="00A35A1A">
      <w:pPr>
        <w:ind w:left="720"/>
      </w:pPr>
      <w:r w:rsidRPr="00A35A1A">
        <w:t xml:space="preserve">Reports are to be provided in line with the current published list of EU reference dates and frequency of submission of PSURs until the period covered by such reports is not less than three years from the date of </w:t>
      </w:r>
      <w:r w:rsidR="00071A0B">
        <w:t>the</w:t>
      </w:r>
      <w:r w:rsidRPr="00A35A1A">
        <w:t xml:space="preserve"> approval letter. </w:t>
      </w:r>
    </w:p>
    <w:p w14:paraId="57FFC64F" w14:textId="0B08874A" w:rsidR="00A35A1A" w:rsidRPr="00A35A1A" w:rsidRDefault="00A35A1A" w:rsidP="00A35A1A">
      <w:pPr>
        <w:ind w:left="720"/>
      </w:pPr>
      <w:r w:rsidRPr="00A35A1A">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0A6799AC" w14:textId="77777777" w:rsidR="00A35A1A" w:rsidRPr="00070376" w:rsidRDefault="00A35A1A" w:rsidP="00A35A1A">
      <w:pPr>
        <w:rPr>
          <w:i/>
          <w:iCs/>
        </w:rPr>
      </w:pPr>
      <w:r w:rsidRPr="00A35A1A">
        <w:t>As the indications for Maviret are being extended into a significantly different (paediatric) population it should be included in the Black Triangle Scheme as a condition of registration. The following wording is recommended for the condition of registration</w:t>
      </w:r>
      <w:r w:rsidRPr="00070376">
        <w:t>:</w:t>
      </w:r>
    </w:p>
    <w:p w14:paraId="306775A6" w14:textId="0C192E42" w:rsidR="00A35A1A" w:rsidRPr="00A35A1A" w:rsidRDefault="00A35A1A" w:rsidP="00A35A1A">
      <w:pPr>
        <w:ind w:left="720"/>
        <w:rPr>
          <w:highlight w:val="lightGray"/>
        </w:rPr>
      </w:pPr>
      <w:r w:rsidRPr="00A35A1A">
        <w:t>‘Maviret (glecaprevir/pibrentasvir) is to be included in the Black Triangle Scheme. The PI and CMI for Maviret must include the black triangle symbol and mandatory accompanying text for five years, which starts from the date the new indication is registered.’</w:t>
      </w:r>
    </w:p>
    <w:p w14:paraId="5A5D2EBF" w14:textId="77777777" w:rsidR="008E7846" w:rsidRDefault="00AA0ED0" w:rsidP="008E7846">
      <w:pPr>
        <w:pStyle w:val="Heading3"/>
      </w:pPr>
      <w:bookmarkStart w:id="59" w:name="_Toc128033649"/>
      <w:r>
        <w:t>Risk-benefit a</w:t>
      </w:r>
      <w:r w:rsidR="008E7846">
        <w:t>nalysis</w:t>
      </w:r>
      <w:bookmarkEnd w:id="54"/>
      <w:bookmarkEnd w:id="55"/>
      <w:bookmarkEnd w:id="59"/>
    </w:p>
    <w:p w14:paraId="43D7434E" w14:textId="7239FF5F" w:rsidR="0074163C" w:rsidRDefault="0074163C" w:rsidP="0074163C">
      <w:pPr>
        <w:pStyle w:val="Heading4"/>
      </w:pPr>
      <w:bookmarkStart w:id="60" w:name="_Toc98931932"/>
      <w:r>
        <w:t>Delegate’s considerations</w:t>
      </w:r>
      <w:bookmarkEnd w:id="60"/>
    </w:p>
    <w:p w14:paraId="3606DF1E" w14:textId="7AA365C6" w:rsidR="00A35A1A" w:rsidRDefault="00A35A1A" w:rsidP="00A35A1A">
      <w:pPr>
        <w:pStyle w:val="Heading5"/>
      </w:pPr>
      <w:r>
        <w:t xml:space="preserve">Pharmacokinetic data and proposed </w:t>
      </w:r>
      <w:proofErr w:type="gramStart"/>
      <w:r>
        <w:t>weight based</w:t>
      </w:r>
      <w:proofErr w:type="gramEnd"/>
      <w:r>
        <w:t xml:space="preserve"> dosing</w:t>
      </w:r>
    </w:p>
    <w:p w14:paraId="3D14A673" w14:textId="74316A74" w:rsidR="00A35A1A" w:rsidRDefault="00A35A1A" w:rsidP="00A35A1A">
      <w:pPr>
        <w:pStyle w:val="Heading6"/>
      </w:pPr>
      <w:r>
        <w:t>Dose change during the clinical trial program</w:t>
      </w:r>
    </w:p>
    <w:p w14:paraId="3D0B83C2" w14:textId="0CCE9C21" w:rsidR="00A35A1A" w:rsidRPr="00A35A1A" w:rsidRDefault="00A35A1A" w:rsidP="00A35A1A">
      <w:r w:rsidRPr="00A35A1A">
        <w:t>The sponsor originally trialled a lower dose ratio (</w:t>
      </w:r>
      <w:r w:rsidR="00121E86" w:rsidRPr="00A35A1A">
        <w:t xml:space="preserve">40 mg </w:t>
      </w:r>
      <w:r w:rsidR="00121E86">
        <w:t>g</w:t>
      </w:r>
      <w:r w:rsidR="00121E86" w:rsidRPr="00786397">
        <w:t>lecaprevir</w:t>
      </w:r>
      <w:r w:rsidRPr="00A35A1A">
        <w:t>/</w:t>
      </w:r>
      <w:r w:rsidR="00121E86" w:rsidRPr="00A35A1A">
        <w:t xml:space="preserve">15 mg </w:t>
      </w:r>
      <w:r w:rsidR="00605660" w:rsidRPr="00DB42E3">
        <w:t>pibrentasvir</w:t>
      </w:r>
      <w:r w:rsidRPr="00A35A1A">
        <w:t>) with multiples thereof for dosing in 17 patients. This resulted in lower pharmacokinetic exposure compared to adult exposure. One patient in the lower dose cohort experienced virologic failure. Consequently, the treatment was altered to a different formulation (</w:t>
      </w:r>
      <w:r w:rsidR="00121E86" w:rsidRPr="00A35A1A">
        <w:t>50</w:t>
      </w:r>
      <w:r w:rsidR="00121E86">
        <w:t> </w:t>
      </w:r>
      <w:r w:rsidR="00121E86" w:rsidRPr="00A35A1A">
        <w:t>mg</w:t>
      </w:r>
      <w:r w:rsidR="00121E86">
        <w:t xml:space="preserve"> g</w:t>
      </w:r>
      <w:r w:rsidR="00121E86" w:rsidRPr="00786397">
        <w:t>lecaprevir</w:t>
      </w:r>
      <w:r w:rsidRPr="00A35A1A">
        <w:t>/</w:t>
      </w:r>
      <w:r w:rsidR="00121E86" w:rsidRPr="00A35A1A">
        <w:t xml:space="preserve">20 mg </w:t>
      </w:r>
      <w:r w:rsidR="00605660" w:rsidRPr="00DB42E3">
        <w:t>pibrentasvir</w:t>
      </w:r>
      <w:r w:rsidRPr="00A35A1A">
        <w:t>) with multiples thereof for dosing in 62 patients. With the increased dose, no patients experienced virologic failure.</w:t>
      </w:r>
    </w:p>
    <w:p w14:paraId="26CDCCF8" w14:textId="3FD58785" w:rsidR="00A35A1A" w:rsidRDefault="00A35A1A" w:rsidP="00A35A1A">
      <w:r w:rsidRPr="00A35A1A">
        <w:t xml:space="preserve">The sponsor claims that the new dosing </w:t>
      </w:r>
      <w:r>
        <w:t xml:space="preserve">which </w:t>
      </w:r>
      <w:r w:rsidRPr="00A35A1A">
        <w:t>would lead to exposure was comparable to that of the adult dose in adults.</w:t>
      </w:r>
    </w:p>
    <w:p w14:paraId="6E6F21F6" w14:textId="122A1ED0" w:rsidR="00A35A1A" w:rsidRDefault="00A35A1A" w:rsidP="00A35A1A">
      <w:pPr>
        <w:pStyle w:val="Heading6"/>
      </w:pPr>
      <w:r>
        <w:t>Population pharmacokinetic data issues</w:t>
      </w:r>
    </w:p>
    <w:p w14:paraId="075BBE51" w14:textId="319BEAA2" w:rsidR="00A35A1A" w:rsidRDefault="00A35A1A" w:rsidP="00A35A1A">
      <w:r>
        <w:t xml:space="preserve">The provided population PK analysis generally supports the use of the proposed body weight </w:t>
      </w:r>
      <w:proofErr w:type="gramStart"/>
      <w:r>
        <w:t>group based</w:t>
      </w:r>
      <w:proofErr w:type="gramEnd"/>
      <w:r>
        <w:t xml:space="preserve"> dosing for paediatric subjects. Intensive PK sampling only occurred in 29 patients.</w:t>
      </w:r>
    </w:p>
    <w:p w14:paraId="65A0CDC4" w14:textId="77777777" w:rsidR="00A35A1A" w:rsidRDefault="00A35A1A" w:rsidP="00A35A1A">
      <w:r>
        <w:t>However, there were some issues with the population PK data which include:</w:t>
      </w:r>
    </w:p>
    <w:p w14:paraId="6502B5B6" w14:textId="1E0EC9A8" w:rsidR="00A35A1A" w:rsidRDefault="00A35A1A" w:rsidP="00A35A1A">
      <w:pPr>
        <w:pStyle w:val="ListBullet"/>
      </w:pPr>
      <w:r>
        <w:t xml:space="preserve">There were no patients with </w:t>
      </w:r>
      <w:r w:rsidR="00A01E26">
        <w:t xml:space="preserve">genotype </w:t>
      </w:r>
      <w:r>
        <w:t>5 or 6</w:t>
      </w:r>
      <w:r w:rsidR="00003A79">
        <w:t xml:space="preserve"> HCV</w:t>
      </w:r>
      <w:r>
        <w:t xml:space="preserve">, or cirrhotic patients. However, if pharmacokinetic data are comparable to data in adults, it would not be unreasonable to extrapolate to those genotypes, given the rarity of patients with </w:t>
      </w:r>
      <w:r w:rsidR="00A01E26">
        <w:t xml:space="preserve">genotype </w:t>
      </w:r>
      <w:r>
        <w:t>5 or 6</w:t>
      </w:r>
      <w:r w:rsidR="00003A79">
        <w:t xml:space="preserve"> HCV</w:t>
      </w:r>
      <w:r>
        <w:t>.</w:t>
      </w:r>
    </w:p>
    <w:p w14:paraId="3401FB55" w14:textId="5C307B0F" w:rsidR="00A35A1A" w:rsidRDefault="00A35A1A" w:rsidP="00A35A1A">
      <w:pPr>
        <w:pStyle w:val="ListBullet"/>
      </w:pPr>
      <w:r>
        <w:lastRenderedPageBreak/>
        <w:t>The reported plots and discussion involved PK exposure ranges and did not include the definition or the investigation of an efficacious range.</w:t>
      </w:r>
    </w:p>
    <w:p w14:paraId="4B13BB27" w14:textId="0AA12A04" w:rsidR="00A35A1A" w:rsidRDefault="00A35A1A" w:rsidP="00A35A1A">
      <w:pPr>
        <w:pStyle w:val="ListBullet"/>
      </w:pPr>
      <w:r>
        <w:t>The prediction corrected visual predictiv</w:t>
      </w:r>
      <w:r w:rsidRPr="00A3571E">
        <w:t>e checks showed</w:t>
      </w:r>
      <w:r>
        <w:t xml:space="preserve"> potential issues in the absorption and elimination phases for </w:t>
      </w:r>
      <w:r w:rsidR="00121E86">
        <w:t>g</w:t>
      </w:r>
      <w:r w:rsidR="00121E86" w:rsidRPr="00786397">
        <w:t>lecaprevir</w:t>
      </w:r>
      <w:r>
        <w:t xml:space="preserve">, and the elimination phase for </w:t>
      </w:r>
      <w:r w:rsidR="00605660" w:rsidRPr="00DB42E3">
        <w:t>pibrentasvir</w:t>
      </w:r>
      <w:r>
        <w:t>. Modelling was made more difficult by the non</w:t>
      </w:r>
      <w:r w:rsidR="00D20985">
        <w:t>l</w:t>
      </w:r>
      <w:r>
        <w:t xml:space="preserve">inear PK characteristics of both </w:t>
      </w:r>
      <w:r w:rsidR="00605660" w:rsidRPr="00DB42E3">
        <w:t>pibrentasvir</w:t>
      </w:r>
      <w:r>
        <w:t xml:space="preserve"> and </w:t>
      </w:r>
      <w:r w:rsidR="00121E86">
        <w:t>g</w:t>
      </w:r>
      <w:r w:rsidR="00121E86" w:rsidRPr="00786397">
        <w:t>lecaprevir</w:t>
      </w:r>
      <w:r>
        <w:t>.</w:t>
      </w:r>
    </w:p>
    <w:p w14:paraId="4EFFA7C0" w14:textId="48721E92" w:rsidR="00A35A1A" w:rsidRDefault="00A35A1A" w:rsidP="00A35A1A">
      <w:pPr>
        <w:pStyle w:val="ListBullet"/>
      </w:pPr>
      <w:r>
        <w:t>Assuming that the model was reasonably robust to provide valid results, the estimated paediatric geometric mean AUC</w:t>
      </w:r>
      <w:r w:rsidR="004A552B" w:rsidRPr="004A552B">
        <w:rPr>
          <w:vertAlign w:val="subscript"/>
        </w:rPr>
        <w:t>0-</w:t>
      </w:r>
      <w:r w:rsidRPr="004A552B">
        <w:rPr>
          <w:vertAlign w:val="subscript"/>
        </w:rPr>
        <w:t>24</w:t>
      </w:r>
      <w:r w:rsidR="00003A79">
        <w:rPr>
          <w:vertAlign w:val="subscript"/>
        </w:rPr>
        <w:t>h</w:t>
      </w:r>
      <w:r w:rsidRPr="004A552B">
        <w:rPr>
          <w:vertAlign w:val="subscript"/>
        </w:rPr>
        <w:t xml:space="preserve"> </w:t>
      </w:r>
      <w:r>
        <w:t xml:space="preserve">were higher (up to 77% for </w:t>
      </w:r>
      <w:r w:rsidR="00121E86">
        <w:t>g</w:t>
      </w:r>
      <w:r w:rsidR="00121E86" w:rsidRPr="00786397">
        <w:t>lecaprevir</w:t>
      </w:r>
      <w:r>
        <w:t xml:space="preserve"> (Cohort 4) and up to 44% for </w:t>
      </w:r>
      <w:r w:rsidR="00605660" w:rsidRPr="00DB42E3">
        <w:t>pibrentasvir</w:t>
      </w:r>
      <w:r>
        <w:t xml:space="preserve"> (Cohort 2)) than the reported geometric mean </w:t>
      </w:r>
      <w:r w:rsidR="00121E86">
        <w:t>g</w:t>
      </w:r>
      <w:r w:rsidR="00121E86" w:rsidRPr="00786397">
        <w:t>lecaprevir</w:t>
      </w:r>
      <w:r>
        <w:t xml:space="preserve"> and </w:t>
      </w:r>
      <w:r w:rsidR="00605660" w:rsidRPr="00DB42E3">
        <w:t>pibrentasvir</w:t>
      </w:r>
      <w:r>
        <w:t xml:space="preserve"> AUC</w:t>
      </w:r>
      <w:r w:rsidR="004A552B" w:rsidRPr="004A552B">
        <w:rPr>
          <w:vertAlign w:val="subscript"/>
        </w:rPr>
        <w:t>0-</w:t>
      </w:r>
      <w:r w:rsidRPr="004A552B">
        <w:rPr>
          <w:vertAlign w:val="subscript"/>
        </w:rPr>
        <w:t>24</w:t>
      </w:r>
      <w:r w:rsidR="00003A79">
        <w:rPr>
          <w:vertAlign w:val="subscript"/>
        </w:rPr>
        <w:t>h</w:t>
      </w:r>
      <w:r w:rsidRPr="004A552B">
        <w:rPr>
          <w:vertAlign w:val="subscript"/>
        </w:rPr>
        <w:t xml:space="preserve"> </w:t>
      </w:r>
      <w:r>
        <w:t>in HCV</w:t>
      </w:r>
      <w:r w:rsidR="004A552B">
        <w:t xml:space="preserve"> </w:t>
      </w:r>
      <w:r>
        <w:t>infected noncirrhotic adults receiving 300</w:t>
      </w:r>
      <w:r w:rsidR="00F22C04">
        <w:t> </w:t>
      </w:r>
      <w:r>
        <w:t>mg/120 mg. There was a very large difference in sample sizes and rather large variability (high or moderate to high %CV), and hence caution is required for interpretation, but may still be acceptable.</w:t>
      </w:r>
    </w:p>
    <w:p w14:paraId="74ECD765" w14:textId="6D486218" w:rsidR="00A35A1A" w:rsidRDefault="00A35A1A" w:rsidP="00A35A1A">
      <w:r>
        <w:t xml:space="preserve">The </w:t>
      </w:r>
      <w:proofErr w:type="spellStart"/>
      <w:r w:rsidR="00667C7A">
        <w:t>p</w:t>
      </w:r>
      <w:r>
        <w:t>opPK</w:t>
      </w:r>
      <w:proofErr w:type="spellEnd"/>
      <w:r>
        <w:t xml:space="preserve"> </w:t>
      </w:r>
      <w:r w:rsidR="004A552B">
        <w:t>e</w:t>
      </w:r>
      <w:r>
        <w:t xml:space="preserve">valuator states that based on the </w:t>
      </w:r>
      <w:r w:rsidRPr="004A552B">
        <w:rPr>
          <w:i/>
          <w:iCs/>
        </w:rPr>
        <w:t>post hoc</w:t>
      </w:r>
      <w:r>
        <w:t xml:space="preserve"> estimates and even with consideration of the simulated exposures, the description of the exposure as similar or comparable across the age groups (paediatric subjects (including adolescent subjects)) </w:t>
      </w:r>
      <w:r w:rsidR="004A552B">
        <w:t>versus</w:t>
      </w:r>
      <w:r>
        <w:t xml:space="preserve"> adults is vague and does not seem to be informative and providing further descriptive data about the PK exposure is recommended in this context.</w:t>
      </w:r>
    </w:p>
    <w:p w14:paraId="22E7C54B" w14:textId="6E35984B" w:rsidR="004A552B" w:rsidRDefault="004A552B" w:rsidP="004A552B">
      <w:pPr>
        <w:pStyle w:val="Heading6"/>
      </w:pPr>
      <w:r>
        <w:t>Chosen dosing regimen</w:t>
      </w:r>
    </w:p>
    <w:p w14:paraId="71B1B3B7" w14:textId="285CCD3F" w:rsidR="004A552B" w:rsidRDefault="004A552B" w:rsidP="004A552B">
      <w:r>
        <w:t>The sponsor concludes (mainly based on population PK data) that with the 50 mg/20</w:t>
      </w:r>
      <w:r w:rsidR="00667C7A">
        <w:t> </w:t>
      </w:r>
      <w:r>
        <w:t>mg formulation as a weight based regimen (</w:t>
      </w:r>
      <w:r w:rsidR="00003A79">
        <w:t xml:space="preserve">see </w:t>
      </w:r>
      <w:r>
        <w:fldChar w:fldCharType="begin"/>
      </w:r>
      <w:r>
        <w:instrText xml:space="preserve"> REF _Ref121994081 \h </w:instrText>
      </w:r>
      <w:r>
        <w:fldChar w:fldCharType="separate"/>
      </w:r>
      <w:r w:rsidR="00051287">
        <w:t xml:space="preserve">Table </w:t>
      </w:r>
      <w:r w:rsidR="00051287">
        <w:rPr>
          <w:noProof/>
        </w:rPr>
        <w:t>10</w:t>
      </w:r>
      <w:r>
        <w:fldChar w:fldCharType="end"/>
      </w:r>
      <w:r>
        <w:t xml:space="preserve">), the exposure of </w:t>
      </w:r>
      <w:r w:rsidR="00121E86">
        <w:t>g</w:t>
      </w:r>
      <w:r w:rsidR="00121E86" w:rsidRPr="00786397">
        <w:t>lecaprevir</w:t>
      </w:r>
      <w:r>
        <w:t xml:space="preserve"> and </w:t>
      </w:r>
      <w:r w:rsidR="00605660" w:rsidRPr="00DB42E3">
        <w:t>pibrentasvir</w:t>
      </w:r>
      <w:r>
        <w:t xml:space="preserve"> in paediatric patients aged 3 years to less than 12 years and weighing greater than or equal to 12 kg appears to be consistent with that of the adult non</w:t>
      </w:r>
      <w:r w:rsidR="00071A0B">
        <w:t>c</w:t>
      </w:r>
      <w:r>
        <w:t>irrhotic HCV infected population.</w:t>
      </w:r>
    </w:p>
    <w:p w14:paraId="494856C3" w14:textId="7DBCDF5E" w:rsidR="004A552B" w:rsidRDefault="004A552B" w:rsidP="004A552B">
      <w:r>
        <w:t>This conclusion is not fully supported, as there were issues with the small sample size of the source population, and issues with model fit further complicated by the nonlinear PK characteristics of both active compounds. It may be stated instead that the proposed do</w:t>
      </w:r>
      <w:r w:rsidR="00BC2871">
        <w:t>s</w:t>
      </w:r>
      <w:r>
        <w:t>e regimen appears to be in the efficacious range.</w:t>
      </w:r>
    </w:p>
    <w:p w14:paraId="7735443D" w14:textId="40DDD75C" w:rsidR="004A552B" w:rsidRDefault="004A552B" w:rsidP="004A552B">
      <w:r>
        <w:t xml:space="preserve">All but two patients received study treatment for 8 weeks (one each for 12 and 16 weeks; both on the final dose regimen). Even though an efficacious range was not defined for PK purposes, the </w:t>
      </w:r>
      <w:proofErr w:type="gramStart"/>
      <w:r>
        <w:t>weight based</w:t>
      </w:r>
      <w:proofErr w:type="gramEnd"/>
      <w:r>
        <w:t xml:space="preserve"> regimen used led to 96.3% of study patients (Cohorts 2</w:t>
      </w:r>
      <w:r w:rsidR="00B57FA6">
        <w:t xml:space="preserve"> to </w:t>
      </w:r>
      <w:r>
        <w:t>4, ITT) achieving SVR12</w:t>
      </w:r>
      <w:r w:rsidR="00003A79">
        <w:t xml:space="preserve"> (percentage of subjects with sustained virologic response for 12 weeks post-treatment)</w:t>
      </w:r>
      <w:r>
        <w:t>.</w:t>
      </w:r>
    </w:p>
    <w:p w14:paraId="19205947" w14:textId="43D9EAD1" w:rsidR="004A552B" w:rsidRDefault="004A552B" w:rsidP="004A552B">
      <w:r>
        <w:t>The adult/adolescent tablet formulation and the paediatric formulation have very different pharmacokinetic properties and cannot be used interchangeably.</w:t>
      </w:r>
    </w:p>
    <w:p w14:paraId="1A12345C" w14:textId="2A3A386A" w:rsidR="004A552B" w:rsidRDefault="004A552B" w:rsidP="004A552B">
      <w:pPr>
        <w:pStyle w:val="Tabletitle0"/>
      </w:pPr>
      <w:bookmarkStart w:id="61" w:name="_Ref121994081"/>
      <w:r>
        <w:lastRenderedPageBreak/>
        <w:t xml:space="preserve">Table </w:t>
      </w:r>
      <w:r w:rsidR="00A42754">
        <w:fldChar w:fldCharType="begin"/>
      </w:r>
      <w:r w:rsidR="00A42754">
        <w:instrText xml:space="preserve"> SEQ Table \* ARABIC </w:instrText>
      </w:r>
      <w:r w:rsidR="00A42754">
        <w:fldChar w:fldCharType="separate"/>
      </w:r>
      <w:r w:rsidR="00051287">
        <w:rPr>
          <w:noProof/>
        </w:rPr>
        <w:t>10</w:t>
      </w:r>
      <w:r w:rsidR="00A42754">
        <w:rPr>
          <w:noProof/>
        </w:rPr>
        <w:fldChar w:fldCharType="end"/>
      </w:r>
      <w:bookmarkEnd w:id="61"/>
      <w:r>
        <w:t xml:space="preserve">: </w:t>
      </w:r>
      <w:r w:rsidR="00C25FDA">
        <w:t>F</w:t>
      </w:r>
      <w:r>
        <w:t xml:space="preserve">inal </w:t>
      </w:r>
      <w:proofErr w:type="gramStart"/>
      <w:r>
        <w:t>weight based</w:t>
      </w:r>
      <w:proofErr w:type="gramEnd"/>
      <w:r>
        <w:t xml:space="preserve"> dosing regimen</w:t>
      </w:r>
    </w:p>
    <w:p w14:paraId="7A61D9B5" w14:textId="13036B80" w:rsidR="004A552B" w:rsidRDefault="004A552B" w:rsidP="004A552B">
      <w:r>
        <w:rPr>
          <w:noProof/>
          <w:lang w:val="en-GB" w:eastAsia="en-GB"/>
        </w:rPr>
        <w:drawing>
          <wp:inline distT="0" distB="0" distL="0" distR="0" wp14:anchorId="4C28DC78" wp14:editId="74E58F54">
            <wp:extent cx="3499485" cy="1170305"/>
            <wp:effectExtent l="0" t="0" r="5715" b="0"/>
            <wp:docPr id="11" name="Picture 11" descr="Final weight based dosing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nal weight based dosing regi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9485" cy="1170305"/>
                    </a:xfrm>
                    <a:prstGeom prst="rect">
                      <a:avLst/>
                    </a:prstGeom>
                    <a:noFill/>
                  </pic:spPr>
                </pic:pic>
              </a:graphicData>
            </a:graphic>
          </wp:inline>
        </w:drawing>
      </w:r>
    </w:p>
    <w:p w14:paraId="053FC3C1" w14:textId="2EC1237E" w:rsidR="004A552B" w:rsidRDefault="004A552B" w:rsidP="004A552B">
      <w:pPr>
        <w:pStyle w:val="Heading5"/>
      </w:pPr>
      <w:r>
        <w:t xml:space="preserve">Efficacy, </w:t>
      </w:r>
      <w:proofErr w:type="gramStart"/>
      <w:r>
        <w:t>safety</w:t>
      </w:r>
      <w:proofErr w:type="gramEnd"/>
      <w:r>
        <w:t xml:space="preserve"> and proposed indication</w:t>
      </w:r>
    </w:p>
    <w:p w14:paraId="427B71A3" w14:textId="67FC1706" w:rsidR="004A552B" w:rsidRDefault="004A552B" w:rsidP="004A552B">
      <w:pPr>
        <w:pStyle w:val="Heading6"/>
      </w:pPr>
      <w:r>
        <w:t>Clinical trial population</w:t>
      </w:r>
    </w:p>
    <w:p w14:paraId="4D0C2DE6" w14:textId="63E88DCB" w:rsidR="004A552B" w:rsidRDefault="004A552B" w:rsidP="004A552B">
      <w:r w:rsidRPr="004A552B">
        <w:t xml:space="preserve">The proposed indication is based on a dedicated Phase </w:t>
      </w:r>
      <w:r w:rsidR="00957F73">
        <w:t>II/III</w:t>
      </w:r>
      <w:r w:rsidRPr="004A552B">
        <w:t xml:space="preserve"> study in 80 paediatric patients between the ages of 3 and 12 years who were infected with HCV genotypes 1 to 4, no cirrhosis, with some previously treated with interferon and/or ribavirin containing regimens, and one patient who was coinfected with HIV-1. </w:t>
      </w:r>
      <w:r w:rsidR="00417CCF">
        <w:t>There is s</w:t>
      </w:r>
      <w:r w:rsidRPr="004A552B">
        <w:t>ome uncertainty about the efficacy and safety in patients infected with HCV genotype 5 or 6 and/or with cirrhosis and/or previously treated with an NS5A inhibitor, as these subpopulations were not studied. There was a good distribution across weight and age groups for the proposed 3 to 12 years indication.</w:t>
      </w:r>
    </w:p>
    <w:p w14:paraId="73A51FCD" w14:textId="41D98DF0" w:rsidR="004A552B" w:rsidRDefault="004A552B" w:rsidP="004A552B">
      <w:pPr>
        <w:pStyle w:val="Heading6"/>
      </w:pPr>
      <w:r>
        <w:t>Efficacy results</w:t>
      </w:r>
    </w:p>
    <w:p w14:paraId="16318C48" w14:textId="4DB1A204" w:rsidR="004A552B" w:rsidRPr="004A552B" w:rsidRDefault="004A552B" w:rsidP="004A552B">
      <w:r w:rsidRPr="004A552B">
        <w:t>Sustained virologic response 12 weeks post end</w:t>
      </w:r>
      <w:r w:rsidR="008B7E30">
        <w:t xml:space="preserve"> </w:t>
      </w:r>
      <w:r w:rsidRPr="004A552B">
        <w:t>of</w:t>
      </w:r>
      <w:r w:rsidR="008B7E30">
        <w:t xml:space="preserve"> </w:t>
      </w:r>
      <w:r w:rsidRPr="004A552B">
        <w:t>treatment</w:t>
      </w:r>
      <w:r w:rsidR="008B7E30">
        <w:t xml:space="preserve"> </w:t>
      </w:r>
      <w:r w:rsidR="00003A79">
        <w:t xml:space="preserve">(SVR12) </w:t>
      </w:r>
      <w:r w:rsidRPr="004A552B">
        <w:t>was achieved by 96.3% (77</w:t>
      </w:r>
      <w:r w:rsidR="008B7E30">
        <w:t xml:space="preserve"> out of </w:t>
      </w:r>
      <w:r w:rsidRPr="004A552B">
        <w:t xml:space="preserve">80) of the ITT population and consistent with adults (typically SVR12 </w:t>
      </w:r>
      <w:r w:rsidR="008B7E30">
        <w:t xml:space="preserve">greater than </w:t>
      </w:r>
      <w:r w:rsidRPr="004A552B">
        <w:t xml:space="preserve">94% in noncirrhotic </w:t>
      </w:r>
      <w:r w:rsidR="00D65163">
        <w:t>treatment naive</w:t>
      </w:r>
      <w:r w:rsidRPr="004A552B">
        <w:t xml:space="preserve"> adults treated with Maviret). The results of the SVR12 endpoint (77</w:t>
      </w:r>
      <w:r w:rsidR="008B7E30">
        <w:t xml:space="preserve"> out of </w:t>
      </w:r>
      <w:r w:rsidRPr="004A552B">
        <w:t>80) are generally supported by the SVR24 endpoint</w:t>
      </w:r>
      <w:r w:rsidR="00003A79">
        <w:t xml:space="preserve"> (s</w:t>
      </w:r>
      <w:r w:rsidR="00003A79" w:rsidRPr="004A552B">
        <w:t>ustained viro</w:t>
      </w:r>
      <w:r w:rsidR="00003A79">
        <w:t>logic response 24</w:t>
      </w:r>
      <w:r w:rsidR="00003A79" w:rsidRPr="004A552B">
        <w:t xml:space="preserve"> weeks post end</w:t>
      </w:r>
      <w:r w:rsidR="00003A79">
        <w:t xml:space="preserve"> </w:t>
      </w:r>
      <w:r w:rsidR="00003A79" w:rsidRPr="004A552B">
        <w:t>of</w:t>
      </w:r>
      <w:r w:rsidR="00003A79">
        <w:t xml:space="preserve"> </w:t>
      </w:r>
      <w:r w:rsidR="00003A79" w:rsidRPr="004A552B">
        <w:t>treatment</w:t>
      </w:r>
      <w:r w:rsidR="00003A79">
        <w:t>)</w:t>
      </w:r>
      <w:r w:rsidRPr="004A552B">
        <w:t>: 89.6% (43</w:t>
      </w:r>
      <w:r w:rsidR="008B7E30">
        <w:t xml:space="preserve"> out of </w:t>
      </w:r>
      <w:r w:rsidRPr="004A552B">
        <w:t>48). For subjects on the initial 40 mg/15 mg dose ratio, the SVR12 proportion was 88.9% (16</w:t>
      </w:r>
      <w:r w:rsidR="008B7E30">
        <w:t xml:space="preserve"> out of </w:t>
      </w:r>
      <w:r w:rsidRPr="004A552B">
        <w:t>18).</w:t>
      </w:r>
    </w:p>
    <w:p w14:paraId="05DF639A" w14:textId="77777777" w:rsidR="004A552B" w:rsidRPr="004A552B" w:rsidRDefault="004A552B" w:rsidP="004A552B">
      <w:r w:rsidRPr="004A552B">
        <w:t>The conduct of an efficacy and safety study dedicated to paediatric population is an advantage. 17 paediatric patients received the lower dosing regimen for their whole treatment period of 8 weeks. Changing the dose during the trial was not ideal leaving only data for 62 patients that received the higher (final) dosing regimen for the whole treatment period.</w:t>
      </w:r>
    </w:p>
    <w:p w14:paraId="52271291" w14:textId="30F33D32" w:rsidR="004A552B" w:rsidRPr="004A552B" w:rsidRDefault="004A552B" w:rsidP="004A552B">
      <w:r w:rsidRPr="004A552B">
        <w:t xml:space="preserve">If registered for the proposed indication, Maviret would provide a </w:t>
      </w:r>
      <w:proofErr w:type="spellStart"/>
      <w:r w:rsidRPr="004A552B">
        <w:t>pangenotypic</w:t>
      </w:r>
      <w:proofErr w:type="spellEnd"/>
      <w:r w:rsidRPr="004A552B">
        <w:t xml:space="preserve"> </w:t>
      </w:r>
      <w:r w:rsidR="00003A79">
        <w:t>direct acting antiviral (</w:t>
      </w:r>
      <w:r w:rsidRPr="004A552B">
        <w:t>DAA</w:t>
      </w:r>
      <w:r w:rsidR="00003A79">
        <w:t>)</w:t>
      </w:r>
      <w:r w:rsidRPr="004A552B">
        <w:t xml:space="preserve"> treatment option for HCV</w:t>
      </w:r>
      <w:r w:rsidR="008B7E30">
        <w:t xml:space="preserve"> </w:t>
      </w:r>
      <w:r w:rsidRPr="004A552B">
        <w:t xml:space="preserve">infected paediatric patients aged 3 years to </w:t>
      </w:r>
      <w:r w:rsidR="008B7E30">
        <w:t xml:space="preserve">less than </w:t>
      </w:r>
      <w:r w:rsidRPr="004A552B">
        <w:t>12 years of age.</w:t>
      </w:r>
    </w:p>
    <w:p w14:paraId="500ED43D" w14:textId="709D4B51" w:rsidR="004A552B" w:rsidRDefault="008B7E30" w:rsidP="008B7E30">
      <w:pPr>
        <w:pStyle w:val="Heading6"/>
      </w:pPr>
      <w:r>
        <w:lastRenderedPageBreak/>
        <w:t>Safety</w:t>
      </w:r>
    </w:p>
    <w:p w14:paraId="136D36F6" w14:textId="6B948E65" w:rsidR="008B7E30" w:rsidRDefault="008B7E30" w:rsidP="008B7E30">
      <w:r>
        <w:t xml:space="preserve">Overall, the safety of the drug in this studied population was </w:t>
      </w:r>
      <w:proofErr w:type="gramStart"/>
      <w:r>
        <w:t>similar to</w:t>
      </w:r>
      <w:proofErr w:type="gramEnd"/>
      <w:r>
        <w:t xml:space="preserve"> that seen in treatment na</w:t>
      </w:r>
      <w:r w:rsidR="00BC2871">
        <w:t>iv</w:t>
      </w:r>
      <w:r>
        <w:t>e noncirrhotic HCV infected adult patients who were treated for 8, 12 or 16</w:t>
      </w:r>
      <w:r w:rsidR="00003A79">
        <w:t> </w:t>
      </w:r>
      <w:r>
        <w:t>weeks. Maviret appears to have a significantly better safety profile than interferon/</w:t>
      </w:r>
      <w:proofErr w:type="gramStart"/>
      <w:r>
        <w:t>ribavirin based</w:t>
      </w:r>
      <w:proofErr w:type="gramEnd"/>
      <w:r>
        <w:t xml:space="preserve"> regimens.</w:t>
      </w:r>
    </w:p>
    <w:p w14:paraId="5FE22A6C" w14:textId="3D2796E0" w:rsidR="008B7E30" w:rsidRDefault="008B7E30" w:rsidP="008B7E30">
      <w:r>
        <w:t>No potentially concerning or unknown adverse drug reactions were detected in the Phase</w:t>
      </w:r>
      <w:r w:rsidR="00957F73">
        <w:t> II</w:t>
      </w:r>
      <w:r w:rsidR="009446FC">
        <w:t>/</w:t>
      </w:r>
      <w:r w:rsidR="00957F73">
        <w:t>III</w:t>
      </w:r>
      <w:r>
        <w:t xml:space="preserve"> study in the paediatric</w:t>
      </w:r>
      <w:r w:rsidR="000A7FFD">
        <w:t xml:space="preserve"> population from</w:t>
      </w:r>
      <w:r>
        <w:t xml:space="preserve"> 3 to less than 12 year</w:t>
      </w:r>
      <w:r w:rsidR="000A7FFD">
        <w:t>s of</w:t>
      </w:r>
      <w:r>
        <w:t xml:space="preserve"> age group (with the potential exception of the erythematous rash), but for detection of uncommon events, the sample size was too small (80</w:t>
      </w:r>
      <w:r w:rsidR="000A7FFD">
        <w:t xml:space="preserve"> subjects</w:t>
      </w:r>
      <w:r>
        <w:t>). Ongoing post market reviews are essential.</w:t>
      </w:r>
    </w:p>
    <w:p w14:paraId="02824DC6" w14:textId="77777777" w:rsidR="008B7E30" w:rsidRDefault="008B7E30" w:rsidP="008B7E30">
      <w:r>
        <w:t>Furthermore, the known clinical harms associated with Maviret use in adults include interactions with several drugs that can result in loss of therapeutic effectiveness or clinically significant adverse reactions.</w:t>
      </w:r>
    </w:p>
    <w:p w14:paraId="5D5F45A1" w14:textId="32D3F5A7" w:rsidR="008B7E30" w:rsidRDefault="008B7E30" w:rsidP="008B7E30">
      <w:r>
        <w:t>One subject (</w:t>
      </w:r>
      <w:proofErr w:type="gramStart"/>
      <w:r>
        <w:t>11 year old</w:t>
      </w:r>
      <w:proofErr w:type="gramEnd"/>
      <w:r>
        <w:t xml:space="preserve"> female) prematurely discontinued study drug on treatment Day 4 due to a nonserious </w:t>
      </w:r>
      <w:r w:rsidR="000A7FFD">
        <w:t>adverse event</w:t>
      </w:r>
      <w:r>
        <w:t xml:space="preserve">, considered drug related: an erythematous rash on treatment </w:t>
      </w:r>
      <w:r w:rsidR="00071A0B">
        <w:t>D</w:t>
      </w:r>
      <w:r>
        <w:t>ay</w:t>
      </w:r>
      <w:r w:rsidR="00071A0B">
        <w:t> </w:t>
      </w:r>
      <w:r>
        <w:t>1 (potentially erythema multiforme). More information was requested from the sponsor.</w:t>
      </w:r>
    </w:p>
    <w:p w14:paraId="65BEBF72" w14:textId="77777777" w:rsidR="00DA5296" w:rsidRDefault="008B7E30" w:rsidP="00DA5296">
      <w:pPr>
        <w:pStyle w:val="Heading6"/>
      </w:pPr>
      <w:r>
        <w:t>Summary of deficiencies of data</w:t>
      </w:r>
    </w:p>
    <w:p w14:paraId="77C381E3" w14:textId="2B57E37B" w:rsidR="008B7E30" w:rsidRPr="00DA5296" w:rsidRDefault="008B7E30" w:rsidP="00DA5296">
      <w:pPr>
        <w:pStyle w:val="ListBullet"/>
      </w:pPr>
      <w:r w:rsidRPr="00DA5296">
        <w:t>Only data from genotypes 1 to 4 in noncirrhotic patients were available from the provided study.</w:t>
      </w:r>
    </w:p>
    <w:p w14:paraId="2391D5B5" w14:textId="70E65354" w:rsidR="008B7E30" w:rsidRDefault="008B7E30" w:rsidP="00DA5296">
      <w:pPr>
        <w:pStyle w:val="ListBullet"/>
      </w:pPr>
      <w:r>
        <w:t xml:space="preserve">No paediatric data </w:t>
      </w:r>
      <w:r w:rsidR="00DA5296">
        <w:t>is available for cirrhotic patients.</w:t>
      </w:r>
    </w:p>
    <w:p w14:paraId="6C886A07" w14:textId="6056FE2E" w:rsidR="008B7E30" w:rsidRDefault="008B7E30" w:rsidP="00DA5296">
      <w:pPr>
        <w:pStyle w:val="ListBullet"/>
      </w:pPr>
      <w:r w:rsidRPr="008B7E30">
        <w:t xml:space="preserve">The PK model fit was not entirely satisfactory, especially for the </w:t>
      </w:r>
      <w:r w:rsidR="00121E86">
        <w:t>g</w:t>
      </w:r>
      <w:r w:rsidR="00121E86" w:rsidRPr="00786397">
        <w:t>lecaprevir</w:t>
      </w:r>
      <w:r w:rsidRPr="008B7E30">
        <w:t xml:space="preserve"> component.</w:t>
      </w:r>
    </w:p>
    <w:p w14:paraId="3C6E3DDD" w14:textId="3055AE0E" w:rsidR="008B7E30" w:rsidRPr="008B7E30" w:rsidRDefault="008B7E30" w:rsidP="00DA5296">
      <w:pPr>
        <w:pStyle w:val="ListBullet"/>
      </w:pPr>
      <w:r>
        <w:rPr>
          <w:rFonts w:asciiTheme="minorHAnsi" w:hAnsiTheme="minorHAnsi"/>
          <w:lang w:val="en-CA"/>
        </w:rPr>
        <w:t xml:space="preserve">Overall, there was a small target population sample size, </w:t>
      </w:r>
      <w:proofErr w:type="gramStart"/>
      <w:r>
        <w:rPr>
          <w:rFonts w:asciiTheme="minorHAnsi" w:hAnsiTheme="minorHAnsi"/>
          <w:lang w:val="en-CA"/>
        </w:rPr>
        <w:t>in particular for</w:t>
      </w:r>
      <w:proofErr w:type="gramEnd"/>
      <w:r>
        <w:rPr>
          <w:rFonts w:asciiTheme="minorHAnsi" w:hAnsiTheme="minorHAnsi"/>
          <w:lang w:val="en-CA"/>
        </w:rPr>
        <w:t xml:space="preserve"> safety considerations.</w:t>
      </w:r>
    </w:p>
    <w:p w14:paraId="0E36FBA7" w14:textId="77777777" w:rsidR="0074163C" w:rsidRPr="00F73346" w:rsidRDefault="0074163C" w:rsidP="0074163C">
      <w:pPr>
        <w:pStyle w:val="Heading4"/>
      </w:pPr>
      <w:bookmarkStart w:id="62" w:name="_Toc98931936"/>
      <w:bookmarkStart w:id="63" w:name="_Toc247691532"/>
      <w:bookmarkStart w:id="64" w:name="_Toc314842516"/>
      <w:bookmarkEnd w:id="32"/>
      <w:bookmarkEnd w:id="56"/>
      <w:bookmarkEnd w:id="57"/>
      <w:r w:rsidRPr="00F73346">
        <w:t>Advisory Committee considerations</w:t>
      </w:r>
      <w:bookmarkEnd w:id="62"/>
    </w:p>
    <w:p w14:paraId="6E60F0DC" w14:textId="0B3AAA8E" w:rsidR="0074163C" w:rsidRDefault="0074163C" w:rsidP="0074163C">
      <w:pPr>
        <w:rPr>
          <w:bCs/>
        </w:rPr>
      </w:pPr>
      <w:r w:rsidRPr="00456765">
        <w:rPr>
          <w:bCs/>
        </w:rPr>
        <w:t xml:space="preserve">The </w:t>
      </w:r>
      <w:hyperlink r:id="rId30" w:history="1">
        <w:r w:rsidRPr="00C65E63">
          <w:rPr>
            <w:rStyle w:val="Hyperlink"/>
            <w:szCs w:val="21"/>
          </w:rPr>
          <w:t>Advisory Committee on Medicines (ACM)</w:t>
        </w:r>
      </w:hyperlink>
      <w:r w:rsidR="008B7E30">
        <w:rPr>
          <w:color w:val="007099"/>
          <w:szCs w:val="21"/>
        </w:rPr>
        <w:t xml:space="preserve">, </w:t>
      </w:r>
      <w:r w:rsidRPr="00456765">
        <w:rPr>
          <w:bCs/>
        </w:rPr>
        <w:t>having considered the evaluations and the Delegate’s overview, as well as the sponsor’s response to these documents, advised the following</w:t>
      </w:r>
      <w:r>
        <w:rPr>
          <w:bCs/>
        </w:rPr>
        <w:t>.</w:t>
      </w:r>
    </w:p>
    <w:p w14:paraId="180514CC" w14:textId="6BDA0FA3" w:rsidR="0074163C" w:rsidRDefault="0074163C" w:rsidP="0074163C">
      <w:pPr>
        <w:pStyle w:val="Heading5"/>
      </w:pPr>
      <w:r w:rsidRPr="00F73346">
        <w:t>Specific advice to the Delegate</w:t>
      </w:r>
    </w:p>
    <w:p w14:paraId="234E4E1E" w14:textId="77777777" w:rsidR="00A3571E" w:rsidRDefault="00A3571E" w:rsidP="00A3571E">
      <w:pPr>
        <w:keepNext/>
        <w:keepLines/>
      </w:pPr>
      <w:r>
        <w:t>The ACM advised the following in response to the Delegate’s specific request for advice:</w:t>
      </w:r>
    </w:p>
    <w:p w14:paraId="0E17A526" w14:textId="2E10A766" w:rsidR="00A3571E" w:rsidRPr="00490F11" w:rsidRDefault="00A3571E" w:rsidP="00490F11">
      <w:pPr>
        <w:pStyle w:val="Numberbullet0"/>
        <w:ind w:left="709"/>
        <w:rPr>
          <w:b/>
          <w:bCs/>
          <w:i/>
          <w:iCs/>
        </w:rPr>
      </w:pPr>
      <w:r w:rsidRPr="00490F11">
        <w:rPr>
          <w:b/>
          <w:bCs/>
          <w:i/>
          <w:iCs/>
        </w:rPr>
        <w:t xml:space="preserve">Can the ACM comment on the appropriateness of the proposed </w:t>
      </w:r>
      <w:proofErr w:type="gramStart"/>
      <w:r w:rsidRPr="00490F11">
        <w:rPr>
          <w:b/>
          <w:bCs/>
          <w:i/>
          <w:iCs/>
        </w:rPr>
        <w:t>weight based</w:t>
      </w:r>
      <w:proofErr w:type="gramEnd"/>
      <w:r w:rsidRPr="00490F11">
        <w:rPr>
          <w:b/>
          <w:bCs/>
          <w:i/>
          <w:iCs/>
        </w:rPr>
        <w:t xml:space="preserve"> dosing for the target population?</w:t>
      </w:r>
    </w:p>
    <w:p w14:paraId="3C276AE3" w14:textId="363DAE91" w:rsidR="00A3571E" w:rsidRPr="00EF2B09" w:rsidRDefault="00A3571E" w:rsidP="00A3571E">
      <w:r w:rsidRPr="00E148CF">
        <w:t xml:space="preserve">The ACM considered </w:t>
      </w:r>
      <w:proofErr w:type="gramStart"/>
      <w:r w:rsidRPr="006B6F0E">
        <w:t>weight</w:t>
      </w:r>
      <w:r>
        <w:t xml:space="preserve"> </w:t>
      </w:r>
      <w:r w:rsidRPr="006B6F0E">
        <w:t>based</w:t>
      </w:r>
      <w:proofErr w:type="gramEnd"/>
      <w:r w:rsidRPr="006B6F0E">
        <w:t xml:space="preserve"> dosing </w:t>
      </w:r>
      <w:r>
        <w:t xml:space="preserve">to be </w:t>
      </w:r>
      <w:r w:rsidRPr="00E148CF">
        <w:t xml:space="preserve">an acceptable approach based </w:t>
      </w:r>
      <w:r w:rsidR="00417CCF">
        <w:t xml:space="preserve">on </w:t>
      </w:r>
      <w:r w:rsidRPr="00E148CF">
        <w:t xml:space="preserve">the available population </w:t>
      </w:r>
      <w:r>
        <w:t>p</w:t>
      </w:r>
      <w:r w:rsidRPr="00E148CF">
        <w:t>harmacokinetic model</w:t>
      </w:r>
      <w:r>
        <w:t xml:space="preserve"> </w:t>
      </w:r>
      <w:r w:rsidRPr="00E148CF">
        <w:t>based analyses and prediction</w:t>
      </w:r>
      <w:r>
        <w:t>,</w:t>
      </w:r>
      <w:r w:rsidRPr="00E148CF">
        <w:t xml:space="preserve"> together with clinical data.</w:t>
      </w:r>
    </w:p>
    <w:p w14:paraId="4F3C5643" w14:textId="77777777" w:rsidR="00A3571E" w:rsidRPr="00490F11" w:rsidRDefault="00A3571E" w:rsidP="00490F11">
      <w:pPr>
        <w:pStyle w:val="Numberbullet0"/>
        <w:ind w:left="709"/>
        <w:rPr>
          <w:b/>
          <w:bCs/>
          <w:i/>
          <w:iCs/>
        </w:rPr>
      </w:pPr>
      <w:r w:rsidRPr="00490F11">
        <w:rPr>
          <w:b/>
          <w:bCs/>
          <w:i/>
          <w:iCs/>
        </w:rPr>
        <w:lastRenderedPageBreak/>
        <w:t xml:space="preserve">Can the ACM comment on the appropriateness of extrapolating the existing data to paediatric patients with </w:t>
      </w:r>
      <w:r w:rsidRPr="00490F11">
        <w:rPr>
          <w:rFonts w:asciiTheme="minorHAnsi" w:hAnsiTheme="minorHAnsi"/>
          <w:b/>
          <w:bCs/>
          <w:i/>
          <w:iCs/>
          <w:lang w:val="en-CA"/>
        </w:rPr>
        <w:t>HCV genotype 5 or 6 and/or with cirrhosis and/or previously treated with an NS5A inhibitor</w:t>
      </w:r>
      <w:r w:rsidRPr="00490F11">
        <w:rPr>
          <w:b/>
          <w:bCs/>
          <w:i/>
          <w:iCs/>
        </w:rPr>
        <w:t>?</w:t>
      </w:r>
    </w:p>
    <w:p w14:paraId="58C63356" w14:textId="0E43EF71" w:rsidR="00A3571E" w:rsidRPr="006D01AA" w:rsidRDefault="00A3571E" w:rsidP="00A3571E">
      <w:r w:rsidRPr="00EF2B09">
        <w:t xml:space="preserve">The ACM found this </w:t>
      </w:r>
      <w:r>
        <w:t xml:space="preserve">extrapolation to be </w:t>
      </w:r>
      <w:r w:rsidRPr="00EF2B09">
        <w:t>a reasonable approach</w:t>
      </w:r>
      <w:r>
        <w:t>, acknowledging that it would have been difficult to conduct a larger patient study due to</w:t>
      </w:r>
      <w:r w:rsidRPr="006D01AA">
        <w:t xml:space="preserve"> small </w:t>
      </w:r>
      <w:r>
        <w:t xml:space="preserve">patient </w:t>
      </w:r>
      <w:r w:rsidRPr="006D01AA">
        <w:t>numbers</w:t>
      </w:r>
      <w:r>
        <w:t>. The ACM noted that the p</w:t>
      </w:r>
      <w:r w:rsidRPr="006D01AA">
        <w:t xml:space="preserve">harmacokinetic data </w:t>
      </w:r>
      <w:r>
        <w:t xml:space="preserve">in children were </w:t>
      </w:r>
      <w:r w:rsidRPr="006D01AA">
        <w:t>comparable to adult patients</w:t>
      </w:r>
      <w:r>
        <w:t xml:space="preserve"> and considered it </w:t>
      </w:r>
      <w:r w:rsidRPr="006D01AA">
        <w:t>reasonable to assume similar efficacy in children</w:t>
      </w:r>
      <w:r>
        <w:t xml:space="preserve">. The ACM also noted that </w:t>
      </w:r>
      <w:r w:rsidRPr="006D01AA">
        <w:t>children</w:t>
      </w:r>
      <w:r>
        <w:t xml:space="preserve"> have</w:t>
      </w:r>
      <w:r w:rsidRPr="006D01AA">
        <w:t xml:space="preserve"> less comorbidities</w:t>
      </w:r>
      <w:r>
        <w:t xml:space="preserve"> such as </w:t>
      </w:r>
      <w:r w:rsidRPr="006D01AA">
        <w:t xml:space="preserve">obesity, </w:t>
      </w:r>
      <w:r>
        <w:t>diabetes and</w:t>
      </w:r>
      <w:r w:rsidRPr="006D01AA">
        <w:t xml:space="preserve"> alcohol</w:t>
      </w:r>
      <w:r>
        <w:t xml:space="preserve"> use which could positively influence their outcomes on therapy compared to adults.</w:t>
      </w:r>
    </w:p>
    <w:p w14:paraId="46AC52C4" w14:textId="77777777" w:rsidR="00A3571E" w:rsidRDefault="00A3571E" w:rsidP="00490F11">
      <w:pPr>
        <w:pStyle w:val="Numberbullet0"/>
        <w:ind w:left="709"/>
        <w:rPr>
          <w:b/>
          <w:bCs/>
          <w:i/>
          <w:iCs/>
        </w:rPr>
      </w:pPr>
      <w:r w:rsidRPr="005D6C68">
        <w:rPr>
          <w:b/>
          <w:bCs/>
          <w:i/>
          <w:iCs/>
        </w:rPr>
        <w:t xml:space="preserve">The committee is also requested to provide advice on any other issues that it thinks may be relevant to a decision on </w:t>
      </w:r>
      <w:proofErr w:type="gramStart"/>
      <w:r w:rsidRPr="005D6C68">
        <w:rPr>
          <w:b/>
          <w:bCs/>
          <w:i/>
          <w:iCs/>
        </w:rPr>
        <w:t>whether or not</w:t>
      </w:r>
      <w:proofErr w:type="gramEnd"/>
      <w:r w:rsidRPr="005D6C68">
        <w:rPr>
          <w:b/>
          <w:bCs/>
          <w:i/>
          <w:iCs/>
        </w:rPr>
        <w:t xml:space="preserve"> to approve this application.</w:t>
      </w:r>
    </w:p>
    <w:p w14:paraId="5BF011F4" w14:textId="77777777" w:rsidR="00A3571E" w:rsidRDefault="00A3571E" w:rsidP="00A3571E">
      <w:r w:rsidRPr="006D01AA">
        <w:t xml:space="preserve">The ACM commented that it is important to treat </w:t>
      </w:r>
      <w:r>
        <w:t>affected</w:t>
      </w:r>
      <w:r w:rsidRPr="006D01AA">
        <w:t xml:space="preserve"> children as early as possible</w:t>
      </w:r>
      <w:r w:rsidRPr="00872D89">
        <w:t xml:space="preserve">, especially before adolescence, to minimise </w:t>
      </w:r>
      <w:r>
        <w:t xml:space="preserve">the </w:t>
      </w:r>
      <w:r w:rsidRPr="00872D89">
        <w:t>progression to liver disease.</w:t>
      </w:r>
      <w:r>
        <w:t xml:space="preserve"> T</w:t>
      </w:r>
      <w:r w:rsidRPr="006D01AA">
        <w:t xml:space="preserve">he </w:t>
      </w:r>
      <w:r>
        <w:t xml:space="preserve">ACM was of the view that the </w:t>
      </w:r>
      <w:r w:rsidRPr="006D01AA">
        <w:t>lower age bracket</w:t>
      </w:r>
      <w:r>
        <w:t xml:space="preserve"> in the proposed indication is</w:t>
      </w:r>
      <w:r w:rsidRPr="006D01AA">
        <w:t xml:space="preserve"> a welcome addition</w:t>
      </w:r>
      <w:r>
        <w:t xml:space="preserve"> in this clinical space</w:t>
      </w:r>
      <w:r w:rsidRPr="006D01AA">
        <w:t>.</w:t>
      </w:r>
    </w:p>
    <w:p w14:paraId="23ED94EF" w14:textId="77777777" w:rsidR="00A3571E" w:rsidRPr="006D01AA" w:rsidRDefault="00A3571E" w:rsidP="00A3571E">
      <w:r>
        <w:t>The ACM noted the i</w:t>
      </w:r>
      <w:r w:rsidRPr="005417C8">
        <w:t>mportance of ensuring good compliance in young children</w:t>
      </w:r>
      <w:r>
        <w:t>.</w:t>
      </w:r>
    </w:p>
    <w:p w14:paraId="6D6CD613" w14:textId="132A19CF" w:rsidR="0074163C" w:rsidRDefault="0074163C" w:rsidP="0074163C">
      <w:pPr>
        <w:pStyle w:val="Heading5"/>
      </w:pPr>
      <w:r w:rsidRPr="00F73346">
        <w:t>Conclusion</w:t>
      </w:r>
    </w:p>
    <w:p w14:paraId="3FB2CDD2" w14:textId="77777777" w:rsidR="00A3571E" w:rsidRPr="00A3571E" w:rsidRDefault="00A3571E" w:rsidP="00A3571E">
      <w:r w:rsidRPr="00A3571E">
        <w:t>The ACM considered this product to have an overall positive benefit-risk profile for the indication:</w:t>
      </w:r>
    </w:p>
    <w:p w14:paraId="498EC881" w14:textId="12336634" w:rsidR="00A3571E" w:rsidRPr="006D01AA" w:rsidRDefault="00A3571E" w:rsidP="00A3571E">
      <w:pPr>
        <w:ind w:left="720"/>
      </w:pPr>
      <w:r w:rsidRPr="006D01AA">
        <w:rPr>
          <w:i/>
          <w:iCs/>
        </w:rPr>
        <w:t>M</w:t>
      </w:r>
      <w:r w:rsidR="00C25FDA">
        <w:rPr>
          <w:i/>
          <w:iCs/>
        </w:rPr>
        <w:t xml:space="preserve">aviret </w:t>
      </w:r>
      <w:r w:rsidRPr="006D01AA">
        <w:rPr>
          <w:i/>
          <w:iCs/>
        </w:rPr>
        <w:t xml:space="preserve">is indicated for the treatment of adult and paediatric patients 3 years and older with chronic hepatitis C virus (HCV) genotype (GT) 1, 2, 3, 4, 5, or 6 </w:t>
      </w:r>
      <w:proofErr w:type="gramStart"/>
      <w:r w:rsidRPr="006D01AA">
        <w:rPr>
          <w:i/>
          <w:iCs/>
        </w:rPr>
        <w:t>infection</w:t>
      </w:r>
      <w:proofErr w:type="gramEnd"/>
      <w:r w:rsidRPr="006D01AA">
        <w:rPr>
          <w:i/>
          <w:iCs/>
        </w:rPr>
        <w:t xml:space="preserve"> with or without compensated cirrhosis. This includes patients with HCV GT1 infection who were previously treated with either a regimen of an NS5A inhibitor or with an NS3/4A protease inhibitor but not both classes of inhibitors (see 4.2 </w:t>
      </w:r>
      <w:r w:rsidR="000A7FFD" w:rsidRPr="006D01AA">
        <w:rPr>
          <w:i/>
          <w:iCs/>
        </w:rPr>
        <w:t xml:space="preserve">dose and method of administration and 5.1 pharmacodynamic properties – </w:t>
      </w:r>
      <w:r w:rsidRPr="006D01AA">
        <w:rPr>
          <w:i/>
          <w:iCs/>
        </w:rPr>
        <w:t>Clinical trials).</w:t>
      </w:r>
    </w:p>
    <w:p w14:paraId="3950F852" w14:textId="77777777" w:rsidR="008E7846" w:rsidRPr="002E238E" w:rsidRDefault="008E7846" w:rsidP="00D212F3">
      <w:pPr>
        <w:pStyle w:val="Heading2"/>
      </w:pPr>
      <w:bookmarkStart w:id="65" w:name="_Toc128033650"/>
      <w:r>
        <w:t>Outcome</w:t>
      </w:r>
      <w:bookmarkEnd w:id="63"/>
      <w:bookmarkEnd w:id="64"/>
      <w:bookmarkEnd w:id="65"/>
    </w:p>
    <w:p w14:paraId="7253223A" w14:textId="07212292" w:rsidR="0074163C" w:rsidRDefault="0074163C" w:rsidP="0074163C">
      <w:bookmarkStart w:id="66" w:name="_Toc247691533"/>
      <w:bookmarkStart w:id="67" w:name="_Toc314842517"/>
      <w:r>
        <w:t xml:space="preserve">Based on a review of quality, </w:t>
      </w:r>
      <w:r w:rsidR="00CC5044">
        <w:t>safety,</w:t>
      </w:r>
      <w:r>
        <w:t xml:space="preserve"> and efficacy, the TGA approved the registration of </w:t>
      </w:r>
      <w:r w:rsidR="00A3571E" w:rsidRPr="00786397">
        <w:t xml:space="preserve">Maviret </w:t>
      </w:r>
      <w:r w:rsidR="00A3571E" w:rsidRPr="000A4A42">
        <w:t>(</w:t>
      </w:r>
      <w:r w:rsidR="00A3571E">
        <w:t>g</w:t>
      </w:r>
      <w:r w:rsidR="00A3571E" w:rsidRPr="00786397">
        <w:t>lecaprevir</w:t>
      </w:r>
      <w:r w:rsidR="00A3571E">
        <w:t xml:space="preserve"> and </w:t>
      </w:r>
      <w:r w:rsidR="00A3571E" w:rsidRPr="00786397">
        <w:t>pibrentasvir</w:t>
      </w:r>
      <w:r w:rsidR="00A3571E" w:rsidRPr="000A4A42">
        <w:t xml:space="preserve">) </w:t>
      </w:r>
      <w:r w:rsidR="00A3571E">
        <w:t xml:space="preserve">100 mg/40 mg tablets and 50 mg/20 mg granules </w:t>
      </w:r>
      <w:r>
        <w:t>for the following extension of indications:</w:t>
      </w:r>
    </w:p>
    <w:p w14:paraId="4A841DFF" w14:textId="4AAC0E21" w:rsidR="0074163C" w:rsidRDefault="000058AC" w:rsidP="000058AC">
      <w:pPr>
        <w:ind w:left="720"/>
        <w:rPr>
          <w:i/>
          <w:iCs/>
        </w:rPr>
      </w:pPr>
      <w:r w:rsidRPr="000058AC">
        <w:rPr>
          <w:i/>
          <w:iCs/>
        </w:rPr>
        <w:t>M</w:t>
      </w:r>
      <w:r w:rsidR="00C25FDA">
        <w:rPr>
          <w:i/>
          <w:iCs/>
        </w:rPr>
        <w:t xml:space="preserve">aviret </w:t>
      </w:r>
      <w:r w:rsidRPr="000058AC">
        <w:rPr>
          <w:i/>
          <w:iCs/>
        </w:rPr>
        <w:t xml:space="preserve">is indicated for the treatment of adult and paediatric patients 3 years and older with chronic hepatitis C virus (HCV) genotype (GT) 1, 2, 3, 4, 5, or 6 </w:t>
      </w:r>
      <w:proofErr w:type="gramStart"/>
      <w:r w:rsidRPr="000058AC">
        <w:rPr>
          <w:i/>
          <w:iCs/>
        </w:rPr>
        <w:t>infection</w:t>
      </w:r>
      <w:proofErr w:type="gramEnd"/>
      <w:r w:rsidRPr="000058AC">
        <w:rPr>
          <w:i/>
          <w:iCs/>
        </w:rPr>
        <w:t xml:space="preserve"> with or without compensated cirrhosis. This includes patients with HCV GT1 infection who were previously treated </w:t>
      </w:r>
      <w:r w:rsidRPr="000058AC">
        <w:rPr>
          <w:i/>
          <w:iCs/>
        </w:rPr>
        <w:lastRenderedPageBreak/>
        <w:t xml:space="preserve">with either a regimen of an NS5A inhibitor or with an NS3/4A protease inhibitor but not both classes of inhibitors (see 4.2 </w:t>
      </w:r>
      <w:r w:rsidR="000A7FFD" w:rsidRPr="000058AC">
        <w:rPr>
          <w:i/>
          <w:iCs/>
        </w:rPr>
        <w:t xml:space="preserve">dose and method of administration and 5.1 pharmacodynamic properties </w:t>
      </w:r>
      <w:r w:rsidRPr="000058AC">
        <w:rPr>
          <w:i/>
          <w:iCs/>
        </w:rPr>
        <w:t>– Clinical trials).</w:t>
      </w:r>
    </w:p>
    <w:p w14:paraId="7B74CF4C" w14:textId="18C302B6" w:rsidR="001D56C0" w:rsidRPr="000058AC" w:rsidRDefault="001D56C0" w:rsidP="00DA5296">
      <w:r>
        <w:t xml:space="preserve">The above </w:t>
      </w:r>
      <w:r w:rsidRPr="00C105CF">
        <w:t xml:space="preserve">extension of indication </w:t>
      </w:r>
      <w:r w:rsidR="00DA5296">
        <w:t>is</w:t>
      </w:r>
      <w:r>
        <w:t xml:space="preserve"> inclusive of the previous approved indications</w:t>
      </w:r>
      <w:r w:rsidR="00DA5296">
        <w:t>.</w:t>
      </w:r>
    </w:p>
    <w:p w14:paraId="497F919C" w14:textId="77777777" w:rsidR="00D23139" w:rsidRPr="00D23139" w:rsidRDefault="00D23139" w:rsidP="00D212F3">
      <w:pPr>
        <w:pStyle w:val="Heading3"/>
      </w:pPr>
      <w:bookmarkStart w:id="68" w:name="_Toc128033651"/>
      <w:r w:rsidRPr="00D23139">
        <w:t>Specific conditions of registration applying to these goods</w:t>
      </w:r>
      <w:bookmarkEnd w:id="68"/>
    </w:p>
    <w:p w14:paraId="05A658F4" w14:textId="77777777" w:rsidR="000058AC" w:rsidRPr="000058AC" w:rsidRDefault="000058AC" w:rsidP="000058AC">
      <w:pPr>
        <w:pStyle w:val="ListBullet"/>
      </w:pPr>
      <w:r w:rsidRPr="000058AC">
        <w:t>Maviret (glecaprevir/pibrentasvir) is to be included in the Black Triangle Scheme. The PI and CMI for Maviret must include the black triangle symbol and mandatory accompanying text for five years, which starts from the date the new indication is registered.</w:t>
      </w:r>
    </w:p>
    <w:p w14:paraId="3388123A" w14:textId="6C4B0193" w:rsidR="000058AC" w:rsidRPr="000058AC" w:rsidRDefault="000058AC" w:rsidP="000058AC">
      <w:pPr>
        <w:pStyle w:val="ListBullet"/>
      </w:pPr>
      <w:r w:rsidRPr="000058AC">
        <w:t>The Maviret EU</w:t>
      </w:r>
      <w:r w:rsidR="00667C7A">
        <w:t>-</w:t>
      </w:r>
      <w:r w:rsidRPr="000058AC">
        <w:t xml:space="preserve">RMP (version 8.0, dated April 2021, </w:t>
      </w:r>
      <w:r w:rsidR="00667C7A">
        <w:t>DLP</w:t>
      </w:r>
      <w:r w:rsidRPr="000058AC">
        <w:t xml:space="preserve"> 25 July 2020), with </w:t>
      </w:r>
      <w:r w:rsidR="00667C7A">
        <w:t>ASA</w:t>
      </w:r>
      <w:r w:rsidRPr="000058AC">
        <w:t xml:space="preserve"> (version 7.0, dated July 2021), included with submission PM-2020-06602-1-2, and any subsequent revisions, as agreed with the TGA will be implemented in Australia.</w:t>
      </w:r>
    </w:p>
    <w:p w14:paraId="062FFDAF" w14:textId="148851A7" w:rsidR="000058AC" w:rsidRPr="000058AC" w:rsidRDefault="000058AC" w:rsidP="000058AC">
      <w:pPr>
        <w:ind w:left="360"/>
      </w:pPr>
      <w:r w:rsidRPr="000058AC">
        <w:t>An obligatory component of risk management plans is routine pharmacovigilance. Routine pharmacovigilance includes the submission of periodic safety update reports (PSURs).</w:t>
      </w:r>
    </w:p>
    <w:p w14:paraId="7A23E867" w14:textId="39D1B4BF" w:rsidR="000058AC" w:rsidRPr="000058AC" w:rsidRDefault="000058AC" w:rsidP="000058AC">
      <w:pPr>
        <w:ind w:left="360"/>
      </w:pPr>
      <w:r w:rsidRPr="000058AC">
        <w:t>Reports are to be provided in line with the current published list of EU reference dates and frequency of submission of PSURs until the period covered by such reports is not less than three years from the date of th</w:t>
      </w:r>
      <w:r>
        <w:t>e</w:t>
      </w:r>
      <w:r w:rsidRPr="000058AC">
        <w:t xml:space="preserve"> approval letter. </w:t>
      </w:r>
    </w:p>
    <w:p w14:paraId="576142A4" w14:textId="4793FFDB" w:rsidR="000058AC" w:rsidRPr="000058AC" w:rsidRDefault="000058AC" w:rsidP="000058AC">
      <w:pPr>
        <w:ind w:left="360"/>
      </w:pPr>
      <w:r w:rsidRPr="000058AC">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C497580" w14:textId="5163ED8B" w:rsidR="008E7846" w:rsidRDefault="00A80B5B" w:rsidP="00D23139">
      <w:pPr>
        <w:pStyle w:val="Heading2"/>
      </w:pPr>
      <w:bookmarkStart w:id="69" w:name="_Toc128033652"/>
      <w:r>
        <w:t xml:space="preserve">Attachment 1. </w:t>
      </w:r>
      <w:r w:rsidR="008E7846">
        <w:t xml:space="preserve">Product </w:t>
      </w:r>
      <w:r w:rsidR="00AA0ED0">
        <w:t>I</w:t>
      </w:r>
      <w:r w:rsidR="008E7846">
        <w:t>nformation</w:t>
      </w:r>
      <w:bookmarkEnd w:id="66"/>
      <w:bookmarkEnd w:id="67"/>
      <w:bookmarkEnd w:id="69"/>
    </w:p>
    <w:p w14:paraId="24D88EF4" w14:textId="44184478" w:rsidR="008E7846" w:rsidRPr="00EB36D6" w:rsidRDefault="006136D7" w:rsidP="00EB36D6">
      <w:r w:rsidRPr="002B3624">
        <w:t xml:space="preserve">The </w:t>
      </w:r>
      <w:r>
        <w:t>PI</w:t>
      </w:r>
      <w:r w:rsidRPr="002B3624">
        <w:t xml:space="preserve"> for </w:t>
      </w:r>
      <w:r w:rsidR="000058AC">
        <w:t>Maviret</w:t>
      </w:r>
      <w:r w:rsidR="0074163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31" w:history="1">
        <w:r w:rsidR="0074163C" w:rsidRPr="008A698E">
          <w:rPr>
            <w:rStyle w:val="Hyperlink"/>
          </w:rPr>
          <w:t>PI/CMI search facility</w:t>
        </w:r>
        <w:r w:rsidR="0074163C" w:rsidRPr="00EB36D6">
          <w:rPr>
            <w:rStyle w:val="Hyperlink"/>
            <w:color w:val="auto"/>
            <w:u w:val="none"/>
          </w:rPr>
          <w:t>.</w:t>
        </w:r>
      </w:hyperlink>
      <w:r w:rsidR="008E7846" w:rsidRPr="00C80137">
        <w:br w:type="page"/>
      </w:r>
    </w:p>
    <w:p w14:paraId="03D05EC3" w14:textId="77777777" w:rsidR="00C80137" w:rsidRPr="001D043B" w:rsidRDefault="00C80137" w:rsidP="003A7F6C">
      <w:pPr>
        <w:pStyle w:val="TableTitle"/>
        <w:sectPr w:rsidR="00C80137" w:rsidRPr="001D043B" w:rsidSect="00B452CE">
          <w:headerReference w:type="even" r:id="rId32"/>
          <w:headerReference w:type="default" r:id="rId33"/>
          <w:headerReference w:type="first" r:id="rId34"/>
          <w:footerReference w:type="first" r:id="rId3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9BFEF10" w14:textId="77777777" w:rsidTr="00A05FA4">
        <w:trPr>
          <w:trHeight w:hRule="exact" w:val="704"/>
        </w:trPr>
        <w:tc>
          <w:tcPr>
            <w:tcW w:w="9175" w:type="dxa"/>
          </w:tcPr>
          <w:p w14:paraId="6BD01B9B" w14:textId="77777777" w:rsidR="001C32CD" w:rsidRPr="00487162" w:rsidRDefault="001C32CD" w:rsidP="00A05FA4">
            <w:pPr>
              <w:pStyle w:val="TGASignoff"/>
            </w:pPr>
            <w:r w:rsidRPr="00487162">
              <w:lastRenderedPageBreak/>
              <w:t>Therapeutic Goods Administration</w:t>
            </w:r>
          </w:p>
        </w:tc>
      </w:tr>
      <w:tr w:rsidR="001C32CD" w:rsidRPr="004C239D" w14:paraId="169F6EE0" w14:textId="77777777" w:rsidTr="00A05FA4">
        <w:trPr>
          <w:trHeight w:val="1221"/>
        </w:trPr>
        <w:tc>
          <w:tcPr>
            <w:tcW w:w="9175" w:type="dxa"/>
            <w:tcMar>
              <w:top w:w="28" w:type="dxa"/>
            </w:tcMar>
          </w:tcPr>
          <w:p w14:paraId="43430610" w14:textId="77777777" w:rsidR="001C32CD" w:rsidRPr="00487162" w:rsidRDefault="001C32CD" w:rsidP="00A05FA4">
            <w:pPr>
              <w:pStyle w:val="Address"/>
            </w:pPr>
            <w:r w:rsidRPr="00487162">
              <w:t>PO Box 100 Woden ACT 2606 Australia</w:t>
            </w:r>
          </w:p>
          <w:p w14:paraId="7D4C7810" w14:textId="72078B3A" w:rsidR="001C32CD" w:rsidRPr="00487162" w:rsidRDefault="001C32CD" w:rsidP="00A05FA4">
            <w:pPr>
              <w:pStyle w:val="Address"/>
            </w:pPr>
            <w:r w:rsidRPr="00487162">
              <w:t xml:space="preserve">Email: </w:t>
            </w:r>
            <w:hyperlink r:id="rId36"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9A6FF5C" w14:textId="267535E5" w:rsidR="001C32CD" w:rsidRPr="004C239D" w:rsidRDefault="00EF1959" w:rsidP="00A05FA4">
            <w:pPr>
              <w:pStyle w:val="Address"/>
              <w:spacing w:line="260" w:lineRule="atLeast"/>
              <w:rPr>
                <w:b/>
                <w:color w:val="0000FF"/>
                <w:u w:val="single"/>
              </w:rPr>
            </w:pPr>
            <w:hyperlink r:id="rId37" w:history="1">
              <w:r w:rsidR="007C6B9B" w:rsidRPr="007C6B9B">
                <w:rPr>
                  <w:rStyle w:val="Hyperlink"/>
                  <w:b/>
                </w:rPr>
                <w:t>https://www.tga.gov.au</w:t>
              </w:r>
            </w:hyperlink>
          </w:p>
        </w:tc>
      </w:tr>
    </w:tbl>
    <w:p w14:paraId="7D6D43FD" w14:textId="77777777" w:rsidR="00774E1D" w:rsidRPr="008A5E0B" w:rsidRDefault="00774E1D" w:rsidP="004C239D"/>
    <w:sectPr w:rsidR="00774E1D" w:rsidRPr="008A5E0B" w:rsidSect="001C32CD">
      <w:headerReference w:type="even" r:id="rId38"/>
      <w:headerReference w:type="default" r:id="rId39"/>
      <w:footerReference w:type="default" r:id="rId40"/>
      <w:headerReference w:type="first" r:id="rId41"/>
      <w:footerReference w:type="first" r:id="rId4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AFE0" w14:textId="77777777" w:rsidR="00A42754" w:rsidRDefault="00A42754" w:rsidP="00C40A36">
      <w:pPr>
        <w:spacing w:after="0"/>
      </w:pPr>
      <w:r>
        <w:separator/>
      </w:r>
    </w:p>
  </w:endnote>
  <w:endnote w:type="continuationSeparator" w:id="0">
    <w:p w14:paraId="69901A74" w14:textId="77777777" w:rsidR="00A42754" w:rsidRDefault="00A42754"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Math">
    <w:altName w:val="Calibri"/>
    <w:panose1 w:val="00000000000000000000"/>
    <w:charset w:val="00"/>
    <w:family w:val="auto"/>
    <w:notTrueType/>
    <w:pitch w:val="default"/>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94251" w:rsidRPr="00487162" w14:paraId="12F7EBCE" w14:textId="77777777" w:rsidTr="00DB750B">
      <w:trPr>
        <w:trHeight w:val="269"/>
      </w:trPr>
      <w:tc>
        <w:tcPr>
          <w:tcW w:w="7371" w:type="dxa"/>
          <w:tcMar>
            <w:top w:w="142" w:type="dxa"/>
            <w:bottom w:w="0" w:type="dxa"/>
          </w:tcMar>
        </w:tcPr>
        <w:p w14:paraId="05F69BC2" w14:textId="1A799F86" w:rsidR="00094251" w:rsidRPr="00487162" w:rsidRDefault="00094251" w:rsidP="00460036">
          <w:pPr>
            <w:pStyle w:val="Footer"/>
          </w:pPr>
          <w:proofErr w:type="spellStart"/>
          <w:r w:rsidRPr="00487162">
            <w:t>AusPA</w:t>
          </w:r>
          <w:r>
            <w:t>R</w:t>
          </w:r>
          <w:proofErr w:type="spellEnd"/>
          <w:r>
            <w:t xml:space="preserve"> </w:t>
          </w:r>
          <w:r w:rsidRPr="0073251C">
            <w:t xml:space="preserve">- </w:t>
          </w:r>
          <w:proofErr w:type="spellStart"/>
          <w:r w:rsidRPr="0073251C">
            <w:t>M</w:t>
          </w:r>
          <w:r>
            <w:t>aviret</w:t>
          </w:r>
          <w:proofErr w:type="spellEnd"/>
          <w:r w:rsidRPr="0073251C">
            <w:t xml:space="preserve"> </w:t>
          </w:r>
          <w:r>
            <w:t>–</w:t>
          </w:r>
          <w:r w:rsidRPr="0073251C">
            <w:t xml:space="preserve"> </w:t>
          </w:r>
          <w:r>
            <w:t>g</w:t>
          </w:r>
          <w:r w:rsidRPr="0073251C">
            <w:t>lecaprevir</w:t>
          </w:r>
          <w:r>
            <w:t>/</w:t>
          </w:r>
          <w:r w:rsidRPr="0073251C">
            <w:t>pibrentasvir - AbbVie Pty Ltd - PM-2020-06602-1-2</w:t>
          </w:r>
          <w:r>
            <w:br/>
          </w:r>
          <w:r w:rsidR="005418D6">
            <w:t>Final</w:t>
          </w:r>
          <w:r>
            <w:t xml:space="preserve"> </w:t>
          </w:r>
          <w:r w:rsidR="005418D6">
            <w:t>20</w:t>
          </w:r>
          <w:r>
            <w:t xml:space="preserve"> February 2023</w:t>
          </w:r>
        </w:p>
      </w:tc>
      <w:tc>
        <w:tcPr>
          <w:tcW w:w="1490" w:type="dxa"/>
          <w:tcMar>
            <w:top w:w="142" w:type="dxa"/>
            <w:bottom w:w="0" w:type="dxa"/>
          </w:tcMar>
        </w:tcPr>
        <w:p w14:paraId="60C22450" w14:textId="2A1C3AC3" w:rsidR="00094251" w:rsidRPr="00487162" w:rsidRDefault="00094251" w:rsidP="00DB750B">
          <w:pPr>
            <w:pStyle w:val="Footer"/>
            <w:jc w:val="right"/>
          </w:pPr>
          <w:r w:rsidRPr="00487162">
            <w:t xml:space="preserve">Page </w:t>
          </w:r>
          <w:r>
            <w:fldChar w:fldCharType="begin"/>
          </w:r>
          <w:r>
            <w:instrText xml:space="preserve"> PAGE  \* Arabic </w:instrText>
          </w:r>
          <w:r>
            <w:fldChar w:fldCharType="separate"/>
          </w:r>
          <w:r w:rsidR="000A7FFD">
            <w:rPr>
              <w:noProof/>
            </w:rPr>
            <w:t>28</w:t>
          </w:r>
          <w:r>
            <w:fldChar w:fldCharType="end"/>
          </w:r>
          <w:r w:rsidRPr="00487162">
            <w:t xml:space="preserve"> of </w:t>
          </w:r>
          <w:r w:rsidR="00A42754">
            <w:fldChar w:fldCharType="begin"/>
          </w:r>
          <w:r w:rsidR="00A42754">
            <w:instrText xml:space="preserve"> NUMPAGES  \* Arabic </w:instrText>
          </w:r>
          <w:r w:rsidR="00A42754">
            <w:fldChar w:fldCharType="separate"/>
          </w:r>
          <w:r w:rsidR="000A7FFD">
            <w:rPr>
              <w:noProof/>
            </w:rPr>
            <w:t>31</w:t>
          </w:r>
          <w:r w:rsidR="00A42754">
            <w:rPr>
              <w:noProof/>
            </w:rPr>
            <w:fldChar w:fldCharType="end"/>
          </w:r>
        </w:p>
      </w:tc>
    </w:tr>
  </w:tbl>
  <w:p w14:paraId="4C1DF00A" w14:textId="77777777" w:rsidR="00094251" w:rsidRDefault="00094251"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94251" w:rsidRPr="00487162" w14:paraId="1161F4EF" w14:textId="77777777" w:rsidTr="00E45619">
      <w:trPr>
        <w:trHeight w:val="269"/>
      </w:trPr>
      <w:tc>
        <w:tcPr>
          <w:tcW w:w="4519" w:type="dxa"/>
          <w:tcBorders>
            <w:top w:val="single" w:sz="4" w:space="0" w:color="auto"/>
          </w:tcBorders>
          <w:tcMar>
            <w:top w:w="142" w:type="dxa"/>
            <w:bottom w:w="0" w:type="dxa"/>
          </w:tcMar>
        </w:tcPr>
        <w:p w14:paraId="25E697C8" w14:textId="77777777" w:rsidR="00094251" w:rsidRPr="00487162" w:rsidRDefault="00094251" w:rsidP="00FE1DEE">
          <w:pPr>
            <w:pStyle w:val="Footer"/>
          </w:pPr>
          <w:r w:rsidRPr="00487162">
            <w:t>Document title, Part #, Section # - Section title</w:t>
          </w:r>
        </w:p>
        <w:p w14:paraId="1A598842" w14:textId="77777777" w:rsidR="00094251" w:rsidRPr="00487162" w:rsidRDefault="00094251" w:rsidP="00FE1DEE">
          <w:pPr>
            <w:pStyle w:val="Footer"/>
          </w:pPr>
          <w:r w:rsidRPr="00487162">
            <w:t>V1.0 October 2010</w:t>
          </w:r>
        </w:p>
      </w:tc>
      <w:tc>
        <w:tcPr>
          <w:tcW w:w="4342" w:type="dxa"/>
          <w:tcBorders>
            <w:top w:val="single" w:sz="4" w:space="0" w:color="auto"/>
          </w:tcBorders>
          <w:tcMar>
            <w:top w:w="142" w:type="dxa"/>
            <w:bottom w:w="0" w:type="dxa"/>
          </w:tcMar>
        </w:tcPr>
        <w:p w14:paraId="77CD1315" w14:textId="77777777" w:rsidR="00094251" w:rsidRPr="00487162" w:rsidRDefault="0009425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42754">
            <w:fldChar w:fldCharType="begin"/>
          </w:r>
          <w:r w:rsidR="00A42754">
            <w:instrText xml:space="preserve"> NUMPAGES  </w:instrText>
          </w:r>
          <w:r w:rsidR="00A42754">
            <w:fldChar w:fldCharType="separate"/>
          </w:r>
          <w:r>
            <w:rPr>
              <w:noProof/>
            </w:rPr>
            <w:t>21</w:t>
          </w:r>
          <w:r w:rsidR="00A42754">
            <w:rPr>
              <w:noProof/>
            </w:rPr>
            <w:fldChar w:fldCharType="end"/>
          </w:r>
        </w:p>
      </w:tc>
    </w:tr>
  </w:tbl>
  <w:p w14:paraId="75FE224D" w14:textId="77777777" w:rsidR="00094251" w:rsidRDefault="000942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0A05" w14:textId="77777777" w:rsidR="00094251" w:rsidRPr="001C32CD" w:rsidRDefault="00094251"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94251" w14:paraId="20DE06CC" w14:textId="77777777" w:rsidTr="0010601F">
      <w:trPr>
        <w:trHeight w:val="108"/>
      </w:trPr>
      <w:tc>
        <w:tcPr>
          <w:tcW w:w="8875" w:type="dxa"/>
          <w:gridSpan w:val="2"/>
          <w:tcBorders>
            <w:bottom w:val="single" w:sz="4" w:space="0" w:color="auto"/>
          </w:tcBorders>
          <w:tcMar>
            <w:right w:w="284" w:type="dxa"/>
          </w:tcMar>
        </w:tcPr>
        <w:p w14:paraId="555550FC" w14:textId="77777777" w:rsidR="00094251" w:rsidRDefault="00094251" w:rsidP="006E08B3">
          <w:pPr>
            <w:pStyle w:val="Heading3"/>
          </w:pPr>
          <w:r>
            <w:t>Copyright</w:t>
          </w:r>
        </w:p>
        <w:p w14:paraId="4510B0C2" w14:textId="77777777" w:rsidR="00094251" w:rsidRDefault="00094251" w:rsidP="006E08B3">
          <w:r>
            <w:rPr>
              <w:rFonts w:cs="Arial"/>
            </w:rPr>
            <w:t>©</w:t>
          </w:r>
          <w:r>
            <w:t xml:space="preserve"> Commonwealth of Australia [add year]</w:t>
          </w:r>
        </w:p>
        <w:p w14:paraId="2C59DAD2" w14:textId="77777777" w:rsidR="00094251" w:rsidRDefault="00094251" w:rsidP="006E08B3"/>
        <w:p w14:paraId="0E2C63B0" w14:textId="77777777" w:rsidR="00094251" w:rsidRDefault="0009425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7F90FA8" w14:textId="77777777" w:rsidR="00094251" w:rsidRDefault="00094251" w:rsidP="006E08B3"/>
        <w:p w14:paraId="08DA8D21" w14:textId="77777777" w:rsidR="00094251" w:rsidRDefault="00094251" w:rsidP="006E08B3">
          <w:pPr>
            <w:pStyle w:val="Heading3"/>
          </w:pPr>
          <w:r>
            <w:t>Confidentiality</w:t>
          </w:r>
        </w:p>
        <w:p w14:paraId="4364F072" w14:textId="77777777" w:rsidR="00094251" w:rsidRDefault="0009425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2692DDE" w14:textId="77777777" w:rsidR="00094251" w:rsidRDefault="00094251" w:rsidP="006E08B3"/>
        <w:p w14:paraId="68115911" w14:textId="77777777" w:rsidR="00094251" w:rsidRDefault="00094251" w:rsidP="006E08B3">
          <w:r>
            <w:t>For submission made by individuals, all personal details, other than your name, will be removed from your submission before it is published on the TGA’s Internet site.</w:t>
          </w:r>
        </w:p>
        <w:p w14:paraId="7C92BC96" w14:textId="77777777" w:rsidR="00094251" w:rsidRDefault="00094251" w:rsidP="006E08B3"/>
        <w:p w14:paraId="2459B769" w14:textId="77777777" w:rsidR="00094251" w:rsidRDefault="00094251" w:rsidP="006E08B3">
          <w:r>
            <w:t>In addition, a list of parties making submissions will be published. If you do not wish to be identified with your submission you must specifically request this in the space provided in the submission coversheet.</w:t>
          </w:r>
        </w:p>
      </w:tc>
    </w:tr>
    <w:tr w:rsidR="00094251" w14:paraId="068331C1" w14:textId="77777777" w:rsidTr="0010601F">
      <w:trPr>
        <w:trHeight w:val="417"/>
      </w:trPr>
      <w:tc>
        <w:tcPr>
          <w:tcW w:w="4519" w:type="dxa"/>
          <w:tcBorders>
            <w:top w:val="single" w:sz="4" w:space="0" w:color="auto"/>
          </w:tcBorders>
          <w:tcMar>
            <w:top w:w="142" w:type="dxa"/>
            <w:bottom w:w="0" w:type="dxa"/>
          </w:tcMar>
        </w:tcPr>
        <w:p w14:paraId="00B776D0" w14:textId="77777777" w:rsidR="00094251" w:rsidRDefault="00094251" w:rsidP="006E08B3">
          <w:r>
            <w:t>Document title, Part #, Section # - Section title</w:t>
          </w:r>
        </w:p>
        <w:p w14:paraId="1955AD9B" w14:textId="77777777" w:rsidR="00094251" w:rsidRDefault="00094251" w:rsidP="006E08B3">
          <w:r>
            <w:t>V1.0 October 2010</w:t>
          </w:r>
        </w:p>
      </w:tc>
      <w:tc>
        <w:tcPr>
          <w:tcW w:w="4356" w:type="dxa"/>
          <w:tcBorders>
            <w:top w:val="single" w:sz="4" w:space="0" w:color="auto"/>
          </w:tcBorders>
          <w:tcMar>
            <w:top w:w="142" w:type="dxa"/>
            <w:bottom w:w="0" w:type="dxa"/>
          </w:tcMar>
        </w:tcPr>
        <w:p w14:paraId="06F1D4F3" w14:textId="77777777" w:rsidR="00094251" w:rsidRDefault="0009425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42754">
            <w:fldChar w:fldCharType="begin"/>
          </w:r>
          <w:r w:rsidR="00A42754">
            <w:instrText xml:space="preserve"> NUMPAGES  \* Arabic </w:instrText>
          </w:r>
          <w:r w:rsidR="00A42754">
            <w:fldChar w:fldCharType="separate"/>
          </w:r>
          <w:r>
            <w:rPr>
              <w:noProof/>
            </w:rPr>
            <w:t>21</w:t>
          </w:r>
          <w:r w:rsidR="00A42754">
            <w:rPr>
              <w:noProof/>
            </w:rPr>
            <w:fldChar w:fldCharType="end"/>
          </w:r>
          <w:r>
            <w:t xml:space="preserve">  </w:t>
          </w:r>
        </w:p>
      </w:tc>
    </w:tr>
  </w:tbl>
  <w:p w14:paraId="72186F2C" w14:textId="77777777" w:rsidR="00094251" w:rsidRDefault="000942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5956E" w14:textId="77777777" w:rsidR="00A42754" w:rsidRDefault="00A42754" w:rsidP="00C40A36">
      <w:pPr>
        <w:spacing w:after="0"/>
      </w:pPr>
      <w:r>
        <w:separator/>
      </w:r>
    </w:p>
  </w:footnote>
  <w:footnote w:type="continuationSeparator" w:id="0">
    <w:p w14:paraId="0FCAAA6B" w14:textId="77777777" w:rsidR="00A42754" w:rsidRDefault="00A42754" w:rsidP="00C40A36">
      <w:pPr>
        <w:spacing w:after="0"/>
      </w:pPr>
      <w:r>
        <w:continuationSeparator/>
      </w:r>
    </w:p>
  </w:footnote>
  <w:footnote w:id="1">
    <w:p w14:paraId="0560C774" w14:textId="09045BF9" w:rsidR="00094251" w:rsidRPr="00A15449" w:rsidRDefault="00094251">
      <w:pPr>
        <w:pStyle w:val="FootnoteText"/>
        <w:rPr>
          <w:lang w:val="en-GB"/>
        </w:rPr>
      </w:pPr>
      <w:r>
        <w:rPr>
          <w:rStyle w:val="FootnoteReference"/>
        </w:rPr>
        <w:footnoteRef/>
      </w:r>
      <w:r>
        <w:t xml:space="preserve"> </w:t>
      </w:r>
      <w:r w:rsidRPr="000F1DFD">
        <w:t>Hepatitis C Virus Infection Consensus Statement Working Group. Australian recommendations for the management of hepatitis C virus in</w:t>
      </w:r>
      <w:r>
        <w:t>fection: a consensus statement (2022)</w:t>
      </w:r>
      <w:r w:rsidRPr="000F1DFD">
        <w:t>. Melbourne: Gastroenterological Society of Australia, 2022.</w:t>
      </w:r>
    </w:p>
  </w:footnote>
  <w:footnote w:id="2">
    <w:p w14:paraId="562863CA" w14:textId="071D8FA2" w:rsidR="00094251" w:rsidRPr="00A15449" w:rsidRDefault="00094251">
      <w:pPr>
        <w:pStyle w:val="FootnoteText"/>
        <w:rPr>
          <w:lang w:val="en-GB"/>
        </w:rPr>
      </w:pPr>
      <w:r>
        <w:rPr>
          <w:rStyle w:val="FootnoteReference"/>
        </w:rPr>
        <w:footnoteRef/>
      </w:r>
      <w:r>
        <w:t xml:space="preserve"> </w:t>
      </w:r>
      <w:r w:rsidRPr="000F1DFD">
        <w:t>Kirby Institute. HIV, viral hepatitis and sexually transmissible infections in Australia: annual surveillance report 2021. Hepatitis C. Sydney: Kirby Institute, UNSW Sydney, 2021. https://kirby.unsw.edu.au/report/asr2021</w:t>
      </w:r>
    </w:p>
  </w:footnote>
  <w:footnote w:id="3">
    <w:p w14:paraId="5A2E4FF7" w14:textId="7E8776A2" w:rsidR="00094251" w:rsidRPr="00A15449" w:rsidRDefault="00094251">
      <w:pPr>
        <w:pStyle w:val="FootnoteText"/>
        <w:rPr>
          <w:lang w:val="en-GB"/>
        </w:rPr>
      </w:pPr>
      <w:r>
        <w:rPr>
          <w:rStyle w:val="FootnoteReference"/>
        </w:rPr>
        <w:footnoteRef/>
      </w:r>
      <w:r>
        <w:t xml:space="preserve"> Australasian Society for HIV, Viral Hepatitis and Sexual Health Medicine (ASHM) Australian (AU) Commentary on the AASLD-IDSA HCV Guidance: HCV in Children. ASHM 2021</w:t>
      </w:r>
    </w:p>
  </w:footnote>
  <w:footnote w:id="4">
    <w:p w14:paraId="34921584" w14:textId="32E79852" w:rsidR="00094251" w:rsidRPr="00A15449" w:rsidRDefault="00094251">
      <w:pPr>
        <w:pStyle w:val="FootnoteText"/>
        <w:rPr>
          <w:lang w:val="en-GB"/>
        </w:rPr>
      </w:pPr>
      <w:r>
        <w:rPr>
          <w:rStyle w:val="FootnoteReference"/>
        </w:rPr>
        <w:footnoteRef/>
      </w:r>
      <w:r>
        <w:t xml:space="preserve"> Jhaveri R. Diagnosis and management of hepatitis C virus-infected children. </w:t>
      </w:r>
      <w:r w:rsidRPr="00A15449">
        <w:rPr>
          <w:i/>
        </w:rPr>
        <w:t>Pediatr Infect Dis J.</w:t>
      </w:r>
      <w:r>
        <w:t xml:space="preserve"> 2011;30(11):983- 985.</w:t>
      </w:r>
    </w:p>
  </w:footnote>
  <w:footnote w:id="5">
    <w:p w14:paraId="4310970F" w14:textId="34062D8E" w:rsidR="00094251" w:rsidRPr="00A15449" w:rsidRDefault="00094251">
      <w:pPr>
        <w:pStyle w:val="FootnoteText"/>
        <w:rPr>
          <w:lang w:val="en-GB"/>
        </w:rPr>
      </w:pPr>
      <w:r>
        <w:rPr>
          <w:rStyle w:val="FootnoteReference"/>
        </w:rPr>
        <w:footnoteRef/>
      </w:r>
      <w:r>
        <w:t xml:space="preserve"> </w:t>
      </w:r>
      <w:r w:rsidRPr="000C411D">
        <w:t>American Association for the Study of Liver Diseases (AASLD)</w:t>
      </w:r>
      <w:r>
        <w:t>-</w:t>
      </w:r>
      <w:r w:rsidRPr="000C411D">
        <w:t xml:space="preserve"> Infectious Diseases Society of America</w:t>
      </w:r>
      <w:r>
        <w:t xml:space="preserve"> (AASLD-IDSA). HCV in Children. Recommendations for testing, managing, and treating hepatitis C. (2021) https://www.hcvguidelines.org/unique-populations/children</w:t>
      </w:r>
    </w:p>
  </w:footnote>
  <w:footnote w:id="6">
    <w:p w14:paraId="634DBA6A" w14:textId="7EF2C6E9" w:rsidR="00094251" w:rsidRDefault="00094251">
      <w:pPr>
        <w:pStyle w:val="FootnoteText"/>
      </w:pPr>
      <w:r>
        <w:rPr>
          <w:rStyle w:val="FootnoteReference"/>
        </w:rPr>
        <w:footnoteRef/>
      </w:r>
      <w:r>
        <w:t xml:space="preserve"> Epclusa (sofosbuvir and velpatasvir) was first registered in Australia on 19 December 2016. ARTG number: 266823</w:t>
      </w:r>
    </w:p>
  </w:footnote>
  <w:footnote w:id="7">
    <w:p w14:paraId="60B039AE" w14:textId="785AAA7E" w:rsidR="00094251" w:rsidRDefault="00094251">
      <w:pPr>
        <w:pStyle w:val="FootnoteText"/>
      </w:pPr>
      <w:r>
        <w:rPr>
          <w:rStyle w:val="FootnoteReference"/>
        </w:rPr>
        <w:footnoteRef/>
      </w:r>
      <w:r>
        <w:t xml:space="preserve"> Maviret (glecaprevir and pibrentasvir) was first registered in Australia on 2 January 2018. ARTG number: 284948</w:t>
      </w:r>
    </w:p>
  </w:footnote>
  <w:footnote w:id="8">
    <w:p w14:paraId="04001139" w14:textId="3750C49D" w:rsidR="00094251" w:rsidRDefault="00094251">
      <w:pPr>
        <w:pStyle w:val="FootnoteText"/>
      </w:pPr>
      <w:r>
        <w:rPr>
          <w:rStyle w:val="FootnoteReference"/>
        </w:rPr>
        <w:footnoteRef/>
      </w:r>
      <w:r>
        <w:t xml:space="preserve"> Harvoni (sofosbuvir and ledipasvir) was first registered in Australia on 13 May 2015. ARTG number: 222848</w:t>
      </w:r>
    </w:p>
  </w:footnote>
  <w:footnote w:id="9">
    <w:p w14:paraId="2774B36A" w14:textId="29BA80A2" w:rsidR="00094251" w:rsidRPr="00A15449" w:rsidRDefault="00094251">
      <w:pPr>
        <w:pStyle w:val="FootnoteText"/>
        <w:rPr>
          <w:lang w:val="en-GB"/>
        </w:rPr>
      </w:pPr>
      <w:r>
        <w:rPr>
          <w:rStyle w:val="FootnoteReference"/>
        </w:rPr>
        <w:footnoteRef/>
      </w:r>
      <w:r>
        <w:t xml:space="preserve"> </w:t>
      </w:r>
      <w:r>
        <w:rPr>
          <w:lang w:val="en-GB"/>
        </w:rPr>
        <w:t>AusPAR for Maviret (</w:t>
      </w:r>
      <w:r>
        <w:t xml:space="preserve">glecaprevir and pibrentasvir) AbbVie Pty Ltd. submission </w:t>
      </w:r>
      <w:r w:rsidRPr="0073129E">
        <w:t>PM-2017-00210-1-2</w:t>
      </w:r>
      <w:r>
        <w:t>.</w:t>
      </w:r>
      <w:r w:rsidRPr="0073129E">
        <w:t xml:space="preserve"> </w:t>
      </w:r>
      <w:r>
        <w:t xml:space="preserve">Published 23 January 2019. Available at: </w:t>
      </w:r>
      <w:hyperlink r:id="rId1" w:history="1">
        <w:proofErr w:type="spellStart"/>
        <w:r>
          <w:rPr>
            <w:rStyle w:val="Hyperlink"/>
          </w:rPr>
          <w:t>AusPAR</w:t>
        </w:r>
        <w:proofErr w:type="spellEnd"/>
        <w:r>
          <w:rPr>
            <w:rStyle w:val="Hyperlink"/>
          </w:rPr>
          <w:t xml:space="preserve">: </w:t>
        </w:r>
        <w:proofErr w:type="spellStart"/>
        <w:r>
          <w:rPr>
            <w:rStyle w:val="Hyperlink"/>
          </w:rPr>
          <w:t>Glecaprevir</w:t>
        </w:r>
        <w:proofErr w:type="spellEnd"/>
        <w:r>
          <w:rPr>
            <w:rStyle w:val="Hyperlink"/>
          </w:rPr>
          <w:t xml:space="preserve"> / </w:t>
        </w:r>
        <w:proofErr w:type="spellStart"/>
        <w:r>
          <w:rPr>
            <w:rStyle w:val="Hyperlink"/>
          </w:rPr>
          <w:t>pibrentasvir</w:t>
        </w:r>
        <w:proofErr w:type="spellEnd"/>
        <w:r>
          <w:rPr>
            <w:rStyle w:val="Hyperlink"/>
          </w:rPr>
          <w:t xml:space="preserve"> | Therapeutic Goods Administration (TGA)</w:t>
        </w:r>
      </w:hyperlink>
    </w:p>
  </w:footnote>
  <w:footnote w:id="10">
    <w:p w14:paraId="4B6B4517" w14:textId="5AA58AF1" w:rsidR="00094251" w:rsidRDefault="00094251">
      <w:pPr>
        <w:pStyle w:val="FootnoteText"/>
      </w:pPr>
      <w:r>
        <w:rPr>
          <w:rStyle w:val="FootnoteReference"/>
        </w:rPr>
        <w:footnoteRef/>
      </w:r>
      <w:r>
        <w:t xml:space="preserve"> </w:t>
      </w:r>
      <w:r w:rsidRPr="00D52CB0">
        <w:t>European Medicines Agency (EMA), Committee for Medicinal Products for Human Use (CHMP),</w:t>
      </w:r>
      <w:r>
        <w:t xml:space="preserve"> Questions and answers on propylene glycol used as an excipient in medicinal products for human use </w:t>
      </w:r>
      <w:r w:rsidRPr="00D52CB0">
        <w:t>EMEA/CHMP/</w:t>
      </w:r>
      <w:r>
        <w:t>704195</w:t>
      </w:r>
      <w:r w:rsidRPr="00D52CB0">
        <w:t>/20</w:t>
      </w:r>
      <w:r>
        <w:t>13</w:t>
      </w:r>
      <w:r w:rsidRPr="00D52CB0">
        <w:t xml:space="preserve">, </w:t>
      </w:r>
      <w:r>
        <w:t>October 2017.</w:t>
      </w:r>
    </w:p>
  </w:footnote>
  <w:footnote w:id="11">
    <w:p w14:paraId="62645FC7" w14:textId="38A0D0F5" w:rsidR="00094251" w:rsidRDefault="00094251">
      <w:pPr>
        <w:pStyle w:val="FootnoteText"/>
      </w:pPr>
      <w:r>
        <w:rPr>
          <w:rStyle w:val="FootnoteReference"/>
        </w:rPr>
        <w:footnoteRef/>
      </w:r>
      <w:r>
        <w:t xml:space="preserve"> The Child-Pugh score is a system for assessing the prognosis and required strength of treatment and necessity of liver transplant of chronic liver disease, primarily cirrhosis. The Child-Pugh score is determined by scoring five clinical measures of liver disease (total bilirubin, serum albumin, prothrombin time, ascites, hepatic encephalopathy) and the possibility of eventual liver failure. A score of 1, 2 or 3 is given to each measure with 3 being the most severe. Class A: 5 to 6 points, least severe liver disease, one to five year survival rate of 95%. Class B: 7 to 9 points, moderately severe liver disease, one to five year survival rate of 75%. Class C: 10 to 15 points, most severe liver disease, one to five year survival rate of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C397" w14:textId="77777777" w:rsidR="00094251" w:rsidRDefault="00094251"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0C8B" w14:textId="77777777" w:rsidR="00094251" w:rsidRDefault="00094251">
    <w:pPr>
      <w:rPr>
        <w:noProof/>
        <w:lang w:eastAsia="en-AU"/>
      </w:rPr>
    </w:pPr>
    <w:r w:rsidRPr="00347824">
      <w:rPr>
        <w:noProof/>
        <w:lang w:val="en-GB" w:eastAsia="en-GB"/>
      </w:rPr>
      <w:drawing>
        <wp:anchor distT="0" distB="0" distL="114300" distR="114300" simplePos="0" relativeHeight="251659264" behindDoc="1" locked="0" layoutInCell="1" allowOverlap="1" wp14:anchorId="6BBF7159" wp14:editId="2A6C5C0B">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64053" w14:textId="77777777" w:rsidR="00094251" w:rsidRDefault="000942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9C8C" w14:textId="77777777" w:rsidR="00094251" w:rsidRDefault="00094251">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0BB3" w14:textId="77777777" w:rsidR="00094251" w:rsidRDefault="0009425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F33A" w14:textId="77777777" w:rsidR="00094251" w:rsidRDefault="000942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B6D2" w14:textId="77777777" w:rsidR="00094251" w:rsidRDefault="00094251"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1589" w14:textId="77777777" w:rsidR="00094251" w:rsidRDefault="00094251" w:rsidP="006E08B3">
    <w:r>
      <w:t>Therapeutic Goods Administration</w:t>
    </w:r>
  </w:p>
  <w:p w14:paraId="3545059B" w14:textId="77777777" w:rsidR="00094251" w:rsidRDefault="0009425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D568D2"/>
    <w:multiLevelType w:val="hybridMultilevel"/>
    <w:tmpl w:val="1C58CF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90E3B48"/>
    <w:multiLevelType w:val="hybridMultilevel"/>
    <w:tmpl w:val="912AA39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3"/>
  </w:num>
  <w:num w:numId="29">
    <w:abstractNumId w:val="6"/>
  </w:num>
  <w:num w:numId="30">
    <w:abstractNumId w:val="8"/>
  </w:num>
  <w:num w:numId="31">
    <w:abstractNumId w:val="4"/>
  </w:num>
  <w:num w:numId="32">
    <w:abstractNumId w:val="11"/>
  </w:num>
  <w:num w:numId="33">
    <w:abstractNumId w:val="12"/>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F33"/>
    <w:rsid w:val="00002031"/>
    <w:rsid w:val="00003A79"/>
    <w:rsid w:val="00004734"/>
    <w:rsid w:val="000058AC"/>
    <w:rsid w:val="00006B22"/>
    <w:rsid w:val="00006FAB"/>
    <w:rsid w:val="0001276A"/>
    <w:rsid w:val="000246AE"/>
    <w:rsid w:val="00025C67"/>
    <w:rsid w:val="00040C13"/>
    <w:rsid w:val="00044772"/>
    <w:rsid w:val="0004541C"/>
    <w:rsid w:val="00046A9E"/>
    <w:rsid w:val="00051287"/>
    <w:rsid w:val="000525A7"/>
    <w:rsid w:val="0005559E"/>
    <w:rsid w:val="000604D6"/>
    <w:rsid w:val="00071A0B"/>
    <w:rsid w:val="00073261"/>
    <w:rsid w:val="000734D8"/>
    <w:rsid w:val="00074AB7"/>
    <w:rsid w:val="00077775"/>
    <w:rsid w:val="000801EF"/>
    <w:rsid w:val="00090471"/>
    <w:rsid w:val="00094251"/>
    <w:rsid w:val="00096AA7"/>
    <w:rsid w:val="000A3AED"/>
    <w:rsid w:val="000A7FFD"/>
    <w:rsid w:val="000B3532"/>
    <w:rsid w:val="000B3A75"/>
    <w:rsid w:val="000B66F8"/>
    <w:rsid w:val="000C00C2"/>
    <w:rsid w:val="000C411D"/>
    <w:rsid w:val="000C690F"/>
    <w:rsid w:val="000D1295"/>
    <w:rsid w:val="000D391B"/>
    <w:rsid w:val="000D3D6D"/>
    <w:rsid w:val="000D4FC7"/>
    <w:rsid w:val="000E6196"/>
    <w:rsid w:val="000E6FF9"/>
    <w:rsid w:val="000F1DFD"/>
    <w:rsid w:val="000F1E5D"/>
    <w:rsid w:val="000F4869"/>
    <w:rsid w:val="000F5B42"/>
    <w:rsid w:val="000F6E6F"/>
    <w:rsid w:val="0010601F"/>
    <w:rsid w:val="0010788A"/>
    <w:rsid w:val="00107A31"/>
    <w:rsid w:val="00110EA5"/>
    <w:rsid w:val="00112F56"/>
    <w:rsid w:val="001151BE"/>
    <w:rsid w:val="00117C1F"/>
    <w:rsid w:val="00121E86"/>
    <w:rsid w:val="00122C2E"/>
    <w:rsid w:val="00122D8A"/>
    <w:rsid w:val="00122FE1"/>
    <w:rsid w:val="00124ACD"/>
    <w:rsid w:val="00125318"/>
    <w:rsid w:val="0012664A"/>
    <w:rsid w:val="001305A2"/>
    <w:rsid w:val="00133238"/>
    <w:rsid w:val="00133A1B"/>
    <w:rsid w:val="00137CDF"/>
    <w:rsid w:val="0014197B"/>
    <w:rsid w:val="001447CD"/>
    <w:rsid w:val="00146F01"/>
    <w:rsid w:val="001516B1"/>
    <w:rsid w:val="00154EBB"/>
    <w:rsid w:val="00156316"/>
    <w:rsid w:val="00161181"/>
    <w:rsid w:val="00161292"/>
    <w:rsid w:val="00161D56"/>
    <w:rsid w:val="00162246"/>
    <w:rsid w:val="00162D14"/>
    <w:rsid w:val="00163780"/>
    <w:rsid w:val="00165389"/>
    <w:rsid w:val="0017693F"/>
    <w:rsid w:val="00177D86"/>
    <w:rsid w:val="0018110E"/>
    <w:rsid w:val="00181684"/>
    <w:rsid w:val="001843C6"/>
    <w:rsid w:val="001850E0"/>
    <w:rsid w:val="00185407"/>
    <w:rsid w:val="001A03AF"/>
    <w:rsid w:val="001A2158"/>
    <w:rsid w:val="001A525F"/>
    <w:rsid w:val="001A5A00"/>
    <w:rsid w:val="001A66B8"/>
    <w:rsid w:val="001B09F9"/>
    <w:rsid w:val="001B1DA4"/>
    <w:rsid w:val="001B5C90"/>
    <w:rsid w:val="001B6448"/>
    <w:rsid w:val="001C32CD"/>
    <w:rsid w:val="001C6622"/>
    <w:rsid w:val="001D2984"/>
    <w:rsid w:val="001D56C0"/>
    <w:rsid w:val="001E07CF"/>
    <w:rsid w:val="001E359E"/>
    <w:rsid w:val="001E59F1"/>
    <w:rsid w:val="001F2CEE"/>
    <w:rsid w:val="001F49EB"/>
    <w:rsid w:val="001F6CBA"/>
    <w:rsid w:val="002007A7"/>
    <w:rsid w:val="00201D4E"/>
    <w:rsid w:val="00207073"/>
    <w:rsid w:val="002076C9"/>
    <w:rsid w:val="00212254"/>
    <w:rsid w:val="00216084"/>
    <w:rsid w:val="00220B8A"/>
    <w:rsid w:val="002212CA"/>
    <w:rsid w:val="002257F3"/>
    <w:rsid w:val="002314EA"/>
    <w:rsid w:val="00233456"/>
    <w:rsid w:val="002339A5"/>
    <w:rsid w:val="00235C0D"/>
    <w:rsid w:val="00250271"/>
    <w:rsid w:val="00250F35"/>
    <w:rsid w:val="00255E8F"/>
    <w:rsid w:val="00257848"/>
    <w:rsid w:val="002578E8"/>
    <w:rsid w:val="0027084A"/>
    <w:rsid w:val="00271E85"/>
    <w:rsid w:val="00280265"/>
    <w:rsid w:val="00286434"/>
    <w:rsid w:val="00286C59"/>
    <w:rsid w:val="00291957"/>
    <w:rsid w:val="002942D1"/>
    <w:rsid w:val="0029501A"/>
    <w:rsid w:val="002A3721"/>
    <w:rsid w:val="002B1638"/>
    <w:rsid w:val="002B3624"/>
    <w:rsid w:val="002B61CE"/>
    <w:rsid w:val="002D0952"/>
    <w:rsid w:val="002D7816"/>
    <w:rsid w:val="002E1075"/>
    <w:rsid w:val="002E1D6F"/>
    <w:rsid w:val="002E40B3"/>
    <w:rsid w:val="002E4C9A"/>
    <w:rsid w:val="002F11F8"/>
    <w:rsid w:val="002F3F56"/>
    <w:rsid w:val="002F44B5"/>
    <w:rsid w:val="002F5122"/>
    <w:rsid w:val="00311AC0"/>
    <w:rsid w:val="003176FC"/>
    <w:rsid w:val="003227F3"/>
    <w:rsid w:val="00323F27"/>
    <w:rsid w:val="00324E45"/>
    <w:rsid w:val="0032583B"/>
    <w:rsid w:val="00325BF7"/>
    <w:rsid w:val="00327883"/>
    <w:rsid w:val="00332715"/>
    <w:rsid w:val="00335504"/>
    <w:rsid w:val="00340C18"/>
    <w:rsid w:val="003442FD"/>
    <w:rsid w:val="00347824"/>
    <w:rsid w:val="00350567"/>
    <w:rsid w:val="003521E8"/>
    <w:rsid w:val="00361FBC"/>
    <w:rsid w:val="00370CE3"/>
    <w:rsid w:val="003728F3"/>
    <w:rsid w:val="003735BC"/>
    <w:rsid w:val="0037496E"/>
    <w:rsid w:val="00376F95"/>
    <w:rsid w:val="00382778"/>
    <w:rsid w:val="00383221"/>
    <w:rsid w:val="00386150"/>
    <w:rsid w:val="003874CE"/>
    <w:rsid w:val="00390900"/>
    <w:rsid w:val="003A51F3"/>
    <w:rsid w:val="003A7F6C"/>
    <w:rsid w:val="003B3581"/>
    <w:rsid w:val="003B4D60"/>
    <w:rsid w:val="003B7E39"/>
    <w:rsid w:val="003C58DC"/>
    <w:rsid w:val="003D1E62"/>
    <w:rsid w:val="003D6D88"/>
    <w:rsid w:val="003E0B99"/>
    <w:rsid w:val="003E2486"/>
    <w:rsid w:val="003E3208"/>
    <w:rsid w:val="003F0B04"/>
    <w:rsid w:val="003F1C4C"/>
    <w:rsid w:val="003F3F7D"/>
    <w:rsid w:val="0040134E"/>
    <w:rsid w:val="00402B2C"/>
    <w:rsid w:val="00415F03"/>
    <w:rsid w:val="00417CCF"/>
    <w:rsid w:val="004253A7"/>
    <w:rsid w:val="004334C7"/>
    <w:rsid w:val="00440199"/>
    <w:rsid w:val="00440A2D"/>
    <w:rsid w:val="00441C3F"/>
    <w:rsid w:val="00444D1A"/>
    <w:rsid w:val="0045186A"/>
    <w:rsid w:val="00454BDC"/>
    <w:rsid w:val="004564A7"/>
    <w:rsid w:val="00456765"/>
    <w:rsid w:val="0045784E"/>
    <w:rsid w:val="00460036"/>
    <w:rsid w:val="004617BF"/>
    <w:rsid w:val="00463658"/>
    <w:rsid w:val="0046366E"/>
    <w:rsid w:val="004637A0"/>
    <w:rsid w:val="00465431"/>
    <w:rsid w:val="00465F84"/>
    <w:rsid w:val="004719B5"/>
    <w:rsid w:val="004722CC"/>
    <w:rsid w:val="00477512"/>
    <w:rsid w:val="00490483"/>
    <w:rsid w:val="00490F11"/>
    <w:rsid w:val="004936E4"/>
    <w:rsid w:val="00494E60"/>
    <w:rsid w:val="00497487"/>
    <w:rsid w:val="004A0387"/>
    <w:rsid w:val="004A2771"/>
    <w:rsid w:val="004A552B"/>
    <w:rsid w:val="004A6189"/>
    <w:rsid w:val="004A7390"/>
    <w:rsid w:val="004B3A5E"/>
    <w:rsid w:val="004B7B76"/>
    <w:rsid w:val="004B7CC7"/>
    <w:rsid w:val="004C1FBF"/>
    <w:rsid w:val="004C239D"/>
    <w:rsid w:val="004C2B1B"/>
    <w:rsid w:val="004C2DCA"/>
    <w:rsid w:val="004C4FBE"/>
    <w:rsid w:val="004C61D2"/>
    <w:rsid w:val="004F0C4A"/>
    <w:rsid w:val="004F0F38"/>
    <w:rsid w:val="004F47D6"/>
    <w:rsid w:val="00500337"/>
    <w:rsid w:val="00501921"/>
    <w:rsid w:val="00505417"/>
    <w:rsid w:val="00507B62"/>
    <w:rsid w:val="005124DE"/>
    <w:rsid w:val="005125AA"/>
    <w:rsid w:val="00514C36"/>
    <w:rsid w:val="0052149B"/>
    <w:rsid w:val="00522FBC"/>
    <w:rsid w:val="00523A21"/>
    <w:rsid w:val="00530354"/>
    <w:rsid w:val="00534803"/>
    <w:rsid w:val="0053625B"/>
    <w:rsid w:val="005407A8"/>
    <w:rsid w:val="005418D6"/>
    <w:rsid w:val="00541D6C"/>
    <w:rsid w:val="005434C6"/>
    <w:rsid w:val="00543B39"/>
    <w:rsid w:val="00543EE8"/>
    <w:rsid w:val="00545CDB"/>
    <w:rsid w:val="00546154"/>
    <w:rsid w:val="00550096"/>
    <w:rsid w:val="005524BD"/>
    <w:rsid w:val="00555280"/>
    <w:rsid w:val="00557FF9"/>
    <w:rsid w:val="00562327"/>
    <w:rsid w:val="005711D5"/>
    <w:rsid w:val="0057362F"/>
    <w:rsid w:val="00576378"/>
    <w:rsid w:val="00577130"/>
    <w:rsid w:val="00577945"/>
    <w:rsid w:val="00577E38"/>
    <w:rsid w:val="00580731"/>
    <w:rsid w:val="005821BF"/>
    <w:rsid w:val="00585322"/>
    <w:rsid w:val="005857C6"/>
    <w:rsid w:val="00592F6E"/>
    <w:rsid w:val="00593AD1"/>
    <w:rsid w:val="005A68B6"/>
    <w:rsid w:val="005A79F5"/>
    <w:rsid w:val="005B5687"/>
    <w:rsid w:val="005C494B"/>
    <w:rsid w:val="005C5570"/>
    <w:rsid w:val="005C5B66"/>
    <w:rsid w:val="005C79A4"/>
    <w:rsid w:val="005D5442"/>
    <w:rsid w:val="005D64F1"/>
    <w:rsid w:val="005E10E9"/>
    <w:rsid w:val="005F7335"/>
    <w:rsid w:val="00603F32"/>
    <w:rsid w:val="00605660"/>
    <w:rsid w:val="00605AD4"/>
    <w:rsid w:val="006136D7"/>
    <w:rsid w:val="00625A6E"/>
    <w:rsid w:val="00632398"/>
    <w:rsid w:val="00640FC3"/>
    <w:rsid w:val="00642020"/>
    <w:rsid w:val="006430EE"/>
    <w:rsid w:val="00643CE5"/>
    <w:rsid w:val="006520C2"/>
    <w:rsid w:val="0065337B"/>
    <w:rsid w:val="0065419D"/>
    <w:rsid w:val="006603BC"/>
    <w:rsid w:val="006604D8"/>
    <w:rsid w:val="006611AE"/>
    <w:rsid w:val="00661F70"/>
    <w:rsid w:val="006625E4"/>
    <w:rsid w:val="00664A5B"/>
    <w:rsid w:val="0066735C"/>
    <w:rsid w:val="00667C7A"/>
    <w:rsid w:val="006763D2"/>
    <w:rsid w:val="00680C08"/>
    <w:rsid w:val="006901BA"/>
    <w:rsid w:val="006916A0"/>
    <w:rsid w:val="006931B1"/>
    <w:rsid w:val="006A15C0"/>
    <w:rsid w:val="006A211E"/>
    <w:rsid w:val="006A58A8"/>
    <w:rsid w:val="006B608F"/>
    <w:rsid w:val="006C3E2A"/>
    <w:rsid w:val="006C642F"/>
    <w:rsid w:val="006D03E5"/>
    <w:rsid w:val="006D0484"/>
    <w:rsid w:val="006D5D3E"/>
    <w:rsid w:val="006E08B3"/>
    <w:rsid w:val="006E7D4A"/>
    <w:rsid w:val="006F17AC"/>
    <w:rsid w:val="006F25B8"/>
    <w:rsid w:val="006F572E"/>
    <w:rsid w:val="007046D6"/>
    <w:rsid w:val="00705DB0"/>
    <w:rsid w:val="00707DB7"/>
    <w:rsid w:val="0072292E"/>
    <w:rsid w:val="00722B57"/>
    <w:rsid w:val="00730F8A"/>
    <w:rsid w:val="0073129E"/>
    <w:rsid w:val="0073251C"/>
    <w:rsid w:val="00733869"/>
    <w:rsid w:val="00735A8C"/>
    <w:rsid w:val="0074091E"/>
    <w:rsid w:val="0074163C"/>
    <w:rsid w:val="0074253D"/>
    <w:rsid w:val="00744121"/>
    <w:rsid w:val="0074429B"/>
    <w:rsid w:val="0075122E"/>
    <w:rsid w:val="007615BC"/>
    <w:rsid w:val="00762F05"/>
    <w:rsid w:val="007652FF"/>
    <w:rsid w:val="007703EF"/>
    <w:rsid w:val="00770CAC"/>
    <w:rsid w:val="00770EF1"/>
    <w:rsid w:val="0077131A"/>
    <w:rsid w:val="00773EF7"/>
    <w:rsid w:val="00774E1D"/>
    <w:rsid w:val="0077516C"/>
    <w:rsid w:val="007765D8"/>
    <w:rsid w:val="0077675A"/>
    <w:rsid w:val="00780355"/>
    <w:rsid w:val="007819FD"/>
    <w:rsid w:val="00785717"/>
    <w:rsid w:val="00785721"/>
    <w:rsid w:val="00786397"/>
    <w:rsid w:val="00793122"/>
    <w:rsid w:val="00793A59"/>
    <w:rsid w:val="0079791D"/>
    <w:rsid w:val="007A46F5"/>
    <w:rsid w:val="007A6505"/>
    <w:rsid w:val="007B6132"/>
    <w:rsid w:val="007B6E9F"/>
    <w:rsid w:val="007B7948"/>
    <w:rsid w:val="007C1216"/>
    <w:rsid w:val="007C1AF7"/>
    <w:rsid w:val="007C50B6"/>
    <w:rsid w:val="007C6B9B"/>
    <w:rsid w:val="007D24CD"/>
    <w:rsid w:val="007D53B6"/>
    <w:rsid w:val="007F1640"/>
    <w:rsid w:val="007F59CB"/>
    <w:rsid w:val="007F6CBB"/>
    <w:rsid w:val="00804D99"/>
    <w:rsid w:val="00805D27"/>
    <w:rsid w:val="00806DCB"/>
    <w:rsid w:val="00807B25"/>
    <w:rsid w:val="00810EC7"/>
    <w:rsid w:val="008110BC"/>
    <w:rsid w:val="00821776"/>
    <w:rsid w:val="00822EF9"/>
    <w:rsid w:val="008321F5"/>
    <w:rsid w:val="00832369"/>
    <w:rsid w:val="00832617"/>
    <w:rsid w:val="00833ED8"/>
    <w:rsid w:val="00834660"/>
    <w:rsid w:val="00836BC2"/>
    <w:rsid w:val="00844F71"/>
    <w:rsid w:val="0085156D"/>
    <w:rsid w:val="00852B28"/>
    <w:rsid w:val="0085641B"/>
    <w:rsid w:val="00857136"/>
    <w:rsid w:val="00865B03"/>
    <w:rsid w:val="00870197"/>
    <w:rsid w:val="00873C12"/>
    <w:rsid w:val="00875A6B"/>
    <w:rsid w:val="00885B11"/>
    <w:rsid w:val="00886D15"/>
    <w:rsid w:val="00887DD8"/>
    <w:rsid w:val="00891BA9"/>
    <w:rsid w:val="00896018"/>
    <w:rsid w:val="008960DD"/>
    <w:rsid w:val="0089635C"/>
    <w:rsid w:val="008A2B9D"/>
    <w:rsid w:val="008A3D9F"/>
    <w:rsid w:val="008A5E0B"/>
    <w:rsid w:val="008A6D59"/>
    <w:rsid w:val="008B4368"/>
    <w:rsid w:val="008B4B03"/>
    <w:rsid w:val="008B596F"/>
    <w:rsid w:val="008B7E30"/>
    <w:rsid w:val="008C159F"/>
    <w:rsid w:val="008C1623"/>
    <w:rsid w:val="008C1850"/>
    <w:rsid w:val="008C51A9"/>
    <w:rsid w:val="008C7124"/>
    <w:rsid w:val="008C7670"/>
    <w:rsid w:val="008D2124"/>
    <w:rsid w:val="008E7846"/>
    <w:rsid w:val="008F02E5"/>
    <w:rsid w:val="008F1CCC"/>
    <w:rsid w:val="008F2967"/>
    <w:rsid w:val="008F6943"/>
    <w:rsid w:val="00902A21"/>
    <w:rsid w:val="00904178"/>
    <w:rsid w:val="00913134"/>
    <w:rsid w:val="0091523F"/>
    <w:rsid w:val="00920330"/>
    <w:rsid w:val="009219D7"/>
    <w:rsid w:val="00922D53"/>
    <w:rsid w:val="00923B70"/>
    <w:rsid w:val="00924482"/>
    <w:rsid w:val="00930237"/>
    <w:rsid w:val="00933C97"/>
    <w:rsid w:val="00937C17"/>
    <w:rsid w:val="00940A89"/>
    <w:rsid w:val="00941F77"/>
    <w:rsid w:val="009446FC"/>
    <w:rsid w:val="00946EA5"/>
    <w:rsid w:val="009556D7"/>
    <w:rsid w:val="00957F73"/>
    <w:rsid w:val="00960520"/>
    <w:rsid w:val="00963C08"/>
    <w:rsid w:val="009710F1"/>
    <w:rsid w:val="00971F2C"/>
    <w:rsid w:val="009752A5"/>
    <w:rsid w:val="0098553F"/>
    <w:rsid w:val="0098585A"/>
    <w:rsid w:val="009A0B6B"/>
    <w:rsid w:val="009A2721"/>
    <w:rsid w:val="009A4CED"/>
    <w:rsid w:val="009A690D"/>
    <w:rsid w:val="009B1D12"/>
    <w:rsid w:val="009B416B"/>
    <w:rsid w:val="009C1452"/>
    <w:rsid w:val="009C20A7"/>
    <w:rsid w:val="009C4BD5"/>
    <w:rsid w:val="009D6861"/>
    <w:rsid w:val="009D7B77"/>
    <w:rsid w:val="009E0BB0"/>
    <w:rsid w:val="009E3FBB"/>
    <w:rsid w:val="009E5A87"/>
    <w:rsid w:val="009F2673"/>
    <w:rsid w:val="009F2F33"/>
    <w:rsid w:val="009F6400"/>
    <w:rsid w:val="009F7353"/>
    <w:rsid w:val="00A01E26"/>
    <w:rsid w:val="00A04F85"/>
    <w:rsid w:val="00A05B63"/>
    <w:rsid w:val="00A05FA4"/>
    <w:rsid w:val="00A102E4"/>
    <w:rsid w:val="00A1219C"/>
    <w:rsid w:val="00A129F7"/>
    <w:rsid w:val="00A12C42"/>
    <w:rsid w:val="00A14DF7"/>
    <w:rsid w:val="00A15449"/>
    <w:rsid w:val="00A22D57"/>
    <w:rsid w:val="00A23685"/>
    <w:rsid w:val="00A3246D"/>
    <w:rsid w:val="00A3571E"/>
    <w:rsid w:val="00A35A1A"/>
    <w:rsid w:val="00A36FA7"/>
    <w:rsid w:val="00A42754"/>
    <w:rsid w:val="00A44DDB"/>
    <w:rsid w:val="00A45FC2"/>
    <w:rsid w:val="00A475B7"/>
    <w:rsid w:val="00A47AF7"/>
    <w:rsid w:val="00A47C3E"/>
    <w:rsid w:val="00A50226"/>
    <w:rsid w:val="00A52BAD"/>
    <w:rsid w:val="00A53C83"/>
    <w:rsid w:val="00A60BAD"/>
    <w:rsid w:val="00A63907"/>
    <w:rsid w:val="00A77F87"/>
    <w:rsid w:val="00A80B5B"/>
    <w:rsid w:val="00A84170"/>
    <w:rsid w:val="00A84E36"/>
    <w:rsid w:val="00A94F26"/>
    <w:rsid w:val="00A964D1"/>
    <w:rsid w:val="00AA0ED0"/>
    <w:rsid w:val="00AC2B40"/>
    <w:rsid w:val="00AC2BB2"/>
    <w:rsid w:val="00AC2C3C"/>
    <w:rsid w:val="00AC3CA8"/>
    <w:rsid w:val="00AC4016"/>
    <w:rsid w:val="00AC512D"/>
    <w:rsid w:val="00AD0083"/>
    <w:rsid w:val="00AD0F2B"/>
    <w:rsid w:val="00AD3935"/>
    <w:rsid w:val="00AD3A5E"/>
    <w:rsid w:val="00AD40ED"/>
    <w:rsid w:val="00AE59BA"/>
    <w:rsid w:val="00AE65EB"/>
    <w:rsid w:val="00AE67A7"/>
    <w:rsid w:val="00AF1D94"/>
    <w:rsid w:val="00AF2313"/>
    <w:rsid w:val="00AF60C5"/>
    <w:rsid w:val="00AF7CF2"/>
    <w:rsid w:val="00B009C6"/>
    <w:rsid w:val="00B00DE6"/>
    <w:rsid w:val="00B01548"/>
    <w:rsid w:val="00B02322"/>
    <w:rsid w:val="00B130C5"/>
    <w:rsid w:val="00B13EBD"/>
    <w:rsid w:val="00B1406F"/>
    <w:rsid w:val="00B17318"/>
    <w:rsid w:val="00B21D29"/>
    <w:rsid w:val="00B25034"/>
    <w:rsid w:val="00B33588"/>
    <w:rsid w:val="00B33863"/>
    <w:rsid w:val="00B37D17"/>
    <w:rsid w:val="00B4175E"/>
    <w:rsid w:val="00B41C85"/>
    <w:rsid w:val="00B452CE"/>
    <w:rsid w:val="00B462C4"/>
    <w:rsid w:val="00B46C0E"/>
    <w:rsid w:val="00B479D5"/>
    <w:rsid w:val="00B52FF7"/>
    <w:rsid w:val="00B54C25"/>
    <w:rsid w:val="00B57FA6"/>
    <w:rsid w:val="00B6159D"/>
    <w:rsid w:val="00B76B91"/>
    <w:rsid w:val="00B77EB1"/>
    <w:rsid w:val="00B80C85"/>
    <w:rsid w:val="00B811C6"/>
    <w:rsid w:val="00B816DB"/>
    <w:rsid w:val="00B841D8"/>
    <w:rsid w:val="00B84644"/>
    <w:rsid w:val="00B855B0"/>
    <w:rsid w:val="00B92E08"/>
    <w:rsid w:val="00B95AAB"/>
    <w:rsid w:val="00BB0B78"/>
    <w:rsid w:val="00BB2FE2"/>
    <w:rsid w:val="00BB3F45"/>
    <w:rsid w:val="00BB75D6"/>
    <w:rsid w:val="00BC2871"/>
    <w:rsid w:val="00BC622A"/>
    <w:rsid w:val="00BD55D4"/>
    <w:rsid w:val="00BE0A78"/>
    <w:rsid w:val="00BE6542"/>
    <w:rsid w:val="00BE79F0"/>
    <w:rsid w:val="00BF03DF"/>
    <w:rsid w:val="00BF046D"/>
    <w:rsid w:val="00BF1190"/>
    <w:rsid w:val="00BF12E3"/>
    <w:rsid w:val="00BF3774"/>
    <w:rsid w:val="00BF5D04"/>
    <w:rsid w:val="00BF7063"/>
    <w:rsid w:val="00C009AA"/>
    <w:rsid w:val="00C1164D"/>
    <w:rsid w:val="00C13175"/>
    <w:rsid w:val="00C16861"/>
    <w:rsid w:val="00C25FDA"/>
    <w:rsid w:val="00C34133"/>
    <w:rsid w:val="00C346AB"/>
    <w:rsid w:val="00C404A6"/>
    <w:rsid w:val="00C40A36"/>
    <w:rsid w:val="00C44419"/>
    <w:rsid w:val="00C45E7B"/>
    <w:rsid w:val="00C471B1"/>
    <w:rsid w:val="00C50118"/>
    <w:rsid w:val="00C525A2"/>
    <w:rsid w:val="00C52E24"/>
    <w:rsid w:val="00C61601"/>
    <w:rsid w:val="00C6316B"/>
    <w:rsid w:val="00C634A9"/>
    <w:rsid w:val="00C6372E"/>
    <w:rsid w:val="00C64586"/>
    <w:rsid w:val="00C70A36"/>
    <w:rsid w:val="00C70D53"/>
    <w:rsid w:val="00C71A51"/>
    <w:rsid w:val="00C73D0B"/>
    <w:rsid w:val="00C74F5C"/>
    <w:rsid w:val="00C772FF"/>
    <w:rsid w:val="00C80137"/>
    <w:rsid w:val="00C801AF"/>
    <w:rsid w:val="00C80256"/>
    <w:rsid w:val="00C842C9"/>
    <w:rsid w:val="00C94CD4"/>
    <w:rsid w:val="00C9747E"/>
    <w:rsid w:val="00CB6BC0"/>
    <w:rsid w:val="00CC1B7C"/>
    <w:rsid w:val="00CC5044"/>
    <w:rsid w:val="00CC727F"/>
    <w:rsid w:val="00CD64F0"/>
    <w:rsid w:val="00CE4D3A"/>
    <w:rsid w:val="00CF15C3"/>
    <w:rsid w:val="00CF2B6F"/>
    <w:rsid w:val="00CF2F3E"/>
    <w:rsid w:val="00CF58B6"/>
    <w:rsid w:val="00CF5DAD"/>
    <w:rsid w:val="00D0062D"/>
    <w:rsid w:val="00D017ED"/>
    <w:rsid w:val="00D040D3"/>
    <w:rsid w:val="00D04C65"/>
    <w:rsid w:val="00D05B6E"/>
    <w:rsid w:val="00D153D8"/>
    <w:rsid w:val="00D201D2"/>
    <w:rsid w:val="00D20985"/>
    <w:rsid w:val="00D212F3"/>
    <w:rsid w:val="00D22138"/>
    <w:rsid w:val="00D224FE"/>
    <w:rsid w:val="00D23139"/>
    <w:rsid w:val="00D425BB"/>
    <w:rsid w:val="00D42B0E"/>
    <w:rsid w:val="00D453FA"/>
    <w:rsid w:val="00D47AED"/>
    <w:rsid w:val="00D5180B"/>
    <w:rsid w:val="00D52CB0"/>
    <w:rsid w:val="00D56348"/>
    <w:rsid w:val="00D6493E"/>
    <w:rsid w:val="00D64B12"/>
    <w:rsid w:val="00D65163"/>
    <w:rsid w:val="00D7195D"/>
    <w:rsid w:val="00D72CBA"/>
    <w:rsid w:val="00D7301E"/>
    <w:rsid w:val="00D80BC1"/>
    <w:rsid w:val="00D81F3C"/>
    <w:rsid w:val="00D83AE1"/>
    <w:rsid w:val="00D854AC"/>
    <w:rsid w:val="00D855D4"/>
    <w:rsid w:val="00D902C9"/>
    <w:rsid w:val="00D92135"/>
    <w:rsid w:val="00D93466"/>
    <w:rsid w:val="00DA1124"/>
    <w:rsid w:val="00DA5296"/>
    <w:rsid w:val="00DA5E4B"/>
    <w:rsid w:val="00DA64CB"/>
    <w:rsid w:val="00DB06B8"/>
    <w:rsid w:val="00DB3755"/>
    <w:rsid w:val="00DB42E3"/>
    <w:rsid w:val="00DB6124"/>
    <w:rsid w:val="00DB750B"/>
    <w:rsid w:val="00DB75B7"/>
    <w:rsid w:val="00DC0A2F"/>
    <w:rsid w:val="00DC1948"/>
    <w:rsid w:val="00DC6E02"/>
    <w:rsid w:val="00DD28CD"/>
    <w:rsid w:val="00DD3E44"/>
    <w:rsid w:val="00DE02AE"/>
    <w:rsid w:val="00DE39D1"/>
    <w:rsid w:val="00DF1D7F"/>
    <w:rsid w:val="00DF43E6"/>
    <w:rsid w:val="00DF4BE4"/>
    <w:rsid w:val="00DF7C6F"/>
    <w:rsid w:val="00E02382"/>
    <w:rsid w:val="00E02FB4"/>
    <w:rsid w:val="00E13099"/>
    <w:rsid w:val="00E13FC7"/>
    <w:rsid w:val="00E16E5A"/>
    <w:rsid w:val="00E20571"/>
    <w:rsid w:val="00E235F7"/>
    <w:rsid w:val="00E23659"/>
    <w:rsid w:val="00E239D4"/>
    <w:rsid w:val="00E26130"/>
    <w:rsid w:val="00E33D42"/>
    <w:rsid w:val="00E344B6"/>
    <w:rsid w:val="00E40B22"/>
    <w:rsid w:val="00E44ED1"/>
    <w:rsid w:val="00E45619"/>
    <w:rsid w:val="00E4588F"/>
    <w:rsid w:val="00E46DA3"/>
    <w:rsid w:val="00E47A46"/>
    <w:rsid w:val="00E51BB1"/>
    <w:rsid w:val="00E55CB0"/>
    <w:rsid w:val="00E60756"/>
    <w:rsid w:val="00E624A5"/>
    <w:rsid w:val="00E64BA4"/>
    <w:rsid w:val="00E7344E"/>
    <w:rsid w:val="00E81EC7"/>
    <w:rsid w:val="00E82665"/>
    <w:rsid w:val="00E84115"/>
    <w:rsid w:val="00E84B3A"/>
    <w:rsid w:val="00E91C5B"/>
    <w:rsid w:val="00EA44C7"/>
    <w:rsid w:val="00EA646C"/>
    <w:rsid w:val="00EB0798"/>
    <w:rsid w:val="00EB2478"/>
    <w:rsid w:val="00EB36D6"/>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055FA"/>
    <w:rsid w:val="00F12670"/>
    <w:rsid w:val="00F13A72"/>
    <w:rsid w:val="00F14B27"/>
    <w:rsid w:val="00F22C04"/>
    <w:rsid w:val="00F3148D"/>
    <w:rsid w:val="00F325C5"/>
    <w:rsid w:val="00F32FE0"/>
    <w:rsid w:val="00F35298"/>
    <w:rsid w:val="00F35357"/>
    <w:rsid w:val="00F47333"/>
    <w:rsid w:val="00F47E37"/>
    <w:rsid w:val="00F53C07"/>
    <w:rsid w:val="00F54B65"/>
    <w:rsid w:val="00F630DF"/>
    <w:rsid w:val="00F63DBF"/>
    <w:rsid w:val="00F640B6"/>
    <w:rsid w:val="00F66DF2"/>
    <w:rsid w:val="00F67D5D"/>
    <w:rsid w:val="00F80E40"/>
    <w:rsid w:val="00F848D9"/>
    <w:rsid w:val="00F931CE"/>
    <w:rsid w:val="00FA35F9"/>
    <w:rsid w:val="00FA3B89"/>
    <w:rsid w:val="00FA4BBA"/>
    <w:rsid w:val="00FA5069"/>
    <w:rsid w:val="00FA5B82"/>
    <w:rsid w:val="00FA639E"/>
    <w:rsid w:val="00FC1FCA"/>
    <w:rsid w:val="00FC25E4"/>
    <w:rsid w:val="00FC4EF7"/>
    <w:rsid w:val="00FD0824"/>
    <w:rsid w:val="00FD119B"/>
    <w:rsid w:val="00FD1EDC"/>
    <w:rsid w:val="00FD2B36"/>
    <w:rsid w:val="00FD332D"/>
    <w:rsid w:val="00FE1DEE"/>
    <w:rsid w:val="00FF10AA"/>
    <w:rsid w:val="00FF2126"/>
    <w:rsid w:val="00FF2E4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235B40"/>
  <w15:docId w15:val="{D10410E7-A091-417C-90B3-15CF5BD45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77516C"/>
    <w:pPr>
      <w:ind w:left="720"/>
      <w:contextualSpacing/>
    </w:pPr>
  </w:style>
  <w:style w:type="character" w:customStyle="1" w:styleId="TabletextChar">
    <w:name w:val="Table text Char"/>
    <w:basedOn w:val="DefaultParagraphFont"/>
    <w:link w:val="Tabletext"/>
    <w:rsid w:val="005125AA"/>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64580002">
      <w:bodyDiv w:val="1"/>
      <w:marLeft w:val="0"/>
      <w:marRight w:val="0"/>
      <w:marTop w:val="0"/>
      <w:marBottom w:val="0"/>
      <w:divBdr>
        <w:top w:val="none" w:sz="0" w:space="0" w:color="auto"/>
        <w:left w:val="none" w:sz="0" w:space="0" w:color="auto"/>
        <w:bottom w:val="none" w:sz="0" w:space="0" w:color="auto"/>
        <w:right w:val="none" w:sz="0" w:space="0" w:color="auto"/>
      </w:divBdr>
    </w:div>
    <w:div w:id="2052030023">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6428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5.xm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icmi-search-facility" TargetMode="External"/><Relationship Id="rId25" Type="http://schemas.openxmlformats.org/officeDocument/2006/relationships/image" Target="media/image9.png"/><Relationship Id="rId33" Type="http://schemas.openxmlformats.org/officeDocument/2006/relationships/header" Target="head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tga.gov.au/australia-canada-singapore-switzerland-united-kingdom-access-consortium" TargetMode="External"/><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eader" Target="header3.xml"/><Relationship Id="rId37" Type="http://schemas.openxmlformats.org/officeDocument/2006/relationships/hyperlink" Target="https://www.tga.gov.au"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ga.gov.au/australia-canada-singapore-switzerland-united-kingdom-access-consortium" TargetMode="External"/><Relationship Id="rId23" Type="http://schemas.openxmlformats.org/officeDocument/2006/relationships/image" Target="media/image7.png"/><Relationship Id="rId28" Type="http://schemas.openxmlformats.org/officeDocument/2006/relationships/hyperlink" Target="https://www.tga.gov.au/tgas-risk-management-approach" TargetMode="External"/><Relationship Id="rId36" Type="http://schemas.openxmlformats.org/officeDocument/2006/relationships/hyperlink" Target="mailto:info@tga.gov.au" TargetMode="Externa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yperlink" Target="https://www.tga.gov.au/picmi-search-facility"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6.emf"/><Relationship Id="rId27" Type="http://schemas.openxmlformats.org/officeDocument/2006/relationships/hyperlink" Target="https://www.tga.gov.au/publication/risk-management-plans-medicines-and-biologicals" TargetMode="External"/><Relationship Id="rId30" Type="http://schemas.openxmlformats.org/officeDocument/2006/relationships/hyperlink" Target="https://www.tga.gov.au/committee/advisory-committee-medicines-acm" TargetMode="External"/><Relationship Id="rId35" Type="http://schemas.openxmlformats.org/officeDocument/2006/relationships/footer" Target="footer2.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auspar/auspar-glecaprevir-pibrentasvi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UMMV\AppData\Local\Hewlett-Packard\HP%20TRIM\TEMP\HPTRIM.16840\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C7281-AB8C-4B63-821B-701C1731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282</TotalTime>
  <Pages>31</Pages>
  <Words>9861</Words>
  <Characters>56209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65939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Maviret</dc:title>
  <dc:subject>prescription medicine regulation</dc:subject>
  <dc:creator>Therapeutic Goods Administration</dc:creator>
  <cp:keywords/>
  <cp:lastModifiedBy>PITKIN, Brendan</cp:lastModifiedBy>
  <cp:revision>8</cp:revision>
  <cp:lastPrinted>2019-08-14T04:30:00Z</cp:lastPrinted>
  <dcterms:created xsi:type="dcterms:W3CDTF">2023-02-17T03:15:00Z</dcterms:created>
  <dcterms:modified xsi:type="dcterms:W3CDTF">2023-03-06T03:12:00Z</dcterms:modified>
  <cp:category/>
</cp:coreProperties>
</file>