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33A125" w14:textId="7141F517" w:rsidR="00375DF3" w:rsidRPr="005E1202" w:rsidRDefault="00375DF3" w:rsidP="006018AE">
      <w:pPr>
        <w:tabs>
          <w:tab w:val="left" w:pos="284"/>
        </w:tabs>
        <w:spacing w:after="480" w:line="240" w:lineRule="auto"/>
        <w:rPr>
          <w:rFonts w:cs="Arial"/>
        </w:rPr>
      </w:pPr>
      <w:r w:rsidRPr="005E1202">
        <w:rPr>
          <w:rFonts w:cs="Arial"/>
          <w:noProof/>
          <w:lang w:val="en-US"/>
        </w:rPr>
        <mc:AlternateContent>
          <mc:Choice Requires="wps">
            <w:drawing>
              <wp:inline distT="0" distB="0" distL="0" distR="0" wp14:anchorId="742E93F8" wp14:editId="39EF73DA">
                <wp:extent cx="226612" cy="252095"/>
                <wp:effectExtent l="0" t="0" r="254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612"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70BE34" w14:textId="77777777" w:rsidR="00BA777C" w:rsidRDefault="00BA777C" w:rsidP="00375DF3">
                            <w:pPr>
                              <w:spacing w:after="0"/>
                              <w:rPr>
                                <w:rFonts w:ascii="Wingdings 3" w:hAnsi="Wingdings 3"/>
                              </w:rPr>
                            </w:pPr>
                            <w:r>
                              <w:rPr>
                                <w:rFonts w:ascii="Wingdings 3" w:hAnsi="Wingdings 3" w:cs="Arial"/>
                                <w:sz w:val="36"/>
                              </w:rPr>
                              <w:t></w:t>
                            </w:r>
                          </w:p>
                        </w:txbxContent>
                      </wps:txbx>
                      <wps:bodyPr rot="0" vert="horz" wrap="square" lIns="0" tIns="0" rIns="0" bIns="0" anchor="t" anchorCtr="0" upright="1">
                        <a:noAutofit/>
                      </wps:bodyPr>
                    </wps:wsp>
                  </a:graphicData>
                </a:graphic>
              </wp:inline>
            </w:drawing>
          </mc:Choice>
          <mc:Fallback>
            <w:pict>
              <v:shapetype w14:anchorId="742E93F8" id="_x0000_t202" coordsize="21600,21600" o:spt="202" path="m,l,21600r21600,l21600,xe">
                <v:stroke joinstyle="miter"/>
                <v:path gradientshapeok="t" o:connecttype="rect"/>
              </v:shapetype>
              <v:shape id="Text Box 1" o:spid="_x0000_s1026" type="#_x0000_t202" style="width:17.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" stroked="f">
                <v:textbox inset="0,0,0,0">
                  <w:txbxContent>
                    <w:p w14:paraId="4770BE34" w14:textId="77777777" w:rsidR="00BA777C" w:rsidRDefault="00BA777C" w:rsidP="00375DF3">
                      <w:pPr>
                        <w:spacing w:after="0"/>
                        <w:rPr>
                          <w:rFonts w:ascii="Wingdings 3" w:hAnsi="Wingdings 3"/>
                        </w:rPr>
                      </w:pPr>
                      <w:r>
                        <w:rPr>
                          <w:rFonts w:ascii="Wingdings 3" w:hAnsi="Wingdings 3" w:cs="Arial"/>
                          <w:sz w:val="36"/>
                        </w:rPr>
                        <w:t></w:t>
                      </w:r>
                    </w:p>
                  </w:txbxContent>
                </v:textbox>
                <w10:anchorlock/>
              </v:shape>
            </w:pict>
          </mc:Fallback>
        </mc:AlternateContent>
      </w:r>
      <w:r w:rsidR="0089630B">
        <w:rPr>
          <w:rFonts w:cs="Arial"/>
        </w:rPr>
        <w:t xml:space="preserve"> </w:t>
      </w:r>
      <w:r w:rsidR="001A3992" w:rsidRPr="005E1202">
        <w:rPr>
          <w:rFonts w:cs="Arial"/>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5E1202">
          <w:rPr>
            <w:rStyle w:val="Hyperlink"/>
            <w:rFonts w:cs="Arial"/>
          </w:rPr>
          <w:t>www.tga.gov.au/reporting-problems</w:t>
        </w:r>
      </w:hyperlink>
      <w:r w:rsidRPr="005E1202">
        <w:rPr>
          <w:rFonts w:cs="Arial"/>
        </w:rPr>
        <w:t>.</w:t>
      </w:r>
    </w:p>
    <w:p w14:paraId="60B9D0AC" w14:textId="77777777" w:rsidR="00493B75" w:rsidRPr="005E1202" w:rsidRDefault="006018AE" w:rsidP="00493B75">
      <w:pPr>
        <w:pStyle w:val="Subtitle"/>
        <w:rPr>
          <w:vertAlign w:val="superscript"/>
        </w:rPr>
      </w:pPr>
      <w:r w:rsidRPr="005E1202">
        <w:rPr>
          <w:rFonts w:eastAsia="SimSun"/>
        </w:rPr>
        <w:t xml:space="preserve">Australian PI – </w:t>
      </w:r>
      <w:r w:rsidR="00493B75" w:rsidRPr="005E1202">
        <w:t>MAVIRET</w:t>
      </w:r>
      <w:r w:rsidR="005C5043">
        <w:rPr>
          <w:vertAlign w:val="superscript"/>
        </w:rPr>
        <w:t>®</w:t>
      </w:r>
    </w:p>
    <w:p w14:paraId="53873438" w14:textId="082E3D11" w:rsidR="006018AE" w:rsidRPr="005E1202" w:rsidRDefault="00493B75" w:rsidP="00493B75">
      <w:pPr>
        <w:pStyle w:val="Subtitle"/>
        <w:rPr>
          <w:caps w:val="0"/>
        </w:rPr>
      </w:pPr>
      <w:r w:rsidRPr="005E1202">
        <w:rPr>
          <w:rFonts w:eastAsia="SimSun"/>
        </w:rPr>
        <w:t xml:space="preserve"> </w:t>
      </w:r>
      <w:r w:rsidR="006018AE" w:rsidRPr="005E1202">
        <w:rPr>
          <w:rFonts w:eastAsia="SimSun"/>
        </w:rPr>
        <w:t>(</w:t>
      </w:r>
      <w:r w:rsidRPr="005E1202">
        <w:rPr>
          <w:caps w:val="0"/>
        </w:rPr>
        <w:t>glecaprevir / pibrentasvir) tablets</w:t>
      </w:r>
      <w:r w:rsidR="004C09E1">
        <w:rPr>
          <w:caps w:val="0"/>
        </w:rPr>
        <w:t xml:space="preserve"> and granules</w:t>
      </w:r>
    </w:p>
    <w:p w14:paraId="04EB2B1A" w14:textId="77777777" w:rsidR="00493B75" w:rsidRPr="005E1202" w:rsidRDefault="00493B75" w:rsidP="009C7847">
      <w:pPr>
        <w:rPr>
          <w:rFonts w:cs="Arial"/>
        </w:rPr>
      </w:pPr>
    </w:p>
    <w:p w14:paraId="4CE1475B" w14:textId="77777777" w:rsidR="001A3992" w:rsidRPr="005E1202" w:rsidRDefault="001A3992" w:rsidP="001A3992">
      <w:pPr>
        <w:pStyle w:val="Heading1"/>
        <w:spacing w:before="0" w:after="120"/>
        <w:rPr>
          <w:rFonts w:ascii="Arial" w:hAnsi="Arial" w:cs="Arial"/>
        </w:rPr>
      </w:pPr>
      <w:r w:rsidRPr="005E1202">
        <w:rPr>
          <w:rFonts w:ascii="Arial" w:hAnsi="Arial" w:cs="Arial"/>
        </w:rPr>
        <w:t>Name of the medicine</w:t>
      </w:r>
    </w:p>
    <w:p w14:paraId="797B4FC3" w14:textId="77777777" w:rsidR="00F2097A" w:rsidRPr="005E1202" w:rsidRDefault="00493B75" w:rsidP="00493B75">
      <w:pPr>
        <w:rPr>
          <w:rFonts w:cs="Arial"/>
        </w:rPr>
      </w:pPr>
      <w:r w:rsidRPr="005E1202">
        <w:rPr>
          <w:rFonts w:cs="Arial"/>
        </w:rPr>
        <w:t>Glecaprevir and pibrentasvir</w:t>
      </w:r>
    </w:p>
    <w:p w14:paraId="0AAFE6A7" w14:textId="77777777" w:rsidR="001A3992" w:rsidRPr="005E1202" w:rsidRDefault="001A3992" w:rsidP="001A3992">
      <w:pPr>
        <w:pStyle w:val="Heading1"/>
        <w:spacing w:before="0" w:after="120"/>
        <w:rPr>
          <w:rFonts w:ascii="Arial" w:hAnsi="Arial" w:cs="Arial"/>
        </w:rPr>
      </w:pPr>
      <w:r w:rsidRPr="005E1202">
        <w:rPr>
          <w:rFonts w:ascii="Arial" w:hAnsi="Arial" w:cs="Arial"/>
        </w:rPr>
        <w:t>Qualitative and quantitative composition</w:t>
      </w:r>
    </w:p>
    <w:p w14:paraId="0DE64B1C" w14:textId="77777777" w:rsidR="00493B75" w:rsidRPr="005E1202" w:rsidRDefault="00493B75" w:rsidP="00FC6D9B">
      <w:pPr>
        <w:jc w:val="both"/>
        <w:rPr>
          <w:rFonts w:cs="Arial"/>
        </w:rPr>
      </w:pPr>
      <w:r w:rsidRPr="005E1202">
        <w:rPr>
          <w:rFonts w:cs="Arial"/>
        </w:rPr>
        <w:t>Glecaprevir is a white to off-white crystalline powder with a solubility of less than 0.1 to</w:t>
      </w:r>
      <w:r w:rsidR="00560950">
        <w:rPr>
          <w:rFonts w:cs="Arial"/>
        </w:rPr>
        <w:t xml:space="preserve"> </w:t>
      </w:r>
      <w:r w:rsidRPr="005E1202">
        <w:rPr>
          <w:rFonts w:cs="Arial"/>
        </w:rPr>
        <w:t xml:space="preserve">0.3 mg/mL across a pH range of </w:t>
      </w:r>
      <w:r w:rsidR="00560950">
        <w:rPr>
          <w:rFonts w:cs="Arial"/>
        </w:rPr>
        <w:t>2-</w:t>
      </w:r>
      <w:r w:rsidRPr="005E1202">
        <w:rPr>
          <w:rFonts w:cs="Arial"/>
        </w:rPr>
        <w:t>7 at 37</w:t>
      </w:r>
      <w:r w:rsidRPr="005E1202">
        <w:rPr>
          <w:rFonts w:cs="Arial"/>
        </w:rPr>
        <w:sym w:font="Symbol" w:char="F0B0"/>
      </w:r>
      <w:r w:rsidRPr="005E1202">
        <w:rPr>
          <w:rFonts w:cs="Arial"/>
        </w:rPr>
        <w:t xml:space="preserve">C and is practically insoluble in </w:t>
      </w:r>
      <w:proofErr w:type="gramStart"/>
      <w:r w:rsidRPr="005E1202">
        <w:rPr>
          <w:rFonts w:cs="Arial"/>
        </w:rPr>
        <w:t>water, but</w:t>
      </w:r>
      <w:proofErr w:type="gramEnd"/>
      <w:r w:rsidRPr="005E1202">
        <w:rPr>
          <w:rFonts w:cs="Arial"/>
        </w:rPr>
        <w:t xml:space="preserve"> is sparingly soluble in ethanol.</w:t>
      </w:r>
    </w:p>
    <w:p w14:paraId="56DC2E50" w14:textId="044980B7" w:rsidR="00F2097A" w:rsidRDefault="00493B75" w:rsidP="00FC6D9B">
      <w:pPr>
        <w:jc w:val="both"/>
        <w:rPr>
          <w:rFonts w:cs="Arial"/>
        </w:rPr>
      </w:pPr>
      <w:r w:rsidRPr="005E1202">
        <w:rPr>
          <w:rFonts w:cs="Arial"/>
        </w:rPr>
        <w:t>Pibrentasvir is a white to off-white to light yellow crystalline powder with a solubility of less than 0.1 mg/mL across a pH range of 1</w:t>
      </w:r>
      <w:r w:rsidR="00560950">
        <w:rPr>
          <w:rFonts w:cs="Arial"/>
        </w:rPr>
        <w:t>-</w:t>
      </w:r>
      <w:r w:rsidRPr="005E1202">
        <w:rPr>
          <w:rFonts w:cs="Arial"/>
        </w:rPr>
        <w:t>7 at 37</w:t>
      </w:r>
      <w:r w:rsidRPr="005E1202">
        <w:rPr>
          <w:rFonts w:cs="Arial"/>
        </w:rPr>
        <w:sym w:font="Symbol" w:char="F0B0"/>
      </w:r>
      <w:r w:rsidRPr="005E1202">
        <w:rPr>
          <w:rFonts w:cs="Arial"/>
        </w:rPr>
        <w:t xml:space="preserve">C and is practically insoluble in </w:t>
      </w:r>
      <w:proofErr w:type="gramStart"/>
      <w:r w:rsidRPr="005E1202">
        <w:rPr>
          <w:rFonts w:cs="Arial"/>
        </w:rPr>
        <w:t>water, but</w:t>
      </w:r>
      <w:proofErr w:type="gramEnd"/>
      <w:r w:rsidRPr="005E1202">
        <w:rPr>
          <w:rFonts w:cs="Arial"/>
        </w:rPr>
        <w:t xml:space="preserve"> is freely soluble in ethanol.</w:t>
      </w:r>
    </w:p>
    <w:p w14:paraId="11154ED7" w14:textId="77777777" w:rsidR="004C09E1" w:rsidRDefault="004C09E1" w:rsidP="004C09E1">
      <w:pPr>
        <w:pStyle w:val="Heading3"/>
      </w:pPr>
      <w:r>
        <w:t>Tablets</w:t>
      </w:r>
    </w:p>
    <w:p w14:paraId="23276A12" w14:textId="77777777" w:rsidR="004C09E1" w:rsidRPr="005E1202" w:rsidRDefault="004C09E1" w:rsidP="004C09E1">
      <w:pPr>
        <w:jc w:val="both"/>
        <w:rPr>
          <w:rFonts w:cs="Arial"/>
        </w:rPr>
      </w:pPr>
      <w:r w:rsidRPr="005E1202">
        <w:rPr>
          <w:rFonts w:cs="Arial"/>
        </w:rPr>
        <w:t>MAVIRET is a fixed-dose combination tablet containing glecaprevir 100 mg and pibrentasvir 40 mg.</w:t>
      </w:r>
    </w:p>
    <w:p w14:paraId="50E523CB" w14:textId="77777777" w:rsidR="004C09E1" w:rsidRDefault="004C09E1" w:rsidP="004C09E1">
      <w:pPr>
        <w:pStyle w:val="Heading3"/>
        <w:jc w:val="both"/>
      </w:pPr>
      <w:r>
        <w:t>Granules</w:t>
      </w:r>
    </w:p>
    <w:p w14:paraId="019AF326" w14:textId="77777777" w:rsidR="004C09E1" w:rsidRDefault="004C09E1" w:rsidP="004C09E1">
      <w:pPr>
        <w:jc w:val="both"/>
      </w:pPr>
      <w:r>
        <w:t xml:space="preserve">MAVIRET granules in sachets are a fixed-dose combination product containing glecaprevir 50 mg and pibrentasvir 20 mg. </w:t>
      </w:r>
    </w:p>
    <w:p w14:paraId="50D690C0" w14:textId="1C58F3E6" w:rsidR="00BA777C" w:rsidRDefault="004C09E1" w:rsidP="004C09E1">
      <w:pPr>
        <w:jc w:val="both"/>
        <w:rPr>
          <w:rFonts w:cs="Arial"/>
          <w:noProof/>
        </w:rPr>
      </w:pPr>
      <w:r>
        <w:rPr>
          <w:rFonts w:cs="Arial"/>
          <w:noProof/>
        </w:rPr>
        <w:t>Both MAVIRET</w:t>
      </w:r>
      <w:r w:rsidRPr="005E1202">
        <w:rPr>
          <w:rFonts w:cs="Arial"/>
          <w:noProof/>
        </w:rPr>
        <w:t xml:space="preserve"> tablets </w:t>
      </w:r>
      <w:r>
        <w:rPr>
          <w:rFonts w:cs="Arial"/>
          <w:noProof/>
        </w:rPr>
        <w:t xml:space="preserve">and granules </w:t>
      </w:r>
      <w:r w:rsidRPr="005E1202">
        <w:rPr>
          <w:rFonts w:cs="Arial"/>
          <w:noProof/>
        </w:rPr>
        <w:t xml:space="preserve">do not contain gluten. </w:t>
      </w:r>
      <w:r>
        <w:rPr>
          <w:rFonts w:cs="Arial"/>
          <w:noProof/>
        </w:rPr>
        <w:t>Both MAVIRET</w:t>
      </w:r>
      <w:r w:rsidRPr="005E1202">
        <w:rPr>
          <w:rFonts w:cs="Arial"/>
          <w:noProof/>
        </w:rPr>
        <w:t xml:space="preserve"> tablets</w:t>
      </w:r>
      <w:r>
        <w:rPr>
          <w:rFonts w:cs="Arial"/>
          <w:noProof/>
        </w:rPr>
        <w:t xml:space="preserve"> and granules</w:t>
      </w:r>
      <w:r w:rsidRPr="005E1202">
        <w:rPr>
          <w:rFonts w:cs="Arial"/>
          <w:noProof/>
        </w:rPr>
        <w:t xml:space="preserve"> contain lactose. </w:t>
      </w:r>
      <w:r>
        <w:rPr>
          <w:rFonts w:cs="Arial"/>
          <w:noProof/>
        </w:rPr>
        <w:t xml:space="preserve"> </w:t>
      </w:r>
    </w:p>
    <w:p w14:paraId="0838D029" w14:textId="054F5E05" w:rsidR="004C09E1" w:rsidRPr="005E1202" w:rsidRDefault="004C09E1" w:rsidP="004C09E1">
      <w:pPr>
        <w:jc w:val="both"/>
        <w:rPr>
          <w:rFonts w:cs="Arial"/>
          <w:noProof/>
        </w:rPr>
      </w:pPr>
      <w:r w:rsidRPr="005E1202">
        <w:rPr>
          <w:rFonts w:cs="Arial"/>
          <w:lang w:val="en"/>
        </w:rPr>
        <w:t xml:space="preserve">For the full list of excipients, see 6.1 </w:t>
      </w:r>
      <w:r w:rsidRPr="007D5600">
        <w:rPr>
          <w:rFonts w:cs="Arial"/>
          <w:caps/>
          <w:lang w:val="en"/>
        </w:rPr>
        <w:t>List of excipients</w:t>
      </w:r>
      <w:r w:rsidRPr="005E1202">
        <w:rPr>
          <w:rFonts w:cs="Arial"/>
          <w:lang w:val="en"/>
        </w:rPr>
        <w:t>.</w:t>
      </w:r>
    </w:p>
    <w:p w14:paraId="12DBB0AB" w14:textId="77777777" w:rsidR="004C09E1" w:rsidRPr="005E1202" w:rsidRDefault="004C09E1" w:rsidP="00FC6D9B">
      <w:pPr>
        <w:jc w:val="both"/>
        <w:rPr>
          <w:rFonts w:cs="Arial"/>
        </w:rPr>
      </w:pPr>
    </w:p>
    <w:p w14:paraId="57E9954B" w14:textId="77777777" w:rsidR="001A3992" w:rsidRPr="005E1202" w:rsidRDefault="001A3992" w:rsidP="001A3992">
      <w:pPr>
        <w:pStyle w:val="Heading1"/>
        <w:spacing w:before="0" w:after="120"/>
        <w:rPr>
          <w:rFonts w:ascii="Arial" w:hAnsi="Arial" w:cs="Arial"/>
        </w:rPr>
      </w:pPr>
      <w:r w:rsidRPr="005E1202">
        <w:rPr>
          <w:rFonts w:ascii="Arial" w:hAnsi="Arial" w:cs="Arial"/>
        </w:rPr>
        <w:lastRenderedPageBreak/>
        <w:t>Pharmaceutical form</w:t>
      </w:r>
    </w:p>
    <w:p w14:paraId="5C4A25EA" w14:textId="77777777" w:rsidR="004C09E1" w:rsidRDefault="004C09E1" w:rsidP="004C09E1">
      <w:pPr>
        <w:pStyle w:val="Heading3"/>
        <w:rPr>
          <w:noProof/>
        </w:rPr>
      </w:pPr>
      <w:r>
        <w:rPr>
          <w:noProof/>
        </w:rPr>
        <w:t>Tablets</w:t>
      </w:r>
    </w:p>
    <w:p w14:paraId="62907E4C" w14:textId="3DAECB21" w:rsidR="004C09E1" w:rsidRDefault="004C09E1" w:rsidP="00FC6D9B">
      <w:pPr>
        <w:jc w:val="both"/>
        <w:rPr>
          <w:rFonts w:cs="Arial"/>
        </w:rPr>
      </w:pPr>
      <w:r w:rsidRPr="005E1202">
        <w:rPr>
          <w:rFonts w:cs="Arial"/>
        </w:rPr>
        <w:t xml:space="preserve">MAVIRET </w:t>
      </w:r>
      <w:r>
        <w:rPr>
          <w:rFonts w:cs="Arial"/>
        </w:rPr>
        <w:t xml:space="preserve">immediate release </w:t>
      </w:r>
      <w:r w:rsidRPr="005E1202">
        <w:rPr>
          <w:rFonts w:cs="Arial"/>
        </w:rPr>
        <w:t>tablets are pink-coloured, film-coated, oblong biconvex shaped, and debossed with “NXT” on one side.</w:t>
      </w:r>
    </w:p>
    <w:p w14:paraId="37113D1B" w14:textId="32979028" w:rsidR="00F2097A" w:rsidRDefault="00F2097A" w:rsidP="00FC6D9B">
      <w:pPr>
        <w:jc w:val="both"/>
        <w:rPr>
          <w:rFonts w:cs="Arial"/>
          <w:noProof/>
        </w:rPr>
      </w:pPr>
    </w:p>
    <w:p w14:paraId="0A8F90B7" w14:textId="77777777" w:rsidR="004C09E1" w:rsidRDefault="004C09E1" w:rsidP="004C09E1">
      <w:pPr>
        <w:pStyle w:val="Heading3"/>
        <w:rPr>
          <w:noProof/>
        </w:rPr>
      </w:pPr>
      <w:r>
        <w:rPr>
          <w:noProof/>
        </w:rPr>
        <w:t>Granules</w:t>
      </w:r>
    </w:p>
    <w:p w14:paraId="40AF83E3" w14:textId="77777777" w:rsidR="004C09E1" w:rsidRDefault="004C09E1" w:rsidP="004C09E1">
      <w:r>
        <w:t>MAVIRET granules are available as pink granules (glecaprevir) and yellow granules (pibrentasvir). Both granules are round and biconvex.</w:t>
      </w:r>
    </w:p>
    <w:p w14:paraId="1966747D" w14:textId="77777777" w:rsidR="004C09E1" w:rsidRPr="005E1202" w:rsidRDefault="004C09E1" w:rsidP="00FC6D9B">
      <w:pPr>
        <w:jc w:val="both"/>
        <w:rPr>
          <w:rFonts w:cs="Arial"/>
          <w:noProof/>
        </w:rPr>
      </w:pPr>
    </w:p>
    <w:p w14:paraId="2B620D00" w14:textId="77777777" w:rsidR="001A3992" w:rsidRPr="005E1202" w:rsidRDefault="001A3992" w:rsidP="001A3992">
      <w:pPr>
        <w:pStyle w:val="Heading1"/>
        <w:spacing w:before="0" w:after="120"/>
        <w:rPr>
          <w:rFonts w:ascii="Arial" w:hAnsi="Arial" w:cs="Arial"/>
        </w:rPr>
      </w:pPr>
      <w:r w:rsidRPr="005E1202">
        <w:rPr>
          <w:rFonts w:ascii="Arial" w:hAnsi="Arial" w:cs="Arial"/>
        </w:rPr>
        <w:t>Clinical particulars</w:t>
      </w:r>
    </w:p>
    <w:p w14:paraId="6B998AD2" w14:textId="77777777" w:rsidR="001A3992" w:rsidRPr="005E1202" w:rsidRDefault="001A3992" w:rsidP="001A3992">
      <w:pPr>
        <w:pStyle w:val="Heading2"/>
        <w:spacing w:before="0" w:after="120"/>
        <w:rPr>
          <w:rFonts w:cs="Arial"/>
        </w:rPr>
      </w:pPr>
      <w:r w:rsidRPr="005E1202">
        <w:rPr>
          <w:rFonts w:cs="Arial"/>
        </w:rPr>
        <w:t xml:space="preserve">Therapeutic indications </w:t>
      </w:r>
    </w:p>
    <w:p w14:paraId="749FC3D7" w14:textId="4A8A5F3C" w:rsidR="003E527E" w:rsidRDefault="00493B75" w:rsidP="00FC6D9B">
      <w:pPr>
        <w:jc w:val="both"/>
        <w:rPr>
          <w:rFonts w:cs="Arial"/>
        </w:rPr>
      </w:pPr>
      <w:r w:rsidRPr="005E1202">
        <w:rPr>
          <w:rFonts w:cs="Arial"/>
        </w:rPr>
        <w:t>MAVIRET is indicated for the treatment of a</w:t>
      </w:r>
      <w:r w:rsidRPr="003E527E">
        <w:rPr>
          <w:rFonts w:cs="Arial"/>
        </w:rPr>
        <w:t xml:space="preserve">dult </w:t>
      </w:r>
      <w:r w:rsidR="000B18D7" w:rsidRPr="003E527E">
        <w:rPr>
          <w:rFonts w:cs="Arial"/>
        </w:rPr>
        <w:t xml:space="preserve">and </w:t>
      </w:r>
      <w:r w:rsidR="004C09E1">
        <w:rPr>
          <w:rFonts w:cs="Arial"/>
        </w:rPr>
        <w:t>paediatric</w:t>
      </w:r>
      <w:r w:rsidR="004C09E1" w:rsidRPr="003E527E">
        <w:rPr>
          <w:rFonts w:cs="Arial"/>
        </w:rPr>
        <w:t xml:space="preserve"> </w:t>
      </w:r>
      <w:r w:rsidRPr="003E527E">
        <w:rPr>
          <w:rFonts w:cs="Arial"/>
        </w:rPr>
        <w:t xml:space="preserve">patients </w:t>
      </w:r>
      <w:r w:rsidR="004C09E1">
        <w:rPr>
          <w:rFonts w:cs="Arial"/>
        </w:rPr>
        <w:t>3</w:t>
      </w:r>
      <w:r w:rsidR="000B18D7" w:rsidRPr="003E527E">
        <w:rPr>
          <w:rFonts w:cs="Arial"/>
        </w:rPr>
        <w:t xml:space="preserve"> years and older </w:t>
      </w:r>
      <w:r w:rsidRPr="003E527E">
        <w:rPr>
          <w:rFonts w:cs="Arial"/>
        </w:rPr>
        <w:t xml:space="preserve">with chronic hepatitis C virus (HCV) genotype </w:t>
      </w:r>
      <w:r w:rsidR="004D63E6" w:rsidRPr="003E527E">
        <w:rPr>
          <w:rFonts w:cs="Arial"/>
        </w:rPr>
        <w:t xml:space="preserve">(GT) </w:t>
      </w:r>
      <w:r w:rsidRPr="003E527E">
        <w:rPr>
          <w:rFonts w:cs="Arial"/>
        </w:rPr>
        <w:t xml:space="preserve">1, 2, 3, 4, 5, or 6 </w:t>
      </w:r>
      <w:proofErr w:type="gramStart"/>
      <w:r w:rsidRPr="003E527E">
        <w:rPr>
          <w:rFonts w:cs="Arial"/>
        </w:rPr>
        <w:t>infection</w:t>
      </w:r>
      <w:proofErr w:type="gramEnd"/>
      <w:r w:rsidRPr="003E527E">
        <w:rPr>
          <w:rFonts w:cs="Arial"/>
        </w:rPr>
        <w:t xml:space="preserve"> with or without compensated cirrhosis. </w:t>
      </w:r>
      <w:r w:rsidR="00560950" w:rsidRPr="003E527E">
        <w:rPr>
          <w:rFonts w:cs="Arial"/>
        </w:rPr>
        <w:t xml:space="preserve"> </w:t>
      </w:r>
      <w:r w:rsidRPr="003E527E">
        <w:rPr>
          <w:rFonts w:cs="Arial"/>
        </w:rPr>
        <w:t xml:space="preserve">This includes patients with HCV </w:t>
      </w:r>
      <w:r w:rsidR="004D63E6" w:rsidRPr="003E527E">
        <w:rPr>
          <w:rFonts w:cs="Arial"/>
        </w:rPr>
        <w:t>GT</w:t>
      </w:r>
      <w:r w:rsidRPr="003E527E">
        <w:rPr>
          <w:rFonts w:cs="Arial"/>
        </w:rPr>
        <w:t>1 in</w:t>
      </w:r>
      <w:r w:rsidRPr="005E1202">
        <w:rPr>
          <w:rFonts w:cs="Arial"/>
        </w:rPr>
        <w:t xml:space="preserve">fection who were previously treated with either a regimen of </w:t>
      </w:r>
      <w:r w:rsidR="00D259BD">
        <w:rPr>
          <w:rFonts w:cs="Arial"/>
        </w:rPr>
        <w:t xml:space="preserve">an </w:t>
      </w:r>
      <w:r w:rsidRPr="005E1202">
        <w:rPr>
          <w:rFonts w:cs="Arial"/>
        </w:rPr>
        <w:t xml:space="preserve">NS5A inhibitor or with </w:t>
      </w:r>
      <w:r w:rsidR="00D259BD">
        <w:rPr>
          <w:rFonts w:cs="Arial"/>
        </w:rPr>
        <w:t>an</w:t>
      </w:r>
      <w:r w:rsidR="00D259BD" w:rsidRPr="005E1202">
        <w:rPr>
          <w:rFonts w:cs="Arial"/>
        </w:rPr>
        <w:t xml:space="preserve"> </w:t>
      </w:r>
      <w:r w:rsidRPr="005E1202">
        <w:rPr>
          <w:rFonts w:cs="Arial"/>
        </w:rPr>
        <w:t xml:space="preserve">NS3/4A protease inhibitor but not both classes of inhibitors (see </w:t>
      </w:r>
      <w:r w:rsidR="008D55BB">
        <w:rPr>
          <w:rFonts w:cs="Arial"/>
        </w:rPr>
        <w:t xml:space="preserve">4.2 </w:t>
      </w:r>
      <w:r w:rsidRPr="005E1202">
        <w:rPr>
          <w:rFonts w:cs="Arial"/>
        </w:rPr>
        <w:t xml:space="preserve">DOSE AND </w:t>
      </w:r>
      <w:r w:rsidR="008D55BB">
        <w:rPr>
          <w:rFonts w:cs="Arial"/>
        </w:rPr>
        <w:t xml:space="preserve">METHOD OF </w:t>
      </w:r>
      <w:r w:rsidRPr="005E1202">
        <w:rPr>
          <w:rFonts w:cs="Arial"/>
        </w:rPr>
        <w:t xml:space="preserve">ADMINISTRATION and </w:t>
      </w:r>
      <w:r w:rsidR="00291324">
        <w:rPr>
          <w:rFonts w:cs="Arial"/>
        </w:rPr>
        <w:t xml:space="preserve">5.1 </w:t>
      </w:r>
      <w:r w:rsidR="00291324" w:rsidRPr="00291324">
        <w:rPr>
          <w:rFonts w:cs="Arial"/>
          <w:caps/>
        </w:rPr>
        <w:t>Pharmacodynamic Properties</w:t>
      </w:r>
      <w:r w:rsidR="00291324">
        <w:rPr>
          <w:rFonts w:cs="Arial"/>
        </w:rPr>
        <w:t xml:space="preserve"> – Clinical trials</w:t>
      </w:r>
      <w:r w:rsidRPr="005E1202">
        <w:rPr>
          <w:rFonts w:cs="Arial"/>
        </w:rPr>
        <w:t xml:space="preserve">). </w:t>
      </w:r>
    </w:p>
    <w:p w14:paraId="51C4B042" w14:textId="77777777" w:rsidR="004C09E1" w:rsidRPr="005E1202" w:rsidRDefault="004C09E1" w:rsidP="00FC6D9B">
      <w:pPr>
        <w:jc w:val="both"/>
        <w:rPr>
          <w:rFonts w:cs="Arial"/>
        </w:rPr>
      </w:pPr>
    </w:p>
    <w:p w14:paraId="5CCC5074" w14:textId="77777777" w:rsidR="001A3992" w:rsidRPr="005E1202" w:rsidRDefault="001A3992" w:rsidP="001A3992">
      <w:pPr>
        <w:pStyle w:val="Heading2"/>
        <w:spacing w:before="0" w:after="120"/>
        <w:rPr>
          <w:rFonts w:cs="Arial"/>
        </w:rPr>
      </w:pPr>
      <w:r w:rsidRPr="005E1202">
        <w:rPr>
          <w:rFonts w:cs="Arial"/>
        </w:rPr>
        <w:t xml:space="preserve">Dose and method of administration </w:t>
      </w:r>
    </w:p>
    <w:p w14:paraId="7EC46D90" w14:textId="77777777" w:rsidR="00D513EB" w:rsidRPr="005E1202" w:rsidRDefault="00D513EB" w:rsidP="00D513EB">
      <w:pPr>
        <w:jc w:val="both"/>
        <w:rPr>
          <w:rFonts w:cs="Arial"/>
        </w:rPr>
      </w:pPr>
      <w:r w:rsidRPr="005E1202">
        <w:rPr>
          <w:rFonts w:cs="Arial"/>
        </w:rPr>
        <w:t xml:space="preserve">Tables </w:t>
      </w:r>
      <w:r>
        <w:rPr>
          <w:rFonts w:cs="Arial"/>
        </w:rPr>
        <w:t>1</w:t>
      </w:r>
      <w:r w:rsidRPr="005E1202">
        <w:rPr>
          <w:rFonts w:cs="Arial"/>
        </w:rPr>
        <w:t xml:space="preserve"> and </w:t>
      </w:r>
      <w:r>
        <w:rPr>
          <w:rFonts w:cs="Arial"/>
        </w:rPr>
        <w:t>2</w:t>
      </w:r>
      <w:r w:rsidRPr="005E1202">
        <w:rPr>
          <w:rFonts w:cs="Arial"/>
        </w:rPr>
        <w:t xml:space="preserve"> provide the recommended MAVIRET treatment duration based on the patient population in HCV mono-infected and HCV/HIV-1 coinfected patients with compensated liver disease (with or without cirrhosis) and with or without renal impairment </w:t>
      </w:r>
      <w:r>
        <w:rPr>
          <w:rFonts w:cs="Arial"/>
        </w:rPr>
        <w:t>(</w:t>
      </w:r>
      <w:r w:rsidRPr="005E1202">
        <w:rPr>
          <w:rFonts w:cs="Arial"/>
        </w:rPr>
        <w:t>including patients receiving dialysis</w:t>
      </w:r>
      <w:r>
        <w:rPr>
          <w:rFonts w:cs="Arial"/>
        </w:rPr>
        <w:t>)</w:t>
      </w:r>
      <w:r w:rsidRPr="005E1202">
        <w:rPr>
          <w:rFonts w:cs="Arial"/>
        </w:rPr>
        <w:t>.</w:t>
      </w:r>
    </w:p>
    <w:p w14:paraId="50AC33CF" w14:textId="77777777" w:rsidR="00D513EB" w:rsidRPr="005E1202" w:rsidRDefault="00D513EB" w:rsidP="003B0ECB">
      <w:pPr>
        <w:pageBreakBefore/>
        <w:rPr>
          <w:rFonts w:cs="Arial"/>
          <w:b/>
          <w:bCs/>
        </w:rPr>
      </w:pPr>
      <w:r w:rsidRPr="005E1202">
        <w:rPr>
          <w:rFonts w:cs="Arial"/>
          <w:b/>
          <w:bCs/>
        </w:rPr>
        <w:lastRenderedPageBreak/>
        <w:t xml:space="preserve">Table </w:t>
      </w:r>
      <w:r>
        <w:rPr>
          <w:rFonts w:cs="Arial"/>
          <w:b/>
          <w:bCs/>
        </w:rPr>
        <w:t>1</w:t>
      </w:r>
      <w:r w:rsidRPr="005E1202">
        <w:rPr>
          <w:rFonts w:cs="Arial"/>
          <w:b/>
          <w:bCs/>
        </w:rPr>
        <w:t>. Recommended Duration for Treatment</w:t>
      </w:r>
      <w:r>
        <w:rPr>
          <w:rFonts w:cs="Arial"/>
          <w:b/>
          <w:bCs/>
        </w:rPr>
        <w:t>-</w:t>
      </w:r>
      <w:r w:rsidRPr="005E1202">
        <w:rPr>
          <w:rFonts w:cs="Arial"/>
          <w:b/>
          <w:bCs/>
        </w:rPr>
        <w:t>Naïve Patients</w:t>
      </w:r>
    </w:p>
    <w:tbl>
      <w:tblPr>
        <w:tblW w:w="94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2700"/>
        <w:gridCol w:w="2610"/>
      </w:tblGrid>
      <w:tr w:rsidR="00D513EB" w:rsidRPr="005E1202" w14:paraId="2435FA41" w14:textId="77777777" w:rsidTr="007D52B7">
        <w:trPr>
          <w:trHeight w:val="525"/>
        </w:trPr>
        <w:tc>
          <w:tcPr>
            <w:tcW w:w="4173" w:type="dxa"/>
            <w:vMerge w:val="restart"/>
            <w:tcMar>
              <w:top w:w="0" w:type="dxa"/>
              <w:left w:w="108" w:type="dxa"/>
              <w:bottom w:w="0" w:type="dxa"/>
              <w:right w:w="108" w:type="dxa"/>
            </w:tcMar>
            <w:vAlign w:val="center"/>
            <w:hideMark/>
          </w:tcPr>
          <w:p w14:paraId="794C67D5" w14:textId="77777777" w:rsidR="00D513EB" w:rsidRPr="005E1202" w:rsidRDefault="00D513EB" w:rsidP="007D52B7">
            <w:pPr>
              <w:spacing w:after="0" w:line="240" w:lineRule="auto"/>
              <w:jc w:val="center"/>
              <w:rPr>
                <w:rFonts w:cs="Arial"/>
                <w:b/>
                <w:sz w:val="20"/>
              </w:rPr>
            </w:pPr>
            <w:r w:rsidRPr="005E1202">
              <w:rPr>
                <w:rFonts w:cs="Arial"/>
                <w:b/>
                <w:sz w:val="20"/>
              </w:rPr>
              <w:t>Patient Population</w:t>
            </w:r>
          </w:p>
        </w:tc>
        <w:tc>
          <w:tcPr>
            <w:tcW w:w="5310" w:type="dxa"/>
            <w:gridSpan w:val="2"/>
            <w:tcMar>
              <w:top w:w="0" w:type="dxa"/>
              <w:left w:w="108" w:type="dxa"/>
              <w:bottom w:w="0" w:type="dxa"/>
              <w:right w:w="108" w:type="dxa"/>
            </w:tcMar>
            <w:vAlign w:val="center"/>
            <w:hideMark/>
          </w:tcPr>
          <w:p w14:paraId="03385C34" w14:textId="77777777" w:rsidR="00D513EB" w:rsidRPr="005E1202" w:rsidRDefault="00D513EB" w:rsidP="007D52B7">
            <w:pPr>
              <w:spacing w:after="0" w:line="240" w:lineRule="auto"/>
              <w:jc w:val="center"/>
              <w:rPr>
                <w:rFonts w:cs="Arial"/>
                <w:b/>
                <w:sz w:val="20"/>
              </w:rPr>
            </w:pPr>
            <w:r w:rsidRPr="005E1202">
              <w:rPr>
                <w:rFonts w:cs="Arial"/>
                <w:b/>
                <w:sz w:val="20"/>
              </w:rPr>
              <w:t>Treatment Duration</w:t>
            </w:r>
          </w:p>
        </w:tc>
      </w:tr>
      <w:tr w:rsidR="00D513EB" w:rsidRPr="005E1202" w14:paraId="6807CE19" w14:textId="77777777" w:rsidTr="007D52B7">
        <w:trPr>
          <w:trHeight w:val="675"/>
        </w:trPr>
        <w:tc>
          <w:tcPr>
            <w:tcW w:w="4173" w:type="dxa"/>
            <w:vMerge/>
            <w:vAlign w:val="center"/>
            <w:hideMark/>
          </w:tcPr>
          <w:p w14:paraId="45CE4E68" w14:textId="77777777" w:rsidR="00D513EB" w:rsidRPr="005E1202" w:rsidRDefault="00D513EB" w:rsidP="007D52B7">
            <w:pPr>
              <w:spacing w:after="0" w:line="240" w:lineRule="auto"/>
              <w:jc w:val="center"/>
              <w:rPr>
                <w:rFonts w:cs="Arial"/>
                <w:b/>
                <w:sz w:val="20"/>
              </w:rPr>
            </w:pPr>
          </w:p>
        </w:tc>
        <w:tc>
          <w:tcPr>
            <w:tcW w:w="2700" w:type="dxa"/>
            <w:tcMar>
              <w:top w:w="0" w:type="dxa"/>
              <w:left w:w="108" w:type="dxa"/>
              <w:bottom w:w="0" w:type="dxa"/>
              <w:right w:w="108" w:type="dxa"/>
            </w:tcMar>
            <w:vAlign w:val="center"/>
            <w:hideMark/>
          </w:tcPr>
          <w:p w14:paraId="16A2BE81" w14:textId="77777777" w:rsidR="00D513EB" w:rsidRPr="005E1202" w:rsidRDefault="00D513EB" w:rsidP="007D52B7">
            <w:pPr>
              <w:spacing w:after="0" w:line="240" w:lineRule="auto"/>
              <w:jc w:val="center"/>
              <w:rPr>
                <w:rFonts w:cs="Arial"/>
                <w:b/>
                <w:sz w:val="20"/>
              </w:rPr>
            </w:pPr>
            <w:r w:rsidRPr="005E1202">
              <w:rPr>
                <w:rFonts w:cs="Arial"/>
                <w:b/>
                <w:sz w:val="20"/>
              </w:rPr>
              <w:t>No Cirrhosis</w:t>
            </w:r>
          </w:p>
        </w:tc>
        <w:tc>
          <w:tcPr>
            <w:tcW w:w="2610" w:type="dxa"/>
            <w:tcMar>
              <w:top w:w="0" w:type="dxa"/>
              <w:left w:w="108" w:type="dxa"/>
              <w:bottom w:w="0" w:type="dxa"/>
              <w:right w:w="108" w:type="dxa"/>
            </w:tcMar>
            <w:vAlign w:val="center"/>
            <w:hideMark/>
          </w:tcPr>
          <w:p w14:paraId="7C7322B7" w14:textId="77777777" w:rsidR="00D513EB" w:rsidRPr="005E1202" w:rsidRDefault="00D513EB" w:rsidP="007D52B7">
            <w:pPr>
              <w:spacing w:after="0" w:line="240" w:lineRule="auto"/>
              <w:jc w:val="center"/>
              <w:rPr>
                <w:rFonts w:cs="Arial"/>
                <w:b/>
                <w:sz w:val="20"/>
              </w:rPr>
            </w:pPr>
            <w:r w:rsidRPr="005E1202">
              <w:rPr>
                <w:rFonts w:cs="Arial"/>
                <w:b/>
                <w:sz w:val="20"/>
              </w:rPr>
              <w:t xml:space="preserve">Compensated Cirrhosis </w:t>
            </w:r>
            <w:r w:rsidRPr="005E1202">
              <w:rPr>
                <w:rFonts w:cs="Arial"/>
                <w:b/>
                <w:sz w:val="20"/>
              </w:rPr>
              <w:br/>
              <w:t>(Child Pugh A)</w:t>
            </w:r>
          </w:p>
        </w:tc>
      </w:tr>
      <w:tr w:rsidR="00D513EB" w:rsidRPr="005E1202" w14:paraId="0AD9ACE0" w14:textId="77777777" w:rsidTr="007D52B7">
        <w:trPr>
          <w:trHeight w:val="773"/>
        </w:trPr>
        <w:tc>
          <w:tcPr>
            <w:tcW w:w="4173" w:type="dxa"/>
            <w:tcMar>
              <w:top w:w="0" w:type="dxa"/>
              <w:left w:w="108" w:type="dxa"/>
              <w:bottom w:w="0" w:type="dxa"/>
              <w:right w:w="108" w:type="dxa"/>
            </w:tcMar>
            <w:vAlign w:val="center"/>
            <w:hideMark/>
          </w:tcPr>
          <w:p w14:paraId="0E7A8C99" w14:textId="77777777" w:rsidR="00D513EB" w:rsidRPr="005E1202" w:rsidRDefault="00D513EB" w:rsidP="007D52B7">
            <w:pPr>
              <w:spacing w:after="0" w:line="240" w:lineRule="auto"/>
              <w:jc w:val="center"/>
              <w:rPr>
                <w:rFonts w:cs="Arial"/>
                <w:sz w:val="20"/>
              </w:rPr>
            </w:pPr>
            <w:r w:rsidRPr="005E1202">
              <w:rPr>
                <w:rFonts w:cs="Arial"/>
                <w:sz w:val="20"/>
              </w:rPr>
              <w:t>GT 1, 2, 3, 4, 5 or 6</w:t>
            </w:r>
          </w:p>
        </w:tc>
        <w:tc>
          <w:tcPr>
            <w:tcW w:w="5310" w:type="dxa"/>
            <w:gridSpan w:val="2"/>
            <w:tcMar>
              <w:top w:w="0" w:type="dxa"/>
              <w:left w:w="108" w:type="dxa"/>
              <w:bottom w:w="0" w:type="dxa"/>
              <w:right w:w="108" w:type="dxa"/>
            </w:tcMar>
            <w:vAlign w:val="center"/>
            <w:hideMark/>
          </w:tcPr>
          <w:p w14:paraId="0E707232" w14:textId="77777777" w:rsidR="00D513EB" w:rsidRPr="005E1202" w:rsidRDefault="00D513EB" w:rsidP="007D52B7">
            <w:pPr>
              <w:spacing w:after="0" w:line="240" w:lineRule="auto"/>
              <w:jc w:val="center"/>
              <w:rPr>
                <w:rFonts w:cs="Arial"/>
                <w:sz w:val="20"/>
              </w:rPr>
            </w:pPr>
            <w:r w:rsidRPr="005E1202">
              <w:rPr>
                <w:rFonts w:cs="Arial"/>
                <w:sz w:val="20"/>
              </w:rPr>
              <w:t>8 weeks</w:t>
            </w:r>
            <w:r w:rsidRPr="00A4182C">
              <w:rPr>
                <w:rFonts w:cs="Arial"/>
                <w:sz w:val="20"/>
              </w:rPr>
              <w:t>*</w:t>
            </w:r>
          </w:p>
        </w:tc>
      </w:tr>
    </w:tbl>
    <w:p w14:paraId="67DF5943" w14:textId="7E704337" w:rsidR="00A4182C" w:rsidRPr="00BD73A7" w:rsidRDefault="00D513EB" w:rsidP="00D513EB">
      <w:pPr>
        <w:rPr>
          <w:rFonts w:cs="Arial"/>
          <w:sz w:val="20"/>
          <w:szCs w:val="20"/>
        </w:rPr>
      </w:pPr>
      <w:r w:rsidRPr="00A4182C">
        <w:rPr>
          <w:rFonts w:cs="Arial"/>
          <w:b/>
          <w:bCs/>
          <w:sz w:val="20"/>
          <w:szCs w:val="20"/>
        </w:rPr>
        <w:t xml:space="preserve">* </w:t>
      </w:r>
      <w:r w:rsidRPr="00A4182C">
        <w:rPr>
          <w:rFonts w:cs="Arial"/>
          <w:sz w:val="20"/>
          <w:szCs w:val="20"/>
        </w:rPr>
        <w:t xml:space="preserve">A treatment duration of 12 weeks may be considered for patients with compensated cirrhosis at the discretion of the prescriber. </w:t>
      </w:r>
    </w:p>
    <w:p w14:paraId="7CC17470" w14:textId="77777777" w:rsidR="00D513EB" w:rsidRPr="005E1202" w:rsidRDefault="00D513EB" w:rsidP="00D513EB">
      <w:pPr>
        <w:rPr>
          <w:rFonts w:cs="Arial"/>
          <w:b/>
          <w:bCs/>
        </w:rPr>
      </w:pPr>
      <w:r w:rsidRPr="005E1202">
        <w:rPr>
          <w:rFonts w:cs="Arial"/>
          <w:b/>
          <w:bCs/>
        </w:rPr>
        <w:t xml:space="preserve">Table </w:t>
      </w:r>
      <w:r>
        <w:rPr>
          <w:rFonts w:cs="Arial"/>
          <w:b/>
          <w:bCs/>
        </w:rPr>
        <w:t>2</w:t>
      </w:r>
      <w:r w:rsidRPr="005E1202">
        <w:rPr>
          <w:rFonts w:cs="Arial"/>
          <w:b/>
          <w:bCs/>
        </w:rPr>
        <w:t>. Recommended Duration for Treatment</w:t>
      </w:r>
      <w:r>
        <w:rPr>
          <w:rFonts w:cs="Arial"/>
          <w:b/>
          <w:bCs/>
        </w:rPr>
        <w:t>-</w:t>
      </w:r>
      <w:r w:rsidRPr="005E1202">
        <w:rPr>
          <w:rFonts w:cs="Arial"/>
          <w:b/>
          <w:bCs/>
        </w:rPr>
        <w:t>Experienced Patients</w:t>
      </w:r>
    </w:p>
    <w:tbl>
      <w:tblPr>
        <w:tblW w:w="9483"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2700"/>
        <w:gridCol w:w="2610"/>
      </w:tblGrid>
      <w:tr w:rsidR="00D513EB" w:rsidRPr="005E1202" w14:paraId="2A63FEA9" w14:textId="77777777" w:rsidTr="00A4182C">
        <w:trPr>
          <w:trHeight w:val="630"/>
          <w:tblHeader/>
        </w:trPr>
        <w:tc>
          <w:tcPr>
            <w:tcW w:w="4173" w:type="dxa"/>
            <w:vMerge w:val="restart"/>
            <w:tcMar>
              <w:top w:w="0" w:type="dxa"/>
              <w:left w:w="108" w:type="dxa"/>
              <w:bottom w:w="0" w:type="dxa"/>
              <w:right w:w="108" w:type="dxa"/>
            </w:tcMar>
            <w:vAlign w:val="center"/>
            <w:hideMark/>
          </w:tcPr>
          <w:p w14:paraId="249CDA76" w14:textId="77777777" w:rsidR="00D513EB" w:rsidRPr="005E1202" w:rsidRDefault="00D513EB" w:rsidP="007D52B7">
            <w:pPr>
              <w:spacing w:after="0" w:line="240" w:lineRule="auto"/>
              <w:jc w:val="center"/>
              <w:rPr>
                <w:rFonts w:cs="Arial"/>
                <w:b/>
                <w:sz w:val="20"/>
              </w:rPr>
            </w:pPr>
            <w:r w:rsidRPr="005E1202">
              <w:rPr>
                <w:rFonts w:cs="Arial"/>
                <w:b/>
                <w:sz w:val="20"/>
              </w:rPr>
              <w:t>Patient Population</w:t>
            </w:r>
          </w:p>
        </w:tc>
        <w:tc>
          <w:tcPr>
            <w:tcW w:w="5310" w:type="dxa"/>
            <w:gridSpan w:val="2"/>
            <w:tcMar>
              <w:top w:w="0" w:type="dxa"/>
              <w:left w:w="108" w:type="dxa"/>
              <w:bottom w:w="0" w:type="dxa"/>
              <w:right w:w="108" w:type="dxa"/>
            </w:tcMar>
            <w:vAlign w:val="center"/>
            <w:hideMark/>
          </w:tcPr>
          <w:p w14:paraId="30759864" w14:textId="77777777" w:rsidR="00D513EB" w:rsidRPr="005E1202" w:rsidRDefault="00D513EB" w:rsidP="007D52B7">
            <w:pPr>
              <w:spacing w:after="0" w:line="240" w:lineRule="auto"/>
              <w:jc w:val="center"/>
              <w:rPr>
                <w:rFonts w:cs="Arial"/>
                <w:b/>
                <w:sz w:val="20"/>
              </w:rPr>
            </w:pPr>
            <w:r w:rsidRPr="005E1202">
              <w:rPr>
                <w:rFonts w:cs="Arial"/>
                <w:b/>
                <w:sz w:val="20"/>
              </w:rPr>
              <w:t>Treatment Duration</w:t>
            </w:r>
          </w:p>
        </w:tc>
      </w:tr>
      <w:tr w:rsidR="00D513EB" w:rsidRPr="005E1202" w14:paraId="0489076D" w14:textId="77777777" w:rsidTr="00A4182C">
        <w:trPr>
          <w:trHeight w:val="495"/>
          <w:tblHeader/>
        </w:trPr>
        <w:tc>
          <w:tcPr>
            <w:tcW w:w="4173" w:type="dxa"/>
            <w:vMerge/>
            <w:vAlign w:val="center"/>
            <w:hideMark/>
          </w:tcPr>
          <w:p w14:paraId="592D5410" w14:textId="77777777" w:rsidR="00D513EB" w:rsidRPr="005E1202" w:rsidRDefault="00D513EB" w:rsidP="007D52B7">
            <w:pPr>
              <w:spacing w:after="0" w:line="240" w:lineRule="auto"/>
              <w:rPr>
                <w:rFonts w:cs="Arial"/>
                <w:b/>
                <w:sz w:val="20"/>
              </w:rPr>
            </w:pPr>
          </w:p>
        </w:tc>
        <w:tc>
          <w:tcPr>
            <w:tcW w:w="2700" w:type="dxa"/>
            <w:tcMar>
              <w:top w:w="0" w:type="dxa"/>
              <w:left w:w="108" w:type="dxa"/>
              <w:bottom w:w="0" w:type="dxa"/>
              <w:right w:w="108" w:type="dxa"/>
            </w:tcMar>
            <w:vAlign w:val="center"/>
            <w:hideMark/>
          </w:tcPr>
          <w:p w14:paraId="3AFECC45" w14:textId="77777777" w:rsidR="00D513EB" w:rsidRPr="005E1202" w:rsidRDefault="00D513EB" w:rsidP="007D52B7">
            <w:pPr>
              <w:spacing w:after="0" w:line="240" w:lineRule="auto"/>
              <w:jc w:val="center"/>
              <w:rPr>
                <w:rFonts w:cs="Arial"/>
                <w:b/>
                <w:sz w:val="20"/>
              </w:rPr>
            </w:pPr>
            <w:r w:rsidRPr="005E1202">
              <w:rPr>
                <w:rFonts w:cs="Arial"/>
                <w:b/>
                <w:sz w:val="20"/>
              </w:rPr>
              <w:t>No Cirrhosis</w:t>
            </w:r>
          </w:p>
        </w:tc>
        <w:tc>
          <w:tcPr>
            <w:tcW w:w="2610" w:type="dxa"/>
            <w:noWrap/>
            <w:tcMar>
              <w:top w:w="0" w:type="dxa"/>
              <w:left w:w="108" w:type="dxa"/>
              <w:bottom w:w="0" w:type="dxa"/>
              <w:right w:w="108" w:type="dxa"/>
            </w:tcMar>
            <w:vAlign w:val="center"/>
            <w:hideMark/>
          </w:tcPr>
          <w:p w14:paraId="5BEF4077" w14:textId="77777777" w:rsidR="00D513EB" w:rsidRPr="005E1202" w:rsidRDefault="00D513EB" w:rsidP="007D52B7">
            <w:pPr>
              <w:spacing w:after="0" w:line="240" w:lineRule="auto"/>
              <w:jc w:val="center"/>
              <w:rPr>
                <w:rFonts w:cs="Arial"/>
                <w:b/>
                <w:color w:val="FFC000"/>
                <w:sz w:val="20"/>
              </w:rPr>
            </w:pPr>
            <w:r w:rsidRPr="005E1202">
              <w:rPr>
                <w:rFonts w:cs="Arial"/>
                <w:b/>
                <w:sz w:val="20"/>
              </w:rPr>
              <w:t xml:space="preserve">Compensated Cirrhosis </w:t>
            </w:r>
            <w:r w:rsidRPr="005E1202">
              <w:rPr>
                <w:rFonts w:cs="Arial"/>
                <w:b/>
                <w:sz w:val="20"/>
              </w:rPr>
              <w:br/>
              <w:t>(Child Pugh A)</w:t>
            </w:r>
          </w:p>
        </w:tc>
      </w:tr>
      <w:tr w:rsidR="00D513EB" w:rsidRPr="005E1202" w14:paraId="71C12550" w14:textId="77777777" w:rsidTr="007D52B7">
        <w:trPr>
          <w:trHeight w:val="915"/>
        </w:trPr>
        <w:tc>
          <w:tcPr>
            <w:tcW w:w="4173" w:type="dxa"/>
            <w:tcMar>
              <w:top w:w="0" w:type="dxa"/>
              <w:left w:w="108" w:type="dxa"/>
              <w:bottom w:w="0" w:type="dxa"/>
              <w:right w:w="108" w:type="dxa"/>
            </w:tcMar>
            <w:vAlign w:val="center"/>
            <w:hideMark/>
          </w:tcPr>
          <w:p w14:paraId="17EE8D2F" w14:textId="77777777" w:rsidR="00D513EB" w:rsidRPr="005E1202" w:rsidRDefault="00D513EB" w:rsidP="007D52B7">
            <w:pPr>
              <w:spacing w:after="0" w:line="240" w:lineRule="auto"/>
              <w:jc w:val="center"/>
              <w:rPr>
                <w:rFonts w:cs="Arial"/>
                <w:sz w:val="20"/>
              </w:rPr>
            </w:pPr>
            <w:r w:rsidRPr="005E1202">
              <w:rPr>
                <w:rFonts w:cs="Arial"/>
                <w:sz w:val="20"/>
              </w:rPr>
              <w:t>GT 1, 2, 4,</w:t>
            </w:r>
            <w:r w:rsidRPr="005E1202">
              <w:rPr>
                <w:rFonts w:cs="Arial"/>
                <w:color w:val="1F497D"/>
                <w:sz w:val="20"/>
              </w:rPr>
              <w:t xml:space="preserve"> </w:t>
            </w:r>
            <w:r w:rsidRPr="005E1202">
              <w:rPr>
                <w:rFonts w:cs="Arial"/>
                <w:sz w:val="20"/>
              </w:rPr>
              <w:t>5</w:t>
            </w:r>
            <w:r w:rsidRPr="005E1202">
              <w:rPr>
                <w:rFonts w:cs="Arial"/>
                <w:color w:val="1F497D"/>
                <w:sz w:val="20"/>
              </w:rPr>
              <w:t xml:space="preserve"> </w:t>
            </w:r>
            <w:r w:rsidRPr="00955637">
              <w:rPr>
                <w:rFonts w:cs="Arial"/>
                <w:sz w:val="20"/>
              </w:rPr>
              <w:t>or</w:t>
            </w:r>
            <w:r w:rsidRPr="005E1202">
              <w:rPr>
                <w:rFonts w:cs="Arial"/>
                <w:sz w:val="20"/>
              </w:rPr>
              <w:t xml:space="preserve"> 6</w:t>
            </w:r>
            <w:r w:rsidRPr="005E1202">
              <w:rPr>
                <w:rFonts w:cs="Arial"/>
                <w:sz w:val="20"/>
              </w:rPr>
              <w:br/>
              <w:t>PRS-experienced*</w:t>
            </w:r>
          </w:p>
        </w:tc>
        <w:tc>
          <w:tcPr>
            <w:tcW w:w="2700" w:type="dxa"/>
            <w:tcMar>
              <w:top w:w="0" w:type="dxa"/>
              <w:left w:w="108" w:type="dxa"/>
              <w:bottom w:w="0" w:type="dxa"/>
              <w:right w:w="108" w:type="dxa"/>
            </w:tcMar>
            <w:vAlign w:val="center"/>
            <w:hideMark/>
          </w:tcPr>
          <w:p w14:paraId="35AAFA79" w14:textId="77777777" w:rsidR="00D513EB" w:rsidRPr="005E1202" w:rsidRDefault="00D513EB" w:rsidP="007D52B7">
            <w:pPr>
              <w:spacing w:after="0" w:line="240" w:lineRule="auto"/>
              <w:jc w:val="center"/>
              <w:rPr>
                <w:rFonts w:cs="Arial"/>
                <w:sz w:val="20"/>
              </w:rPr>
            </w:pPr>
            <w:r w:rsidRPr="005E1202">
              <w:rPr>
                <w:rFonts w:cs="Arial"/>
                <w:sz w:val="20"/>
              </w:rPr>
              <w:t>8 weeks</w:t>
            </w:r>
          </w:p>
        </w:tc>
        <w:tc>
          <w:tcPr>
            <w:tcW w:w="2610" w:type="dxa"/>
            <w:noWrap/>
            <w:tcMar>
              <w:top w:w="0" w:type="dxa"/>
              <w:left w:w="108" w:type="dxa"/>
              <w:bottom w:w="0" w:type="dxa"/>
              <w:right w:w="108" w:type="dxa"/>
            </w:tcMar>
            <w:vAlign w:val="center"/>
            <w:hideMark/>
          </w:tcPr>
          <w:p w14:paraId="7B57C8D9" w14:textId="77777777" w:rsidR="00D513EB" w:rsidRPr="005E1202" w:rsidRDefault="00D513EB" w:rsidP="007D52B7">
            <w:pPr>
              <w:spacing w:after="0" w:line="240" w:lineRule="auto"/>
              <w:jc w:val="center"/>
              <w:rPr>
                <w:rFonts w:cs="Arial"/>
                <w:sz w:val="20"/>
              </w:rPr>
            </w:pPr>
            <w:r w:rsidRPr="005E1202">
              <w:rPr>
                <w:rFonts w:cs="Arial"/>
                <w:sz w:val="20"/>
              </w:rPr>
              <w:t>12 weeks</w:t>
            </w:r>
          </w:p>
        </w:tc>
      </w:tr>
      <w:tr w:rsidR="00D513EB" w:rsidRPr="005E1202" w14:paraId="30DBBFC3" w14:textId="77777777" w:rsidTr="007D52B7">
        <w:trPr>
          <w:trHeight w:val="870"/>
        </w:trPr>
        <w:tc>
          <w:tcPr>
            <w:tcW w:w="4173" w:type="dxa"/>
            <w:tcMar>
              <w:top w:w="0" w:type="dxa"/>
              <w:left w:w="108" w:type="dxa"/>
              <w:bottom w:w="0" w:type="dxa"/>
              <w:right w:w="108" w:type="dxa"/>
            </w:tcMar>
            <w:vAlign w:val="center"/>
            <w:hideMark/>
          </w:tcPr>
          <w:p w14:paraId="19C17144" w14:textId="77777777" w:rsidR="00D513EB" w:rsidRPr="005E1202" w:rsidRDefault="00D513EB" w:rsidP="007D52B7">
            <w:pPr>
              <w:spacing w:after="0" w:line="240" w:lineRule="auto"/>
              <w:jc w:val="center"/>
              <w:rPr>
                <w:rFonts w:cs="Arial"/>
                <w:sz w:val="20"/>
              </w:rPr>
            </w:pPr>
            <w:r w:rsidRPr="005E1202">
              <w:rPr>
                <w:rFonts w:cs="Arial"/>
                <w:sz w:val="20"/>
              </w:rPr>
              <w:t>GT 1 NS3/4A PI-experienced</w:t>
            </w:r>
            <w:r w:rsidRPr="005E1202">
              <w:rPr>
                <w:rFonts w:cs="Arial"/>
                <w:sz w:val="20"/>
                <w:vertAlign w:val="superscript"/>
              </w:rPr>
              <w:t>1#</w:t>
            </w:r>
            <w:r w:rsidRPr="005E1202">
              <w:rPr>
                <w:rFonts w:cs="Arial"/>
                <w:sz w:val="20"/>
              </w:rPr>
              <w:t xml:space="preserve"> </w:t>
            </w:r>
            <w:r w:rsidRPr="005E1202">
              <w:rPr>
                <w:rFonts w:cs="Arial"/>
                <w:sz w:val="20"/>
              </w:rPr>
              <w:br/>
              <w:t>(NS5A inhibitor-naïve)</w:t>
            </w:r>
          </w:p>
        </w:tc>
        <w:tc>
          <w:tcPr>
            <w:tcW w:w="5310" w:type="dxa"/>
            <w:gridSpan w:val="2"/>
            <w:tcMar>
              <w:top w:w="0" w:type="dxa"/>
              <w:left w:w="108" w:type="dxa"/>
              <w:bottom w:w="0" w:type="dxa"/>
              <w:right w:w="108" w:type="dxa"/>
            </w:tcMar>
            <w:vAlign w:val="center"/>
            <w:hideMark/>
          </w:tcPr>
          <w:p w14:paraId="2D22F347" w14:textId="77777777" w:rsidR="00D513EB" w:rsidRPr="005E1202" w:rsidRDefault="00D513EB" w:rsidP="007D52B7">
            <w:pPr>
              <w:spacing w:after="0" w:line="240" w:lineRule="auto"/>
              <w:jc w:val="center"/>
              <w:rPr>
                <w:rFonts w:cs="Arial"/>
                <w:sz w:val="20"/>
              </w:rPr>
            </w:pPr>
            <w:r w:rsidRPr="005E1202">
              <w:rPr>
                <w:rFonts w:cs="Arial"/>
                <w:sz w:val="20"/>
              </w:rPr>
              <w:t>12 weeks</w:t>
            </w:r>
          </w:p>
        </w:tc>
      </w:tr>
      <w:tr w:rsidR="00D513EB" w:rsidRPr="005E1202" w14:paraId="4F3C4595" w14:textId="77777777" w:rsidTr="007D52B7">
        <w:trPr>
          <w:trHeight w:val="765"/>
        </w:trPr>
        <w:tc>
          <w:tcPr>
            <w:tcW w:w="4173" w:type="dxa"/>
            <w:tcMar>
              <w:top w:w="0" w:type="dxa"/>
              <w:left w:w="108" w:type="dxa"/>
              <w:bottom w:w="0" w:type="dxa"/>
              <w:right w:w="108" w:type="dxa"/>
            </w:tcMar>
            <w:vAlign w:val="center"/>
            <w:hideMark/>
          </w:tcPr>
          <w:p w14:paraId="795874ED" w14:textId="77777777" w:rsidR="00D513EB" w:rsidRPr="005E1202" w:rsidRDefault="00D513EB" w:rsidP="007D52B7">
            <w:pPr>
              <w:spacing w:after="0" w:line="240" w:lineRule="auto"/>
              <w:jc w:val="center"/>
              <w:rPr>
                <w:rFonts w:cs="Arial"/>
                <w:sz w:val="20"/>
              </w:rPr>
            </w:pPr>
            <w:r w:rsidRPr="005E1202">
              <w:rPr>
                <w:rFonts w:cs="Arial"/>
                <w:sz w:val="20"/>
              </w:rPr>
              <w:t>GT 1 NS5A</w:t>
            </w:r>
            <w:r>
              <w:rPr>
                <w:rFonts w:cs="Arial"/>
                <w:sz w:val="20"/>
              </w:rPr>
              <w:t xml:space="preserve"> inhibitor</w:t>
            </w:r>
            <w:r w:rsidRPr="005E1202">
              <w:rPr>
                <w:rFonts w:cs="Arial"/>
                <w:sz w:val="20"/>
              </w:rPr>
              <w:t>–experienced</w:t>
            </w:r>
            <w:r w:rsidRPr="005E1202">
              <w:rPr>
                <w:rFonts w:cs="Arial"/>
                <w:sz w:val="20"/>
                <w:vertAlign w:val="superscript"/>
              </w:rPr>
              <w:t>2#</w:t>
            </w:r>
            <w:r w:rsidRPr="005E1202">
              <w:rPr>
                <w:rFonts w:cs="Arial"/>
                <w:sz w:val="20"/>
              </w:rPr>
              <w:t xml:space="preserve"> </w:t>
            </w:r>
            <w:r w:rsidRPr="005E1202">
              <w:rPr>
                <w:rFonts w:cs="Arial"/>
                <w:sz w:val="20"/>
              </w:rPr>
              <w:br/>
              <w:t xml:space="preserve">(NS3/4A </w:t>
            </w:r>
            <w:r>
              <w:rPr>
                <w:rFonts w:cs="Arial"/>
                <w:sz w:val="20"/>
              </w:rPr>
              <w:t>PI</w:t>
            </w:r>
            <w:r w:rsidRPr="005E1202">
              <w:rPr>
                <w:rFonts w:cs="Arial"/>
                <w:sz w:val="20"/>
              </w:rPr>
              <w:t>-naïve)</w:t>
            </w:r>
          </w:p>
        </w:tc>
        <w:tc>
          <w:tcPr>
            <w:tcW w:w="5310" w:type="dxa"/>
            <w:gridSpan w:val="2"/>
            <w:vMerge w:val="restart"/>
            <w:tcMar>
              <w:top w:w="0" w:type="dxa"/>
              <w:left w:w="108" w:type="dxa"/>
              <w:bottom w:w="0" w:type="dxa"/>
              <w:right w:w="108" w:type="dxa"/>
            </w:tcMar>
            <w:vAlign w:val="center"/>
            <w:hideMark/>
          </w:tcPr>
          <w:p w14:paraId="518AA72D" w14:textId="77777777" w:rsidR="00D513EB" w:rsidRPr="005E1202" w:rsidRDefault="00D513EB" w:rsidP="007D52B7">
            <w:pPr>
              <w:spacing w:after="0" w:line="240" w:lineRule="auto"/>
              <w:jc w:val="center"/>
              <w:rPr>
                <w:rFonts w:cs="Arial"/>
                <w:sz w:val="20"/>
              </w:rPr>
            </w:pPr>
            <w:r w:rsidRPr="005E1202">
              <w:rPr>
                <w:rFonts w:cs="Arial"/>
                <w:sz w:val="20"/>
              </w:rPr>
              <w:t>16 weeks</w:t>
            </w:r>
          </w:p>
        </w:tc>
      </w:tr>
      <w:tr w:rsidR="00D513EB" w:rsidRPr="005E1202" w14:paraId="00F21208" w14:textId="77777777" w:rsidTr="007D52B7">
        <w:trPr>
          <w:trHeight w:val="690"/>
        </w:trPr>
        <w:tc>
          <w:tcPr>
            <w:tcW w:w="4173" w:type="dxa"/>
            <w:tcBorders>
              <w:bottom w:val="single" w:sz="4" w:space="0" w:color="auto"/>
            </w:tcBorders>
            <w:tcMar>
              <w:top w:w="0" w:type="dxa"/>
              <w:left w:w="108" w:type="dxa"/>
              <w:bottom w:w="0" w:type="dxa"/>
              <w:right w:w="108" w:type="dxa"/>
            </w:tcMar>
            <w:vAlign w:val="center"/>
            <w:hideMark/>
          </w:tcPr>
          <w:p w14:paraId="564655F8" w14:textId="77777777" w:rsidR="00D513EB" w:rsidRPr="005E1202" w:rsidRDefault="00D513EB" w:rsidP="007D52B7">
            <w:pPr>
              <w:spacing w:after="0" w:line="240" w:lineRule="auto"/>
              <w:jc w:val="center"/>
              <w:rPr>
                <w:rFonts w:cs="Arial"/>
                <w:sz w:val="20"/>
              </w:rPr>
            </w:pPr>
            <w:r w:rsidRPr="005E1202">
              <w:rPr>
                <w:rFonts w:cs="Arial"/>
                <w:sz w:val="20"/>
              </w:rPr>
              <w:t>GT 3</w:t>
            </w:r>
            <w:r>
              <w:rPr>
                <w:rFonts w:cs="Arial"/>
                <w:sz w:val="20"/>
              </w:rPr>
              <w:t xml:space="preserve"> </w:t>
            </w:r>
            <w:r w:rsidRPr="005E1202">
              <w:rPr>
                <w:rFonts w:cs="Arial"/>
                <w:sz w:val="20"/>
              </w:rPr>
              <w:t>PRS-experienced*</w:t>
            </w:r>
          </w:p>
        </w:tc>
        <w:tc>
          <w:tcPr>
            <w:tcW w:w="5310" w:type="dxa"/>
            <w:gridSpan w:val="2"/>
            <w:vMerge/>
            <w:tcBorders>
              <w:bottom w:val="single" w:sz="4" w:space="0" w:color="auto"/>
            </w:tcBorders>
            <w:vAlign w:val="center"/>
            <w:hideMark/>
          </w:tcPr>
          <w:p w14:paraId="635CFA10" w14:textId="77777777" w:rsidR="00D513EB" w:rsidRPr="005E1202" w:rsidRDefault="00D513EB" w:rsidP="007D52B7">
            <w:pPr>
              <w:spacing w:after="0" w:line="240" w:lineRule="auto"/>
              <w:rPr>
                <w:rFonts w:cs="Arial"/>
                <w:sz w:val="20"/>
              </w:rPr>
            </w:pPr>
          </w:p>
        </w:tc>
      </w:tr>
      <w:tr w:rsidR="00D513EB" w:rsidRPr="005E1202" w14:paraId="0335239A" w14:textId="77777777" w:rsidTr="007D52B7">
        <w:trPr>
          <w:trHeight w:val="690"/>
        </w:trPr>
        <w:tc>
          <w:tcPr>
            <w:tcW w:w="9483" w:type="dxa"/>
            <w:gridSpan w:val="3"/>
            <w:tcBorders>
              <w:left w:val="nil"/>
              <w:bottom w:val="nil"/>
              <w:right w:val="nil"/>
            </w:tcBorders>
            <w:tcMar>
              <w:top w:w="0" w:type="dxa"/>
              <w:left w:w="108" w:type="dxa"/>
              <w:bottom w:w="0" w:type="dxa"/>
              <w:right w:w="108" w:type="dxa"/>
            </w:tcMar>
            <w:vAlign w:val="center"/>
          </w:tcPr>
          <w:p w14:paraId="61AA64B1" w14:textId="77777777" w:rsidR="00D513EB" w:rsidRPr="006F6131" w:rsidRDefault="00D513EB" w:rsidP="007D52B7">
            <w:pPr>
              <w:spacing w:after="0"/>
              <w:rPr>
                <w:rFonts w:cs="Arial"/>
                <w:sz w:val="20"/>
                <w:szCs w:val="20"/>
              </w:rPr>
            </w:pPr>
            <w:r w:rsidRPr="0016603F">
              <w:rPr>
                <w:rFonts w:cs="Arial"/>
                <w:sz w:val="20"/>
                <w:szCs w:val="20"/>
                <w:vertAlign w:val="superscript"/>
              </w:rPr>
              <w:t>*</w:t>
            </w:r>
            <w:r w:rsidRPr="006F6131">
              <w:rPr>
                <w:rFonts w:cs="Arial"/>
                <w:sz w:val="20"/>
                <w:szCs w:val="20"/>
              </w:rPr>
              <w:t xml:space="preserve"> PRS = Prior treatment with regimens containing peginterferon (P), ribavirin (R), and/or sofosbuvir (S), but no prior treatment experience with an HCV NS3/4A PI or NS5A inhibitor</w:t>
            </w:r>
          </w:p>
          <w:p w14:paraId="60E5C573" w14:textId="77777777" w:rsidR="00D513EB" w:rsidRPr="006F6131" w:rsidRDefault="00D513EB" w:rsidP="007D52B7">
            <w:pPr>
              <w:spacing w:after="0"/>
              <w:rPr>
                <w:rFonts w:cs="Arial"/>
                <w:sz w:val="20"/>
                <w:szCs w:val="20"/>
              </w:rPr>
            </w:pPr>
            <w:r w:rsidRPr="0016603F">
              <w:rPr>
                <w:rFonts w:cs="Arial"/>
                <w:sz w:val="20"/>
                <w:szCs w:val="20"/>
                <w:vertAlign w:val="superscript"/>
              </w:rPr>
              <w:t>1</w:t>
            </w:r>
            <w:r>
              <w:rPr>
                <w:rFonts w:cs="Arial"/>
                <w:sz w:val="20"/>
                <w:szCs w:val="20"/>
              </w:rPr>
              <w:t xml:space="preserve"> </w:t>
            </w:r>
            <w:r w:rsidRPr="006F6131">
              <w:rPr>
                <w:rFonts w:cs="Arial"/>
                <w:sz w:val="20"/>
                <w:szCs w:val="20"/>
              </w:rPr>
              <w:t>Experienced with regimens containing SMV + SO</w:t>
            </w:r>
            <w:r>
              <w:rPr>
                <w:rFonts w:cs="Arial"/>
                <w:sz w:val="20"/>
                <w:szCs w:val="20"/>
              </w:rPr>
              <w:t xml:space="preserve">F or SMV + PR or BOC + PR or </w:t>
            </w:r>
            <w:proofErr w:type="gramStart"/>
            <w:r>
              <w:rPr>
                <w:rFonts w:cs="Arial"/>
                <w:sz w:val="20"/>
                <w:szCs w:val="20"/>
              </w:rPr>
              <w:t>TV</w:t>
            </w:r>
            <w:r w:rsidRPr="006F6131">
              <w:rPr>
                <w:rFonts w:cs="Arial"/>
                <w:sz w:val="20"/>
                <w:szCs w:val="20"/>
              </w:rPr>
              <w:t>R  +</w:t>
            </w:r>
            <w:proofErr w:type="gramEnd"/>
            <w:r w:rsidRPr="006F6131">
              <w:rPr>
                <w:rFonts w:cs="Arial"/>
                <w:sz w:val="20"/>
                <w:szCs w:val="20"/>
              </w:rPr>
              <w:t xml:space="preserve"> PR</w:t>
            </w:r>
          </w:p>
          <w:p w14:paraId="69D4A856" w14:textId="77777777" w:rsidR="00D513EB" w:rsidRPr="006F6131" w:rsidRDefault="00D513EB" w:rsidP="007D52B7">
            <w:pPr>
              <w:spacing w:after="0"/>
              <w:rPr>
                <w:rFonts w:cs="Arial"/>
                <w:sz w:val="20"/>
                <w:szCs w:val="20"/>
              </w:rPr>
            </w:pPr>
            <w:r w:rsidRPr="0016603F">
              <w:rPr>
                <w:rFonts w:cs="Arial"/>
                <w:sz w:val="20"/>
                <w:szCs w:val="20"/>
                <w:vertAlign w:val="superscript"/>
              </w:rPr>
              <w:t>2</w:t>
            </w:r>
            <w:r w:rsidRPr="006F6131">
              <w:rPr>
                <w:rFonts w:cs="Arial"/>
                <w:sz w:val="20"/>
                <w:szCs w:val="20"/>
              </w:rPr>
              <w:t xml:space="preserve"> Experienced with regimens containing DCV + SOF or DCV + PR or LDV + SOF</w:t>
            </w:r>
            <w:r>
              <w:rPr>
                <w:rFonts w:cs="Arial"/>
                <w:sz w:val="20"/>
                <w:szCs w:val="20"/>
              </w:rPr>
              <w:t xml:space="preserve"> or SOF + VEL</w:t>
            </w:r>
          </w:p>
          <w:p w14:paraId="1E4AEA19" w14:textId="77777777" w:rsidR="00D513EB" w:rsidRDefault="00D513EB" w:rsidP="007D52B7">
            <w:pPr>
              <w:spacing w:after="0"/>
              <w:rPr>
                <w:rFonts w:cs="Arial"/>
                <w:sz w:val="20"/>
                <w:szCs w:val="20"/>
              </w:rPr>
            </w:pPr>
            <w:r w:rsidRPr="0016603F">
              <w:rPr>
                <w:rFonts w:cs="Arial"/>
                <w:sz w:val="20"/>
                <w:szCs w:val="20"/>
                <w:vertAlign w:val="superscript"/>
              </w:rPr>
              <w:t>#</w:t>
            </w:r>
            <w:r w:rsidRPr="006F6131">
              <w:rPr>
                <w:rFonts w:cs="Arial"/>
                <w:sz w:val="20"/>
                <w:szCs w:val="20"/>
              </w:rPr>
              <w:t xml:space="preserve">  But not both NS3/4A PI and NS5A experienced </w:t>
            </w:r>
            <w:proofErr w:type="gramStart"/>
            <w:r w:rsidRPr="006F6131">
              <w:rPr>
                <w:rFonts w:cs="Arial"/>
                <w:sz w:val="20"/>
                <w:szCs w:val="20"/>
              </w:rPr>
              <w:t>e.g.</w:t>
            </w:r>
            <w:proofErr w:type="gramEnd"/>
            <w:r w:rsidRPr="006F6131">
              <w:rPr>
                <w:rFonts w:cs="Arial"/>
                <w:sz w:val="20"/>
                <w:szCs w:val="20"/>
              </w:rPr>
              <w:t xml:space="preserve"> EBR + GZR ± RBV or PTV/r + OBV + DSV ± RBV</w:t>
            </w:r>
          </w:p>
          <w:p w14:paraId="3B03886A" w14:textId="77777777" w:rsidR="00D513EB" w:rsidRPr="006F6131" w:rsidRDefault="00D513EB" w:rsidP="007D52B7">
            <w:pPr>
              <w:spacing w:after="0"/>
              <w:rPr>
                <w:rFonts w:cs="Arial"/>
                <w:sz w:val="20"/>
                <w:szCs w:val="20"/>
              </w:rPr>
            </w:pPr>
          </w:p>
          <w:p w14:paraId="1195215A" w14:textId="77777777" w:rsidR="00D513EB" w:rsidRDefault="00D513EB" w:rsidP="007D52B7">
            <w:pPr>
              <w:spacing w:after="0"/>
              <w:jc w:val="both"/>
              <w:rPr>
                <w:rFonts w:cs="Arial"/>
                <w:sz w:val="20"/>
                <w:szCs w:val="20"/>
              </w:rPr>
            </w:pPr>
            <w:r w:rsidRPr="006F6131">
              <w:rPr>
                <w:rFonts w:cs="Arial"/>
                <w:sz w:val="20"/>
                <w:szCs w:val="20"/>
              </w:rPr>
              <w:t>BOC = boceprevir; DCV = daclatasvir; DSV = dasabuvir; EBR = elb</w:t>
            </w:r>
            <w:r>
              <w:rPr>
                <w:rFonts w:cs="Arial"/>
                <w:sz w:val="20"/>
                <w:szCs w:val="20"/>
              </w:rPr>
              <w:t>a</w:t>
            </w:r>
            <w:r w:rsidRPr="006F6131">
              <w:rPr>
                <w:rFonts w:cs="Arial"/>
                <w:sz w:val="20"/>
                <w:szCs w:val="20"/>
              </w:rPr>
              <w:t>sv</w:t>
            </w:r>
            <w:r>
              <w:rPr>
                <w:rFonts w:cs="Arial"/>
                <w:sz w:val="20"/>
                <w:szCs w:val="20"/>
              </w:rPr>
              <w:t xml:space="preserve">ir; </w:t>
            </w:r>
            <w:r w:rsidRPr="006F6131">
              <w:rPr>
                <w:rFonts w:cs="Arial"/>
                <w:sz w:val="20"/>
                <w:szCs w:val="20"/>
              </w:rPr>
              <w:t xml:space="preserve">GT = </w:t>
            </w:r>
            <w:proofErr w:type="gramStart"/>
            <w:r w:rsidRPr="006F6131">
              <w:rPr>
                <w:rFonts w:cs="Arial"/>
                <w:sz w:val="20"/>
                <w:szCs w:val="20"/>
              </w:rPr>
              <w:t>genotype;</w:t>
            </w:r>
            <w:proofErr w:type="gramEnd"/>
            <w:r w:rsidRPr="006F6131">
              <w:rPr>
                <w:rFonts w:cs="Arial"/>
                <w:sz w:val="20"/>
                <w:szCs w:val="20"/>
              </w:rPr>
              <w:t xml:space="preserve"> </w:t>
            </w:r>
          </w:p>
          <w:p w14:paraId="212D412E" w14:textId="77777777" w:rsidR="00D513EB" w:rsidRDefault="00D513EB" w:rsidP="007D52B7">
            <w:pPr>
              <w:spacing w:after="0"/>
              <w:jc w:val="both"/>
              <w:rPr>
                <w:rFonts w:cs="Arial"/>
                <w:sz w:val="20"/>
                <w:szCs w:val="20"/>
              </w:rPr>
            </w:pPr>
            <w:r w:rsidRPr="006F6131">
              <w:rPr>
                <w:rFonts w:cs="Arial"/>
                <w:sz w:val="20"/>
                <w:szCs w:val="20"/>
              </w:rPr>
              <w:t xml:space="preserve">GZR = grazoprevir; LDV = ledipasvir; OBV = </w:t>
            </w:r>
            <w:proofErr w:type="spellStart"/>
            <w:proofErr w:type="gramStart"/>
            <w:r w:rsidRPr="006F6131">
              <w:rPr>
                <w:rFonts w:cs="Arial"/>
                <w:sz w:val="20"/>
                <w:szCs w:val="20"/>
              </w:rPr>
              <w:t>ombitasvir</w:t>
            </w:r>
            <w:proofErr w:type="spellEnd"/>
            <w:r w:rsidRPr="006F6131">
              <w:rPr>
                <w:rFonts w:cs="Arial"/>
                <w:sz w:val="20"/>
                <w:szCs w:val="20"/>
              </w:rPr>
              <w:t xml:space="preserve">; </w:t>
            </w:r>
            <w:r>
              <w:rPr>
                <w:rFonts w:cs="Arial"/>
                <w:sz w:val="20"/>
                <w:szCs w:val="20"/>
              </w:rPr>
              <w:t xml:space="preserve"> </w:t>
            </w:r>
            <w:r w:rsidRPr="006F6131">
              <w:rPr>
                <w:rFonts w:cs="Arial"/>
                <w:sz w:val="20"/>
                <w:szCs w:val="20"/>
              </w:rPr>
              <w:t>PI</w:t>
            </w:r>
            <w:proofErr w:type="gramEnd"/>
            <w:r w:rsidRPr="006F6131">
              <w:rPr>
                <w:rFonts w:cs="Arial"/>
                <w:sz w:val="20"/>
                <w:szCs w:val="20"/>
              </w:rPr>
              <w:t xml:space="preserve"> = protease inhibitor; </w:t>
            </w:r>
          </w:p>
          <w:p w14:paraId="602A4020" w14:textId="77777777" w:rsidR="00D513EB" w:rsidRDefault="00D513EB" w:rsidP="007D52B7">
            <w:pPr>
              <w:spacing w:after="0"/>
              <w:jc w:val="both"/>
              <w:rPr>
                <w:rFonts w:cs="Arial"/>
                <w:sz w:val="20"/>
                <w:szCs w:val="20"/>
              </w:rPr>
            </w:pPr>
            <w:r w:rsidRPr="006F6131">
              <w:rPr>
                <w:rFonts w:cs="Arial"/>
                <w:sz w:val="20"/>
                <w:szCs w:val="20"/>
              </w:rPr>
              <w:t xml:space="preserve">PR = peginterferon/ribavirin; PTV/r = </w:t>
            </w:r>
            <w:proofErr w:type="spellStart"/>
            <w:r w:rsidRPr="006F6131">
              <w:rPr>
                <w:rFonts w:cs="Arial"/>
                <w:sz w:val="20"/>
                <w:szCs w:val="20"/>
              </w:rPr>
              <w:t>paritaprevir</w:t>
            </w:r>
            <w:proofErr w:type="spellEnd"/>
            <w:r w:rsidRPr="006F6131">
              <w:rPr>
                <w:rFonts w:cs="Arial"/>
                <w:sz w:val="20"/>
                <w:szCs w:val="20"/>
              </w:rPr>
              <w:t>/ritonavir;</w:t>
            </w:r>
            <w:r>
              <w:rPr>
                <w:rFonts w:cs="Arial"/>
                <w:sz w:val="20"/>
                <w:szCs w:val="20"/>
              </w:rPr>
              <w:t xml:space="preserve"> </w:t>
            </w:r>
            <w:r w:rsidRPr="006F6131">
              <w:rPr>
                <w:rFonts w:cs="Arial"/>
                <w:sz w:val="20"/>
                <w:szCs w:val="20"/>
              </w:rPr>
              <w:t>RBV = ribavirin</w:t>
            </w:r>
            <w:r>
              <w:rPr>
                <w:rFonts w:cs="Arial"/>
                <w:sz w:val="20"/>
                <w:szCs w:val="20"/>
              </w:rPr>
              <w:t xml:space="preserve">; </w:t>
            </w:r>
            <w:r w:rsidRPr="006F6131">
              <w:rPr>
                <w:rFonts w:cs="Arial"/>
                <w:sz w:val="20"/>
                <w:szCs w:val="20"/>
              </w:rPr>
              <w:t xml:space="preserve">SMV = </w:t>
            </w:r>
            <w:proofErr w:type="spellStart"/>
            <w:proofErr w:type="gramStart"/>
            <w:r w:rsidRPr="006F6131">
              <w:rPr>
                <w:rFonts w:cs="Arial"/>
                <w:sz w:val="20"/>
                <w:szCs w:val="20"/>
              </w:rPr>
              <w:t>simeprevir</w:t>
            </w:r>
            <w:proofErr w:type="spellEnd"/>
            <w:r w:rsidRPr="006F6131">
              <w:rPr>
                <w:rFonts w:cs="Arial"/>
                <w:sz w:val="20"/>
                <w:szCs w:val="20"/>
              </w:rPr>
              <w:t>;</w:t>
            </w:r>
            <w:proofErr w:type="gramEnd"/>
            <w:r w:rsidRPr="006F6131">
              <w:rPr>
                <w:rFonts w:cs="Arial"/>
                <w:sz w:val="20"/>
                <w:szCs w:val="20"/>
              </w:rPr>
              <w:t xml:space="preserve"> </w:t>
            </w:r>
            <w:r>
              <w:rPr>
                <w:rFonts w:cs="Arial"/>
                <w:sz w:val="20"/>
                <w:szCs w:val="20"/>
              </w:rPr>
              <w:t xml:space="preserve">       </w:t>
            </w:r>
          </w:p>
          <w:p w14:paraId="4FEAF13A" w14:textId="77777777" w:rsidR="00D513EB" w:rsidRPr="003E527E" w:rsidRDefault="00D513EB" w:rsidP="007D52B7">
            <w:pPr>
              <w:spacing w:after="0"/>
              <w:jc w:val="both"/>
              <w:rPr>
                <w:rFonts w:cs="Arial"/>
                <w:sz w:val="20"/>
                <w:szCs w:val="20"/>
              </w:rPr>
            </w:pPr>
            <w:r w:rsidRPr="006F6131">
              <w:rPr>
                <w:rFonts w:cs="Arial"/>
                <w:sz w:val="20"/>
                <w:szCs w:val="20"/>
              </w:rPr>
              <w:t>SOF = sofosbuvir; T</w:t>
            </w:r>
            <w:r>
              <w:rPr>
                <w:rFonts w:cs="Arial"/>
                <w:sz w:val="20"/>
                <w:szCs w:val="20"/>
              </w:rPr>
              <w:t>VR</w:t>
            </w:r>
            <w:r w:rsidRPr="006F6131">
              <w:rPr>
                <w:rFonts w:cs="Arial"/>
                <w:sz w:val="20"/>
                <w:szCs w:val="20"/>
              </w:rPr>
              <w:t xml:space="preserve"> = telaprevir</w:t>
            </w:r>
            <w:r>
              <w:rPr>
                <w:rFonts w:cs="Arial"/>
                <w:sz w:val="20"/>
                <w:szCs w:val="20"/>
              </w:rPr>
              <w:t xml:space="preserve">; VEL = </w:t>
            </w:r>
            <w:proofErr w:type="spellStart"/>
            <w:r>
              <w:rPr>
                <w:rFonts w:cs="Arial"/>
                <w:sz w:val="20"/>
                <w:szCs w:val="20"/>
              </w:rPr>
              <w:t>velpatasvir</w:t>
            </w:r>
            <w:proofErr w:type="spellEnd"/>
          </w:p>
        </w:tc>
      </w:tr>
    </w:tbl>
    <w:p w14:paraId="0470B1CA" w14:textId="77777777" w:rsidR="00D513EB" w:rsidRDefault="00D513EB" w:rsidP="00FC6D9B">
      <w:pPr>
        <w:jc w:val="both"/>
        <w:rPr>
          <w:rFonts w:cs="Arial"/>
        </w:rPr>
      </w:pPr>
    </w:p>
    <w:p w14:paraId="6C65EE72" w14:textId="42B14F43" w:rsidR="000B18D7" w:rsidRDefault="000B18D7" w:rsidP="003E527E">
      <w:pPr>
        <w:pStyle w:val="Heading3"/>
      </w:pPr>
      <w:r w:rsidRPr="00A44ED5">
        <w:lastRenderedPageBreak/>
        <w:t xml:space="preserve">Recommended dosage </w:t>
      </w:r>
      <w:r w:rsidR="00D513EB">
        <w:t xml:space="preserve">of MAVIRET tablets </w:t>
      </w:r>
      <w:r w:rsidRPr="00A44ED5">
        <w:t>in adults and adolescents 12 years and older</w:t>
      </w:r>
      <w:r w:rsidR="00D513EB">
        <w:t xml:space="preserve"> or weighing at least 45 kg</w:t>
      </w:r>
    </w:p>
    <w:p w14:paraId="150A62D4" w14:textId="77777777" w:rsidR="00D513EB" w:rsidRPr="005E1202" w:rsidRDefault="00D513EB" w:rsidP="00D513EB">
      <w:pPr>
        <w:jc w:val="both"/>
        <w:rPr>
          <w:rFonts w:cs="Arial"/>
        </w:rPr>
      </w:pPr>
      <w:r w:rsidRPr="005E1202">
        <w:rPr>
          <w:rFonts w:cs="Arial"/>
        </w:rPr>
        <w:t>MAVIRET is a fixed-dose combination product containing glecaprevir 100 mg and pibrentasvir 40 mg in each tablet.</w:t>
      </w:r>
    </w:p>
    <w:p w14:paraId="5A38F681" w14:textId="61175989" w:rsidR="009C7847" w:rsidRDefault="009C7847" w:rsidP="00FC6D9B">
      <w:pPr>
        <w:jc w:val="both"/>
        <w:rPr>
          <w:rFonts w:cs="Arial"/>
        </w:rPr>
      </w:pPr>
      <w:r w:rsidRPr="005E1202">
        <w:rPr>
          <w:rFonts w:cs="Arial"/>
        </w:rPr>
        <w:t>The recommended oral dosage of MAVIRET is three tablets (total daily dose: glecaprevir 300 mg and pibrentasvir 120 mg) once dail</w:t>
      </w:r>
      <w:r w:rsidRPr="003E527E">
        <w:rPr>
          <w:rFonts w:cs="Arial"/>
        </w:rPr>
        <w:t xml:space="preserve">y </w:t>
      </w:r>
      <w:r w:rsidR="000B18D7" w:rsidRPr="003E527E">
        <w:rPr>
          <w:rFonts w:cs="Arial"/>
        </w:rPr>
        <w:t xml:space="preserve">at the same time </w:t>
      </w:r>
      <w:r w:rsidRPr="003E527E">
        <w:rPr>
          <w:rFonts w:cs="Arial"/>
        </w:rPr>
        <w:t>w</w:t>
      </w:r>
      <w:r w:rsidRPr="005E1202">
        <w:rPr>
          <w:rFonts w:cs="Arial"/>
        </w:rPr>
        <w:t xml:space="preserve">ith food (see </w:t>
      </w:r>
      <w:r w:rsidR="008D55BB">
        <w:rPr>
          <w:rFonts w:cs="Arial"/>
        </w:rPr>
        <w:t xml:space="preserve">5.1 </w:t>
      </w:r>
      <w:r w:rsidR="008D55BB">
        <w:rPr>
          <w:rStyle w:val="gtclinktext1"/>
          <w:rFonts w:cs="Arial"/>
        </w:rPr>
        <w:t>PHARMACODYNAMIC PROPERTIES</w:t>
      </w:r>
      <w:r w:rsidRPr="005E1202">
        <w:rPr>
          <w:rFonts w:cs="Arial"/>
        </w:rPr>
        <w:t xml:space="preserve">). </w:t>
      </w:r>
      <w:r w:rsidR="00560950">
        <w:rPr>
          <w:rFonts w:cs="Arial"/>
        </w:rPr>
        <w:t xml:space="preserve"> </w:t>
      </w:r>
      <w:r w:rsidRPr="005E1202">
        <w:rPr>
          <w:rFonts w:cs="Arial"/>
        </w:rPr>
        <w:t>MAVIRET tablets should be swallowed whole and not chewed, crushed, or broken.</w:t>
      </w:r>
    </w:p>
    <w:p w14:paraId="35501EF2" w14:textId="3E55D557" w:rsidR="006F6131" w:rsidRPr="00A4182C" w:rsidRDefault="00D513EB" w:rsidP="00A4182C">
      <w:pPr>
        <w:jc w:val="both"/>
        <w:rPr>
          <w:rFonts w:cs="Arial"/>
        </w:rPr>
      </w:pPr>
      <w:r>
        <w:rPr>
          <w:rFonts w:cs="Arial"/>
        </w:rPr>
        <w:t>The treatment durations for adults and adolescents are noted in Tables 1 and 2.</w:t>
      </w:r>
      <w:bookmarkStart w:id="0" w:name="p871710291393270971"/>
      <w:bookmarkStart w:id="1" w:name="p399426291415738037"/>
      <w:bookmarkStart w:id="2" w:name="p397125291415738073"/>
      <w:bookmarkStart w:id="3" w:name="p2883291393271102"/>
      <w:bookmarkEnd w:id="0"/>
      <w:bookmarkEnd w:id="1"/>
      <w:bookmarkEnd w:id="2"/>
      <w:bookmarkEnd w:id="3"/>
    </w:p>
    <w:p w14:paraId="09E74156" w14:textId="77777777" w:rsidR="00D513EB" w:rsidRDefault="00D513EB" w:rsidP="00D513EB">
      <w:pPr>
        <w:pStyle w:val="Heading3"/>
      </w:pPr>
      <w:r>
        <w:t>Recommended dosage of MAVIRET granules in sachets in paediatric patients 3 years to less than 12 years (weighing 12 kg to less than 45 kg)</w:t>
      </w:r>
    </w:p>
    <w:p w14:paraId="6F440FC0" w14:textId="77777777" w:rsidR="005A41CD" w:rsidRDefault="00D513EB" w:rsidP="00D513EB">
      <w:pPr>
        <w:jc w:val="both"/>
      </w:pPr>
      <w:r>
        <w:t xml:space="preserve">MAVIRET granules in sachets are a fixed-dose combination product containing glecaprevir 50 mg and pibrentasvir 20 mg in each sachet. </w:t>
      </w:r>
      <w:r w:rsidRPr="000C68C1">
        <w:t>The number of sachets and dosage</w:t>
      </w:r>
      <w:r>
        <w:t xml:space="preserve"> </w:t>
      </w:r>
      <w:r w:rsidRPr="000C68C1">
        <w:t>based on body weight for p</w:t>
      </w:r>
      <w:r>
        <w:t>a</w:t>
      </w:r>
      <w:r w:rsidRPr="000C68C1">
        <w:t xml:space="preserve">ediatric patients 3 years </w:t>
      </w:r>
      <w:r>
        <w:t>to less than 12 years old</w:t>
      </w:r>
      <w:r w:rsidRPr="000C68C1">
        <w:t xml:space="preserve"> and weighing 12 kg to less than 45 kg are shown in Table 3. The treatment durations for p</w:t>
      </w:r>
      <w:r>
        <w:t>a</w:t>
      </w:r>
      <w:r w:rsidRPr="000C68C1">
        <w:t xml:space="preserve">ediatric patients 3 years </w:t>
      </w:r>
      <w:r>
        <w:t>to less than 12 years old</w:t>
      </w:r>
      <w:r w:rsidRPr="000C68C1">
        <w:t xml:space="preserve"> and weighing 12 kg to less than 45 kg are the same as those for adults and adolescents as noted in Tables 1 and 2 above.  </w:t>
      </w:r>
    </w:p>
    <w:p w14:paraId="07C23153" w14:textId="0E1CCD82" w:rsidR="00D513EB" w:rsidRPr="004049BE" w:rsidRDefault="005A41CD" w:rsidP="00D513EB">
      <w:pPr>
        <w:jc w:val="both"/>
      </w:pPr>
      <w:r>
        <w:t xml:space="preserve">Since </w:t>
      </w:r>
      <w:r w:rsidR="00D513EB" w:rsidRPr="000C68C1">
        <w:t xml:space="preserve">the formulations have different pharmacokinetic profiles, the tablets and the granules are </w:t>
      </w:r>
      <w:r w:rsidR="00D513EB" w:rsidRPr="005A41CD">
        <w:rPr>
          <w:b/>
          <w:bCs/>
        </w:rPr>
        <w:t>not interchangeable</w:t>
      </w:r>
      <w:r w:rsidR="00D513EB" w:rsidRPr="000C68C1">
        <w:t>.</w:t>
      </w:r>
      <w:r w:rsidR="000A183F">
        <w:t xml:space="preserve"> </w:t>
      </w:r>
      <w:r w:rsidR="000A183F" w:rsidRPr="000A183F">
        <w:t>A full course of treatment with the same formulation is therefore required</w:t>
      </w:r>
      <w:r w:rsidR="000A183F">
        <w:t xml:space="preserve">. </w:t>
      </w:r>
    </w:p>
    <w:p w14:paraId="3FEAEFA8" w14:textId="458B94AF" w:rsidR="00D513EB" w:rsidRDefault="00D513EB" w:rsidP="00D513EB">
      <w:pPr>
        <w:rPr>
          <w:b/>
          <w:bCs/>
        </w:rPr>
      </w:pPr>
      <w:r w:rsidRPr="000C68C1">
        <w:rPr>
          <w:b/>
          <w:bCs/>
        </w:rPr>
        <w:t>Table 3</w:t>
      </w:r>
      <w:r>
        <w:rPr>
          <w:b/>
          <w:bCs/>
        </w:rPr>
        <w:t>.</w:t>
      </w:r>
      <w:r w:rsidRPr="000C68C1">
        <w:rPr>
          <w:b/>
          <w:bCs/>
        </w:rPr>
        <w:t xml:space="preserve"> Recommended Dosage </w:t>
      </w:r>
      <w:r>
        <w:rPr>
          <w:b/>
          <w:bCs/>
        </w:rPr>
        <w:t>for</w:t>
      </w:r>
      <w:r w:rsidRPr="000C68C1">
        <w:rPr>
          <w:b/>
          <w:bCs/>
        </w:rPr>
        <w:t xml:space="preserve"> P</w:t>
      </w:r>
      <w:r>
        <w:rPr>
          <w:b/>
          <w:bCs/>
        </w:rPr>
        <w:t>a</w:t>
      </w:r>
      <w:r w:rsidRPr="000C68C1">
        <w:rPr>
          <w:b/>
          <w:bCs/>
        </w:rPr>
        <w:t>ediatric Patients 3 Years and Older</w:t>
      </w:r>
      <w:r w:rsidR="0006374C">
        <w:rPr>
          <w:b/>
          <w:bCs/>
        </w:rPr>
        <w:t xml:space="preserve"> Weighing Less Than 45 kg</w:t>
      </w:r>
      <w:r w:rsidRPr="000C68C1">
        <w:rPr>
          <w:b/>
          <w:bCs/>
        </w:rPr>
        <w:t xml:space="preserve"> </w:t>
      </w:r>
    </w:p>
    <w:tbl>
      <w:tblPr>
        <w:tblW w:w="6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3784"/>
      </w:tblGrid>
      <w:tr w:rsidR="00D513EB" w:rsidRPr="000C68C1" w14:paraId="5794A41C" w14:textId="77777777" w:rsidTr="007D52B7">
        <w:trPr>
          <w:jc w:val="center"/>
        </w:trPr>
        <w:tc>
          <w:tcPr>
            <w:tcW w:w="2340" w:type="dxa"/>
            <w:shd w:val="clear" w:color="auto" w:fill="auto"/>
          </w:tcPr>
          <w:p w14:paraId="32F8C3D8" w14:textId="77777777" w:rsidR="00D513EB" w:rsidRPr="000C68C1" w:rsidRDefault="00D513EB" w:rsidP="007D52B7">
            <w:pPr>
              <w:rPr>
                <w:b/>
                <w:bCs/>
                <w:lang w:val="en-GB"/>
              </w:rPr>
            </w:pPr>
            <w:r w:rsidRPr="000C68C1">
              <w:rPr>
                <w:b/>
                <w:bCs/>
                <w:lang w:val="en-GB"/>
              </w:rPr>
              <w:t>Weight of child (kg)</w:t>
            </w:r>
          </w:p>
        </w:tc>
        <w:tc>
          <w:tcPr>
            <w:tcW w:w="3784" w:type="dxa"/>
            <w:shd w:val="clear" w:color="auto" w:fill="auto"/>
          </w:tcPr>
          <w:p w14:paraId="0C7DF7B5" w14:textId="77777777" w:rsidR="00D513EB" w:rsidRPr="000C68C1" w:rsidRDefault="00D513EB" w:rsidP="007D52B7">
            <w:pPr>
              <w:rPr>
                <w:b/>
                <w:bCs/>
                <w:lang w:val="en-GB"/>
              </w:rPr>
            </w:pPr>
            <w:r w:rsidRPr="000C68C1">
              <w:rPr>
                <w:b/>
                <w:bCs/>
                <w:lang w:val="en-GB"/>
              </w:rPr>
              <w:t>Number of sachets once daily</w:t>
            </w:r>
          </w:p>
        </w:tc>
      </w:tr>
      <w:tr w:rsidR="00D513EB" w:rsidRPr="000C68C1" w14:paraId="5CDE9609" w14:textId="77777777" w:rsidTr="007D52B7">
        <w:trPr>
          <w:jc w:val="center"/>
        </w:trPr>
        <w:tc>
          <w:tcPr>
            <w:tcW w:w="2340" w:type="dxa"/>
            <w:shd w:val="clear" w:color="auto" w:fill="auto"/>
          </w:tcPr>
          <w:p w14:paraId="7C689957" w14:textId="77777777" w:rsidR="00D513EB" w:rsidRPr="000C68C1" w:rsidRDefault="00D513EB" w:rsidP="007D52B7">
            <w:pPr>
              <w:rPr>
                <w:lang w:val="en-GB"/>
              </w:rPr>
            </w:pPr>
            <w:r w:rsidRPr="000C68C1">
              <w:rPr>
                <w:lang w:val="en-US"/>
              </w:rPr>
              <w:t>≥</w:t>
            </w:r>
            <w:r>
              <w:rPr>
                <w:lang w:val="en-US"/>
              </w:rPr>
              <w:t xml:space="preserve"> </w:t>
            </w:r>
            <w:r w:rsidRPr="000C68C1">
              <w:rPr>
                <w:lang w:val="en-GB"/>
              </w:rPr>
              <w:t>12 to &lt; 20 kg</w:t>
            </w:r>
          </w:p>
        </w:tc>
        <w:tc>
          <w:tcPr>
            <w:tcW w:w="3784" w:type="dxa"/>
            <w:shd w:val="clear" w:color="auto" w:fill="auto"/>
          </w:tcPr>
          <w:p w14:paraId="53CF9045" w14:textId="77777777" w:rsidR="00D513EB" w:rsidRPr="000C68C1" w:rsidRDefault="00D513EB" w:rsidP="007D52B7">
            <w:pPr>
              <w:rPr>
                <w:lang w:val="en-GB"/>
              </w:rPr>
            </w:pPr>
            <w:r w:rsidRPr="000C68C1">
              <w:rPr>
                <w:lang w:val="en-GB"/>
              </w:rPr>
              <w:t>3 sachets (150 mg/60 mg)</w:t>
            </w:r>
          </w:p>
        </w:tc>
      </w:tr>
      <w:tr w:rsidR="00D513EB" w:rsidRPr="000C68C1" w14:paraId="3C835950" w14:textId="77777777" w:rsidTr="007D52B7">
        <w:trPr>
          <w:jc w:val="center"/>
        </w:trPr>
        <w:tc>
          <w:tcPr>
            <w:tcW w:w="2340" w:type="dxa"/>
            <w:shd w:val="clear" w:color="auto" w:fill="auto"/>
          </w:tcPr>
          <w:p w14:paraId="622EB17B" w14:textId="77777777" w:rsidR="00D513EB" w:rsidRPr="000C68C1" w:rsidRDefault="00D513EB" w:rsidP="007D52B7">
            <w:pPr>
              <w:rPr>
                <w:lang w:val="en-GB"/>
              </w:rPr>
            </w:pPr>
            <w:r w:rsidRPr="000C68C1">
              <w:rPr>
                <w:lang w:val="en-US"/>
              </w:rPr>
              <w:t>≥</w:t>
            </w:r>
            <w:r>
              <w:rPr>
                <w:lang w:val="en-US"/>
              </w:rPr>
              <w:t xml:space="preserve"> </w:t>
            </w:r>
            <w:r w:rsidRPr="000C68C1">
              <w:rPr>
                <w:lang w:val="en-GB"/>
              </w:rPr>
              <w:t>20 to &lt;30 kg</w:t>
            </w:r>
          </w:p>
        </w:tc>
        <w:tc>
          <w:tcPr>
            <w:tcW w:w="3784" w:type="dxa"/>
            <w:shd w:val="clear" w:color="auto" w:fill="auto"/>
          </w:tcPr>
          <w:p w14:paraId="345BB033" w14:textId="77777777" w:rsidR="00D513EB" w:rsidRPr="000C68C1" w:rsidRDefault="00D513EB" w:rsidP="007D52B7">
            <w:pPr>
              <w:rPr>
                <w:lang w:val="en-GB"/>
              </w:rPr>
            </w:pPr>
            <w:r w:rsidRPr="000C68C1">
              <w:rPr>
                <w:lang w:val="en-GB"/>
              </w:rPr>
              <w:t>4 sachets (200 mg/80 mg)</w:t>
            </w:r>
          </w:p>
        </w:tc>
      </w:tr>
      <w:tr w:rsidR="00D513EB" w:rsidRPr="000C68C1" w14:paraId="73ADCA75" w14:textId="77777777" w:rsidTr="007D52B7">
        <w:trPr>
          <w:jc w:val="center"/>
        </w:trPr>
        <w:tc>
          <w:tcPr>
            <w:tcW w:w="2340" w:type="dxa"/>
            <w:shd w:val="clear" w:color="auto" w:fill="auto"/>
          </w:tcPr>
          <w:p w14:paraId="1606222A" w14:textId="77777777" w:rsidR="00D513EB" w:rsidRPr="000C68C1" w:rsidRDefault="00D513EB" w:rsidP="007D52B7">
            <w:pPr>
              <w:rPr>
                <w:lang w:val="en-GB"/>
              </w:rPr>
            </w:pPr>
            <w:r w:rsidRPr="000C68C1">
              <w:rPr>
                <w:lang w:val="en-US"/>
              </w:rPr>
              <w:t>≥</w:t>
            </w:r>
            <w:r>
              <w:rPr>
                <w:lang w:val="en-US"/>
              </w:rPr>
              <w:t xml:space="preserve"> </w:t>
            </w:r>
            <w:r w:rsidRPr="000C68C1">
              <w:rPr>
                <w:lang w:val="en-GB"/>
              </w:rPr>
              <w:t>30 to &lt; 45 kg</w:t>
            </w:r>
          </w:p>
        </w:tc>
        <w:tc>
          <w:tcPr>
            <w:tcW w:w="3784" w:type="dxa"/>
            <w:shd w:val="clear" w:color="auto" w:fill="auto"/>
          </w:tcPr>
          <w:p w14:paraId="04595F68" w14:textId="77777777" w:rsidR="00D513EB" w:rsidRPr="000C68C1" w:rsidRDefault="00D513EB" w:rsidP="007D52B7">
            <w:pPr>
              <w:rPr>
                <w:lang w:val="en-GB"/>
              </w:rPr>
            </w:pPr>
            <w:r w:rsidRPr="000C68C1">
              <w:rPr>
                <w:lang w:val="en-GB"/>
              </w:rPr>
              <w:t>5 sachets (250 mg/100 mg)</w:t>
            </w:r>
          </w:p>
        </w:tc>
      </w:tr>
    </w:tbl>
    <w:p w14:paraId="6D3CD4C0" w14:textId="77777777" w:rsidR="00D513EB" w:rsidRDefault="00D513EB" w:rsidP="00D513EB">
      <w:pPr>
        <w:rPr>
          <w:color w:val="000000"/>
        </w:rPr>
      </w:pPr>
    </w:p>
    <w:p w14:paraId="51BAB978" w14:textId="77777777" w:rsidR="00D513EB" w:rsidRDefault="00D513EB" w:rsidP="00D513EB">
      <w:pPr>
        <w:rPr>
          <w:color w:val="000000"/>
        </w:rPr>
      </w:pPr>
      <w:r w:rsidRPr="008B29C4">
        <w:rPr>
          <w:color w:val="000000"/>
        </w:rPr>
        <w:t xml:space="preserve">The </w:t>
      </w:r>
      <w:r w:rsidRPr="005F1D88">
        <w:rPr>
          <w:color w:val="000000"/>
        </w:rPr>
        <w:t>adult and adolescent</w:t>
      </w:r>
      <w:r w:rsidRPr="008B29C4">
        <w:rPr>
          <w:color w:val="000000"/>
        </w:rPr>
        <w:t xml:space="preserve"> dose of </w:t>
      </w:r>
      <w:r>
        <w:t>MAVIRET</w:t>
      </w:r>
      <w:r w:rsidRPr="00051B1A">
        <w:t xml:space="preserve"> </w:t>
      </w:r>
      <w:r w:rsidRPr="008B29C4">
        <w:rPr>
          <w:color w:val="000000"/>
        </w:rPr>
        <w:t>tablets should</w:t>
      </w:r>
      <w:r w:rsidRPr="006B7DAA">
        <w:t xml:space="preserve"> </w:t>
      </w:r>
      <w:r w:rsidRPr="006B7DAA">
        <w:rPr>
          <w:color w:val="000000"/>
        </w:rPr>
        <w:t xml:space="preserve">be used in children weighing 45 kg or greater (see </w:t>
      </w:r>
      <w:r>
        <w:rPr>
          <w:color w:val="000000"/>
        </w:rPr>
        <w:t>‘</w:t>
      </w:r>
      <w:r w:rsidRPr="006B7DAA">
        <w:rPr>
          <w:color w:val="000000"/>
        </w:rPr>
        <w:t>Recommended Dosage of MAVIRET Tablets in adults and adolescents 12 years and older or weighing at least 45 kg</w:t>
      </w:r>
      <w:r>
        <w:rPr>
          <w:color w:val="000000"/>
        </w:rPr>
        <w:t>’)</w:t>
      </w:r>
      <w:r w:rsidRPr="006B7DAA">
        <w:rPr>
          <w:color w:val="000000"/>
        </w:rPr>
        <w:t>.</w:t>
      </w:r>
    </w:p>
    <w:p w14:paraId="036A03D8" w14:textId="77777777" w:rsidR="00D513EB" w:rsidRDefault="00D513EB" w:rsidP="00D513EB">
      <w:pPr>
        <w:pStyle w:val="Heading4"/>
        <w:jc w:val="both"/>
      </w:pPr>
      <w:r>
        <w:lastRenderedPageBreak/>
        <w:t>Preparation and Administration of Oral Granules in Sachets</w:t>
      </w:r>
    </w:p>
    <w:p w14:paraId="15222161" w14:textId="77777777" w:rsidR="00D513EB" w:rsidRDefault="00D513EB" w:rsidP="00D513EB">
      <w:pPr>
        <w:pStyle w:val="ListParagraph"/>
        <w:numPr>
          <w:ilvl w:val="0"/>
          <w:numId w:val="16"/>
        </w:numPr>
        <w:jc w:val="both"/>
      </w:pPr>
      <w:r>
        <w:t xml:space="preserve">The sachets should be taken together, with food, once daily. In addition, the total daily dose of the granules should be sprinkled on a small amount of soft food with a low water content that will stick to a spoon and can be swallowed without chewing (e.g., peanut butter, chocolate hazelnut spread, cream cheese, thick jam, or Greek yogurt). Liquids or foods that would drip or slide off the spoon should not be used as the drug may dissolve quickly and become less effective. </w:t>
      </w:r>
    </w:p>
    <w:p w14:paraId="59674AA6" w14:textId="575AC707" w:rsidR="00D513EB" w:rsidRDefault="00D513EB" w:rsidP="00D513EB">
      <w:pPr>
        <w:pStyle w:val="ListParagraph"/>
        <w:numPr>
          <w:ilvl w:val="0"/>
          <w:numId w:val="16"/>
        </w:numPr>
        <w:jc w:val="both"/>
      </w:pPr>
      <w:r>
        <w:t xml:space="preserve">The mixture of food and granules should be swallowed </w:t>
      </w:r>
      <w:r w:rsidR="00535B96">
        <w:t>immediately (</w:t>
      </w:r>
      <w:r>
        <w:t>within 15 minutes of preparation</w:t>
      </w:r>
      <w:r w:rsidR="00535B96">
        <w:t>)</w:t>
      </w:r>
      <w:r>
        <w:t>; the granules should not be crushed or chewed.</w:t>
      </w:r>
    </w:p>
    <w:p w14:paraId="1DDD021F" w14:textId="2149CE85" w:rsidR="005A41CD" w:rsidRDefault="005A41CD" w:rsidP="00D513EB">
      <w:pPr>
        <w:jc w:val="both"/>
      </w:pPr>
      <w:r w:rsidRPr="005A41CD">
        <w:t xml:space="preserve">Note: Opened sachets with granules should be used immediately and not stored.  </w:t>
      </w:r>
    </w:p>
    <w:p w14:paraId="7D03724D" w14:textId="59C8238A" w:rsidR="00A4182C" w:rsidRDefault="00D513EB" w:rsidP="00D513EB">
      <w:pPr>
        <w:jc w:val="both"/>
      </w:pPr>
      <w:r>
        <w:t>Refer to ‘Instructions for Use’ in the Consumer Medicine Information and Package Insert for further details on the preparation and administration of granules.</w:t>
      </w:r>
    </w:p>
    <w:p w14:paraId="6E084F14" w14:textId="77777777" w:rsidR="00A4182C" w:rsidRDefault="00A4182C" w:rsidP="00D513EB">
      <w:pPr>
        <w:jc w:val="both"/>
      </w:pPr>
    </w:p>
    <w:p w14:paraId="05B84978" w14:textId="0BF89361" w:rsidR="00D513EB" w:rsidRPr="001B7187" w:rsidRDefault="00D513EB" w:rsidP="001B7187">
      <w:pPr>
        <w:pStyle w:val="Heading3"/>
      </w:pPr>
      <w:r>
        <w:t>Dosing in Special Populations</w:t>
      </w:r>
    </w:p>
    <w:p w14:paraId="5DBFF72A" w14:textId="77777777" w:rsidR="009C7847" w:rsidRPr="005E1202" w:rsidRDefault="009C7847" w:rsidP="001B7187">
      <w:pPr>
        <w:pStyle w:val="Heading4"/>
      </w:pPr>
      <w:r w:rsidRPr="005E1202">
        <w:t>Hepatic Impairment</w:t>
      </w:r>
    </w:p>
    <w:p w14:paraId="2879EA83" w14:textId="02049EB7" w:rsidR="009C7847" w:rsidRPr="005E1202" w:rsidRDefault="009C7847" w:rsidP="00FC6D9B">
      <w:pPr>
        <w:jc w:val="both"/>
        <w:rPr>
          <w:rFonts w:cs="Arial"/>
        </w:rPr>
      </w:pPr>
      <w:r w:rsidRPr="005E1202">
        <w:rPr>
          <w:rFonts w:cs="Arial"/>
        </w:rPr>
        <w:t xml:space="preserve">No dose adjustment of MAVIRET is required in patients with mild hepatic impairment (Child-Pugh A). MAVIRET is not recommended in patients with moderate hepatic impairment (Child-Pugh B) and is contraindicated in patients with severe hepatic impairment (Child-Pugh C) (see </w:t>
      </w:r>
      <w:r w:rsidR="008D55BB">
        <w:rPr>
          <w:rFonts w:cs="Arial"/>
        </w:rPr>
        <w:t xml:space="preserve">4.3 </w:t>
      </w:r>
      <w:r w:rsidRPr="005E1202">
        <w:rPr>
          <w:rStyle w:val="gtclinktext7"/>
          <w:rFonts w:cs="Arial"/>
        </w:rPr>
        <w:t>CONTRAINDICATIONS</w:t>
      </w:r>
      <w:r w:rsidR="00DF1A6D">
        <w:rPr>
          <w:rStyle w:val="gtclinktext7"/>
          <w:rFonts w:cs="Arial"/>
        </w:rPr>
        <w:t>, 4.4 SPECIAL WARNINGS AND PRECAUTION</w:t>
      </w:r>
      <w:r w:rsidR="004D63E6" w:rsidRPr="008001BA">
        <w:rPr>
          <w:rStyle w:val="gtclinktext7"/>
          <w:rFonts w:cs="Arial"/>
        </w:rPr>
        <w:t>S</w:t>
      </w:r>
      <w:r w:rsidR="00DF1A6D" w:rsidRPr="008001BA">
        <w:rPr>
          <w:rStyle w:val="gtclinktext7"/>
          <w:rFonts w:cs="Arial"/>
        </w:rPr>
        <w:t xml:space="preserve"> </w:t>
      </w:r>
      <w:r w:rsidR="004D63E6" w:rsidRPr="008001BA">
        <w:rPr>
          <w:rStyle w:val="gtclinktext7"/>
          <w:rFonts w:cs="Arial"/>
        </w:rPr>
        <w:t>FOR</w:t>
      </w:r>
      <w:r w:rsidR="004D63E6">
        <w:rPr>
          <w:rStyle w:val="gtclinktext7"/>
          <w:rFonts w:cs="Arial"/>
        </w:rPr>
        <w:t xml:space="preserve"> </w:t>
      </w:r>
      <w:r w:rsidR="00DF1A6D">
        <w:rPr>
          <w:rStyle w:val="gtclinktext7"/>
          <w:rFonts w:cs="Arial"/>
        </w:rPr>
        <w:t>USE – Use in Hepatic Impairment</w:t>
      </w:r>
      <w:r w:rsidRPr="005E1202">
        <w:rPr>
          <w:rFonts w:cs="Arial"/>
        </w:rPr>
        <w:t xml:space="preserve"> and</w:t>
      </w:r>
      <w:r w:rsidRPr="005E1202">
        <w:rPr>
          <w:rStyle w:val="gtclinktext7"/>
          <w:rFonts w:cs="Arial"/>
        </w:rPr>
        <w:t xml:space="preserve"> </w:t>
      </w:r>
      <w:r w:rsidR="008D55BB">
        <w:rPr>
          <w:rStyle w:val="gtclinktext2"/>
          <w:rFonts w:cs="Arial"/>
        </w:rPr>
        <w:t xml:space="preserve">5.2 PHARMACOKINETIC PROPERTIES </w:t>
      </w:r>
      <w:r w:rsidRPr="005E1202">
        <w:rPr>
          <w:rStyle w:val="gtclinktext2"/>
          <w:rFonts w:cs="Arial"/>
        </w:rPr>
        <w:t>– Pharmacokinetics, Specific Populations, Renal Impairment</w:t>
      </w:r>
      <w:r w:rsidRPr="005E1202">
        <w:rPr>
          <w:rFonts w:cs="Arial"/>
        </w:rPr>
        <w:t>).</w:t>
      </w:r>
    </w:p>
    <w:p w14:paraId="68267EC7" w14:textId="77777777" w:rsidR="009C7847" w:rsidRPr="005E1202" w:rsidRDefault="009C7847" w:rsidP="00D05684">
      <w:pPr>
        <w:pStyle w:val="Heading4"/>
      </w:pPr>
      <w:r w:rsidRPr="005E1202">
        <w:t>Renal Impairment</w:t>
      </w:r>
    </w:p>
    <w:p w14:paraId="27DA744F" w14:textId="77777777" w:rsidR="009C7847" w:rsidRPr="005E1202" w:rsidRDefault="009C7847" w:rsidP="00FC6D9B">
      <w:pPr>
        <w:jc w:val="both"/>
        <w:rPr>
          <w:rFonts w:cs="Arial"/>
        </w:rPr>
      </w:pPr>
      <w:r w:rsidRPr="005E1202">
        <w:rPr>
          <w:rFonts w:cs="Arial"/>
        </w:rPr>
        <w:t>No dose adjustment of MAVIRET is required in patients with any degree of renal impairment including patients on dialysis (see</w:t>
      </w:r>
      <w:r w:rsidRPr="005E1202">
        <w:rPr>
          <w:rFonts w:cs="Arial"/>
          <w:b/>
        </w:rPr>
        <w:t xml:space="preserve"> </w:t>
      </w:r>
      <w:r w:rsidR="008D55BB">
        <w:rPr>
          <w:rStyle w:val="gtclinktext2"/>
          <w:rFonts w:cs="Arial"/>
        </w:rPr>
        <w:t>5.2 PHARMACOKINETIC PROPERTIES</w:t>
      </w:r>
      <w:r w:rsidR="00FC6D9B">
        <w:rPr>
          <w:rStyle w:val="gtclinktext2"/>
          <w:rFonts w:cs="Arial"/>
        </w:rPr>
        <w:t xml:space="preserve"> </w:t>
      </w:r>
      <w:r w:rsidRPr="005E1202">
        <w:rPr>
          <w:rStyle w:val="gtclinktext2"/>
          <w:rFonts w:cs="Arial"/>
        </w:rPr>
        <w:t>– Pharmacokinetics, Specific Populations, Renal Impairment</w:t>
      </w:r>
      <w:r w:rsidRPr="005E1202">
        <w:rPr>
          <w:rFonts w:cs="Arial"/>
        </w:rPr>
        <w:t xml:space="preserve">). </w:t>
      </w:r>
    </w:p>
    <w:p w14:paraId="02ACB047" w14:textId="141E2955" w:rsidR="009C7847" w:rsidRPr="00D513EB" w:rsidRDefault="009C7847" w:rsidP="00D05684">
      <w:pPr>
        <w:pStyle w:val="Heading4"/>
      </w:pPr>
      <w:r w:rsidRPr="005E1202">
        <w:t>Paediatric Use</w:t>
      </w:r>
      <w:r w:rsidR="00D513EB">
        <w:t xml:space="preserve"> (less than 3 years old)</w:t>
      </w:r>
    </w:p>
    <w:p w14:paraId="35F34266" w14:textId="20DFA0C8" w:rsidR="009C7847" w:rsidRPr="00CE7A6F" w:rsidRDefault="00D513EB" w:rsidP="00FC6D9B">
      <w:pPr>
        <w:jc w:val="both"/>
        <w:rPr>
          <w:rFonts w:cs="Arial"/>
        </w:rPr>
      </w:pPr>
      <w:bookmarkStart w:id="4" w:name="_Hlk60929980"/>
      <w:r>
        <w:rPr>
          <w:rFonts w:cs="Arial"/>
        </w:rPr>
        <w:t>The safety and effectiveness of MAVIRET in patients less than 3 years of age have not been established.</w:t>
      </w:r>
      <w:bookmarkEnd w:id="4"/>
      <w:r>
        <w:rPr>
          <w:rFonts w:cs="Arial"/>
        </w:rPr>
        <w:t xml:space="preserve"> </w:t>
      </w:r>
    </w:p>
    <w:p w14:paraId="50471C25" w14:textId="77777777" w:rsidR="009C7847" w:rsidRPr="005E1202" w:rsidRDefault="009C7847" w:rsidP="00D05684">
      <w:pPr>
        <w:pStyle w:val="Heading4"/>
      </w:pPr>
      <w:r w:rsidRPr="005E1202">
        <w:t>Geriatric Use</w:t>
      </w:r>
    </w:p>
    <w:p w14:paraId="530FA729" w14:textId="4F739DE1" w:rsidR="009C7847" w:rsidRPr="005E1202" w:rsidRDefault="009C7847" w:rsidP="00FC6D9B">
      <w:pPr>
        <w:jc w:val="both"/>
        <w:rPr>
          <w:rFonts w:cs="Arial"/>
        </w:rPr>
      </w:pPr>
      <w:r w:rsidRPr="005E1202">
        <w:rPr>
          <w:rFonts w:cs="Arial"/>
        </w:rPr>
        <w:t>No dose adjustment of MAVIRET is required in geriatric patients.</w:t>
      </w:r>
      <w:r w:rsidR="009444C9">
        <w:rPr>
          <w:rFonts w:cs="Arial"/>
        </w:rPr>
        <w:t xml:space="preserve"> </w:t>
      </w:r>
      <w:r w:rsidRPr="005E1202">
        <w:rPr>
          <w:rFonts w:cs="Arial"/>
        </w:rPr>
        <w:t xml:space="preserve">In clinical studies of MAVIRET, 328 patients were age 65 years and over and 47 subjects were age 75 years and over. No overall differences in safety or effectiveness were observed between these patients </w:t>
      </w:r>
      <w:r w:rsidRPr="005E1202">
        <w:rPr>
          <w:rFonts w:cs="Arial"/>
        </w:rPr>
        <w:lastRenderedPageBreak/>
        <w:t>and younger patients, and other reported clinical experience has not identified differences in responses between the geriatric and younger patients.</w:t>
      </w:r>
    </w:p>
    <w:p w14:paraId="1A8CA311" w14:textId="77777777" w:rsidR="009C7847" w:rsidRPr="005E1202" w:rsidRDefault="009C7847" w:rsidP="00D05684">
      <w:pPr>
        <w:pStyle w:val="Heading4"/>
      </w:pPr>
      <w:r w:rsidRPr="005E1202">
        <w:t>Liver</w:t>
      </w:r>
      <w:r w:rsidR="00083FE1">
        <w:t xml:space="preserve"> or Kidney</w:t>
      </w:r>
      <w:r w:rsidRPr="005E1202">
        <w:t xml:space="preserve"> Transplant Patients</w:t>
      </w:r>
    </w:p>
    <w:p w14:paraId="20588E7B" w14:textId="58930A40" w:rsidR="009C7847" w:rsidRDefault="009C7847" w:rsidP="00FC6D9B">
      <w:pPr>
        <w:jc w:val="both"/>
        <w:rPr>
          <w:rFonts w:cs="Arial"/>
        </w:rPr>
      </w:pPr>
      <w:r w:rsidRPr="005E1202">
        <w:rPr>
          <w:rFonts w:cs="Arial"/>
        </w:rPr>
        <w:t>MAVIRET may be use</w:t>
      </w:r>
      <w:r w:rsidRPr="00CE7A6F">
        <w:rPr>
          <w:rFonts w:cs="Arial"/>
        </w:rPr>
        <w:t xml:space="preserve">d for 12 weeks in liver </w:t>
      </w:r>
      <w:r w:rsidR="00DE5B89" w:rsidRPr="00CE7A6F">
        <w:rPr>
          <w:rFonts w:cs="Arial"/>
        </w:rPr>
        <w:t xml:space="preserve">or kidney </w:t>
      </w:r>
      <w:r w:rsidRPr="00CE7A6F">
        <w:rPr>
          <w:rFonts w:cs="Arial"/>
        </w:rPr>
        <w:t xml:space="preserve">transplant recipients. </w:t>
      </w:r>
      <w:r w:rsidR="00560950" w:rsidRPr="00CE7A6F">
        <w:rPr>
          <w:rFonts w:cs="Arial"/>
        </w:rPr>
        <w:t xml:space="preserve"> </w:t>
      </w:r>
      <w:r w:rsidRPr="00CE7A6F">
        <w:rPr>
          <w:rFonts w:cs="Arial"/>
        </w:rPr>
        <w:t xml:space="preserve">A </w:t>
      </w:r>
      <w:r w:rsidR="00DE5B89" w:rsidRPr="00CE7A6F">
        <w:rPr>
          <w:rFonts w:cs="Arial"/>
        </w:rPr>
        <w:t xml:space="preserve">16-week </w:t>
      </w:r>
      <w:r w:rsidRPr="00CE7A6F">
        <w:rPr>
          <w:rFonts w:cs="Arial"/>
        </w:rPr>
        <w:t xml:space="preserve">treatment duration should be considered in </w:t>
      </w:r>
      <w:r w:rsidR="004D63E6" w:rsidRPr="00CE7A6F">
        <w:rPr>
          <w:rFonts w:cs="Arial"/>
        </w:rPr>
        <w:t>GT</w:t>
      </w:r>
      <w:r w:rsidR="00B65D03" w:rsidRPr="00CE7A6F">
        <w:rPr>
          <w:rFonts w:cs="Arial"/>
        </w:rPr>
        <w:t xml:space="preserve">1-infected </w:t>
      </w:r>
      <w:r w:rsidRPr="00CE7A6F">
        <w:rPr>
          <w:rFonts w:cs="Arial"/>
        </w:rPr>
        <w:t xml:space="preserve">patients who are NS5A inhibitor-experienced </w:t>
      </w:r>
      <w:r w:rsidR="00B65D03" w:rsidRPr="00CE7A6F">
        <w:rPr>
          <w:rFonts w:cs="Arial"/>
        </w:rPr>
        <w:t xml:space="preserve">without prior treatment with an NS3/4A protease inhibitor </w:t>
      </w:r>
      <w:r w:rsidRPr="00CE7A6F">
        <w:rPr>
          <w:rFonts w:cs="Arial"/>
        </w:rPr>
        <w:t xml:space="preserve">or </w:t>
      </w:r>
      <w:r w:rsidR="00B65D03" w:rsidRPr="00CE7A6F">
        <w:rPr>
          <w:rFonts w:cs="Arial"/>
        </w:rPr>
        <w:t xml:space="preserve">in </w:t>
      </w:r>
      <w:r w:rsidR="004D63E6" w:rsidRPr="00CE7A6F">
        <w:rPr>
          <w:rFonts w:cs="Arial"/>
        </w:rPr>
        <w:t>GT</w:t>
      </w:r>
      <w:r w:rsidRPr="00CE7A6F">
        <w:rPr>
          <w:rFonts w:cs="Arial"/>
        </w:rPr>
        <w:t xml:space="preserve">3-infected patients who are </w:t>
      </w:r>
      <w:r w:rsidR="00B65D03" w:rsidRPr="00CE7A6F">
        <w:rPr>
          <w:rFonts w:cs="Arial"/>
        </w:rPr>
        <w:t xml:space="preserve">PRS </w:t>
      </w:r>
      <w:r w:rsidRPr="00CE7A6F">
        <w:rPr>
          <w:rFonts w:cs="Arial"/>
        </w:rPr>
        <w:t>treatment experienced</w:t>
      </w:r>
      <w:r w:rsidR="00AB7491" w:rsidRPr="00CE7A6F">
        <w:rPr>
          <w:rFonts w:cs="Arial"/>
        </w:rPr>
        <w:t xml:space="preserve"> (</w:t>
      </w:r>
      <w:r w:rsidR="004D63E6" w:rsidRPr="00CE7A6F">
        <w:rPr>
          <w:rFonts w:cs="Arial"/>
        </w:rPr>
        <w:t>PRS-</w:t>
      </w:r>
      <w:r w:rsidR="00AB7491" w:rsidRPr="00CE7A6F">
        <w:rPr>
          <w:rFonts w:cs="Arial"/>
        </w:rPr>
        <w:t>TE)</w:t>
      </w:r>
      <w:r w:rsidR="00B65D03">
        <w:rPr>
          <w:rFonts w:cs="Arial"/>
        </w:rPr>
        <w:t xml:space="preserve"> </w:t>
      </w:r>
      <w:r w:rsidR="00DE5B89">
        <w:rPr>
          <w:rFonts w:cs="Arial"/>
        </w:rPr>
        <w:t xml:space="preserve">(see </w:t>
      </w:r>
      <w:r w:rsidR="00DE5B89" w:rsidRPr="00D473D4">
        <w:rPr>
          <w:rFonts w:cs="Arial"/>
        </w:rPr>
        <w:t>5.1 PHARMACO</w:t>
      </w:r>
      <w:r w:rsidR="00D473D4" w:rsidRPr="00D473D4">
        <w:rPr>
          <w:rFonts w:cs="Arial"/>
        </w:rPr>
        <w:t>DYNAMIC</w:t>
      </w:r>
      <w:r w:rsidR="00DE5B89" w:rsidRPr="00D473D4">
        <w:rPr>
          <w:rFonts w:cs="Arial"/>
        </w:rPr>
        <w:t xml:space="preserve"> PROPERTIES – Clinical Trials</w:t>
      </w:r>
      <w:r w:rsidR="007323E2">
        <w:rPr>
          <w:rFonts w:cs="Arial"/>
        </w:rPr>
        <w:t>)</w:t>
      </w:r>
      <w:r w:rsidRPr="00D473D4">
        <w:rPr>
          <w:rFonts w:cs="Arial"/>
        </w:rPr>
        <w:t>.</w:t>
      </w:r>
    </w:p>
    <w:p w14:paraId="1BFD1E2E" w14:textId="77777777" w:rsidR="00CE7A6F" w:rsidRPr="005E1202" w:rsidRDefault="00CE7A6F" w:rsidP="00FC6D9B">
      <w:pPr>
        <w:jc w:val="both"/>
        <w:rPr>
          <w:rFonts w:cs="Arial"/>
        </w:rPr>
      </w:pPr>
    </w:p>
    <w:p w14:paraId="005ECD38" w14:textId="77777777" w:rsidR="009C7847" w:rsidRPr="005E1202" w:rsidRDefault="009C7847" w:rsidP="007D5600">
      <w:pPr>
        <w:pStyle w:val="Heading3"/>
      </w:pPr>
      <w:r w:rsidRPr="005E1202">
        <w:t>Missed Dose</w:t>
      </w:r>
    </w:p>
    <w:p w14:paraId="4FF38A3A" w14:textId="77777777" w:rsidR="009C7847" w:rsidRPr="005E1202" w:rsidRDefault="009C7847" w:rsidP="009C7847">
      <w:pPr>
        <w:rPr>
          <w:rFonts w:cs="Arial"/>
        </w:rPr>
      </w:pPr>
      <w:r w:rsidRPr="005E1202">
        <w:rPr>
          <w:rFonts w:cs="Arial"/>
        </w:rPr>
        <w:t>In case a dose of MAVIRET is missed and it is:</w:t>
      </w:r>
    </w:p>
    <w:p w14:paraId="4D0AA558" w14:textId="3E27CCA8" w:rsidR="009C7847" w:rsidRPr="005E1202" w:rsidRDefault="009C7847" w:rsidP="009C7847">
      <w:pPr>
        <w:pStyle w:val="ListParagraph"/>
        <w:numPr>
          <w:ilvl w:val="0"/>
          <w:numId w:val="13"/>
        </w:numPr>
        <w:spacing w:after="120" w:line="240" w:lineRule="auto"/>
        <w:jc w:val="both"/>
        <w:rPr>
          <w:rFonts w:eastAsia="TimesNewRoman" w:cs="Arial"/>
        </w:rPr>
      </w:pPr>
      <w:r w:rsidRPr="005E1202">
        <w:rPr>
          <w:rFonts w:cs="Arial"/>
        </w:rPr>
        <w:t xml:space="preserve">18 hours </w:t>
      </w:r>
      <w:r w:rsidR="00D05684">
        <w:rPr>
          <w:rFonts w:cs="Arial"/>
        </w:rPr>
        <w:t xml:space="preserve">or less </w:t>
      </w:r>
      <w:r w:rsidRPr="005E1202">
        <w:rPr>
          <w:rFonts w:cs="Arial"/>
        </w:rPr>
        <w:t xml:space="preserve">from the usual time that MAVIRET should have been taken, advise the patient to take the dose as soon as possible and then to take the next dose at the usual </w:t>
      </w:r>
      <w:proofErr w:type="gramStart"/>
      <w:r w:rsidRPr="005E1202">
        <w:rPr>
          <w:rFonts w:cs="Arial"/>
        </w:rPr>
        <w:t>time</w:t>
      </w:r>
      <w:bookmarkStart w:id="5" w:name="p4532743501400788758"/>
      <w:bookmarkStart w:id="6" w:name="p45088153501400788776"/>
      <w:bookmarkEnd w:id="5"/>
      <w:bookmarkEnd w:id="6"/>
      <w:r w:rsidR="00560950">
        <w:rPr>
          <w:rFonts w:cs="Arial"/>
        </w:rPr>
        <w:t>;</w:t>
      </w:r>
      <w:proofErr w:type="gramEnd"/>
    </w:p>
    <w:p w14:paraId="08BC5287" w14:textId="74285C0D" w:rsidR="000A183F" w:rsidRDefault="009C7847" w:rsidP="000A183F">
      <w:pPr>
        <w:pStyle w:val="ListParagraph"/>
        <w:numPr>
          <w:ilvl w:val="0"/>
          <w:numId w:val="13"/>
        </w:numPr>
        <w:spacing w:after="120" w:line="240" w:lineRule="auto"/>
        <w:jc w:val="both"/>
        <w:rPr>
          <w:rFonts w:eastAsia="TimesNewRoman" w:cs="Arial"/>
        </w:rPr>
      </w:pPr>
      <w:r w:rsidRPr="005E1202">
        <w:rPr>
          <w:rFonts w:cs="Arial"/>
        </w:rPr>
        <w:t>More than 18 hours has passed since MAVIRET should have been taken, advise the patient not to take the missed dose and to take the next dose at the usual time.</w:t>
      </w:r>
      <w:r w:rsidR="00560950">
        <w:rPr>
          <w:rFonts w:cs="Arial"/>
        </w:rPr>
        <w:t xml:space="preserve"> </w:t>
      </w:r>
      <w:r w:rsidRPr="005E1202">
        <w:rPr>
          <w:rFonts w:cs="Arial"/>
        </w:rPr>
        <w:t xml:space="preserve"> </w:t>
      </w:r>
      <w:r w:rsidRPr="005E1202">
        <w:rPr>
          <w:rFonts w:eastAsia="TimesNewRoman" w:cs="Arial"/>
        </w:rPr>
        <w:t>Patients should be instructed not to take a double dose.</w:t>
      </w:r>
    </w:p>
    <w:p w14:paraId="4B6059C1" w14:textId="77777777" w:rsidR="000A183F" w:rsidRPr="000A183F" w:rsidRDefault="000A183F" w:rsidP="000A183F">
      <w:pPr>
        <w:pStyle w:val="ListParagraph"/>
        <w:spacing w:after="120" w:line="240" w:lineRule="auto"/>
        <w:jc w:val="both"/>
        <w:rPr>
          <w:rFonts w:eastAsia="TimesNewRoman" w:cs="Arial"/>
        </w:rPr>
      </w:pPr>
    </w:p>
    <w:p w14:paraId="44157507" w14:textId="4B853B69" w:rsidR="009206A1" w:rsidRDefault="000A183F" w:rsidP="000A183F">
      <w:pPr>
        <w:spacing w:after="120" w:line="240" w:lineRule="auto"/>
        <w:jc w:val="both"/>
        <w:rPr>
          <w:rFonts w:eastAsia="TimesNewRoman" w:cs="Arial"/>
        </w:rPr>
      </w:pPr>
      <w:r w:rsidRPr="000A183F">
        <w:rPr>
          <w:rFonts w:eastAsia="TimesNewRoman" w:cs="Arial"/>
        </w:rPr>
        <w:t xml:space="preserve">If vomiting occurs within 3 hours of dosing, an additional dose of </w:t>
      </w:r>
      <w:r w:rsidRPr="009761D3">
        <w:rPr>
          <w:rFonts w:eastAsia="TimesNewRoman" w:cs="Arial"/>
          <w:caps/>
        </w:rPr>
        <w:t>Maviret</w:t>
      </w:r>
      <w:r w:rsidRPr="000A183F">
        <w:rPr>
          <w:rFonts w:eastAsia="TimesNewRoman" w:cs="Arial"/>
        </w:rPr>
        <w:t xml:space="preserve"> should be taken. If</w:t>
      </w:r>
      <w:r>
        <w:rPr>
          <w:rFonts w:eastAsia="TimesNewRoman" w:cs="Arial"/>
        </w:rPr>
        <w:t xml:space="preserve"> </w:t>
      </w:r>
      <w:r w:rsidRPr="000A183F">
        <w:rPr>
          <w:rFonts w:eastAsia="TimesNewRoman" w:cs="Arial"/>
        </w:rPr>
        <w:t xml:space="preserve">vomiting occurs more than 3 hours after dosing, an additional dose of </w:t>
      </w:r>
      <w:r w:rsidRPr="009761D3">
        <w:rPr>
          <w:rFonts w:eastAsia="TimesNewRoman" w:cs="Arial"/>
          <w:caps/>
        </w:rPr>
        <w:t>Maviret</w:t>
      </w:r>
      <w:r w:rsidRPr="000A183F">
        <w:rPr>
          <w:rFonts w:eastAsia="TimesNewRoman" w:cs="Arial"/>
        </w:rPr>
        <w:t xml:space="preserve"> is not needed</w:t>
      </w:r>
      <w:r>
        <w:rPr>
          <w:rFonts w:eastAsia="TimesNewRoman" w:cs="Arial"/>
        </w:rPr>
        <w:t>.</w:t>
      </w:r>
    </w:p>
    <w:p w14:paraId="6F94097D" w14:textId="77777777" w:rsidR="00A4182C" w:rsidRPr="009206A1" w:rsidRDefault="00A4182C" w:rsidP="000A183F">
      <w:pPr>
        <w:spacing w:after="120" w:line="240" w:lineRule="auto"/>
        <w:jc w:val="both"/>
        <w:rPr>
          <w:rFonts w:eastAsia="TimesNewRoman" w:cs="Arial"/>
        </w:rPr>
      </w:pPr>
    </w:p>
    <w:p w14:paraId="06376AAF" w14:textId="77777777" w:rsidR="001A3992" w:rsidRPr="005E1202" w:rsidRDefault="001A3992" w:rsidP="001A3992">
      <w:pPr>
        <w:pStyle w:val="Heading2"/>
        <w:spacing w:before="0" w:after="120"/>
        <w:rPr>
          <w:rFonts w:cs="Arial"/>
        </w:rPr>
      </w:pPr>
      <w:r w:rsidRPr="005E1202">
        <w:rPr>
          <w:rFonts w:cs="Arial"/>
        </w:rPr>
        <w:t>Contraindications</w:t>
      </w:r>
    </w:p>
    <w:p w14:paraId="17046696" w14:textId="77777777" w:rsidR="00493B75" w:rsidRPr="005E1202" w:rsidRDefault="00493B75" w:rsidP="00493B75">
      <w:pPr>
        <w:rPr>
          <w:rFonts w:cs="Arial"/>
        </w:rPr>
      </w:pPr>
      <w:r w:rsidRPr="005E1202">
        <w:rPr>
          <w:rFonts w:cs="Arial"/>
        </w:rPr>
        <w:t>MAVIRET is contraindicated:</w:t>
      </w:r>
    </w:p>
    <w:p w14:paraId="1EE04603" w14:textId="77777777" w:rsidR="00493B75" w:rsidRPr="005E1202" w:rsidRDefault="00493B75" w:rsidP="00934371">
      <w:pPr>
        <w:pStyle w:val="ListParagraph"/>
        <w:numPr>
          <w:ilvl w:val="0"/>
          <w:numId w:val="12"/>
        </w:numPr>
        <w:spacing w:after="120" w:line="240" w:lineRule="auto"/>
        <w:contextualSpacing w:val="0"/>
        <w:jc w:val="both"/>
        <w:rPr>
          <w:rFonts w:cs="Arial"/>
        </w:rPr>
      </w:pPr>
      <w:r w:rsidRPr="005E1202">
        <w:rPr>
          <w:rFonts w:cs="Arial"/>
        </w:rPr>
        <w:t xml:space="preserve">In patients with severe hepatic impairment (Child-Pugh C) (see </w:t>
      </w:r>
      <w:r w:rsidR="008D55BB">
        <w:rPr>
          <w:rStyle w:val="gtclinktext2"/>
          <w:rFonts w:cs="Arial"/>
        </w:rPr>
        <w:t>5.2 PHARMACOKINETIC PROPERTIES</w:t>
      </w:r>
      <w:r w:rsidR="008D55BB" w:rsidRPr="005E1202" w:rsidDel="008D55BB">
        <w:rPr>
          <w:rStyle w:val="gtclinktext5"/>
          <w:rFonts w:cs="Arial"/>
        </w:rPr>
        <w:t xml:space="preserve"> </w:t>
      </w:r>
      <w:r w:rsidRPr="005E1202">
        <w:rPr>
          <w:rStyle w:val="gtclinktext5"/>
          <w:rFonts w:cs="Arial"/>
        </w:rPr>
        <w:t>– Pharmacokinetics, Specific Populations</w:t>
      </w:r>
      <w:r w:rsidRPr="005E1202">
        <w:rPr>
          <w:rFonts w:cs="Arial"/>
        </w:rPr>
        <w:t>).</w:t>
      </w:r>
    </w:p>
    <w:p w14:paraId="1CEA9970" w14:textId="4F691D94" w:rsidR="00493B75" w:rsidRDefault="00493B75" w:rsidP="00934371">
      <w:pPr>
        <w:pStyle w:val="ListParagraph"/>
        <w:numPr>
          <w:ilvl w:val="0"/>
          <w:numId w:val="12"/>
        </w:numPr>
        <w:spacing w:after="120" w:line="240" w:lineRule="auto"/>
        <w:contextualSpacing w:val="0"/>
        <w:jc w:val="both"/>
        <w:rPr>
          <w:rFonts w:cs="Arial"/>
        </w:rPr>
      </w:pPr>
      <w:r w:rsidRPr="005E1202">
        <w:rPr>
          <w:rFonts w:cs="Arial"/>
        </w:rPr>
        <w:t xml:space="preserve">With </w:t>
      </w:r>
      <w:r w:rsidR="00560950" w:rsidRPr="005E1202">
        <w:rPr>
          <w:rFonts w:cs="Arial"/>
        </w:rPr>
        <w:t>atazanavir</w:t>
      </w:r>
      <w:r w:rsidR="00560950">
        <w:rPr>
          <w:rFonts w:cs="Arial"/>
        </w:rPr>
        <w:t>-</w:t>
      </w:r>
      <w:r w:rsidRPr="005E1202">
        <w:rPr>
          <w:rFonts w:cs="Arial"/>
        </w:rPr>
        <w:t xml:space="preserve">containing products, atorvastatin, simvastatin, dabigatran </w:t>
      </w:r>
      <w:proofErr w:type="spellStart"/>
      <w:r w:rsidRPr="005E1202">
        <w:rPr>
          <w:rFonts w:cs="Arial"/>
        </w:rPr>
        <w:t>etexilate</w:t>
      </w:r>
      <w:proofErr w:type="spellEnd"/>
      <w:r w:rsidRPr="005E1202">
        <w:rPr>
          <w:rFonts w:cs="Arial"/>
        </w:rPr>
        <w:t xml:space="preserve">, </w:t>
      </w:r>
      <w:proofErr w:type="spellStart"/>
      <w:r w:rsidRPr="005E1202">
        <w:rPr>
          <w:rFonts w:cs="Arial"/>
        </w:rPr>
        <w:t>ethinyloestradiol</w:t>
      </w:r>
      <w:proofErr w:type="spellEnd"/>
      <w:r w:rsidRPr="005E1202">
        <w:rPr>
          <w:rFonts w:cs="Arial"/>
        </w:rPr>
        <w:t xml:space="preserve">-containing products, </w:t>
      </w:r>
      <w:r w:rsidR="00430900">
        <w:rPr>
          <w:rFonts w:cs="Arial"/>
        </w:rPr>
        <w:t xml:space="preserve">and </w:t>
      </w:r>
      <w:r w:rsidRPr="005E1202">
        <w:rPr>
          <w:rFonts w:cs="Arial"/>
        </w:rPr>
        <w:t>rifampicin (see</w:t>
      </w:r>
      <w:r w:rsidRPr="005E1202">
        <w:rPr>
          <w:rStyle w:val="gtclinktext5"/>
          <w:rFonts w:cs="Arial"/>
          <w:b/>
        </w:rPr>
        <w:t xml:space="preserve"> </w:t>
      </w:r>
      <w:r w:rsidR="008D55BB">
        <w:rPr>
          <w:rStyle w:val="gtclinktext2"/>
          <w:rFonts w:cs="Arial"/>
        </w:rPr>
        <w:t>5.2 PHARMACOKINETIC PROPERTIES</w:t>
      </w:r>
      <w:r w:rsidR="008D55BB" w:rsidRPr="005E1202" w:rsidDel="008D55BB">
        <w:rPr>
          <w:rStyle w:val="gtclinktext5"/>
          <w:rFonts w:cs="Arial"/>
        </w:rPr>
        <w:t xml:space="preserve"> </w:t>
      </w:r>
      <w:r w:rsidRPr="005E1202">
        <w:rPr>
          <w:rStyle w:val="gtclinktext5"/>
          <w:rFonts w:cs="Arial"/>
        </w:rPr>
        <w:t>– Pharmacokinetics, Drug Interactions</w:t>
      </w:r>
      <w:r w:rsidRPr="005E1202">
        <w:rPr>
          <w:rFonts w:cs="Arial"/>
        </w:rPr>
        <w:t>).</w:t>
      </w:r>
    </w:p>
    <w:p w14:paraId="0F35ABE9" w14:textId="7457F7B9" w:rsidR="00942C76" w:rsidRDefault="00942C76" w:rsidP="00934371">
      <w:pPr>
        <w:pStyle w:val="ListParagraph"/>
        <w:numPr>
          <w:ilvl w:val="0"/>
          <w:numId w:val="12"/>
        </w:numPr>
        <w:spacing w:after="120" w:line="240" w:lineRule="auto"/>
        <w:contextualSpacing w:val="0"/>
        <w:jc w:val="both"/>
        <w:rPr>
          <w:rFonts w:cs="Arial"/>
        </w:rPr>
      </w:pPr>
      <w:r>
        <w:rPr>
          <w:rFonts w:cs="Arial"/>
        </w:rPr>
        <w:t>In patients with hypersensitivity to the active substances or to any of the excipients.</w:t>
      </w:r>
    </w:p>
    <w:p w14:paraId="6F0D27F0" w14:textId="77777777" w:rsidR="00D473D4" w:rsidRPr="005E1202" w:rsidRDefault="00D473D4" w:rsidP="00D473D4">
      <w:pPr>
        <w:pStyle w:val="ListParagraph"/>
        <w:spacing w:after="120" w:line="240" w:lineRule="auto"/>
        <w:jc w:val="both"/>
        <w:rPr>
          <w:rFonts w:cs="Arial"/>
        </w:rPr>
      </w:pPr>
    </w:p>
    <w:p w14:paraId="66C2229D" w14:textId="77777777" w:rsidR="001A3992" w:rsidRPr="005E1202" w:rsidRDefault="00E74A56" w:rsidP="003B0ECB">
      <w:pPr>
        <w:pStyle w:val="Heading2"/>
        <w:pageBreakBefore/>
        <w:spacing w:before="0" w:after="120"/>
        <w:rPr>
          <w:rFonts w:cs="Arial"/>
        </w:rPr>
      </w:pPr>
      <w:r w:rsidRPr="005E1202">
        <w:rPr>
          <w:rFonts w:cs="Arial"/>
        </w:rPr>
        <w:lastRenderedPageBreak/>
        <w:t>Special warnings and p</w:t>
      </w:r>
      <w:r w:rsidR="001A3992" w:rsidRPr="005E1202">
        <w:rPr>
          <w:rFonts w:cs="Arial"/>
        </w:rPr>
        <w:t xml:space="preserve">recautions </w:t>
      </w:r>
      <w:r w:rsidRPr="005E1202">
        <w:rPr>
          <w:rFonts w:cs="Arial"/>
        </w:rPr>
        <w:t>for use</w:t>
      </w:r>
    </w:p>
    <w:p w14:paraId="40B6C7C3" w14:textId="77777777" w:rsidR="00493B75" w:rsidRPr="005E1202" w:rsidRDefault="00493B75" w:rsidP="00FC6D9B">
      <w:pPr>
        <w:pStyle w:val="Heading3"/>
        <w:jc w:val="both"/>
        <w:rPr>
          <w:rFonts w:cs="Arial"/>
        </w:rPr>
      </w:pPr>
      <w:r w:rsidRPr="005E1202">
        <w:rPr>
          <w:rFonts w:cs="Arial"/>
        </w:rPr>
        <w:t>Risk of Hepatitis B Virus Reactivation</w:t>
      </w:r>
    </w:p>
    <w:p w14:paraId="3F1A5ECE" w14:textId="77777777" w:rsidR="00493B75" w:rsidRPr="005E1202" w:rsidRDefault="00493B75" w:rsidP="00FC6D9B">
      <w:pPr>
        <w:jc w:val="both"/>
        <w:rPr>
          <w:rFonts w:cs="Arial"/>
        </w:rPr>
      </w:pPr>
      <w:r w:rsidRPr="005E1202">
        <w:rPr>
          <w:rFonts w:cs="Arial"/>
        </w:rPr>
        <w:t xml:space="preserve">Cases of Hepatitis B virus (HBV) reactivation, including fatal cases, have been reported during and after treatment of HCV with direct-acting antiviral agents in HCV/HBV co-infected patients. Screening for current or past HBV infection, including testing for HBV surface antigen (HBsAg) and HBV core antibody (anti-HBc), should be performed in all patients before initiation of treatment with MAVIRET. </w:t>
      </w:r>
    </w:p>
    <w:p w14:paraId="71B3CBF1" w14:textId="77777777" w:rsidR="00493B75" w:rsidRPr="005E1202" w:rsidRDefault="00493B75" w:rsidP="00FC6D9B">
      <w:pPr>
        <w:jc w:val="both"/>
        <w:rPr>
          <w:rFonts w:cs="Arial"/>
        </w:rPr>
      </w:pPr>
      <w:r w:rsidRPr="005E1202">
        <w:rPr>
          <w:rFonts w:cs="Arial"/>
        </w:rPr>
        <w:t>Patients with serologic evidence of current or past HBV infection should be monitored and treated according to current clinical practice guidelines to manage potential HBV reactivation. Consider initiation of HBV antiviral therapy, if indicated.</w:t>
      </w:r>
    </w:p>
    <w:p w14:paraId="19A3C4DB" w14:textId="77777777" w:rsidR="00493B75" w:rsidRPr="00590774" w:rsidRDefault="00493B75" w:rsidP="00FC6D9B">
      <w:pPr>
        <w:jc w:val="both"/>
        <w:rPr>
          <w:rFonts w:cs="Arial"/>
        </w:rPr>
      </w:pPr>
      <w:r w:rsidRPr="005E1202">
        <w:rPr>
          <w:rFonts w:cs="Arial"/>
        </w:rPr>
        <w:t>MAVIRET has not been studied in patients with HCV/HBV co-infection.</w:t>
      </w:r>
    </w:p>
    <w:p w14:paraId="3AC3B30A" w14:textId="77777777" w:rsidR="00493B75" w:rsidRPr="005E1202" w:rsidRDefault="00493B75" w:rsidP="009C7847">
      <w:pPr>
        <w:pStyle w:val="Heading3"/>
        <w:rPr>
          <w:rFonts w:cs="Arial"/>
        </w:rPr>
      </w:pPr>
      <w:r w:rsidRPr="009206A1">
        <w:rPr>
          <w:rFonts w:cs="Arial"/>
        </w:rPr>
        <w:t>Use in</w:t>
      </w:r>
      <w:r w:rsidRPr="005E1202">
        <w:rPr>
          <w:rFonts w:cs="Arial"/>
        </w:rPr>
        <w:t xml:space="preserve"> Hepatic Impairment</w:t>
      </w:r>
    </w:p>
    <w:p w14:paraId="00B86A4B" w14:textId="134E336D" w:rsidR="00493B75" w:rsidRDefault="009444C9" w:rsidP="007C24AC">
      <w:pPr>
        <w:jc w:val="both"/>
        <w:rPr>
          <w:rFonts w:cs="Arial"/>
        </w:rPr>
      </w:pPr>
      <w:r w:rsidRPr="00CE7A6F">
        <w:rPr>
          <w:rFonts w:cs="Arial"/>
        </w:rPr>
        <w:t xml:space="preserve">MAVIRET </w:t>
      </w:r>
      <w:r w:rsidR="00493B75" w:rsidRPr="00CE7A6F">
        <w:rPr>
          <w:rFonts w:cs="Arial"/>
        </w:rPr>
        <w:t xml:space="preserve">is not </w:t>
      </w:r>
      <w:r w:rsidR="00493B75" w:rsidRPr="005E1202">
        <w:rPr>
          <w:rFonts w:cs="Arial"/>
        </w:rPr>
        <w:t>recommended in patients with moderate hepatic impairment (Child-Pugh B</w:t>
      </w:r>
      <w:proofErr w:type="gramStart"/>
      <w:r w:rsidR="00493B75" w:rsidRPr="005E1202">
        <w:rPr>
          <w:rFonts w:cs="Arial"/>
        </w:rPr>
        <w:t>)</w:t>
      </w:r>
      <w:r w:rsidR="00590774">
        <w:rPr>
          <w:rFonts w:cs="Arial"/>
        </w:rPr>
        <w:t>,</w:t>
      </w:r>
      <w:r w:rsidR="00493B75" w:rsidRPr="005E1202">
        <w:rPr>
          <w:rFonts w:cs="Arial"/>
        </w:rPr>
        <w:t xml:space="preserve"> and</w:t>
      </w:r>
      <w:proofErr w:type="gramEnd"/>
      <w:r w:rsidR="00493B75" w:rsidRPr="005E1202">
        <w:rPr>
          <w:rFonts w:cs="Arial"/>
        </w:rPr>
        <w:t xml:space="preserve"> is contraindicated in patients with severe hepatic impairment (Child-Pugh C) (see </w:t>
      </w:r>
      <w:r w:rsidR="008D55BB">
        <w:rPr>
          <w:rFonts w:cs="Arial"/>
        </w:rPr>
        <w:t xml:space="preserve">4.2 </w:t>
      </w:r>
      <w:r w:rsidR="00493B75" w:rsidRPr="005E1202">
        <w:rPr>
          <w:rFonts w:cs="Arial"/>
        </w:rPr>
        <w:t xml:space="preserve">DOSE AND </w:t>
      </w:r>
      <w:r w:rsidR="008D55BB">
        <w:rPr>
          <w:rFonts w:cs="Arial"/>
        </w:rPr>
        <w:t xml:space="preserve">METHOD OF </w:t>
      </w:r>
      <w:r w:rsidR="00493B75" w:rsidRPr="005E1202">
        <w:rPr>
          <w:rFonts w:cs="Arial"/>
        </w:rPr>
        <w:t xml:space="preserve">ADMINISTRATION, </w:t>
      </w:r>
      <w:r w:rsidR="000054D2">
        <w:rPr>
          <w:rFonts w:cs="Arial"/>
        </w:rPr>
        <w:t xml:space="preserve">4.3 </w:t>
      </w:r>
      <w:r w:rsidR="000054D2" w:rsidRPr="005E1202">
        <w:rPr>
          <w:rFonts w:cs="Arial"/>
        </w:rPr>
        <w:t>CONTRAINDICATIONS</w:t>
      </w:r>
      <w:r w:rsidR="000054D2">
        <w:rPr>
          <w:rFonts w:cs="Arial"/>
        </w:rPr>
        <w:t xml:space="preserve"> </w:t>
      </w:r>
      <w:r w:rsidR="000054D2" w:rsidRPr="005E1202">
        <w:rPr>
          <w:rFonts w:cs="Arial"/>
        </w:rPr>
        <w:t>and</w:t>
      </w:r>
      <w:r w:rsidR="000054D2">
        <w:rPr>
          <w:rFonts w:cs="Arial"/>
        </w:rPr>
        <w:t xml:space="preserve"> </w:t>
      </w:r>
      <w:r w:rsidR="008D55BB">
        <w:rPr>
          <w:rFonts w:cs="Arial"/>
        </w:rPr>
        <w:t>5.</w:t>
      </w:r>
      <w:r w:rsidR="00605666">
        <w:rPr>
          <w:rFonts w:cs="Arial"/>
        </w:rPr>
        <w:t>2</w:t>
      </w:r>
      <w:r w:rsidR="008D55BB">
        <w:rPr>
          <w:rFonts w:cs="Arial"/>
        </w:rPr>
        <w:t xml:space="preserve"> </w:t>
      </w:r>
      <w:r w:rsidR="00605666">
        <w:rPr>
          <w:rFonts w:cs="Arial"/>
        </w:rPr>
        <w:t xml:space="preserve">PHARMACOKINETICS </w:t>
      </w:r>
      <w:r w:rsidR="008D55BB">
        <w:rPr>
          <w:rFonts w:cs="Arial"/>
        </w:rPr>
        <w:t>PROPERTIES</w:t>
      </w:r>
      <w:r w:rsidR="00493B75" w:rsidRPr="005E1202">
        <w:rPr>
          <w:rFonts w:cs="Arial"/>
        </w:rPr>
        <w:t>).</w:t>
      </w:r>
    </w:p>
    <w:p w14:paraId="3DD262B0" w14:textId="77777777" w:rsidR="00082133" w:rsidRPr="00082133" w:rsidRDefault="00082133" w:rsidP="00082133">
      <w:pPr>
        <w:pStyle w:val="Heading3"/>
      </w:pPr>
      <w:r w:rsidRPr="00082133">
        <w:t>Potential Effects of HCV Clearance by Direct-Acting Antivirals (DAA) (Class Therapeutic Effect)</w:t>
      </w:r>
    </w:p>
    <w:p w14:paraId="4B20D08E" w14:textId="002277E0" w:rsidR="00082133" w:rsidRPr="005E1202" w:rsidRDefault="00082133" w:rsidP="00082133">
      <w:pPr>
        <w:jc w:val="both"/>
        <w:rPr>
          <w:rFonts w:cs="Arial"/>
        </w:rPr>
      </w:pPr>
      <w:r w:rsidRPr="00082133">
        <w:rPr>
          <w:rFonts w:cs="Arial"/>
        </w:rPr>
        <w:t>Patients may experience improvement of liver function with HCV treatment resulting in improved glucose metabolism by the liver.  In diabetic patients, this could lead to improved glucose control.  Rare cases of symptomatic hyp</w:t>
      </w:r>
      <w:r w:rsidRPr="008001BA">
        <w:rPr>
          <w:rFonts w:cs="Arial"/>
        </w:rPr>
        <w:t>oglyc</w:t>
      </w:r>
      <w:r w:rsidR="00243B26" w:rsidRPr="008001BA">
        <w:rPr>
          <w:rFonts w:cs="Arial"/>
        </w:rPr>
        <w:t>a</w:t>
      </w:r>
      <w:r w:rsidRPr="008001BA">
        <w:rPr>
          <w:rFonts w:cs="Arial"/>
        </w:rPr>
        <w:t>em</w:t>
      </w:r>
      <w:r w:rsidRPr="00082133">
        <w:rPr>
          <w:rFonts w:cs="Arial"/>
        </w:rPr>
        <w:t>ia have been reported with the use of HCV DAAs.  Therefore, close monitoring of blood glucose levels is recommended in diabetic patients to determine if dose adjustment of the anti-diabetes medication is required.</w:t>
      </w:r>
    </w:p>
    <w:p w14:paraId="44EDBBFD" w14:textId="77777777" w:rsidR="00493B75" w:rsidRPr="005E1202" w:rsidRDefault="00493B75" w:rsidP="007C24AC">
      <w:pPr>
        <w:pStyle w:val="Heading3"/>
        <w:jc w:val="both"/>
        <w:rPr>
          <w:rFonts w:cs="Arial"/>
        </w:rPr>
      </w:pPr>
      <w:r w:rsidRPr="005E1202">
        <w:rPr>
          <w:rFonts w:cs="Arial"/>
        </w:rPr>
        <w:t>Drug-drug Interactions</w:t>
      </w:r>
    </w:p>
    <w:p w14:paraId="6F51C208" w14:textId="77777777" w:rsidR="00493B75" w:rsidRPr="005E1202" w:rsidRDefault="00493B75" w:rsidP="007C24AC">
      <w:pPr>
        <w:jc w:val="both"/>
        <w:rPr>
          <w:rFonts w:cs="Arial"/>
        </w:rPr>
      </w:pPr>
      <w:r w:rsidRPr="005E1202">
        <w:rPr>
          <w:rFonts w:cs="Arial"/>
        </w:rPr>
        <w:t xml:space="preserve">Coadministration is not recommended with several medicinal products (see </w:t>
      </w:r>
      <w:r w:rsidR="008D55BB">
        <w:rPr>
          <w:rFonts w:cs="Arial"/>
        </w:rPr>
        <w:t xml:space="preserve">4.5 </w:t>
      </w:r>
      <w:r w:rsidRPr="005E1202">
        <w:rPr>
          <w:rFonts w:cs="Arial"/>
        </w:rPr>
        <w:t>INTERACTIONS WITH OTHER MEDICINES</w:t>
      </w:r>
      <w:r w:rsidR="008D55BB">
        <w:rPr>
          <w:rFonts w:cs="Arial"/>
        </w:rPr>
        <w:t xml:space="preserve"> AND OTHER FORMS OF INTERACTIONS</w:t>
      </w:r>
      <w:r w:rsidRPr="005E1202">
        <w:rPr>
          <w:rFonts w:cs="Arial"/>
        </w:rPr>
        <w:t>).</w:t>
      </w:r>
    </w:p>
    <w:p w14:paraId="2E8DA70A" w14:textId="77777777" w:rsidR="001A3992" w:rsidRPr="005E1202" w:rsidRDefault="001A3992" w:rsidP="007C24AC">
      <w:pPr>
        <w:pStyle w:val="Heading3"/>
        <w:jc w:val="both"/>
        <w:rPr>
          <w:rFonts w:cs="Arial"/>
        </w:rPr>
      </w:pPr>
      <w:r w:rsidRPr="005E1202">
        <w:rPr>
          <w:rFonts w:cs="Arial"/>
        </w:rPr>
        <w:t>Use in the elderly</w:t>
      </w:r>
    </w:p>
    <w:p w14:paraId="0B4E0779" w14:textId="77777777" w:rsidR="009C7847" w:rsidRPr="005E1202" w:rsidRDefault="009C7847" w:rsidP="007C24AC">
      <w:pPr>
        <w:jc w:val="both"/>
        <w:rPr>
          <w:rFonts w:cs="Arial"/>
        </w:rPr>
      </w:pPr>
      <w:r w:rsidRPr="005E1202">
        <w:rPr>
          <w:rFonts w:cs="Arial"/>
        </w:rPr>
        <w:t xml:space="preserve">No dose adjustment of MAVIRET is required in geriatric patients (see </w:t>
      </w:r>
      <w:r w:rsidR="008D55BB">
        <w:rPr>
          <w:rFonts w:cs="Arial"/>
        </w:rPr>
        <w:t xml:space="preserve">4.2 </w:t>
      </w:r>
      <w:r w:rsidRPr="005E1202">
        <w:rPr>
          <w:rFonts w:cs="Arial"/>
        </w:rPr>
        <w:t xml:space="preserve">DOSE AND </w:t>
      </w:r>
      <w:r w:rsidR="008D55BB">
        <w:rPr>
          <w:rFonts w:cs="Arial"/>
        </w:rPr>
        <w:t xml:space="preserve">METHOD </w:t>
      </w:r>
      <w:r w:rsidRPr="005E1202">
        <w:rPr>
          <w:rFonts w:cs="Arial"/>
        </w:rPr>
        <w:t xml:space="preserve">ADMINISTRATION – Geriatric Use). </w:t>
      </w:r>
    </w:p>
    <w:p w14:paraId="4B816275" w14:textId="77777777" w:rsidR="001A3992" w:rsidRPr="005E1202" w:rsidRDefault="001A3992" w:rsidP="007C24AC">
      <w:pPr>
        <w:pStyle w:val="Heading3"/>
        <w:jc w:val="both"/>
        <w:rPr>
          <w:rFonts w:cs="Arial"/>
        </w:rPr>
      </w:pPr>
      <w:r w:rsidRPr="005E1202">
        <w:rPr>
          <w:rFonts w:cs="Arial"/>
        </w:rPr>
        <w:lastRenderedPageBreak/>
        <w:t>Paediatric use</w:t>
      </w:r>
    </w:p>
    <w:p w14:paraId="3DAAF081" w14:textId="0013D2CF" w:rsidR="009C7847" w:rsidRDefault="009C7847" w:rsidP="007C24AC">
      <w:pPr>
        <w:jc w:val="both"/>
        <w:rPr>
          <w:rFonts w:cs="Arial"/>
        </w:rPr>
      </w:pPr>
      <w:r w:rsidRPr="005E1202">
        <w:rPr>
          <w:rFonts w:cs="Arial"/>
        </w:rPr>
        <w:t xml:space="preserve">The safety and effectiveness of MAVIRET in patients younger than </w:t>
      </w:r>
      <w:r w:rsidR="00D513EB">
        <w:rPr>
          <w:rFonts w:cs="Arial"/>
        </w:rPr>
        <w:t>3</w:t>
      </w:r>
      <w:r w:rsidR="00D513EB" w:rsidRPr="00CE7A6F">
        <w:rPr>
          <w:rFonts w:cs="Arial"/>
        </w:rPr>
        <w:t xml:space="preserve"> </w:t>
      </w:r>
      <w:r w:rsidRPr="00CE7A6F">
        <w:rPr>
          <w:rFonts w:cs="Arial"/>
        </w:rPr>
        <w:t>years of age have not been established.</w:t>
      </w:r>
      <w:r w:rsidR="000B18D7" w:rsidRPr="00CE7A6F">
        <w:rPr>
          <w:rFonts w:cs="Arial"/>
        </w:rPr>
        <w:t xml:space="preserve"> Clinical studies in adolescent patients, 12 to &lt; 18 years of age, are ongoing, and long-term data are not currently available.</w:t>
      </w:r>
    </w:p>
    <w:p w14:paraId="61D96213" w14:textId="77777777" w:rsidR="00291324" w:rsidRDefault="00291324" w:rsidP="001A4DD0">
      <w:pPr>
        <w:pStyle w:val="Heading3"/>
      </w:pPr>
      <w:r>
        <w:t>Effects on laboratory test</w:t>
      </w:r>
    </w:p>
    <w:p w14:paraId="6B944B3E" w14:textId="587B97E3" w:rsidR="001A4DD0" w:rsidRDefault="001A4DD0" w:rsidP="004A544A">
      <w:r w:rsidRPr="001A4DD0">
        <w:t>Refer to 4.8 ADVERSE EFFECTS (UNDESIRABLE EFFECTS)</w:t>
      </w:r>
      <w:r>
        <w:t xml:space="preserve"> – Serum bilirubin elevations.</w:t>
      </w:r>
    </w:p>
    <w:p w14:paraId="187EBCC1" w14:textId="77777777" w:rsidR="00CE7A6F" w:rsidRPr="00291324" w:rsidRDefault="00CE7A6F" w:rsidP="004A544A"/>
    <w:p w14:paraId="33176948" w14:textId="77777777" w:rsidR="001A3992" w:rsidRPr="005E1202" w:rsidRDefault="001A3992" w:rsidP="007C24AC">
      <w:pPr>
        <w:pStyle w:val="Heading2"/>
        <w:keepNext/>
        <w:keepLines/>
        <w:spacing w:before="0" w:after="120"/>
        <w:jc w:val="both"/>
        <w:rPr>
          <w:rFonts w:cs="Arial"/>
        </w:rPr>
      </w:pPr>
      <w:r w:rsidRPr="005E1202">
        <w:rPr>
          <w:rFonts w:cs="Arial"/>
        </w:rPr>
        <w:t>Interactions with other medicines and other forms of interactions</w:t>
      </w:r>
    </w:p>
    <w:p w14:paraId="242ECE64" w14:textId="77777777" w:rsidR="009C7847" w:rsidRPr="005E1202" w:rsidRDefault="009C7847" w:rsidP="007D5600">
      <w:pPr>
        <w:pStyle w:val="Heading3"/>
      </w:pPr>
      <w:r w:rsidRPr="005E1202">
        <w:t>Potential for MAVIRET to Affect Other Drugs</w:t>
      </w:r>
    </w:p>
    <w:p w14:paraId="32B0A700" w14:textId="77777777" w:rsidR="009C7847" w:rsidRPr="005E1202" w:rsidRDefault="009C7847" w:rsidP="007C24AC">
      <w:pPr>
        <w:jc w:val="both"/>
        <w:rPr>
          <w:rFonts w:cs="Arial"/>
        </w:rPr>
      </w:pPr>
      <w:r w:rsidRPr="005E1202">
        <w:rPr>
          <w:rFonts w:cs="Arial"/>
        </w:rPr>
        <w:t>Glecaprevir and pibrentasvir are inhibitors of P-glycoprotein (P-</w:t>
      </w:r>
      <w:proofErr w:type="spellStart"/>
      <w:r w:rsidRPr="005E1202">
        <w:rPr>
          <w:rFonts w:cs="Arial"/>
        </w:rPr>
        <w:t>gp</w:t>
      </w:r>
      <w:proofErr w:type="spellEnd"/>
      <w:r w:rsidRPr="005E1202">
        <w:rPr>
          <w:rFonts w:cs="Arial"/>
        </w:rPr>
        <w:t xml:space="preserve">), breast cancer resistance protein (BCRP), organic anion transporting polypeptide (OATP) 1B1/3 and BSEP. </w:t>
      </w:r>
      <w:r w:rsidR="00590774">
        <w:rPr>
          <w:rFonts w:cs="Arial"/>
        </w:rPr>
        <w:t xml:space="preserve"> </w:t>
      </w:r>
      <w:r w:rsidRPr="005E1202">
        <w:rPr>
          <w:rFonts w:cs="Arial"/>
        </w:rPr>
        <w:t>Coadministration with MAVIRET may increase plasma concentration of drugs that are substrates of P-</w:t>
      </w:r>
      <w:proofErr w:type="spellStart"/>
      <w:r w:rsidRPr="005E1202">
        <w:rPr>
          <w:rFonts w:cs="Arial"/>
        </w:rPr>
        <w:t>gp</w:t>
      </w:r>
      <w:proofErr w:type="spellEnd"/>
      <w:r w:rsidRPr="005E1202">
        <w:rPr>
          <w:rFonts w:cs="Arial"/>
        </w:rPr>
        <w:t xml:space="preserve">, BCRP, OATP1B1, OATP1B3 or BSEP. </w:t>
      </w:r>
      <w:r w:rsidR="00590774">
        <w:rPr>
          <w:rFonts w:cs="Arial"/>
        </w:rPr>
        <w:t xml:space="preserve"> </w:t>
      </w:r>
      <w:r w:rsidRPr="005E1202">
        <w:rPr>
          <w:rFonts w:cs="Arial"/>
        </w:rPr>
        <w:t xml:space="preserve">Glecaprevir and pibrentasvir are weak inhibitors of cytochrome P450 (CYP) 3A, and uridine glucuronosyltransferase (UGT) 1A1. </w:t>
      </w:r>
      <w:r w:rsidR="00590774">
        <w:rPr>
          <w:rFonts w:cs="Arial"/>
        </w:rPr>
        <w:t xml:space="preserve"> </w:t>
      </w:r>
      <w:r w:rsidRPr="005E1202">
        <w:rPr>
          <w:rFonts w:cs="Arial"/>
        </w:rPr>
        <w:t xml:space="preserve">Significant interactions are not expected when MAVIRET is </w:t>
      </w:r>
      <w:proofErr w:type="spellStart"/>
      <w:r w:rsidRPr="005E1202">
        <w:rPr>
          <w:rFonts w:cs="Arial"/>
        </w:rPr>
        <w:t>coadministered</w:t>
      </w:r>
      <w:proofErr w:type="spellEnd"/>
      <w:r w:rsidRPr="005E1202">
        <w:rPr>
          <w:rFonts w:cs="Arial"/>
        </w:rPr>
        <w:t xml:space="preserve"> with substrates of CYP3A, CYP1A2, CYP2C9, CYP2C19, CYP2D6, UGT1A1, or UGT1A4.</w:t>
      </w:r>
    </w:p>
    <w:p w14:paraId="3E036838" w14:textId="77777777" w:rsidR="009C7847" w:rsidRPr="005E1202" w:rsidRDefault="009C7847" w:rsidP="007C24AC">
      <w:pPr>
        <w:jc w:val="both"/>
        <w:rPr>
          <w:rFonts w:cs="Arial"/>
        </w:rPr>
      </w:pPr>
      <w:r w:rsidRPr="005E1202">
        <w:rPr>
          <w:rFonts w:cs="Arial"/>
        </w:rPr>
        <w:t xml:space="preserve">If MAVIRET is </w:t>
      </w:r>
      <w:proofErr w:type="spellStart"/>
      <w:r w:rsidRPr="005E1202">
        <w:rPr>
          <w:rFonts w:cs="Arial"/>
        </w:rPr>
        <w:t>coadministered</w:t>
      </w:r>
      <w:proofErr w:type="spellEnd"/>
      <w:r w:rsidRPr="005E1202">
        <w:rPr>
          <w:rFonts w:cs="Arial"/>
        </w:rPr>
        <w:t xml:space="preserve"> with vitamin K antagonist, close monitoring of </w:t>
      </w:r>
      <w:r w:rsidR="009E383F">
        <w:rPr>
          <w:rFonts w:cs="Arial"/>
        </w:rPr>
        <w:t>international normalised ratio (</w:t>
      </w:r>
      <w:r w:rsidRPr="005E1202">
        <w:rPr>
          <w:rFonts w:cs="Arial"/>
        </w:rPr>
        <w:t>INR</w:t>
      </w:r>
      <w:r w:rsidR="009E383F">
        <w:rPr>
          <w:rFonts w:cs="Arial"/>
        </w:rPr>
        <w:t>)</w:t>
      </w:r>
      <w:r w:rsidRPr="005E1202">
        <w:rPr>
          <w:rFonts w:cs="Arial"/>
        </w:rPr>
        <w:t xml:space="preserve"> is recommended. </w:t>
      </w:r>
      <w:r w:rsidR="00590774">
        <w:rPr>
          <w:rFonts w:cs="Arial"/>
        </w:rPr>
        <w:t xml:space="preserve"> </w:t>
      </w:r>
      <w:r w:rsidRPr="005E1202">
        <w:rPr>
          <w:rFonts w:cs="Arial"/>
        </w:rPr>
        <w:t>This is due to liver function changes during treatment with MAVIRET.</w:t>
      </w:r>
    </w:p>
    <w:p w14:paraId="23C1EF2F" w14:textId="77777777" w:rsidR="009C7847" w:rsidRPr="005E1202" w:rsidRDefault="009C7847" w:rsidP="001E617E">
      <w:pPr>
        <w:pStyle w:val="Heading3"/>
      </w:pPr>
      <w:r w:rsidRPr="005E1202">
        <w:t>Potential for Other Drugs to Affect MAVIRET</w:t>
      </w:r>
    </w:p>
    <w:p w14:paraId="62019273" w14:textId="77777777" w:rsidR="009C7847" w:rsidRPr="005E1202" w:rsidRDefault="009C7847" w:rsidP="007C24AC">
      <w:pPr>
        <w:jc w:val="both"/>
        <w:rPr>
          <w:rFonts w:cs="Arial"/>
        </w:rPr>
      </w:pPr>
      <w:r w:rsidRPr="005E1202">
        <w:rPr>
          <w:rFonts w:cs="Arial"/>
        </w:rPr>
        <w:t>Glecaprevir and pibrentasvir are substrates of P-</w:t>
      </w:r>
      <w:proofErr w:type="spellStart"/>
      <w:r w:rsidRPr="005E1202">
        <w:rPr>
          <w:rFonts w:cs="Arial"/>
        </w:rPr>
        <w:t>gp</w:t>
      </w:r>
      <w:proofErr w:type="spellEnd"/>
      <w:r w:rsidRPr="005E1202">
        <w:rPr>
          <w:rFonts w:cs="Arial"/>
        </w:rPr>
        <w:t xml:space="preserve"> and/or BCRP. </w:t>
      </w:r>
      <w:r w:rsidR="00590774">
        <w:rPr>
          <w:rFonts w:cs="Arial"/>
        </w:rPr>
        <w:t xml:space="preserve"> </w:t>
      </w:r>
      <w:r w:rsidRPr="005E1202">
        <w:rPr>
          <w:rFonts w:cs="Arial"/>
        </w:rPr>
        <w:t xml:space="preserve">Glecaprevir is a substrate of OATP1B1/3. </w:t>
      </w:r>
      <w:r w:rsidR="00590774">
        <w:rPr>
          <w:rFonts w:cs="Arial"/>
        </w:rPr>
        <w:t xml:space="preserve"> </w:t>
      </w:r>
      <w:r w:rsidRPr="005E1202">
        <w:rPr>
          <w:rFonts w:cs="Arial"/>
        </w:rPr>
        <w:t>Coadministration of MAVIRET with drugs that inhibit P-</w:t>
      </w:r>
      <w:proofErr w:type="spellStart"/>
      <w:r w:rsidRPr="005E1202">
        <w:rPr>
          <w:rFonts w:cs="Arial"/>
        </w:rPr>
        <w:t>gp</w:t>
      </w:r>
      <w:proofErr w:type="spellEnd"/>
      <w:r w:rsidRPr="005E1202">
        <w:rPr>
          <w:rFonts w:cs="Arial"/>
        </w:rPr>
        <w:t>, BCRP or OATP1B1/3 may increase the plasma concentrations of glecaprevir and/or pibrentasvir.</w:t>
      </w:r>
    </w:p>
    <w:p w14:paraId="5AD56EA1" w14:textId="64450837" w:rsidR="000C7097" w:rsidRPr="00430900" w:rsidRDefault="009C7847" w:rsidP="000C7097">
      <w:pPr>
        <w:jc w:val="both"/>
        <w:rPr>
          <w:rFonts w:cs="Arial"/>
        </w:rPr>
      </w:pPr>
      <w:r w:rsidRPr="005E1202">
        <w:rPr>
          <w:rFonts w:cs="Arial"/>
        </w:rPr>
        <w:t>Coadministration of MAVIRET with drugs that induce P-</w:t>
      </w:r>
      <w:proofErr w:type="spellStart"/>
      <w:r w:rsidRPr="005E1202">
        <w:rPr>
          <w:rFonts w:cs="Arial"/>
        </w:rPr>
        <w:t>gp</w:t>
      </w:r>
      <w:proofErr w:type="spellEnd"/>
      <w:r w:rsidRPr="005E1202">
        <w:rPr>
          <w:rFonts w:cs="Arial"/>
        </w:rPr>
        <w:t xml:space="preserve"> may decrease </w:t>
      </w:r>
      <w:proofErr w:type="spellStart"/>
      <w:r w:rsidRPr="005E1202">
        <w:rPr>
          <w:rFonts w:cs="Arial"/>
        </w:rPr>
        <w:t>glecaprevir</w:t>
      </w:r>
      <w:proofErr w:type="spellEnd"/>
      <w:r w:rsidRPr="005E1202">
        <w:rPr>
          <w:rFonts w:cs="Arial"/>
        </w:rPr>
        <w:t xml:space="preserve"> and pibrentasvir plasma concentrations.</w:t>
      </w:r>
    </w:p>
    <w:p w14:paraId="7604E444" w14:textId="77777777" w:rsidR="009C7847" w:rsidRPr="005E1202" w:rsidRDefault="009C7847" w:rsidP="007D5600">
      <w:pPr>
        <w:pStyle w:val="Heading3"/>
      </w:pPr>
      <w:r w:rsidRPr="005E1202">
        <w:t xml:space="preserve">Established and Other Potential Drug Interactions </w:t>
      </w:r>
    </w:p>
    <w:p w14:paraId="1C4961D3" w14:textId="138AF9B0" w:rsidR="005B4E83" w:rsidRDefault="009C7847" w:rsidP="007C24AC">
      <w:pPr>
        <w:jc w:val="both"/>
        <w:rPr>
          <w:rFonts w:cs="Arial"/>
        </w:rPr>
      </w:pPr>
      <w:r w:rsidRPr="005E1202">
        <w:rPr>
          <w:rFonts w:cs="Arial"/>
        </w:rPr>
        <w:t xml:space="preserve">Table </w:t>
      </w:r>
      <w:r w:rsidR="00D513EB">
        <w:rPr>
          <w:rFonts w:cs="Arial"/>
        </w:rPr>
        <w:t>4</w:t>
      </w:r>
      <w:r w:rsidRPr="005E1202">
        <w:rPr>
          <w:rFonts w:cs="Arial"/>
        </w:rPr>
        <w:t xml:space="preserve"> provides the effect of coadministration of MAVIRET on concentrations of concomitant drugs and the effect of concomitant drugs on glecaprevir and pibrentasvir (see </w:t>
      </w:r>
      <w:r w:rsidR="008D55BB">
        <w:rPr>
          <w:rFonts w:cs="Arial"/>
        </w:rPr>
        <w:t xml:space="preserve">4.3 </w:t>
      </w:r>
      <w:hyperlink r:id="rId12" w:anchor="contraindications" w:tooltip="gtc:Link" w:history="1">
        <w:r w:rsidRPr="005E1202">
          <w:rPr>
            <w:rStyle w:val="gtclinktext7"/>
            <w:rFonts w:cs="Arial"/>
          </w:rPr>
          <w:t>CONTRAINDICATIONS</w:t>
        </w:r>
        <w:r w:rsidRPr="005E1202">
          <w:rPr>
            <w:rStyle w:val="gtclinktext7"/>
            <w:rFonts w:cs="Arial"/>
            <w:b/>
          </w:rPr>
          <w:t xml:space="preserve"> </w:t>
        </w:r>
      </w:hyperlink>
      <w:r w:rsidRPr="005E1202">
        <w:rPr>
          <w:rFonts w:cs="Arial"/>
        </w:rPr>
        <w:t>for drugs that are contraindicated with MAVIRET).</w:t>
      </w:r>
      <w:r w:rsidR="00D513EB">
        <w:rPr>
          <w:rFonts w:cs="Arial"/>
        </w:rPr>
        <w:t xml:space="preserve"> All interaction studies were performed in adults.</w:t>
      </w:r>
    </w:p>
    <w:p w14:paraId="46EF4463" w14:textId="77777777" w:rsidR="005B4E83" w:rsidRDefault="005B4E83" w:rsidP="007C24AC">
      <w:pPr>
        <w:jc w:val="both"/>
        <w:rPr>
          <w:rFonts w:cs="Arial"/>
        </w:rPr>
      </w:pPr>
    </w:p>
    <w:p w14:paraId="44D8D62F" w14:textId="5599880A" w:rsidR="00E362E7" w:rsidRPr="005E1202" w:rsidRDefault="009C7847" w:rsidP="009C7847">
      <w:pPr>
        <w:rPr>
          <w:rFonts w:cs="Arial"/>
          <w:b/>
        </w:rPr>
      </w:pPr>
      <w:r w:rsidRPr="005E1202">
        <w:rPr>
          <w:rFonts w:cs="Arial"/>
          <w:b/>
        </w:rPr>
        <w:lastRenderedPageBreak/>
        <w:t xml:space="preserve">Table </w:t>
      </w:r>
      <w:r w:rsidR="00D513EB">
        <w:rPr>
          <w:rFonts w:cs="Arial"/>
          <w:b/>
        </w:rPr>
        <w:t>4</w:t>
      </w:r>
      <w:r w:rsidRPr="005E1202">
        <w:rPr>
          <w:rFonts w:cs="Arial"/>
          <w:b/>
        </w:rPr>
        <w:t>. Potentially Significant Drug Interactions Identified in Drug Interaction Studies that May Require Dose Alteration</w:t>
      </w:r>
    </w:p>
    <w:tbl>
      <w:tblPr>
        <w:tblStyle w:val="TableGrid"/>
        <w:tblW w:w="0" w:type="auto"/>
        <w:tblLook w:val="04A0" w:firstRow="1" w:lastRow="0" w:firstColumn="1" w:lastColumn="0" w:noHBand="0" w:noVBand="1"/>
      </w:tblPr>
      <w:tblGrid>
        <w:gridCol w:w="2764"/>
        <w:gridCol w:w="2415"/>
        <w:gridCol w:w="4063"/>
      </w:tblGrid>
      <w:tr w:rsidR="008D55BB" w:rsidRPr="005E1202" w14:paraId="043D25F4" w14:textId="77777777" w:rsidTr="005B4E83">
        <w:trPr>
          <w:cantSplit/>
          <w:tblHeader/>
        </w:trPr>
        <w:tc>
          <w:tcPr>
            <w:tcW w:w="2943" w:type="dxa"/>
            <w:vAlign w:val="center"/>
          </w:tcPr>
          <w:p w14:paraId="4D9DAD2E" w14:textId="77777777" w:rsidR="009C7847" w:rsidRPr="005E1202" w:rsidRDefault="009C7847" w:rsidP="00EC496D">
            <w:pPr>
              <w:spacing w:before="60" w:after="60"/>
              <w:jc w:val="center"/>
              <w:rPr>
                <w:rFonts w:cs="Arial"/>
                <w:b/>
              </w:rPr>
            </w:pPr>
            <w:r w:rsidRPr="005E1202">
              <w:rPr>
                <w:rFonts w:cs="Arial"/>
                <w:b/>
              </w:rPr>
              <w:t>Concomitant Drug Class: Drug Name</w:t>
            </w:r>
          </w:p>
        </w:tc>
        <w:tc>
          <w:tcPr>
            <w:tcW w:w="2565" w:type="dxa"/>
            <w:vAlign w:val="center"/>
          </w:tcPr>
          <w:p w14:paraId="35098AF7" w14:textId="77777777" w:rsidR="009C7847" w:rsidRPr="005E1202" w:rsidRDefault="009C7847" w:rsidP="00EC496D">
            <w:pPr>
              <w:spacing w:before="60" w:after="60"/>
              <w:jc w:val="center"/>
              <w:rPr>
                <w:rFonts w:cs="Arial"/>
                <w:b/>
              </w:rPr>
            </w:pPr>
            <w:r w:rsidRPr="005E1202">
              <w:rPr>
                <w:rFonts w:cs="Arial"/>
                <w:b/>
              </w:rPr>
              <w:t>Effect on Concentration</w:t>
            </w:r>
          </w:p>
        </w:tc>
        <w:tc>
          <w:tcPr>
            <w:tcW w:w="4346" w:type="dxa"/>
            <w:vAlign w:val="center"/>
          </w:tcPr>
          <w:p w14:paraId="4A24E39F" w14:textId="77777777" w:rsidR="009C7847" w:rsidRPr="005E1202" w:rsidRDefault="009C7847" w:rsidP="00EC496D">
            <w:pPr>
              <w:spacing w:before="60" w:after="60"/>
              <w:jc w:val="center"/>
              <w:rPr>
                <w:rFonts w:cs="Arial"/>
                <w:b/>
              </w:rPr>
            </w:pPr>
            <w:r w:rsidRPr="005E1202">
              <w:rPr>
                <w:rFonts w:cs="Arial"/>
                <w:b/>
              </w:rPr>
              <w:t>Clinical Comments</w:t>
            </w:r>
          </w:p>
        </w:tc>
      </w:tr>
      <w:tr w:rsidR="009C7847" w:rsidRPr="005E1202" w14:paraId="5FB56DD1" w14:textId="77777777" w:rsidTr="005B4E83">
        <w:trPr>
          <w:cantSplit/>
        </w:trPr>
        <w:tc>
          <w:tcPr>
            <w:tcW w:w="9854" w:type="dxa"/>
            <w:gridSpan w:val="3"/>
            <w:vAlign w:val="center"/>
          </w:tcPr>
          <w:p w14:paraId="38E5B74A" w14:textId="77777777" w:rsidR="009C7847" w:rsidRPr="005E1202" w:rsidRDefault="009C7847" w:rsidP="00EC496D">
            <w:pPr>
              <w:spacing w:before="60" w:after="60"/>
              <w:jc w:val="center"/>
              <w:rPr>
                <w:rFonts w:cs="Arial"/>
                <w:b/>
              </w:rPr>
            </w:pPr>
            <w:r w:rsidRPr="005E1202">
              <w:rPr>
                <w:rFonts w:cs="Arial"/>
                <w:b/>
              </w:rPr>
              <w:t>Antiarrhythmics</w:t>
            </w:r>
          </w:p>
        </w:tc>
      </w:tr>
      <w:tr w:rsidR="008D55BB" w:rsidRPr="005E1202" w14:paraId="4F59DCA7" w14:textId="77777777" w:rsidTr="005B4E83">
        <w:trPr>
          <w:cantSplit/>
        </w:trPr>
        <w:tc>
          <w:tcPr>
            <w:tcW w:w="2943" w:type="dxa"/>
            <w:vAlign w:val="center"/>
          </w:tcPr>
          <w:p w14:paraId="4E42E642" w14:textId="77777777" w:rsidR="009C7847" w:rsidRPr="005E1202" w:rsidRDefault="009C7847" w:rsidP="00EC496D">
            <w:pPr>
              <w:spacing w:before="60" w:after="60"/>
              <w:jc w:val="center"/>
              <w:rPr>
                <w:rFonts w:cs="Arial"/>
              </w:rPr>
            </w:pPr>
            <w:r w:rsidRPr="005E1202">
              <w:rPr>
                <w:rFonts w:cs="Arial"/>
              </w:rPr>
              <w:t>Digoxin</w:t>
            </w:r>
          </w:p>
        </w:tc>
        <w:tc>
          <w:tcPr>
            <w:tcW w:w="2565" w:type="dxa"/>
            <w:vAlign w:val="center"/>
          </w:tcPr>
          <w:p w14:paraId="77884B10" w14:textId="77777777" w:rsidR="009C7847" w:rsidRPr="005E1202" w:rsidRDefault="009C7847" w:rsidP="00EC496D">
            <w:pPr>
              <w:spacing w:before="60" w:after="60"/>
              <w:jc w:val="center"/>
              <w:rPr>
                <w:rFonts w:cs="Arial"/>
              </w:rPr>
            </w:pPr>
            <w:r w:rsidRPr="005E1202">
              <w:rPr>
                <w:rFonts w:cs="Arial"/>
              </w:rPr>
              <w:t>↑ digoxin</w:t>
            </w:r>
          </w:p>
        </w:tc>
        <w:tc>
          <w:tcPr>
            <w:tcW w:w="4346" w:type="dxa"/>
            <w:vAlign w:val="center"/>
          </w:tcPr>
          <w:p w14:paraId="27003E11" w14:textId="331BB7AA" w:rsidR="00605666" w:rsidRPr="005E1202" w:rsidRDefault="009C7847" w:rsidP="005B4E83">
            <w:pPr>
              <w:spacing w:before="60" w:after="60"/>
              <w:jc w:val="center"/>
              <w:rPr>
                <w:rFonts w:cs="Arial"/>
              </w:rPr>
            </w:pPr>
            <w:r w:rsidRPr="005E1202">
              <w:rPr>
                <w:rFonts w:cs="Arial"/>
              </w:rPr>
              <w:t xml:space="preserve">Digoxin dose should be reduced by 50% when </w:t>
            </w:r>
            <w:proofErr w:type="spellStart"/>
            <w:r w:rsidRPr="005E1202">
              <w:rPr>
                <w:rFonts w:cs="Arial"/>
              </w:rPr>
              <w:t>coadministered</w:t>
            </w:r>
            <w:proofErr w:type="spellEnd"/>
            <w:r w:rsidRPr="005E1202">
              <w:rPr>
                <w:rFonts w:cs="Arial"/>
              </w:rPr>
              <w:t xml:space="preserve"> with MAVIRET.</w:t>
            </w:r>
          </w:p>
        </w:tc>
      </w:tr>
      <w:tr w:rsidR="009C7847" w:rsidRPr="005E1202" w14:paraId="6347046D" w14:textId="77777777" w:rsidTr="005B4E83">
        <w:trPr>
          <w:cantSplit/>
        </w:trPr>
        <w:tc>
          <w:tcPr>
            <w:tcW w:w="9854" w:type="dxa"/>
            <w:gridSpan w:val="3"/>
            <w:vAlign w:val="center"/>
          </w:tcPr>
          <w:p w14:paraId="4572E1A3" w14:textId="77777777" w:rsidR="009C7847" w:rsidRPr="005E1202" w:rsidRDefault="009C7847" w:rsidP="00EC496D">
            <w:pPr>
              <w:spacing w:before="60" w:after="60"/>
              <w:jc w:val="center"/>
              <w:rPr>
                <w:rFonts w:cs="Arial"/>
                <w:b/>
              </w:rPr>
            </w:pPr>
            <w:r w:rsidRPr="005E1202">
              <w:rPr>
                <w:rFonts w:cs="Arial"/>
                <w:b/>
              </w:rPr>
              <w:t>Anticoagulants</w:t>
            </w:r>
          </w:p>
        </w:tc>
      </w:tr>
      <w:tr w:rsidR="008D55BB" w:rsidRPr="005E1202" w14:paraId="39D474F9" w14:textId="77777777" w:rsidTr="005B4E83">
        <w:trPr>
          <w:cantSplit/>
        </w:trPr>
        <w:tc>
          <w:tcPr>
            <w:tcW w:w="2943" w:type="dxa"/>
            <w:vAlign w:val="center"/>
          </w:tcPr>
          <w:p w14:paraId="3681BE1D" w14:textId="77777777" w:rsidR="009C7847" w:rsidRPr="005E1202" w:rsidRDefault="009C7847" w:rsidP="00EC496D">
            <w:pPr>
              <w:spacing w:before="60" w:after="60"/>
              <w:jc w:val="center"/>
              <w:rPr>
                <w:rFonts w:cs="Arial"/>
              </w:rPr>
            </w:pPr>
            <w:r w:rsidRPr="005E1202">
              <w:rPr>
                <w:rFonts w:cs="Arial"/>
              </w:rPr>
              <w:t xml:space="preserve">Dabigatran </w:t>
            </w:r>
            <w:proofErr w:type="spellStart"/>
            <w:r w:rsidRPr="005E1202">
              <w:rPr>
                <w:rFonts w:cs="Arial"/>
              </w:rPr>
              <w:t>etexilate</w:t>
            </w:r>
            <w:proofErr w:type="spellEnd"/>
          </w:p>
        </w:tc>
        <w:tc>
          <w:tcPr>
            <w:tcW w:w="2565" w:type="dxa"/>
            <w:vAlign w:val="center"/>
          </w:tcPr>
          <w:p w14:paraId="2A672352" w14:textId="77777777" w:rsidR="009C7847" w:rsidRPr="005E1202" w:rsidRDefault="009C7847" w:rsidP="00EC496D">
            <w:pPr>
              <w:spacing w:before="60" w:after="60"/>
              <w:jc w:val="center"/>
              <w:rPr>
                <w:rFonts w:cs="Arial"/>
              </w:rPr>
            </w:pPr>
            <w:r w:rsidRPr="005E1202">
              <w:rPr>
                <w:rFonts w:cs="Arial"/>
              </w:rPr>
              <w:t>↑ dabigatran</w:t>
            </w:r>
          </w:p>
        </w:tc>
        <w:tc>
          <w:tcPr>
            <w:tcW w:w="4346" w:type="dxa"/>
            <w:vAlign w:val="center"/>
          </w:tcPr>
          <w:p w14:paraId="51C2D0E3" w14:textId="77777777" w:rsidR="009C7847" w:rsidRPr="005E1202" w:rsidRDefault="009C7847" w:rsidP="00EC496D">
            <w:pPr>
              <w:spacing w:before="60" w:after="60"/>
              <w:jc w:val="center"/>
              <w:rPr>
                <w:rFonts w:cs="Arial"/>
              </w:rPr>
            </w:pPr>
            <w:r w:rsidRPr="005E1202">
              <w:rPr>
                <w:rFonts w:cs="Arial"/>
              </w:rPr>
              <w:t xml:space="preserve">Coadministration is contraindicated (see </w:t>
            </w:r>
            <w:r w:rsidR="008D55BB">
              <w:rPr>
                <w:rFonts w:cs="Arial"/>
              </w:rPr>
              <w:t xml:space="preserve">4.3 </w:t>
            </w:r>
            <w:r w:rsidRPr="005E1202">
              <w:rPr>
                <w:rFonts w:cs="Arial"/>
              </w:rPr>
              <w:t>CONTRAINDICATIONS).</w:t>
            </w:r>
          </w:p>
        </w:tc>
      </w:tr>
      <w:tr w:rsidR="009C7847" w:rsidRPr="005E1202" w14:paraId="3BBB8E63" w14:textId="77777777" w:rsidTr="005B4E83">
        <w:trPr>
          <w:cantSplit/>
        </w:trPr>
        <w:tc>
          <w:tcPr>
            <w:tcW w:w="9854" w:type="dxa"/>
            <w:gridSpan w:val="3"/>
            <w:vAlign w:val="center"/>
          </w:tcPr>
          <w:p w14:paraId="26984C80" w14:textId="77777777" w:rsidR="009C7847" w:rsidRPr="005E1202" w:rsidRDefault="009C7847" w:rsidP="00EC496D">
            <w:pPr>
              <w:spacing w:before="60" w:after="60"/>
              <w:jc w:val="center"/>
              <w:rPr>
                <w:rFonts w:cs="Arial"/>
                <w:b/>
              </w:rPr>
            </w:pPr>
            <w:r w:rsidRPr="005E1202">
              <w:rPr>
                <w:rFonts w:cs="Arial"/>
                <w:b/>
              </w:rPr>
              <w:t>Anticonvulsant</w:t>
            </w:r>
          </w:p>
        </w:tc>
      </w:tr>
      <w:tr w:rsidR="008D55BB" w:rsidRPr="005E1202" w14:paraId="2BEDFB9C" w14:textId="77777777" w:rsidTr="005B4E83">
        <w:trPr>
          <w:cantSplit/>
        </w:trPr>
        <w:tc>
          <w:tcPr>
            <w:tcW w:w="2943" w:type="dxa"/>
            <w:vMerge w:val="restart"/>
            <w:vAlign w:val="center"/>
          </w:tcPr>
          <w:p w14:paraId="2552352C" w14:textId="77777777" w:rsidR="009C7847" w:rsidRPr="005E1202" w:rsidRDefault="009C7847" w:rsidP="00EC496D">
            <w:pPr>
              <w:spacing w:before="60" w:after="60"/>
              <w:jc w:val="center"/>
              <w:rPr>
                <w:rFonts w:cs="Arial"/>
              </w:rPr>
            </w:pPr>
            <w:r w:rsidRPr="005E1202">
              <w:rPr>
                <w:rFonts w:cs="Arial"/>
              </w:rPr>
              <w:t>Carbamazepine</w:t>
            </w:r>
          </w:p>
        </w:tc>
        <w:tc>
          <w:tcPr>
            <w:tcW w:w="2565" w:type="dxa"/>
            <w:vAlign w:val="center"/>
          </w:tcPr>
          <w:p w14:paraId="5DCE9E37" w14:textId="77777777" w:rsidR="009C7847" w:rsidRPr="005E1202" w:rsidRDefault="009C7847" w:rsidP="00EC496D">
            <w:pPr>
              <w:spacing w:before="60" w:after="60"/>
              <w:jc w:val="center"/>
              <w:rPr>
                <w:rFonts w:cs="Arial"/>
              </w:rPr>
            </w:pPr>
            <w:r w:rsidRPr="005E1202">
              <w:rPr>
                <w:rFonts w:cs="Arial"/>
              </w:rPr>
              <w:t>↓ glecaprevir</w:t>
            </w:r>
          </w:p>
        </w:tc>
        <w:tc>
          <w:tcPr>
            <w:tcW w:w="4346" w:type="dxa"/>
            <w:vMerge w:val="restart"/>
            <w:vAlign w:val="center"/>
          </w:tcPr>
          <w:p w14:paraId="5A989DE3" w14:textId="77777777" w:rsidR="009C7847" w:rsidRPr="005E1202" w:rsidRDefault="009C7847" w:rsidP="00EC496D">
            <w:pPr>
              <w:spacing w:before="60" w:after="60"/>
              <w:jc w:val="center"/>
              <w:rPr>
                <w:rFonts w:cs="Arial"/>
              </w:rPr>
            </w:pPr>
            <w:r w:rsidRPr="005E1202">
              <w:rPr>
                <w:rFonts w:cs="Arial"/>
              </w:rPr>
              <w:t>Coadministration may lead to reduced therapeutic effect of MAVIRET and is not recommended.</w:t>
            </w:r>
          </w:p>
        </w:tc>
      </w:tr>
      <w:tr w:rsidR="008D55BB" w:rsidRPr="005E1202" w14:paraId="1AA28461" w14:textId="77777777" w:rsidTr="005B4E83">
        <w:trPr>
          <w:cantSplit/>
        </w:trPr>
        <w:tc>
          <w:tcPr>
            <w:tcW w:w="2943" w:type="dxa"/>
            <w:vMerge/>
            <w:vAlign w:val="center"/>
          </w:tcPr>
          <w:p w14:paraId="63DA69F5" w14:textId="77777777" w:rsidR="009C7847" w:rsidRPr="005E1202" w:rsidRDefault="009C7847" w:rsidP="00EC496D">
            <w:pPr>
              <w:spacing w:before="60" w:after="60"/>
              <w:jc w:val="center"/>
              <w:rPr>
                <w:rFonts w:cs="Arial"/>
              </w:rPr>
            </w:pPr>
          </w:p>
        </w:tc>
        <w:tc>
          <w:tcPr>
            <w:tcW w:w="2565" w:type="dxa"/>
            <w:vAlign w:val="center"/>
          </w:tcPr>
          <w:p w14:paraId="4D1FD77C" w14:textId="77777777" w:rsidR="009C7847" w:rsidRPr="005E1202" w:rsidRDefault="009C7847" w:rsidP="00EC496D">
            <w:pPr>
              <w:spacing w:before="60" w:after="60"/>
              <w:jc w:val="center"/>
              <w:rPr>
                <w:rFonts w:cs="Arial"/>
              </w:rPr>
            </w:pPr>
            <w:r w:rsidRPr="005E1202">
              <w:rPr>
                <w:rFonts w:cs="Arial"/>
              </w:rPr>
              <w:t>↓ pibrentasvir</w:t>
            </w:r>
          </w:p>
        </w:tc>
        <w:tc>
          <w:tcPr>
            <w:tcW w:w="4346" w:type="dxa"/>
            <w:vMerge/>
            <w:vAlign w:val="center"/>
          </w:tcPr>
          <w:p w14:paraId="599A9712" w14:textId="77777777" w:rsidR="009C7847" w:rsidRPr="005E1202" w:rsidRDefault="009C7847" w:rsidP="00EC496D">
            <w:pPr>
              <w:spacing w:before="60" w:after="60"/>
              <w:jc w:val="center"/>
              <w:rPr>
                <w:rFonts w:cs="Arial"/>
              </w:rPr>
            </w:pPr>
          </w:p>
        </w:tc>
      </w:tr>
      <w:tr w:rsidR="009C7847" w:rsidRPr="005E1202" w14:paraId="607B68B8" w14:textId="77777777" w:rsidTr="005B4E83">
        <w:trPr>
          <w:cantSplit/>
        </w:trPr>
        <w:tc>
          <w:tcPr>
            <w:tcW w:w="9854" w:type="dxa"/>
            <w:gridSpan w:val="3"/>
            <w:vAlign w:val="center"/>
          </w:tcPr>
          <w:p w14:paraId="67BD33DC" w14:textId="77777777" w:rsidR="009C7847" w:rsidRPr="005E1202" w:rsidRDefault="009C7847" w:rsidP="00EC496D">
            <w:pPr>
              <w:spacing w:before="60" w:after="60"/>
              <w:jc w:val="center"/>
              <w:rPr>
                <w:rFonts w:cs="Arial"/>
                <w:b/>
              </w:rPr>
            </w:pPr>
            <w:proofErr w:type="spellStart"/>
            <w:r w:rsidRPr="005E1202">
              <w:rPr>
                <w:rFonts w:cs="Arial"/>
                <w:b/>
              </w:rPr>
              <w:t>Antimycobacterials</w:t>
            </w:r>
            <w:proofErr w:type="spellEnd"/>
          </w:p>
        </w:tc>
      </w:tr>
      <w:tr w:rsidR="008D55BB" w:rsidRPr="005E1202" w14:paraId="4B772C4F" w14:textId="77777777" w:rsidTr="005B4E83">
        <w:trPr>
          <w:cantSplit/>
        </w:trPr>
        <w:tc>
          <w:tcPr>
            <w:tcW w:w="2943" w:type="dxa"/>
            <w:vMerge w:val="restart"/>
            <w:vAlign w:val="center"/>
          </w:tcPr>
          <w:p w14:paraId="796D46F6" w14:textId="77777777" w:rsidR="009C7847" w:rsidRPr="005E1202" w:rsidRDefault="009C7847" w:rsidP="00EC496D">
            <w:pPr>
              <w:spacing w:before="60" w:after="60"/>
              <w:jc w:val="center"/>
              <w:rPr>
                <w:rFonts w:cs="Arial"/>
              </w:rPr>
            </w:pPr>
            <w:r w:rsidRPr="005E1202">
              <w:rPr>
                <w:rFonts w:cs="Arial"/>
              </w:rPr>
              <w:t>Rifampicin</w:t>
            </w:r>
          </w:p>
        </w:tc>
        <w:tc>
          <w:tcPr>
            <w:tcW w:w="2565" w:type="dxa"/>
            <w:vAlign w:val="center"/>
          </w:tcPr>
          <w:p w14:paraId="70484FB0" w14:textId="77777777" w:rsidR="009C7847" w:rsidRPr="005E1202" w:rsidRDefault="009C7847" w:rsidP="00EC496D">
            <w:pPr>
              <w:spacing w:before="60" w:after="60"/>
              <w:jc w:val="center"/>
              <w:rPr>
                <w:rFonts w:cs="Arial"/>
                <w:b/>
              </w:rPr>
            </w:pPr>
            <w:r w:rsidRPr="005E1202">
              <w:rPr>
                <w:rFonts w:cs="Arial"/>
              </w:rPr>
              <w:t>↓ glecaprevir</w:t>
            </w:r>
          </w:p>
        </w:tc>
        <w:tc>
          <w:tcPr>
            <w:tcW w:w="4346" w:type="dxa"/>
            <w:vMerge w:val="restart"/>
            <w:vAlign w:val="center"/>
          </w:tcPr>
          <w:p w14:paraId="21260AC0" w14:textId="77777777" w:rsidR="009C7847" w:rsidRPr="005E1202" w:rsidRDefault="009C7847" w:rsidP="00EC496D">
            <w:pPr>
              <w:spacing w:before="60" w:after="60"/>
              <w:jc w:val="center"/>
              <w:rPr>
                <w:rFonts w:cs="Arial"/>
                <w:b/>
              </w:rPr>
            </w:pPr>
            <w:r w:rsidRPr="005E1202">
              <w:rPr>
                <w:rFonts w:cs="Arial"/>
              </w:rPr>
              <w:t xml:space="preserve">Coadministration is contraindicated because of potential loss of therapeutic effect (see </w:t>
            </w:r>
            <w:r w:rsidR="008D55BB">
              <w:rPr>
                <w:rFonts w:cs="Arial"/>
              </w:rPr>
              <w:t xml:space="preserve">4.3 </w:t>
            </w:r>
            <w:r w:rsidRPr="005E1202">
              <w:rPr>
                <w:rFonts w:cs="Arial"/>
              </w:rPr>
              <w:t>CONTRAINDICATIONS).</w:t>
            </w:r>
          </w:p>
        </w:tc>
      </w:tr>
      <w:tr w:rsidR="008D55BB" w:rsidRPr="005E1202" w14:paraId="0405AF2F" w14:textId="77777777" w:rsidTr="005B4E83">
        <w:trPr>
          <w:cantSplit/>
        </w:trPr>
        <w:tc>
          <w:tcPr>
            <w:tcW w:w="2943" w:type="dxa"/>
            <w:vMerge/>
            <w:vAlign w:val="center"/>
          </w:tcPr>
          <w:p w14:paraId="35EBB442" w14:textId="77777777" w:rsidR="009C7847" w:rsidRPr="005E1202" w:rsidRDefault="009C7847" w:rsidP="00EC496D">
            <w:pPr>
              <w:spacing w:before="60" w:after="60"/>
              <w:jc w:val="center"/>
              <w:rPr>
                <w:rFonts w:cs="Arial"/>
                <w:b/>
              </w:rPr>
            </w:pPr>
          </w:p>
        </w:tc>
        <w:tc>
          <w:tcPr>
            <w:tcW w:w="2565" w:type="dxa"/>
            <w:vAlign w:val="center"/>
          </w:tcPr>
          <w:p w14:paraId="2E6F0E7C" w14:textId="77777777" w:rsidR="009C7847" w:rsidRPr="005E1202" w:rsidRDefault="009C7847" w:rsidP="00EC496D">
            <w:pPr>
              <w:spacing w:before="60" w:after="60"/>
              <w:jc w:val="center"/>
              <w:rPr>
                <w:rFonts w:cs="Arial"/>
                <w:b/>
              </w:rPr>
            </w:pPr>
            <w:r w:rsidRPr="005E1202">
              <w:rPr>
                <w:rFonts w:cs="Arial"/>
              </w:rPr>
              <w:t>↓ pibrentasvir</w:t>
            </w:r>
          </w:p>
        </w:tc>
        <w:tc>
          <w:tcPr>
            <w:tcW w:w="4346" w:type="dxa"/>
            <w:vMerge/>
            <w:vAlign w:val="center"/>
          </w:tcPr>
          <w:p w14:paraId="758B81F6" w14:textId="77777777" w:rsidR="009C7847" w:rsidRPr="005E1202" w:rsidRDefault="009C7847" w:rsidP="00EC496D">
            <w:pPr>
              <w:spacing w:before="60" w:after="60"/>
              <w:jc w:val="center"/>
              <w:rPr>
                <w:rFonts w:cs="Arial"/>
                <w:b/>
              </w:rPr>
            </w:pPr>
          </w:p>
        </w:tc>
      </w:tr>
      <w:tr w:rsidR="009C7847" w:rsidRPr="005E1202" w14:paraId="4C33D3FF" w14:textId="77777777" w:rsidTr="005B4E83">
        <w:trPr>
          <w:cantSplit/>
        </w:trPr>
        <w:tc>
          <w:tcPr>
            <w:tcW w:w="9854" w:type="dxa"/>
            <w:gridSpan w:val="3"/>
            <w:vAlign w:val="center"/>
          </w:tcPr>
          <w:p w14:paraId="691E5871" w14:textId="77777777" w:rsidR="009C7847" w:rsidRPr="005E1202" w:rsidRDefault="009C7847" w:rsidP="00EC496D">
            <w:pPr>
              <w:spacing w:before="60" w:after="60"/>
              <w:jc w:val="center"/>
              <w:rPr>
                <w:rFonts w:cs="Arial"/>
                <w:b/>
              </w:rPr>
            </w:pPr>
            <w:proofErr w:type="spellStart"/>
            <w:r w:rsidRPr="005E1202">
              <w:rPr>
                <w:rFonts w:cs="Arial"/>
                <w:b/>
              </w:rPr>
              <w:t>Ethinyloestradiol</w:t>
            </w:r>
            <w:proofErr w:type="spellEnd"/>
            <w:r w:rsidRPr="005E1202">
              <w:rPr>
                <w:rFonts w:cs="Arial"/>
                <w:b/>
              </w:rPr>
              <w:t>-Containing Products</w:t>
            </w:r>
          </w:p>
        </w:tc>
      </w:tr>
      <w:tr w:rsidR="008D55BB" w:rsidRPr="005E1202" w14:paraId="31E70BEF" w14:textId="77777777" w:rsidTr="005B4E83">
        <w:trPr>
          <w:cantSplit/>
          <w:trHeight w:val="511"/>
        </w:trPr>
        <w:tc>
          <w:tcPr>
            <w:tcW w:w="2943" w:type="dxa"/>
            <w:vMerge w:val="restart"/>
            <w:vAlign w:val="center"/>
          </w:tcPr>
          <w:p w14:paraId="7B58BB85" w14:textId="77777777" w:rsidR="009C7847" w:rsidRPr="005E1202" w:rsidRDefault="009C7847" w:rsidP="00EC496D">
            <w:pPr>
              <w:spacing w:before="60" w:after="60"/>
              <w:jc w:val="center"/>
              <w:rPr>
                <w:rFonts w:cs="Arial"/>
              </w:rPr>
            </w:pPr>
            <w:proofErr w:type="spellStart"/>
            <w:r w:rsidRPr="005E1202">
              <w:rPr>
                <w:rFonts w:cs="Arial"/>
              </w:rPr>
              <w:t>Ethinyloestradiol</w:t>
            </w:r>
            <w:proofErr w:type="spellEnd"/>
            <w:r w:rsidRPr="005E1202">
              <w:rPr>
                <w:rFonts w:cs="Arial"/>
              </w:rPr>
              <w:t>-containing medications such as combined oral contraceptives</w:t>
            </w:r>
          </w:p>
        </w:tc>
        <w:tc>
          <w:tcPr>
            <w:tcW w:w="2565" w:type="dxa"/>
            <w:vAlign w:val="center"/>
          </w:tcPr>
          <w:p w14:paraId="161ECE03" w14:textId="77777777" w:rsidR="009C7847" w:rsidRPr="005E1202" w:rsidRDefault="009C7847" w:rsidP="00EC496D">
            <w:pPr>
              <w:spacing w:before="60" w:after="60"/>
              <w:jc w:val="center"/>
              <w:rPr>
                <w:rFonts w:cs="Arial"/>
              </w:rPr>
            </w:pPr>
            <w:r w:rsidRPr="005E1202">
              <w:rPr>
                <w:rFonts w:cs="Arial"/>
              </w:rPr>
              <w:t>↔ glecaprevir</w:t>
            </w:r>
          </w:p>
        </w:tc>
        <w:tc>
          <w:tcPr>
            <w:tcW w:w="4346" w:type="dxa"/>
            <w:vMerge w:val="restart"/>
            <w:vAlign w:val="center"/>
          </w:tcPr>
          <w:p w14:paraId="36D203C2" w14:textId="77777777" w:rsidR="009C7847" w:rsidRPr="005E1202" w:rsidRDefault="009C7847" w:rsidP="00EC496D">
            <w:pPr>
              <w:spacing w:before="60" w:after="60"/>
              <w:jc w:val="center"/>
              <w:rPr>
                <w:rFonts w:cs="Arial"/>
              </w:rPr>
            </w:pPr>
            <w:r w:rsidRPr="005E1202">
              <w:rPr>
                <w:rFonts w:cs="Arial"/>
              </w:rPr>
              <w:t xml:space="preserve">Coadministration of MAVIRET with </w:t>
            </w:r>
            <w:proofErr w:type="spellStart"/>
            <w:r w:rsidRPr="005E1202">
              <w:rPr>
                <w:rFonts w:cs="Arial"/>
              </w:rPr>
              <w:t>ethinyloestradiol</w:t>
            </w:r>
            <w:proofErr w:type="spellEnd"/>
            <w:r w:rsidRPr="005E1202">
              <w:rPr>
                <w:rFonts w:cs="Arial"/>
              </w:rPr>
              <w:t xml:space="preserve">-containing products may increase the risk of ALT elevations and is contraindicated (see </w:t>
            </w:r>
            <w:r w:rsidR="008D55BB">
              <w:rPr>
                <w:rFonts w:cs="Arial"/>
              </w:rPr>
              <w:t xml:space="preserve">4.3 </w:t>
            </w:r>
            <w:r w:rsidRPr="005E1202">
              <w:rPr>
                <w:rFonts w:cs="Arial"/>
              </w:rPr>
              <w:t>CONTRAINDICATIONS).</w:t>
            </w:r>
          </w:p>
        </w:tc>
      </w:tr>
      <w:tr w:rsidR="008D55BB" w:rsidRPr="005E1202" w14:paraId="75245A42" w14:textId="77777777" w:rsidTr="005B4E83">
        <w:trPr>
          <w:cantSplit/>
        </w:trPr>
        <w:tc>
          <w:tcPr>
            <w:tcW w:w="2943" w:type="dxa"/>
            <w:vMerge/>
            <w:vAlign w:val="center"/>
          </w:tcPr>
          <w:p w14:paraId="07C19D3B" w14:textId="77777777" w:rsidR="009C7847" w:rsidRPr="005E1202" w:rsidRDefault="009C7847" w:rsidP="00EC496D">
            <w:pPr>
              <w:spacing w:before="60" w:after="60"/>
              <w:jc w:val="center"/>
              <w:rPr>
                <w:rFonts w:cs="Arial"/>
              </w:rPr>
            </w:pPr>
          </w:p>
        </w:tc>
        <w:tc>
          <w:tcPr>
            <w:tcW w:w="2565" w:type="dxa"/>
            <w:vAlign w:val="center"/>
          </w:tcPr>
          <w:p w14:paraId="29B985E6" w14:textId="77777777" w:rsidR="009C7847" w:rsidRPr="005E1202" w:rsidRDefault="009C7847" w:rsidP="00EC496D">
            <w:pPr>
              <w:spacing w:before="60" w:after="60"/>
              <w:jc w:val="center"/>
              <w:rPr>
                <w:rFonts w:cs="Arial"/>
              </w:rPr>
            </w:pPr>
            <w:r w:rsidRPr="005E1202">
              <w:rPr>
                <w:rFonts w:cs="Arial"/>
              </w:rPr>
              <w:t>↔ pibrentasvir</w:t>
            </w:r>
          </w:p>
        </w:tc>
        <w:tc>
          <w:tcPr>
            <w:tcW w:w="4346" w:type="dxa"/>
            <w:vMerge/>
            <w:vAlign w:val="center"/>
          </w:tcPr>
          <w:p w14:paraId="4D529B80" w14:textId="77777777" w:rsidR="009C7847" w:rsidRPr="005E1202" w:rsidRDefault="009C7847" w:rsidP="00EC496D">
            <w:pPr>
              <w:spacing w:before="60" w:after="60"/>
              <w:jc w:val="center"/>
              <w:rPr>
                <w:rFonts w:cs="Arial"/>
              </w:rPr>
            </w:pPr>
          </w:p>
        </w:tc>
      </w:tr>
      <w:tr w:rsidR="009C7847" w:rsidRPr="005E1202" w14:paraId="4D7B7CFE" w14:textId="77777777" w:rsidTr="005B4E83">
        <w:trPr>
          <w:cantSplit/>
        </w:trPr>
        <w:tc>
          <w:tcPr>
            <w:tcW w:w="9854" w:type="dxa"/>
            <w:gridSpan w:val="3"/>
            <w:vAlign w:val="center"/>
          </w:tcPr>
          <w:p w14:paraId="0EA7913D" w14:textId="77777777" w:rsidR="009C7847" w:rsidRPr="005E1202" w:rsidRDefault="009C7847" w:rsidP="00EC496D">
            <w:pPr>
              <w:spacing w:before="60" w:after="60"/>
              <w:jc w:val="center"/>
              <w:rPr>
                <w:rFonts w:cs="Arial"/>
                <w:b/>
              </w:rPr>
            </w:pPr>
            <w:r w:rsidRPr="005E1202">
              <w:rPr>
                <w:rFonts w:cs="Arial"/>
                <w:b/>
              </w:rPr>
              <w:t>Herbal Products</w:t>
            </w:r>
          </w:p>
        </w:tc>
      </w:tr>
      <w:tr w:rsidR="008D55BB" w:rsidRPr="005E1202" w14:paraId="1E535D23" w14:textId="77777777" w:rsidTr="005B4E83">
        <w:trPr>
          <w:cantSplit/>
        </w:trPr>
        <w:tc>
          <w:tcPr>
            <w:tcW w:w="2943" w:type="dxa"/>
            <w:vMerge w:val="restart"/>
            <w:vAlign w:val="center"/>
          </w:tcPr>
          <w:p w14:paraId="15770015" w14:textId="77777777" w:rsidR="009C7847" w:rsidRPr="005E1202" w:rsidRDefault="009C7847" w:rsidP="00EC496D">
            <w:pPr>
              <w:spacing w:before="60" w:after="60"/>
              <w:jc w:val="center"/>
              <w:rPr>
                <w:rFonts w:cs="Arial"/>
              </w:rPr>
            </w:pPr>
            <w:r w:rsidRPr="005E1202">
              <w:rPr>
                <w:rFonts w:cs="Arial"/>
              </w:rPr>
              <w:t>St. John’s Wort</w:t>
            </w:r>
            <w:r w:rsidRPr="005E1202">
              <w:rPr>
                <w:rFonts w:cs="Arial"/>
              </w:rPr>
              <w:br/>
              <w:t>(</w:t>
            </w:r>
            <w:r w:rsidRPr="005E1202">
              <w:rPr>
                <w:rFonts w:cs="Arial"/>
                <w:i/>
              </w:rPr>
              <w:t xml:space="preserve">hypericum </w:t>
            </w:r>
            <w:proofErr w:type="spellStart"/>
            <w:r w:rsidRPr="005E1202">
              <w:rPr>
                <w:rFonts w:cs="Arial"/>
                <w:i/>
              </w:rPr>
              <w:t>perforatum</w:t>
            </w:r>
            <w:proofErr w:type="spellEnd"/>
            <w:r w:rsidRPr="005E1202">
              <w:rPr>
                <w:rFonts w:cs="Arial"/>
              </w:rPr>
              <w:t>)</w:t>
            </w:r>
          </w:p>
        </w:tc>
        <w:tc>
          <w:tcPr>
            <w:tcW w:w="2565" w:type="dxa"/>
            <w:vAlign w:val="center"/>
          </w:tcPr>
          <w:p w14:paraId="114AD703" w14:textId="77777777" w:rsidR="009C7847" w:rsidRPr="005E1202" w:rsidRDefault="009C7847" w:rsidP="00EC496D">
            <w:pPr>
              <w:spacing w:before="60" w:after="60"/>
              <w:jc w:val="center"/>
              <w:rPr>
                <w:rFonts w:cs="Arial"/>
              </w:rPr>
            </w:pPr>
            <w:r w:rsidRPr="005E1202">
              <w:rPr>
                <w:rFonts w:cs="Arial"/>
              </w:rPr>
              <w:t>↓ glecaprevir</w:t>
            </w:r>
          </w:p>
        </w:tc>
        <w:tc>
          <w:tcPr>
            <w:tcW w:w="4346" w:type="dxa"/>
            <w:vMerge w:val="restart"/>
            <w:vAlign w:val="center"/>
          </w:tcPr>
          <w:p w14:paraId="7F273619" w14:textId="77777777" w:rsidR="009C7847" w:rsidRPr="005E1202" w:rsidRDefault="009C7847" w:rsidP="00EC496D">
            <w:pPr>
              <w:spacing w:before="60" w:after="60"/>
              <w:jc w:val="center"/>
              <w:rPr>
                <w:rFonts w:cs="Arial"/>
              </w:rPr>
            </w:pPr>
            <w:r w:rsidRPr="005E1202">
              <w:rPr>
                <w:rFonts w:cs="Arial"/>
              </w:rPr>
              <w:t>Coadministration may lead to reduced therapeutic effect of MAVIRET and is not recommended.</w:t>
            </w:r>
          </w:p>
        </w:tc>
      </w:tr>
      <w:tr w:rsidR="008D55BB" w:rsidRPr="005E1202" w14:paraId="089677C4" w14:textId="77777777" w:rsidTr="005B4E83">
        <w:trPr>
          <w:cantSplit/>
        </w:trPr>
        <w:tc>
          <w:tcPr>
            <w:tcW w:w="2943" w:type="dxa"/>
            <w:vMerge/>
            <w:vAlign w:val="center"/>
          </w:tcPr>
          <w:p w14:paraId="7F28CB85" w14:textId="77777777" w:rsidR="009C7847" w:rsidRPr="005E1202" w:rsidRDefault="009C7847" w:rsidP="00EC496D">
            <w:pPr>
              <w:spacing w:before="60" w:after="60"/>
              <w:jc w:val="center"/>
              <w:rPr>
                <w:rFonts w:cs="Arial"/>
              </w:rPr>
            </w:pPr>
          </w:p>
        </w:tc>
        <w:tc>
          <w:tcPr>
            <w:tcW w:w="2565" w:type="dxa"/>
            <w:vAlign w:val="center"/>
          </w:tcPr>
          <w:p w14:paraId="5B14BC47" w14:textId="77777777" w:rsidR="009C7847" w:rsidRPr="005E1202" w:rsidRDefault="009C7847" w:rsidP="00EC496D">
            <w:pPr>
              <w:spacing w:before="60" w:after="60"/>
              <w:jc w:val="center"/>
              <w:rPr>
                <w:rFonts w:cs="Arial"/>
              </w:rPr>
            </w:pPr>
            <w:r w:rsidRPr="005E1202">
              <w:rPr>
                <w:rFonts w:cs="Arial"/>
              </w:rPr>
              <w:t>↓ pibrentasvir</w:t>
            </w:r>
          </w:p>
        </w:tc>
        <w:tc>
          <w:tcPr>
            <w:tcW w:w="4346" w:type="dxa"/>
            <w:vMerge/>
            <w:vAlign w:val="center"/>
          </w:tcPr>
          <w:p w14:paraId="4587DF83" w14:textId="77777777" w:rsidR="009C7847" w:rsidRPr="005E1202" w:rsidRDefault="009C7847" w:rsidP="00EC496D">
            <w:pPr>
              <w:spacing w:before="60" w:after="60"/>
              <w:jc w:val="center"/>
              <w:rPr>
                <w:rFonts w:cs="Arial"/>
              </w:rPr>
            </w:pPr>
          </w:p>
        </w:tc>
      </w:tr>
      <w:tr w:rsidR="009C7847" w:rsidRPr="005E1202" w14:paraId="52EC36F9" w14:textId="77777777" w:rsidTr="005B4E83">
        <w:trPr>
          <w:cantSplit/>
        </w:trPr>
        <w:tc>
          <w:tcPr>
            <w:tcW w:w="9854" w:type="dxa"/>
            <w:gridSpan w:val="3"/>
            <w:vAlign w:val="center"/>
          </w:tcPr>
          <w:p w14:paraId="0F7D3F25" w14:textId="77777777" w:rsidR="009C7847" w:rsidRPr="005E1202" w:rsidRDefault="009C7847" w:rsidP="00EC496D">
            <w:pPr>
              <w:spacing w:before="60" w:after="60"/>
              <w:jc w:val="center"/>
              <w:rPr>
                <w:rFonts w:cs="Arial"/>
                <w:b/>
              </w:rPr>
            </w:pPr>
            <w:r w:rsidRPr="005E1202">
              <w:rPr>
                <w:rFonts w:cs="Arial"/>
                <w:b/>
              </w:rPr>
              <w:t>HIV-Antiviral Agents</w:t>
            </w:r>
          </w:p>
        </w:tc>
      </w:tr>
      <w:tr w:rsidR="008D55BB" w:rsidRPr="005E1202" w14:paraId="562DF33D" w14:textId="77777777" w:rsidTr="005B4E83">
        <w:trPr>
          <w:cantSplit/>
          <w:trHeight w:val="540"/>
        </w:trPr>
        <w:tc>
          <w:tcPr>
            <w:tcW w:w="2943" w:type="dxa"/>
            <w:vMerge w:val="restart"/>
            <w:vAlign w:val="center"/>
          </w:tcPr>
          <w:p w14:paraId="4B05C1B4" w14:textId="77777777" w:rsidR="009C7847" w:rsidRPr="005E1202" w:rsidRDefault="009C7847" w:rsidP="00EC496D">
            <w:pPr>
              <w:spacing w:before="60" w:after="60"/>
              <w:jc w:val="center"/>
              <w:rPr>
                <w:rFonts w:cs="Arial"/>
              </w:rPr>
            </w:pPr>
            <w:r w:rsidRPr="005E1202">
              <w:rPr>
                <w:rFonts w:cs="Arial"/>
              </w:rPr>
              <w:t>Atazanavir</w:t>
            </w:r>
          </w:p>
        </w:tc>
        <w:tc>
          <w:tcPr>
            <w:tcW w:w="2565" w:type="dxa"/>
            <w:vAlign w:val="center"/>
          </w:tcPr>
          <w:p w14:paraId="36E4E8AA" w14:textId="77777777" w:rsidR="009C7847" w:rsidRPr="005E1202" w:rsidRDefault="009C7847" w:rsidP="00EC496D">
            <w:pPr>
              <w:spacing w:before="60" w:after="60"/>
              <w:jc w:val="center"/>
              <w:rPr>
                <w:rFonts w:cs="Arial"/>
              </w:rPr>
            </w:pPr>
            <w:r w:rsidRPr="005E1202">
              <w:rPr>
                <w:rFonts w:cs="Arial"/>
              </w:rPr>
              <w:t>↑ glecaprevir</w:t>
            </w:r>
          </w:p>
        </w:tc>
        <w:tc>
          <w:tcPr>
            <w:tcW w:w="4346" w:type="dxa"/>
            <w:vMerge w:val="restart"/>
            <w:vAlign w:val="center"/>
          </w:tcPr>
          <w:p w14:paraId="06BE862C" w14:textId="77777777" w:rsidR="009C7847" w:rsidRPr="005E1202" w:rsidRDefault="009C7847" w:rsidP="00EC496D">
            <w:pPr>
              <w:spacing w:before="60" w:after="60"/>
              <w:jc w:val="center"/>
              <w:rPr>
                <w:rFonts w:cs="Arial"/>
              </w:rPr>
            </w:pPr>
            <w:r w:rsidRPr="005E1202">
              <w:rPr>
                <w:rFonts w:cs="Arial"/>
              </w:rPr>
              <w:t xml:space="preserve">Coadministration is contraindicated due to increased risk of ALT elevations (see </w:t>
            </w:r>
            <w:r w:rsidR="008D55BB">
              <w:rPr>
                <w:rFonts w:cs="Arial"/>
              </w:rPr>
              <w:t xml:space="preserve">4.3 </w:t>
            </w:r>
            <w:r w:rsidRPr="005E1202">
              <w:rPr>
                <w:rFonts w:cs="Arial"/>
              </w:rPr>
              <w:t>CONTRAINDICATIONS).</w:t>
            </w:r>
          </w:p>
        </w:tc>
      </w:tr>
      <w:tr w:rsidR="008D55BB" w:rsidRPr="005E1202" w14:paraId="4ED59E68" w14:textId="77777777" w:rsidTr="005B4E83">
        <w:trPr>
          <w:cantSplit/>
          <w:trHeight w:val="540"/>
        </w:trPr>
        <w:tc>
          <w:tcPr>
            <w:tcW w:w="2943" w:type="dxa"/>
            <w:vMerge/>
            <w:vAlign w:val="center"/>
          </w:tcPr>
          <w:p w14:paraId="3BD96046" w14:textId="77777777" w:rsidR="009C7847" w:rsidRPr="005E1202" w:rsidRDefault="009C7847" w:rsidP="00EC496D">
            <w:pPr>
              <w:spacing w:before="60" w:after="60"/>
              <w:jc w:val="center"/>
              <w:rPr>
                <w:rFonts w:cs="Arial"/>
              </w:rPr>
            </w:pPr>
          </w:p>
        </w:tc>
        <w:tc>
          <w:tcPr>
            <w:tcW w:w="2565" w:type="dxa"/>
            <w:vAlign w:val="center"/>
          </w:tcPr>
          <w:p w14:paraId="1D4F339A" w14:textId="77777777" w:rsidR="009C7847" w:rsidRPr="005E1202" w:rsidRDefault="009C7847" w:rsidP="00EC496D">
            <w:pPr>
              <w:spacing w:before="60" w:after="60"/>
              <w:jc w:val="center"/>
              <w:rPr>
                <w:rFonts w:cs="Arial"/>
              </w:rPr>
            </w:pPr>
            <w:r w:rsidRPr="005E1202">
              <w:rPr>
                <w:rFonts w:cs="Arial"/>
              </w:rPr>
              <w:t>↑ pibrentasvir</w:t>
            </w:r>
          </w:p>
        </w:tc>
        <w:tc>
          <w:tcPr>
            <w:tcW w:w="4346" w:type="dxa"/>
            <w:vMerge/>
            <w:vAlign w:val="center"/>
          </w:tcPr>
          <w:p w14:paraId="027B4A14" w14:textId="77777777" w:rsidR="009C7847" w:rsidRPr="005E1202" w:rsidRDefault="009C7847" w:rsidP="00EC496D">
            <w:pPr>
              <w:spacing w:before="60" w:after="60"/>
              <w:jc w:val="center"/>
              <w:rPr>
                <w:rFonts w:cs="Arial"/>
              </w:rPr>
            </w:pPr>
          </w:p>
        </w:tc>
      </w:tr>
      <w:tr w:rsidR="008D55BB" w:rsidRPr="005E1202" w14:paraId="11E25936" w14:textId="77777777" w:rsidTr="005B4E83">
        <w:trPr>
          <w:cantSplit/>
          <w:trHeight w:val="431"/>
        </w:trPr>
        <w:tc>
          <w:tcPr>
            <w:tcW w:w="2943" w:type="dxa"/>
            <w:vMerge w:val="restart"/>
            <w:vAlign w:val="center"/>
          </w:tcPr>
          <w:p w14:paraId="742ADE03" w14:textId="77777777" w:rsidR="009C7847" w:rsidRPr="005E1202" w:rsidRDefault="009C7847" w:rsidP="00EC496D">
            <w:pPr>
              <w:spacing w:before="60" w:after="60"/>
              <w:jc w:val="center"/>
              <w:rPr>
                <w:rFonts w:cs="Arial"/>
              </w:rPr>
            </w:pPr>
            <w:r w:rsidRPr="005E1202">
              <w:rPr>
                <w:rFonts w:cs="Arial"/>
              </w:rPr>
              <w:t>Darunavir</w:t>
            </w:r>
          </w:p>
          <w:p w14:paraId="2B940EF4" w14:textId="77777777" w:rsidR="009C7847" w:rsidRPr="005E1202" w:rsidRDefault="009C7847" w:rsidP="00EC496D">
            <w:pPr>
              <w:spacing w:before="60" w:after="60"/>
              <w:jc w:val="center"/>
              <w:rPr>
                <w:rFonts w:cs="Arial"/>
              </w:rPr>
            </w:pPr>
            <w:r w:rsidRPr="005E1202">
              <w:rPr>
                <w:rFonts w:cs="Arial"/>
              </w:rPr>
              <w:t>Lopinavir</w:t>
            </w:r>
          </w:p>
          <w:p w14:paraId="6A0E75D6" w14:textId="77777777" w:rsidR="009C7847" w:rsidRPr="005E1202" w:rsidRDefault="009C7847" w:rsidP="00EC496D">
            <w:pPr>
              <w:spacing w:before="60" w:after="60"/>
              <w:jc w:val="center"/>
              <w:rPr>
                <w:rFonts w:cs="Arial"/>
              </w:rPr>
            </w:pPr>
            <w:r w:rsidRPr="005E1202">
              <w:rPr>
                <w:rFonts w:cs="Arial"/>
              </w:rPr>
              <w:t>Ritonavir</w:t>
            </w:r>
          </w:p>
        </w:tc>
        <w:tc>
          <w:tcPr>
            <w:tcW w:w="2565" w:type="dxa"/>
            <w:vAlign w:val="center"/>
          </w:tcPr>
          <w:p w14:paraId="47CB92B8" w14:textId="77777777" w:rsidR="009C7847" w:rsidRPr="005E1202" w:rsidRDefault="009C7847" w:rsidP="00EC496D">
            <w:pPr>
              <w:spacing w:before="60" w:after="60"/>
              <w:jc w:val="center"/>
              <w:rPr>
                <w:rFonts w:cs="Arial"/>
              </w:rPr>
            </w:pPr>
            <w:r w:rsidRPr="005E1202">
              <w:rPr>
                <w:rFonts w:cs="Arial"/>
              </w:rPr>
              <w:t>↑ glecaprevir</w:t>
            </w:r>
          </w:p>
        </w:tc>
        <w:tc>
          <w:tcPr>
            <w:tcW w:w="4346" w:type="dxa"/>
            <w:vMerge w:val="restart"/>
            <w:vAlign w:val="center"/>
          </w:tcPr>
          <w:p w14:paraId="67C87FF9" w14:textId="77777777" w:rsidR="009C7847" w:rsidRPr="005E1202" w:rsidRDefault="009C7847" w:rsidP="00EC496D">
            <w:pPr>
              <w:spacing w:before="60" w:after="60"/>
              <w:jc w:val="center"/>
              <w:rPr>
                <w:rFonts w:cs="Arial"/>
              </w:rPr>
            </w:pPr>
            <w:r w:rsidRPr="005E1202">
              <w:rPr>
                <w:rFonts w:cs="Arial"/>
              </w:rPr>
              <w:t>Coadministration is not recommended.</w:t>
            </w:r>
          </w:p>
        </w:tc>
      </w:tr>
      <w:tr w:rsidR="008D55BB" w:rsidRPr="005E1202" w14:paraId="5494C16A" w14:textId="77777777" w:rsidTr="005B4E83">
        <w:trPr>
          <w:cantSplit/>
        </w:trPr>
        <w:tc>
          <w:tcPr>
            <w:tcW w:w="2943" w:type="dxa"/>
            <w:vMerge/>
            <w:vAlign w:val="center"/>
          </w:tcPr>
          <w:p w14:paraId="338539B8" w14:textId="77777777" w:rsidR="009C7847" w:rsidRPr="005E1202" w:rsidRDefault="009C7847" w:rsidP="00EC496D">
            <w:pPr>
              <w:spacing w:before="60" w:after="60"/>
              <w:jc w:val="center"/>
              <w:rPr>
                <w:rFonts w:cs="Arial"/>
              </w:rPr>
            </w:pPr>
          </w:p>
        </w:tc>
        <w:tc>
          <w:tcPr>
            <w:tcW w:w="2565" w:type="dxa"/>
            <w:vAlign w:val="center"/>
          </w:tcPr>
          <w:p w14:paraId="19041E2A" w14:textId="77777777" w:rsidR="009C7847" w:rsidRPr="005E1202" w:rsidRDefault="009C7847" w:rsidP="00EC496D">
            <w:pPr>
              <w:spacing w:before="60" w:after="60"/>
              <w:jc w:val="center"/>
              <w:rPr>
                <w:rFonts w:cs="Arial"/>
              </w:rPr>
            </w:pPr>
            <w:r w:rsidRPr="005E1202">
              <w:rPr>
                <w:rFonts w:cs="Arial"/>
              </w:rPr>
              <w:t>↑ pibrentasvir</w:t>
            </w:r>
          </w:p>
        </w:tc>
        <w:tc>
          <w:tcPr>
            <w:tcW w:w="4346" w:type="dxa"/>
            <w:vMerge/>
            <w:vAlign w:val="center"/>
          </w:tcPr>
          <w:p w14:paraId="4E05EE53" w14:textId="77777777" w:rsidR="009C7847" w:rsidRPr="005E1202" w:rsidRDefault="009C7847" w:rsidP="00EC496D">
            <w:pPr>
              <w:spacing w:before="60" w:after="60"/>
              <w:jc w:val="center"/>
              <w:rPr>
                <w:rFonts w:cs="Arial"/>
              </w:rPr>
            </w:pPr>
          </w:p>
        </w:tc>
      </w:tr>
      <w:tr w:rsidR="008D55BB" w:rsidRPr="005E1202" w14:paraId="53B43B26" w14:textId="77777777" w:rsidTr="005B4E83">
        <w:trPr>
          <w:cantSplit/>
        </w:trPr>
        <w:tc>
          <w:tcPr>
            <w:tcW w:w="2943" w:type="dxa"/>
            <w:vMerge w:val="restart"/>
            <w:vAlign w:val="center"/>
          </w:tcPr>
          <w:p w14:paraId="69CCE27C" w14:textId="77777777" w:rsidR="009C7847" w:rsidRPr="005E1202" w:rsidRDefault="009C7847" w:rsidP="00EC496D">
            <w:pPr>
              <w:spacing w:before="60" w:after="60"/>
              <w:jc w:val="center"/>
              <w:rPr>
                <w:rFonts w:cs="Arial"/>
              </w:rPr>
            </w:pPr>
            <w:r w:rsidRPr="005E1202">
              <w:rPr>
                <w:rFonts w:cs="Arial"/>
              </w:rPr>
              <w:t>Efavirenz</w:t>
            </w:r>
          </w:p>
        </w:tc>
        <w:tc>
          <w:tcPr>
            <w:tcW w:w="2565" w:type="dxa"/>
            <w:vAlign w:val="center"/>
          </w:tcPr>
          <w:p w14:paraId="7419AD39" w14:textId="77777777" w:rsidR="009C7847" w:rsidRPr="005E1202" w:rsidRDefault="009C7847" w:rsidP="00EC496D">
            <w:pPr>
              <w:spacing w:before="60" w:after="60"/>
              <w:jc w:val="center"/>
              <w:rPr>
                <w:rFonts w:cs="Arial"/>
              </w:rPr>
            </w:pPr>
            <w:r w:rsidRPr="005E1202">
              <w:rPr>
                <w:rFonts w:cs="Arial"/>
              </w:rPr>
              <w:t>↓ glecaprevir</w:t>
            </w:r>
          </w:p>
        </w:tc>
        <w:tc>
          <w:tcPr>
            <w:tcW w:w="4346" w:type="dxa"/>
            <w:vMerge w:val="restart"/>
            <w:vAlign w:val="center"/>
          </w:tcPr>
          <w:p w14:paraId="18175F6B" w14:textId="77777777" w:rsidR="009C7847" w:rsidRPr="005E1202" w:rsidRDefault="009C7847" w:rsidP="00EC496D">
            <w:pPr>
              <w:spacing w:before="60" w:after="60"/>
              <w:jc w:val="center"/>
              <w:rPr>
                <w:rFonts w:cs="Arial"/>
              </w:rPr>
            </w:pPr>
            <w:r w:rsidRPr="005E1202">
              <w:rPr>
                <w:rFonts w:cs="Arial"/>
              </w:rPr>
              <w:t>Coadministration may lead to reduced therapeutic effect of MAVIRET and is not recommended.</w:t>
            </w:r>
          </w:p>
        </w:tc>
      </w:tr>
      <w:tr w:rsidR="008D55BB" w:rsidRPr="005E1202" w14:paraId="7869B8B2" w14:textId="77777777" w:rsidTr="005B4E83">
        <w:trPr>
          <w:cantSplit/>
        </w:trPr>
        <w:tc>
          <w:tcPr>
            <w:tcW w:w="2943" w:type="dxa"/>
            <w:vMerge/>
            <w:vAlign w:val="center"/>
          </w:tcPr>
          <w:p w14:paraId="444E123F" w14:textId="77777777" w:rsidR="009C7847" w:rsidRPr="005E1202" w:rsidRDefault="009C7847" w:rsidP="00EC496D">
            <w:pPr>
              <w:spacing w:before="60" w:after="60"/>
              <w:jc w:val="center"/>
              <w:rPr>
                <w:rFonts w:cs="Arial"/>
              </w:rPr>
            </w:pPr>
          </w:p>
        </w:tc>
        <w:tc>
          <w:tcPr>
            <w:tcW w:w="2565" w:type="dxa"/>
            <w:vAlign w:val="center"/>
          </w:tcPr>
          <w:p w14:paraId="021ED4E1" w14:textId="77777777" w:rsidR="009C7847" w:rsidRPr="005E1202" w:rsidRDefault="009C7847" w:rsidP="00EC496D">
            <w:pPr>
              <w:spacing w:before="60" w:after="60"/>
              <w:jc w:val="center"/>
              <w:rPr>
                <w:rFonts w:cs="Arial"/>
              </w:rPr>
            </w:pPr>
            <w:r w:rsidRPr="005E1202">
              <w:rPr>
                <w:rFonts w:cs="Arial"/>
              </w:rPr>
              <w:t>↓ pibrentasvir</w:t>
            </w:r>
          </w:p>
        </w:tc>
        <w:tc>
          <w:tcPr>
            <w:tcW w:w="4346" w:type="dxa"/>
            <w:vMerge/>
            <w:vAlign w:val="center"/>
          </w:tcPr>
          <w:p w14:paraId="73D974FB" w14:textId="77777777" w:rsidR="009C7847" w:rsidRPr="005E1202" w:rsidRDefault="009C7847" w:rsidP="00EC496D">
            <w:pPr>
              <w:spacing w:before="60" w:after="60"/>
              <w:jc w:val="center"/>
              <w:rPr>
                <w:rFonts w:cs="Arial"/>
              </w:rPr>
            </w:pPr>
          </w:p>
        </w:tc>
      </w:tr>
      <w:tr w:rsidR="009C7847" w:rsidRPr="005E1202" w14:paraId="380AF7A9" w14:textId="77777777" w:rsidTr="005B4E83">
        <w:trPr>
          <w:cantSplit/>
        </w:trPr>
        <w:tc>
          <w:tcPr>
            <w:tcW w:w="9854" w:type="dxa"/>
            <w:gridSpan w:val="3"/>
            <w:vAlign w:val="center"/>
          </w:tcPr>
          <w:p w14:paraId="0ADF6AA5" w14:textId="77777777" w:rsidR="009C7847" w:rsidRPr="005E1202" w:rsidRDefault="009C7847" w:rsidP="00EC496D">
            <w:pPr>
              <w:spacing w:before="60" w:after="60"/>
              <w:jc w:val="center"/>
              <w:rPr>
                <w:rFonts w:cs="Arial"/>
                <w:b/>
              </w:rPr>
            </w:pPr>
            <w:r w:rsidRPr="005E1202">
              <w:rPr>
                <w:rFonts w:cs="Arial"/>
                <w:b/>
              </w:rPr>
              <w:lastRenderedPageBreak/>
              <w:t>HMG-CoA Reductase Inhibitors</w:t>
            </w:r>
          </w:p>
        </w:tc>
      </w:tr>
      <w:tr w:rsidR="008D55BB" w:rsidRPr="005E1202" w14:paraId="145F62FC" w14:textId="77777777" w:rsidTr="005B4E83">
        <w:trPr>
          <w:cantSplit/>
        </w:trPr>
        <w:tc>
          <w:tcPr>
            <w:tcW w:w="2943" w:type="dxa"/>
            <w:vAlign w:val="center"/>
          </w:tcPr>
          <w:p w14:paraId="17CBDF52" w14:textId="77777777" w:rsidR="009C7847" w:rsidRPr="005E1202" w:rsidRDefault="009C7847" w:rsidP="00EC496D">
            <w:pPr>
              <w:spacing w:before="60" w:after="60"/>
              <w:jc w:val="center"/>
              <w:rPr>
                <w:rFonts w:cs="Arial"/>
              </w:rPr>
            </w:pPr>
            <w:r w:rsidRPr="005E1202">
              <w:rPr>
                <w:rFonts w:cs="Arial"/>
              </w:rPr>
              <w:t>Atorvastatin</w:t>
            </w:r>
          </w:p>
          <w:p w14:paraId="034306DD" w14:textId="77777777" w:rsidR="009C7847" w:rsidRPr="005E1202" w:rsidRDefault="009C7847" w:rsidP="00EC496D">
            <w:pPr>
              <w:spacing w:before="60" w:after="60"/>
              <w:jc w:val="center"/>
              <w:rPr>
                <w:rFonts w:cs="Arial"/>
              </w:rPr>
            </w:pPr>
            <w:r w:rsidRPr="005E1202">
              <w:rPr>
                <w:rFonts w:cs="Arial"/>
              </w:rPr>
              <w:t>Simvastatin</w:t>
            </w:r>
          </w:p>
        </w:tc>
        <w:tc>
          <w:tcPr>
            <w:tcW w:w="2565" w:type="dxa"/>
            <w:vAlign w:val="center"/>
          </w:tcPr>
          <w:p w14:paraId="3D6AF6FF" w14:textId="77777777" w:rsidR="009C7847" w:rsidRPr="005E1202" w:rsidRDefault="009C7847" w:rsidP="00EC496D">
            <w:pPr>
              <w:spacing w:before="60" w:after="60"/>
              <w:jc w:val="center"/>
              <w:rPr>
                <w:rFonts w:cs="Arial"/>
              </w:rPr>
            </w:pPr>
            <w:r w:rsidRPr="005E1202">
              <w:rPr>
                <w:rFonts w:cs="Arial"/>
              </w:rPr>
              <w:t>↑ atorvastatin</w:t>
            </w:r>
          </w:p>
          <w:p w14:paraId="4B925CA5" w14:textId="77777777" w:rsidR="009C7847" w:rsidRPr="005E1202" w:rsidRDefault="009C7847" w:rsidP="00EC496D">
            <w:pPr>
              <w:spacing w:before="60" w:after="60"/>
              <w:jc w:val="center"/>
              <w:rPr>
                <w:rFonts w:cs="Arial"/>
              </w:rPr>
            </w:pPr>
            <w:r w:rsidRPr="005E1202">
              <w:rPr>
                <w:rFonts w:cs="Arial"/>
              </w:rPr>
              <w:t>↑ simvastatin</w:t>
            </w:r>
          </w:p>
        </w:tc>
        <w:tc>
          <w:tcPr>
            <w:tcW w:w="4346" w:type="dxa"/>
            <w:vAlign w:val="center"/>
          </w:tcPr>
          <w:p w14:paraId="48F905C6" w14:textId="77777777" w:rsidR="009C7847" w:rsidRPr="005E1202" w:rsidRDefault="009C7847" w:rsidP="00EC496D">
            <w:pPr>
              <w:spacing w:before="60" w:after="60"/>
              <w:jc w:val="center"/>
              <w:rPr>
                <w:rFonts w:cs="Arial"/>
              </w:rPr>
            </w:pPr>
            <w:r w:rsidRPr="005E1202">
              <w:rPr>
                <w:rFonts w:cs="Arial"/>
              </w:rPr>
              <w:t xml:space="preserve">Coadministration with atorvastatin and simvastatin is contraindicated (see </w:t>
            </w:r>
            <w:r w:rsidR="008D55BB">
              <w:rPr>
                <w:rFonts w:cs="Arial"/>
              </w:rPr>
              <w:t xml:space="preserve">4.3 </w:t>
            </w:r>
            <w:r w:rsidRPr="005E1202">
              <w:rPr>
                <w:rFonts w:cs="Arial"/>
              </w:rPr>
              <w:t>CONTRAINDICATIONS).</w:t>
            </w:r>
          </w:p>
        </w:tc>
      </w:tr>
      <w:tr w:rsidR="008D55BB" w:rsidRPr="005E1202" w14:paraId="0E31EAAA" w14:textId="77777777" w:rsidTr="005B4E83">
        <w:trPr>
          <w:cantSplit/>
        </w:trPr>
        <w:tc>
          <w:tcPr>
            <w:tcW w:w="2943" w:type="dxa"/>
            <w:vAlign w:val="center"/>
          </w:tcPr>
          <w:p w14:paraId="2A652029" w14:textId="77777777" w:rsidR="009C7847" w:rsidRPr="005E1202" w:rsidRDefault="009C7847" w:rsidP="00EC496D">
            <w:pPr>
              <w:spacing w:before="60" w:after="60"/>
              <w:jc w:val="center"/>
              <w:rPr>
                <w:rFonts w:cs="Arial"/>
              </w:rPr>
            </w:pPr>
            <w:r w:rsidRPr="005E1202">
              <w:rPr>
                <w:rFonts w:cs="Arial"/>
              </w:rPr>
              <w:t>Pravastatin</w:t>
            </w:r>
          </w:p>
          <w:p w14:paraId="048F8ABB" w14:textId="77777777" w:rsidR="009C7847" w:rsidRPr="005E1202" w:rsidRDefault="009C7847" w:rsidP="00EC496D">
            <w:pPr>
              <w:spacing w:before="60" w:after="60"/>
              <w:jc w:val="center"/>
              <w:rPr>
                <w:rFonts w:cs="Arial"/>
              </w:rPr>
            </w:pPr>
            <w:r w:rsidRPr="005E1202">
              <w:rPr>
                <w:rFonts w:cs="Arial"/>
              </w:rPr>
              <w:t>Rosuvastatin</w:t>
            </w:r>
          </w:p>
        </w:tc>
        <w:tc>
          <w:tcPr>
            <w:tcW w:w="2565" w:type="dxa"/>
            <w:vAlign w:val="center"/>
          </w:tcPr>
          <w:p w14:paraId="11C9E680" w14:textId="77777777" w:rsidR="009C7847" w:rsidRPr="005E1202" w:rsidRDefault="009C7847" w:rsidP="00EC496D">
            <w:pPr>
              <w:spacing w:before="60" w:after="60"/>
              <w:jc w:val="center"/>
              <w:rPr>
                <w:rFonts w:cs="Arial"/>
              </w:rPr>
            </w:pPr>
            <w:r w:rsidRPr="005E1202">
              <w:rPr>
                <w:rFonts w:cs="Arial"/>
                <w:i/>
              </w:rPr>
              <w:t xml:space="preserve">↑ </w:t>
            </w:r>
            <w:r w:rsidRPr="005E1202">
              <w:rPr>
                <w:rFonts w:cs="Arial"/>
              </w:rPr>
              <w:t>pravastatin</w:t>
            </w:r>
          </w:p>
          <w:p w14:paraId="099C89AE" w14:textId="77777777" w:rsidR="009C7847" w:rsidRPr="005E1202" w:rsidRDefault="009C7847" w:rsidP="00EC496D">
            <w:pPr>
              <w:spacing w:before="60" w:after="60"/>
              <w:jc w:val="center"/>
              <w:rPr>
                <w:rFonts w:cs="Arial"/>
              </w:rPr>
            </w:pPr>
            <w:r w:rsidRPr="005E1202">
              <w:rPr>
                <w:rFonts w:cs="Arial"/>
              </w:rPr>
              <w:t>↑ rosuvastatin</w:t>
            </w:r>
          </w:p>
        </w:tc>
        <w:tc>
          <w:tcPr>
            <w:tcW w:w="4346" w:type="dxa"/>
            <w:vAlign w:val="center"/>
          </w:tcPr>
          <w:p w14:paraId="555A8F22" w14:textId="77777777" w:rsidR="009C7847" w:rsidRPr="005E1202" w:rsidRDefault="009C7847" w:rsidP="00EC496D">
            <w:pPr>
              <w:spacing w:before="60" w:after="60"/>
              <w:jc w:val="center"/>
              <w:rPr>
                <w:rFonts w:cs="Arial"/>
              </w:rPr>
            </w:pPr>
            <w:r w:rsidRPr="005E1202">
              <w:rPr>
                <w:rFonts w:cs="Arial"/>
              </w:rPr>
              <w:t xml:space="preserve">Pravastatin dose should be reduced by 50% and rosuvastatin dose should not exceed 10 mg per day when </w:t>
            </w:r>
            <w:proofErr w:type="spellStart"/>
            <w:r w:rsidRPr="005E1202">
              <w:rPr>
                <w:rFonts w:cs="Arial"/>
              </w:rPr>
              <w:t>coadministered</w:t>
            </w:r>
            <w:proofErr w:type="spellEnd"/>
            <w:r w:rsidRPr="005E1202">
              <w:rPr>
                <w:rFonts w:cs="Arial"/>
              </w:rPr>
              <w:t xml:space="preserve"> with MAVIRET.</w:t>
            </w:r>
          </w:p>
        </w:tc>
      </w:tr>
      <w:tr w:rsidR="008D55BB" w:rsidRPr="005E1202" w14:paraId="504A054E" w14:textId="77777777" w:rsidTr="005B4E83">
        <w:trPr>
          <w:cantSplit/>
        </w:trPr>
        <w:tc>
          <w:tcPr>
            <w:tcW w:w="2943" w:type="dxa"/>
            <w:vAlign w:val="center"/>
          </w:tcPr>
          <w:p w14:paraId="2C043109" w14:textId="77777777" w:rsidR="009C7847" w:rsidRPr="005E1202" w:rsidRDefault="009C7847" w:rsidP="00EC496D">
            <w:pPr>
              <w:spacing w:before="60" w:after="60"/>
              <w:jc w:val="center"/>
              <w:rPr>
                <w:rFonts w:cs="Arial"/>
              </w:rPr>
            </w:pPr>
            <w:r w:rsidRPr="005E1202">
              <w:rPr>
                <w:rFonts w:cs="Arial"/>
              </w:rPr>
              <w:t>Lovastatin</w:t>
            </w:r>
          </w:p>
          <w:p w14:paraId="37D9DF5E" w14:textId="77777777" w:rsidR="009C7847" w:rsidRPr="005E1202" w:rsidRDefault="009C7847" w:rsidP="00EC496D">
            <w:pPr>
              <w:spacing w:before="60" w:after="60"/>
              <w:jc w:val="center"/>
              <w:rPr>
                <w:rFonts w:cs="Arial"/>
              </w:rPr>
            </w:pPr>
          </w:p>
        </w:tc>
        <w:tc>
          <w:tcPr>
            <w:tcW w:w="2565" w:type="dxa"/>
            <w:vAlign w:val="center"/>
          </w:tcPr>
          <w:p w14:paraId="3C5ADC5C" w14:textId="77777777" w:rsidR="009C7847" w:rsidRPr="005E1202" w:rsidRDefault="009C7847" w:rsidP="00EC496D">
            <w:pPr>
              <w:spacing w:before="60" w:after="60"/>
              <w:jc w:val="center"/>
              <w:rPr>
                <w:rFonts w:cs="Arial"/>
              </w:rPr>
            </w:pPr>
            <w:r w:rsidRPr="005E1202">
              <w:rPr>
                <w:rFonts w:cs="Arial"/>
              </w:rPr>
              <w:t>↑ lovastatin</w:t>
            </w:r>
          </w:p>
          <w:p w14:paraId="04C48CA4" w14:textId="77777777" w:rsidR="009C7847" w:rsidRPr="005E1202" w:rsidRDefault="009C7847" w:rsidP="00EC496D">
            <w:pPr>
              <w:spacing w:before="60" w:after="60"/>
              <w:jc w:val="center"/>
              <w:rPr>
                <w:rFonts w:cs="Arial"/>
              </w:rPr>
            </w:pPr>
          </w:p>
        </w:tc>
        <w:tc>
          <w:tcPr>
            <w:tcW w:w="4346" w:type="dxa"/>
            <w:vAlign w:val="center"/>
          </w:tcPr>
          <w:p w14:paraId="0354338B" w14:textId="77777777" w:rsidR="009C7847" w:rsidRPr="005E1202" w:rsidRDefault="009C7847" w:rsidP="00EC496D">
            <w:pPr>
              <w:spacing w:before="60" w:after="60"/>
              <w:jc w:val="center"/>
              <w:rPr>
                <w:rFonts w:cs="Arial"/>
              </w:rPr>
            </w:pPr>
            <w:r w:rsidRPr="005E1202">
              <w:rPr>
                <w:rFonts w:cs="Arial"/>
              </w:rPr>
              <w:t>Concomitant use is not recommended. Consider alternative therapies, such as pravastatin or rosuvastatin.</w:t>
            </w:r>
          </w:p>
        </w:tc>
      </w:tr>
      <w:tr w:rsidR="009C7847" w:rsidRPr="005E1202" w14:paraId="0453DE7D" w14:textId="77777777" w:rsidTr="005B4E83">
        <w:trPr>
          <w:cantSplit/>
        </w:trPr>
        <w:tc>
          <w:tcPr>
            <w:tcW w:w="9854" w:type="dxa"/>
            <w:gridSpan w:val="3"/>
            <w:vAlign w:val="center"/>
          </w:tcPr>
          <w:p w14:paraId="42BA68D0" w14:textId="77777777" w:rsidR="009C7847" w:rsidRPr="005E1202" w:rsidRDefault="009C7847" w:rsidP="00EC496D">
            <w:pPr>
              <w:spacing w:before="60" w:after="60"/>
              <w:jc w:val="center"/>
              <w:rPr>
                <w:rFonts w:cs="Arial"/>
                <w:b/>
              </w:rPr>
            </w:pPr>
            <w:r w:rsidRPr="005E1202">
              <w:rPr>
                <w:rFonts w:cs="Arial"/>
                <w:b/>
              </w:rPr>
              <w:t>Immunosuppressants</w:t>
            </w:r>
          </w:p>
        </w:tc>
      </w:tr>
      <w:tr w:rsidR="008D55BB" w:rsidRPr="005E1202" w14:paraId="500340EB" w14:textId="77777777" w:rsidTr="005B4E83">
        <w:trPr>
          <w:cantSplit/>
          <w:trHeight w:val="899"/>
        </w:trPr>
        <w:tc>
          <w:tcPr>
            <w:tcW w:w="2943" w:type="dxa"/>
            <w:vMerge w:val="restart"/>
            <w:vAlign w:val="center"/>
          </w:tcPr>
          <w:p w14:paraId="208B1C9B" w14:textId="77777777" w:rsidR="009C7847" w:rsidRPr="005E1202" w:rsidRDefault="009C7847" w:rsidP="00EC496D">
            <w:pPr>
              <w:spacing w:before="60" w:after="60"/>
              <w:jc w:val="center"/>
              <w:rPr>
                <w:rFonts w:cs="Arial"/>
              </w:rPr>
            </w:pPr>
            <w:r w:rsidRPr="005E1202">
              <w:rPr>
                <w:rFonts w:cs="Arial"/>
              </w:rPr>
              <w:t>Ciclosporin</w:t>
            </w:r>
          </w:p>
        </w:tc>
        <w:tc>
          <w:tcPr>
            <w:tcW w:w="2565" w:type="dxa"/>
            <w:vAlign w:val="center"/>
          </w:tcPr>
          <w:p w14:paraId="13D52CD2" w14:textId="77777777" w:rsidR="009C7847" w:rsidRPr="005E1202" w:rsidRDefault="009C7847" w:rsidP="00EC496D">
            <w:pPr>
              <w:spacing w:before="60" w:after="60"/>
              <w:jc w:val="center"/>
              <w:rPr>
                <w:rFonts w:cs="Arial"/>
              </w:rPr>
            </w:pPr>
            <w:r w:rsidRPr="005E1202">
              <w:rPr>
                <w:rFonts w:cs="Arial"/>
              </w:rPr>
              <w:t>↑ glecaprevir</w:t>
            </w:r>
          </w:p>
        </w:tc>
        <w:tc>
          <w:tcPr>
            <w:tcW w:w="4346" w:type="dxa"/>
            <w:vMerge w:val="restart"/>
            <w:vAlign w:val="center"/>
          </w:tcPr>
          <w:p w14:paraId="742524D7" w14:textId="77777777" w:rsidR="009C7847" w:rsidRPr="005E1202" w:rsidRDefault="009C7847" w:rsidP="00F82EC5">
            <w:pPr>
              <w:spacing w:before="60" w:after="60"/>
              <w:jc w:val="center"/>
              <w:rPr>
                <w:rFonts w:cs="Arial"/>
              </w:rPr>
            </w:pPr>
            <w:r w:rsidRPr="005E1202">
              <w:rPr>
                <w:rFonts w:cs="Arial"/>
              </w:rPr>
              <w:t xml:space="preserve">MAVIRET is not recommended for use in patients requiring stable ciclosporin doses      &gt; 100 mg per day. </w:t>
            </w:r>
          </w:p>
        </w:tc>
      </w:tr>
      <w:tr w:rsidR="008D55BB" w:rsidRPr="005E1202" w14:paraId="73E5D44E" w14:textId="77777777" w:rsidTr="005B4E83">
        <w:trPr>
          <w:cantSplit/>
        </w:trPr>
        <w:tc>
          <w:tcPr>
            <w:tcW w:w="2943" w:type="dxa"/>
            <w:vMerge/>
            <w:vAlign w:val="center"/>
          </w:tcPr>
          <w:p w14:paraId="27DE581B" w14:textId="77777777" w:rsidR="009C7847" w:rsidRPr="005E1202" w:rsidRDefault="009C7847" w:rsidP="00EC496D">
            <w:pPr>
              <w:spacing w:before="60" w:after="60"/>
              <w:jc w:val="center"/>
              <w:rPr>
                <w:rFonts w:cs="Arial"/>
              </w:rPr>
            </w:pPr>
          </w:p>
        </w:tc>
        <w:tc>
          <w:tcPr>
            <w:tcW w:w="2565" w:type="dxa"/>
            <w:vAlign w:val="center"/>
          </w:tcPr>
          <w:p w14:paraId="17E6CA65" w14:textId="77777777" w:rsidR="009C7847" w:rsidRPr="005E1202" w:rsidRDefault="009C7847" w:rsidP="00EC496D">
            <w:pPr>
              <w:spacing w:before="60" w:after="60"/>
              <w:jc w:val="center"/>
              <w:rPr>
                <w:rFonts w:cs="Arial"/>
              </w:rPr>
            </w:pPr>
            <w:r w:rsidRPr="005E1202">
              <w:rPr>
                <w:rFonts w:cs="Arial"/>
              </w:rPr>
              <w:t>↑ pibrentasvir</w:t>
            </w:r>
          </w:p>
        </w:tc>
        <w:tc>
          <w:tcPr>
            <w:tcW w:w="4346" w:type="dxa"/>
            <w:vMerge/>
            <w:vAlign w:val="center"/>
          </w:tcPr>
          <w:p w14:paraId="0BEF3C37" w14:textId="77777777" w:rsidR="009C7847" w:rsidRPr="005E1202" w:rsidRDefault="009C7847" w:rsidP="00EC496D">
            <w:pPr>
              <w:spacing w:before="60" w:after="60"/>
              <w:jc w:val="center"/>
              <w:rPr>
                <w:rFonts w:cs="Arial"/>
              </w:rPr>
            </w:pPr>
          </w:p>
        </w:tc>
      </w:tr>
      <w:tr w:rsidR="009C7847" w:rsidRPr="005E1202" w14:paraId="270AC49A" w14:textId="77777777" w:rsidTr="005B4E83">
        <w:trPr>
          <w:cantSplit/>
          <w:trHeight w:val="158"/>
        </w:trPr>
        <w:tc>
          <w:tcPr>
            <w:tcW w:w="9854" w:type="dxa"/>
            <w:gridSpan w:val="3"/>
            <w:vAlign w:val="center"/>
          </w:tcPr>
          <w:p w14:paraId="530EBBBB" w14:textId="77777777" w:rsidR="009C7847" w:rsidRPr="005E1202" w:rsidRDefault="009C7847" w:rsidP="00EC496D">
            <w:pPr>
              <w:spacing w:before="60" w:after="60"/>
              <w:rPr>
                <w:rFonts w:cs="Arial"/>
                <w:szCs w:val="22"/>
              </w:rPr>
            </w:pPr>
            <w:r w:rsidRPr="005E1202">
              <w:rPr>
                <w:rFonts w:cs="Arial"/>
                <w:szCs w:val="22"/>
              </w:rPr>
              <w:t>↑= increase; ↓= decrease; ↔ = no effect</w:t>
            </w:r>
          </w:p>
          <w:p w14:paraId="7744D776" w14:textId="18D8B910" w:rsidR="009C7847" w:rsidRPr="005E1202" w:rsidRDefault="009C7847" w:rsidP="005E1202">
            <w:pPr>
              <w:spacing w:before="60" w:after="60"/>
              <w:rPr>
                <w:rFonts w:cs="Arial"/>
                <w:szCs w:val="22"/>
              </w:rPr>
            </w:pPr>
            <w:r w:rsidRPr="005E1202">
              <w:rPr>
                <w:rFonts w:cs="Arial"/>
                <w:szCs w:val="22"/>
              </w:rPr>
              <w:t xml:space="preserve">See also </w:t>
            </w:r>
            <w:r w:rsidR="008D55BB">
              <w:rPr>
                <w:rStyle w:val="gtclinktext2"/>
                <w:rFonts w:cs="Arial"/>
              </w:rPr>
              <w:t>5.2 PHARMACOKINETIC PROPERTIES</w:t>
            </w:r>
            <w:r w:rsidR="008D55BB" w:rsidRPr="005E1202" w:rsidDel="008D55BB">
              <w:rPr>
                <w:rStyle w:val="gtclinktext7"/>
                <w:rFonts w:cs="Arial"/>
                <w:szCs w:val="22"/>
              </w:rPr>
              <w:t xml:space="preserve"> </w:t>
            </w:r>
            <w:r w:rsidRPr="005E1202">
              <w:rPr>
                <w:rStyle w:val="gtclinktext7"/>
                <w:rFonts w:cs="Arial"/>
                <w:szCs w:val="22"/>
              </w:rPr>
              <w:t xml:space="preserve">– Pharmacokinetics, Drug Interactions Table </w:t>
            </w:r>
            <w:proofErr w:type="gramStart"/>
            <w:r w:rsidR="00D513EB">
              <w:rPr>
                <w:rStyle w:val="gtclinktext7"/>
                <w:rFonts w:cs="Arial"/>
                <w:szCs w:val="22"/>
              </w:rPr>
              <w:t>1</w:t>
            </w:r>
            <w:r w:rsidR="00D513EB">
              <w:rPr>
                <w:rStyle w:val="gtclinktext7"/>
                <w:rFonts w:cs="Arial"/>
              </w:rPr>
              <w:t>6</w:t>
            </w:r>
            <w:proofErr w:type="gramEnd"/>
            <w:r w:rsidR="005E1202" w:rsidRPr="005E1202">
              <w:rPr>
                <w:rStyle w:val="gtclinktext7"/>
                <w:rFonts w:cs="Arial"/>
                <w:szCs w:val="22"/>
              </w:rPr>
              <w:t xml:space="preserve"> </w:t>
            </w:r>
            <w:r w:rsidRPr="005E1202">
              <w:rPr>
                <w:rStyle w:val="gtclinktext7"/>
                <w:rFonts w:cs="Arial"/>
                <w:szCs w:val="22"/>
              </w:rPr>
              <w:t xml:space="preserve">and Table </w:t>
            </w:r>
            <w:r w:rsidR="00D513EB">
              <w:rPr>
                <w:rStyle w:val="gtclinktext7"/>
                <w:rFonts w:cs="Arial"/>
                <w:szCs w:val="22"/>
              </w:rPr>
              <w:t>1</w:t>
            </w:r>
            <w:r w:rsidR="00D513EB">
              <w:rPr>
                <w:rStyle w:val="gtclinktext7"/>
                <w:rFonts w:cs="Arial"/>
              </w:rPr>
              <w:t>7</w:t>
            </w:r>
          </w:p>
        </w:tc>
      </w:tr>
    </w:tbl>
    <w:p w14:paraId="63250FCD" w14:textId="77777777" w:rsidR="009E3FB8" w:rsidRDefault="009E3FB8" w:rsidP="007D5600"/>
    <w:p w14:paraId="1FDC0CBB" w14:textId="77777777" w:rsidR="009C7847" w:rsidRPr="005E1202" w:rsidRDefault="009C7847" w:rsidP="007D5600">
      <w:pPr>
        <w:pStyle w:val="Heading3"/>
      </w:pPr>
      <w:r w:rsidRPr="005E1202">
        <w:t>Drugs without Clinically Significant Interactions with MAVIRET</w:t>
      </w:r>
    </w:p>
    <w:p w14:paraId="5E26CFE9" w14:textId="120307F9" w:rsidR="00CE7A6F" w:rsidRPr="005E1202" w:rsidRDefault="009C7847" w:rsidP="007C24AC">
      <w:pPr>
        <w:jc w:val="both"/>
        <w:rPr>
          <w:rFonts w:cs="Arial"/>
        </w:rPr>
      </w:pPr>
      <w:r w:rsidRPr="005E1202">
        <w:rPr>
          <w:rFonts w:cs="Arial"/>
        </w:rPr>
        <w:t xml:space="preserve">No dose adjustment is required when MAVIRET is </w:t>
      </w:r>
      <w:proofErr w:type="spellStart"/>
      <w:r w:rsidRPr="005E1202">
        <w:rPr>
          <w:rFonts w:cs="Arial"/>
        </w:rPr>
        <w:t>coadministered</w:t>
      </w:r>
      <w:proofErr w:type="spellEnd"/>
      <w:r w:rsidRPr="005E1202">
        <w:rPr>
          <w:rFonts w:cs="Arial"/>
        </w:rPr>
        <w:t xml:space="preserve"> with the following medications: abacavir, amlodipine, buprenorphine, caffeine, dextromethorphan, dolutegravir, elvitegravir</w:t>
      </w:r>
      <w:r w:rsidR="007C24AC">
        <w:rPr>
          <w:rFonts w:cs="Arial"/>
        </w:rPr>
        <w:t xml:space="preserve"> </w:t>
      </w:r>
      <w:r w:rsidRPr="005E1202">
        <w:rPr>
          <w:rFonts w:cs="Arial"/>
        </w:rPr>
        <w:t>/</w:t>
      </w:r>
      <w:r w:rsidR="007C24AC">
        <w:rPr>
          <w:rFonts w:cs="Arial"/>
        </w:rPr>
        <w:t xml:space="preserve"> </w:t>
      </w:r>
      <w:r w:rsidRPr="005E1202">
        <w:rPr>
          <w:rFonts w:cs="Arial"/>
        </w:rPr>
        <w:t xml:space="preserve">cobicistat, emtricitabine, felodipine, lamivudine, lamotrigine, losartan, methadone, midazolam, naloxone, norethisterone or other progestin-only contraceptives, omeprazole, </w:t>
      </w:r>
      <w:proofErr w:type="spellStart"/>
      <w:r w:rsidRPr="005E1202">
        <w:rPr>
          <w:rFonts w:cs="Arial"/>
        </w:rPr>
        <w:t>raltegravir</w:t>
      </w:r>
      <w:proofErr w:type="spellEnd"/>
      <w:r w:rsidRPr="005E1202">
        <w:rPr>
          <w:rFonts w:cs="Arial"/>
        </w:rPr>
        <w:t xml:space="preserve">, </w:t>
      </w:r>
      <w:proofErr w:type="spellStart"/>
      <w:r w:rsidRPr="005E1202">
        <w:rPr>
          <w:rFonts w:cs="Arial"/>
        </w:rPr>
        <w:t>rilpivirine</w:t>
      </w:r>
      <w:proofErr w:type="spellEnd"/>
      <w:r w:rsidRPr="005E1202">
        <w:rPr>
          <w:rFonts w:cs="Arial"/>
        </w:rPr>
        <w:t>, sofosbuvir, tacrolimus, tenofovir alafenamide, tenofovir disoproxil fumarate, tolbutamide, and valsartan.</w:t>
      </w:r>
    </w:p>
    <w:p w14:paraId="756BBBDC" w14:textId="77777777" w:rsidR="001A3992" w:rsidRPr="005E1202" w:rsidRDefault="001A3992" w:rsidP="001A3992">
      <w:pPr>
        <w:pStyle w:val="Heading2"/>
        <w:spacing w:before="0" w:after="120"/>
        <w:rPr>
          <w:rFonts w:cs="Arial"/>
        </w:rPr>
      </w:pPr>
      <w:r w:rsidRPr="005E1202">
        <w:rPr>
          <w:rFonts w:cs="Arial"/>
        </w:rPr>
        <w:t xml:space="preserve">Fertility, </w:t>
      </w:r>
      <w:proofErr w:type="gramStart"/>
      <w:r w:rsidRPr="005E1202">
        <w:rPr>
          <w:rFonts w:cs="Arial"/>
        </w:rPr>
        <w:t>pregnancy</w:t>
      </w:r>
      <w:proofErr w:type="gramEnd"/>
      <w:r w:rsidRPr="005E1202">
        <w:rPr>
          <w:rFonts w:cs="Arial"/>
        </w:rPr>
        <w:t xml:space="preserve"> and lactation </w:t>
      </w:r>
    </w:p>
    <w:p w14:paraId="4112DA3D" w14:textId="77777777" w:rsidR="001A3992" w:rsidRPr="005E1202" w:rsidRDefault="001A3992" w:rsidP="001A3992">
      <w:pPr>
        <w:pStyle w:val="Heading3"/>
        <w:rPr>
          <w:rFonts w:cs="Arial"/>
        </w:rPr>
      </w:pPr>
      <w:r w:rsidRPr="005E1202">
        <w:rPr>
          <w:rFonts w:cs="Arial"/>
        </w:rPr>
        <w:t>Effects on fertility</w:t>
      </w:r>
    </w:p>
    <w:p w14:paraId="0B4B1E9F" w14:textId="77777777" w:rsidR="00493B75" w:rsidRPr="005E1202" w:rsidRDefault="00493B75" w:rsidP="007C24AC">
      <w:pPr>
        <w:jc w:val="both"/>
        <w:rPr>
          <w:rFonts w:cs="Arial"/>
        </w:rPr>
      </w:pPr>
      <w:r w:rsidRPr="005E1202">
        <w:rPr>
          <w:rFonts w:cs="Arial"/>
        </w:rPr>
        <w:t xml:space="preserve">No human data on the effect of glecaprevir and/or pibrentasvir on fertility are available. </w:t>
      </w:r>
      <w:r w:rsidR="00590774">
        <w:rPr>
          <w:rFonts w:cs="Arial"/>
        </w:rPr>
        <w:t xml:space="preserve"> </w:t>
      </w:r>
      <w:r w:rsidRPr="005E1202">
        <w:rPr>
          <w:rFonts w:cs="Arial"/>
        </w:rPr>
        <w:t xml:space="preserve">No effects on mating, female or male fertility, or early embryonic development were observed in rats dosed with glecaprevir at up to 120 mg/kg/day PO or in mice dosed with pibrentasvir at up to 100 mg/kg/day PO. </w:t>
      </w:r>
      <w:r w:rsidR="00590774">
        <w:rPr>
          <w:rFonts w:cs="Arial"/>
        </w:rPr>
        <w:t xml:space="preserve"> </w:t>
      </w:r>
      <w:r w:rsidRPr="005E1202">
        <w:rPr>
          <w:rFonts w:cs="Arial"/>
        </w:rPr>
        <w:t>Systemic exposures (AUC</w:t>
      </w:r>
      <w:r w:rsidR="00EC0E29">
        <w:rPr>
          <w:rFonts w:cs="Arial"/>
        </w:rPr>
        <w:t>, Area Under the Curve</w:t>
      </w:r>
      <w:r w:rsidRPr="005E1202">
        <w:rPr>
          <w:rFonts w:cs="Arial"/>
        </w:rPr>
        <w:t>) to glecaprevir and pibrentasvir were approximately 63 and 102 times higher, respectively, than the exposure in humans at the recommended dose.</w:t>
      </w:r>
      <w:r w:rsidR="00590774">
        <w:rPr>
          <w:rFonts w:cs="Arial"/>
        </w:rPr>
        <w:t xml:space="preserve"> </w:t>
      </w:r>
      <w:r w:rsidRPr="005E1202">
        <w:rPr>
          <w:rFonts w:cs="Arial"/>
        </w:rPr>
        <w:t xml:space="preserve"> Animal studies do not indicate harmful </w:t>
      </w:r>
      <w:r w:rsidRPr="005E1202">
        <w:rPr>
          <w:rFonts w:cs="Arial"/>
        </w:rPr>
        <w:lastRenderedPageBreak/>
        <w:t>effects of glecaprevir or pibrentasvir on fertility at exposures higher than the exposures in humans at the recommended dose.</w:t>
      </w:r>
    </w:p>
    <w:p w14:paraId="5BE25FAD" w14:textId="77777777" w:rsidR="001A3992" w:rsidRPr="005E1202" w:rsidRDefault="001A3992" w:rsidP="00394AA4">
      <w:pPr>
        <w:pStyle w:val="Heading3"/>
        <w:jc w:val="both"/>
        <w:rPr>
          <w:rFonts w:cs="Arial"/>
        </w:rPr>
      </w:pPr>
      <w:r w:rsidRPr="005E1202">
        <w:rPr>
          <w:rFonts w:cs="Arial"/>
        </w:rPr>
        <w:t xml:space="preserve">Use in pregnancy </w:t>
      </w:r>
      <w:r w:rsidR="003A45C7">
        <w:rPr>
          <w:rFonts w:cs="Arial"/>
        </w:rPr>
        <w:t>(Pregnancy Category B1)</w:t>
      </w:r>
    </w:p>
    <w:p w14:paraId="167D463E" w14:textId="77777777" w:rsidR="00493B75" w:rsidRPr="005E1202" w:rsidRDefault="00493B75" w:rsidP="00394AA4">
      <w:pPr>
        <w:jc w:val="both"/>
        <w:rPr>
          <w:rFonts w:cs="Arial"/>
        </w:rPr>
      </w:pPr>
      <w:r w:rsidRPr="005E1202">
        <w:rPr>
          <w:rFonts w:cs="Arial"/>
        </w:rPr>
        <w:t xml:space="preserve">There are no or limited data on the use of glecaprevir or pibrentasvir in pregnant women. </w:t>
      </w:r>
      <w:r w:rsidR="00590774">
        <w:rPr>
          <w:rFonts w:cs="Arial"/>
        </w:rPr>
        <w:t xml:space="preserve"> </w:t>
      </w:r>
      <w:r w:rsidRPr="005E1202">
        <w:rPr>
          <w:rFonts w:cs="Arial"/>
        </w:rPr>
        <w:t>Animal studies with glecaprevir or pibrentasvir do not indicate direct harmful effects with respect to reproductive toxicity.</w:t>
      </w:r>
      <w:r w:rsidR="00590774">
        <w:rPr>
          <w:rFonts w:cs="Arial"/>
        </w:rPr>
        <w:t xml:space="preserve"> </w:t>
      </w:r>
      <w:r w:rsidRPr="005E1202">
        <w:rPr>
          <w:rFonts w:cs="Arial"/>
        </w:rPr>
        <w:t xml:space="preserve"> Maternal toxicity in the rabbit precluded evaluation of glecaprevir at clinical exposures.</w:t>
      </w:r>
      <w:r w:rsidR="00590774">
        <w:rPr>
          <w:rFonts w:cs="Arial"/>
        </w:rPr>
        <w:t xml:space="preserve"> </w:t>
      </w:r>
      <w:r w:rsidRPr="005E1202">
        <w:rPr>
          <w:rFonts w:cs="Arial"/>
        </w:rPr>
        <w:t xml:space="preserve"> As a precautionary measure, MAVIRET use is not recommended in pregnancy.</w:t>
      </w:r>
    </w:p>
    <w:p w14:paraId="5EFC7C8F" w14:textId="77777777" w:rsidR="00493B75" w:rsidRPr="005E1202" w:rsidRDefault="00493B75" w:rsidP="00493B75">
      <w:pPr>
        <w:pStyle w:val="Heading4"/>
        <w:rPr>
          <w:rFonts w:cs="Arial"/>
        </w:rPr>
      </w:pPr>
      <w:r w:rsidRPr="005E1202">
        <w:rPr>
          <w:rFonts w:cs="Arial"/>
        </w:rPr>
        <w:t xml:space="preserve">Glecaprevir </w:t>
      </w:r>
    </w:p>
    <w:p w14:paraId="17435118" w14:textId="77777777" w:rsidR="00493B75" w:rsidRPr="005E1202" w:rsidRDefault="00493B75" w:rsidP="00394AA4">
      <w:pPr>
        <w:jc w:val="both"/>
        <w:rPr>
          <w:rFonts w:cs="Arial"/>
        </w:rPr>
      </w:pPr>
      <w:r w:rsidRPr="005E1202">
        <w:rPr>
          <w:rFonts w:cs="Arial"/>
        </w:rPr>
        <w:t>No effects on embryof</w:t>
      </w:r>
      <w:r w:rsidR="00590774">
        <w:rPr>
          <w:rFonts w:cs="Arial"/>
        </w:rPr>
        <w:t>o</w:t>
      </w:r>
      <w:r w:rsidRPr="005E1202">
        <w:rPr>
          <w:rFonts w:cs="Arial"/>
        </w:rPr>
        <w:t xml:space="preserve">etal development or maternal toxicity have been observed in rats when dams were administered glecaprevir (oral doses up to 120 mg/kg/day) during organogenesis, associated with systemic exposure to glecaprevir approximately 53 times the exposure in humans at the recommended clinical dose. </w:t>
      </w:r>
      <w:r w:rsidR="00590774">
        <w:rPr>
          <w:rFonts w:cs="Arial"/>
        </w:rPr>
        <w:t xml:space="preserve"> </w:t>
      </w:r>
      <w:r w:rsidRPr="005E1202">
        <w:rPr>
          <w:rFonts w:cs="Arial"/>
        </w:rPr>
        <w:t>In rabbits, the highest glecaprevir exposure achieved was 0.07 times the exposure in humans at the recommended clinical dose, and therefore embryof</w:t>
      </w:r>
      <w:r w:rsidR="00590774">
        <w:rPr>
          <w:rFonts w:cs="Arial"/>
        </w:rPr>
        <w:t>o</w:t>
      </w:r>
      <w:r w:rsidRPr="005E1202">
        <w:rPr>
          <w:rFonts w:cs="Arial"/>
        </w:rPr>
        <w:t xml:space="preserve">etal development during organogenesis has not been assessed in this species at clinical exposures. </w:t>
      </w:r>
      <w:r w:rsidR="00590774">
        <w:rPr>
          <w:rFonts w:cs="Arial"/>
        </w:rPr>
        <w:t xml:space="preserve"> </w:t>
      </w:r>
      <w:r w:rsidRPr="005E1202">
        <w:rPr>
          <w:rFonts w:cs="Arial"/>
        </w:rPr>
        <w:t xml:space="preserve">There were no effects of glecaprevir in a rat peri/postnatal developmental study in which dams were dosed at up to 120 mg/kg PO during gestation and lactation (from gestation day 6 to lactation 20), with systemic exposures approximately 47 times higher than the exposure in humans at the recommended dose. </w:t>
      </w:r>
      <w:r w:rsidR="00590774">
        <w:rPr>
          <w:rFonts w:cs="Arial"/>
        </w:rPr>
        <w:t xml:space="preserve"> </w:t>
      </w:r>
      <w:r w:rsidRPr="005E1202">
        <w:rPr>
          <w:rFonts w:cs="Arial"/>
        </w:rPr>
        <w:t>Glecaprevir was shown to cross the placenta in rats.</w:t>
      </w:r>
    </w:p>
    <w:p w14:paraId="0C8AC2B7" w14:textId="77777777" w:rsidR="00493B75" w:rsidRPr="005E1202" w:rsidRDefault="00493B75" w:rsidP="00493B75">
      <w:pPr>
        <w:pStyle w:val="Heading4"/>
        <w:rPr>
          <w:rFonts w:cs="Arial"/>
        </w:rPr>
      </w:pPr>
      <w:r w:rsidRPr="005E1202">
        <w:rPr>
          <w:rFonts w:cs="Arial"/>
        </w:rPr>
        <w:t>Pibrentasvir</w:t>
      </w:r>
    </w:p>
    <w:p w14:paraId="425C9469" w14:textId="77777777" w:rsidR="00493B75" w:rsidRPr="005E1202" w:rsidRDefault="00493B75" w:rsidP="00394AA4">
      <w:pPr>
        <w:jc w:val="both"/>
        <w:rPr>
          <w:rFonts w:cs="Arial"/>
        </w:rPr>
      </w:pPr>
      <w:r w:rsidRPr="005E1202">
        <w:rPr>
          <w:rFonts w:cs="Arial"/>
        </w:rPr>
        <w:t>No effects on embryof</w:t>
      </w:r>
      <w:r w:rsidR="00590774">
        <w:rPr>
          <w:rFonts w:cs="Arial"/>
        </w:rPr>
        <w:t>o</w:t>
      </w:r>
      <w:r w:rsidRPr="005E1202">
        <w:rPr>
          <w:rFonts w:cs="Arial"/>
        </w:rPr>
        <w:t xml:space="preserve">etal development or maternal toxicity have been observed in mice or rabbits when dams were administered pibrentasvir (oral doses up to 100 mg/kg) during organogenesis, associated with systemic exposure to pibrentasvir approximately 51- and 1.4-fold, respectively, the exposure in humans at the recommended clinical dose. </w:t>
      </w:r>
      <w:r w:rsidR="00590774">
        <w:rPr>
          <w:rFonts w:cs="Arial"/>
        </w:rPr>
        <w:t xml:space="preserve"> </w:t>
      </w:r>
      <w:r w:rsidRPr="005E1202">
        <w:rPr>
          <w:rFonts w:cs="Arial"/>
        </w:rPr>
        <w:t xml:space="preserve">There were no effects of pibrentasvir in a mouse peri/postnatal developmental study in which dams were dosed at up to 100 mg/kg PO (systemic exposures approximately 74 times higher than the exposure in humans at the recommended dose). </w:t>
      </w:r>
      <w:r w:rsidR="00590774">
        <w:rPr>
          <w:rFonts w:cs="Arial"/>
        </w:rPr>
        <w:t xml:space="preserve"> </w:t>
      </w:r>
      <w:r w:rsidRPr="005E1202">
        <w:rPr>
          <w:rFonts w:cs="Arial"/>
        </w:rPr>
        <w:t>Pibrentasvir was shown to cross the placenta in both species.</w:t>
      </w:r>
    </w:p>
    <w:p w14:paraId="74B6673E" w14:textId="77777777" w:rsidR="001A3992" w:rsidRPr="005E1202" w:rsidRDefault="001A3992" w:rsidP="001A3992">
      <w:pPr>
        <w:pStyle w:val="Heading3"/>
        <w:rPr>
          <w:rFonts w:cs="Arial"/>
        </w:rPr>
      </w:pPr>
      <w:r w:rsidRPr="005E1202">
        <w:rPr>
          <w:rFonts w:cs="Arial"/>
        </w:rPr>
        <w:t xml:space="preserve">Use in lactation </w:t>
      </w:r>
    </w:p>
    <w:p w14:paraId="14A3B355" w14:textId="19558545" w:rsidR="009C7847" w:rsidRDefault="009C7847" w:rsidP="006045EA">
      <w:pPr>
        <w:jc w:val="both"/>
        <w:rPr>
          <w:rFonts w:cs="Arial"/>
        </w:rPr>
      </w:pPr>
      <w:r w:rsidRPr="005E1202">
        <w:rPr>
          <w:rFonts w:cs="Arial"/>
        </w:rPr>
        <w:t xml:space="preserve">It is unknown whether glecaprevir or pibrentasvir are excreted in human milk. </w:t>
      </w:r>
      <w:r w:rsidR="00590774">
        <w:rPr>
          <w:rFonts w:cs="Arial"/>
        </w:rPr>
        <w:t xml:space="preserve"> </w:t>
      </w:r>
      <w:r w:rsidRPr="005E1202">
        <w:rPr>
          <w:rFonts w:cs="Arial"/>
        </w:rPr>
        <w:t xml:space="preserve">Available pharmacokinetic data in animals have shown excretion of glecaprevir and pibrentasvir in milk of rats. </w:t>
      </w:r>
      <w:r w:rsidR="00590774">
        <w:rPr>
          <w:rFonts w:cs="Arial"/>
        </w:rPr>
        <w:t xml:space="preserve"> </w:t>
      </w:r>
      <w:r w:rsidRPr="005E1202">
        <w:rPr>
          <w:rFonts w:cs="Arial"/>
        </w:rPr>
        <w:t>A risk to the newborns/infants cannot be excluded.</w:t>
      </w:r>
      <w:r w:rsidR="00590774">
        <w:rPr>
          <w:rFonts w:cs="Arial"/>
        </w:rPr>
        <w:t xml:space="preserve"> </w:t>
      </w:r>
      <w:r w:rsidRPr="005E1202">
        <w:rPr>
          <w:rFonts w:cs="Arial"/>
        </w:rPr>
        <w:t xml:space="preserve"> A decision must be made whether to discontinue breast-feeding or to discontinue/abstain from MAVIRET therapy</w:t>
      </w:r>
      <w:r w:rsidR="00590774">
        <w:rPr>
          <w:rFonts w:cs="Arial"/>
        </w:rPr>
        <w:t>,</w:t>
      </w:r>
      <w:r w:rsidRPr="005E1202">
        <w:rPr>
          <w:rFonts w:cs="Arial"/>
        </w:rPr>
        <w:t xml:space="preserve"> </w:t>
      </w:r>
      <w:r w:rsidRPr="005E1202">
        <w:rPr>
          <w:rFonts w:cs="Arial"/>
        </w:rPr>
        <w:lastRenderedPageBreak/>
        <w:t>taking into account the benefit of breast-feeding for the child and the benefit of therapy for the woman.</w:t>
      </w:r>
    </w:p>
    <w:p w14:paraId="00E6692F" w14:textId="77777777" w:rsidR="00CE7A6F" w:rsidRPr="005E1202" w:rsidRDefault="00CE7A6F" w:rsidP="006045EA">
      <w:pPr>
        <w:jc w:val="both"/>
        <w:rPr>
          <w:rFonts w:cs="Arial"/>
        </w:rPr>
      </w:pPr>
    </w:p>
    <w:p w14:paraId="67237674" w14:textId="77777777" w:rsidR="001A3992" w:rsidRDefault="001A3992" w:rsidP="001A3992">
      <w:pPr>
        <w:pStyle w:val="Heading2"/>
        <w:spacing w:before="0" w:after="120"/>
        <w:rPr>
          <w:rFonts w:cs="Arial"/>
        </w:rPr>
      </w:pPr>
      <w:r w:rsidRPr="005E1202">
        <w:rPr>
          <w:rFonts w:cs="Arial"/>
        </w:rPr>
        <w:t xml:space="preserve">Effects on ability to drive and use machines </w:t>
      </w:r>
    </w:p>
    <w:p w14:paraId="56843148" w14:textId="77777777" w:rsidR="003A45C7" w:rsidRPr="003A45C7" w:rsidRDefault="003A45C7" w:rsidP="006045EA">
      <w:pPr>
        <w:jc w:val="both"/>
        <w:rPr>
          <w:rFonts w:cs="Arial"/>
        </w:rPr>
      </w:pPr>
      <w:r w:rsidRPr="00FC7116">
        <w:rPr>
          <w:rFonts w:cs="Arial"/>
          <w:caps/>
        </w:rPr>
        <w:t>Maviret</w:t>
      </w:r>
      <w:r w:rsidRPr="003A45C7">
        <w:rPr>
          <w:rFonts w:cs="Arial"/>
        </w:rPr>
        <w:t xml:space="preserve"> has no or negligible influence on the ability to drive and use machines.</w:t>
      </w:r>
    </w:p>
    <w:p w14:paraId="28637BA3" w14:textId="77777777" w:rsidR="001A3992" w:rsidRPr="005E1202" w:rsidRDefault="001A3992" w:rsidP="001A3992">
      <w:pPr>
        <w:pStyle w:val="Heading2"/>
        <w:keepNext/>
        <w:keepLines/>
        <w:spacing w:before="0" w:after="120"/>
        <w:rPr>
          <w:rFonts w:cs="Arial"/>
        </w:rPr>
      </w:pPr>
      <w:r w:rsidRPr="005E1202">
        <w:rPr>
          <w:rFonts w:cs="Arial"/>
        </w:rPr>
        <w:t>Adverse effects (Undesirable effects)</w:t>
      </w:r>
    </w:p>
    <w:p w14:paraId="0B8AE5F3" w14:textId="3491BF7D" w:rsidR="009C7847" w:rsidRPr="005E1202" w:rsidRDefault="009C7847" w:rsidP="006045EA">
      <w:pPr>
        <w:jc w:val="both"/>
        <w:rPr>
          <w:rFonts w:cs="Arial"/>
        </w:rPr>
      </w:pPr>
      <w:r w:rsidRPr="005E1202">
        <w:rPr>
          <w:rFonts w:cs="Arial"/>
        </w:rPr>
        <w:t xml:space="preserve">The safety assessment for MAVIRET in patients without cirrhosis or with compensated cirrhosis were derived from </w:t>
      </w:r>
      <w:r w:rsidR="00E2207E">
        <w:rPr>
          <w:rFonts w:cs="Arial"/>
        </w:rPr>
        <w:t xml:space="preserve">registrational </w:t>
      </w:r>
      <w:r w:rsidRPr="005E1202">
        <w:rPr>
          <w:rFonts w:cs="Arial"/>
        </w:rPr>
        <w:t>Phase 2 and 3 studies</w:t>
      </w:r>
      <w:r w:rsidRPr="00CE7A6F">
        <w:rPr>
          <w:rFonts w:cs="Arial"/>
        </w:rPr>
        <w:t xml:space="preserve"> which evaluated approximately 2300 </w:t>
      </w:r>
      <w:r w:rsidR="000B18D7" w:rsidRPr="00CE7A6F">
        <w:rPr>
          <w:rFonts w:cs="Arial"/>
        </w:rPr>
        <w:t xml:space="preserve">adult </w:t>
      </w:r>
      <w:r w:rsidRPr="00CE7A6F">
        <w:rPr>
          <w:rFonts w:cs="Arial"/>
        </w:rPr>
        <w:t xml:space="preserve">patients infected with </w:t>
      </w:r>
      <w:r w:rsidR="009444C9" w:rsidRPr="00CE7A6F">
        <w:rPr>
          <w:rFonts w:cs="Arial"/>
        </w:rPr>
        <w:t>GT</w:t>
      </w:r>
      <w:r w:rsidRPr="00CE7A6F">
        <w:rPr>
          <w:rFonts w:cs="Arial"/>
        </w:rPr>
        <w:t xml:space="preserve">1, 2, 3, 4, 5, or </w:t>
      </w:r>
      <w:r w:rsidRPr="005E1202">
        <w:rPr>
          <w:rFonts w:cs="Arial"/>
        </w:rPr>
        <w:t>6 HCV who received MAVIRET for 8, 12</w:t>
      </w:r>
      <w:r w:rsidR="009F759D">
        <w:rPr>
          <w:rFonts w:cs="Arial"/>
        </w:rPr>
        <w:t>,</w:t>
      </w:r>
      <w:r w:rsidRPr="005E1202">
        <w:rPr>
          <w:rFonts w:cs="Arial"/>
        </w:rPr>
        <w:t xml:space="preserve"> or 16 weeks. </w:t>
      </w:r>
    </w:p>
    <w:p w14:paraId="6AA44490" w14:textId="77777777" w:rsidR="009C7847" w:rsidRPr="005E1202" w:rsidRDefault="009C7847" w:rsidP="006045EA">
      <w:pPr>
        <w:jc w:val="both"/>
        <w:rPr>
          <w:rFonts w:cs="Arial"/>
        </w:rPr>
      </w:pPr>
      <w:r w:rsidRPr="005E1202">
        <w:rPr>
          <w:rFonts w:cs="Arial"/>
        </w:rPr>
        <w:t>The overall proportion of subjects who permanently discontinued treatment due to adverse reactions was 0.1% for subjects who received MAVIRET.</w:t>
      </w:r>
    </w:p>
    <w:p w14:paraId="3AE72560" w14:textId="77777777" w:rsidR="009C7847" w:rsidRPr="005E1202" w:rsidRDefault="009C7847" w:rsidP="006045EA">
      <w:pPr>
        <w:jc w:val="both"/>
        <w:rPr>
          <w:rFonts w:cs="Arial"/>
        </w:rPr>
      </w:pPr>
      <w:r w:rsidRPr="005E1202">
        <w:rPr>
          <w:rFonts w:cs="Arial"/>
        </w:rPr>
        <w:t>Across the Phase 2 and 3 clinical studies, the most common (occurring in at least 10% of patients) adverse reactions (adverse events assessed as possibly related by the investigator) were headache and fatigue in patients treated with MAVIRET for 8, 12</w:t>
      </w:r>
      <w:r w:rsidR="007E6197">
        <w:rPr>
          <w:rFonts w:cs="Arial"/>
        </w:rPr>
        <w:t>,</w:t>
      </w:r>
      <w:r w:rsidRPr="005E1202">
        <w:rPr>
          <w:rFonts w:cs="Arial"/>
        </w:rPr>
        <w:t xml:space="preserve"> or 16 weeks.</w:t>
      </w:r>
    </w:p>
    <w:p w14:paraId="50919E47" w14:textId="4C5FC647" w:rsidR="009C7847" w:rsidRPr="005E1202" w:rsidRDefault="009C7847" w:rsidP="006045EA">
      <w:pPr>
        <w:jc w:val="both"/>
        <w:rPr>
          <w:rFonts w:cs="Arial"/>
        </w:rPr>
      </w:pPr>
      <w:r w:rsidRPr="005E1202">
        <w:rPr>
          <w:rFonts w:cs="Arial"/>
        </w:rPr>
        <w:t xml:space="preserve">Adverse reactions observed in greater than or equal to 5% of patients receiving 8, 12, or 16 weeks of treatment with MAVIRET are presented in Table </w:t>
      </w:r>
      <w:r w:rsidR="00D513EB">
        <w:rPr>
          <w:rFonts w:cs="Arial"/>
        </w:rPr>
        <w:t>5</w:t>
      </w:r>
      <w:r w:rsidRPr="005E1202">
        <w:rPr>
          <w:rFonts w:cs="Arial"/>
        </w:rPr>
        <w:t>. In patients receiving MAVIRET who experienced adverse reactions, 80% had an adverse reaction of mild severity (Grade 1). In the pla</w:t>
      </w:r>
      <w:r w:rsidR="006F6131">
        <w:rPr>
          <w:rFonts w:cs="Arial"/>
        </w:rPr>
        <w:t>cebo-</w:t>
      </w:r>
      <w:r w:rsidRPr="005E1202">
        <w:rPr>
          <w:rFonts w:cs="Arial"/>
        </w:rPr>
        <w:t xml:space="preserve">controlled study, these adverse reactions occurred at a similar frequency in patients treated with placebo compared to patients treated with MAVIRET. In the active-controlled study (ENDURANCE-3), adverse reactions occurred at a similar frequency in patients treated with sofosbuvir and daclatasvir compared to patients treated with MAVIRET (Table </w:t>
      </w:r>
      <w:r w:rsidR="00D513EB">
        <w:rPr>
          <w:rFonts w:cs="Arial"/>
        </w:rPr>
        <w:t>6</w:t>
      </w:r>
      <w:r w:rsidRPr="005E1202">
        <w:rPr>
          <w:rFonts w:cs="Arial"/>
        </w:rPr>
        <w:t>).</w:t>
      </w:r>
    </w:p>
    <w:p w14:paraId="7D71F1CA" w14:textId="11467035" w:rsidR="00A53B34" w:rsidRPr="005E1202" w:rsidRDefault="009C7847" w:rsidP="006045EA">
      <w:pPr>
        <w:jc w:val="both"/>
        <w:rPr>
          <w:rFonts w:cs="Arial"/>
        </w:rPr>
      </w:pPr>
      <w:r w:rsidRPr="005E1202">
        <w:rPr>
          <w:rFonts w:cs="Arial"/>
        </w:rPr>
        <w:t>There were no differences in the overall safety for patients receiving MAVIRET for 8, 12</w:t>
      </w:r>
      <w:r w:rsidR="00A20EE5">
        <w:rPr>
          <w:rFonts w:cs="Arial"/>
        </w:rPr>
        <w:t>,</w:t>
      </w:r>
      <w:r w:rsidRPr="005E1202">
        <w:rPr>
          <w:rFonts w:cs="Arial"/>
        </w:rPr>
        <w:t xml:space="preserve"> or 16 weeks. The type and severity of adverse reactions in patients with compensated cirrhosis were comparable to those seen in patients without cirrhosis.</w:t>
      </w:r>
    </w:p>
    <w:p w14:paraId="1755D715" w14:textId="564B4FA2" w:rsidR="009C7847" w:rsidRPr="005E1202" w:rsidRDefault="009C7847" w:rsidP="003B0ECB">
      <w:pPr>
        <w:pageBreakBefore/>
        <w:rPr>
          <w:rFonts w:cs="Arial"/>
          <w:b/>
        </w:rPr>
      </w:pPr>
      <w:r w:rsidRPr="005E1202">
        <w:rPr>
          <w:rFonts w:cs="Arial"/>
          <w:b/>
        </w:rPr>
        <w:lastRenderedPageBreak/>
        <w:t xml:space="preserve">Table </w:t>
      </w:r>
      <w:r w:rsidR="00D513EB">
        <w:rPr>
          <w:rFonts w:cs="Arial"/>
          <w:b/>
        </w:rPr>
        <w:t>5</w:t>
      </w:r>
      <w:r w:rsidRPr="005E1202">
        <w:rPr>
          <w:rFonts w:cs="Arial"/>
          <w:b/>
        </w:rPr>
        <w:t>. Adverse reactions observed in ≥ 5% of patients who received MAVIRET in Phase 2 and 3 Clinical Studies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1"/>
        <w:gridCol w:w="3440"/>
        <w:gridCol w:w="3081"/>
      </w:tblGrid>
      <w:tr w:rsidR="009C7847" w:rsidRPr="00EC496D" w14:paraId="3F7FC525" w14:textId="77777777" w:rsidTr="00EC496D">
        <w:trPr>
          <w:tblHeader/>
        </w:trPr>
        <w:tc>
          <w:tcPr>
            <w:tcW w:w="2882" w:type="dxa"/>
            <w:vMerge w:val="restart"/>
            <w:shd w:val="clear" w:color="auto" w:fill="auto"/>
            <w:vAlign w:val="center"/>
          </w:tcPr>
          <w:p w14:paraId="53290E7B" w14:textId="77777777" w:rsidR="009C7847" w:rsidRPr="00ED3E34" w:rsidRDefault="009C7847" w:rsidP="00EC496D">
            <w:pPr>
              <w:spacing w:before="60" w:after="60"/>
              <w:jc w:val="center"/>
              <w:rPr>
                <w:rFonts w:cs="Arial"/>
                <w:b/>
                <w:sz w:val="20"/>
              </w:rPr>
            </w:pPr>
            <w:r w:rsidRPr="00ED3E34">
              <w:rPr>
                <w:rFonts w:cs="Arial"/>
                <w:b/>
                <w:sz w:val="20"/>
              </w:rPr>
              <w:t>Adverse Reaction</w:t>
            </w:r>
          </w:p>
        </w:tc>
        <w:tc>
          <w:tcPr>
            <w:tcW w:w="3677" w:type="dxa"/>
            <w:shd w:val="clear" w:color="auto" w:fill="auto"/>
            <w:vAlign w:val="center"/>
          </w:tcPr>
          <w:p w14:paraId="691D53F5" w14:textId="77777777" w:rsidR="009C7847" w:rsidRPr="00ED3E34" w:rsidRDefault="009C7847" w:rsidP="00EC496D">
            <w:pPr>
              <w:spacing w:before="60" w:after="60"/>
              <w:jc w:val="center"/>
              <w:rPr>
                <w:rFonts w:cs="Arial"/>
                <w:b/>
                <w:sz w:val="20"/>
              </w:rPr>
            </w:pPr>
            <w:r w:rsidRPr="00ED3E34">
              <w:rPr>
                <w:rFonts w:cs="Arial"/>
                <w:b/>
                <w:sz w:val="20"/>
              </w:rPr>
              <w:t>MAVIRET</w:t>
            </w:r>
          </w:p>
          <w:p w14:paraId="252ABE97" w14:textId="77777777" w:rsidR="009C7847" w:rsidRPr="00ED3E34" w:rsidRDefault="009C7847" w:rsidP="00EC496D">
            <w:pPr>
              <w:spacing w:before="60" w:after="60"/>
              <w:jc w:val="center"/>
              <w:rPr>
                <w:rFonts w:cs="Arial"/>
                <w:b/>
                <w:sz w:val="20"/>
              </w:rPr>
            </w:pPr>
            <w:r w:rsidRPr="00ED3E34">
              <w:rPr>
                <w:rFonts w:cs="Arial"/>
                <w:b/>
                <w:sz w:val="20"/>
              </w:rPr>
              <w:t>8, 12</w:t>
            </w:r>
            <w:r w:rsidR="008D071D">
              <w:rPr>
                <w:rFonts w:cs="Arial"/>
                <w:b/>
                <w:sz w:val="20"/>
              </w:rPr>
              <w:t>,</w:t>
            </w:r>
            <w:r w:rsidRPr="00ED3E34">
              <w:rPr>
                <w:rFonts w:cs="Arial"/>
                <w:b/>
                <w:sz w:val="20"/>
              </w:rPr>
              <w:t xml:space="preserve"> or 16 weeks</w:t>
            </w:r>
          </w:p>
        </w:tc>
        <w:tc>
          <w:tcPr>
            <w:tcW w:w="3295" w:type="dxa"/>
            <w:vAlign w:val="center"/>
          </w:tcPr>
          <w:p w14:paraId="73DE5F80" w14:textId="77777777" w:rsidR="009C7847" w:rsidRPr="00ED3E34" w:rsidRDefault="009C7847" w:rsidP="00EC496D">
            <w:pPr>
              <w:spacing w:before="60" w:after="60"/>
              <w:jc w:val="center"/>
              <w:rPr>
                <w:rFonts w:cs="Arial"/>
                <w:b/>
                <w:sz w:val="20"/>
              </w:rPr>
            </w:pPr>
            <w:r w:rsidRPr="00ED3E34">
              <w:rPr>
                <w:rFonts w:cs="Arial"/>
                <w:b/>
                <w:sz w:val="20"/>
              </w:rPr>
              <w:t>Placebo</w:t>
            </w:r>
          </w:p>
          <w:p w14:paraId="350297A1" w14:textId="77777777" w:rsidR="009C7847" w:rsidRPr="00ED3E34" w:rsidRDefault="009C7847" w:rsidP="00EC496D">
            <w:pPr>
              <w:spacing w:before="60" w:after="60"/>
              <w:jc w:val="center"/>
              <w:rPr>
                <w:rFonts w:cs="Arial"/>
                <w:b/>
                <w:sz w:val="20"/>
              </w:rPr>
            </w:pPr>
            <w:r w:rsidRPr="00ED3E34">
              <w:rPr>
                <w:rFonts w:cs="Arial"/>
                <w:b/>
                <w:sz w:val="20"/>
              </w:rPr>
              <w:t>12 weeks</w:t>
            </w:r>
          </w:p>
        </w:tc>
      </w:tr>
      <w:tr w:rsidR="009C7847" w:rsidRPr="00EC496D" w14:paraId="03508C94" w14:textId="77777777" w:rsidTr="00EC496D">
        <w:trPr>
          <w:tblHeader/>
        </w:trPr>
        <w:tc>
          <w:tcPr>
            <w:tcW w:w="2882" w:type="dxa"/>
            <w:vMerge/>
            <w:shd w:val="clear" w:color="auto" w:fill="auto"/>
            <w:vAlign w:val="center"/>
          </w:tcPr>
          <w:p w14:paraId="23BAE520" w14:textId="77777777" w:rsidR="009C7847" w:rsidRPr="00FC7116" w:rsidRDefault="009C7847" w:rsidP="00EC496D">
            <w:pPr>
              <w:spacing w:before="60" w:after="60"/>
              <w:jc w:val="center"/>
              <w:rPr>
                <w:rFonts w:cs="Arial"/>
                <w:sz w:val="20"/>
              </w:rPr>
            </w:pPr>
          </w:p>
        </w:tc>
        <w:tc>
          <w:tcPr>
            <w:tcW w:w="3677" w:type="dxa"/>
            <w:shd w:val="clear" w:color="auto" w:fill="auto"/>
            <w:vAlign w:val="center"/>
          </w:tcPr>
          <w:p w14:paraId="53F4B771" w14:textId="77777777" w:rsidR="009C7847" w:rsidRPr="00FC7116" w:rsidRDefault="009C7847" w:rsidP="00EC496D">
            <w:pPr>
              <w:spacing w:before="60" w:after="60"/>
              <w:jc w:val="center"/>
              <w:rPr>
                <w:rFonts w:cs="Arial"/>
                <w:sz w:val="20"/>
              </w:rPr>
            </w:pPr>
            <w:r w:rsidRPr="00FC7116">
              <w:rPr>
                <w:rFonts w:cs="Arial"/>
                <w:sz w:val="20"/>
              </w:rPr>
              <w:t>N = 2265</w:t>
            </w:r>
          </w:p>
        </w:tc>
        <w:tc>
          <w:tcPr>
            <w:tcW w:w="3295" w:type="dxa"/>
            <w:vAlign w:val="center"/>
          </w:tcPr>
          <w:p w14:paraId="6E2E5A71" w14:textId="77777777" w:rsidR="009C7847" w:rsidRPr="00FC7116" w:rsidRDefault="009C7847" w:rsidP="00EC496D">
            <w:pPr>
              <w:spacing w:before="60" w:after="60"/>
              <w:jc w:val="center"/>
              <w:rPr>
                <w:rFonts w:cs="Arial"/>
                <w:sz w:val="20"/>
              </w:rPr>
            </w:pPr>
            <w:r w:rsidRPr="00FC7116">
              <w:rPr>
                <w:rFonts w:cs="Arial"/>
                <w:sz w:val="20"/>
              </w:rPr>
              <w:t>N = 100</w:t>
            </w:r>
          </w:p>
        </w:tc>
      </w:tr>
      <w:tr w:rsidR="009C7847" w:rsidRPr="00EC496D" w14:paraId="07FFB26D" w14:textId="77777777" w:rsidTr="00EC496D">
        <w:tc>
          <w:tcPr>
            <w:tcW w:w="2882" w:type="dxa"/>
            <w:shd w:val="clear" w:color="auto" w:fill="auto"/>
            <w:vAlign w:val="center"/>
          </w:tcPr>
          <w:p w14:paraId="442DB00E" w14:textId="77777777" w:rsidR="009C7847" w:rsidRPr="00ED3E34" w:rsidRDefault="009C7847" w:rsidP="00EC496D">
            <w:pPr>
              <w:spacing w:before="60" w:after="60"/>
              <w:jc w:val="center"/>
              <w:rPr>
                <w:rFonts w:cs="Arial"/>
                <w:sz w:val="20"/>
              </w:rPr>
            </w:pPr>
            <w:r w:rsidRPr="00ED3E34">
              <w:rPr>
                <w:rFonts w:cs="Arial"/>
                <w:sz w:val="20"/>
              </w:rPr>
              <w:t>Headache</w:t>
            </w:r>
          </w:p>
        </w:tc>
        <w:tc>
          <w:tcPr>
            <w:tcW w:w="3677" w:type="dxa"/>
            <w:shd w:val="clear" w:color="auto" w:fill="auto"/>
            <w:vAlign w:val="center"/>
          </w:tcPr>
          <w:p w14:paraId="27C7DBF6" w14:textId="77777777" w:rsidR="009C7847" w:rsidRPr="00ED3E34" w:rsidRDefault="009C7847" w:rsidP="00EC496D">
            <w:pPr>
              <w:spacing w:before="60" w:after="60"/>
              <w:jc w:val="center"/>
              <w:rPr>
                <w:rFonts w:cs="Arial"/>
                <w:sz w:val="20"/>
              </w:rPr>
            </w:pPr>
            <w:r w:rsidRPr="00ED3E34">
              <w:rPr>
                <w:rFonts w:cs="Arial"/>
                <w:sz w:val="20"/>
              </w:rPr>
              <w:t>13.2%</w:t>
            </w:r>
          </w:p>
        </w:tc>
        <w:tc>
          <w:tcPr>
            <w:tcW w:w="3295" w:type="dxa"/>
            <w:vAlign w:val="center"/>
          </w:tcPr>
          <w:p w14:paraId="394E32CD" w14:textId="77777777" w:rsidR="009C7847" w:rsidRPr="00ED3E34" w:rsidRDefault="009C7847" w:rsidP="00EC496D">
            <w:pPr>
              <w:spacing w:before="60" w:after="60"/>
              <w:jc w:val="center"/>
              <w:rPr>
                <w:rFonts w:cs="Arial"/>
                <w:sz w:val="20"/>
              </w:rPr>
            </w:pPr>
            <w:r w:rsidRPr="00ED3E34">
              <w:rPr>
                <w:rFonts w:cs="Arial"/>
                <w:sz w:val="20"/>
              </w:rPr>
              <w:t>6.0%</w:t>
            </w:r>
          </w:p>
        </w:tc>
      </w:tr>
      <w:tr w:rsidR="009C7847" w:rsidRPr="00EC496D" w14:paraId="53F50F2C" w14:textId="77777777" w:rsidTr="00EC496D">
        <w:tc>
          <w:tcPr>
            <w:tcW w:w="2882" w:type="dxa"/>
            <w:shd w:val="clear" w:color="auto" w:fill="auto"/>
            <w:vAlign w:val="center"/>
          </w:tcPr>
          <w:p w14:paraId="776CABCD" w14:textId="77777777" w:rsidR="009C7847" w:rsidRPr="00ED3E34" w:rsidRDefault="009C7847" w:rsidP="00EC496D">
            <w:pPr>
              <w:spacing w:before="60" w:after="60"/>
              <w:jc w:val="center"/>
              <w:rPr>
                <w:rFonts w:cs="Arial"/>
                <w:sz w:val="20"/>
              </w:rPr>
            </w:pPr>
            <w:r w:rsidRPr="00ED3E34">
              <w:rPr>
                <w:rFonts w:cs="Arial"/>
                <w:sz w:val="20"/>
              </w:rPr>
              <w:t>Fatigue</w:t>
            </w:r>
          </w:p>
        </w:tc>
        <w:tc>
          <w:tcPr>
            <w:tcW w:w="3677" w:type="dxa"/>
            <w:shd w:val="clear" w:color="auto" w:fill="auto"/>
            <w:vAlign w:val="center"/>
          </w:tcPr>
          <w:p w14:paraId="1F07DE1F" w14:textId="77777777" w:rsidR="009C7847" w:rsidRPr="00ED3E34" w:rsidRDefault="009C7847" w:rsidP="00EC496D">
            <w:pPr>
              <w:spacing w:before="60" w:after="60"/>
              <w:jc w:val="center"/>
              <w:rPr>
                <w:rFonts w:cs="Arial"/>
                <w:sz w:val="20"/>
              </w:rPr>
            </w:pPr>
            <w:r w:rsidRPr="00ED3E34">
              <w:rPr>
                <w:rFonts w:cs="Arial"/>
                <w:sz w:val="20"/>
              </w:rPr>
              <w:t>11.4%</w:t>
            </w:r>
          </w:p>
        </w:tc>
        <w:tc>
          <w:tcPr>
            <w:tcW w:w="3295" w:type="dxa"/>
            <w:vAlign w:val="center"/>
          </w:tcPr>
          <w:p w14:paraId="0BE10E7A" w14:textId="77777777" w:rsidR="009C7847" w:rsidRPr="00ED3E34" w:rsidRDefault="009C7847" w:rsidP="00EC496D">
            <w:pPr>
              <w:spacing w:before="60" w:after="60"/>
              <w:jc w:val="center"/>
              <w:rPr>
                <w:rFonts w:cs="Arial"/>
                <w:sz w:val="20"/>
              </w:rPr>
            </w:pPr>
            <w:r w:rsidRPr="00ED3E34">
              <w:rPr>
                <w:rFonts w:cs="Arial"/>
                <w:sz w:val="20"/>
              </w:rPr>
              <w:t>8.0%</w:t>
            </w:r>
          </w:p>
        </w:tc>
      </w:tr>
      <w:tr w:rsidR="009C7847" w:rsidRPr="00EC496D" w14:paraId="1D193813" w14:textId="77777777" w:rsidTr="00EC496D">
        <w:tc>
          <w:tcPr>
            <w:tcW w:w="2882" w:type="dxa"/>
            <w:shd w:val="clear" w:color="auto" w:fill="auto"/>
            <w:vAlign w:val="center"/>
          </w:tcPr>
          <w:p w14:paraId="7B53F54E" w14:textId="77777777" w:rsidR="009C7847" w:rsidRPr="00ED3E34" w:rsidRDefault="009C7847" w:rsidP="00EC496D">
            <w:pPr>
              <w:spacing w:before="60" w:after="60"/>
              <w:jc w:val="center"/>
              <w:rPr>
                <w:rFonts w:cs="Arial"/>
                <w:sz w:val="20"/>
              </w:rPr>
            </w:pPr>
            <w:r w:rsidRPr="00ED3E34">
              <w:rPr>
                <w:rFonts w:cs="Arial"/>
                <w:sz w:val="20"/>
              </w:rPr>
              <w:t>Nausea</w:t>
            </w:r>
          </w:p>
        </w:tc>
        <w:tc>
          <w:tcPr>
            <w:tcW w:w="3677" w:type="dxa"/>
            <w:shd w:val="clear" w:color="auto" w:fill="auto"/>
            <w:vAlign w:val="center"/>
          </w:tcPr>
          <w:p w14:paraId="5EF6A7DF" w14:textId="77777777" w:rsidR="009C7847" w:rsidRPr="00ED3E34" w:rsidRDefault="009C7847" w:rsidP="00EC496D">
            <w:pPr>
              <w:spacing w:before="60" w:after="60"/>
              <w:jc w:val="center"/>
              <w:rPr>
                <w:rFonts w:cs="Arial"/>
                <w:sz w:val="20"/>
              </w:rPr>
            </w:pPr>
            <w:r w:rsidRPr="00ED3E34">
              <w:rPr>
                <w:rFonts w:cs="Arial"/>
                <w:sz w:val="20"/>
              </w:rPr>
              <w:t>7.6%</w:t>
            </w:r>
          </w:p>
        </w:tc>
        <w:tc>
          <w:tcPr>
            <w:tcW w:w="3295" w:type="dxa"/>
            <w:vAlign w:val="center"/>
          </w:tcPr>
          <w:p w14:paraId="3792FDA3" w14:textId="77777777" w:rsidR="009C7847" w:rsidRPr="00ED3E34" w:rsidRDefault="009C7847" w:rsidP="00EC496D">
            <w:pPr>
              <w:spacing w:before="60" w:after="60"/>
              <w:jc w:val="center"/>
              <w:rPr>
                <w:rFonts w:cs="Arial"/>
                <w:sz w:val="20"/>
              </w:rPr>
            </w:pPr>
            <w:r w:rsidRPr="00ED3E34">
              <w:rPr>
                <w:rFonts w:cs="Arial"/>
                <w:sz w:val="20"/>
              </w:rPr>
              <w:t>2.0%</w:t>
            </w:r>
          </w:p>
        </w:tc>
      </w:tr>
    </w:tbl>
    <w:p w14:paraId="63292B6F" w14:textId="77777777" w:rsidR="00A4182C" w:rsidRPr="005E1202" w:rsidRDefault="00A4182C" w:rsidP="009C7847">
      <w:pPr>
        <w:rPr>
          <w:rFonts w:cs="Arial"/>
        </w:rPr>
      </w:pPr>
    </w:p>
    <w:p w14:paraId="7EF5E02A" w14:textId="223AE467" w:rsidR="009C7847" w:rsidRPr="005E1202" w:rsidRDefault="009C7847" w:rsidP="003A45C7">
      <w:pPr>
        <w:keepNext/>
        <w:rPr>
          <w:rFonts w:cs="Arial"/>
          <w:b/>
        </w:rPr>
      </w:pPr>
      <w:r w:rsidRPr="005E1202">
        <w:rPr>
          <w:rFonts w:cs="Arial"/>
          <w:b/>
        </w:rPr>
        <w:t xml:space="preserve">Table </w:t>
      </w:r>
      <w:r w:rsidR="00D513EB">
        <w:rPr>
          <w:rFonts w:cs="Arial"/>
          <w:b/>
        </w:rPr>
        <w:t>6</w:t>
      </w:r>
      <w:r w:rsidRPr="005E1202">
        <w:rPr>
          <w:rFonts w:cs="Arial"/>
          <w:b/>
        </w:rPr>
        <w:t xml:space="preserve">. Adverse reactions reported in ≥ 10% of treatment-naïve </w:t>
      </w:r>
      <w:r w:rsidR="00DF2580">
        <w:rPr>
          <w:rFonts w:cs="Arial"/>
          <w:b/>
        </w:rPr>
        <w:t xml:space="preserve">(TN) </w:t>
      </w:r>
      <w:r w:rsidRPr="005E1202">
        <w:rPr>
          <w:rFonts w:cs="Arial"/>
          <w:b/>
        </w:rPr>
        <w:t>adults without cirrhosis receiving MAVIRET for 8 or 12 weeks in ENDURANCE-3</w:t>
      </w:r>
    </w:p>
    <w:tbl>
      <w:tblPr>
        <w:tblStyle w:val="TableGrid"/>
        <w:tblW w:w="0" w:type="auto"/>
        <w:tblLook w:val="04A0" w:firstRow="1" w:lastRow="0" w:firstColumn="1" w:lastColumn="0" w:noHBand="0" w:noVBand="1"/>
      </w:tblPr>
      <w:tblGrid>
        <w:gridCol w:w="2317"/>
        <w:gridCol w:w="2324"/>
        <w:gridCol w:w="2317"/>
        <w:gridCol w:w="2284"/>
      </w:tblGrid>
      <w:tr w:rsidR="009C7847" w:rsidRPr="005E1202" w14:paraId="1C703E65" w14:textId="77777777" w:rsidTr="00EC496D">
        <w:trPr>
          <w:tblHeader/>
        </w:trPr>
        <w:tc>
          <w:tcPr>
            <w:tcW w:w="2463" w:type="dxa"/>
            <w:vMerge w:val="restart"/>
            <w:vAlign w:val="center"/>
          </w:tcPr>
          <w:p w14:paraId="39A5A192" w14:textId="77777777" w:rsidR="009C7847" w:rsidRPr="005E1202" w:rsidRDefault="009C7847" w:rsidP="00EC496D">
            <w:pPr>
              <w:spacing w:before="60" w:after="60"/>
              <w:jc w:val="center"/>
              <w:rPr>
                <w:rFonts w:cs="Arial"/>
                <w:b/>
              </w:rPr>
            </w:pPr>
            <w:r w:rsidRPr="005E1202">
              <w:rPr>
                <w:rFonts w:cs="Arial"/>
                <w:b/>
              </w:rPr>
              <w:t>Adverse Reaction</w:t>
            </w:r>
          </w:p>
        </w:tc>
        <w:tc>
          <w:tcPr>
            <w:tcW w:w="2463" w:type="dxa"/>
            <w:vAlign w:val="center"/>
          </w:tcPr>
          <w:p w14:paraId="223430B0" w14:textId="77777777" w:rsidR="009C7847" w:rsidRPr="005E1202" w:rsidRDefault="009C7847" w:rsidP="00EC496D">
            <w:pPr>
              <w:spacing w:before="60" w:after="60"/>
              <w:jc w:val="center"/>
              <w:rPr>
                <w:rFonts w:cs="Arial"/>
                <w:b/>
              </w:rPr>
            </w:pPr>
            <w:r w:rsidRPr="005E1202">
              <w:rPr>
                <w:rFonts w:cs="Arial"/>
                <w:b/>
              </w:rPr>
              <w:t>MAVIRET*</w:t>
            </w:r>
          </w:p>
          <w:p w14:paraId="473C90D3" w14:textId="77777777" w:rsidR="009C7847" w:rsidRPr="005E1202" w:rsidRDefault="009C7847" w:rsidP="00EC496D">
            <w:pPr>
              <w:spacing w:before="60" w:after="60"/>
              <w:jc w:val="center"/>
              <w:rPr>
                <w:rFonts w:cs="Arial"/>
                <w:b/>
              </w:rPr>
            </w:pPr>
            <w:r w:rsidRPr="005E1202">
              <w:rPr>
                <w:rFonts w:cs="Arial"/>
                <w:b/>
              </w:rPr>
              <w:t>8 weeks</w:t>
            </w:r>
          </w:p>
        </w:tc>
        <w:tc>
          <w:tcPr>
            <w:tcW w:w="2464" w:type="dxa"/>
            <w:vAlign w:val="center"/>
          </w:tcPr>
          <w:p w14:paraId="798CD407" w14:textId="77777777" w:rsidR="009C7847" w:rsidRPr="005E1202" w:rsidRDefault="009C7847" w:rsidP="00EC496D">
            <w:pPr>
              <w:spacing w:before="60" w:after="60"/>
              <w:jc w:val="center"/>
              <w:rPr>
                <w:rFonts w:cs="Arial"/>
                <w:b/>
              </w:rPr>
            </w:pPr>
            <w:r w:rsidRPr="005E1202">
              <w:rPr>
                <w:rFonts w:cs="Arial"/>
                <w:b/>
              </w:rPr>
              <w:t>MAVIRET</w:t>
            </w:r>
          </w:p>
          <w:p w14:paraId="2AAF0788" w14:textId="77777777" w:rsidR="009C7847" w:rsidRPr="005E1202" w:rsidRDefault="009C7847" w:rsidP="00EC496D">
            <w:pPr>
              <w:spacing w:before="60" w:after="60"/>
              <w:jc w:val="center"/>
              <w:rPr>
                <w:rFonts w:cs="Arial"/>
                <w:b/>
              </w:rPr>
            </w:pPr>
            <w:r w:rsidRPr="005E1202">
              <w:rPr>
                <w:rFonts w:cs="Arial"/>
                <w:b/>
              </w:rPr>
              <w:t>12 weeks</w:t>
            </w:r>
          </w:p>
        </w:tc>
        <w:tc>
          <w:tcPr>
            <w:tcW w:w="2464" w:type="dxa"/>
            <w:vAlign w:val="center"/>
          </w:tcPr>
          <w:p w14:paraId="17C0B0F8" w14:textId="77777777" w:rsidR="009C7847" w:rsidRPr="005E1202" w:rsidRDefault="009C7847" w:rsidP="00EC496D">
            <w:pPr>
              <w:spacing w:before="60" w:after="60"/>
              <w:jc w:val="center"/>
              <w:rPr>
                <w:rFonts w:cs="Arial"/>
                <w:b/>
              </w:rPr>
            </w:pPr>
            <w:r w:rsidRPr="005E1202">
              <w:rPr>
                <w:rFonts w:cs="Arial"/>
                <w:b/>
              </w:rPr>
              <w:t>DCV</w:t>
            </w:r>
            <w:r w:rsidRPr="005E1202">
              <w:rPr>
                <w:rFonts w:cs="Arial"/>
                <w:b/>
                <w:vertAlign w:val="superscript"/>
              </w:rPr>
              <w:t>1</w:t>
            </w:r>
            <w:r w:rsidRPr="005E1202">
              <w:rPr>
                <w:rFonts w:cs="Arial"/>
                <w:b/>
              </w:rPr>
              <w:t xml:space="preserve"> + SOF</w:t>
            </w:r>
            <w:r w:rsidRPr="005E1202">
              <w:rPr>
                <w:rFonts w:cs="Arial"/>
                <w:b/>
                <w:vertAlign w:val="superscript"/>
              </w:rPr>
              <w:t>2</w:t>
            </w:r>
          </w:p>
          <w:p w14:paraId="5651D549" w14:textId="77777777" w:rsidR="009C7847" w:rsidRPr="005E1202" w:rsidRDefault="009C7847" w:rsidP="00EC496D">
            <w:pPr>
              <w:spacing w:before="60" w:after="60"/>
              <w:jc w:val="center"/>
              <w:rPr>
                <w:rFonts w:cs="Arial"/>
                <w:b/>
              </w:rPr>
            </w:pPr>
            <w:r w:rsidRPr="005E1202">
              <w:rPr>
                <w:rFonts w:cs="Arial"/>
                <w:b/>
              </w:rPr>
              <w:t>12 weeks</w:t>
            </w:r>
          </w:p>
        </w:tc>
      </w:tr>
      <w:tr w:rsidR="009C7847" w:rsidRPr="005E1202" w14:paraId="3B0A0B6A" w14:textId="77777777" w:rsidTr="00EC496D">
        <w:trPr>
          <w:trHeight w:val="404"/>
          <w:tblHeader/>
        </w:trPr>
        <w:tc>
          <w:tcPr>
            <w:tcW w:w="2463" w:type="dxa"/>
            <w:vMerge/>
            <w:vAlign w:val="center"/>
          </w:tcPr>
          <w:p w14:paraId="1916593F" w14:textId="77777777" w:rsidR="009C7847" w:rsidRPr="005E1202" w:rsidRDefault="009C7847" w:rsidP="00EC496D">
            <w:pPr>
              <w:spacing w:before="60" w:after="60"/>
              <w:jc w:val="center"/>
              <w:rPr>
                <w:rFonts w:cs="Arial"/>
                <w:b/>
              </w:rPr>
            </w:pPr>
          </w:p>
        </w:tc>
        <w:tc>
          <w:tcPr>
            <w:tcW w:w="2463" w:type="dxa"/>
            <w:vAlign w:val="center"/>
          </w:tcPr>
          <w:p w14:paraId="096A9457" w14:textId="77777777" w:rsidR="009C7847" w:rsidRPr="005E1202" w:rsidRDefault="009C7847" w:rsidP="00EC496D">
            <w:pPr>
              <w:spacing w:before="60" w:after="60"/>
              <w:jc w:val="center"/>
              <w:rPr>
                <w:rFonts w:cs="Arial"/>
              </w:rPr>
            </w:pPr>
            <w:r w:rsidRPr="005E1202">
              <w:rPr>
                <w:rFonts w:cs="Arial"/>
              </w:rPr>
              <w:t>N = 157</w:t>
            </w:r>
          </w:p>
        </w:tc>
        <w:tc>
          <w:tcPr>
            <w:tcW w:w="2464" w:type="dxa"/>
            <w:vAlign w:val="center"/>
          </w:tcPr>
          <w:p w14:paraId="58C987E6" w14:textId="77777777" w:rsidR="009C7847" w:rsidRPr="005E1202" w:rsidRDefault="009C7847" w:rsidP="00EC496D">
            <w:pPr>
              <w:spacing w:before="60" w:after="60"/>
              <w:jc w:val="center"/>
              <w:rPr>
                <w:rFonts w:cs="Arial"/>
              </w:rPr>
            </w:pPr>
            <w:r w:rsidRPr="005E1202">
              <w:rPr>
                <w:rFonts w:cs="Arial"/>
              </w:rPr>
              <w:t>N = 233</w:t>
            </w:r>
          </w:p>
        </w:tc>
        <w:tc>
          <w:tcPr>
            <w:tcW w:w="2464" w:type="dxa"/>
            <w:vAlign w:val="center"/>
          </w:tcPr>
          <w:p w14:paraId="466F6888" w14:textId="77777777" w:rsidR="009C7847" w:rsidRPr="005E1202" w:rsidRDefault="009C7847" w:rsidP="00EC496D">
            <w:pPr>
              <w:spacing w:before="60" w:after="60"/>
              <w:jc w:val="center"/>
              <w:rPr>
                <w:rFonts w:cs="Arial"/>
              </w:rPr>
            </w:pPr>
            <w:r w:rsidRPr="005E1202">
              <w:rPr>
                <w:rFonts w:cs="Arial"/>
              </w:rPr>
              <w:t>N = 115</w:t>
            </w:r>
          </w:p>
        </w:tc>
      </w:tr>
      <w:tr w:rsidR="009C7847" w:rsidRPr="005E1202" w14:paraId="675FB721" w14:textId="77777777" w:rsidTr="00EC496D">
        <w:tc>
          <w:tcPr>
            <w:tcW w:w="2463" w:type="dxa"/>
            <w:vAlign w:val="center"/>
          </w:tcPr>
          <w:p w14:paraId="0B64AB77" w14:textId="77777777" w:rsidR="009C7847" w:rsidRPr="005E1202" w:rsidRDefault="009C7847" w:rsidP="00EC496D">
            <w:pPr>
              <w:spacing w:before="60" w:after="60"/>
              <w:jc w:val="center"/>
              <w:rPr>
                <w:rFonts w:cs="Arial"/>
              </w:rPr>
            </w:pPr>
            <w:r w:rsidRPr="005E1202">
              <w:rPr>
                <w:rFonts w:cs="Arial"/>
              </w:rPr>
              <w:t>Headache</w:t>
            </w:r>
          </w:p>
        </w:tc>
        <w:tc>
          <w:tcPr>
            <w:tcW w:w="2463" w:type="dxa"/>
            <w:vAlign w:val="center"/>
          </w:tcPr>
          <w:p w14:paraId="3012B26C" w14:textId="77777777" w:rsidR="009C7847" w:rsidRPr="005E1202" w:rsidRDefault="009C7847" w:rsidP="00EC496D">
            <w:pPr>
              <w:spacing w:before="60" w:after="60"/>
              <w:jc w:val="center"/>
              <w:rPr>
                <w:rFonts w:cs="Arial"/>
              </w:rPr>
            </w:pPr>
            <w:r w:rsidRPr="005E1202">
              <w:rPr>
                <w:rFonts w:cs="Arial"/>
              </w:rPr>
              <w:t>16 %</w:t>
            </w:r>
          </w:p>
        </w:tc>
        <w:tc>
          <w:tcPr>
            <w:tcW w:w="2464" w:type="dxa"/>
            <w:vAlign w:val="center"/>
          </w:tcPr>
          <w:p w14:paraId="5853A9EE" w14:textId="77777777" w:rsidR="009C7847" w:rsidRPr="005E1202" w:rsidRDefault="009C7847" w:rsidP="00EC496D">
            <w:pPr>
              <w:spacing w:before="60" w:after="60"/>
              <w:jc w:val="center"/>
              <w:rPr>
                <w:rFonts w:cs="Arial"/>
              </w:rPr>
            </w:pPr>
            <w:r w:rsidRPr="005E1202">
              <w:rPr>
                <w:rFonts w:cs="Arial"/>
              </w:rPr>
              <w:t>17 %</w:t>
            </w:r>
          </w:p>
        </w:tc>
        <w:tc>
          <w:tcPr>
            <w:tcW w:w="2464" w:type="dxa"/>
            <w:vAlign w:val="center"/>
          </w:tcPr>
          <w:p w14:paraId="1CAB015B" w14:textId="77777777" w:rsidR="009C7847" w:rsidRPr="005E1202" w:rsidRDefault="009C7847" w:rsidP="00EC496D">
            <w:pPr>
              <w:spacing w:before="60" w:after="60"/>
              <w:jc w:val="center"/>
              <w:rPr>
                <w:rFonts w:cs="Arial"/>
              </w:rPr>
            </w:pPr>
            <w:r w:rsidRPr="005E1202">
              <w:rPr>
                <w:rFonts w:cs="Arial"/>
              </w:rPr>
              <w:t>15 %</w:t>
            </w:r>
          </w:p>
        </w:tc>
      </w:tr>
      <w:tr w:rsidR="009C7847" w:rsidRPr="005E1202" w14:paraId="3C185259" w14:textId="77777777" w:rsidTr="00EC496D">
        <w:tc>
          <w:tcPr>
            <w:tcW w:w="2463" w:type="dxa"/>
            <w:vAlign w:val="center"/>
          </w:tcPr>
          <w:p w14:paraId="5E015A3B" w14:textId="77777777" w:rsidR="009C7847" w:rsidRPr="005E1202" w:rsidRDefault="009C7847" w:rsidP="00EC496D">
            <w:pPr>
              <w:spacing w:before="60" w:after="60"/>
              <w:jc w:val="center"/>
              <w:rPr>
                <w:rFonts w:cs="Arial"/>
              </w:rPr>
            </w:pPr>
            <w:r w:rsidRPr="005E1202">
              <w:rPr>
                <w:rFonts w:cs="Arial"/>
              </w:rPr>
              <w:t>Fatigue</w:t>
            </w:r>
          </w:p>
        </w:tc>
        <w:tc>
          <w:tcPr>
            <w:tcW w:w="2463" w:type="dxa"/>
            <w:vAlign w:val="center"/>
          </w:tcPr>
          <w:p w14:paraId="74EF8330" w14:textId="77777777" w:rsidR="009C7847" w:rsidRPr="005E1202" w:rsidRDefault="009C7847" w:rsidP="00EC496D">
            <w:pPr>
              <w:spacing w:before="60" w:after="60"/>
              <w:jc w:val="center"/>
              <w:rPr>
                <w:rFonts w:cs="Arial"/>
              </w:rPr>
            </w:pPr>
            <w:r w:rsidRPr="005E1202">
              <w:rPr>
                <w:rFonts w:cs="Arial"/>
              </w:rPr>
              <w:t>11 %</w:t>
            </w:r>
          </w:p>
        </w:tc>
        <w:tc>
          <w:tcPr>
            <w:tcW w:w="2464" w:type="dxa"/>
            <w:vAlign w:val="center"/>
          </w:tcPr>
          <w:p w14:paraId="2388CF03" w14:textId="77777777" w:rsidR="009C7847" w:rsidRPr="005E1202" w:rsidRDefault="009C7847" w:rsidP="00EC496D">
            <w:pPr>
              <w:spacing w:before="60" w:after="60"/>
              <w:jc w:val="center"/>
              <w:rPr>
                <w:rFonts w:cs="Arial"/>
              </w:rPr>
            </w:pPr>
            <w:r w:rsidRPr="005E1202">
              <w:rPr>
                <w:rFonts w:cs="Arial"/>
              </w:rPr>
              <w:t>14 %</w:t>
            </w:r>
          </w:p>
        </w:tc>
        <w:tc>
          <w:tcPr>
            <w:tcW w:w="2464" w:type="dxa"/>
            <w:vAlign w:val="center"/>
          </w:tcPr>
          <w:p w14:paraId="527A6242" w14:textId="77777777" w:rsidR="009C7847" w:rsidRPr="005E1202" w:rsidRDefault="009C7847" w:rsidP="00EC496D">
            <w:pPr>
              <w:spacing w:before="60" w:after="60"/>
              <w:jc w:val="center"/>
              <w:rPr>
                <w:rFonts w:cs="Arial"/>
              </w:rPr>
            </w:pPr>
            <w:r w:rsidRPr="005E1202">
              <w:rPr>
                <w:rFonts w:cs="Arial"/>
              </w:rPr>
              <w:t>12 %</w:t>
            </w:r>
          </w:p>
        </w:tc>
      </w:tr>
      <w:tr w:rsidR="009C7847" w:rsidRPr="005E1202" w14:paraId="7C47A952" w14:textId="77777777" w:rsidTr="00EC496D">
        <w:tc>
          <w:tcPr>
            <w:tcW w:w="2463" w:type="dxa"/>
            <w:vAlign w:val="center"/>
          </w:tcPr>
          <w:p w14:paraId="0C1BE80B" w14:textId="77777777" w:rsidR="009C7847" w:rsidRPr="005E1202" w:rsidRDefault="009C7847" w:rsidP="00EC496D">
            <w:pPr>
              <w:spacing w:before="60" w:after="60"/>
              <w:jc w:val="center"/>
              <w:rPr>
                <w:rFonts w:cs="Arial"/>
              </w:rPr>
            </w:pPr>
            <w:r w:rsidRPr="005E1202">
              <w:rPr>
                <w:rFonts w:cs="Arial"/>
              </w:rPr>
              <w:t>Nausea</w:t>
            </w:r>
          </w:p>
        </w:tc>
        <w:tc>
          <w:tcPr>
            <w:tcW w:w="2463" w:type="dxa"/>
            <w:vAlign w:val="center"/>
          </w:tcPr>
          <w:p w14:paraId="25A19AF4" w14:textId="77777777" w:rsidR="009C7847" w:rsidRPr="005E1202" w:rsidRDefault="009C7847" w:rsidP="00EC496D">
            <w:pPr>
              <w:spacing w:before="60" w:after="60"/>
              <w:jc w:val="center"/>
              <w:rPr>
                <w:rFonts w:cs="Arial"/>
              </w:rPr>
            </w:pPr>
            <w:r w:rsidRPr="005E1202">
              <w:rPr>
                <w:rFonts w:cs="Arial"/>
              </w:rPr>
              <w:t>9 %</w:t>
            </w:r>
          </w:p>
        </w:tc>
        <w:tc>
          <w:tcPr>
            <w:tcW w:w="2464" w:type="dxa"/>
            <w:vAlign w:val="center"/>
          </w:tcPr>
          <w:p w14:paraId="43C25BE1" w14:textId="77777777" w:rsidR="009C7847" w:rsidRPr="005E1202" w:rsidRDefault="009C7847" w:rsidP="00EC496D">
            <w:pPr>
              <w:spacing w:before="60" w:after="60"/>
              <w:jc w:val="center"/>
              <w:rPr>
                <w:rFonts w:cs="Arial"/>
              </w:rPr>
            </w:pPr>
            <w:r w:rsidRPr="005E1202">
              <w:rPr>
                <w:rFonts w:cs="Arial"/>
              </w:rPr>
              <w:t>12 %</w:t>
            </w:r>
          </w:p>
        </w:tc>
        <w:tc>
          <w:tcPr>
            <w:tcW w:w="2464" w:type="dxa"/>
            <w:vAlign w:val="center"/>
          </w:tcPr>
          <w:p w14:paraId="124BAD65" w14:textId="77777777" w:rsidR="009C7847" w:rsidRPr="005E1202" w:rsidRDefault="009C7847" w:rsidP="00EC496D">
            <w:pPr>
              <w:spacing w:before="60" w:after="60"/>
              <w:jc w:val="center"/>
              <w:rPr>
                <w:rFonts w:cs="Arial"/>
              </w:rPr>
            </w:pPr>
            <w:r w:rsidRPr="005E1202">
              <w:rPr>
                <w:rFonts w:cs="Arial"/>
              </w:rPr>
              <w:t>12 %</w:t>
            </w:r>
          </w:p>
        </w:tc>
      </w:tr>
      <w:tr w:rsidR="009C7847" w:rsidRPr="005E1202" w14:paraId="6C32FF05" w14:textId="77777777" w:rsidTr="00EC496D">
        <w:trPr>
          <w:trHeight w:val="64"/>
        </w:trPr>
        <w:tc>
          <w:tcPr>
            <w:tcW w:w="9854" w:type="dxa"/>
            <w:gridSpan w:val="4"/>
          </w:tcPr>
          <w:p w14:paraId="6437A061" w14:textId="77777777" w:rsidR="009C7847" w:rsidRPr="005E1202" w:rsidRDefault="009C7847" w:rsidP="00EC496D">
            <w:pPr>
              <w:spacing w:before="60" w:after="60"/>
              <w:rPr>
                <w:rFonts w:cs="Arial"/>
              </w:rPr>
            </w:pPr>
            <w:r w:rsidRPr="005E1202">
              <w:rPr>
                <w:rFonts w:cs="Arial"/>
                <w:vertAlign w:val="superscript"/>
              </w:rPr>
              <w:t xml:space="preserve">1 </w:t>
            </w:r>
            <w:r w:rsidRPr="005E1202">
              <w:rPr>
                <w:rFonts w:cs="Arial"/>
              </w:rPr>
              <w:t>DCV = daclatasvir</w:t>
            </w:r>
          </w:p>
          <w:p w14:paraId="4510912A" w14:textId="77777777" w:rsidR="009C7847" w:rsidRPr="005E1202" w:rsidRDefault="009C7847" w:rsidP="00EC496D">
            <w:pPr>
              <w:spacing w:before="60" w:after="60"/>
              <w:rPr>
                <w:rFonts w:cs="Arial"/>
              </w:rPr>
            </w:pPr>
            <w:r w:rsidRPr="005E1202">
              <w:rPr>
                <w:rFonts w:cs="Arial"/>
                <w:vertAlign w:val="superscript"/>
              </w:rPr>
              <w:t>2</w:t>
            </w:r>
            <w:r w:rsidRPr="005E1202">
              <w:rPr>
                <w:rFonts w:cs="Arial"/>
              </w:rPr>
              <w:t xml:space="preserve"> SOF = sofosbuvir</w:t>
            </w:r>
          </w:p>
          <w:p w14:paraId="279DCFA0" w14:textId="77777777" w:rsidR="009C7847" w:rsidRPr="005E1202" w:rsidRDefault="009C7847" w:rsidP="00EC496D">
            <w:pPr>
              <w:spacing w:before="60" w:after="60"/>
              <w:rPr>
                <w:rFonts w:cs="Arial"/>
              </w:rPr>
            </w:pPr>
            <w:r w:rsidRPr="005E1202">
              <w:rPr>
                <w:rFonts w:cs="Arial"/>
              </w:rPr>
              <w:t xml:space="preserve">* The </w:t>
            </w:r>
            <w:proofErr w:type="gramStart"/>
            <w:r w:rsidRPr="005E1202">
              <w:rPr>
                <w:rFonts w:cs="Arial"/>
              </w:rPr>
              <w:t>8 week</w:t>
            </w:r>
            <w:proofErr w:type="gramEnd"/>
            <w:r w:rsidRPr="005E1202">
              <w:rPr>
                <w:rFonts w:cs="Arial"/>
              </w:rPr>
              <w:t xml:space="preserve"> arm was a non-randomised treatment arm</w:t>
            </w:r>
          </w:p>
        </w:tc>
      </w:tr>
    </w:tbl>
    <w:p w14:paraId="7B6E511C" w14:textId="77777777" w:rsidR="009C7847" w:rsidRPr="00CE7A6F" w:rsidRDefault="009C7847" w:rsidP="009C7847">
      <w:pPr>
        <w:rPr>
          <w:rFonts w:cs="Arial"/>
          <w:b/>
        </w:rPr>
      </w:pPr>
    </w:p>
    <w:p w14:paraId="522A8765" w14:textId="566BFAF2" w:rsidR="009C7847" w:rsidRPr="00CE7A6F" w:rsidRDefault="009C7847" w:rsidP="00CB7E98">
      <w:pPr>
        <w:pStyle w:val="Heading3"/>
      </w:pPr>
      <w:r w:rsidRPr="00CE7A6F">
        <w:t xml:space="preserve">Adverse Reactions in </w:t>
      </w:r>
      <w:r w:rsidR="000B18D7" w:rsidRPr="00CE7A6F">
        <w:t xml:space="preserve">Adult Patients </w:t>
      </w:r>
      <w:r w:rsidRPr="00CE7A6F">
        <w:t>with Severe Renal Impairment Including Subjects on Dialysis</w:t>
      </w:r>
    </w:p>
    <w:p w14:paraId="44992102" w14:textId="0786FC45" w:rsidR="009C7847" w:rsidRDefault="009C7847" w:rsidP="004E4B98">
      <w:pPr>
        <w:jc w:val="both"/>
        <w:rPr>
          <w:rFonts w:cs="Arial"/>
        </w:rPr>
      </w:pPr>
      <w:r w:rsidRPr="00CE7A6F">
        <w:rPr>
          <w:rFonts w:cs="Arial"/>
        </w:rPr>
        <w:t xml:space="preserve">The safety of MAVIRET in patients with chronic kidney disease (Stage 4 or Stage 5 including subjects on dialysis) and </w:t>
      </w:r>
      <w:r w:rsidR="009444C9" w:rsidRPr="00CE7A6F">
        <w:rPr>
          <w:rFonts w:cs="Arial"/>
        </w:rPr>
        <w:t>GT</w:t>
      </w:r>
      <w:r w:rsidRPr="00CE7A6F">
        <w:rPr>
          <w:rFonts w:cs="Arial"/>
        </w:rPr>
        <w:t xml:space="preserve">1, 2, 3, 4, </w:t>
      </w:r>
      <w:r w:rsidRPr="005E1202">
        <w:rPr>
          <w:rFonts w:cs="Arial"/>
        </w:rPr>
        <w:t xml:space="preserve">5 or 6 chronic HCV infection without cirrhosis or with compensated cirrhosis was assessed in 104 patients (EXPEDITION-4). </w:t>
      </w:r>
      <w:r w:rsidR="009E3F41">
        <w:rPr>
          <w:rFonts w:cs="Arial"/>
        </w:rPr>
        <w:t xml:space="preserve"> </w:t>
      </w:r>
      <w:r w:rsidRPr="005E1202">
        <w:rPr>
          <w:rFonts w:cs="Arial"/>
        </w:rPr>
        <w:t xml:space="preserve">The most common adverse reactions were pruritus and fatigue in patients treated with MAVIRET for 12 weeks. </w:t>
      </w:r>
      <w:r w:rsidR="009E3F41">
        <w:rPr>
          <w:rFonts w:cs="Arial"/>
        </w:rPr>
        <w:t xml:space="preserve"> </w:t>
      </w:r>
      <w:r w:rsidRPr="005E1202">
        <w:rPr>
          <w:rFonts w:cs="Arial"/>
        </w:rPr>
        <w:t xml:space="preserve">Adverse reactions observed in greater than or equal to 5% of patients receiving 12 weeks of treatment with MAVIRET were pruritus (17.3%), fatigue (11.5%), nausea (8.7%), asthenia (6.7%), and headache (5.8%). </w:t>
      </w:r>
      <w:r w:rsidR="009E3F41">
        <w:rPr>
          <w:rFonts w:cs="Arial"/>
        </w:rPr>
        <w:t xml:space="preserve"> </w:t>
      </w:r>
      <w:r w:rsidRPr="005E1202">
        <w:rPr>
          <w:rFonts w:cs="Arial"/>
        </w:rPr>
        <w:t xml:space="preserve">In patients treated with MAVIRET who reported an adverse reaction, 55% had adverse reactions of mild severity. </w:t>
      </w:r>
      <w:r w:rsidR="009E3F41">
        <w:rPr>
          <w:rFonts w:cs="Arial"/>
        </w:rPr>
        <w:t xml:space="preserve"> </w:t>
      </w:r>
      <w:r w:rsidRPr="005E1202">
        <w:rPr>
          <w:rFonts w:cs="Arial"/>
        </w:rPr>
        <w:t xml:space="preserve">No patients experienced a serious adverse reaction. </w:t>
      </w:r>
      <w:r w:rsidR="009E3F41">
        <w:rPr>
          <w:rFonts w:cs="Arial"/>
        </w:rPr>
        <w:t xml:space="preserve"> </w:t>
      </w:r>
      <w:r w:rsidRPr="005E1202">
        <w:rPr>
          <w:rFonts w:cs="Arial"/>
        </w:rPr>
        <w:t>The proportion of patients who permanently discontinued treatment due to adverse reactions was 1.9%.</w:t>
      </w:r>
    </w:p>
    <w:p w14:paraId="4194121C" w14:textId="6E53CD31" w:rsidR="00AA1D98" w:rsidRPr="00CE7A6F" w:rsidRDefault="00AA1D98" w:rsidP="00E905B8">
      <w:pPr>
        <w:pStyle w:val="Heading3"/>
      </w:pPr>
      <w:r>
        <w:lastRenderedPageBreak/>
        <w:t>Adverse Reaction</w:t>
      </w:r>
      <w:r w:rsidRPr="00CE7A6F">
        <w:t xml:space="preserve">s in HCV/HIV-1 Coinfected </w:t>
      </w:r>
      <w:r w:rsidR="000B18D7" w:rsidRPr="00CE7A6F">
        <w:t xml:space="preserve">Adult </w:t>
      </w:r>
      <w:r w:rsidRPr="00CE7A6F">
        <w:t>Patients</w:t>
      </w:r>
    </w:p>
    <w:p w14:paraId="6887817A" w14:textId="77777777" w:rsidR="00AA1D98" w:rsidRPr="00CE7A6F" w:rsidRDefault="00D5733F" w:rsidP="00D5733F">
      <w:pPr>
        <w:jc w:val="both"/>
      </w:pPr>
      <w:r w:rsidRPr="00CE7A6F">
        <w:t xml:space="preserve">The overall </w:t>
      </w:r>
      <w:r w:rsidR="008D6EFD" w:rsidRPr="00CE7A6F">
        <w:t>safety profile in HCV/HIV-1 co</w:t>
      </w:r>
      <w:r w:rsidRPr="00CE7A6F">
        <w:t>infected patients (ENDURANCE-1 and EXPEDITION-2) was comparable to that observed in HCV mono-infected patients.</w:t>
      </w:r>
    </w:p>
    <w:p w14:paraId="317F2633" w14:textId="17DF0E57" w:rsidR="008D6EFD" w:rsidRPr="00CE7A6F" w:rsidRDefault="008D6EFD" w:rsidP="00E905B8">
      <w:pPr>
        <w:pStyle w:val="Heading3"/>
      </w:pPr>
      <w:r w:rsidRPr="00CE7A6F">
        <w:t xml:space="preserve">Adverse Reactions in </w:t>
      </w:r>
      <w:r w:rsidR="000B18D7" w:rsidRPr="00CE7A6F">
        <w:t xml:space="preserve">Adult </w:t>
      </w:r>
      <w:r w:rsidRPr="00CE7A6F">
        <w:t>Patients with Liver or Kidney Transplant</w:t>
      </w:r>
    </w:p>
    <w:p w14:paraId="75E9362F" w14:textId="60889B30" w:rsidR="008D6EFD" w:rsidRDefault="008D6EFD" w:rsidP="008D6EFD">
      <w:pPr>
        <w:jc w:val="both"/>
      </w:pPr>
      <w:r w:rsidRPr="00CE7A6F">
        <w:t xml:space="preserve">The safety of MAVIRET was assessed in 100 post-liver or -kidney transplant recipients with </w:t>
      </w:r>
      <w:r w:rsidR="009444C9" w:rsidRPr="00CE7A6F">
        <w:t>GT</w:t>
      </w:r>
      <w:r w:rsidRPr="00CE7A6F">
        <w:t xml:space="preserve">1, 2, 3, 4, or 6 chronic HCV infection without cirrhosis (MAGELLAN-2). </w:t>
      </w:r>
      <w:r w:rsidR="009E3F41" w:rsidRPr="00CE7A6F">
        <w:t xml:space="preserve"> </w:t>
      </w:r>
      <w:r w:rsidRPr="00CE7A6F">
        <w:t xml:space="preserve">The overall safety profile in transplant recipients was comparable to that observed in patients in the Phase 2 and 3 studies. </w:t>
      </w:r>
      <w:r w:rsidR="009E3F41" w:rsidRPr="00CE7A6F">
        <w:t xml:space="preserve"> </w:t>
      </w:r>
      <w:r w:rsidRPr="00CE7A6F">
        <w:t>Adverse reactions observed in greater than or equal to 5% of patients receiving MAVIRET for 12 weeks were headache (17%), fatigue (16%), nau</w:t>
      </w:r>
      <w:r w:rsidRPr="008D6EFD">
        <w:t xml:space="preserve">sea (8%), and pruritus (7%). </w:t>
      </w:r>
      <w:r w:rsidR="009E3F41">
        <w:t xml:space="preserve"> </w:t>
      </w:r>
      <w:r w:rsidRPr="008D6EFD">
        <w:t xml:space="preserve">In </w:t>
      </w:r>
      <w:r>
        <w:t>patients</w:t>
      </w:r>
      <w:r w:rsidRPr="008D6EFD">
        <w:t xml:space="preserve"> treated with MAVIRET who reported an adverse reaction, 81% had adverse reactions of mild severity. </w:t>
      </w:r>
      <w:r w:rsidR="009E3F41">
        <w:t xml:space="preserve"> </w:t>
      </w:r>
      <w:r w:rsidRPr="008D6EFD">
        <w:t>Two percent of patients experienced a serious adverse reaction, and no patients permanently discontinued treatment due to adverse reactions.</w:t>
      </w:r>
    </w:p>
    <w:p w14:paraId="5C4166F1" w14:textId="48590222" w:rsidR="000B18D7" w:rsidRPr="00CE7A6F" w:rsidRDefault="000B18D7" w:rsidP="000B18D7">
      <w:pPr>
        <w:pStyle w:val="Heading3"/>
        <w:jc w:val="both"/>
      </w:pPr>
      <w:r w:rsidRPr="00CE7A6F">
        <w:t xml:space="preserve">Adverse Reactions in </w:t>
      </w:r>
      <w:r w:rsidR="00D513EB">
        <w:t>Paediatric</w:t>
      </w:r>
      <w:r w:rsidR="00D513EB" w:rsidRPr="00CE7A6F">
        <w:t xml:space="preserve"> </w:t>
      </w:r>
      <w:r w:rsidRPr="00CE7A6F">
        <w:t>Patients</w:t>
      </w:r>
      <w:r w:rsidR="00D513EB">
        <w:t xml:space="preserve"> (3 years to less than 18 years old)</w:t>
      </w:r>
    </w:p>
    <w:p w14:paraId="5650F5BE" w14:textId="19B3AD78" w:rsidR="00D513EB" w:rsidRDefault="000B18D7" w:rsidP="000B18D7">
      <w:pPr>
        <w:jc w:val="both"/>
      </w:pPr>
      <w:r w:rsidRPr="00CE7A6F">
        <w:t>The safety of MAVIRET in HCV GT 1-6 infected adolescents is based on data from a Phase 2</w:t>
      </w:r>
      <w:r w:rsidR="00D513EB">
        <w:t xml:space="preserve"> and </w:t>
      </w:r>
      <w:r w:rsidRPr="00CE7A6F">
        <w:t xml:space="preserve">3 open-label </w:t>
      </w:r>
      <w:proofErr w:type="gramStart"/>
      <w:r w:rsidRPr="00CE7A6F">
        <w:t>trial</w:t>
      </w:r>
      <w:proofErr w:type="gramEnd"/>
      <w:r w:rsidRPr="00CE7A6F">
        <w:t xml:space="preserve"> in 47 patients aged 12 years to less than 18 years treated with MAVIRET </w:t>
      </w:r>
      <w:r w:rsidR="00D513EB">
        <w:t xml:space="preserve">tablets </w:t>
      </w:r>
      <w:r w:rsidRPr="00CE7A6F">
        <w:t xml:space="preserve">for 8 to 16 weeks (DORA-Part 1). </w:t>
      </w:r>
    </w:p>
    <w:p w14:paraId="0BF7E0DE" w14:textId="7AF04B51" w:rsidR="00D513EB" w:rsidRDefault="00D513EB" w:rsidP="000B18D7">
      <w:pPr>
        <w:jc w:val="both"/>
      </w:pPr>
      <w:r>
        <w:t xml:space="preserve">The safety of MAVIRET in HCV GT1-6 infected children aged 3 years to less than 12 years is based on data from a Phase 2 and 3 open-label </w:t>
      </w:r>
      <w:proofErr w:type="gramStart"/>
      <w:r>
        <w:t>trial</w:t>
      </w:r>
      <w:proofErr w:type="gramEnd"/>
      <w:r>
        <w:t xml:space="preserve"> in 80 patients aged 3 years to less than 12 years treated with weight-based MAVIRET granules in sachets for 8 to 16 weeks (DORA-Part 2). </w:t>
      </w:r>
      <w:r w:rsidR="000B18D7" w:rsidRPr="00CE7A6F">
        <w:t xml:space="preserve"> </w:t>
      </w:r>
    </w:p>
    <w:p w14:paraId="7BCC3853" w14:textId="7BF7D728" w:rsidR="000B18D7" w:rsidRPr="00CE7A6F" w:rsidRDefault="000B18D7" w:rsidP="000B18D7">
      <w:pPr>
        <w:jc w:val="both"/>
      </w:pPr>
      <w:r w:rsidRPr="00CE7A6F">
        <w:t xml:space="preserve">The adverse reactions observed </w:t>
      </w:r>
      <w:r w:rsidR="00D513EB">
        <w:t>in patients 3 years to less than 18 years old</w:t>
      </w:r>
      <w:r w:rsidR="00D513EB" w:rsidRPr="00CE7A6F">
        <w:t xml:space="preserve"> </w:t>
      </w:r>
      <w:r w:rsidRPr="00CE7A6F">
        <w:t>were comparable with those observed in clinical studies of MAVIRET in adults</w:t>
      </w:r>
      <w:r w:rsidR="00F50432" w:rsidRPr="00CE7A6F">
        <w:t>.</w:t>
      </w:r>
    </w:p>
    <w:p w14:paraId="0ED0AA1B" w14:textId="77777777" w:rsidR="009C7847" w:rsidRPr="005E1202" w:rsidRDefault="009C7847" w:rsidP="009C7847">
      <w:pPr>
        <w:pStyle w:val="Heading3"/>
        <w:rPr>
          <w:rFonts w:cs="Arial"/>
        </w:rPr>
      </w:pPr>
      <w:r w:rsidRPr="005E1202">
        <w:rPr>
          <w:rFonts w:cs="Arial"/>
        </w:rPr>
        <w:t>Serum bilirubin elevations</w:t>
      </w:r>
    </w:p>
    <w:p w14:paraId="761A7930" w14:textId="6A4F5307" w:rsidR="006641E4" w:rsidRDefault="009C7847" w:rsidP="006641E4">
      <w:pPr>
        <w:jc w:val="both"/>
        <w:rPr>
          <w:rFonts w:cs="Arial"/>
          <w:lang w:val="en-CA"/>
        </w:rPr>
      </w:pPr>
      <w:r w:rsidRPr="005E1202">
        <w:rPr>
          <w:rFonts w:cs="Arial"/>
          <w:lang w:val="en-CA"/>
        </w:rPr>
        <w:t xml:space="preserve">Elevations in total bilirubin of at least 2x upper limit </w:t>
      </w:r>
      <w:r w:rsidR="00A53B34">
        <w:rPr>
          <w:rFonts w:cs="Arial"/>
          <w:lang w:val="en-CA"/>
        </w:rPr>
        <w:t xml:space="preserve">of </w:t>
      </w:r>
      <w:r w:rsidRPr="005E1202">
        <w:rPr>
          <w:rFonts w:cs="Arial"/>
          <w:lang w:val="en-CA"/>
        </w:rPr>
        <w:t xml:space="preserve">normal (ULN) were observed in 1% of subjects related to glecaprevir-mediated inhibition of bilirubin transporters and metabolism. </w:t>
      </w:r>
      <w:r w:rsidR="009E3F41">
        <w:rPr>
          <w:rFonts w:cs="Arial"/>
          <w:lang w:val="en-CA"/>
        </w:rPr>
        <w:t xml:space="preserve"> </w:t>
      </w:r>
      <w:r w:rsidRPr="005E1202">
        <w:rPr>
          <w:rFonts w:cs="Arial"/>
          <w:lang w:val="en-CA"/>
        </w:rPr>
        <w:t xml:space="preserve">Bilirubin elevations were asymptomatic, transient, and typically occurred early during treatment. </w:t>
      </w:r>
      <w:r w:rsidR="009E3F41">
        <w:rPr>
          <w:rFonts w:cs="Arial"/>
          <w:lang w:val="en-CA"/>
        </w:rPr>
        <w:t xml:space="preserve"> </w:t>
      </w:r>
      <w:r w:rsidRPr="005E1202">
        <w:rPr>
          <w:rFonts w:cs="Arial"/>
          <w:lang w:val="en-CA"/>
        </w:rPr>
        <w:t>Bilirubin elevations were predominantly indirect and not associated with ALT elevations.</w:t>
      </w:r>
    </w:p>
    <w:p w14:paraId="77E2DDE5" w14:textId="77777777" w:rsidR="000B18D7" w:rsidRPr="00CE7A6F" w:rsidRDefault="000B18D7" w:rsidP="000B18D7">
      <w:pPr>
        <w:pStyle w:val="Heading3"/>
        <w:rPr>
          <w:lang w:val="en-CA"/>
        </w:rPr>
      </w:pPr>
      <w:r w:rsidRPr="00CE7A6F">
        <w:rPr>
          <w:lang w:val="en-CA"/>
        </w:rPr>
        <w:t>Post marketing experience</w:t>
      </w:r>
    </w:p>
    <w:p w14:paraId="556788F0" w14:textId="77777777" w:rsidR="000B18D7" w:rsidRPr="00CE7A6F" w:rsidRDefault="000B18D7" w:rsidP="000B18D7">
      <w:pPr>
        <w:jc w:val="both"/>
        <w:rPr>
          <w:lang w:val="en-CA"/>
        </w:rPr>
      </w:pPr>
      <w:r w:rsidRPr="00CE7A6F">
        <w:rPr>
          <w:lang w:val="en-CA"/>
        </w:rPr>
        <w:t>The following adverse reactions have been identified during post approval use of glecaprevir/pibrentasvir.  Because these reactions are reported voluntarily from a population of uncertain size, it is not always possible to reliably estimate their frequency or establish a causal relationship to drug exposure.</w:t>
      </w:r>
    </w:p>
    <w:p w14:paraId="7FFD32E1" w14:textId="77777777" w:rsidR="000B18D7" w:rsidRPr="00CE7A6F" w:rsidRDefault="000B18D7" w:rsidP="000B18D7">
      <w:pPr>
        <w:rPr>
          <w:lang w:val="en-CA"/>
        </w:rPr>
      </w:pPr>
      <w:r w:rsidRPr="00CE7A6F">
        <w:rPr>
          <w:lang w:val="en-CA"/>
        </w:rPr>
        <w:lastRenderedPageBreak/>
        <w:t>Immune System Disorders: angioedema</w:t>
      </w:r>
    </w:p>
    <w:p w14:paraId="0031219B" w14:textId="04100A2E" w:rsidR="000B18D7" w:rsidRPr="00CE7A6F" w:rsidRDefault="000B18D7" w:rsidP="000B18D7">
      <w:pPr>
        <w:rPr>
          <w:rFonts w:cs="Arial"/>
          <w:lang w:val="en-CA"/>
        </w:rPr>
      </w:pPr>
      <w:r w:rsidRPr="00CE7A6F">
        <w:rPr>
          <w:lang w:val="en-CA"/>
        </w:rPr>
        <w:t>Skin and Subcutaneous Tissue Disorders: pruritus.</w:t>
      </w:r>
    </w:p>
    <w:p w14:paraId="70A82D28" w14:textId="77777777" w:rsidR="009E3FB8" w:rsidRDefault="009E3FB8" w:rsidP="007D5600">
      <w:pPr>
        <w:pStyle w:val="Heading3"/>
        <w:rPr>
          <w:lang w:val="en"/>
        </w:rPr>
      </w:pPr>
      <w:r w:rsidRPr="009E3FB8">
        <w:rPr>
          <w:lang w:val="en"/>
        </w:rPr>
        <w:t>Reporting suspected adverse effects</w:t>
      </w:r>
    </w:p>
    <w:p w14:paraId="7ED94825" w14:textId="793ED7E0" w:rsidR="009E3FB8" w:rsidRDefault="009E3FB8" w:rsidP="006641E4">
      <w:pPr>
        <w:jc w:val="both"/>
        <w:rPr>
          <w:rFonts w:cs="Arial"/>
          <w:lang w:val="en"/>
        </w:rPr>
      </w:pPr>
      <w:r w:rsidRPr="005E1202">
        <w:rPr>
          <w:rFonts w:cs="Arial"/>
          <w:lang w:val="en"/>
        </w:rPr>
        <w:t xml:space="preserve">Reporting suspected adverse reactions after registration of the medicinal product is important. </w:t>
      </w:r>
      <w:r w:rsidR="009E3F41">
        <w:rPr>
          <w:rFonts w:cs="Arial"/>
          <w:lang w:val="en"/>
        </w:rPr>
        <w:t xml:space="preserve"> </w:t>
      </w:r>
      <w:r w:rsidRPr="005E1202">
        <w:rPr>
          <w:rFonts w:cs="Arial"/>
          <w:lang w:val="en"/>
        </w:rPr>
        <w:t xml:space="preserve">It allows continued monitoring of the benefit-risk balance of the medicinal product. </w:t>
      </w:r>
      <w:r w:rsidR="009E3F41">
        <w:rPr>
          <w:rFonts w:cs="Arial"/>
          <w:lang w:val="en"/>
        </w:rPr>
        <w:t xml:space="preserve"> </w:t>
      </w:r>
      <w:r w:rsidRPr="005E1202">
        <w:rPr>
          <w:rFonts w:cs="Arial"/>
          <w:lang w:val="en"/>
        </w:rPr>
        <w:t xml:space="preserve">Healthcare professionals are asked to report any suspected adverse reactions at </w:t>
      </w:r>
      <w:hyperlink r:id="rId13" w:history="1">
        <w:r w:rsidRPr="005E1202">
          <w:rPr>
            <w:rStyle w:val="Hyperlink"/>
            <w:rFonts w:cs="Arial"/>
            <w:lang w:val="en"/>
          </w:rPr>
          <w:t>www.tga.gov.au/reporting-problems</w:t>
        </w:r>
      </w:hyperlink>
      <w:r w:rsidRPr="005E1202">
        <w:rPr>
          <w:rFonts w:cs="Arial"/>
          <w:lang w:val="en"/>
        </w:rPr>
        <w:t>.</w:t>
      </w:r>
    </w:p>
    <w:p w14:paraId="7AEC9C0E" w14:textId="77777777" w:rsidR="00CE7A6F" w:rsidRPr="005E1202" w:rsidRDefault="00CE7A6F" w:rsidP="006641E4">
      <w:pPr>
        <w:jc w:val="both"/>
        <w:rPr>
          <w:rFonts w:cs="Arial"/>
        </w:rPr>
      </w:pPr>
    </w:p>
    <w:p w14:paraId="70B1B3F1" w14:textId="77777777" w:rsidR="001A3992" w:rsidRPr="005E1202" w:rsidRDefault="001A3992" w:rsidP="001A3992">
      <w:pPr>
        <w:pStyle w:val="Heading2"/>
        <w:keepNext/>
        <w:keepLines/>
        <w:spacing w:before="0" w:after="120"/>
        <w:rPr>
          <w:rFonts w:cs="Arial"/>
        </w:rPr>
      </w:pPr>
      <w:r w:rsidRPr="005E1202">
        <w:rPr>
          <w:rFonts w:cs="Arial"/>
        </w:rPr>
        <w:t>Overdose</w:t>
      </w:r>
    </w:p>
    <w:p w14:paraId="6C51122B" w14:textId="77777777" w:rsidR="009C7847" w:rsidRPr="005E1202" w:rsidRDefault="009C7847" w:rsidP="009A5E7A">
      <w:pPr>
        <w:jc w:val="both"/>
        <w:rPr>
          <w:rFonts w:cs="Arial"/>
        </w:rPr>
      </w:pPr>
      <w:r w:rsidRPr="005E1202">
        <w:rPr>
          <w:rFonts w:cs="Arial"/>
        </w:rPr>
        <w:t xml:space="preserve">The highest documented doses administered to healthy volunteers is 1200 mg once daily for </w:t>
      </w:r>
      <w:r w:rsidR="00B3759B">
        <w:rPr>
          <w:rFonts w:cs="Arial"/>
        </w:rPr>
        <w:t>seven</w:t>
      </w:r>
      <w:r w:rsidR="00B3759B" w:rsidRPr="005E1202">
        <w:rPr>
          <w:rFonts w:cs="Arial"/>
        </w:rPr>
        <w:t xml:space="preserve"> </w:t>
      </w:r>
      <w:r w:rsidRPr="005E1202">
        <w:rPr>
          <w:rFonts w:cs="Arial"/>
        </w:rPr>
        <w:t xml:space="preserve">days for glecaprevir and 600 mg once daily for 10 days for pibrentasvir. </w:t>
      </w:r>
      <w:r w:rsidR="009E3F41">
        <w:rPr>
          <w:rFonts w:cs="Arial"/>
        </w:rPr>
        <w:t xml:space="preserve"> </w:t>
      </w:r>
      <w:r w:rsidRPr="005E1202">
        <w:rPr>
          <w:rFonts w:cs="Arial"/>
        </w:rPr>
        <w:t xml:space="preserve">In case of overdose, the patient should be monitored for any signs and symptoms of toxicities. </w:t>
      </w:r>
      <w:r w:rsidR="009E3F41">
        <w:rPr>
          <w:rFonts w:cs="Arial"/>
        </w:rPr>
        <w:t xml:space="preserve"> </w:t>
      </w:r>
      <w:r w:rsidRPr="005E1202">
        <w:rPr>
          <w:rFonts w:cs="Arial"/>
        </w:rPr>
        <w:t xml:space="preserve">Appropriate symptomatic treatment should be instituted immediately. </w:t>
      </w:r>
      <w:r w:rsidR="009E3F41">
        <w:rPr>
          <w:rFonts w:cs="Arial"/>
        </w:rPr>
        <w:t xml:space="preserve"> </w:t>
      </w:r>
      <w:r w:rsidRPr="005E1202">
        <w:rPr>
          <w:rFonts w:cs="Arial"/>
        </w:rPr>
        <w:t>Glecaprevir and pibrentasvir were not significantly removed by haemodialysis.</w:t>
      </w:r>
    </w:p>
    <w:p w14:paraId="7D32F1EE" w14:textId="622BBEFE" w:rsidR="00F2097A" w:rsidRDefault="009C7847" w:rsidP="009A5E7A">
      <w:pPr>
        <w:jc w:val="both"/>
        <w:rPr>
          <w:rFonts w:cs="Arial"/>
        </w:rPr>
      </w:pPr>
      <w:r w:rsidRPr="005E1202">
        <w:rPr>
          <w:rFonts w:cs="Arial"/>
        </w:rPr>
        <w:t xml:space="preserve">For information on the management of overdose in Australia contact the Poisons Information Centre on 131126. </w:t>
      </w:r>
    </w:p>
    <w:p w14:paraId="6063FEE7" w14:textId="77777777" w:rsidR="00CE7A6F" w:rsidRPr="005E1202" w:rsidRDefault="00CE7A6F" w:rsidP="009A5E7A">
      <w:pPr>
        <w:jc w:val="both"/>
        <w:rPr>
          <w:rFonts w:cs="Arial"/>
        </w:rPr>
      </w:pPr>
    </w:p>
    <w:p w14:paraId="26783079" w14:textId="77777777" w:rsidR="001A3992" w:rsidRPr="005E1202" w:rsidRDefault="001A3992" w:rsidP="001A3992">
      <w:pPr>
        <w:pStyle w:val="Heading1"/>
        <w:spacing w:before="0" w:after="120"/>
        <w:rPr>
          <w:rFonts w:ascii="Arial" w:hAnsi="Arial" w:cs="Arial"/>
          <w:lang w:val="en-US"/>
        </w:rPr>
      </w:pPr>
      <w:r w:rsidRPr="005E1202">
        <w:rPr>
          <w:rFonts w:ascii="Arial" w:hAnsi="Arial" w:cs="Arial"/>
          <w:lang w:val="en-US"/>
        </w:rPr>
        <w:t>Pharmacological properties</w:t>
      </w:r>
    </w:p>
    <w:p w14:paraId="6BE852EB" w14:textId="77777777" w:rsidR="001A3992" w:rsidRPr="005E1202" w:rsidRDefault="001A3992" w:rsidP="001A3992">
      <w:pPr>
        <w:pStyle w:val="Heading2"/>
        <w:spacing w:before="0" w:after="120"/>
        <w:rPr>
          <w:rFonts w:cs="Arial"/>
          <w:lang w:val="en-US"/>
        </w:rPr>
      </w:pPr>
      <w:r w:rsidRPr="005E1202">
        <w:rPr>
          <w:rFonts w:cs="Arial"/>
          <w:lang w:val="en-US"/>
        </w:rPr>
        <w:t xml:space="preserve">Pharmacodynamic properties </w:t>
      </w:r>
    </w:p>
    <w:p w14:paraId="4AC1EDB8" w14:textId="77777777" w:rsidR="00493B75" w:rsidRPr="005E1202" w:rsidRDefault="00493B75" w:rsidP="009A5E7A">
      <w:pPr>
        <w:jc w:val="both"/>
        <w:rPr>
          <w:rFonts w:cs="Arial"/>
        </w:rPr>
      </w:pPr>
      <w:r w:rsidRPr="005E1202">
        <w:rPr>
          <w:rFonts w:cs="Arial"/>
        </w:rPr>
        <w:t xml:space="preserve">Pharmacotherapeutic Group: Antivirals for systemic use; direct acting antivirals, other antivirals. </w:t>
      </w:r>
    </w:p>
    <w:p w14:paraId="0CC97880" w14:textId="77777777" w:rsidR="00493B75" w:rsidRPr="005E1202" w:rsidRDefault="00493B75" w:rsidP="009A5E7A">
      <w:pPr>
        <w:jc w:val="both"/>
        <w:rPr>
          <w:rFonts w:cs="Arial"/>
        </w:rPr>
      </w:pPr>
      <w:r w:rsidRPr="00312E1B">
        <w:rPr>
          <w:rFonts w:cs="Arial"/>
        </w:rPr>
        <w:t>ATC code:</w:t>
      </w:r>
      <w:r w:rsidR="00312E1B" w:rsidRPr="00312E1B">
        <w:t xml:space="preserve"> </w:t>
      </w:r>
      <w:r w:rsidR="00312E1B" w:rsidRPr="00312E1B">
        <w:rPr>
          <w:rFonts w:cs="Arial"/>
        </w:rPr>
        <w:t>J05AP57</w:t>
      </w:r>
      <w:r w:rsidR="009A5E7A" w:rsidRPr="00312E1B">
        <w:rPr>
          <w:rFonts w:cs="Arial"/>
        </w:rPr>
        <w:t>.</w:t>
      </w:r>
    </w:p>
    <w:p w14:paraId="28207302" w14:textId="77777777" w:rsidR="001A3992" w:rsidRPr="005E1202" w:rsidRDefault="001A3992" w:rsidP="001A3992">
      <w:pPr>
        <w:pStyle w:val="Heading3"/>
        <w:rPr>
          <w:rFonts w:cs="Arial"/>
        </w:rPr>
      </w:pPr>
      <w:r w:rsidRPr="005E1202">
        <w:rPr>
          <w:rFonts w:cs="Arial"/>
        </w:rPr>
        <w:t>Mechanism of action</w:t>
      </w:r>
    </w:p>
    <w:p w14:paraId="7FE8E984" w14:textId="77777777" w:rsidR="00493B75" w:rsidRPr="005E1202" w:rsidRDefault="00493B75" w:rsidP="009A5E7A">
      <w:pPr>
        <w:jc w:val="both"/>
        <w:rPr>
          <w:rFonts w:cs="Arial"/>
        </w:rPr>
      </w:pPr>
      <w:r w:rsidRPr="005E1202">
        <w:rPr>
          <w:rFonts w:cs="Arial"/>
        </w:rPr>
        <w:t xml:space="preserve">MAVIRET is a fixed-dose combination of two </w:t>
      </w:r>
      <w:proofErr w:type="spellStart"/>
      <w:r w:rsidRPr="005E1202">
        <w:rPr>
          <w:rFonts w:cs="Arial"/>
        </w:rPr>
        <w:t>pangenotypic</w:t>
      </w:r>
      <w:proofErr w:type="spellEnd"/>
      <w:r w:rsidRPr="005E1202">
        <w:rPr>
          <w:rFonts w:cs="Arial"/>
        </w:rPr>
        <w:t xml:space="preserve"> direct-acting </w:t>
      </w:r>
      <w:r w:rsidRPr="005E1202">
        <w:rPr>
          <w:rFonts w:cs="Arial"/>
          <w:noProof/>
        </w:rPr>
        <w:t>antiviral</w:t>
      </w:r>
      <w:r w:rsidRPr="005E1202">
        <w:rPr>
          <w:rFonts w:cs="Arial"/>
        </w:rPr>
        <w:t xml:space="preserve"> agents, glecaprevir (NS3/4A protease inhibitor) and pibrentasvir (NS5A inhibitor), targeting multiple steps in the HCV viral lifecycle (see </w:t>
      </w:r>
      <w:r w:rsidR="008D55BB">
        <w:rPr>
          <w:rFonts w:cs="Arial"/>
        </w:rPr>
        <w:t xml:space="preserve">5.1 PHARMACODYNAMIC PROPERTIES </w:t>
      </w:r>
      <w:r w:rsidRPr="005E1202">
        <w:rPr>
          <w:rFonts w:cs="Arial"/>
        </w:rPr>
        <w:t xml:space="preserve">- </w:t>
      </w:r>
      <w:hyperlink w:anchor="pk-microbiology" w:tooltip="gtc:Link" w:history="1">
        <w:r w:rsidRPr="005E1202">
          <w:rPr>
            <w:rStyle w:val="gtclinktext8"/>
            <w:rFonts w:cs="Arial"/>
          </w:rPr>
          <w:t>Microbiology</w:t>
        </w:r>
      </w:hyperlink>
      <w:r w:rsidRPr="005E1202">
        <w:rPr>
          <w:rFonts w:cs="Arial"/>
        </w:rPr>
        <w:t>).</w:t>
      </w:r>
    </w:p>
    <w:p w14:paraId="25536C55" w14:textId="77777777" w:rsidR="00493B75" w:rsidRPr="005E1202" w:rsidRDefault="00493B75" w:rsidP="009C7847">
      <w:pPr>
        <w:pStyle w:val="Heading3"/>
        <w:rPr>
          <w:rFonts w:cs="Arial"/>
        </w:rPr>
      </w:pPr>
      <w:r w:rsidRPr="005E1202">
        <w:rPr>
          <w:rFonts w:cs="Arial"/>
        </w:rPr>
        <w:lastRenderedPageBreak/>
        <w:t>Pharmacodynamics</w:t>
      </w:r>
    </w:p>
    <w:p w14:paraId="0C6FCAA1" w14:textId="77777777" w:rsidR="00493B75" w:rsidRPr="005E1202" w:rsidRDefault="00493B75" w:rsidP="009C7847">
      <w:pPr>
        <w:pStyle w:val="Heading4"/>
        <w:rPr>
          <w:rFonts w:cs="Arial"/>
        </w:rPr>
      </w:pPr>
      <w:r w:rsidRPr="005E1202">
        <w:rPr>
          <w:rFonts w:cs="Arial"/>
        </w:rPr>
        <w:t>Effects on Electrocardiogram</w:t>
      </w:r>
    </w:p>
    <w:p w14:paraId="37BD3C7C" w14:textId="2A578480" w:rsidR="00493B75" w:rsidRPr="005E1202" w:rsidRDefault="00493B75" w:rsidP="009A5E7A">
      <w:pPr>
        <w:jc w:val="both"/>
        <w:rPr>
          <w:rFonts w:cs="Arial"/>
        </w:rPr>
      </w:pPr>
      <w:r w:rsidRPr="005E1202">
        <w:rPr>
          <w:rFonts w:cs="Arial"/>
        </w:rPr>
        <w:t xml:space="preserve">The effect of glecaprevir (up to 600 mg) with pibrentasvir (up to 240 mg) </w:t>
      </w:r>
      <w:r w:rsidRPr="00CE7A6F">
        <w:rPr>
          <w:rFonts w:cs="Arial"/>
        </w:rPr>
        <w:t xml:space="preserve">on </w:t>
      </w:r>
      <w:r w:rsidR="009444C9" w:rsidRPr="00CE7A6F">
        <w:rPr>
          <w:rFonts w:cs="Arial"/>
        </w:rPr>
        <w:t xml:space="preserve">the </w:t>
      </w:r>
      <w:r w:rsidRPr="00CE7A6F">
        <w:rPr>
          <w:rFonts w:cs="Arial"/>
        </w:rPr>
        <w:t xml:space="preserve">QTc interval was evaluated in an active-controlled (moxifloxacin 400 mg) thorough QT study. </w:t>
      </w:r>
      <w:r w:rsidR="009E3F41" w:rsidRPr="00CE7A6F">
        <w:rPr>
          <w:rFonts w:cs="Arial"/>
        </w:rPr>
        <w:t xml:space="preserve"> </w:t>
      </w:r>
      <w:r w:rsidRPr="00CE7A6F">
        <w:rPr>
          <w:rFonts w:cs="Arial"/>
          <w:bCs/>
        </w:rPr>
        <w:t>At 20-f</w:t>
      </w:r>
      <w:r w:rsidRPr="005E1202">
        <w:rPr>
          <w:rFonts w:cs="Arial"/>
          <w:bCs/>
        </w:rPr>
        <w:t>old of glecaprevir and 5-fold of pibrentasvir therapeutic concentrations, the glecaprevir and pibrentasvir combination does not prolong the QTc interval</w:t>
      </w:r>
      <w:r w:rsidRPr="005E1202">
        <w:rPr>
          <w:rFonts w:cs="Arial"/>
        </w:rPr>
        <w:t>.</w:t>
      </w:r>
    </w:p>
    <w:p w14:paraId="71C62B26" w14:textId="77777777" w:rsidR="00493B75" w:rsidRPr="005E1202" w:rsidRDefault="00493B75" w:rsidP="009C7847">
      <w:pPr>
        <w:pStyle w:val="Heading4"/>
        <w:rPr>
          <w:rFonts w:cs="Arial"/>
        </w:rPr>
      </w:pPr>
      <w:r w:rsidRPr="005E1202">
        <w:rPr>
          <w:rFonts w:cs="Arial"/>
        </w:rPr>
        <w:t>Microbiology</w:t>
      </w:r>
    </w:p>
    <w:p w14:paraId="5A72434B" w14:textId="77777777" w:rsidR="00493B75" w:rsidRPr="002C2D9E" w:rsidRDefault="00493B75" w:rsidP="007D5600">
      <w:pPr>
        <w:pStyle w:val="Heading5"/>
      </w:pPr>
      <w:r w:rsidRPr="002C2D9E">
        <w:t>Glecaprevir</w:t>
      </w:r>
    </w:p>
    <w:p w14:paraId="6C8C8310" w14:textId="73B65C26" w:rsidR="00493B75" w:rsidRPr="005E1202" w:rsidRDefault="00493B75" w:rsidP="009A5E7A">
      <w:pPr>
        <w:jc w:val="both"/>
        <w:rPr>
          <w:rFonts w:cs="Arial"/>
        </w:rPr>
      </w:pPr>
      <w:proofErr w:type="spellStart"/>
      <w:r w:rsidRPr="005E1202">
        <w:rPr>
          <w:rFonts w:cs="Arial"/>
        </w:rPr>
        <w:t>Glecaprevir</w:t>
      </w:r>
      <w:proofErr w:type="spellEnd"/>
      <w:r w:rsidRPr="005E1202">
        <w:rPr>
          <w:rFonts w:cs="Arial"/>
        </w:rPr>
        <w:t xml:space="preserve"> is a </w:t>
      </w:r>
      <w:proofErr w:type="spellStart"/>
      <w:r w:rsidRPr="005E1202">
        <w:rPr>
          <w:rFonts w:cs="Arial"/>
        </w:rPr>
        <w:t>pangenotypic</w:t>
      </w:r>
      <w:proofErr w:type="spellEnd"/>
      <w:r w:rsidRPr="005E1202">
        <w:rPr>
          <w:rFonts w:cs="Arial"/>
        </w:rPr>
        <w:t xml:space="preserve"> inhibitor of the HCV NS3/4A protease, which is necessary for the proteolytic cleavage of the HCV encoded polyprotein (into mature forms of the NS3, NS4A, NS4B, NS5A, and NS5B proteins), and is essential for viral replication. </w:t>
      </w:r>
      <w:r w:rsidR="009E3F41">
        <w:rPr>
          <w:rFonts w:cs="Arial"/>
        </w:rPr>
        <w:t xml:space="preserve"> </w:t>
      </w:r>
      <w:r w:rsidRPr="005E1202">
        <w:rPr>
          <w:rFonts w:cs="Arial"/>
        </w:rPr>
        <w:t xml:space="preserve">In a biochemical assay, glecaprevir inhibited the proteolytic activity of recombinant NS3/4A enzymes from clinical isolates of HCV </w:t>
      </w:r>
      <w:r w:rsidR="009444C9" w:rsidRPr="00CE7A6F">
        <w:rPr>
          <w:rFonts w:cs="Arial"/>
        </w:rPr>
        <w:t>GT</w:t>
      </w:r>
      <w:r w:rsidRPr="00CE7A6F">
        <w:rPr>
          <w:rFonts w:cs="Arial"/>
        </w:rPr>
        <w:t>1a, 1</w:t>
      </w:r>
      <w:r w:rsidRPr="005E1202">
        <w:rPr>
          <w:rFonts w:cs="Arial"/>
        </w:rPr>
        <w:t>b, 2a, 2b, 3a, 4a, 5a, and 6a with IC</w:t>
      </w:r>
      <w:r w:rsidRPr="005E1202">
        <w:rPr>
          <w:rFonts w:cs="Arial"/>
          <w:vertAlign w:val="subscript"/>
        </w:rPr>
        <w:t>50</w:t>
      </w:r>
      <w:r w:rsidRPr="005E1202">
        <w:rPr>
          <w:rFonts w:cs="Arial"/>
        </w:rPr>
        <w:t xml:space="preserve"> values ranging from 3.5 to 11.3 </w:t>
      </w:r>
      <w:proofErr w:type="spellStart"/>
      <w:r w:rsidRPr="005E1202">
        <w:rPr>
          <w:rFonts w:cs="Arial"/>
        </w:rPr>
        <w:t>nM.</w:t>
      </w:r>
      <w:proofErr w:type="spellEnd"/>
    </w:p>
    <w:p w14:paraId="658CEF73" w14:textId="77777777" w:rsidR="00493B75" w:rsidRPr="003457AB" w:rsidRDefault="00493B75" w:rsidP="007D5600">
      <w:pPr>
        <w:pStyle w:val="Heading5"/>
      </w:pPr>
      <w:r w:rsidRPr="002C2D9E">
        <w:t>Pibrentasvir</w:t>
      </w:r>
    </w:p>
    <w:p w14:paraId="6ACB0BAE" w14:textId="77777777" w:rsidR="00493B75" w:rsidRPr="005E1202" w:rsidRDefault="00493B75" w:rsidP="009A5E7A">
      <w:pPr>
        <w:jc w:val="both"/>
        <w:rPr>
          <w:rFonts w:cs="Arial"/>
        </w:rPr>
      </w:pPr>
      <w:proofErr w:type="spellStart"/>
      <w:r w:rsidRPr="005E1202">
        <w:rPr>
          <w:rFonts w:cs="Arial"/>
        </w:rPr>
        <w:t>Pibrentasvir</w:t>
      </w:r>
      <w:proofErr w:type="spellEnd"/>
      <w:r w:rsidRPr="005E1202">
        <w:rPr>
          <w:rFonts w:cs="Arial"/>
        </w:rPr>
        <w:t xml:space="preserve"> is a </w:t>
      </w:r>
      <w:proofErr w:type="spellStart"/>
      <w:r w:rsidRPr="005E1202">
        <w:rPr>
          <w:rFonts w:cs="Arial"/>
        </w:rPr>
        <w:t>pangenotypic</w:t>
      </w:r>
      <w:proofErr w:type="spellEnd"/>
      <w:r w:rsidRPr="005E1202">
        <w:rPr>
          <w:rFonts w:cs="Arial"/>
        </w:rPr>
        <w:t xml:space="preserve"> inhibitor of HCV NS5A, which is essential for viral RNA replication and virion assembly. </w:t>
      </w:r>
      <w:r w:rsidR="009E3F41">
        <w:rPr>
          <w:rFonts w:cs="Arial"/>
        </w:rPr>
        <w:t xml:space="preserve"> </w:t>
      </w:r>
      <w:r w:rsidRPr="005E1202">
        <w:rPr>
          <w:rFonts w:cs="Arial"/>
        </w:rPr>
        <w:t>The mechanism of action of pibrentasvir has been characterised based on cell culture antiviral activity and drug resistance mapping studies.</w:t>
      </w:r>
    </w:p>
    <w:p w14:paraId="0A8C0A8D" w14:textId="77777777" w:rsidR="00493B75" w:rsidRPr="007D5600" w:rsidRDefault="00493B75" w:rsidP="009A5E7A">
      <w:pPr>
        <w:pStyle w:val="Heading4"/>
        <w:jc w:val="both"/>
        <w:rPr>
          <w:rFonts w:cs="Arial"/>
          <w:u w:val="single"/>
        </w:rPr>
      </w:pPr>
      <w:r w:rsidRPr="007D5600">
        <w:rPr>
          <w:rFonts w:cs="Arial"/>
          <w:u w:val="single"/>
        </w:rPr>
        <w:t>Antiviral Activity</w:t>
      </w:r>
    </w:p>
    <w:p w14:paraId="397D6BE9" w14:textId="1D128347" w:rsidR="00493B75" w:rsidRPr="005E1202" w:rsidRDefault="00493B75" w:rsidP="009A5E7A">
      <w:pPr>
        <w:jc w:val="both"/>
        <w:rPr>
          <w:rFonts w:cs="Arial"/>
        </w:rPr>
      </w:pPr>
      <w:r w:rsidRPr="005E1202">
        <w:rPr>
          <w:rFonts w:cs="Arial"/>
        </w:rPr>
        <w:t>The EC</w:t>
      </w:r>
      <w:r w:rsidRPr="005E1202">
        <w:rPr>
          <w:rFonts w:cs="Arial"/>
          <w:vertAlign w:val="subscript"/>
        </w:rPr>
        <w:t>50</w:t>
      </w:r>
      <w:r w:rsidRPr="005E1202">
        <w:rPr>
          <w:rFonts w:cs="Arial"/>
        </w:rPr>
        <w:t xml:space="preserve"> values of glecaprevir and pibrentasvir against full-length or chimeric replicons encoding NS3 or NS5A from laboratory strains are presented in Table </w:t>
      </w:r>
      <w:r w:rsidR="00FA1AB2">
        <w:rPr>
          <w:rFonts w:cs="Arial"/>
        </w:rPr>
        <w:t>7</w:t>
      </w:r>
      <w:r w:rsidRPr="005E1202">
        <w:rPr>
          <w:rFonts w:cs="Arial"/>
          <w:b/>
        </w:rPr>
        <w:t xml:space="preserve">. </w:t>
      </w:r>
      <w:r w:rsidR="009E3F41">
        <w:rPr>
          <w:rFonts w:cs="Arial"/>
          <w:b/>
        </w:rPr>
        <w:t xml:space="preserve"> </w:t>
      </w:r>
      <w:r w:rsidRPr="005E1202">
        <w:rPr>
          <w:rFonts w:cs="Arial"/>
        </w:rPr>
        <w:t>EC</w:t>
      </w:r>
      <w:r w:rsidRPr="005E1202">
        <w:rPr>
          <w:rFonts w:cs="Arial"/>
          <w:vertAlign w:val="subscript"/>
        </w:rPr>
        <w:t>50</w:t>
      </w:r>
      <w:r w:rsidRPr="005E1202">
        <w:rPr>
          <w:rFonts w:cs="Arial"/>
        </w:rPr>
        <w:t xml:space="preserve"> values are determined in the absence of human plasma.</w:t>
      </w:r>
    </w:p>
    <w:p w14:paraId="1BA19553" w14:textId="6A42F47C" w:rsidR="00493B75" w:rsidRPr="005E1202" w:rsidRDefault="00493B75" w:rsidP="001A0DCF">
      <w:pPr>
        <w:keepNext/>
        <w:keepLines/>
        <w:ind w:left="90" w:hanging="90"/>
        <w:rPr>
          <w:rFonts w:cs="Arial"/>
          <w:b/>
        </w:rPr>
      </w:pPr>
      <w:r w:rsidRPr="005E1202">
        <w:rPr>
          <w:rFonts w:cs="Arial"/>
        </w:rPr>
        <w:lastRenderedPageBreak/>
        <w:t xml:space="preserve"> </w:t>
      </w:r>
      <w:r w:rsidRPr="005E1202">
        <w:rPr>
          <w:rFonts w:cs="Arial"/>
          <w:b/>
        </w:rPr>
        <w:t xml:space="preserve">Table </w:t>
      </w:r>
      <w:r w:rsidR="00FA1AB2">
        <w:rPr>
          <w:rFonts w:cs="Arial"/>
          <w:b/>
        </w:rPr>
        <w:t>7</w:t>
      </w:r>
      <w:r w:rsidRPr="005E1202">
        <w:rPr>
          <w:rFonts w:cs="Arial"/>
          <w:b/>
        </w:rPr>
        <w:t>. Activity of Glecaprevir and Pibrentasvir Aga</w:t>
      </w:r>
      <w:r w:rsidRPr="00CE7A6F">
        <w:rPr>
          <w:rFonts w:cs="Arial"/>
          <w:b/>
        </w:rPr>
        <w:t xml:space="preserve">inst HCV </w:t>
      </w:r>
      <w:r w:rsidR="009444C9" w:rsidRPr="00CE7A6F">
        <w:rPr>
          <w:rFonts w:cs="Arial"/>
          <w:b/>
        </w:rPr>
        <w:t>GT</w:t>
      </w:r>
      <w:r w:rsidRPr="00CE7A6F">
        <w:rPr>
          <w:rFonts w:cs="Arial"/>
          <w:b/>
        </w:rPr>
        <w:t xml:space="preserve">1-6 </w:t>
      </w:r>
      <w:r w:rsidRPr="005E1202">
        <w:rPr>
          <w:rFonts w:cs="Arial"/>
          <w:b/>
        </w:rPr>
        <w:t xml:space="preserve">Replicon </w:t>
      </w:r>
      <w:r w:rsidR="001A0DCF">
        <w:rPr>
          <w:rFonts w:cs="Arial"/>
          <w:b/>
        </w:rPr>
        <w:t xml:space="preserve">  </w:t>
      </w:r>
      <w:r w:rsidRPr="005E1202">
        <w:rPr>
          <w:rFonts w:cs="Arial"/>
          <w:b/>
        </w:rPr>
        <w:t>Cell Lines</w:t>
      </w:r>
    </w:p>
    <w:tbl>
      <w:tblPr>
        <w:tblStyle w:val="TableGrid"/>
        <w:tblW w:w="8075" w:type="dxa"/>
        <w:jc w:val="center"/>
        <w:tblLayout w:type="fixed"/>
        <w:tblLook w:val="04A0" w:firstRow="1" w:lastRow="0" w:firstColumn="1" w:lastColumn="0" w:noHBand="0" w:noVBand="1"/>
      </w:tblPr>
      <w:tblGrid>
        <w:gridCol w:w="2480"/>
        <w:gridCol w:w="2970"/>
        <w:gridCol w:w="2625"/>
      </w:tblGrid>
      <w:tr w:rsidR="00493B75" w:rsidRPr="005E1202" w14:paraId="20D2AA32" w14:textId="77777777" w:rsidTr="00493B75">
        <w:trPr>
          <w:trHeight w:val="262"/>
          <w:tblHeader/>
          <w:jc w:val="center"/>
        </w:trPr>
        <w:tc>
          <w:tcPr>
            <w:tcW w:w="2480" w:type="dxa"/>
            <w:tcBorders>
              <w:bottom w:val="single" w:sz="4" w:space="0" w:color="auto"/>
              <w:right w:val="single" w:sz="4" w:space="0" w:color="auto"/>
            </w:tcBorders>
            <w:vAlign w:val="center"/>
          </w:tcPr>
          <w:p w14:paraId="20EA562A" w14:textId="77777777" w:rsidR="00493B75" w:rsidRPr="005E1202" w:rsidRDefault="00493B75" w:rsidP="003A45C7">
            <w:pPr>
              <w:keepNext/>
              <w:keepLines/>
              <w:widowControl w:val="0"/>
              <w:spacing w:before="60" w:after="60"/>
              <w:jc w:val="center"/>
              <w:rPr>
                <w:rFonts w:cs="Arial"/>
                <w:b/>
              </w:rPr>
            </w:pPr>
            <w:r w:rsidRPr="005E1202">
              <w:rPr>
                <w:rFonts w:cs="Arial"/>
                <w:b/>
              </w:rPr>
              <w:t>HCV Subtype</w:t>
            </w:r>
          </w:p>
        </w:tc>
        <w:tc>
          <w:tcPr>
            <w:tcW w:w="2970" w:type="dxa"/>
            <w:tcBorders>
              <w:left w:val="single" w:sz="4" w:space="0" w:color="auto"/>
              <w:bottom w:val="single" w:sz="4" w:space="0" w:color="auto"/>
              <w:right w:val="single" w:sz="4" w:space="0" w:color="auto"/>
            </w:tcBorders>
            <w:vAlign w:val="center"/>
          </w:tcPr>
          <w:p w14:paraId="58F847E6" w14:textId="77777777" w:rsidR="00493B75" w:rsidRPr="005E1202" w:rsidRDefault="00493B75" w:rsidP="003A45C7">
            <w:pPr>
              <w:keepNext/>
              <w:keepLines/>
              <w:widowControl w:val="0"/>
              <w:spacing w:before="60" w:after="60"/>
              <w:jc w:val="center"/>
              <w:rPr>
                <w:rFonts w:cs="Arial"/>
                <w:b/>
              </w:rPr>
            </w:pPr>
            <w:proofErr w:type="spellStart"/>
            <w:r w:rsidRPr="005E1202">
              <w:rPr>
                <w:rFonts w:cs="Arial"/>
                <w:b/>
              </w:rPr>
              <w:t>Glecaprevir</w:t>
            </w:r>
            <w:proofErr w:type="spellEnd"/>
            <w:r w:rsidRPr="005E1202">
              <w:rPr>
                <w:rFonts w:cs="Arial"/>
                <w:b/>
              </w:rPr>
              <w:t xml:space="preserve"> EC</w:t>
            </w:r>
            <w:r w:rsidRPr="005E1202">
              <w:rPr>
                <w:rFonts w:cs="Arial"/>
                <w:b/>
                <w:vertAlign w:val="subscript"/>
              </w:rPr>
              <w:t>50</w:t>
            </w:r>
            <w:r w:rsidRPr="005E1202">
              <w:rPr>
                <w:rFonts w:cs="Arial"/>
                <w:b/>
              </w:rPr>
              <w:t xml:space="preserve">, </w:t>
            </w:r>
            <w:proofErr w:type="spellStart"/>
            <w:r w:rsidRPr="005E1202">
              <w:rPr>
                <w:rFonts w:cs="Arial"/>
                <w:b/>
              </w:rPr>
              <w:t>nM</w:t>
            </w:r>
            <w:proofErr w:type="spellEnd"/>
          </w:p>
        </w:tc>
        <w:tc>
          <w:tcPr>
            <w:tcW w:w="2625" w:type="dxa"/>
            <w:tcBorders>
              <w:left w:val="single" w:sz="4" w:space="0" w:color="auto"/>
              <w:bottom w:val="single" w:sz="4" w:space="0" w:color="auto"/>
            </w:tcBorders>
            <w:vAlign w:val="center"/>
          </w:tcPr>
          <w:p w14:paraId="47EB16B3" w14:textId="77777777" w:rsidR="00493B75" w:rsidRPr="005E1202" w:rsidRDefault="00493B75" w:rsidP="003A45C7">
            <w:pPr>
              <w:keepNext/>
              <w:keepLines/>
              <w:widowControl w:val="0"/>
              <w:spacing w:before="60" w:after="60"/>
              <w:jc w:val="center"/>
              <w:rPr>
                <w:rFonts w:cs="Arial"/>
                <w:b/>
              </w:rPr>
            </w:pPr>
            <w:proofErr w:type="spellStart"/>
            <w:r w:rsidRPr="005E1202">
              <w:rPr>
                <w:rFonts w:cs="Arial"/>
                <w:b/>
              </w:rPr>
              <w:t>Pibrentasvir</w:t>
            </w:r>
            <w:proofErr w:type="spellEnd"/>
            <w:r w:rsidRPr="005E1202">
              <w:rPr>
                <w:rFonts w:cs="Arial"/>
                <w:b/>
              </w:rPr>
              <w:t xml:space="preserve"> EC</w:t>
            </w:r>
            <w:r w:rsidRPr="005E1202">
              <w:rPr>
                <w:rFonts w:cs="Arial"/>
                <w:b/>
                <w:vertAlign w:val="subscript"/>
              </w:rPr>
              <w:t>50</w:t>
            </w:r>
            <w:r w:rsidRPr="005E1202">
              <w:rPr>
                <w:rFonts w:cs="Arial"/>
                <w:b/>
              </w:rPr>
              <w:t xml:space="preserve">, </w:t>
            </w:r>
            <w:proofErr w:type="spellStart"/>
            <w:r w:rsidRPr="005E1202">
              <w:rPr>
                <w:rFonts w:cs="Arial"/>
                <w:b/>
              </w:rPr>
              <w:t>nM</w:t>
            </w:r>
            <w:proofErr w:type="spellEnd"/>
          </w:p>
        </w:tc>
      </w:tr>
      <w:tr w:rsidR="00493B75" w:rsidRPr="005E1202" w14:paraId="0E298D9F" w14:textId="77777777" w:rsidTr="00493B75">
        <w:trPr>
          <w:trHeight w:val="248"/>
          <w:jc w:val="center"/>
        </w:trPr>
        <w:tc>
          <w:tcPr>
            <w:tcW w:w="2480" w:type="dxa"/>
            <w:tcBorders>
              <w:top w:val="single" w:sz="4" w:space="0" w:color="auto"/>
              <w:bottom w:val="single" w:sz="4" w:space="0" w:color="auto"/>
              <w:right w:val="single" w:sz="4" w:space="0" w:color="auto"/>
            </w:tcBorders>
            <w:vAlign w:val="center"/>
          </w:tcPr>
          <w:p w14:paraId="4CD7F97C" w14:textId="77777777" w:rsidR="00493B75" w:rsidRPr="005E1202" w:rsidRDefault="00493B75" w:rsidP="003A45C7">
            <w:pPr>
              <w:keepNext/>
              <w:keepLines/>
              <w:widowControl w:val="0"/>
              <w:spacing w:before="60" w:after="60"/>
              <w:jc w:val="center"/>
              <w:rPr>
                <w:rFonts w:cs="Arial"/>
              </w:rPr>
            </w:pPr>
            <w:r w:rsidRPr="005E1202">
              <w:rPr>
                <w:rFonts w:cs="Arial"/>
              </w:rPr>
              <w:t>1a</w:t>
            </w:r>
          </w:p>
        </w:tc>
        <w:tc>
          <w:tcPr>
            <w:tcW w:w="2970" w:type="dxa"/>
            <w:tcBorders>
              <w:top w:val="single" w:sz="4" w:space="0" w:color="auto"/>
              <w:left w:val="single" w:sz="4" w:space="0" w:color="auto"/>
              <w:bottom w:val="single" w:sz="4" w:space="0" w:color="auto"/>
              <w:right w:val="single" w:sz="4" w:space="0" w:color="auto"/>
            </w:tcBorders>
            <w:vAlign w:val="center"/>
          </w:tcPr>
          <w:p w14:paraId="148AE22A" w14:textId="77777777" w:rsidR="00493B75" w:rsidRPr="005E1202" w:rsidRDefault="00493B75" w:rsidP="003A45C7">
            <w:pPr>
              <w:keepNext/>
              <w:keepLines/>
              <w:widowControl w:val="0"/>
              <w:spacing w:before="60" w:after="60"/>
              <w:jc w:val="center"/>
              <w:rPr>
                <w:rFonts w:cs="Arial"/>
              </w:rPr>
            </w:pPr>
            <w:r w:rsidRPr="005E1202">
              <w:rPr>
                <w:rFonts w:cs="Arial"/>
              </w:rPr>
              <w:t>0.85</w:t>
            </w:r>
          </w:p>
        </w:tc>
        <w:tc>
          <w:tcPr>
            <w:tcW w:w="2625" w:type="dxa"/>
            <w:tcBorders>
              <w:top w:val="single" w:sz="4" w:space="0" w:color="auto"/>
              <w:left w:val="single" w:sz="4" w:space="0" w:color="auto"/>
              <w:bottom w:val="single" w:sz="4" w:space="0" w:color="auto"/>
            </w:tcBorders>
            <w:vAlign w:val="center"/>
          </w:tcPr>
          <w:p w14:paraId="2F13301D" w14:textId="77777777" w:rsidR="00493B75" w:rsidRPr="005E1202" w:rsidRDefault="00493B75" w:rsidP="003A45C7">
            <w:pPr>
              <w:keepNext/>
              <w:keepLines/>
              <w:widowControl w:val="0"/>
              <w:spacing w:before="60" w:after="60"/>
              <w:jc w:val="center"/>
              <w:rPr>
                <w:rFonts w:cs="Arial"/>
              </w:rPr>
            </w:pPr>
            <w:r w:rsidRPr="005E1202">
              <w:rPr>
                <w:rFonts w:cs="Arial"/>
              </w:rPr>
              <w:t>0.0018</w:t>
            </w:r>
          </w:p>
        </w:tc>
      </w:tr>
      <w:tr w:rsidR="00493B75" w:rsidRPr="005E1202" w14:paraId="409D75DC" w14:textId="77777777" w:rsidTr="00493B75">
        <w:trPr>
          <w:trHeight w:val="248"/>
          <w:jc w:val="center"/>
        </w:trPr>
        <w:tc>
          <w:tcPr>
            <w:tcW w:w="2480" w:type="dxa"/>
            <w:tcBorders>
              <w:top w:val="single" w:sz="4" w:space="0" w:color="auto"/>
              <w:bottom w:val="single" w:sz="4" w:space="0" w:color="auto"/>
              <w:right w:val="single" w:sz="4" w:space="0" w:color="auto"/>
            </w:tcBorders>
            <w:vAlign w:val="center"/>
          </w:tcPr>
          <w:p w14:paraId="6B2AD25E" w14:textId="77777777" w:rsidR="00493B75" w:rsidRPr="005E1202" w:rsidRDefault="00493B75" w:rsidP="003A45C7">
            <w:pPr>
              <w:keepNext/>
              <w:keepLines/>
              <w:widowControl w:val="0"/>
              <w:spacing w:before="60" w:after="60"/>
              <w:jc w:val="center"/>
              <w:rPr>
                <w:rFonts w:cs="Arial"/>
              </w:rPr>
            </w:pPr>
            <w:r w:rsidRPr="005E1202">
              <w:rPr>
                <w:rFonts w:cs="Arial"/>
              </w:rPr>
              <w:t>1b</w:t>
            </w:r>
          </w:p>
        </w:tc>
        <w:tc>
          <w:tcPr>
            <w:tcW w:w="2970" w:type="dxa"/>
            <w:tcBorders>
              <w:top w:val="single" w:sz="4" w:space="0" w:color="auto"/>
              <w:left w:val="single" w:sz="4" w:space="0" w:color="auto"/>
              <w:bottom w:val="single" w:sz="4" w:space="0" w:color="auto"/>
              <w:right w:val="single" w:sz="4" w:space="0" w:color="auto"/>
            </w:tcBorders>
            <w:vAlign w:val="center"/>
          </w:tcPr>
          <w:p w14:paraId="64D55689" w14:textId="77777777" w:rsidR="00493B75" w:rsidRPr="005E1202" w:rsidRDefault="00493B75" w:rsidP="003A45C7">
            <w:pPr>
              <w:keepNext/>
              <w:keepLines/>
              <w:widowControl w:val="0"/>
              <w:spacing w:before="60" w:after="60"/>
              <w:jc w:val="center"/>
              <w:rPr>
                <w:rFonts w:cs="Arial"/>
              </w:rPr>
            </w:pPr>
            <w:r w:rsidRPr="005E1202">
              <w:rPr>
                <w:rFonts w:cs="Arial"/>
              </w:rPr>
              <w:t>0.94</w:t>
            </w:r>
          </w:p>
        </w:tc>
        <w:tc>
          <w:tcPr>
            <w:tcW w:w="2625" w:type="dxa"/>
            <w:tcBorders>
              <w:top w:val="single" w:sz="4" w:space="0" w:color="auto"/>
              <w:left w:val="single" w:sz="4" w:space="0" w:color="auto"/>
              <w:bottom w:val="single" w:sz="4" w:space="0" w:color="auto"/>
            </w:tcBorders>
            <w:vAlign w:val="center"/>
          </w:tcPr>
          <w:p w14:paraId="67659F4F" w14:textId="77777777" w:rsidR="00493B75" w:rsidRPr="005E1202" w:rsidRDefault="00493B75" w:rsidP="003A45C7">
            <w:pPr>
              <w:keepNext/>
              <w:keepLines/>
              <w:widowControl w:val="0"/>
              <w:spacing w:before="60" w:after="60"/>
              <w:jc w:val="center"/>
              <w:rPr>
                <w:rFonts w:cs="Arial"/>
              </w:rPr>
            </w:pPr>
            <w:r w:rsidRPr="005E1202">
              <w:rPr>
                <w:rFonts w:cs="Arial"/>
              </w:rPr>
              <w:t>0.0043</w:t>
            </w:r>
          </w:p>
        </w:tc>
      </w:tr>
      <w:tr w:rsidR="00493B75" w:rsidRPr="005E1202" w14:paraId="2E163CCD" w14:textId="77777777" w:rsidTr="00493B75">
        <w:trPr>
          <w:trHeight w:val="248"/>
          <w:jc w:val="center"/>
        </w:trPr>
        <w:tc>
          <w:tcPr>
            <w:tcW w:w="2480" w:type="dxa"/>
            <w:tcBorders>
              <w:top w:val="single" w:sz="4" w:space="0" w:color="auto"/>
              <w:bottom w:val="single" w:sz="4" w:space="0" w:color="auto"/>
              <w:right w:val="single" w:sz="4" w:space="0" w:color="auto"/>
            </w:tcBorders>
            <w:vAlign w:val="center"/>
          </w:tcPr>
          <w:p w14:paraId="73BF62CB" w14:textId="77777777" w:rsidR="00493B75" w:rsidRPr="005E1202" w:rsidRDefault="00493B75" w:rsidP="003A45C7">
            <w:pPr>
              <w:keepNext/>
              <w:keepLines/>
              <w:widowControl w:val="0"/>
              <w:spacing w:before="60" w:after="60"/>
              <w:jc w:val="center"/>
              <w:rPr>
                <w:rFonts w:cs="Arial"/>
              </w:rPr>
            </w:pPr>
            <w:r w:rsidRPr="005E1202">
              <w:rPr>
                <w:rFonts w:cs="Arial"/>
              </w:rPr>
              <w:t>2a</w:t>
            </w:r>
          </w:p>
        </w:tc>
        <w:tc>
          <w:tcPr>
            <w:tcW w:w="2970" w:type="dxa"/>
            <w:tcBorders>
              <w:top w:val="single" w:sz="4" w:space="0" w:color="auto"/>
              <w:left w:val="single" w:sz="4" w:space="0" w:color="auto"/>
              <w:bottom w:val="single" w:sz="4" w:space="0" w:color="auto"/>
              <w:right w:val="single" w:sz="4" w:space="0" w:color="auto"/>
            </w:tcBorders>
            <w:vAlign w:val="center"/>
          </w:tcPr>
          <w:p w14:paraId="103DF8D7" w14:textId="77777777" w:rsidR="00493B75" w:rsidRPr="005E1202" w:rsidRDefault="00493B75" w:rsidP="003A45C7">
            <w:pPr>
              <w:keepNext/>
              <w:keepLines/>
              <w:widowControl w:val="0"/>
              <w:spacing w:before="60" w:after="60"/>
              <w:jc w:val="center"/>
              <w:rPr>
                <w:rFonts w:cs="Arial"/>
              </w:rPr>
            </w:pPr>
            <w:r w:rsidRPr="005E1202">
              <w:rPr>
                <w:rFonts w:cs="Arial"/>
              </w:rPr>
              <w:t>2.2</w:t>
            </w:r>
          </w:p>
        </w:tc>
        <w:tc>
          <w:tcPr>
            <w:tcW w:w="2625" w:type="dxa"/>
            <w:tcBorders>
              <w:top w:val="single" w:sz="4" w:space="0" w:color="auto"/>
              <w:left w:val="single" w:sz="4" w:space="0" w:color="auto"/>
              <w:bottom w:val="single" w:sz="4" w:space="0" w:color="auto"/>
            </w:tcBorders>
            <w:vAlign w:val="center"/>
          </w:tcPr>
          <w:p w14:paraId="34800395" w14:textId="77777777" w:rsidR="00493B75" w:rsidRPr="005E1202" w:rsidRDefault="00493B75" w:rsidP="003A45C7">
            <w:pPr>
              <w:keepNext/>
              <w:keepLines/>
              <w:widowControl w:val="0"/>
              <w:spacing w:before="60" w:after="60"/>
              <w:jc w:val="center"/>
              <w:rPr>
                <w:rFonts w:cs="Arial"/>
              </w:rPr>
            </w:pPr>
            <w:r w:rsidRPr="005E1202">
              <w:rPr>
                <w:rFonts w:cs="Arial"/>
              </w:rPr>
              <w:t>0.0023</w:t>
            </w:r>
          </w:p>
        </w:tc>
      </w:tr>
      <w:tr w:rsidR="00493B75" w:rsidRPr="005E1202" w14:paraId="3EC6B1F2" w14:textId="77777777" w:rsidTr="00493B75">
        <w:trPr>
          <w:trHeight w:val="248"/>
          <w:jc w:val="center"/>
        </w:trPr>
        <w:tc>
          <w:tcPr>
            <w:tcW w:w="2480" w:type="dxa"/>
            <w:tcBorders>
              <w:top w:val="single" w:sz="4" w:space="0" w:color="auto"/>
              <w:bottom w:val="single" w:sz="4" w:space="0" w:color="auto"/>
              <w:right w:val="single" w:sz="4" w:space="0" w:color="auto"/>
            </w:tcBorders>
            <w:vAlign w:val="center"/>
          </w:tcPr>
          <w:p w14:paraId="26275DDD" w14:textId="77777777" w:rsidR="00493B75" w:rsidRPr="005E1202" w:rsidRDefault="00493B75" w:rsidP="003A45C7">
            <w:pPr>
              <w:keepNext/>
              <w:keepLines/>
              <w:widowControl w:val="0"/>
              <w:spacing w:before="60" w:after="60"/>
              <w:jc w:val="center"/>
              <w:rPr>
                <w:rFonts w:cs="Arial"/>
              </w:rPr>
            </w:pPr>
            <w:r w:rsidRPr="005E1202">
              <w:rPr>
                <w:rFonts w:cs="Arial"/>
              </w:rPr>
              <w:t>2b</w:t>
            </w:r>
          </w:p>
        </w:tc>
        <w:tc>
          <w:tcPr>
            <w:tcW w:w="2970" w:type="dxa"/>
            <w:tcBorders>
              <w:top w:val="single" w:sz="4" w:space="0" w:color="auto"/>
              <w:left w:val="single" w:sz="4" w:space="0" w:color="auto"/>
              <w:bottom w:val="single" w:sz="4" w:space="0" w:color="auto"/>
              <w:right w:val="single" w:sz="4" w:space="0" w:color="auto"/>
            </w:tcBorders>
            <w:vAlign w:val="center"/>
          </w:tcPr>
          <w:p w14:paraId="4F48B582" w14:textId="77777777" w:rsidR="00493B75" w:rsidRPr="005E1202" w:rsidRDefault="00493B75" w:rsidP="003A45C7">
            <w:pPr>
              <w:keepNext/>
              <w:keepLines/>
              <w:widowControl w:val="0"/>
              <w:spacing w:before="60" w:after="60"/>
              <w:jc w:val="center"/>
              <w:rPr>
                <w:rFonts w:cs="Arial"/>
              </w:rPr>
            </w:pPr>
            <w:r w:rsidRPr="005E1202">
              <w:rPr>
                <w:rFonts w:cs="Arial"/>
              </w:rPr>
              <w:t>4.6</w:t>
            </w:r>
          </w:p>
        </w:tc>
        <w:tc>
          <w:tcPr>
            <w:tcW w:w="2625" w:type="dxa"/>
            <w:tcBorders>
              <w:top w:val="single" w:sz="4" w:space="0" w:color="auto"/>
              <w:left w:val="single" w:sz="4" w:space="0" w:color="auto"/>
              <w:bottom w:val="single" w:sz="4" w:space="0" w:color="auto"/>
            </w:tcBorders>
            <w:vAlign w:val="center"/>
          </w:tcPr>
          <w:p w14:paraId="33682E58" w14:textId="77777777" w:rsidR="00493B75" w:rsidRPr="005E1202" w:rsidRDefault="00493B75" w:rsidP="003A45C7">
            <w:pPr>
              <w:keepNext/>
              <w:keepLines/>
              <w:widowControl w:val="0"/>
              <w:spacing w:before="60" w:after="60"/>
              <w:jc w:val="center"/>
              <w:rPr>
                <w:rFonts w:cs="Arial"/>
              </w:rPr>
            </w:pPr>
            <w:r w:rsidRPr="005E1202">
              <w:rPr>
                <w:rFonts w:cs="Arial"/>
              </w:rPr>
              <w:t>0.0019</w:t>
            </w:r>
          </w:p>
        </w:tc>
      </w:tr>
      <w:tr w:rsidR="00493B75" w:rsidRPr="005E1202" w14:paraId="56E78C6E" w14:textId="77777777" w:rsidTr="00493B75">
        <w:trPr>
          <w:trHeight w:val="248"/>
          <w:jc w:val="center"/>
        </w:trPr>
        <w:tc>
          <w:tcPr>
            <w:tcW w:w="2480" w:type="dxa"/>
            <w:tcBorders>
              <w:top w:val="single" w:sz="4" w:space="0" w:color="auto"/>
              <w:bottom w:val="single" w:sz="4" w:space="0" w:color="auto"/>
              <w:right w:val="single" w:sz="4" w:space="0" w:color="auto"/>
            </w:tcBorders>
            <w:vAlign w:val="center"/>
          </w:tcPr>
          <w:p w14:paraId="67A571CB" w14:textId="77777777" w:rsidR="00493B75" w:rsidRPr="005E1202" w:rsidRDefault="00493B75" w:rsidP="003A45C7">
            <w:pPr>
              <w:keepNext/>
              <w:keepLines/>
              <w:widowControl w:val="0"/>
              <w:spacing w:before="60" w:after="60"/>
              <w:jc w:val="center"/>
              <w:rPr>
                <w:rFonts w:cs="Arial"/>
              </w:rPr>
            </w:pPr>
            <w:r w:rsidRPr="005E1202">
              <w:rPr>
                <w:rFonts w:cs="Arial"/>
              </w:rPr>
              <w:t>3a</w:t>
            </w:r>
          </w:p>
        </w:tc>
        <w:tc>
          <w:tcPr>
            <w:tcW w:w="2970" w:type="dxa"/>
            <w:tcBorders>
              <w:top w:val="single" w:sz="4" w:space="0" w:color="auto"/>
              <w:left w:val="single" w:sz="4" w:space="0" w:color="auto"/>
              <w:bottom w:val="single" w:sz="4" w:space="0" w:color="auto"/>
              <w:right w:val="single" w:sz="4" w:space="0" w:color="auto"/>
            </w:tcBorders>
            <w:vAlign w:val="center"/>
          </w:tcPr>
          <w:p w14:paraId="510B73A1" w14:textId="77777777" w:rsidR="00493B75" w:rsidRPr="005E1202" w:rsidRDefault="00493B75" w:rsidP="003A45C7">
            <w:pPr>
              <w:keepNext/>
              <w:keepLines/>
              <w:widowControl w:val="0"/>
              <w:spacing w:before="60" w:after="60"/>
              <w:jc w:val="center"/>
              <w:rPr>
                <w:rFonts w:cs="Arial"/>
              </w:rPr>
            </w:pPr>
            <w:r w:rsidRPr="005E1202">
              <w:rPr>
                <w:rFonts w:cs="Arial"/>
              </w:rPr>
              <w:t>1.9</w:t>
            </w:r>
          </w:p>
        </w:tc>
        <w:tc>
          <w:tcPr>
            <w:tcW w:w="2625" w:type="dxa"/>
            <w:tcBorders>
              <w:top w:val="single" w:sz="4" w:space="0" w:color="auto"/>
              <w:left w:val="single" w:sz="4" w:space="0" w:color="auto"/>
              <w:bottom w:val="single" w:sz="4" w:space="0" w:color="auto"/>
            </w:tcBorders>
            <w:vAlign w:val="center"/>
          </w:tcPr>
          <w:p w14:paraId="3F5FBD22" w14:textId="77777777" w:rsidR="00493B75" w:rsidRPr="005E1202" w:rsidRDefault="00493B75" w:rsidP="003A45C7">
            <w:pPr>
              <w:keepNext/>
              <w:keepLines/>
              <w:widowControl w:val="0"/>
              <w:spacing w:before="60" w:after="60"/>
              <w:jc w:val="center"/>
              <w:rPr>
                <w:rFonts w:cs="Arial"/>
              </w:rPr>
            </w:pPr>
            <w:r w:rsidRPr="005E1202">
              <w:rPr>
                <w:rFonts w:cs="Arial"/>
              </w:rPr>
              <w:t>0.0021</w:t>
            </w:r>
          </w:p>
        </w:tc>
      </w:tr>
      <w:tr w:rsidR="00493B75" w:rsidRPr="005E1202" w14:paraId="3FB4FD16" w14:textId="77777777" w:rsidTr="00493B75">
        <w:trPr>
          <w:trHeight w:val="262"/>
          <w:jc w:val="center"/>
        </w:trPr>
        <w:tc>
          <w:tcPr>
            <w:tcW w:w="2480" w:type="dxa"/>
            <w:tcBorders>
              <w:top w:val="single" w:sz="4" w:space="0" w:color="auto"/>
              <w:bottom w:val="single" w:sz="4" w:space="0" w:color="auto"/>
              <w:right w:val="single" w:sz="4" w:space="0" w:color="auto"/>
            </w:tcBorders>
            <w:vAlign w:val="center"/>
          </w:tcPr>
          <w:p w14:paraId="0C0331F4" w14:textId="77777777" w:rsidR="00493B75" w:rsidRPr="005E1202" w:rsidRDefault="00493B75" w:rsidP="003A45C7">
            <w:pPr>
              <w:keepNext/>
              <w:keepLines/>
              <w:widowControl w:val="0"/>
              <w:spacing w:before="60" w:after="60"/>
              <w:jc w:val="center"/>
              <w:rPr>
                <w:rFonts w:cs="Arial"/>
              </w:rPr>
            </w:pPr>
            <w:r w:rsidRPr="005E1202">
              <w:rPr>
                <w:rFonts w:cs="Arial"/>
              </w:rPr>
              <w:t>4a</w:t>
            </w:r>
          </w:p>
        </w:tc>
        <w:tc>
          <w:tcPr>
            <w:tcW w:w="2970" w:type="dxa"/>
            <w:tcBorders>
              <w:top w:val="single" w:sz="4" w:space="0" w:color="auto"/>
              <w:left w:val="single" w:sz="4" w:space="0" w:color="auto"/>
              <w:bottom w:val="single" w:sz="4" w:space="0" w:color="auto"/>
              <w:right w:val="single" w:sz="4" w:space="0" w:color="auto"/>
            </w:tcBorders>
            <w:vAlign w:val="center"/>
          </w:tcPr>
          <w:p w14:paraId="71A016E2" w14:textId="77777777" w:rsidR="00493B75" w:rsidRPr="005E1202" w:rsidRDefault="00493B75" w:rsidP="003A45C7">
            <w:pPr>
              <w:keepNext/>
              <w:keepLines/>
              <w:widowControl w:val="0"/>
              <w:spacing w:before="60" w:after="60"/>
              <w:jc w:val="center"/>
              <w:rPr>
                <w:rFonts w:cs="Arial"/>
              </w:rPr>
            </w:pPr>
            <w:r w:rsidRPr="005E1202">
              <w:rPr>
                <w:rFonts w:cs="Arial"/>
              </w:rPr>
              <w:t>2.8</w:t>
            </w:r>
          </w:p>
        </w:tc>
        <w:tc>
          <w:tcPr>
            <w:tcW w:w="2625" w:type="dxa"/>
            <w:tcBorders>
              <w:top w:val="single" w:sz="4" w:space="0" w:color="auto"/>
              <w:left w:val="single" w:sz="4" w:space="0" w:color="auto"/>
              <w:bottom w:val="single" w:sz="4" w:space="0" w:color="auto"/>
            </w:tcBorders>
            <w:vAlign w:val="center"/>
          </w:tcPr>
          <w:p w14:paraId="259AD39D" w14:textId="77777777" w:rsidR="00493B75" w:rsidRPr="005E1202" w:rsidRDefault="00493B75" w:rsidP="003A45C7">
            <w:pPr>
              <w:keepNext/>
              <w:keepLines/>
              <w:widowControl w:val="0"/>
              <w:spacing w:before="60" w:after="60"/>
              <w:jc w:val="center"/>
              <w:rPr>
                <w:rFonts w:cs="Arial"/>
              </w:rPr>
            </w:pPr>
            <w:r w:rsidRPr="005E1202">
              <w:rPr>
                <w:rFonts w:cs="Arial"/>
              </w:rPr>
              <w:t>0.0019</w:t>
            </w:r>
          </w:p>
        </w:tc>
      </w:tr>
      <w:tr w:rsidR="00493B75" w:rsidRPr="005E1202" w14:paraId="2AD1B770" w14:textId="77777777" w:rsidTr="00493B75">
        <w:trPr>
          <w:trHeight w:val="248"/>
          <w:jc w:val="center"/>
        </w:trPr>
        <w:tc>
          <w:tcPr>
            <w:tcW w:w="2480" w:type="dxa"/>
            <w:tcBorders>
              <w:top w:val="single" w:sz="4" w:space="0" w:color="auto"/>
              <w:bottom w:val="single" w:sz="4" w:space="0" w:color="auto"/>
              <w:right w:val="single" w:sz="4" w:space="0" w:color="auto"/>
            </w:tcBorders>
            <w:vAlign w:val="center"/>
          </w:tcPr>
          <w:p w14:paraId="1D5E00AC" w14:textId="77777777" w:rsidR="00493B75" w:rsidRPr="005E1202" w:rsidRDefault="00493B75" w:rsidP="003A45C7">
            <w:pPr>
              <w:keepNext/>
              <w:keepLines/>
              <w:widowControl w:val="0"/>
              <w:spacing w:before="60" w:after="60"/>
              <w:jc w:val="center"/>
              <w:rPr>
                <w:rFonts w:cs="Arial"/>
              </w:rPr>
            </w:pPr>
            <w:r w:rsidRPr="005E1202">
              <w:rPr>
                <w:rFonts w:cs="Arial"/>
              </w:rPr>
              <w:t>5a</w:t>
            </w:r>
          </w:p>
        </w:tc>
        <w:tc>
          <w:tcPr>
            <w:tcW w:w="2970" w:type="dxa"/>
            <w:tcBorders>
              <w:top w:val="single" w:sz="4" w:space="0" w:color="auto"/>
              <w:left w:val="single" w:sz="4" w:space="0" w:color="auto"/>
              <w:bottom w:val="single" w:sz="4" w:space="0" w:color="auto"/>
              <w:right w:val="single" w:sz="4" w:space="0" w:color="auto"/>
            </w:tcBorders>
            <w:vAlign w:val="center"/>
          </w:tcPr>
          <w:p w14:paraId="3A4C8B7E" w14:textId="77777777" w:rsidR="00493B75" w:rsidRPr="005E1202" w:rsidRDefault="00493B75" w:rsidP="003A45C7">
            <w:pPr>
              <w:keepNext/>
              <w:keepLines/>
              <w:widowControl w:val="0"/>
              <w:spacing w:before="60" w:after="60"/>
              <w:jc w:val="center"/>
              <w:rPr>
                <w:rFonts w:cs="Arial"/>
              </w:rPr>
            </w:pPr>
            <w:r w:rsidRPr="005E1202">
              <w:rPr>
                <w:rFonts w:cs="Arial"/>
              </w:rPr>
              <w:t>NA</w:t>
            </w:r>
          </w:p>
        </w:tc>
        <w:tc>
          <w:tcPr>
            <w:tcW w:w="2625" w:type="dxa"/>
            <w:tcBorders>
              <w:top w:val="single" w:sz="4" w:space="0" w:color="auto"/>
              <w:left w:val="single" w:sz="4" w:space="0" w:color="auto"/>
              <w:bottom w:val="single" w:sz="4" w:space="0" w:color="auto"/>
            </w:tcBorders>
            <w:vAlign w:val="center"/>
          </w:tcPr>
          <w:p w14:paraId="259045C7" w14:textId="77777777" w:rsidR="00493B75" w:rsidRPr="005E1202" w:rsidRDefault="00493B75" w:rsidP="003A45C7">
            <w:pPr>
              <w:keepNext/>
              <w:keepLines/>
              <w:widowControl w:val="0"/>
              <w:spacing w:before="60" w:after="60"/>
              <w:jc w:val="center"/>
              <w:rPr>
                <w:rFonts w:cs="Arial"/>
              </w:rPr>
            </w:pPr>
            <w:r w:rsidRPr="005E1202">
              <w:rPr>
                <w:rFonts w:cs="Arial"/>
              </w:rPr>
              <w:t>0.0014</w:t>
            </w:r>
          </w:p>
        </w:tc>
      </w:tr>
      <w:tr w:rsidR="00493B75" w:rsidRPr="005E1202" w14:paraId="66287569" w14:textId="77777777" w:rsidTr="00493B75">
        <w:trPr>
          <w:trHeight w:val="262"/>
          <w:jc w:val="center"/>
        </w:trPr>
        <w:tc>
          <w:tcPr>
            <w:tcW w:w="2480" w:type="dxa"/>
            <w:tcBorders>
              <w:top w:val="single" w:sz="4" w:space="0" w:color="auto"/>
              <w:bottom w:val="single" w:sz="4" w:space="0" w:color="auto"/>
              <w:right w:val="single" w:sz="4" w:space="0" w:color="auto"/>
            </w:tcBorders>
            <w:vAlign w:val="center"/>
          </w:tcPr>
          <w:p w14:paraId="4A771CDA" w14:textId="77777777" w:rsidR="00493B75" w:rsidRPr="005E1202" w:rsidRDefault="00493B75" w:rsidP="003A45C7">
            <w:pPr>
              <w:keepNext/>
              <w:keepLines/>
              <w:widowControl w:val="0"/>
              <w:spacing w:before="60" w:after="60"/>
              <w:jc w:val="center"/>
              <w:rPr>
                <w:rFonts w:cs="Arial"/>
              </w:rPr>
            </w:pPr>
            <w:r w:rsidRPr="005E1202">
              <w:rPr>
                <w:rFonts w:cs="Arial"/>
              </w:rPr>
              <w:t>6a</w:t>
            </w:r>
          </w:p>
        </w:tc>
        <w:tc>
          <w:tcPr>
            <w:tcW w:w="2970" w:type="dxa"/>
            <w:tcBorders>
              <w:top w:val="single" w:sz="4" w:space="0" w:color="auto"/>
              <w:left w:val="single" w:sz="4" w:space="0" w:color="auto"/>
              <w:bottom w:val="single" w:sz="4" w:space="0" w:color="auto"/>
              <w:right w:val="single" w:sz="4" w:space="0" w:color="auto"/>
            </w:tcBorders>
            <w:vAlign w:val="center"/>
          </w:tcPr>
          <w:p w14:paraId="569AB6E1" w14:textId="77777777" w:rsidR="00493B75" w:rsidRPr="005E1202" w:rsidRDefault="00493B75" w:rsidP="003A45C7">
            <w:pPr>
              <w:keepNext/>
              <w:keepLines/>
              <w:widowControl w:val="0"/>
              <w:spacing w:before="60" w:after="60"/>
              <w:jc w:val="center"/>
              <w:rPr>
                <w:rFonts w:cs="Arial"/>
              </w:rPr>
            </w:pPr>
            <w:r w:rsidRPr="005E1202">
              <w:rPr>
                <w:rFonts w:cs="Arial"/>
              </w:rPr>
              <w:t>0.86</w:t>
            </w:r>
          </w:p>
        </w:tc>
        <w:tc>
          <w:tcPr>
            <w:tcW w:w="2625" w:type="dxa"/>
            <w:tcBorders>
              <w:top w:val="single" w:sz="4" w:space="0" w:color="auto"/>
              <w:left w:val="single" w:sz="4" w:space="0" w:color="auto"/>
              <w:bottom w:val="single" w:sz="4" w:space="0" w:color="auto"/>
            </w:tcBorders>
            <w:vAlign w:val="center"/>
          </w:tcPr>
          <w:p w14:paraId="0866ADDC" w14:textId="77777777" w:rsidR="00493B75" w:rsidRPr="005E1202" w:rsidRDefault="00493B75" w:rsidP="003A45C7">
            <w:pPr>
              <w:keepNext/>
              <w:keepLines/>
              <w:widowControl w:val="0"/>
              <w:spacing w:before="60" w:after="60"/>
              <w:jc w:val="center"/>
              <w:rPr>
                <w:rFonts w:cs="Arial"/>
              </w:rPr>
            </w:pPr>
            <w:r w:rsidRPr="005E1202">
              <w:rPr>
                <w:rFonts w:cs="Arial"/>
              </w:rPr>
              <w:t>0.0028</w:t>
            </w:r>
          </w:p>
        </w:tc>
      </w:tr>
      <w:tr w:rsidR="00493B75" w:rsidRPr="005E1202" w14:paraId="147B14D5" w14:textId="77777777" w:rsidTr="00493B75">
        <w:trPr>
          <w:trHeight w:val="262"/>
          <w:jc w:val="center"/>
        </w:trPr>
        <w:tc>
          <w:tcPr>
            <w:tcW w:w="8075" w:type="dxa"/>
            <w:gridSpan w:val="3"/>
            <w:tcBorders>
              <w:top w:val="single" w:sz="4" w:space="0" w:color="auto"/>
              <w:left w:val="nil"/>
              <w:bottom w:val="nil"/>
              <w:right w:val="nil"/>
            </w:tcBorders>
            <w:vAlign w:val="center"/>
          </w:tcPr>
          <w:p w14:paraId="392D2898" w14:textId="77777777" w:rsidR="00493B75" w:rsidRPr="005E1202" w:rsidRDefault="00493B75" w:rsidP="003A45C7">
            <w:pPr>
              <w:keepNext/>
              <w:keepLines/>
              <w:widowControl w:val="0"/>
              <w:spacing w:before="120"/>
              <w:rPr>
                <w:rFonts w:cs="Arial"/>
              </w:rPr>
            </w:pPr>
            <w:r w:rsidRPr="005E1202">
              <w:rPr>
                <w:rFonts w:cs="Arial"/>
              </w:rPr>
              <w:t>NA = not available</w:t>
            </w:r>
          </w:p>
        </w:tc>
      </w:tr>
    </w:tbl>
    <w:p w14:paraId="50DAD90A" w14:textId="77777777" w:rsidR="00493B75" w:rsidRPr="005E1202" w:rsidRDefault="00493B75" w:rsidP="00493B75">
      <w:pPr>
        <w:rPr>
          <w:rFonts w:cs="Arial"/>
        </w:rPr>
      </w:pPr>
    </w:p>
    <w:p w14:paraId="243B5C6B" w14:textId="25AA3402" w:rsidR="00847BCE" w:rsidRDefault="00493B75" w:rsidP="009A5E7A">
      <w:pPr>
        <w:jc w:val="both"/>
        <w:rPr>
          <w:rFonts w:cs="Arial"/>
          <w:b/>
        </w:rPr>
      </w:pPr>
      <w:r w:rsidRPr="005E1202">
        <w:rPr>
          <w:rFonts w:cs="Arial"/>
        </w:rPr>
        <w:t>The EC</w:t>
      </w:r>
      <w:r w:rsidRPr="005E1202">
        <w:rPr>
          <w:rFonts w:cs="Arial"/>
          <w:vertAlign w:val="subscript"/>
        </w:rPr>
        <w:t>50</w:t>
      </w:r>
      <w:r w:rsidRPr="005E1202">
        <w:rPr>
          <w:rFonts w:cs="Arial"/>
        </w:rPr>
        <w:t xml:space="preserve"> values of glecaprevir and pibrentasvir against chimeric replicons encoding NS3 or NS5A from clinical isolates are presented in Table </w:t>
      </w:r>
      <w:r w:rsidR="00FA1AB2">
        <w:rPr>
          <w:rFonts w:cs="Arial"/>
        </w:rPr>
        <w:t>8</w:t>
      </w:r>
      <w:r w:rsidRPr="005E1202">
        <w:rPr>
          <w:rFonts w:cs="Arial"/>
          <w:b/>
        </w:rPr>
        <w:t>.</w:t>
      </w:r>
    </w:p>
    <w:p w14:paraId="6EE26848" w14:textId="77777777" w:rsidR="00101A8A" w:rsidRDefault="00101A8A" w:rsidP="009A5E7A">
      <w:pPr>
        <w:jc w:val="both"/>
        <w:rPr>
          <w:rFonts w:cs="Arial"/>
          <w:b/>
        </w:rPr>
      </w:pPr>
    </w:p>
    <w:p w14:paraId="05892A26" w14:textId="0D99E6FA" w:rsidR="00493B75" w:rsidRPr="005E1202" w:rsidRDefault="00493B75" w:rsidP="00493B75">
      <w:pPr>
        <w:rPr>
          <w:rFonts w:cs="Arial"/>
          <w:b/>
        </w:rPr>
      </w:pPr>
      <w:r w:rsidRPr="005E1202">
        <w:rPr>
          <w:rFonts w:cs="Arial"/>
          <w:b/>
        </w:rPr>
        <w:t xml:space="preserve">Table </w:t>
      </w:r>
      <w:r w:rsidR="00FA1AB2">
        <w:rPr>
          <w:rFonts w:cs="Arial"/>
          <w:b/>
        </w:rPr>
        <w:t>8</w:t>
      </w:r>
      <w:r w:rsidRPr="005E1202">
        <w:rPr>
          <w:rFonts w:cs="Arial"/>
          <w:b/>
        </w:rPr>
        <w:t>. A</w:t>
      </w:r>
      <w:r w:rsidRPr="008001BA">
        <w:rPr>
          <w:rFonts w:cs="Arial"/>
          <w:b/>
        </w:rPr>
        <w:t xml:space="preserve">ctivity of Glecaprevir and Pibrentasvir Against Transient Replicons Containing NS3 or NS5A from HCV </w:t>
      </w:r>
      <w:r w:rsidR="009444C9" w:rsidRPr="008001BA">
        <w:rPr>
          <w:rFonts w:cs="Arial"/>
          <w:b/>
        </w:rPr>
        <w:t>GT</w:t>
      </w:r>
      <w:r w:rsidRPr="008001BA">
        <w:rPr>
          <w:rFonts w:cs="Arial"/>
          <w:b/>
        </w:rPr>
        <w:t xml:space="preserve">1-6 Clinical </w:t>
      </w:r>
      <w:r w:rsidRPr="005E1202">
        <w:rPr>
          <w:rFonts w:cs="Arial"/>
          <w:b/>
        </w:rPr>
        <w:t>Isolates</w:t>
      </w:r>
    </w:p>
    <w:tbl>
      <w:tblPr>
        <w:tblStyle w:val="TableGrid"/>
        <w:tblW w:w="8738" w:type="dxa"/>
        <w:jc w:val="center"/>
        <w:tblLayout w:type="fixed"/>
        <w:tblLook w:val="04A0" w:firstRow="1" w:lastRow="0" w:firstColumn="1" w:lastColumn="0" w:noHBand="0" w:noVBand="1"/>
      </w:tblPr>
      <w:tblGrid>
        <w:gridCol w:w="1080"/>
        <w:gridCol w:w="1260"/>
        <w:gridCol w:w="2610"/>
        <w:gridCol w:w="1225"/>
        <w:gridCol w:w="2563"/>
      </w:tblGrid>
      <w:tr w:rsidR="00493B75" w:rsidRPr="005E1202" w14:paraId="544C2B8B" w14:textId="77777777" w:rsidTr="00493B75">
        <w:trPr>
          <w:trHeight w:val="231"/>
          <w:tblHeader/>
          <w:jc w:val="center"/>
        </w:trPr>
        <w:tc>
          <w:tcPr>
            <w:tcW w:w="1080" w:type="dxa"/>
            <w:vMerge w:val="restart"/>
            <w:vAlign w:val="center"/>
          </w:tcPr>
          <w:p w14:paraId="7A22B776" w14:textId="77777777" w:rsidR="00493B75" w:rsidRPr="005E1202" w:rsidRDefault="00493B75" w:rsidP="00493B75">
            <w:pPr>
              <w:widowControl w:val="0"/>
              <w:spacing w:before="60" w:after="60"/>
              <w:jc w:val="center"/>
              <w:rPr>
                <w:rFonts w:cs="Arial"/>
                <w:b/>
              </w:rPr>
            </w:pPr>
            <w:r w:rsidRPr="005E1202">
              <w:rPr>
                <w:rFonts w:cs="Arial"/>
                <w:b/>
              </w:rPr>
              <w:t>HCV Subtype</w:t>
            </w:r>
          </w:p>
        </w:tc>
        <w:tc>
          <w:tcPr>
            <w:tcW w:w="3870" w:type="dxa"/>
            <w:gridSpan w:val="2"/>
            <w:vAlign w:val="center"/>
          </w:tcPr>
          <w:p w14:paraId="20E52AE5" w14:textId="77777777" w:rsidR="00493B75" w:rsidRPr="005E1202" w:rsidRDefault="00493B75" w:rsidP="00493B75">
            <w:pPr>
              <w:widowControl w:val="0"/>
              <w:spacing w:before="60" w:after="60"/>
              <w:jc w:val="center"/>
              <w:rPr>
                <w:rFonts w:cs="Arial"/>
                <w:b/>
              </w:rPr>
            </w:pPr>
            <w:r w:rsidRPr="005E1202">
              <w:rPr>
                <w:rFonts w:cs="Arial"/>
                <w:b/>
              </w:rPr>
              <w:t>Glecaprevir</w:t>
            </w:r>
          </w:p>
        </w:tc>
        <w:tc>
          <w:tcPr>
            <w:tcW w:w="3788" w:type="dxa"/>
            <w:gridSpan w:val="2"/>
            <w:vAlign w:val="center"/>
          </w:tcPr>
          <w:p w14:paraId="12AB64F1" w14:textId="77777777" w:rsidR="00493B75" w:rsidRPr="005E1202" w:rsidRDefault="00493B75" w:rsidP="00493B75">
            <w:pPr>
              <w:widowControl w:val="0"/>
              <w:spacing w:before="60" w:after="60"/>
              <w:jc w:val="center"/>
              <w:rPr>
                <w:rFonts w:cs="Arial"/>
                <w:b/>
              </w:rPr>
            </w:pPr>
            <w:r w:rsidRPr="005E1202">
              <w:rPr>
                <w:rFonts w:cs="Arial"/>
                <w:b/>
              </w:rPr>
              <w:t>Pibrentasvir</w:t>
            </w:r>
          </w:p>
        </w:tc>
      </w:tr>
      <w:tr w:rsidR="00493B75" w:rsidRPr="005E1202" w14:paraId="5851ED21" w14:textId="77777777" w:rsidTr="00493B75">
        <w:trPr>
          <w:trHeight w:val="147"/>
          <w:tblHeader/>
          <w:jc w:val="center"/>
        </w:trPr>
        <w:tc>
          <w:tcPr>
            <w:tcW w:w="1080" w:type="dxa"/>
            <w:vMerge/>
            <w:vAlign w:val="center"/>
          </w:tcPr>
          <w:p w14:paraId="092F63F8" w14:textId="77777777" w:rsidR="00493B75" w:rsidRPr="005E1202" w:rsidRDefault="00493B75" w:rsidP="00493B75">
            <w:pPr>
              <w:widowControl w:val="0"/>
              <w:spacing w:before="60" w:after="60"/>
              <w:jc w:val="center"/>
              <w:rPr>
                <w:rFonts w:cs="Arial"/>
                <w:b/>
              </w:rPr>
            </w:pPr>
          </w:p>
        </w:tc>
        <w:tc>
          <w:tcPr>
            <w:tcW w:w="1260" w:type="dxa"/>
            <w:vAlign w:val="center"/>
          </w:tcPr>
          <w:p w14:paraId="7A1AC6DB" w14:textId="77777777" w:rsidR="00493B75" w:rsidRPr="005E1202" w:rsidRDefault="00493B75" w:rsidP="00493B75">
            <w:pPr>
              <w:widowControl w:val="0"/>
              <w:spacing w:before="60" w:after="60"/>
              <w:jc w:val="center"/>
              <w:rPr>
                <w:rFonts w:cs="Arial"/>
                <w:b/>
              </w:rPr>
            </w:pPr>
            <w:r w:rsidRPr="005E1202">
              <w:rPr>
                <w:rFonts w:cs="Arial"/>
                <w:b/>
              </w:rPr>
              <w:t>Number of clinical isolates</w:t>
            </w:r>
          </w:p>
        </w:tc>
        <w:tc>
          <w:tcPr>
            <w:tcW w:w="2610" w:type="dxa"/>
            <w:vAlign w:val="center"/>
          </w:tcPr>
          <w:p w14:paraId="704BAE60" w14:textId="77777777" w:rsidR="00493B75" w:rsidRPr="005E1202" w:rsidRDefault="00493B75" w:rsidP="00493B75">
            <w:pPr>
              <w:widowControl w:val="0"/>
              <w:spacing w:before="60" w:after="60"/>
              <w:jc w:val="center"/>
              <w:rPr>
                <w:rFonts w:cs="Arial"/>
                <w:b/>
              </w:rPr>
            </w:pPr>
            <w:r w:rsidRPr="005E1202">
              <w:rPr>
                <w:rFonts w:cs="Arial"/>
                <w:b/>
              </w:rPr>
              <w:t>Median EC</w:t>
            </w:r>
            <w:r w:rsidRPr="005E1202">
              <w:rPr>
                <w:rFonts w:cs="Arial"/>
                <w:b/>
                <w:vertAlign w:val="subscript"/>
              </w:rPr>
              <w:t>50</w:t>
            </w:r>
            <w:r w:rsidRPr="005E1202">
              <w:rPr>
                <w:rFonts w:cs="Arial"/>
                <w:b/>
              </w:rPr>
              <w:t xml:space="preserve">, </w:t>
            </w:r>
            <w:proofErr w:type="spellStart"/>
            <w:r w:rsidRPr="005E1202">
              <w:rPr>
                <w:rFonts w:cs="Arial"/>
                <w:b/>
              </w:rPr>
              <w:t>nM</w:t>
            </w:r>
            <w:proofErr w:type="spellEnd"/>
            <w:r w:rsidRPr="005E1202">
              <w:rPr>
                <w:rFonts w:cs="Arial"/>
                <w:b/>
              </w:rPr>
              <w:t xml:space="preserve"> (range)</w:t>
            </w:r>
          </w:p>
        </w:tc>
        <w:tc>
          <w:tcPr>
            <w:tcW w:w="1225" w:type="dxa"/>
            <w:vAlign w:val="center"/>
          </w:tcPr>
          <w:p w14:paraId="226D8B98" w14:textId="77777777" w:rsidR="00493B75" w:rsidRPr="005E1202" w:rsidRDefault="00493B75" w:rsidP="00493B75">
            <w:pPr>
              <w:widowControl w:val="0"/>
              <w:spacing w:before="60" w:after="60"/>
              <w:jc w:val="center"/>
              <w:rPr>
                <w:rFonts w:cs="Arial"/>
                <w:b/>
              </w:rPr>
            </w:pPr>
            <w:r w:rsidRPr="005E1202">
              <w:rPr>
                <w:rFonts w:cs="Arial"/>
                <w:b/>
              </w:rPr>
              <w:t>Number of clinical isolates</w:t>
            </w:r>
          </w:p>
        </w:tc>
        <w:tc>
          <w:tcPr>
            <w:tcW w:w="2563" w:type="dxa"/>
            <w:vAlign w:val="center"/>
          </w:tcPr>
          <w:p w14:paraId="5F90FD4A" w14:textId="77777777" w:rsidR="00493B75" w:rsidRPr="005E1202" w:rsidRDefault="00493B75" w:rsidP="00493B75">
            <w:pPr>
              <w:widowControl w:val="0"/>
              <w:spacing w:before="60" w:after="60"/>
              <w:jc w:val="center"/>
              <w:rPr>
                <w:rFonts w:cs="Arial"/>
                <w:b/>
              </w:rPr>
            </w:pPr>
            <w:r w:rsidRPr="005E1202">
              <w:rPr>
                <w:rFonts w:cs="Arial"/>
                <w:b/>
              </w:rPr>
              <w:t>Median EC</w:t>
            </w:r>
            <w:r w:rsidRPr="005E1202">
              <w:rPr>
                <w:rFonts w:cs="Arial"/>
                <w:b/>
                <w:vertAlign w:val="subscript"/>
              </w:rPr>
              <w:t>50</w:t>
            </w:r>
            <w:r w:rsidRPr="005E1202">
              <w:rPr>
                <w:rFonts w:cs="Arial"/>
                <w:b/>
              </w:rPr>
              <w:t xml:space="preserve">, </w:t>
            </w:r>
            <w:proofErr w:type="spellStart"/>
            <w:r w:rsidRPr="005E1202">
              <w:rPr>
                <w:rFonts w:cs="Arial"/>
                <w:b/>
              </w:rPr>
              <w:t>nM</w:t>
            </w:r>
            <w:proofErr w:type="spellEnd"/>
            <w:r w:rsidRPr="005E1202">
              <w:rPr>
                <w:rFonts w:cs="Arial"/>
                <w:b/>
              </w:rPr>
              <w:t xml:space="preserve"> (range)</w:t>
            </w:r>
          </w:p>
        </w:tc>
      </w:tr>
      <w:tr w:rsidR="00493B75" w:rsidRPr="005E1202" w14:paraId="5BD8C30E" w14:textId="77777777" w:rsidTr="00493B75">
        <w:trPr>
          <w:trHeight w:val="231"/>
          <w:jc w:val="center"/>
        </w:trPr>
        <w:tc>
          <w:tcPr>
            <w:tcW w:w="1080" w:type="dxa"/>
            <w:vAlign w:val="center"/>
          </w:tcPr>
          <w:p w14:paraId="5A02DE62" w14:textId="77777777" w:rsidR="00493B75" w:rsidRPr="005E1202" w:rsidRDefault="00493B75" w:rsidP="00493B75">
            <w:pPr>
              <w:widowControl w:val="0"/>
              <w:spacing w:before="60" w:after="60"/>
              <w:jc w:val="center"/>
              <w:rPr>
                <w:rFonts w:cs="Arial"/>
              </w:rPr>
            </w:pPr>
            <w:r w:rsidRPr="005E1202">
              <w:rPr>
                <w:rFonts w:cs="Arial"/>
              </w:rPr>
              <w:t>1a</w:t>
            </w:r>
          </w:p>
        </w:tc>
        <w:tc>
          <w:tcPr>
            <w:tcW w:w="1260" w:type="dxa"/>
            <w:vAlign w:val="center"/>
          </w:tcPr>
          <w:p w14:paraId="3B1A35CF" w14:textId="77777777" w:rsidR="00493B75" w:rsidRPr="005E1202" w:rsidRDefault="00493B75" w:rsidP="00493B75">
            <w:pPr>
              <w:widowControl w:val="0"/>
              <w:spacing w:before="60" w:after="60"/>
              <w:jc w:val="center"/>
              <w:rPr>
                <w:rFonts w:cs="Arial"/>
              </w:rPr>
            </w:pPr>
            <w:r w:rsidRPr="005E1202">
              <w:rPr>
                <w:rFonts w:cs="Arial"/>
              </w:rPr>
              <w:t>11</w:t>
            </w:r>
          </w:p>
        </w:tc>
        <w:tc>
          <w:tcPr>
            <w:tcW w:w="2610" w:type="dxa"/>
            <w:vAlign w:val="center"/>
          </w:tcPr>
          <w:p w14:paraId="778F28BA" w14:textId="77777777" w:rsidR="00493B75" w:rsidRPr="005E1202" w:rsidRDefault="00493B75" w:rsidP="00493B75">
            <w:pPr>
              <w:widowControl w:val="0"/>
              <w:spacing w:before="60" w:after="60"/>
              <w:jc w:val="center"/>
              <w:rPr>
                <w:rFonts w:cs="Arial"/>
              </w:rPr>
            </w:pPr>
            <w:r w:rsidRPr="005E1202">
              <w:rPr>
                <w:rFonts w:cs="Arial"/>
              </w:rPr>
              <w:t>0.08 (0.05 – 0.12)</w:t>
            </w:r>
          </w:p>
        </w:tc>
        <w:tc>
          <w:tcPr>
            <w:tcW w:w="1225" w:type="dxa"/>
            <w:vAlign w:val="center"/>
          </w:tcPr>
          <w:p w14:paraId="4A1A624D" w14:textId="77777777" w:rsidR="00493B75" w:rsidRPr="005E1202" w:rsidRDefault="00493B75" w:rsidP="00493B75">
            <w:pPr>
              <w:widowControl w:val="0"/>
              <w:spacing w:before="60" w:after="60"/>
              <w:jc w:val="center"/>
              <w:rPr>
                <w:rFonts w:cs="Arial"/>
              </w:rPr>
            </w:pPr>
            <w:r w:rsidRPr="005E1202">
              <w:rPr>
                <w:rFonts w:cs="Arial"/>
              </w:rPr>
              <w:t>11</w:t>
            </w:r>
          </w:p>
        </w:tc>
        <w:tc>
          <w:tcPr>
            <w:tcW w:w="2563" w:type="dxa"/>
            <w:vAlign w:val="center"/>
          </w:tcPr>
          <w:p w14:paraId="713A1231" w14:textId="77777777" w:rsidR="00493B75" w:rsidRPr="005E1202" w:rsidRDefault="00493B75" w:rsidP="00493B75">
            <w:pPr>
              <w:widowControl w:val="0"/>
              <w:spacing w:before="60" w:after="60"/>
              <w:jc w:val="center"/>
              <w:rPr>
                <w:rFonts w:cs="Arial"/>
              </w:rPr>
            </w:pPr>
            <w:r w:rsidRPr="005E1202">
              <w:rPr>
                <w:rFonts w:cs="Arial"/>
              </w:rPr>
              <w:t>0.0009 (0.0006 – 0.0017)</w:t>
            </w:r>
          </w:p>
        </w:tc>
      </w:tr>
      <w:tr w:rsidR="00493B75" w:rsidRPr="005E1202" w14:paraId="1279705E" w14:textId="77777777" w:rsidTr="00493B75">
        <w:trPr>
          <w:trHeight w:val="231"/>
          <w:jc w:val="center"/>
        </w:trPr>
        <w:tc>
          <w:tcPr>
            <w:tcW w:w="1080" w:type="dxa"/>
            <w:vAlign w:val="center"/>
          </w:tcPr>
          <w:p w14:paraId="25BFE799" w14:textId="77777777" w:rsidR="00493B75" w:rsidRPr="005E1202" w:rsidRDefault="00493B75" w:rsidP="00493B75">
            <w:pPr>
              <w:widowControl w:val="0"/>
              <w:spacing w:before="60" w:after="60"/>
              <w:jc w:val="center"/>
              <w:rPr>
                <w:rFonts w:cs="Arial"/>
              </w:rPr>
            </w:pPr>
            <w:r w:rsidRPr="005E1202">
              <w:rPr>
                <w:rFonts w:cs="Arial"/>
              </w:rPr>
              <w:t>1b</w:t>
            </w:r>
          </w:p>
        </w:tc>
        <w:tc>
          <w:tcPr>
            <w:tcW w:w="1260" w:type="dxa"/>
            <w:vAlign w:val="center"/>
          </w:tcPr>
          <w:p w14:paraId="4E24A78E" w14:textId="77777777" w:rsidR="00493B75" w:rsidRPr="005E1202" w:rsidRDefault="00493B75" w:rsidP="00493B75">
            <w:pPr>
              <w:widowControl w:val="0"/>
              <w:spacing w:before="60" w:after="60"/>
              <w:jc w:val="center"/>
              <w:rPr>
                <w:rFonts w:cs="Arial"/>
              </w:rPr>
            </w:pPr>
            <w:r w:rsidRPr="005E1202">
              <w:rPr>
                <w:rFonts w:cs="Arial"/>
              </w:rPr>
              <w:t>9</w:t>
            </w:r>
          </w:p>
        </w:tc>
        <w:tc>
          <w:tcPr>
            <w:tcW w:w="2610" w:type="dxa"/>
            <w:vAlign w:val="center"/>
          </w:tcPr>
          <w:p w14:paraId="6F3CDDA8" w14:textId="77777777" w:rsidR="00493B75" w:rsidRPr="005E1202" w:rsidRDefault="00493B75" w:rsidP="00493B75">
            <w:pPr>
              <w:widowControl w:val="0"/>
              <w:spacing w:before="60" w:after="60"/>
              <w:jc w:val="center"/>
              <w:rPr>
                <w:rFonts w:cs="Arial"/>
              </w:rPr>
            </w:pPr>
            <w:r w:rsidRPr="005E1202">
              <w:rPr>
                <w:rFonts w:cs="Arial"/>
              </w:rPr>
              <w:t>0.29 (0.20 – 0.68)</w:t>
            </w:r>
          </w:p>
        </w:tc>
        <w:tc>
          <w:tcPr>
            <w:tcW w:w="1225" w:type="dxa"/>
            <w:vAlign w:val="center"/>
          </w:tcPr>
          <w:p w14:paraId="0D106587" w14:textId="77777777" w:rsidR="00493B75" w:rsidRPr="005E1202" w:rsidRDefault="00493B75" w:rsidP="00493B75">
            <w:pPr>
              <w:widowControl w:val="0"/>
              <w:spacing w:before="60" w:after="60"/>
              <w:jc w:val="center"/>
              <w:rPr>
                <w:rFonts w:cs="Arial"/>
              </w:rPr>
            </w:pPr>
            <w:r w:rsidRPr="005E1202">
              <w:rPr>
                <w:rFonts w:cs="Arial"/>
              </w:rPr>
              <w:t>8</w:t>
            </w:r>
          </w:p>
        </w:tc>
        <w:tc>
          <w:tcPr>
            <w:tcW w:w="2563" w:type="dxa"/>
            <w:vAlign w:val="center"/>
          </w:tcPr>
          <w:p w14:paraId="4913AA4F" w14:textId="77777777" w:rsidR="00493B75" w:rsidRPr="005E1202" w:rsidRDefault="00493B75" w:rsidP="00493B75">
            <w:pPr>
              <w:widowControl w:val="0"/>
              <w:spacing w:before="60" w:after="60"/>
              <w:jc w:val="center"/>
              <w:rPr>
                <w:rFonts w:cs="Arial"/>
              </w:rPr>
            </w:pPr>
            <w:r w:rsidRPr="005E1202">
              <w:rPr>
                <w:rFonts w:cs="Arial"/>
              </w:rPr>
              <w:t>0.0027 (0.0014 – 0.0035)</w:t>
            </w:r>
          </w:p>
        </w:tc>
      </w:tr>
      <w:tr w:rsidR="00493B75" w:rsidRPr="005E1202" w14:paraId="2F17933F" w14:textId="77777777" w:rsidTr="00493B75">
        <w:trPr>
          <w:trHeight w:val="231"/>
          <w:jc w:val="center"/>
        </w:trPr>
        <w:tc>
          <w:tcPr>
            <w:tcW w:w="1080" w:type="dxa"/>
            <w:vAlign w:val="center"/>
          </w:tcPr>
          <w:p w14:paraId="57D88D8E" w14:textId="77777777" w:rsidR="00493B75" w:rsidRPr="005E1202" w:rsidRDefault="00493B75" w:rsidP="00493B75">
            <w:pPr>
              <w:widowControl w:val="0"/>
              <w:spacing w:before="60" w:after="60"/>
              <w:jc w:val="center"/>
              <w:rPr>
                <w:rFonts w:cs="Arial"/>
              </w:rPr>
            </w:pPr>
            <w:r w:rsidRPr="005E1202">
              <w:rPr>
                <w:rFonts w:cs="Arial"/>
              </w:rPr>
              <w:t>2a</w:t>
            </w:r>
          </w:p>
        </w:tc>
        <w:tc>
          <w:tcPr>
            <w:tcW w:w="1260" w:type="dxa"/>
            <w:vAlign w:val="center"/>
          </w:tcPr>
          <w:p w14:paraId="29BB5E66" w14:textId="77777777" w:rsidR="00493B75" w:rsidRPr="005E1202" w:rsidRDefault="00493B75" w:rsidP="00493B75">
            <w:pPr>
              <w:widowControl w:val="0"/>
              <w:spacing w:before="60" w:after="60"/>
              <w:jc w:val="center"/>
              <w:rPr>
                <w:rFonts w:cs="Arial"/>
              </w:rPr>
            </w:pPr>
            <w:r w:rsidRPr="005E1202">
              <w:rPr>
                <w:rFonts w:cs="Arial"/>
              </w:rPr>
              <w:t>4</w:t>
            </w:r>
          </w:p>
        </w:tc>
        <w:tc>
          <w:tcPr>
            <w:tcW w:w="2610" w:type="dxa"/>
            <w:vAlign w:val="center"/>
          </w:tcPr>
          <w:p w14:paraId="1421326B" w14:textId="77777777" w:rsidR="00493B75" w:rsidRPr="005E1202" w:rsidRDefault="00493B75" w:rsidP="00493B75">
            <w:pPr>
              <w:widowControl w:val="0"/>
              <w:spacing w:before="60" w:after="60"/>
              <w:jc w:val="center"/>
              <w:rPr>
                <w:rFonts w:cs="Arial"/>
              </w:rPr>
            </w:pPr>
            <w:r w:rsidRPr="005E1202">
              <w:rPr>
                <w:rFonts w:cs="Arial"/>
              </w:rPr>
              <w:t>1.6 (0.66 – 1.9)</w:t>
            </w:r>
          </w:p>
        </w:tc>
        <w:tc>
          <w:tcPr>
            <w:tcW w:w="1225" w:type="dxa"/>
            <w:vAlign w:val="center"/>
          </w:tcPr>
          <w:p w14:paraId="5897F1A9" w14:textId="77777777" w:rsidR="00493B75" w:rsidRPr="005E1202" w:rsidRDefault="00493B75" w:rsidP="00493B75">
            <w:pPr>
              <w:widowControl w:val="0"/>
              <w:spacing w:before="60" w:after="60"/>
              <w:jc w:val="center"/>
              <w:rPr>
                <w:rFonts w:cs="Arial"/>
              </w:rPr>
            </w:pPr>
            <w:r w:rsidRPr="005E1202">
              <w:rPr>
                <w:rFonts w:cs="Arial"/>
              </w:rPr>
              <w:t>6</w:t>
            </w:r>
          </w:p>
        </w:tc>
        <w:tc>
          <w:tcPr>
            <w:tcW w:w="2563" w:type="dxa"/>
            <w:vAlign w:val="center"/>
          </w:tcPr>
          <w:p w14:paraId="581EC279" w14:textId="77777777" w:rsidR="00493B75" w:rsidRPr="005E1202" w:rsidRDefault="00493B75" w:rsidP="00493B75">
            <w:pPr>
              <w:widowControl w:val="0"/>
              <w:spacing w:before="60" w:after="60"/>
              <w:jc w:val="center"/>
              <w:rPr>
                <w:rFonts w:cs="Arial"/>
              </w:rPr>
            </w:pPr>
            <w:r w:rsidRPr="005E1202">
              <w:rPr>
                <w:rFonts w:cs="Arial"/>
              </w:rPr>
              <w:t>0.0009 (0.0005 – 0.0019)</w:t>
            </w:r>
          </w:p>
        </w:tc>
      </w:tr>
      <w:tr w:rsidR="00493B75" w:rsidRPr="005E1202" w14:paraId="0AAA45F3" w14:textId="77777777" w:rsidTr="00493B75">
        <w:trPr>
          <w:trHeight w:val="231"/>
          <w:jc w:val="center"/>
        </w:trPr>
        <w:tc>
          <w:tcPr>
            <w:tcW w:w="1080" w:type="dxa"/>
            <w:vAlign w:val="center"/>
          </w:tcPr>
          <w:p w14:paraId="367891F5" w14:textId="77777777" w:rsidR="00493B75" w:rsidRPr="005E1202" w:rsidRDefault="00493B75" w:rsidP="00493B75">
            <w:pPr>
              <w:widowControl w:val="0"/>
              <w:spacing w:before="60" w:after="60"/>
              <w:jc w:val="center"/>
              <w:rPr>
                <w:rFonts w:cs="Arial"/>
              </w:rPr>
            </w:pPr>
            <w:r w:rsidRPr="005E1202">
              <w:rPr>
                <w:rFonts w:cs="Arial"/>
              </w:rPr>
              <w:t>2b</w:t>
            </w:r>
          </w:p>
        </w:tc>
        <w:tc>
          <w:tcPr>
            <w:tcW w:w="1260" w:type="dxa"/>
            <w:vAlign w:val="center"/>
          </w:tcPr>
          <w:p w14:paraId="4A843513" w14:textId="77777777" w:rsidR="00493B75" w:rsidRPr="005E1202" w:rsidRDefault="00493B75" w:rsidP="00493B75">
            <w:pPr>
              <w:widowControl w:val="0"/>
              <w:spacing w:before="60" w:after="60"/>
              <w:jc w:val="center"/>
              <w:rPr>
                <w:rFonts w:cs="Arial"/>
              </w:rPr>
            </w:pPr>
            <w:r w:rsidRPr="005E1202">
              <w:rPr>
                <w:rFonts w:cs="Arial"/>
              </w:rPr>
              <w:t>4</w:t>
            </w:r>
          </w:p>
        </w:tc>
        <w:tc>
          <w:tcPr>
            <w:tcW w:w="2610" w:type="dxa"/>
            <w:vAlign w:val="center"/>
          </w:tcPr>
          <w:p w14:paraId="4CF50845" w14:textId="77777777" w:rsidR="00493B75" w:rsidRPr="005E1202" w:rsidRDefault="00493B75" w:rsidP="00493B75">
            <w:pPr>
              <w:widowControl w:val="0"/>
              <w:spacing w:before="60" w:after="60"/>
              <w:jc w:val="center"/>
              <w:rPr>
                <w:rFonts w:cs="Arial"/>
              </w:rPr>
            </w:pPr>
            <w:r w:rsidRPr="005E1202">
              <w:rPr>
                <w:rFonts w:cs="Arial"/>
              </w:rPr>
              <w:t>2.2 (1.4 – 3.2)</w:t>
            </w:r>
          </w:p>
        </w:tc>
        <w:tc>
          <w:tcPr>
            <w:tcW w:w="1225" w:type="dxa"/>
            <w:vAlign w:val="center"/>
          </w:tcPr>
          <w:p w14:paraId="6F4B2E42" w14:textId="77777777" w:rsidR="00493B75" w:rsidRPr="005E1202" w:rsidRDefault="00493B75" w:rsidP="00493B75">
            <w:pPr>
              <w:widowControl w:val="0"/>
              <w:spacing w:before="60" w:after="60"/>
              <w:jc w:val="center"/>
              <w:rPr>
                <w:rFonts w:cs="Arial"/>
              </w:rPr>
            </w:pPr>
            <w:r w:rsidRPr="005E1202">
              <w:rPr>
                <w:rFonts w:cs="Arial"/>
              </w:rPr>
              <w:t>11</w:t>
            </w:r>
          </w:p>
        </w:tc>
        <w:tc>
          <w:tcPr>
            <w:tcW w:w="2563" w:type="dxa"/>
            <w:vAlign w:val="center"/>
          </w:tcPr>
          <w:p w14:paraId="323A8919" w14:textId="77777777" w:rsidR="00493B75" w:rsidRPr="005E1202" w:rsidRDefault="00493B75" w:rsidP="00493B75">
            <w:pPr>
              <w:widowControl w:val="0"/>
              <w:spacing w:before="60" w:after="60"/>
              <w:jc w:val="center"/>
              <w:rPr>
                <w:rFonts w:cs="Arial"/>
              </w:rPr>
            </w:pPr>
            <w:r w:rsidRPr="005E1202">
              <w:rPr>
                <w:rFonts w:cs="Arial"/>
              </w:rPr>
              <w:t>0.0013 (0.0011 – 0.0019)</w:t>
            </w:r>
          </w:p>
        </w:tc>
      </w:tr>
      <w:tr w:rsidR="00493B75" w:rsidRPr="005E1202" w14:paraId="2474A2D0" w14:textId="77777777" w:rsidTr="00493B75">
        <w:trPr>
          <w:trHeight w:val="244"/>
          <w:jc w:val="center"/>
        </w:trPr>
        <w:tc>
          <w:tcPr>
            <w:tcW w:w="1080" w:type="dxa"/>
            <w:vAlign w:val="center"/>
          </w:tcPr>
          <w:p w14:paraId="414A21CA" w14:textId="77777777" w:rsidR="00493B75" w:rsidRPr="005E1202" w:rsidRDefault="00493B75" w:rsidP="00493B75">
            <w:pPr>
              <w:widowControl w:val="0"/>
              <w:spacing w:before="60" w:after="60"/>
              <w:jc w:val="center"/>
              <w:rPr>
                <w:rFonts w:cs="Arial"/>
              </w:rPr>
            </w:pPr>
            <w:r w:rsidRPr="005E1202">
              <w:rPr>
                <w:rFonts w:cs="Arial"/>
              </w:rPr>
              <w:t>3a</w:t>
            </w:r>
          </w:p>
        </w:tc>
        <w:tc>
          <w:tcPr>
            <w:tcW w:w="1260" w:type="dxa"/>
            <w:vAlign w:val="center"/>
          </w:tcPr>
          <w:p w14:paraId="53FF2A28" w14:textId="77777777" w:rsidR="00493B75" w:rsidRPr="005E1202" w:rsidRDefault="00493B75" w:rsidP="00493B75">
            <w:pPr>
              <w:widowControl w:val="0"/>
              <w:spacing w:before="60" w:after="60"/>
              <w:jc w:val="center"/>
              <w:rPr>
                <w:rFonts w:cs="Arial"/>
              </w:rPr>
            </w:pPr>
            <w:r w:rsidRPr="005E1202">
              <w:rPr>
                <w:rFonts w:cs="Arial"/>
              </w:rPr>
              <w:t>2</w:t>
            </w:r>
          </w:p>
        </w:tc>
        <w:tc>
          <w:tcPr>
            <w:tcW w:w="2610" w:type="dxa"/>
            <w:vAlign w:val="center"/>
          </w:tcPr>
          <w:p w14:paraId="7F013052" w14:textId="77777777" w:rsidR="00493B75" w:rsidRPr="005E1202" w:rsidRDefault="00493B75" w:rsidP="00493B75">
            <w:pPr>
              <w:widowControl w:val="0"/>
              <w:spacing w:before="60" w:after="60"/>
              <w:jc w:val="center"/>
              <w:rPr>
                <w:rFonts w:cs="Arial"/>
              </w:rPr>
            </w:pPr>
            <w:r w:rsidRPr="005E1202">
              <w:rPr>
                <w:rFonts w:cs="Arial"/>
              </w:rPr>
              <w:t>2.3 (0.71 – 3.8)</w:t>
            </w:r>
          </w:p>
        </w:tc>
        <w:tc>
          <w:tcPr>
            <w:tcW w:w="1225" w:type="dxa"/>
            <w:vAlign w:val="center"/>
          </w:tcPr>
          <w:p w14:paraId="6BA7BA4A" w14:textId="77777777" w:rsidR="00493B75" w:rsidRPr="005E1202" w:rsidRDefault="00493B75" w:rsidP="00493B75">
            <w:pPr>
              <w:widowControl w:val="0"/>
              <w:spacing w:before="60" w:after="60"/>
              <w:jc w:val="center"/>
              <w:rPr>
                <w:rFonts w:cs="Arial"/>
              </w:rPr>
            </w:pPr>
            <w:r w:rsidRPr="005E1202">
              <w:rPr>
                <w:rFonts w:cs="Arial"/>
              </w:rPr>
              <w:t>14</w:t>
            </w:r>
          </w:p>
        </w:tc>
        <w:tc>
          <w:tcPr>
            <w:tcW w:w="2563" w:type="dxa"/>
            <w:vAlign w:val="center"/>
          </w:tcPr>
          <w:p w14:paraId="1CA29681" w14:textId="77777777" w:rsidR="00493B75" w:rsidRPr="005E1202" w:rsidRDefault="00493B75" w:rsidP="00493B75">
            <w:pPr>
              <w:widowControl w:val="0"/>
              <w:spacing w:before="60" w:after="60"/>
              <w:jc w:val="center"/>
              <w:rPr>
                <w:rFonts w:cs="Arial"/>
              </w:rPr>
            </w:pPr>
            <w:r w:rsidRPr="005E1202">
              <w:rPr>
                <w:rFonts w:cs="Arial"/>
              </w:rPr>
              <w:t>0.0007 (0.0005 – 0.0017)</w:t>
            </w:r>
          </w:p>
        </w:tc>
      </w:tr>
      <w:tr w:rsidR="00493B75" w:rsidRPr="005E1202" w14:paraId="3A5B1170" w14:textId="77777777" w:rsidTr="00493B75">
        <w:trPr>
          <w:trHeight w:val="244"/>
          <w:jc w:val="center"/>
        </w:trPr>
        <w:tc>
          <w:tcPr>
            <w:tcW w:w="1080" w:type="dxa"/>
            <w:vAlign w:val="center"/>
          </w:tcPr>
          <w:p w14:paraId="2996D823" w14:textId="77777777" w:rsidR="00493B75" w:rsidRPr="005E1202" w:rsidRDefault="00493B75" w:rsidP="00493B75">
            <w:pPr>
              <w:widowControl w:val="0"/>
              <w:spacing w:before="60" w:after="60"/>
              <w:jc w:val="center"/>
              <w:rPr>
                <w:rFonts w:cs="Arial"/>
              </w:rPr>
            </w:pPr>
            <w:r w:rsidRPr="005E1202">
              <w:rPr>
                <w:rFonts w:cs="Arial"/>
              </w:rPr>
              <w:t>4a</w:t>
            </w:r>
          </w:p>
        </w:tc>
        <w:tc>
          <w:tcPr>
            <w:tcW w:w="1260" w:type="dxa"/>
            <w:vAlign w:val="center"/>
          </w:tcPr>
          <w:p w14:paraId="1AEE70A3" w14:textId="77777777" w:rsidR="00493B75" w:rsidRPr="005E1202" w:rsidRDefault="00493B75" w:rsidP="00493B75">
            <w:pPr>
              <w:widowControl w:val="0"/>
              <w:spacing w:before="60" w:after="60"/>
              <w:jc w:val="center"/>
              <w:rPr>
                <w:rFonts w:cs="Arial"/>
              </w:rPr>
            </w:pPr>
            <w:r w:rsidRPr="005E1202">
              <w:rPr>
                <w:rFonts w:cs="Arial"/>
              </w:rPr>
              <w:t>6</w:t>
            </w:r>
          </w:p>
        </w:tc>
        <w:tc>
          <w:tcPr>
            <w:tcW w:w="2610" w:type="dxa"/>
            <w:vAlign w:val="center"/>
          </w:tcPr>
          <w:p w14:paraId="4863E05A" w14:textId="77777777" w:rsidR="00493B75" w:rsidRPr="005E1202" w:rsidRDefault="00493B75" w:rsidP="00493B75">
            <w:pPr>
              <w:widowControl w:val="0"/>
              <w:spacing w:before="60" w:after="60"/>
              <w:jc w:val="center"/>
              <w:rPr>
                <w:rFonts w:cs="Arial"/>
              </w:rPr>
            </w:pPr>
            <w:r w:rsidRPr="005E1202">
              <w:rPr>
                <w:rFonts w:cs="Arial"/>
              </w:rPr>
              <w:t>0.41 (0.31 – 0.55)</w:t>
            </w:r>
          </w:p>
        </w:tc>
        <w:tc>
          <w:tcPr>
            <w:tcW w:w="1225" w:type="dxa"/>
            <w:vAlign w:val="center"/>
          </w:tcPr>
          <w:p w14:paraId="3AA2ACF2" w14:textId="77777777" w:rsidR="00493B75" w:rsidRPr="005E1202" w:rsidRDefault="00493B75" w:rsidP="00493B75">
            <w:pPr>
              <w:widowControl w:val="0"/>
              <w:spacing w:before="60" w:after="60"/>
              <w:jc w:val="center"/>
              <w:rPr>
                <w:rFonts w:cs="Arial"/>
              </w:rPr>
            </w:pPr>
            <w:r w:rsidRPr="005E1202">
              <w:rPr>
                <w:rFonts w:cs="Arial"/>
              </w:rPr>
              <w:t>8</w:t>
            </w:r>
          </w:p>
        </w:tc>
        <w:tc>
          <w:tcPr>
            <w:tcW w:w="2563" w:type="dxa"/>
            <w:vAlign w:val="center"/>
          </w:tcPr>
          <w:p w14:paraId="0DD18800" w14:textId="77777777" w:rsidR="00493B75" w:rsidRPr="005E1202" w:rsidRDefault="00493B75" w:rsidP="00493B75">
            <w:pPr>
              <w:widowControl w:val="0"/>
              <w:spacing w:before="60" w:after="60"/>
              <w:jc w:val="center"/>
              <w:rPr>
                <w:rFonts w:cs="Arial"/>
              </w:rPr>
            </w:pPr>
            <w:r w:rsidRPr="005E1202">
              <w:rPr>
                <w:rFonts w:cs="Arial"/>
              </w:rPr>
              <w:t>0.0005 (0.0003 – 0.0013)</w:t>
            </w:r>
          </w:p>
        </w:tc>
      </w:tr>
      <w:tr w:rsidR="00493B75" w:rsidRPr="005E1202" w14:paraId="76914276" w14:textId="77777777" w:rsidTr="00493B75">
        <w:trPr>
          <w:trHeight w:val="231"/>
          <w:jc w:val="center"/>
        </w:trPr>
        <w:tc>
          <w:tcPr>
            <w:tcW w:w="1080" w:type="dxa"/>
            <w:vAlign w:val="center"/>
          </w:tcPr>
          <w:p w14:paraId="52B8BA52" w14:textId="77777777" w:rsidR="00493B75" w:rsidRPr="005E1202" w:rsidRDefault="00493B75" w:rsidP="00493B75">
            <w:pPr>
              <w:widowControl w:val="0"/>
              <w:spacing w:before="60" w:after="60"/>
              <w:jc w:val="center"/>
              <w:rPr>
                <w:rFonts w:cs="Arial"/>
              </w:rPr>
            </w:pPr>
            <w:r w:rsidRPr="005E1202">
              <w:rPr>
                <w:rFonts w:cs="Arial"/>
              </w:rPr>
              <w:t>4b</w:t>
            </w:r>
          </w:p>
        </w:tc>
        <w:tc>
          <w:tcPr>
            <w:tcW w:w="1260" w:type="dxa"/>
            <w:vAlign w:val="center"/>
          </w:tcPr>
          <w:p w14:paraId="13D0C451" w14:textId="77777777" w:rsidR="00493B75" w:rsidRPr="005E1202" w:rsidRDefault="00493B75" w:rsidP="00493B75">
            <w:pPr>
              <w:widowControl w:val="0"/>
              <w:spacing w:before="60" w:after="60"/>
              <w:jc w:val="center"/>
              <w:rPr>
                <w:rFonts w:cs="Arial"/>
              </w:rPr>
            </w:pPr>
            <w:r w:rsidRPr="005E1202">
              <w:rPr>
                <w:rFonts w:cs="Arial"/>
              </w:rPr>
              <w:t>NA</w:t>
            </w:r>
          </w:p>
        </w:tc>
        <w:tc>
          <w:tcPr>
            <w:tcW w:w="2610" w:type="dxa"/>
            <w:vAlign w:val="center"/>
          </w:tcPr>
          <w:p w14:paraId="4B0819D0" w14:textId="77777777" w:rsidR="00493B75" w:rsidRPr="005E1202" w:rsidRDefault="00493B75" w:rsidP="00493B75">
            <w:pPr>
              <w:widowControl w:val="0"/>
              <w:spacing w:before="60" w:after="60"/>
              <w:jc w:val="center"/>
              <w:rPr>
                <w:rFonts w:cs="Arial"/>
              </w:rPr>
            </w:pPr>
            <w:r w:rsidRPr="005E1202">
              <w:rPr>
                <w:rFonts w:cs="Arial"/>
              </w:rPr>
              <w:t>NA</w:t>
            </w:r>
          </w:p>
        </w:tc>
        <w:tc>
          <w:tcPr>
            <w:tcW w:w="1225" w:type="dxa"/>
            <w:vAlign w:val="center"/>
          </w:tcPr>
          <w:p w14:paraId="10D317DB" w14:textId="77777777" w:rsidR="00493B75" w:rsidRPr="005E1202" w:rsidRDefault="00493B75" w:rsidP="00493B75">
            <w:pPr>
              <w:widowControl w:val="0"/>
              <w:spacing w:before="60" w:after="60"/>
              <w:jc w:val="center"/>
              <w:rPr>
                <w:rFonts w:cs="Arial"/>
              </w:rPr>
            </w:pPr>
            <w:r w:rsidRPr="005E1202">
              <w:rPr>
                <w:rFonts w:cs="Arial"/>
              </w:rPr>
              <w:t>3</w:t>
            </w:r>
          </w:p>
        </w:tc>
        <w:tc>
          <w:tcPr>
            <w:tcW w:w="2563" w:type="dxa"/>
            <w:vAlign w:val="center"/>
          </w:tcPr>
          <w:p w14:paraId="0D46F77E" w14:textId="77777777" w:rsidR="00493B75" w:rsidRPr="005E1202" w:rsidRDefault="00493B75" w:rsidP="00493B75">
            <w:pPr>
              <w:widowControl w:val="0"/>
              <w:spacing w:before="60" w:after="60"/>
              <w:jc w:val="center"/>
              <w:rPr>
                <w:rFonts w:cs="Arial"/>
              </w:rPr>
            </w:pPr>
            <w:r w:rsidRPr="005E1202">
              <w:rPr>
                <w:rFonts w:cs="Arial"/>
              </w:rPr>
              <w:t>0.0012 (0.0005 – 0.0018)</w:t>
            </w:r>
          </w:p>
        </w:tc>
      </w:tr>
      <w:tr w:rsidR="00493B75" w:rsidRPr="005E1202" w14:paraId="18D250B0" w14:textId="77777777" w:rsidTr="00493B75">
        <w:trPr>
          <w:trHeight w:val="231"/>
          <w:jc w:val="center"/>
        </w:trPr>
        <w:tc>
          <w:tcPr>
            <w:tcW w:w="1080" w:type="dxa"/>
            <w:vAlign w:val="center"/>
          </w:tcPr>
          <w:p w14:paraId="3DAF90B8" w14:textId="77777777" w:rsidR="00493B75" w:rsidRPr="005E1202" w:rsidRDefault="00493B75" w:rsidP="00493B75">
            <w:pPr>
              <w:widowControl w:val="0"/>
              <w:spacing w:before="60" w:after="60"/>
              <w:jc w:val="center"/>
              <w:rPr>
                <w:rFonts w:cs="Arial"/>
              </w:rPr>
            </w:pPr>
            <w:r w:rsidRPr="005E1202">
              <w:rPr>
                <w:rFonts w:cs="Arial"/>
              </w:rPr>
              <w:t>4d</w:t>
            </w:r>
          </w:p>
        </w:tc>
        <w:tc>
          <w:tcPr>
            <w:tcW w:w="1260" w:type="dxa"/>
            <w:vAlign w:val="center"/>
          </w:tcPr>
          <w:p w14:paraId="134FB365" w14:textId="77777777" w:rsidR="00493B75" w:rsidRPr="005E1202" w:rsidRDefault="00493B75" w:rsidP="00493B75">
            <w:pPr>
              <w:spacing w:before="60" w:after="60"/>
              <w:jc w:val="center"/>
              <w:rPr>
                <w:rFonts w:cs="Arial"/>
              </w:rPr>
            </w:pPr>
            <w:r w:rsidRPr="005E1202">
              <w:rPr>
                <w:rFonts w:cs="Arial"/>
              </w:rPr>
              <w:t>3</w:t>
            </w:r>
          </w:p>
        </w:tc>
        <w:tc>
          <w:tcPr>
            <w:tcW w:w="2610" w:type="dxa"/>
            <w:vAlign w:val="center"/>
          </w:tcPr>
          <w:p w14:paraId="73A1E748" w14:textId="77777777" w:rsidR="00493B75" w:rsidRPr="005E1202" w:rsidRDefault="00493B75" w:rsidP="00493B75">
            <w:pPr>
              <w:spacing w:before="60" w:after="60"/>
              <w:jc w:val="center"/>
              <w:rPr>
                <w:rFonts w:cs="Arial"/>
              </w:rPr>
            </w:pPr>
            <w:r w:rsidRPr="005E1202">
              <w:rPr>
                <w:rFonts w:cs="Arial"/>
              </w:rPr>
              <w:t>0.17 (0.13 – 0.25)</w:t>
            </w:r>
          </w:p>
        </w:tc>
        <w:tc>
          <w:tcPr>
            <w:tcW w:w="1225" w:type="dxa"/>
            <w:vAlign w:val="center"/>
          </w:tcPr>
          <w:p w14:paraId="25329AD6" w14:textId="77777777" w:rsidR="00493B75" w:rsidRPr="005E1202" w:rsidRDefault="00493B75" w:rsidP="00493B75">
            <w:pPr>
              <w:widowControl w:val="0"/>
              <w:spacing w:before="60" w:after="60"/>
              <w:jc w:val="center"/>
              <w:rPr>
                <w:rFonts w:cs="Arial"/>
              </w:rPr>
            </w:pPr>
            <w:r w:rsidRPr="005E1202">
              <w:rPr>
                <w:rFonts w:cs="Arial"/>
              </w:rPr>
              <w:t>7</w:t>
            </w:r>
          </w:p>
        </w:tc>
        <w:tc>
          <w:tcPr>
            <w:tcW w:w="2563" w:type="dxa"/>
            <w:vAlign w:val="center"/>
          </w:tcPr>
          <w:p w14:paraId="216AC9F4" w14:textId="77777777" w:rsidR="00493B75" w:rsidRPr="005E1202" w:rsidRDefault="00493B75" w:rsidP="00493B75">
            <w:pPr>
              <w:widowControl w:val="0"/>
              <w:spacing w:before="60" w:after="60"/>
              <w:jc w:val="center"/>
              <w:rPr>
                <w:rFonts w:cs="Arial"/>
              </w:rPr>
            </w:pPr>
            <w:r w:rsidRPr="005E1202">
              <w:rPr>
                <w:rFonts w:cs="Arial"/>
              </w:rPr>
              <w:t>0.0014 (0.0010 – 0.0018)</w:t>
            </w:r>
          </w:p>
        </w:tc>
      </w:tr>
      <w:tr w:rsidR="00493B75" w:rsidRPr="005E1202" w14:paraId="678A5BC6" w14:textId="77777777" w:rsidTr="00493B75">
        <w:trPr>
          <w:trHeight w:val="231"/>
          <w:jc w:val="center"/>
        </w:trPr>
        <w:tc>
          <w:tcPr>
            <w:tcW w:w="1080" w:type="dxa"/>
            <w:vAlign w:val="center"/>
          </w:tcPr>
          <w:p w14:paraId="576E2882" w14:textId="77777777" w:rsidR="00493B75" w:rsidRPr="005E1202" w:rsidRDefault="00493B75" w:rsidP="00493B75">
            <w:pPr>
              <w:widowControl w:val="0"/>
              <w:spacing w:before="60" w:after="60"/>
              <w:jc w:val="center"/>
              <w:rPr>
                <w:rFonts w:cs="Arial"/>
              </w:rPr>
            </w:pPr>
            <w:r w:rsidRPr="005E1202">
              <w:rPr>
                <w:rFonts w:cs="Arial"/>
              </w:rPr>
              <w:t>5a</w:t>
            </w:r>
          </w:p>
        </w:tc>
        <w:tc>
          <w:tcPr>
            <w:tcW w:w="1260" w:type="dxa"/>
            <w:vAlign w:val="center"/>
          </w:tcPr>
          <w:p w14:paraId="3814E263" w14:textId="77777777" w:rsidR="00493B75" w:rsidRPr="005E1202" w:rsidRDefault="00493B75" w:rsidP="00493B75">
            <w:pPr>
              <w:widowControl w:val="0"/>
              <w:spacing w:before="60" w:after="60"/>
              <w:jc w:val="center"/>
              <w:rPr>
                <w:rFonts w:cs="Arial"/>
              </w:rPr>
            </w:pPr>
            <w:r w:rsidRPr="005E1202">
              <w:rPr>
                <w:rFonts w:cs="Arial"/>
              </w:rPr>
              <w:t>1</w:t>
            </w:r>
          </w:p>
        </w:tc>
        <w:tc>
          <w:tcPr>
            <w:tcW w:w="2610" w:type="dxa"/>
            <w:vAlign w:val="center"/>
          </w:tcPr>
          <w:p w14:paraId="143DBDAB" w14:textId="77777777" w:rsidR="00493B75" w:rsidRPr="005E1202" w:rsidRDefault="00493B75" w:rsidP="00493B75">
            <w:pPr>
              <w:widowControl w:val="0"/>
              <w:spacing w:before="60" w:after="60"/>
              <w:jc w:val="center"/>
              <w:rPr>
                <w:rFonts w:cs="Arial"/>
              </w:rPr>
            </w:pPr>
            <w:r w:rsidRPr="005E1202">
              <w:rPr>
                <w:rFonts w:cs="Arial"/>
              </w:rPr>
              <w:t>0.12</w:t>
            </w:r>
          </w:p>
        </w:tc>
        <w:tc>
          <w:tcPr>
            <w:tcW w:w="1225" w:type="dxa"/>
            <w:vAlign w:val="center"/>
          </w:tcPr>
          <w:p w14:paraId="1FA20A76" w14:textId="77777777" w:rsidR="00493B75" w:rsidRPr="005E1202" w:rsidRDefault="00493B75" w:rsidP="00493B75">
            <w:pPr>
              <w:widowControl w:val="0"/>
              <w:spacing w:before="60" w:after="60"/>
              <w:jc w:val="center"/>
              <w:rPr>
                <w:rFonts w:cs="Arial"/>
              </w:rPr>
            </w:pPr>
            <w:r w:rsidRPr="005E1202">
              <w:rPr>
                <w:rFonts w:cs="Arial"/>
              </w:rPr>
              <w:t>1</w:t>
            </w:r>
          </w:p>
        </w:tc>
        <w:tc>
          <w:tcPr>
            <w:tcW w:w="2563" w:type="dxa"/>
            <w:vAlign w:val="center"/>
          </w:tcPr>
          <w:p w14:paraId="26781355" w14:textId="77777777" w:rsidR="00493B75" w:rsidRPr="005E1202" w:rsidRDefault="00493B75" w:rsidP="00493B75">
            <w:pPr>
              <w:widowControl w:val="0"/>
              <w:spacing w:before="60" w:after="60"/>
              <w:jc w:val="center"/>
              <w:rPr>
                <w:rFonts w:cs="Arial"/>
              </w:rPr>
            </w:pPr>
            <w:r w:rsidRPr="005E1202">
              <w:rPr>
                <w:rFonts w:cs="Arial"/>
              </w:rPr>
              <w:t>0.0011</w:t>
            </w:r>
          </w:p>
        </w:tc>
      </w:tr>
      <w:tr w:rsidR="00493B75" w:rsidRPr="005E1202" w14:paraId="7364890F" w14:textId="77777777" w:rsidTr="00493B75">
        <w:trPr>
          <w:trHeight w:val="244"/>
          <w:jc w:val="center"/>
        </w:trPr>
        <w:tc>
          <w:tcPr>
            <w:tcW w:w="1080" w:type="dxa"/>
            <w:vAlign w:val="center"/>
          </w:tcPr>
          <w:p w14:paraId="41EFA81A" w14:textId="77777777" w:rsidR="00493B75" w:rsidRPr="005E1202" w:rsidRDefault="00493B75" w:rsidP="00493B75">
            <w:pPr>
              <w:widowControl w:val="0"/>
              <w:spacing w:before="60" w:after="60"/>
              <w:jc w:val="center"/>
              <w:rPr>
                <w:rFonts w:cs="Arial"/>
              </w:rPr>
            </w:pPr>
            <w:r w:rsidRPr="005E1202">
              <w:rPr>
                <w:rFonts w:cs="Arial"/>
              </w:rPr>
              <w:t>6a</w:t>
            </w:r>
          </w:p>
        </w:tc>
        <w:tc>
          <w:tcPr>
            <w:tcW w:w="1260" w:type="dxa"/>
            <w:vAlign w:val="center"/>
          </w:tcPr>
          <w:p w14:paraId="2210B9E0" w14:textId="77777777" w:rsidR="00493B75" w:rsidRPr="005E1202" w:rsidRDefault="00493B75" w:rsidP="00493B75">
            <w:pPr>
              <w:widowControl w:val="0"/>
              <w:spacing w:before="60" w:after="60"/>
              <w:jc w:val="center"/>
              <w:rPr>
                <w:rFonts w:cs="Arial"/>
              </w:rPr>
            </w:pPr>
            <w:r w:rsidRPr="005E1202">
              <w:rPr>
                <w:rFonts w:cs="Arial"/>
              </w:rPr>
              <w:t>NA</w:t>
            </w:r>
          </w:p>
        </w:tc>
        <w:tc>
          <w:tcPr>
            <w:tcW w:w="2610" w:type="dxa"/>
            <w:vAlign w:val="center"/>
          </w:tcPr>
          <w:p w14:paraId="76B78456" w14:textId="77777777" w:rsidR="00493B75" w:rsidRPr="005E1202" w:rsidRDefault="00493B75" w:rsidP="00493B75">
            <w:pPr>
              <w:widowControl w:val="0"/>
              <w:spacing w:before="60" w:after="60"/>
              <w:jc w:val="center"/>
              <w:rPr>
                <w:rFonts w:cs="Arial"/>
              </w:rPr>
            </w:pPr>
            <w:r w:rsidRPr="005E1202">
              <w:rPr>
                <w:rFonts w:cs="Arial"/>
              </w:rPr>
              <w:t>NA</w:t>
            </w:r>
          </w:p>
        </w:tc>
        <w:tc>
          <w:tcPr>
            <w:tcW w:w="1225" w:type="dxa"/>
            <w:vAlign w:val="center"/>
          </w:tcPr>
          <w:p w14:paraId="795CDFC2" w14:textId="77777777" w:rsidR="00493B75" w:rsidRPr="005E1202" w:rsidRDefault="00493B75" w:rsidP="00493B75">
            <w:pPr>
              <w:widowControl w:val="0"/>
              <w:spacing w:before="60" w:after="60"/>
              <w:jc w:val="center"/>
              <w:rPr>
                <w:rFonts w:cs="Arial"/>
              </w:rPr>
            </w:pPr>
            <w:r w:rsidRPr="005E1202">
              <w:rPr>
                <w:rFonts w:cs="Arial"/>
              </w:rPr>
              <w:t>3</w:t>
            </w:r>
          </w:p>
        </w:tc>
        <w:tc>
          <w:tcPr>
            <w:tcW w:w="2563" w:type="dxa"/>
            <w:vAlign w:val="center"/>
          </w:tcPr>
          <w:p w14:paraId="7B0113E1" w14:textId="77777777" w:rsidR="00493B75" w:rsidRPr="005E1202" w:rsidRDefault="00493B75" w:rsidP="00493B75">
            <w:pPr>
              <w:widowControl w:val="0"/>
              <w:spacing w:before="60" w:after="60"/>
              <w:jc w:val="center"/>
              <w:rPr>
                <w:rFonts w:cs="Arial"/>
              </w:rPr>
            </w:pPr>
            <w:r w:rsidRPr="005E1202">
              <w:rPr>
                <w:rFonts w:cs="Arial"/>
              </w:rPr>
              <w:t>0.0007 (0.0006 – 0.0010)</w:t>
            </w:r>
          </w:p>
        </w:tc>
      </w:tr>
      <w:tr w:rsidR="00493B75" w:rsidRPr="005E1202" w14:paraId="3FA79B28" w14:textId="77777777" w:rsidTr="00493B75">
        <w:trPr>
          <w:trHeight w:val="231"/>
          <w:jc w:val="center"/>
        </w:trPr>
        <w:tc>
          <w:tcPr>
            <w:tcW w:w="1080" w:type="dxa"/>
            <w:vAlign w:val="center"/>
          </w:tcPr>
          <w:p w14:paraId="72EAFB0F" w14:textId="77777777" w:rsidR="00493B75" w:rsidRPr="005E1202" w:rsidRDefault="00493B75" w:rsidP="00493B75">
            <w:pPr>
              <w:widowControl w:val="0"/>
              <w:spacing w:before="60" w:after="60"/>
              <w:jc w:val="center"/>
              <w:rPr>
                <w:rFonts w:cs="Arial"/>
              </w:rPr>
            </w:pPr>
            <w:r w:rsidRPr="005E1202">
              <w:rPr>
                <w:rFonts w:cs="Arial"/>
              </w:rPr>
              <w:lastRenderedPageBreak/>
              <w:t>6e</w:t>
            </w:r>
          </w:p>
        </w:tc>
        <w:tc>
          <w:tcPr>
            <w:tcW w:w="1260" w:type="dxa"/>
            <w:vAlign w:val="center"/>
          </w:tcPr>
          <w:p w14:paraId="3BAE5CF8" w14:textId="77777777" w:rsidR="00493B75" w:rsidRPr="005E1202" w:rsidRDefault="00493B75" w:rsidP="00493B75">
            <w:pPr>
              <w:widowControl w:val="0"/>
              <w:spacing w:before="60" w:after="60"/>
              <w:jc w:val="center"/>
              <w:rPr>
                <w:rFonts w:cs="Arial"/>
              </w:rPr>
            </w:pPr>
            <w:r w:rsidRPr="005E1202">
              <w:rPr>
                <w:rFonts w:cs="Arial"/>
              </w:rPr>
              <w:t>NA</w:t>
            </w:r>
          </w:p>
        </w:tc>
        <w:tc>
          <w:tcPr>
            <w:tcW w:w="2610" w:type="dxa"/>
            <w:vAlign w:val="center"/>
          </w:tcPr>
          <w:p w14:paraId="2B316CF0" w14:textId="77777777" w:rsidR="00493B75" w:rsidRPr="005E1202" w:rsidRDefault="00493B75" w:rsidP="00493B75">
            <w:pPr>
              <w:widowControl w:val="0"/>
              <w:spacing w:before="60" w:after="60"/>
              <w:jc w:val="center"/>
              <w:rPr>
                <w:rFonts w:cs="Arial"/>
              </w:rPr>
            </w:pPr>
            <w:r w:rsidRPr="005E1202">
              <w:rPr>
                <w:rFonts w:cs="Arial"/>
              </w:rPr>
              <w:t>NA</w:t>
            </w:r>
          </w:p>
        </w:tc>
        <w:tc>
          <w:tcPr>
            <w:tcW w:w="1225" w:type="dxa"/>
            <w:vAlign w:val="center"/>
          </w:tcPr>
          <w:p w14:paraId="222CFAAC" w14:textId="77777777" w:rsidR="00493B75" w:rsidRPr="005E1202" w:rsidRDefault="00493B75" w:rsidP="00493B75">
            <w:pPr>
              <w:widowControl w:val="0"/>
              <w:spacing w:before="60" w:after="60"/>
              <w:jc w:val="center"/>
              <w:rPr>
                <w:rFonts w:cs="Arial"/>
              </w:rPr>
            </w:pPr>
            <w:r w:rsidRPr="005E1202">
              <w:rPr>
                <w:rFonts w:cs="Arial"/>
              </w:rPr>
              <w:t>1</w:t>
            </w:r>
          </w:p>
        </w:tc>
        <w:tc>
          <w:tcPr>
            <w:tcW w:w="2563" w:type="dxa"/>
            <w:vAlign w:val="center"/>
          </w:tcPr>
          <w:p w14:paraId="329956E7" w14:textId="77777777" w:rsidR="00493B75" w:rsidRPr="005E1202" w:rsidRDefault="00493B75" w:rsidP="00493B75">
            <w:pPr>
              <w:widowControl w:val="0"/>
              <w:spacing w:before="60" w:after="60"/>
              <w:jc w:val="center"/>
              <w:rPr>
                <w:rFonts w:cs="Arial"/>
              </w:rPr>
            </w:pPr>
            <w:r w:rsidRPr="005E1202">
              <w:rPr>
                <w:rFonts w:cs="Arial"/>
              </w:rPr>
              <w:t>0.0008</w:t>
            </w:r>
          </w:p>
        </w:tc>
      </w:tr>
      <w:tr w:rsidR="00493B75" w:rsidRPr="005E1202" w14:paraId="7EE4F15B" w14:textId="77777777" w:rsidTr="00493B75">
        <w:trPr>
          <w:trHeight w:val="244"/>
          <w:jc w:val="center"/>
        </w:trPr>
        <w:tc>
          <w:tcPr>
            <w:tcW w:w="1080" w:type="dxa"/>
            <w:tcBorders>
              <w:bottom w:val="single" w:sz="4" w:space="0" w:color="auto"/>
            </w:tcBorders>
            <w:vAlign w:val="center"/>
          </w:tcPr>
          <w:p w14:paraId="1BF83310" w14:textId="77777777" w:rsidR="00493B75" w:rsidRPr="005E1202" w:rsidRDefault="00493B75" w:rsidP="00493B75">
            <w:pPr>
              <w:widowControl w:val="0"/>
              <w:spacing w:before="60" w:after="60"/>
              <w:jc w:val="center"/>
              <w:rPr>
                <w:rFonts w:cs="Arial"/>
              </w:rPr>
            </w:pPr>
            <w:r w:rsidRPr="005E1202">
              <w:rPr>
                <w:rFonts w:cs="Arial"/>
              </w:rPr>
              <w:t>6p</w:t>
            </w:r>
          </w:p>
        </w:tc>
        <w:tc>
          <w:tcPr>
            <w:tcW w:w="1260" w:type="dxa"/>
            <w:tcBorders>
              <w:bottom w:val="single" w:sz="4" w:space="0" w:color="auto"/>
            </w:tcBorders>
            <w:vAlign w:val="center"/>
          </w:tcPr>
          <w:p w14:paraId="1BCBA503" w14:textId="77777777" w:rsidR="00493B75" w:rsidRPr="005E1202" w:rsidRDefault="00493B75" w:rsidP="00493B75">
            <w:pPr>
              <w:widowControl w:val="0"/>
              <w:spacing w:before="60" w:after="60"/>
              <w:jc w:val="center"/>
              <w:rPr>
                <w:rFonts w:cs="Arial"/>
              </w:rPr>
            </w:pPr>
            <w:r w:rsidRPr="005E1202">
              <w:rPr>
                <w:rFonts w:cs="Arial"/>
              </w:rPr>
              <w:t>NA</w:t>
            </w:r>
          </w:p>
        </w:tc>
        <w:tc>
          <w:tcPr>
            <w:tcW w:w="2610" w:type="dxa"/>
            <w:tcBorders>
              <w:bottom w:val="single" w:sz="4" w:space="0" w:color="auto"/>
            </w:tcBorders>
            <w:vAlign w:val="center"/>
          </w:tcPr>
          <w:p w14:paraId="6E862068" w14:textId="77777777" w:rsidR="00493B75" w:rsidRPr="005E1202" w:rsidRDefault="00493B75" w:rsidP="00493B75">
            <w:pPr>
              <w:widowControl w:val="0"/>
              <w:spacing w:before="60" w:after="60"/>
              <w:jc w:val="center"/>
              <w:rPr>
                <w:rFonts w:cs="Arial"/>
              </w:rPr>
            </w:pPr>
            <w:r w:rsidRPr="005E1202">
              <w:rPr>
                <w:rFonts w:cs="Arial"/>
              </w:rPr>
              <w:t>NA</w:t>
            </w:r>
          </w:p>
        </w:tc>
        <w:tc>
          <w:tcPr>
            <w:tcW w:w="1225" w:type="dxa"/>
            <w:tcBorders>
              <w:bottom w:val="single" w:sz="4" w:space="0" w:color="auto"/>
            </w:tcBorders>
            <w:vAlign w:val="center"/>
          </w:tcPr>
          <w:p w14:paraId="2A961817" w14:textId="77777777" w:rsidR="00493B75" w:rsidRPr="005E1202" w:rsidRDefault="00493B75" w:rsidP="00493B75">
            <w:pPr>
              <w:widowControl w:val="0"/>
              <w:spacing w:before="60" w:after="60"/>
              <w:jc w:val="center"/>
              <w:rPr>
                <w:rFonts w:cs="Arial"/>
              </w:rPr>
            </w:pPr>
            <w:r w:rsidRPr="005E1202">
              <w:rPr>
                <w:rFonts w:cs="Arial"/>
              </w:rPr>
              <w:t>1</w:t>
            </w:r>
          </w:p>
        </w:tc>
        <w:tc>
          <w:tcPr>
            <w:tcW w:w="2563" w:type="dxa"/>
            <w:tcBorders>
              <w:bottom w:val="single" w:sz="4" w:space="0" w:color="auto"/>
            </w:tcBorders>
            <w:vAlign w:val="center"/>
          </w:tcPr>
          <w:p w14:paraId="5B26E9D2" w14:textId="77777777" w:rsidR="00493B75" w:rsidRPr="005E1202" w:rsidRDefault="00493B75" w:rsidP="00493B75">
            <w:pPr>
              <w:widowControl w:val="0"/>
              <w:spacing w:before="60" w:after="60"/>
              <w:jc w:val="center"/>
              <w:rPr>
                <w:rFonts w:cs="Arial"/>
              </w:rPr>
            </w:pPr>
            <w:r w:rsidRPr="005E1202">
              <w:rPr>
                <w:rFonts w:cs="Arial"/>
              </w:rPr>
              <w:t>0.0005</w:t>
            </w:r>
          </w:p>
        </w:tc>
      </w:tr>
      <w:tr w:rsidR="00493B75" w:rsidRPr="005E1202" w14:paraId="5D7F1947" w14:textId="77777777" w:rsidTr="00493B75">
        <w:trPr>
          <w:trHeight w:val="244"/>
          <w:jc w:val="center"/>
        </w:trPr>
        <w:tc>
          <w:tcPr>
            <w:tcW w:w="8738" w:type="dxa"/>
            <w:gridSpan w:val="5"/>
            <w:tcBorders>
              <w:left w:val="nil"/>
              <w:bottom w:val="nil"/>
              <w:right w:val="nil"/>
            </w:tcBorders>
            <w:vAlign w:val="center"/>
          </w:tcPr>
          <w:p w14:paraId="300C289F" w14:textId="77777777" w:rsidR="00493B75" w:rsidRPr="005E1202" w:rsidRDefault="00493B75" w:rsidP="00493B75">
            <w:pPr>
              <w:spacing w:before="60" w:after="60"/>
              <w:rPr>
                <w:rFonts w:cs="Arial"/>
              </w:rPr>
            </w:pPr>
            <w:r w:rsidRPr="005E1202">
              <w:rPr>
                <w:rFonts w:cs="Arial"/>
              </w:rPr>
              <w:t>NA = not available</w:t>
            </w:r>
          </w:p>
        </w:tc>
      </w:tr>
    </w:tbl>
    <w:p w14:paraId="6FF99780" w14:textId="77777777" w:rsidR="00493B75" w:rsidRPr="005E1202" w:rsidRDefault="00493B75" w:rsidP="00493B75">
      <w:pPr>
        <w:rPr>
          <w:rFonts w:cs="Arial"/>
        </w:rPr>
      </w:pPr>
    </w:p>
    <w:p w14:paraId="5535FA1E" w14:textId="77777777" w:rsidR="00493B75" w:rsidRPr="005E1202" w:rsidRDefault="00493B75" w:rsidP="009C7847">
      <w:pPr>
        <w:pStyle w:val="Heading4"/>
        <w:rPr>
          <w:rFonts w:cs="Arial"/>
        </w:rPr>
      </w:pPr>
      <w:r w:rsidRPr="005E1202">
        <w:rPr>
          <w:rFonts w:cs="Arial"/>
        </w:rPr>
        <w:t>Combination Activity in vitro</w:t>
      </w:r>
    </w:p>
    <w:p w14:paraId="12C92B0A" w14:textId="1E402BEE" w:rsidR="00493B75" w:rsidRPr="00CE7A6F" w:rsidRDefault="00493B75" w:rsidP="009A5E7A">
      <w:pPr>
        <w:jc w:val="both"/>
        <w:rPr>
          <w:rFonts w:cs="Arial"/>
        </w:rPr>
      </w:pPr>
      <w:r w:rsidRPr="005E1202">
        <w:rPr>
          <w:rFonts w:cs="Arial"/>
        </w:rPr>
        <w:t>Evaluation of the combination of glecaprevir and pibrentasvir showed no antagonism in antiviral activity in H</w:t>
      </w:r>
      <w:r w:rsidRPr="00CE7A6F">
        <w:rPr>
          <w:rFonts w:cs="Arial"/>
        </w:rPr>
        <w:t xml:space="preserve">CV </w:t>
      </w:r>
      <w:r w:rsidR="009444C9" w:rsidRPr="00CE7A6F">
        <w:rPr>
          <w:rFonts w:cs="Arial"/>
        </w:rPr>
        <w:t>GT</w:t>
      </w:r>
      <w:r w:rsidRPr="00CE7A6F">
        <w:rPr>
          <w:rFonts w:cs="Arial"/>
        </w:rPr>
        <w:t>1 replicon cell culture assays.</w:t>
      </w:r>
    </w:p>
    <w:p w14:paraId="4A84E5D0" w14:textId="77777777" w:rsidR="00493B75" w:rsidRPr="00CE7A6F" w:rsidRDefault="00493B75" w:rsidP="003A45C7">
      <w:pPr>
        <w:pStyle w:val="Heading3"/>
      </w:pPr>
      <w:r w:rsidRPr="00CE7A6F">
        <w:t>Resistance</w:t>
      </w:r>
    </w:p>
    <w:p w14:paraId="67714BD4" w14:textId="77777777" w:rsidR="00493B75" w:rsidRPr="00CE7A6F" w:rsidRDefault="00493B75" w:rsidP="00493B75">
      <w:pPr>
        <w:pStyle w:val="Heading4"/>
        <w:rPr>
          <w:rFonts w:cs="Arial"/>
        </w:rPr>
      </w:pPr>
      <w:r w:rsidRPr="00CE7A6F">
        <w:rPr>
          <w:rFonts w:cs="Arial"/>
        </w:rPr>
        <w:t>In Cell Culture</w:t>
      </w:r>
    </w:p>
    <w:p w14:paraId="0076FA1B" w14:textId="67BBA42D" w:rsidR="00493B75" w:rsidRPr="005E1202" w:rsidRDefault="00493B75" w:rsidP="009A5E7A">
      <w:pPr>
        <w:jc w:val="both"/>
        <w:rPr>
          <w:rFonts w:cs="Arial"/>
        </w:rPr>
      </w:pPr>
      <w:r w:rsidRPr="00CE7A6F">
        <w:rPr>
          <w:rFonts w:cs="Arial"/>
        </w:rPr>
        <w:t xml:space="preserve">Selection of HCV </w:t>
      </w:r>
      <w:r w:rsidR="009444C9" w:rsidRPr="00CE7A6F">
        <w:rPr>
          <w:rFonts w:cs="Arial"/>
        </w:rPr>
        <w:t>GT</w:t>
      </w:r>
      <w:r w:rsidRPr="00CE7A6F">
        <w:rPr>
          <w:rFonts w:cs="Arial"/>
        </w:rPr>
        <w:t xml:space="preserve">1a, 1b, 2a, 3a, 4a or 6a replicons for reduced susceptibility to glecaprevir resulted in the emergence of amino acid substitutions most commonly at NS3 positions A156 or D/Q168. </w:t>
      </w:r>
      <w:r w:rsidR="00D53B27" w:rsidRPr="00CE7A6F">
        <w:rPr>
          <w:rFonts w:cs="Arial"/>
        </w:rPr>
        <w:t xml:space="preserve"> </w:t>
      </w:r>
      <w:r w:rsidRPr="00CE7A6F">
        <w:rPr>
          <w:rFonts w:cs="Arial"/>
        </w:rPr>
        <w:t>Single amino acid substitutions introduced at NS3/4A position 156 reduced susceptibility to glecaprevir (</w:t>
      </w:r>
      <w:r w:rsidR="009444C9" w:rsidRPr="00CE7A6F">
        <w:rPr>
          <w:rFonts w:cs="Arial"/>
        </w:rPr>
        <w:t>GT</w:t>
      </w:r>
      <w:r w:rsidRPr="00CE7A6F">
        <w:rPr>
          <w:rFonts w:cs="Arial"/>
        </w:rPr>
        <w:t xml:space="preserve">1 to 4) by &gt; 100-fold. </w:t>
      </w:r>
      <w:r w:rsidR="00D53B27" w:rsidRPr="00CE7A6F">
        <w:rPr>
          <w:rFonts w:cs="Arial"/>
        </w:rPr>
        <w:t xml:space="preserve"> </w:t>
      </w:r>
      <w:r w:rsidRPr="00CE7A6F">
        <w:rPr>
          <w:rFonts w:cs="Arial"/>
        </w:rPr>
        <w:t xml:space="preserve">Mutations at position 168 had variable effects on glecaprevir susceptibility depending on HCV </w:t>
      </w:r>
      <w:r w:rsidR="00481AE5" w:rsidRPr="00CE7A6F">
        <w:rPr>
          <w:rFonts w:cs="Arial"/>
        </w:rPr>
        <w:t>GT</w:t>
      </w:r>
      <w:r w:rsidRPr="00CE7A6F">
        <w:rPr>
          <w:rFonts w:cs="Arial"/>
        </w:rPr>
        <w:t xml:space="preserve">/subtype and specific amino acid change, with the greatest reductions (&gt; 30-fold) observed in </w:t>
      </w:r>
      <w:r w:rsidR="00481AE5" w:rsidRPr="00CE7A6F">
        <w:rPr>
          <w:rFonts w:cs="Arial"/>
        </w:rPr>
        <w:t>GT</w:t>
      </w:r>
      <w:r w:rsidRPr="00CE7A6F">
        <w:rPr>
          <w:rFonts w:cs="Arial"/>
        </w:rPr>
        <w:t xml:space="preserve">1a (D168F/Y), 3a (Q168R) and 6a (D168A/G/H/V/Y). </w:t>
      </w:r>
      <w:r w:rsidR="00D53B27" w:rsidRPr="00CE7A6F">
        <w:rPr>
          <w:rFonts w:cs="Arial"/>
        </w:rPr>
        <w:t xml:space="preserve"> </w:t>
      </w:r>
      <w:r w:rsidRPr="00CE7A6F">
        <w:rPr>
          <w:rFonts w:cs="Arial"/>
        </w:rPr>
        <w:t xml:space="preserve">Substitutions at position 80 did not reduce susceptibility to glecaprevir except in </w:t>
      </w:r>
      <w:r w:rsidR="00921F43" w:rsidRPr="00CE7A6F">
        <w:rPr>
          <w:rFonts w:cs="Arial"/>
        </w:rPr>
        <w:t>GT</w:t>
      </w:r>
      <w:r w:rsidRPr="00CE7A6F">
        <w:rPr>
          <w:rFonts w:cs="Arial"/>
        </w:rPr>
        <w:t>3a, where a Q80R substitution led to a 21-fold increase in EC</w:t>
      </w:r>
      <w:r w:rsidRPr="00CE7A6F">
        <w:rPr>
          <w:rFonts w:cs="Arial"/>
          <w:vertAlign w:val="subscript"/>
        </w:rPr>
        <w:t>50</w:t>
      </w:r>
      <w:r w:rsidRPr="00CE7A6F">
        <w:rPr>
          <w:rFonts w:cs="Arial"/>
        </w:rPr>
        <w:t>.</w:t>
      </w:r>
      <w:r w:rsidRPr="005E1202">
        <w:rPr>
          <w:rFonts w:cs="Arial"/>
        </w:rPr>
        <w:t xml:space="preserve"> </w:t>
      </w:r>
      <w:r w:rsidR="00D53B27">
        <w:rPr>
          <w:rFonts w:cs="Arial"/>
        </w:rPr>
        <w:t xml:space="preserve"> </w:t>
      </w:r>
      <w:r w:rsidRPr="005E1202">
        <w:rPr>
          <w:rFonts w:cs="Arial"/>
        </w:rPr>
        <w:t>Substitutions important for the HCV protease inhibitor class at positions 36, 43, 54, 55, 56, 155, 166, or 170 in NS3 had no impact on glecaprevir activity.</w:t>
      </w:r>
    </w:p>
    <w:p w14:paraId="6F659B79" w14:textId="790C53FC" w:rsidR="00493B75" w:rsidRPr="00CE7A6F" w:rsidRDefault="00493B75" w:rsidP="009A5E7A">
      <w:pPr>
        <w:jc w:val="both"/>
        <w:rPr>
          <w:rFonts w:cs="Arial"/>
        </w:rPr>
      </w:pPr>
      <w:r w:rsidRPr="005E1202">
        <w:rPr>
          <w:rFonts w:cs="Arial"/>
        </w:rPr>
        <w:t>Selection of H</w:t>
      </w:r>
      <w:r w:rsidRPr="00CE7A6F">
        <w:rPr>
          <w:rFonts w:cs="Arial"/>
        </w:rPr>
        <w:t xml:space="preserve">CV </w:t>
      </w:r>
      <w:r w:rsidR="00481AE5" w:rsidRPr="00CE7A6F">
        <w:rPr>
          <w:rFonts w:cs="Arial"/>
        </w:rPr>
        <w:t>GT</w:t>
      </w:r>
      <w:r w:rsidRPr="00CE7A6F">
        <w:rPr>
          <w:rFonts w:cs="Arial"/>
        </w:rPr>
        <w:t xml:space="preserve">1a, 2a or 3a replicons for reduced susceptibility to pibrentasvir resulted in the emergence of amino acid substitutions at known NS5A inhibitor resistance-associated positions, including Q30D/deletion, Y93D/H/N or H58D + Y93H in </w:t>
      </w:r>
      <w:r w:rsidR="00481AE5" w:rsidRPr="00CE7A6F">
        <w:rPr>
          <w:rFonts w:cs="Arial"/>
        </w:rPr>
        <w:t>GT</w:t>
      </w:r>
      <w:r w:rsidRPr="00CE7A6F">
        <w:rPr>
          <w:rFonts w:cs="Arial"/>
        </w:rPr>
        <w:t xml:space="preserve">1a replicons, F28S + M31I or P29S + K30G in </w:t>
      </w:r>
      <w:r w:rsidR="00481AE5" w:rsidRPr="00CE7A6F">
        <w:rPr>
          <w:rFonts w:cs="Arial"/>
        </w:rPr>
        <w:t>GT</w:t>
      </w:r>
      <w:r w:rsidRPr="00CE7A6F">
        <w:rPr>
          <w:rFonts w:cs="Arial"/>
        </w:rPr>
        <w:t xml:space="preserve">2a replicons, and Y93H in </w:t>
      </w:r>
      <w:r w:rsidR="00481AE5" w:rsidRPr="00CE7A6F">
        <w:rPr>
          <w:rFonts w:cs="Arial"/>
        </w:rPr>
        <w:t>GT</w:t>
      </w:r>
      <w:r w:rsidRPr="00CE7A6F">
        <w:rPr>
          <w:rFonts w:cs="Arial"/>
        </w:rPr>
        <w:t xml:space="preserve">3a replicons. </w:t>
      </w:r>
      <w:r w:rsidR="00D53B27" w:rsidRPr="00CE7A6F">
        <w:rPr>
          <w:rFonts w:cs="Arial"/>
        </w:rPr>
        <w:t xml:space="preserve"> </w:t>
      </w:r>
      <w:r w:rsidRPr="00CE7A6F">
        <w:rPr>
          <w:rFonts w:cs="Arial"/>
        </w:rPr>
        <w:t xml:space="preserve">Single substitutions important for the NS5A inhibitor class at positions 24, 28, 30, 31, 58, 92, or 93 in NS5A in </w:t>
      </w:r>
      <w:r w:rsidR="00481AE5" w:rsidRPr="00CE7A6F">
        <w:rPr>
          <w:rFonts w:cs="Arial"/>
        </w:rPr>
        <w:t>GT</w:t>
      </w:r>
      <w:r w:rsidRPr="00CE7A6F">
        <w:rPr>
          <w:rFonts w:cs="Arial"/>
        </w:rPr>
        <w:t xml:space="preserve">1 to 6 had no impact on the activity of pibrentasvir. </w:t>
      </w:r>
      <w:r w:rsidR="00D53B27" w:rsidRPr="00CE7A6F">
        <w:rPr>
          <w:rFonts w:cs="Arial"/>
        </w:rPr>
        <w:t xml:space="preserve"> </w:t>
      </w:r>
      <w:r w:rsidRPr="00CE7A6F">
        <w:rPr>
          <w:rFonts w:cs="Arial"/>
        </w:rPr>
        <w:t xml:space="preserve">Individual NS5A amino acid substitutions that reduced susceptibility to pibrentasvir include M28G or Q30D in </w:t>
      </w:r>
      <w:r w:rsidR="00481AE5" w:rsidRPr="00CE7A6F">
        <w:rPr>
          <w:rFonts w:cs="Arial"/>
        </w:rPr>
        <w:t>GT</w:t>
      </w:r>
      <w:r w:rsidRPr="00CE7A6F">
        <w:rPr>
          <w:rFonts w:cs="Arial"/>
        </w:rPr>
        <w:t xml:space="preserve">1a (244- and 94-fold, respectively), and P32 deletion in </w:t>
      </w:r>
      <w:r w:rsidR="00481AE5" w:rsidRPr="00CE7A6F">
        <w:rPr>
          <w:rFonts w:cs="Arial"/>
        </w:rPr>
        <w:t>GT</w:t>
      </w:r>
      <w:r w:rsidRPr="00CE7A6F">
        <w:rPr>
          <w:rFonts w:cs="Arial"/>
        </w:rPr>
        <w:t xml:space="preserve">1b (1036-fold). </w:t>
      </w:r>
      <w:r w:rsidR="00D53B27" w:rsidRPr="00CE7A6F">
        <w:rPr>
          <w:rFonts w:cs="Arial"/>
        </w:rPr>
        <w:t xml:space="preserve"> </w:t>
      </w:r>
      <w:r w:rsidRPr="00CE7A6F">
        <w:rPr>
          <w:rFonts w:cs="Arial"/>
        </w:rPr>
        <w:t xml:space="preserve">Some combinations of two or more NS5A inhibitor resistance-associated amino acid substitutions (including A30K + Y93H in </w:t>
      </w:r>
      <w:r w:rsidR="00481AE5" w:rsidRPr="00CE7A6F">
        <w:rPr>
          <w:rFonts w:cs="Arial"/>
        </w:rPr>
        <w:t>GT</w:t>
      </w:r>
      <w:r w:rsidRPr="00CE7A6F">
        <w:rPr>
          <w:rFonts w:cs="Arial"/>
        </w:rPr>
        <w:t>3a) may result in greater reductions in pibrentasvir susceptibility.</w:t>
      </w:r>
      <w:r w:rsidR="00481AE5" w:rsidRPr="00CE7A6F">
        <w:rPr>
          <w:rFonts w:cs="Arial"/>
        </w:rPr>
        <w:t xml:space="preserve"> In GT3b replicon, the presence of naturally occurring polymorphisms K30 and M31 in NS5A reduced susceptibility to pibrentasvir by 24-fold relative to the activity of pibrentasvir in GT3a replicon.</w:t>
      </w:r>
    </w:p>
    <w:p w14:paraId="280A5D9B" w14:textId="77777777" w:rsidR="00493B75" w:rsidRPr="005E1202" w:rsidRDefault="00493B75" w:rsidP="009C7847">
      <w:pPr>
        <w:pStyle w:val="Heading4"/>
        <w:rPr>
          <w:rFonts w:cs="Arial"/>
        </w:rPr>
      </w:pPr>
      <w:r w:rsidRPr="005E1202">
        <w:rPr>
          <w:rFonts w:cs="Arial"/>
        </w:rPr>
        <w:lastRenderedPageBreak/>
        <w:t>In Clinical Studies</w:t>
      </w:r>
    </w:p>
    <w:p w14:paraId="30B5D0DC" w14:textId="1776A257" w:rsidR="00493B75" w:rsidRPr="005E1202" w:rsidRDefault="00493B75" w:rsidP="00CE7A6F">
      <w:pPr>
        <w:pStyle w:val="Heading5"/>
        <w:spacing w:after="120"/>
        <w:jc w:val="both"/>
        <w:rPr>
          <w:rFonts w:cs="Arial"/>
        </w:rPr>
      </w:pPr>
      <w:r w:rsidRPr="005E1202">
        <w:rPr>
          <w:rFonts w:cs="Arial"/>
        </w:rPr>
        <w:t xml:space="preserve">Studies in </w:t>
      </w:r>
      <w:r w:rsidR="00DF2580">
        <w:rPr>
          <w:rFonts w:cs="Arial"/>
        </w:rPr>
        <w:t>TN</w:t>
      </w:r>
      <w:r w:rsidRPr="005E1202">
        <w:rPr>
          <w:rFonts w:cs="Arial"/>
        </w:rPr>
        <w:t xml:space="preserve"> and </w:t>
      </w:r>
      <w:r w:rsidR="00DF2580">
        <w:rPr>
          <w:rFonts w:cs="Arial"/>
        </w:rPr>
        <w:t>PRS</w:t>
      </w:r>
      <w:r w:rsidR="001548A1" w:rsidRPr="009F68F1">
        <w:rPr>
          <w:rFonts w:cs="Arial"/>
          <w:color w:val="008000"/>
        </w:rPr>
        <w:t>-</w:t>
      </w:r>
      <w:r w:rsidR="00DF2580">
        <w:rPr>
          <w:rFonts w:cs="Arial"/>
        </w:rPr>
        <w:t>TE</w:t>
      </w:r>
      <w:r w:rsidRPr="005E1202">
        <w:rPr>
          <w:rFonts w:cs="Arial"/>
        </w:rPr>
        <w:t xml:space="preserve"> Patients with or without Cirrhosis</w:t>
      </w:r>
    </w:p>
    <w:p w14:paraId="4A1A61B0" w14:textId="5AFDEF94" w:rsidR="00493B75" w:rsidRPr="00A4182C" w:rsidRDefault="00B3759B" w:rsidP="009A5E7A">
      <w:pPr>
        <w:jc w:val="both"/>
        <w:rPr>
          <w:rFonts w:cs="Arial"/>
        </w:rPr>
      </w:pPr>
      <w:r>
        <w:rPr>
          <w:rFonts w:cs="Arial"/>
        </w:rPr>
        <w:t>22</w:t>
      </w:r>
      <w:r w:rsidR="00493B75" w:rsidRPr="005E1202">
        <w:rPr>
          <w:rFonts w:cs="Arial"/>
        </w:rPr>
        <w:t xml:space="preserve"> of the approximately 2300 patients treated with MAVIRET for 8, 12, or 16 weeks in </w:t>
      </w:r>
      <w:r w:rsidR="00E2207E" w:rsidRPr="00A4182C">
        <w:rPr>
          <w:rFonts w:cs="Arial"/>
        </w:rPr>
        <w:t xml:space="preserve">the registrational </w:t>
      </w:r>
      <w:r w:rsidR="00493B75" w:rsidRPr="00A4182C">
        <w:rPr>
          <w:rFonts w:cs="Arial"/>
        </w:rPr>
        <w:t xml:space="preserve">Phase 2 and 3 clinical studies experienced virologic failure (two with </w:t>
      </w:r>
      <w:r w:rsidR="00481AE5" w:rsidRPr="00A4182C">
        <w:rPr>
          <w:rFonts w:cs="Arial"/>
        </w:rPr>
        <w:t>GT</w:t>
      </w:r>
      <w:r w:rsidR="00493B75" w:rsidRPr="00A4182C">
        <w:rPr>
          <w:rFonts w:cs="Arial"/>
        </w:rPr>
        <w:t xml:space="preserve">1, two with </w:t>
      </w:r>
      <w:r w:rsidR="00481AE5" w:rsidRPr="00A4182C">
        <w:rPr>
          <w:rFonts w:cs="Arial"/>
        </w:rPr>
        <w:t>GT</w:t>
      </w:r>
      <w:r w:rsidR="00493B75" w:rsidRPr="00A4182C">
        <w:rPr>
          <w:rFonts w:cs="Arial"/>
        </w:rPr>
        <w:t xml:space="preserve">2, and </w:t>
      </w:r>
      <w:r w:rsidRPr="00A4182C">
        <w:rPr>
          <w:rFonts w:cs="Arial"/>
        </w:rPr>
        <w:t xml:space="preserve">18 </w:t>
      </w:r>
      <w:r w:rsidR="00493B75" w:rsidRPr="00A4182C">
        <w:rPr>
          <w:rFonts w:cs="Arial"/>
        </w:rPr>
        <w:t xml:space="preserve">with </w:t>
      </w:r>
      <w:r w:rsidR="00481AE5" w:rsidRPr="00A4182C">
        <w:rPr>
          <w:rFonts w:cs="Arial"/>
        </w:rPr>
        <w:t>GT</w:t>
      </w:r>
      <w:r w:rsidR="00493B75" w:rsidRPr="00A4182C">
        <w:rPr>
          <w:rFonts w:cs="Arial"/>
        </w:rPr>
        <w:t xml:space="preserve">3 infection). </w:t>
      </w:r>
    </w:p>
    <w:p w14:paraId="712267A3" w14:textId="5ADCF248" w:rsidR="00493B75" w:rsidRPr="00CE7A6F" w:rsidRDefault="00493B75" w:rsidP="009A5E7A">
      <w:pPr>
        <w:jc w:val="both"/>
        <w:rPr>
          <w:rFonts w:cs="Arial"/>
        </w:rPr>
      </w:pPr>
      <w:r w:rsidRPr="00CE7A6F">
        <w:rPr>
          <w:rFonts w:cs="Arial"/>
        </w:rPr>
        <w:t xml:space="preserve">Among the two </w:t>
      </w:r>
      <w:r w:rsidR="00D4390F" w:rsidRPr="00CE7A6F">
        <w:rPr>
          <w:rFonts w:cs="Arial"/>
        </w:rPr>
        <w:t>GT</w:t>
      </w:r>
      <w:r w:rsidRPr="00CE7A6F">
        <w:rPr>
          <w:rFonts w:cs="Arial"/>
        </w:rPr>
        <w:t xml:space="preserve">1-infected patients who experienced virologic failure, one had treatment-emergent substitutions A156V in NS3 and Q30R/L31M/H58D in NS5A, and one had Q30R/H58D (while Y93N was present at baseline and post-treatment) in NS5A. </w:t>
      </w:r>
    </w:p>
    <w:p w14:paraId="4FEEDC17" w14:textId="6947951C" w:rsidR="00493B75" w:rsidRPr="00CE7A6F" w:rsidRDefault="00493B75" w:rsidP="009A5E7A">
      <w:pPr>
        <w:jc w:val="both"/>
        <w:rPr>
          <w:rFonts w:cs="Arial"/>
        </w:rPr>
      </w:pPr>
      <w:r w:rsidRPr="00CE7A6F">
        <w:rPr>
          <w:rFonts w:cs="Arial"/>
        </w:rPr>
        <w:t xml:space="preserve">Among the two </w:t>
      </w:r>
      <w:r w:rsidR="00D4390F" w:rsidRPr="00CE7A6F">
        <w:rPr>
          <w:rFonts w:cs="Arial"/>
        </w:rPr>
        <w:t>GT</w:t>
      </w:r>
      <w:r w:rsidRPr="00CE7A6F">
        <w:rPr>
          <w:rFonts w:cs="Arial"/>
        </w:rPr>
        <w:t>2-infected patients, no treatment-emergent substitutions were observed in NS3 or NS5A (the M31 polymorphism in NS5A was present at baseline and post-treatment in both subjects).</w:t>
      </w:r>
    </w:p>
    <w:p w14:paraId="197E2C35" w14:textId="2B3A98B4" w:rsidR="00493B75" w:rsidRPr="005E1202" w:rsidRDefault="00493B75" w:rsidP="00D4390F">
      <w:pPr>
        <w:jc w:val="both"/>
        <w:rPr>
          <w:rFonts w:cs="Arial"/>
        </w:rPr>
      </w:pPr>
      <w:r w:rsidRPr="005E1202">
        <w:rPr>
          <w:rFonts w:cs="Arial"/>
        </w:rPr>
        <w:t xml:space="preserve">Among the </w:t>
      </w:r>
      <w:r w:rsidR="00346997">
        <w:rPr>
          <w:rFonts w:cs="Arial"/>
        </w:rPr>
        <w:t>18</w:t>
      </w:r>
      <w:r w:rsidR="00346997" w:rsidRPr="00CE7A6F">
        <w:rPr>
          <w:rFonts w:cs="Arial"/>
        </w:rPr>
        <w:t xml:space="preserve"> </w:t>
      </w:r>
      <w:r w:rsidR="00D4390F" w:rsidRPr="00CE7A6F">
        <w:rPr>
          <w:rFonts w:cs="Arial"/>
        </w:rPr>
        <w:t>GT</w:t>
      </w:r>
      <w:r w:rsidRPr="00CE7A6F">
        <w:rPr>
          <w:rFonts w:cs="Arial"/>
        </w:rPr>
        <w:t>3-infected patients treated with MAVIRET for 8, 12, or 16 weeks who experienced virologic failure, treatment-emerg</w:t>
      </w:r>
      <w:r w:rsidRPr="005E1202">
        <w:rPr>
          <w:rFonts w:cs="Arial"/>
        </w:rPr>
        <w:t xml:space="preserve">ent NS3 substitutions Y56H/N, Q80K/R, A156G, or Q168L/R were observed in </w:t>
      </w:r>
      <w:r w:rsidR="00346997">
        <w:rPr>
          <w:rFonts w:cs="Arial"/>
        </w:rPr>
        <w:t>11</w:t>
      </w:r>
      <w:r w:rsidR="00346997" w:rsidRPr="005E1202">
        <w:rPr>
          <w:rFonts w:cs="Arial"/>
        </w:rPr>
        <w:t xml:space="preserve"> </w:t>
      </w:r>
      <w:r w:rsidRPr="005E1202">
        <w:rPr>
          <w:rFonts w:cs="Arial"/>
        </w:rPr>
        <w:t xml:space="preserve">patients. </w:t>
      </w:r>
      <w:r w:rsidR="00D53B27">
        <w:rPr>
          <w:rFonts w:cs="Arial"/>
        </w:rPr>
        <w:t xml:space="preserve"> </w:t>
      </w:r>
      <w:r w:rsidRPr="005E1202">
        <w:rPr>
          <w:rFonts w:cs="Arial"/>
        </w:rPr>
        <w:t xml:space="preserve">A166S or Q168R were present at baseline and post-treatment in five patients. </w:t>
      </w:r>
      <w:r w:rsidR="00D53B27">
        <w:rPr>
          <w:rFonts w:cs="Arial"/>
        </w:rPr>
        <w:t xml:space="preserve"> </w:t>
      </w:r>
      <w:r w:rsidRPr="005E1202">
        <w:rPr>
          <w:rFonts w:cs="Arial"/>
        </w:rPr>
        <w:t xml:space="preserve">Treatment-emergent NS5A substitutions M28G, A30G/K, L31F, P58T, or Y93H were observed in </w:t>
      </w:r>
      <w:r w:rsidR="005835EB">
        <w:rPr>
          <w:rFonts w:cs="Arial"/>
        </w:rPr>
        <w:t>16</w:t>
      </w:r>
      <w:r w:rsidR="005835EB" w:rsidRPr="005E1202">
        <w:rPr>
          <w:rFonts w:cs="Arial"/>
        </w:rPr>
        <w:t xml:space="preserve"> </w:t>
      </w:r>
      <w:r w:rsidRPr="005E1202">
        <w:rPr>
          <w:rFonts w:cs="Arial"/>
        </w:rPr>
        <w:t>patients, an</w:t>
      </w:r>
      <w:r w:rsidRPr="00CE7A6F">
        <w:rPr>
          <w:rFonts w:cs="Arial"/>
        </w:rPr>
        <w:t xml:space="preserve">d </w:t>
      </w:r>
      <w:r w:rsidR="00534EA4" w:rsidRPr="00CE7A6F">
        <w:rPr>
          <w:rFonts w:cs="Arial"/>
        </w:rPr>
        <w:t xml:space="preserve">13 </w:t>
      </w:r>
      <w:r w:rsidRPr="00CE7A6F">
        <w:rPr>
          <w:rFonts w:cs="Arial"/>
        </w:rPr>
        <w:t>patients had</w:t>
      </w:r>
      <w:r w:rsidRPr="005E1202">
        <w:rPr>
          <w:rFonts w:cs="Arial"/>
        </w:rPr>
        <w:t xml:space="preserve"> A30K (n=9) or Y93H (n=5) at baseline and post-treatment.</w:t>
      </w:r>
    </w:p>
    <w:p w14:paraId="1872BC88" w14:textId="77777777" w:rsidR="00493B75" w:rsidRPr="005E1202" w:rsidRDefault="00493B75" w:rsidP="00CE7A6F">
      <w:pPr>
        <w:pStyle w:val="Heading5"/>
        <w:spacing w:after="120"/>
        <w:jc w:val="both"/>
        <w:rPr>
          <w:rFonts w:cs="Arial"/>
        </w:rPr>
      </w:pPr>
      <w:r w:rsidRPr="005E1202">
        <w:rPr>
          <w:rFonts w:cs="Arial"/>
        </w:rPr>
        <w:t xml:space="preserve">Studies in Patients with or without Cirrhosis who were </w:t>
      </w:r>
      <w:r w:rsidR="002945EB">
        <w:rPr>
          <w:rFonts w:cs="Arial"/>
        </w:rPr>
        <w:t>TE</w:t>
      </w:r>
      <w:r w:rsidRPr="005E1202">
        <w:rPr>
          <w:rFonts w:cs="Arial"/>
        </w:rPr>
        <w:t xml:space="preserve"> to NS3/4A Protease and/or NS5A Inhibitors </w:t>
      </w:r>
    </w:p>
    <w:p w14:paraId="04B767A1" w14:textId="0200FCD9" w:rsidR="00493B75" w:rsidRPr="00CE7A6F" w:rsidRDefault="00D4390F" w:rsidP="009A5E7A">
      <w:pPr>
        <w:jc w:val="both"/>
        <w:rPr>
          <w:rFonts w:cs="Arial"/>
        </w:rPr>
      </w:pPr>
      <w:r w:rsidRPr="00CE7A6F">
        <w:rPr>
          <w:rFonts w:cs="Arial"/>
        </w:rPr>
        <w:t xml:space="preserve">10 </w:t>
      </w:r>
      <w:r w:rsidR="00493B75" w:rsidRPr="00CE7A6F">
        <w:rPr>
          <w:rFonts w:cs="Arial"/>
        </w:rPr>
        <w:t xml:space="preserve">of 113 patients treated with MAVIRET in the MAGELLAN-1 study for 12 or 16 weeks experienced virologic failure. </w:t>
      </w:r>
    </w:p>
    <w:p w14:paraId="0B0F4423" w14:textId="46642851" w:rsidR="00493B75" w:rsidRPr="00CE7A6F" w:rsidRDefault="00493B75" w:rsidP="009A5E7A">
      <w:pPr>
        <w:jc w:val="both"/>
        <w:rPr>
          <w:rFonts w:cs="Arial"/>
        </w:rPr>
      </w:pPr>
      <w:r w:rsidRPr="00CE7A6F">
        <w:rPr>
          <w:rFonts w:cs="Arial"/>
        </w:rPr>
        <w:t xml:space="preserve">Among the </w:t>
      </w:r>
      <w:r w:rsidR="00D4390F" w:rsidRPr="00CE7A6F">
        <w:rPr>
          <w:rFonts w:cs="Arial"/>
        </w:rPr>
        <w:t>10 GT</w:t>
      </w:r>
      <w:r w:rsidRPr="00CE7A6F">
        <w:rPr>
          <w:rFonts w:cs="Arial"/>
        </w:rPr>
        <w:t xml:space="preserve">1-infected patients with virologic failure, treatment-emergent NS3 substitutions V36A/M, R155K/T, A156G/T/V, or D168A/T were observed in seven patients. </w:t>
      </w:r>
      <w:r w:rsidR="00D53B27" w:rsidRPr="00CE7A6F">
        <w:rPr>
          <w:rFonts w:cs="Arial"/>
        </w:rPr>
        <w:t xml:space="preserve"> </w:t>
      </w:r>
      <w:r w:rsidRPr="00CE7A6F">
        <w:rPr>
          <w:rFonts w:cs="Arial"/>
        </w:rPr>
        <w:t xml:space="preserve">Five of the </w:t>
      </w:r>
      <w:r w:rsidR="00096612" w:rsidRPr="00CE7A6F">
        <w:rPr>
          <w:rFonts w:cs="Arial"/>
        </w:rPr>
        <w:t xml:space="preserve">10 </w:t>
      </w:r>
      <w:r w:rsidRPr="00CE7A6F">
        <w:rPr>
          <w:rFonts w:cs="Arial"/>
        </w:rPr>
        <w:t xml:space="preserve">patients had combinations of V36M, Y56H, R155K/T, or D168A/E in NS3 at baseline and post-treatment. </w:t>
      </w:r>
      <w:r w:rsidR="00D53B27" w:rsidRPr="00CE7A6F">
        <w:rPr>
          <w:rFonts w:cs="Arial"/>
        </w:rPr>
        <w:t xml:space="preserve"> </w:t>
      </w:r>
      <w:proofErr w:type="gramStart"/>
      <w:r w:rsidRPr="00CE7A6F">
        <w:rPr>
          <w:rFonts w:cs="Arial"/>
        </w:rPr>
        <w:t>All of</w:t>
      </w:r>
      <w:proofErr w:type="gramEnd"/>
      <w:r w:rsidRPr="00CE7A6F">
        <w:rPr>
          <w:rFonts w:cs="Arial"/>
        </w:rPr>
        <w:t xml:space="preserve"> the </w:t>
      </w:r>
      <w:r w:rsidR="00D4390F" w:rsidRPr="00CE7A6F">
        <w:rPr>
          <w:rFonts w:cs="Arial"/>
        </w:rPr>
        <w:t>GT</w:t>
      </w:r>
      <w:r w:rsidRPr="00CE7A6F">
        <w:rPr>
          <w:rFonts w:cs="Arial"/>
        </w:rPr>
        <w:t>1-infected virologic failure patients had one or more NS5A substitutions L/M28M/T/V, Q30E/G/H/K/L/R, L31M, P32 deletion, H58C/D, or Y93H at baseline, with additional treatment-emergent NS5A substitutions M28A/G, P29Q/R, Q30K, H58D, or Y93H observed in seven of the patients at the time of failure.</w:t>
      </w:r>
    </w:p>
    <w:p w14:paraId="63B5B27A" w14:textId="77777777" w:rsidR="00493B75" w:rsidRPr="005E1202" w:rsidRDefault="00493B75" w:rsidP="009A5E7A">
      <w:pPr>
        <w:pStyle w:val="Heading3"/>
        <w:jc w:val="both"/>
        <w:rPr>
          <w:rFonts w:cs="Arial"/>
        </w:rPr>
      </w:pPr>
      <w:r w:rsidRPr="005E1202">
        <w:rPr>
          <w:rFonts w:cs="Arial"/>
        </w:rPr>
        <w:t>Effect of Baseline HCV Amino Acid Polymorphisms on Treatment Response</w:t>
      </w:r>
    </w:p>
    <w:p w14:paraId="4C8CE243" w14:textId="375FEDD1" w:rsidR="00493B75" w:rsidRPr="00CE7A6F" w:rsidRDefault="00493B75" w:rsidP="009A5E7A">
      <w:pPr>
        <w:jc w:val="both"/>
        <w:rPr>
          <w:rFonts w:cs="Arial"/>
        </w:rPr>
      </w:pPr>
      <w:r w:rsidRPr="005E1202">
        <w:rPr>
          <w:rFonts w:cs="Arial"/>
        </w:rPr>
        <w:t xml:space="preserve">A pooled analysis of </w:t>
      </w:r>
      <w:r w:rsidR="002945EB">
        <w:rPr>
          <w:rFonts w:cs="Arial"/>
        </w:rPr>
        <w:t>TN</w:t>
      </w:r>
      <w:r w:rsidRPr="005E1202">
        <w:rPr>
          <w:rFonts w:cs="Arial"/>
        </w:rPr>
        <w:t xml:space="preserve"> and </w:t>
      </w:r>
      <w:r w:rsidR="002945EB">
        <w:rPr>
          <w:rFonts w:cs="Arial"/>
        </w:rPr>
        <w:t>PRS</w:t>
      </w:r>
      <w:r w:rsidR="00534EA4" w:rsidRPr="009F68F1">
        <w:rPr>
          <w:rFonts w:cs="Arial"/>
          <w:color w:val="008000"/>
        </w:rPr>
        <w:t>-</w:t>
      </w:r>
      <w:r w:rsidR="002945EB">
        <w:rPr>
          <w:rFonts w:cs="Arial"/>
        </w:rPr>
        <w:t>TE</w:t>
      </w:r>
      <w:r w:rsidRPr="005E1202">
        <w:rPr>
          <w:rFonts w:cs="Arial"/>
        </w:rPr>
        <w:t xml:space="preserve"> patients receiving MAVIRET in the Phase 2 and Phase 3 clinical studies was conducted to explore the association between baseline polymorphisms and treatment outcome and to describe substitutions seen upon virologic failure. </w:t>
      </w:r>
      <w:r w:rsidR="00D53B27">
        <w:rPr>
          <w:rFonts w:cs="Arial"/>
        </w:rPr>
        <w:t xml:space="preserve"> </w:t>
      </w:r>
      <w:r w:rsidRPr="005E1202">
        <w:rPr>
          <w:rFonts w:cs="Arial"/>
        </w:rPr>
        <w:t>Baseline polymorphisms relative to a subtype-specific reference sequence at amino acid positions 155, 156, and</w:t>
      </w:r>
      <w:r w:rsidRPr="00CE7A6F">
        <w:rPr>
          <w:rFonts w:cs="Arial"/>
        </w:rPr>
        <w:t xml:space="preserve"> 168 in NS3, and 24, 28, 30, 31, 58, 92, and 93 in NS5A were evaluated at a </w:t>
      </w:r>
      <w:r w:rsidRPr="00CE7A6F">
        <w:rPr>
          <w:rFonts w:cs="Arial"/>
        </w:rPr>
        <w:lastRenderedPageBreak/>
        <w:t xml:space="preserve">15% detection threshold by next-generation sequencing. </w:t>
      </w:r>
      <w:r w:rsidR="00D53B27" w:rsidRPr="00CE7A6F">
        <w:rPr>
          <w:rFonts w:cs="Arial"/>
        </w:rPr>
        <w:t xml:space="preserve"> </w:t>
      </w:r>
      <w:r w:rsidRPr="00CE7A6F">
        <w:rPr>
          <w:rFonts w:cs="Arial"/>
        </w:rPr>
        <w:t xml:space="preserve">Baseline polymorphisms in NS3 were detected in 1.1% (9/845), 0.8% (3/398), 1.6% (10/613), 1.2% (2/164), 41.9% (13/31), and 2.9% (1/34) of patients with HCV </w:t>
      </w:r>
      <w:r w:rsidR="00D4390F" w:rsidRPr="00CE7A6F">
        <w:rPr>
          <w:rFonts w:cs="Arial"/>
        </w:rPr>
        <w:t>GT</w:t>
      </w:r>
      <w:r w:rsidRPr="00CE7A6F">
        <w:rPr>
          <w:rFonts w:cs="Arial"/>
        </w:rPr>
        <w:t xml:space="preserve">1, 2, 3, 4, 5, and 6 </w:t>
      </w:r>
      <w:proofErr w:type="gramStart"/>
      <w:r w:rsidRPr="00CE7A6F">
        <w:rPr>
          <w:rFonts w:cs="Arial"/>
        </w:rPr>
        <w:t>infection</w:t>
      </w:r>
      <w:proofErr w:type="gramEnd"/>
      <w:r w:rsidRPr="00CE7A6F">
        <w:rPr>
          <w:rFonts w:cs="Arial"/>
        </w:rPr>
        <w:t xml:space="preserve">, respectively. </w:t>
      </w:r>
      <w:r w:rsidR="00D53B27" w:rsidRPr="00CE7A6F">
        <w:rPr>
          <w:rFonts w:cs="Arial"/>
        </w:rPr>
        <w:t xml:space="preserve"> </w:t>
      </w:r>
      <w:r w:rsidRPr="00CE7A6F">
        <w:rPr>
          <w:rFonts w:cs="Arial"/>
        </w:rPr>
        <w:t xml:space="preserve">Baseline polymorphisms in NS5A were detected in 26.8% (225/841), 79.8% (331/415), 22.1% (136/615), 49.7% (80/161), 12.9 % (4/31), and 54.1% (20/37) of subjects with HCV </w:t>
      </w:r>
      <w:r w:rsidR="00D4390F" w:rsidRPr="00CE7A6F">
        <w:rPr>
          <w:rFonts w:cs="Arial"/>
        </w:rPr>
        <w:t>GT</w:t>
      </w:r>
      <w:r w:rsidRPr="00CE7A6F">
        <w:rPr>
          <w:rFonts w:cs="Arial"/>
        </w:rPr>
        <w:t xml:space="preserve">1, 2, 3, 4, 5, and 6 </w:t>
      </w:r>
      <w:proofErr w:type="gramStart"/>
      <w:r w:rsidRPr="00CE7A6F">
        <w:rPr>
          <w:rFonts w:cs="Arial"/>
        </w:rPr>
        <w:t>infection</w:t>
      </w:r>
      <w:proofErr w:type="gramEnd"/>
      <w:r w:rsidRPr="00CE7A6F">
        <w:rPr>
          <w:rFonts w:cs="Arial"/>
        </w:rPr>
        <w:t xml:space="preserve"> respectively.</w:t>
      </w:r>
    </w:p>
    <w:p w14:paraId="53D10C6A" w14:textId="24416EA6" w:rsidR="00493B75" w:rsidRPr="00CE7A6F" w:rsidRDefault="00D4390F" w:rsidP="009A5E7A">
      <w:pPr>
        <w:jc w:val="both"/>
        <w:rPr>
          <w:rFonts w:cs="Arial"/>
          <w:u w:val="single"/>
        </w:rPr>
      </w:pPr>
      <w:r w:rsidRPr="00CE7A6F">
        <w:rPr>
          <w:rFonts w:cs="Arial"/>
          <w:i/>
        </w:rPr>
        <w:t>GT</w:t>
      </w:r>
      <w:r w:rsidR="00493B75" w:rsidRPr="00CE7A6F">
        <w:rPr>
          <w:rFonts w:cs="Arial"/>
          <w:i/>
        </w:rPr>
        <w:t>1, 2, 4, 5, and 6:</w:t>
      </w:r>
      <w:r w:rsidR="00493B75" w:rsidRPr="00CE7A6F">
        <w:rPr>
          <w:rFonts w:cs="Arial"/>
        </w:rPr>
        <w:t xml:space="preserve"> Baseline polymorphisms in </w:t>
      </w:r>
      <w:r w:rsidR="00E458BB" w:rsidRPr="00CE7A6F">
        <w:rPr>
          <w:rFonts w:cs="Arial"/>
        </w:rPr>
        <w:t>GT</w:t>
      </w:r>
      <w:r w:rsidR="00493B75" w:rsidRPr="00CE7A6F">
        <w:rPr>
          <w:rFonts w:cs="Arial"/>
        </w:rPr>
        <w:t>1, 2, 4, 5 and 6 had no impact on treatment outcome.</w:t>
      </w:r>
    </w:p>
    <w:p w14:paraId="15D623D0" w14:textId="0B0DA481" w:rsidR="00493B75" w:rsidRPr="005E1202" w:rsidRDefault="00D4390F" w:rsidP="009A5E7A">
      <w:pPr>
        <w:jc w:val="both"/>
        <w:rPr>
          <w:rFonts w:cs="Arial"/>
        </w:rPr>
      </w:pPr>
      <w:r w:rsidRPr="00CE7A6F">
        <w:rPr>
          <w:rFonts w:cs="Arial"/>
          <w:i/>
        </w:rPr>
        <w:t>GT</w:t>
      </w:r>
      <w:r w:rsidR="00493B75" w:rsidRPr="00CE7A6F">
        <w:rPr>
          <w:rFonts w:cs="Arial"/>
          <w:i/>
        </w:rPr>
        <w:t>3</w:t>
      </w:r>
      <w:r w:rsidR="00493B75" w:rsidRPr="00CE7A6F">
        <w:rPr>
          <w:rFonts w:cs="Arial"/>
        </w:rPr>
        <w:t>:</w:t>
      </w:r>
      <w:r w:rsidR="00493B75" w:rsidRPr="00A4182C">
        <w:rPr>
          <w:rFonts w:cs="Arial"/>
        </w:rPr>
        <w:t xml:space="preserve"> Among </w:t>
      </w:r>
      <w:r w:rsidR="00EF2F92" w:rsidRPr="00A4182C">
        <w:rPr>
          <w:rFonts w:cs="Arial"/>
        </w:rPr>
        <w:t xml:space="preserve">313 </w:t>
      </w:r>
      <w:r w:rsidRPr="00A4182C">
        <w:rPr>
          <w:rFonts w:cs="Arial"/>
        </w:rPr>
        <w:t>GT</w:t>
      </w:r>
      <w:r w:rsidR="00493B75" w:rsidRPr="00A4182C">
        <w:rPr>
          <w:rFonts w:cs="Arial"/>
        </w:rPr>
        <w:t xml:space="preserve">3-infected patients receiving the recommended regimen, baseline NS3 polymorphisms had no impact on treatment outcome. </w:t>
      </w:r>
      <w:r w:rsidR="005835EB" w:rsidRPr="00A4182C">
        <w:rPr>
          <w:rFonts w:cs="Arial"/>
        </w:rPr>
        <w:t xml:space="preserve"> </w:t>
      </w:r>
      <w:r w:rsidR="00493B75" w:rsidRPr="00A4182C">
        <w:rPr>
          <w:rFonts w:cs="Arial"/>
        </w:rPr>
        <w:t xml:space="preserve">All patients (100%, 15/15) with Y93H in NS5A at baseline achieved SVR12. </w:t>
      </w:r>
      <w:r w:rsidR="00D53B27" w:rsidRPr="00A4182C">
        <w:rPr>
          <w:rFonts w:cs="Arial"/>
        </w:rPr>
        <w:t xml:space="preserve"> </w:t>
      </w:r>
      <w:r w:rsidR="00493B75" w:rsidRPr="00A4182C">
        <w:rPr>
          <w:rFonts w:cs="Arial"/>
        </w:rPr>
        <w:t xml:space="preserve">Among patients receiving the recommended regimen, </w:t>
      </w:r>
      <w:r w:rsidR="00215861" w:rsidRPr="00A4182C">
        <w:rPr>
          <w:rFonts w:cs="Arial"/>
        </w:rPr>
        <w:t>77</w:t>
      </w:r>
      <w:r w:rsidR="00493B75" w:rsidRPr="00A4182C">
        <w:rPr>
          <w:rFonts w:cs="Arial"/>
        </w:rPr>
        <w:t>% (</w:t>
      </w:r>
      <w:r w:rsidR="00215861" w:rsidRPr="00A4182C">
        <w:rPr>
          <w:rFonts w:cs="Arial"/>
        </w:rPr>
        <w:t>17</w:t>
      </w:r>
      <w:r w:rsidR="00493B75" w:rsidRPr="00A4182C">
        <w:rPr>
          <w:rFonts w:cs="Arial"/>
        </w:rPr>
        <w:t>/</w:t>
      </w:r>
      <w:r w:rsidR="00215861" w:rsidRPr="00A4182C">
        <w:rPr>
          <w:rFonts w:cs="Arial"/>
        </w:rPr>
        <w:t>22</w:t>
      </w:r>
      <w:r w:rsidR="00493B75" w:rsidRPr="00A4182C">
        <w:rPr>
          <w:rFonts w:cs="Arial"/>
        </w:rPr>
        <w:t xml:space="preserve">) with A30K in NS5A at baseline achieved SVR12. </w:t>
      </w:r>
      <w:r w:rsidR="005835EB" w:rsidRPr="00A4182C">
        <w:rPr>
          <w:rFonts w:cs="Arial"/>
        </w:rPr>
        <w:t xml:space="preserve"> </w:t>
      </w:r>
      <w:r w:rsidR="00493B75" w:rsidRPr="00A4182C">
        <w:rPr>
          <w:rFonts w:cs="Arial"/>
        </w:rPr>
        <w:t xml:space="preserve">Among </w:t>
      </w:r>
      <w:r w:rsidR="00325049" w:rsidRPr="00A4182C">
        <w:rPr>
          <w:rFonts w:cs="Arial"/>
        </w:rPr>
        <w:t>GT</w:t>
      </w:r>
      <w:r w:rsidR="00493B75" w:rsidRPr="00A4182C">
        <w:rPr>
          <w:rFonts w:cs="Arial"/>
        </w:rPr>
        <w:t>3-infected patients with compensated cirrhosis receiving the recommended regimen, 100% (</w:t>
      </w:r>
      <w:r w:rsidR="00215861" w:rsidRPr="00A4182C">
        <w:rPr>
          <w:rFonts w:cs="Arial"/>
        </w:rPr>
        <w:t>21</w:t>
      </w:r>
      <w:r w:rsidR="00493B75" w:rsidRPr="00A4182C">
        <w:rPr>
          <w:rFonts w:cs="Arial"/>
        </w:rPr>
        <w:t>/</w:t>
      </w:r>
      <w:r w:rsidR="00215861" w:rsidRPr="00A4182C">
        <w:rPr>
          <w:rFonts w:cs="Arial"/>
        </w:rPr>
        <w:t>21</w:t>
      </w:r>
      <w:r w:rsidR="00493B75" w:rsidRPr="00A4182C">
        <w:rPr>
          <w:rFonts w:cs="Arial"/>
        </w:rPr>
        <w:t>) who</w:t>
      </w:r>
      <w:r w:rsidR="00493B75" w:rsidRPr="005E1202">
        <w:rPr>
          <w:rFonts w:cs="Arial"/>
        </w:rPr>
        <w:t xml:space="preserve"> had polymorphisms in NS5A at baseline achieved SVR12.</w:t>
      </w:r>
    </w:p>
    <w:p w14:paraId="5328AC37" w14:textId="77777777" w:rsidR="00493B75" w:rsidRPr="005E1202" w:rsidRDefault="00493B75" w:rsidP="009A5E7A">
      <w:pPr>
        <w:pStyle w:val="Heading3"/>
        <w:jc w:val="both"/>
        <w:rPr>
          <w:rFonts w:cs="Arial"/>
        </w:rPr>
      </w:pPr>
      <w:r w:rsidRPr="005E1202">
        <w:rPr>
          <w:rFonts w:cs="Arial"/>
        </w:rPr>
        <w:t>Cross-resistance</w:t>
      </w:r>
    </w:p>
    <w:p w14:paraId="5A63A906" w14:textId="77777777" w:rsidR="00493B75" w:rsidRPr="005E1202" w:rsidRDefault="00493B75" w:rsidP="007558D5">
      <w:pPr>
        <w:jc w:val="both"/>
        <w:rPr>
          <w:rFonts w:cs="Arial"/>
        </w:rPr>
      </w:pPr>
      <w:r w:rsidRPr="005E1202">
        <w:rPr>
          <w:rFonts w:cs="Arial"/>
          <w:i/>
        </w:rPr>
        <w:t>In vitro</w:t>
      </w:r>
      <w:r w:rsidRPr="005E1202">
        <w:rPr>
          <w:rFonts w:cs="Arial"/>
        </w:rPr>
        <w:t xml:space="preserve"> data indicate that </w:t>
      </w:r>
      <w:proofErr w:type="gramStart"/>
      <w:r w:rsidRPr="005E1202">
        <w:rPr>
          <w:rFonts w:cs="Arial"/>
        </w:rPr>
        <w:t>the majority of</w:t>
      </w:r>
      <w:proofErr w:type="gramEnd"/>
      <w:r w:rsidRPr="005E1202">
        <w:rPr>
          <w:rFonts w:cs="Arial"/>
        </w:rPr>
        <w:t xml:space="preserve"> the resistance-associated substitutions in NS5A at amino acid positions 24, 28, 30, 31, 58, 92, or 93 that confer resistance to </w:t>
      </w:r>
      <w:proofErr w:type="spellStart"/>
      <w:r w:rsidRPr="005E1202">
        <w:rPr>
          <w:rFonts w:cs="Arial"/>
        </w:rPr>
        <w:t>ombitasvir</w:t>
      </w:r>
      <w:proofErr w:type="spellEnd"/>
      <w:r w:rsidRPr="005E1202">
        <w:rPr>
          <w:rFonts w:cs="Arial"/>
        </w:rPr>
        <w:t xml:space="preserve">, daclatasvir, ledipasvir, elbasvir, or </w:t>
      </w:r>
      <w:proofErr w:type="spellStart"/>
      <w:r w:rsidRPr="005E1202">
        <w:rPr>
          <w:rFonts w:cs="Arial"/>
        </w:rPr>
        <w:t>velpatasvir</w:t>
      </w:r>
      <w:proofErr w:type="spellEnd"/>
      <w:r w:rsidRPr="005E1202">
        <w:rPr>
          <w:rFonts w:cs="Arial"/>
        </w:rPr>
        <w:t xml:space="preserve"> remained susceptible to pibrentasvir. </w:t>
      </w:r>
      <w:r w:rsidR="00D53B27">
        <w:rPr>
          <w:rFonts w:cs="Arial"/>
        </w:rPr>
        <w:t xml:space="preserve"> </w:t>
      </w:r>
      <w:r w:rsidRPr="005E1202">
        <w:rPr>
          <w:rFonts w:cs="Arial"/>
        </w:rPr>
        <w:t xml:space="preserve">Some combinations of NS5A substitutions at these positions showed reductions in susceptibility to pibrentasvir. </w:t>
      </w:r>
      <w:r w:rsidR="00D53B27">
        <w:rPr>
          <w:rFonts w:cs="Arial"/>
        </w:rPr>
        <w:t xml:space="preserve"> </w:t>
      </w:r>
      <w:r w:rsidRPr="005E1202">
        <w:rPr>
          <w:rFonts w:cs="Arial"/>
        </w:rPr>
        <w:t xml:space="preserve">Glecaprevir was fully active against resistance-associated substitutions in NS5A, while pibrentasvir was fully active against resistance-associated substitutions in NS3. </w:t>
      </w:r>
      <w:r w:rsidR="00D53B27">
        <w:rPr>
          <w:rFonts w:cs="Arial"/>
        </w:rPr>
        <w:t xml:space="preserve"> </w:t>
      </w:r>
      <w:r w:rsidRPr="005E1202">
        <w:rPr>
          <w:rFonts w:cs="Arial"/>
        </w:rPr>
        <w:t>Both glecaprevir and pibrentasvir were fully active against substitutions associated with resistance to NS5B nucleotide and non-nucleotide inhibitors.</w:t>
      </w:r>
    </w:p>
    <w:p w14:paraId="3C582C5D" w14:textId="77777777" w:rsidR="00493B75" w:rsidRPr="005E1202" w:rsidRDefault="00493B75" w:rsidP="007558D5">
      <w:pPr>
        <w:jc w:val="both"/>
        <w:rPr>
          <w:rFonts w:cs="Arial"/>
        </w:rPr>
      </w:pPr>
      <w:r w:rsidRPr="005E1202">
        <w:rPr>
          <w:rFonts w:cs="Arial"/>
        </w:rPr>
        <w:t>Based on resistance patterns observed in cell culture replicon studies, cross-resistance is possible between glecaprevir and other HCV NS3/4A protease inhibitors, and between pibrentasvir and other HCV NS5A polymerase inhibitors.</w:t>
      </w:r>
    </w:p>
    <w:p w14:paraId="1DAAB5D1" w14:textId="256C9C44" w:rsidR="00493B75" w:rsidRPr="00CE7A6F" w:rsidRDefault="00493B75" w:rsidP="007558D5">
      <w:pPr>
        <w:jc w:val="both"/>
        <w:rPr>
          <w:rFonts w:cs="Arial"/>
        </w:rPr>
      </w:pPr>
      <w:r w:rsidRPr="005E1202">
        <w:rPr>
          <w:rFonts w:cs="Arial"/>
        </w:rPr>
        <w:t xml:space="preserve">In the MAGELLAN-1 study, patients who had failed prior treatment with NS3/4A protease and/or NS5A inhibitors were treated with MAVIRET for 12 or 16 weeks. </w:t>
      </w:r>
      <w:r w:rsidR="00D53B27">
        <w:rPr>
          <w:rFonts w:cs="Arial"/>
        </w:rPr>
        <w:t xml:space="preserve"> </w:t>
      </w:r>
      <w:r w:rsidRPr="005E1202">
        <w:rPr>
          <w:rFonts w:cs="Arial"/>
        </w:rPr>
        <w:t xml:space="preserve">Baseline sequences were analysed by next generation sequencing at 15% detection threshold. </w:t>
      </w:r>
      <w:r w:rsidR="00D53B27">
        <w:rPr>
          <w:rFonts w:cs="Arial"/>
        </w:rPr>
        <w:t xml:space="preserve"> </w:t>
      </w:r>
      <w:r w:rsidRPr="005E1202">
        <w:rPr>
          <w:rFonts w:cs="Arial"/>
        </w:rPr>
        <w:t xml:space="preserve">One or more of the following NS3 polymorphisms were detected at baseline in 16% (17/105) of patients with genotype 1 infection: R155K/T (n=8) or D168A/E/N/T/V (n=10). </w:t>
      </w:r>
      <w:r w:rsidR="00D53B27">
        <w:rPr>
          <w:rFonts w:cs="Arial"/>
        </w:rPr>
        <w:t xml:space="preserve"> </w:t>
      </w:r>
      <w:r w:rsidRPr="005E1202">
        <w:rPr>
          <w:rFonts w:cs="Arial"/>
        </w:rPr>
        <w:t xml:space="preserve">One or more of the following NS5A substitutions were detected in 60% (63/105) of the </w:t>
      </w:r>
      <w:r w:rsidR="00325049" w:rsidRPr="00CE7A6F">
        <w:rPr>
          <w:rFonts w:cs="Arial"/>
        </w:rPr>
        <w:t>GT</w:t>
      </w:r>
      <w:r w:rsidRPr="00CE7A6F">
        <w:rPr>
          <w:rFonts w:cs="Arial"/>
        </w:rPr>
        <w:t xml:space="preserve">1-infected patients: K24Q/R (n=4), L/M28A/M/T/V (n=11), Q/R30E/G/H/K/L/Q/R (n=29), L31I/M/V (n=14), H/P58C/D/P/Q/S/T/Y (n=17), A92E/T (n=2), or Y93H/N/S (n=23). </w:t>
      </w:r>
    </w:p>
    <w:p w14:paraId="390DD816" w14:textId="52B3A768" w:rsidR="00493B75" w:rsidRPr="005E1202" w:rsidRDefault="00493B75" w:rsidP="007558D5">
      <w:pPr>
        <w:jc w:val="both"/>
        <w:rPr>
          <w:rFonts w:cs="Arial"/>
        </w:rPr>
      </w:pPr>
      <w:r w:rsidRPr="00CE7A6F">
        <w:rPr>
          <w:rFonts w:cs="Arial"/>
        </w:rPr>
        <w:t xml:space="preserve">Among 23 </w:t>
      </w:r>
      <w:r w:rsidR="00A53B34" w:rsidRPr="00CE7A6F">
        <w:rPr>
          <w:rFonts w:cs="Arial"/>
        </w:rPr>
        <w:t xml:space="preserve">NS3/4A </w:t>
      </w:r>
      <w:r w:rsidRPr="00CE7A6F">
        <w:rPr>
          <w:rFonts w:cs="Arial"/>
        </w:rPr>
        <w:t>PI-</w:t>
      </w:r>
      <w:r w:rsidR="00E2492D" w:rsidRPr="00CE7A6F">
        <w:rPr>
          <w:rFonts w:cs="Arial"/>
        </w:rPr>
        <w:t xml:space="preserve">TE </w:t>
      </w:r>
      <w:r w:rsidRPr="00CE7A6F">
        <w:rPr>
          <w:rFonts w:cs="Arial"/>
        </w:rPr>
        <w:t>/</w:t>
      </w:r>
      <w:r w:rsidR="00A53B34" w:rsidRPr="00CE7A6F">
        <w:rPr>
          <w:rFonts w:cs="Arial"/>
        </w:rPr>
        <w:t xml:space="preserve"> </w:t>
      </w:r>
      <w:r w:rsidRPr="00CE7A6F">
        <w:rPr>
          <w:rFonts w:cs="Arial"/>
        </w:rPr>
        <w:t xml:space="preserve">NS5A </w:t>
      </w:r>
      <w:r w:rsidR="00E2492D" w:rsidRPr="00CE7A6F">
        <w:rPr>
          <w:rFonts w:cs="Arial"/>
        </w:rPr>
        <w:t>TN</w:t>
      </w:r>
      <w:r w:rsidRPr="00CE7A6F">
        <w:rPr>
          <w:rFonts w:cs="Arial"/>
        </w:rPr>
        <w:t xml:space="preserve"> patients receiving 12 weeks of treatment, two patients each had baseline polymorphisms in NS3-only, NS5A-only, or NS3 + NS5A; all 23 patients </w:t>
      </w:r>
      <w:r w:rsidRPr="00CE7A6F">
        <w:rPr>
          <w:rFonts w:cs="Arial"/>
        </w:rPr>
        <w:lastRenderedPageBreak/>
        <w:t xml:space="preserve">achieved SVR12. </w:t>
      </w:r>
      <w:r w:rsidR="00D53B27" w:rsidRPr="00CE7A6F">
        <w:rPr>
          <w:rFonts w:cs="Arial"/>
        </w:rPr>
        <w:t xml:space="preserve"> </w:t>
      </w:r>
      <w:r w:rsidRPr="00CE7A6F">
        <w:rPr>
          <w:rFonts w:cs="Arial"/>
        </w:rPr>
        <w:t>Among 32 NS5A inhibitor-</w:t>
      </w:r>
      <w:r w:rsidR="00EC7625" w:rsidRPr="00CE7A6F">
        <w:rPr>
          <w:rFonts w:cs="Arial"/>
        </w:rPr>
        <w:t>TE</w:t>
      </w:r>
      <w:r w:rsidR="00EC7625" w:rsidRPr="005E1202">
        <w:rPr>
          <w:rFonts w:cs="Arial"/>
        </w:rPr>
        <w:t xml:space="preserve"> </w:t>
      </w:r>
      <w:r w:rsidRPr="005E1202">
        <w:rPr>
          <w:rFonts w:cs="Arial"/>
        </w:rPr>
        <w:t xml:space="preserve">patients (with or without </w:t>
      </w:r>
      <w:r w:rsidR="00A53B34">
        <w:rPr>
          <w:rFonts w:cs="Arial"/>
        </w:rPr>
        <w:t xml:space="preserve">NS3/4A </w:t>
      </w:r>
      <w:r w:rsidRPr="005E1202">
        <w:rPr>
          <w:rFonts w:cs="Arial"/>
        </w:rPr>
        <w:t>PI-</w:t>
      </w:r>
      <w:r w:rsidR="00E2492D">
        <w:rPr>
          <w:rFonts w:cs="Arial"/>
        </w:rPr>
        <w:t>TE</w:t>
      </w:r>
      <w:r w:rsidRPr="005E1202">
        <w:rPr>
          <w:rFonts w:cs="Arial"/>
        </w:rPr>
        <w:t>) receiving 16 weeks of treatment, SVR12 rate was 100% (1/1), 95.0% (19/20), 25.0% (1/4), and 100% (7/7) in patients with baseline polymorphisms in NS3-only, NS5A-only, NS3 + NS5A, or without polymorphisms in NS3 or NS5A, respectively.</w:t>
      </w:r>
    </w:p>
    <w:p w14:paraId="63279091" w14:textId="77777777" w:rsidR="001A3992" w:rsidRPr="005E1202" w:rsidRDefault="001A3992" w:rsidP="001A3992">
      <w:pPr>
        <w:pStyle w:val="Heading3"/>
        <w:rPr>
          <w:rFonts w:cs="Arial"/>
          <w:lang w:val="en-US"/>
        </w:rPr>
      </w:pPr>
      <w:r w:rsidRPr="00600A34">
        <w:rPr>
          <w:rFonts w:cs="Arial"/>
        </w:rPr>
        <w:t>Clinical</w:t>
      </w:r>
      <w:r w:rsidRPr="00600A34">
        <w:rPr>
          <w:rFonts w:cs="Arial"/>
          <w:lang w:val="en-US"/>
        </w:rPr>
        <w:t xml:space="preserve"> trials</w:t>
      </w:r>
    </w:p>
    <w:p w14:paraId="7FE1FCF0" w14:textId="77777777" w:rsidR="00493B75" w:rsidRPr="005E1202" w:rsidRDefault="00493B75" w:rsidP="009C7847">
      <w:pPr>
        <w:pStyle w:val="Heading4"/>
        <w:rPr>
          <w:rFonts w:cs="Arial"/>
        </w:rPr>
      </w:pPr>
      <w:r w:rsidRPr="005E1202">
        <w:rPr>
          <w:rFonts w:cs="Arial"/>
        </w:rPr>
        <w:t>Description of Clinical Studies</w:t>
      </w:r>
    </w:p>
    <w:p w14:paraId="087C3A64" w14:textId="555AE81E" w:rsidR="00CE7A6F" w:rsidRDefault="00493B75" w:rsidP="0088541D">
      <w:pPr>
        <w:jc w:val="both"/>
        <w:rPr>
          <w:rFonts w:cs="Arial"/>
          <w:iCs/>
          <w:color w:val="000000"/>
        </w:rPr>
      </w:pPr>
      <w:r w:rsidRPr="005E1202">
        <w:rPr>
          <w:rFonts w:cs="Arial"/>
          <w:color w:val="000000"/>
        </w:rPr>
        <w:t xml:space="preserve">Table </w:t>
      </w:r>
      <w:r w:rsidR="00FA1AB2">
        <w:rPr>
          <w:rFonts w:cs="Arial"/>
          <w:color w:val="000000"/>
        </w:rPr>
        <w:t>9</w:t>
      </w:r>
      <w:r w:rsidRPr="00CE7A6F">
        <w:rPr>
          <w:rFonts w:cs="Arial"/>
        </w:rPr>
        <w:t xml:space="preserve"> summarises clinical studies conducted with MAVIRET in patients with HCV </w:t>
      </w:r>
      <w:r w:rsidR="00B61343" w:rsidRPr="00CE7A6F">
        <w:rPr>
          <w:rFonts w:cs="Arial"/>
        </w:rPr>
        <w:t>GT</w:t>
      </w:r>
      <w:r w:rsidRPr="00CE7A6F">
        <w:rPr>
          <w:rFonts w:cs="Arial"/>
        </w:rPr>
        <w:t xml:space="preserve">1, 2, 3, 4, </w:t>
      </w:r>
      <w:r w:rsidRPr="005E1202">
        <w:rPr>
          <w:rFonts w:cs="Arial"/>
          <w:color w:val="000000"/>
        </w:rPr>
        <w:t xml:space="preserve">5 or 6 </w:t>
      </w:r>
      <w:proofErr w:type="gramStart"/>
      <w:r w:rsidRPr="005E1202">
        <w:rPr>
          <w:rFonts w:cs="Arial"/>
          <w:color w:val="000000"/>
        </w:rPr>
        <w:t>infection</w:t>
      </w:r>
      <w:proofErr w:type="gramEnd"/>
      <w:r w:rsidRPr="005E1202">
        <w:rPr>
          <w:rFonts w:cs="Arial"/>
          <w:color w:val="000000"/>
        </w:rPr>
        <w:t xml:space="preserve">. </w:t>
      </w:r>
      <w:r w:rsidR="00600A34">
        <w:rPr>
          <w:rFonts w:cs="Arial"/>
          <w:color w:val="000000"/>
        </w:rPr>
        <w:t xml:space="preserve"> </w:t>
      </w:r>
      <w:r w:rsidRPr="005E1202">
        <w:rPr>
          <w:rFonts w:cs="Arial"/>
          <w:color w:val="000000"/>
        </w:rPr>
        <w:t xml:space="preserve">For the recommended treatment duration </w:t>
      </w:r>
      <w:r w:rsidRPr="005E1202">
        <w:rPr>
          <w:rFonts w:cs="Arial"/>
          <w:iCs/>
          <w:color w:val="000000"/>
        </w:rPr>
        <w:t xml:space="preserve">see </w:t>
      </w:r>
      <w:r w:rsidR="008D55BB" w:rsidRPr="005E193F">
        <w:rPr>
          <w:rFonts w:cs="Arial"/>
          <w:iCs/>
          <w:color w:val="000000"/>
        </w:rPr>
        <w:t xml:space="preserve">4.2 </w:t>
      </w:r>
      <w:r w:rsidRPr="005E193F">
        <w:rPr>
          <w:rFonts w:cs="Arial"/>
          <w:iCs/>
          <w:color w:val="000000"/>
        </w:rPr>
        <w:t xml:space="preserve">DOSE AND </w:t>
      </w:r>
      <w:r w:rsidR="008D55BB" w:rsidRPr="005E193F">
        <w:rPr>
          <w:rFonts w:cs="Arial"/>
          <w:iCs/>
          <w:color w:val="000000"/>
        </w:rPr>
        <w:t xml:space="preserve">METHOD OF </w:t>
      </w:r>
      <w:r w:rsidRPr="005E193F">
        <w:rPr>
          <w:rFonts w:cs="Arial"/>
          <w:iCs/>
          <w:color w:val="000000"/>
        </w:rPr>
        <w:t>ADMINISTRATION.</w:t>
      </w:r>
    </w:p>
    <w:p w14:paraId="040D44E0" w14:textId="1B87A9CE" w:rsidR="00493B75" w:rsidRPr="00CE7A6F" w:rsidRDefault="00493B75" w:rsidP="00493B75">
      <w:pPr>
        <w:rPr>
          <w:rFonts w:cs="Arial"/>
          <w:b/>
        </w:rPr>
      </w:pPr>
      <w:r w:rsidRPr="005E1202">
        <w:rPr>
          <w:rFonts w:cs="Arial"/>
          <w:b/>
        </w:rPr>
        <w:t xml:space="preserve">Table </w:t>
      </w:r>
      <w:r w:rsidR="00FA1AB2">
        <w:rPr>
          <w:rFonts w:cs="Arial"/>
          <w:b/>
        </w:rPr>
        <w:t>9</w:t>
      </w:r>
      <w:r w:rsidRPr="005E1202">
        <w:rPr>
          <w:rFonts w:cs="Arial"/>
          <w:b/>
        </w:rPr>
        <w:t>. Clinical Studies C</w:t>
      </w:r>
      <w:r w:rsidRPr="00CE7A6F">
        <w:rPr>
          <w:rFonts w:cs="Arial"/>
          <w:b/>
        </w:rPr>
        <w:t xml:space="preserve">onducted with MAVIRET in Patients with HCV </w:t>
      </w:r>
      <w:r w:rsidR="00B61343" w:rsidRPr="00CE7A6F">
        <w:rPr>
          <w:rFonts w:cs="Arial"/>
          <w:b/>
        </w:rPr>
        <w:t>GT</w:t>
      </w:r>
      <w:r w:rsidRPr="00CE7A6F">
        <w:rPr>
          <w:rFonts w:cs="Arial"/>
          <w:b/>
        </w:rPr>
        <w:t>1, 2, 3, 4, 5 or 6 Infection</w:t>
      </w:r>
    </w:p>
    <w:tbl>
      <w:tblPr>
        <w:tblStyle w:val="TableGrid"/>
        <w:tblW w:w="8587" w:type="dxa"/>
        <w:jc w:val="center"/>
        <w:tblLayout w:type="fixed"/>
        <w:tblLook w:val="04A0" w:firstRow="1" w:lastRow="0" w:firstColumn="1" w:lastColumn="0" w:noHBand="0" w:noVBand="1"/>
      </w:tblPr>
      <w:tblGrid>
        <w:gridCol w:w="1215"/>
        <w:gridCol w:w="2935"/>
        <w:gridCol w:w="4437"/>
      </w:tblGrid>
      <w:tr w:rsidR="00CE7A6F" w:rsidRPr="00CE7A6F" w14:paraId="578E4B7D" w14:textId="77777777" w:rsidTr="00CE7A6F">
        <w:trPr>
          <w:trHeight w:val="539"/>
          <w:jc w:val="center"/>
        </w:trPr>
        <w:tc>
          <w:tcPr>
            <w:tcW w:w="1215" w:type="dxa"/>
            <w:vAlign w:val="center"/>
          </w:tcPr>
          <w:p w14:paraId="0C17F449" w14:textId="77777777" w:rsidR="00493B75" w:rsidRPr="00CE7A6F" w:rsidRDefault="00493B75" w:rsidP="00493B75">
            <w:pPr>
              <w:spacing w:before="60" w:after="60"/>
              <w:jc w:val="center"/>
              <w:rPr>
                <w:rFonts w:cs="Arial"/>
                <w:b/>
              </w:rPr>
            </w:pPr>
            <w:r w:rsidRPr="00CE7A6F">
              <w:rPr>
                <w:rFonts w:cs="Arial"/>
                <w:b/>
              </w:rPr>
              <w:t>Genotype (GT)</w:t>
            </w:r>
          </w:p>
        </w:tc>
        <w:tc>
          <w:tcPr>
            <w:tcW w:w="2935" w:type="dxa"/>
            <w:vAlign w:val="center"/>
          </w:tcPr>
          <w:p w14:paraId="0E033CC2" w14:textId="77777777" w:rsidR="00493B75" w:rsidRPr="00CE7A6F" w:rsidRDefault="00493B75" w:rsidP="00493B75">
            <w:pPr>
              <w:spacing w:before="60" w:after="60"/>
              <w:jc w:val="center"/>
              <w:rPr>
                <w:rFonts w:cs="Arial"/>
                <w:b/>
              </w:rPr>
            </w:pPr>
            <w:r w:rsidRPr="00CE7A6F">
              <w:rPr>
                <w:rFonts w:cs="Arial"/>
                <w:b/>
              </w:rPr>
              <w:t>Clinical Study</w:t>
            </w:r>
          </w:p>
        </w:tc>
        <w:tc>
          <w:tcPr>
            <w:tcW w:w="4437" w:type="dxa"/>
            <w:vAlign w:val="center"/>
          </w:tcPr>
          <w:p w14:paraId="2D3EA6B5" w14:textId="0A246586" w:rsidR="00493B75" w:rsidRPr="00CE7A6F" w:rsidRDefault="00493B75" w:rsidP="00493B75">
            <w:pPr>
              <w:spacing w:before="60" w:after="60"/>
              <w:jc w:val="center"/>
              <w:rPr>
                <w:rFonts w:cs="Arial"/>
                <w:b/>
              </w:rPr>
            </w:pPr>
            <w:r w:rsidRPr="00CE7A6F">
              <w:rPr>
                <w:rFonts w:cs="Arial"/>
                <w:b/>
              </w:rPr>
              <w:t>Summary of Study Design</w:t>
            </w:r>
            <w:r w:rsidR="00FA1AB2">
              <w:rPr>
                <w:rFonts w:cs="Arial"/>
                <w:b/>
              </w:rPr>
              <w:t>*</w:t>
            </w:r>
          </w:p>
        </w:tc>
      </w:tr>
      <w:tr w:rsidR="00CE7A6F" w:rsidRPr="00CE7A6F" w14:paraId="681B7D88" w14:textId="77777777" w:rsidTr="00CE7A6F">
        <w:trPr>
          <w:trHeight w:val="414"/>
          <w:jc w:val="center"/>
        </w:trPr>
        <w:tc>
          <w:tcPr>
            <w:tcW w:w="8587" w:type="dxa"/>
            <w:gridSpan w:val="3"/>
            <w:vAlign w:val="center"/>
          </w:tcPr>
          <w:p w14:paraId="08F2DD2B" w14:textId="01E2A05F" w:rsidR="00493B75" w:rsidRPr="00CE7A6F" w:rsidRDefault="00493B75" w:rsidP="00493B75">
            <w:pPr>
              <w:spacing w:before="60" w:after="60"/>
              <w:jc w:val="center"/>
              <w:rPr>
                <w:rFonts w:cs="Arial"/>
                <w:b/>
              </w:rPr>
            </w:pPr>
            <w:r w:rsidRPr="00CE7A6F">
              <w:rPr>
                <w:rFonts w:cs="Arial"/>
                <w:b/>
              </w:rPr>
              <w:t xml:space="preserve">TN and </w:t>
            </w:r>
            <w:r w:rsidR="00680DC6" w:rsidRPr="00CE7A6F">
              <w:rPr>
                <w:rFonts w:cs="Arial"/>
                <w:b/>
              </w:rPr>
              <w:t>PRS-</w:t>
            </w:r>
            <w:r w:rsidRPr="00CE7A6F">
              <w:rPr>
                <w:rFonts w:cs="Arial"/>
                <w:b/>
              </w:rPr>
              <w:t>TE patients without cirrhosis</w:t>
            </w:r>
          </w:p>
        </w:tc>
      </w:tr>
      <w:tr w:rsidR="00CE7A6F" w:rsidRPr="00CE7A6F" w14:paraId="2512A520" w14:textId="77777777" w:rsidTr="00CE7A6F">
        <w:trPr>
          <w:trHeight w:val="224"/>
          <w:jc w:val="center"/>
        </w:trPr>
        <w:tc>
          <w:tcPr>
            <w:tcW w:w="1215" w:type="dxa"/>
            <w:vMerge w:val="restart"/>
            <w:vAlign w:val="center"/>
          </w:tcPr>
          <w:p w14:paraId="01ABAC1E" w14:textId="77777777" w:rsidR="00493B75" w:rsidRPr="00CE7A6F" w:rsidRDefault="00493B75" w:rsidP="00493B75">
            <w:pPr>
              <w:spacing w:before="60" w:after="60"/>
              <w:jc w:val="center"/>
              <w:rPr>
                <w:rFonts w:cs="Arial"/>
              </w:rPr>
            </w:pPr>
            <w:r w:rsidRPr="00CE7A6F">
              <w:rPr>
                <w:rFonts w:cs="Arial"/>
              </w:rPr>
              <w:t>GT</w:t>
            </w:r>
            <w:r w:rsidR="00A53B34" w:rsidRPr="00CE7A6F">
              <w:rPr>
                <w:rFonts w:cs="Arial"/>
              </w:rPr>
              <w:t xml:space="preserve"> </w:t>
            </w:r>
            <w:r w:rsidRPr="00CE7A6F">
              <w:rPr>
                <w:rFonts w:cs="Arial"/>
              </w:rPr>
              <w:t>1</w:t>
            </w:r>
          </w:p>
        </w:tc>
        <w:tc>
          <w:tcPr>
            <w:tcW w:w="2935" w:type="dxa"/>
            <w:vAlign w:val="center"/>
          </w:tcPr>
          <w:p w14:paraId="31F6A8FB" w14:textId="77777777" w:rsidR="00493B75" w:rsidRPr="00CE7A6F" w:rsidRDefault="00493B75" w:rsidP="00493B75">
            <w:pPr>
              <w:spacing w:before="60" w:after="60"/>
              <w:jc w:val="center"/>
              <w:rPr>
                <w:rFonts w:cs="Arial"/>
              </w:rPr>
            </w:pPr>
            <w:r w:rsidRPr="00CE7A6F">
              <w:rPr>
                <w:rFonts w:cs="Arial"/>
              </w:rPr>
              <w:t>ENDURANCE-1 (M13-</w:t>
            </w:r>
            <w:proofErr w:type="gramStart"/>
            <w:r w:rsidRPr="00CE7A6F">
              <w:rPr>
                <w:rFonts w:cs="Arial"/>
              </w:rPr>
              <w:t>590)</w:t>
            </w:r>
            <w:r w:rsidR="00AE0C07" w:rsidRPr="00CE7A6F">
              <w:rPr>
                <w:rFonts w:cs="Arial"/>
                <w:vertAlign w:val="superscript"/>
              </w:rPr>
              <w:t>a</w:t>
            </w:r>
            <w:proofErr w:type="gramEnd"/>
          </w:p>
        </w:tc>
        <w:tc>
          <w:tcPr>
            <w:tcW w:w="4437" w:type="dxa"/>
            <w:vAlign w:val="center"/>
          </w:tcPr>
          <w:p w14:paraId="5EBD73DC" w14:textId="77777777" w:rsidR="00493B75" w:rsidRPr="00CE7A6F" w:rsidRDefault="00493B75" w:rsidP="00493B75">
            <w:pPr>
              <w:spacing w:before="60" w:after="60"/>
              <w:jc w:val="center"/>
              <w:rPr>
                <w:rFonts w:cs="Arial"/>
              </w:rPr>
            </w:pPr>
            <w:r w:rsidRPr="00CE7A6F">
              <w:rPr>
                <w:rFonts w:cs="Arial"/>
              </w:rPr>
              <w:t>MAVIRET for 8 (n=351) or 12 weeks (n=352)</w:t>
            </w:r>
          </w:p>
        </w:tc>
      </w:tr>
      <w:tr w:rsidR="00CE7A6F" w:rsidRPr="00CE7A6F" w14:paraId="67844AC7" w14:textId="77777777" w:rsidTr="00CE7A6F">
        <w:trPr>
          <w:trHeight w:val="206"/>
          <w:jc w:val="center"/>
        </w:trPr>
        <w:tc>
          <w:tcPr>
            <w:tcW w:w="1215" w:type="dxa"/>
            <w:vMerge/>
            <w:vAlign w:val="center"/>
          </w:tcPr>
          <w:p w14:paraId="57558D2C" w14:textId="77777777" w:rsidR="00493B75" w:rsidRPr="00CE7A6F" w:rsidRDefault="00493B75" w:rsidP="00493B75">
            <w:pPr>
              <w:spacing w:before="60" w:after="60"/>
              <w:jc w:val="center"/>
              <w:rPr>
                <w:rFonts w:cs="Arial"/>
              </w:rPr>
            </w:pPr>
          </w:p>
        </w:tc>
        <w:tc>
          <w:tcPr>
            <w:tcW w:w="2935" w:type="dxa"/>
            <w:vAlign w:val="center"/>
          </w:tcPr>
          <w:p w14:paraId="0815B4F1" w14:textId="77777777" w:rsidR="00493B75" w:rsidRPr="00CE7A6F" w:rsidRDefault="00493B75" w:rsidP="00493B75">
            <w:pPr>
              <w:spacing w:before="60" w:after="60"/>
              <w:jc w:val="center"/>
              <w:rPr>
                <w:rFonts w:cs="Arial"/>
              </w:rPr>
            </w:pPr>
            <w:r w:rsidRPr="00CE7A6F">
              <w:rPr>
                <w:rFonts w:cs="Arial"/>
              </w:rPr>
              <w:t>SURVEYOR-1 (M14-867)</w:t>
            </w:r>
          </w:p>
        </w:tc>
        <w:tc>
          <w:tcPr>
            <w:tcW w:w="4437" w:type="dxa"/>
            <w:vAlign w:val="center"/>
          </w:tcPr>
          <w:p w14:paraId="43CB40DE" w14:textId="77777777" w:rsidR="00493B75" w:rsidRPr="00CE7A6F" w:rsidRDefault="00493B75" w:rsidP="00493B75">
            <w:pPr>
              <w:spacing w:before="60" w:after="60"/>
              <w:jc w:val="center"/>
              <w:rPr>
                <w:rFonts w:cs="Arial"/>
              </w:rPr>
            </w:pPr>
            <w:r w:rsidRPr="00CE7A6F">
              <w:rPr>
                <w:rFonts w:cs="Arial"/>
              </w:rPr>
              <w:t>MAVIRET for 8 weeks (n=34)</w:t>
            </w:r>
          </w:p>
        </w:tc>
      </w:tr>
      <w:tr w:rsidR="00CE7A6F" w:rsidRPr="00CE7A6F" w14:paraId="5C4C7BC7" w14:textId="77777777" w:rsidTr="00CE7A6F">
        <w:trPr>
          <w:trHeight w:val="188"/>
          <w:jc w:val="center"/>
        </w:trPr>
        <w:tc>
          <w:tcPr>
            <w:tcW w:w="1215" w:type="dxa"/>
            <w:vMerge w:val="restart"/>
            <w:vAlign w:val="center"/>
          </w:tcPr>
          <w:p w14:paraId="5935B518" w14:textId="77777777" w:rsidR="00493B75" w:rsidRPr="00CE7A6F" w:rsidRDefault="00493B75" w:rsidP="00493B75">
            <w:pPr>
              <w:spacing w:before="60" w:after="60"/>
              <w:jc w:val="center"/>
              <w:rPr>
                <w:rFonts w:cs="Arial"/>
              </w:rPr>
            </w:pPr>
            <w:r w:rsidRPr="00CE7A6F">
              <w:rPr>
                <w:rFonts w:cs="Arial"/>
              </w:rPr>
              <w:t>GT</w:t>
            </w:r>
            <w:r w:rsidR="00A53B34" w:rsidRPr="00CE7A6F">
              <w:rPr>
                <w:rFonts w:cs="Arial"/>
              </w:rPr>
              <w:t xml:space="preserve"> </w:t>
            </w:r>
            <w:r w:rsidRPr="00CE7A6F">
              <w:rPr>
                <w:rFonts w:cs="Arial"/>
              </w:rPr>
              <w:t>2</w:t>
            </w:r>
          </w:p>
        </w:tc>
        <w:tc>
          <w:tcPr>
            <w:tcW w:w="2935" w:type="dxa"/>
            <w:vAlign w:val="center"/>
          </w:tcPr>
          <w:p w14:paraId="7C713CC5" w14:textId="77777777" w:rsidR="00493B75" w:rsidRPr="00CE7A6F" w:rsidRDefault="00493B75" w:rsidP="00493B75">
            <w:pPr>
              <w:spacing w:before="60" w:after="60"/>
              <w:jc w:val="center"/>
              <w:rPr>
                <w:rFonts w:cs="Arial"/>
              </w:rPr>
            </w:pPr>
            <w:r w:rsidRPr="00CE7A6F">
              <w:rPr>
                <w:rFonts w:cs="Arial"/>
              </w:rPr>
              <w:t>ENDURANCE-2 (M15-464)</w:t>
            </w:r>
          </w:p>
        </w:tc>
        <w:tc>
          <w:tcPr>
            <w:tcW w:w="4437" w:type="dxa"/>
            <w:vAlign w:val="center"/>
          </w:tcPr>
          <w:p w14:paraId="1F3556B7" w14:textId="77777777" w:rsidR="00493B75" w:rsidRPr="00CE7A6F" w:rsidRDefault="00493B75" w:rsidP="00493B75">
            <w:pPr>
              <w:spacing w:before="60" w:after="60"/>
              <w:jc w:val="center"/>
              <w:rPr>
                <w:rFonts w:cs="Arial"/>
              </w:rPr>
            </w:pPr>
            <w:r w:rsidRPr="00CE7A6F">
              <w:rPr>
                <w:rFonts w:cs="Arial"/>
              </w:rPr>
              <w:t>MAVIRET (n=202) or Placebo (n=100) for 12 weeks</w:t>
            </w:r>
          </w:p>
        </w:tc>
      </w:tr>
      <w:tr w:rsidR="00CE7A6F" w:rsidRPr="00CE7A6F" w14:paraId="33AC4B73" w14:textId="77777777" w:rsidTr="00CE7A6F">
        <w:trPr>
          <w:trHeight w:val="170"/>
          <w:jc w:val="center"/>
        </w:trPr>
        <w:tc>
          <w:tcPr>
            <w:tcW w:w="1215" w:type="dxa"/>
            <w:vMerge/>
            <w:vAlign w:val="center"/>
          </w:tcPr>
          <w:p w14:paraId="7D355E33" w14:textId="77777777" w:rsidR="00493B75" w:rsidRPr="00CE7A6F" w:rsidRDefault="00493B75" w:rsidP="00493B75">
            <w:pPr>
              <w:spacing w:before="60" w:after="60"/>
              <w:jc w:val="center"/>
              <w:rPr>
                <w:rFonts w:cs="Arial"/>
              </w:rPr>
            </w:pPr>
          </w:p>
        </w:tc>
        <w:tc>
          <w:tcPr>
            <w:tcW w:w="2935" w:type="dxa"/>
            <w:vAlign w:val="center"/>
          </w:tcPr>
          <w:p w14:paraId="036BD3BA" w14:textId="77777777" w:rsidR="00493B75" w:rsidRPr="00CE7A6F" w:rsidRDefault="00493B75" w:rsidP="00493B75">
            <w:pPr>
              <w:spacing w:before="60" w:after="60"/>
              <w:jc w:val="center"/>
              <w:rPr>
                <w:rFonts w:cs="Arial"/>
              </w:rPr>
            </w:pPr>
            <w:r w:rsidRPr="00CE7A6F">
              <w:rPr>
                <w:rFonts w:cs="Arial"/>
              </w:rPr>
              <w:t>SURVEYOR-2 (M14-</w:t>
            </w:r>
            <w:proofErr w:type="gramStart"/>
            <w:r w:rsidRPr="00CE7A6F">
              <w:rPr>
                <w:rFonts w:cs="Arial"/>
              </w:rPr>
              <w:t>868)</w:t>
            </w:r>
            <w:r w:rsidR="00AE0C07" w:rsidRPr="00CE7A6F">
              <w:rPr>
                <w:rFonts w:cs="Arial"/>
                <w:vertAlign w:val="superscript"/>
              </w:rPr>
              <w:t>b</w:t>
            </w:r>
            <w:proofErr w:type="gramEnd"/>
          </w:p>
        </w:tc>
        <w:tc>
          <w:tcPr>
            <w:tcW w:w="4437" w:type="dxa"/>
            <w:vAlign w:val="center"/>
          </w:tcPr>
          <w:p w14:paraId="5AA62A29" w14:textId="77777777" w:rsidR="00493B75" w:rsidRPr="00CE7A6F" w:rsidRDefault="00493B75" w:rsidP="00493B75">
            <w:pPr>
              <w:spacing w:before="60" w:after="60"/>
              <w:jc w:val="center"/>
              <w:rPr>
                <w:rFonts w:cs="Arial"/>
              </w:rPr>
            </w:pPr>
            <w:r w:rsidRPr="00CE7A6F">
              <w:rPr>
                <w:rFonts w:cs="Arial"/>
              </w:rPr>
              <w:t>MAVIRET for 8 weeks (n=199) or 12 weeks (n=25)</w:t>
            </w:r>
          </w:p>
        </w:tc>
      </w:tr>
      <w:tr w:rsidR="00CE7A6F" w:rsidRPr="00CE7A6F" w14:paraId="604552D2" w14:textId="77777777" w:rsidTr="00CE7A6F">
        <w:trPr>
          <w:trHeight w:val="459"/>
          <w:jc w:val="center"/>
        </w:trPr>
        <w:tc>
          <w:tcPr>
            <w:tcW w:w="1215" w:type="dxa"/>
            <w:vMerge w:val="restart"/>
            <w:vAlign w:val="center"/>
          </w:tcPr>
          <w:p w14:paraId="73D74B79" w14:textId="77777777" w:rsidR="00493B75" w:rsidRPr="00CE7A6F" w:rsidRDefault="00493B75" w:rsidP="00493B75">
            <w:pPr>
              <w:spacing w:before="60" w:after="60"/>
              <w:jc w:val="center"/>
              <w:rPr>
                <w:rFonts w:cs="Arial"/>
              </w:rPr>
            </w:pPr>
            <w:r w:rsidRPr="00CE7A6F">
              <w:rPr>
                <w:rFonts w:cs="Arial"/>
              </w:rPr>
              <w:t>GT</w:t>
            </w:r>
            <w:r w:rsidR="00A53B34" w:rsidRPr="00CE7A6F">
              <w:rPr>
                <w:rFonts w:cs="Arial"/>
              </w:rPr>
              <w:t xml:space="preserve"> </w:t>
            </w:r>
            <w:r w:rsidRPr="00CE7A6F">
              <w:rPr>
                <w:rFonts w:cs="Arial"/>
              </w:rPr>
              <w:t>3</w:t>
            </w:r>
          </w:p>
        </w:tc>
        <w:tc>
          <w:tcPr>
            <w:tcW w:w="2935" w:type="dxa"/>
            <w:vAlign w:val="center"/>
          </w:tcPr>
          <w:p w14:paraId="257752DA" w14:textId="77777777" w:rsidR="00493B75" w:rsidRPr="00CE7A6F" w:rsidRDefault="00493B75" w:rsidP="00493B75">
            <w:pPr>
              <w:spacing w:before="60" w:after="60"/>
              <w:jc w:val="center"/>
              <w:rPr>
                <w:rFonts w:cs="Arial"/>
              </w:rPr>
            </w:pPr>
            <w:r w:rsidRPr="00CE7A6F">
              <w:rPr>
                <w:rFonts w:cs="Arial"/>
              </w:rPr>
              <w:t>ENDURANCE-3 (M13-594)</w:t>
            </w:r>
          </w:p>
        </w:tc>
        <w:tc>
          <w:tcPr>
            <w:tcW w:w="4437" w:type="dxa"/>
            <w:vAlign w:val="center"/>
          </w:tcPr>
          <w:p w14:paraId="6DB22C44" w14:textId="77777777" w:rsidR="00493B75" w:rsidRPr="00CE7A6F" w:rsidRDefault="00493B75" w:rsidP="00493B75">
            <w:pPr>
              <w:spacing w:before="60" w:after="60"/>
              <w:jc w:val="center"/>
              <w:rPr>
                <w:rFonts w:cs="Arial"/>
              </w:rPr>
            </w:pPr>
            <w:r w:rsidRPr="00CE7A6F">
              <w:rPr>
                <w:rFonts w:cs="Arial"/>
              </w:rPr>
              <w:t>MAVIRET for 8 (n=157) or 12 weeks (n=233)</w:t>
            </w:r>
          </w:p>
          <w:p w14:paraId="675919F2" w14:textId="77777777" w:rsidR="00493B75" w:rsidRPr="00CE7A6F" w:rsidRDefault="00493B75" w:rsidP="00493B75">
            <w:pPr>
              <w:spacing w:before="60" w:after="60"/>
              <w:jc w:val="center"/>
              <w:rPr>
                <w:rFonts w:cs="Arial"/>
              </w:rPr>
            </w:pPr>
            <w:r w:rsidRPr="00CE7A6F">
              <w:rPr>
                <w:rFonts w:cs="Arial"/>
              </w:rPr>
              <w:t>Sofosbuvir + daclatasvir for 12 weeks (n=115)</w:t>
            </w:r>
          </w:p>
        </w:tc>
      </w:tr>
      <w:tr w:rsidR="00CE7A6F" w:rsidRPr="00CE7A6F" w14:paraId="75C67731" w14:textId="77777777" w:rsidTr="00CE7A6F">
        <w:trPr>
          <w:trHeight w:val="179"/>
          <w:jc w:val="center"/>
        </w:trPr>
        <w:tc>
          <w:tcPr>
            <w:tcW w:w="1215" w:type="dxa"/>
            <w:vMerge/>
            <w:vAlign w:val="center"/>
          </w:tcPr>
          <w:p w14:paraId="5E87306F" w14:textId="77777777" w:rsidR="00493B75" w:rsidRPr="00CE7A6F" w:rsidRDefault="00493B75" w:rsidP="00493B75">
            <w:pPr>
              <w:spacing w:before="60" w:after="60"/>
              <w:jc w:val="center"/>
              <w:rPr>
                <w:rFonts w:cs="Arial"/>
              </w:rPr>
            </w:pPr>
          </w:p>
        </w:tc>
        <w:tc>
          <w:tcPr>
            <w:tcW w:w="2935" w:type="dxa"/>
            <w:vAlign w:val="center"/>
          </w:tcPr>
          <w:p w14:paraId="0359EC9E" w14:textId="77777777" w:rsidR="00493B75" w:rsidRPr="00CE7A6F" w:rsidRDefault="00493B75" w:rsidP="00493B75">
            <w:pPr>
              <w:spacing w:before="60" w:after="60"/>
              <w:jc w:val="center"/>
              <w:rPr>
                <w:rFonts w:cs="Arial"/>
              </w:rPr>
            </w:pPr>
            <w:r w:rsidRPr="00CE7A6F">
              <w:rPr>
                <w:rFonts w:cs="Arial"/>
              </w:rPr>
              <w:t>SURVEYOR-2 (M14-</w:t>
            </w:r>
            <w:proofErr w:type="gramStart"/>
            <w:r w:rsidRPr="00CE7A6F">
              <w:rPr>
                <w:rFonts w:cs="Arial"/>
              </w:rPr>
              <w:t>868)</w:t>
            </w:r>
            <w:r w:rsidR="00AE0C07" w:rsidRPr="00CE7A6F">
              <w:rPr>
                <w:rFonts w:cs="Arial"/>
                <w:vertAlign w:val="superscript"/>
              </w:rPr>
              <w:t>c</w:t>
            </w:r>
            <w:proofErr w:type="gramEnd"/>
          </w:p>
        </w:tc>
        <w:tc>
          <w:tcPr>
            <w:tcW w:w="4437" w:type="dxa"/>
            <w:vAlign w:val="center"/>
          </w:tcPr>
          <w:p w14:paraId="2BD71828" w14:textId="16D1C281" w:rsidR="00493B75" w:rsidRPr="00CE7A6F" w:rsidRDefault="00493B75" w:rsidP="00493B75">
            <w:pPr>
              <w:spacing w:before="60" w:after="60"/>
              <w:jc w:val="center"/>
              <w:rPr>
                <w:rFonts w:cs="Arial"/>
              </w:rPr>
            </w:pPr>
            <w:r w:rsidRPr="00CE7A6F">
              <w:rPr>
                <w:rFonts w:cs="Arial"/>
              </w:rPr>
              <w:t xml:space="preserve">MAVIRET for </w:t>
            </w:r>
            <w:proofErr w:type="spellStart"/>
            <w:r w:rsidRPr="00CE7A6F">
              <w:rPr>
                <w:rFonts w:cs="Arial"/>
              </w:rPr>
              <w:t>for</w:t>
            </w:r>
            <w:proofErr w:type="spellEnd"/>
            <w:r w:rsidRPr="00CE7A6F">
              <w:rPr>
                <w:rFonts w:cs="Arial"/>
              </w:rPr>
              <w:t xml:space="preserve"> 8 (TN only) (n=29) or 12 weeks (n=76) or 16 (</w:t>
            </w:r>
            <w:r w:rsidR="00680DC6" w:rsidRPr="00CE7A6F">
              <w:rPr>
                <w:rFonts w:cs="Arial"/>
              </w:rPr>
              <w:t>PRS-</w:t>
            </w:r>
            <w:r w:rsidRPr="00CE7A6F">
              <w:rPr>
                <w:rFonts w:cs="Arial"/>
              </w:rPr>
              <w:t>TE only) weeks (n=22)</w:t>
            </w:r>
          </w:p>
        </w:tc>
      </w:tr>
      <w:tr w:rsidR="00CE7A6F" w:rsidRPr="00CE7A6F" w14:paraId="78588D0D" w14:textId="77777777" w:rsidTr="00CE7A6F">
        <w:trPr>
          <w:trHeight w:val="224"/>
          <w:jc w:val="center"/>
        </w:trPr>
        <w:tc>
          <w:tcPr>
            <w:tcW w:w="1215" w:type="dxa"/>
            <w:vMerge w:val="restart"/>
            <w:vAlign w:val="center"/>
          </w:tcPr>
          <w:p w14:paraId="59D789A3" w14:textId="77777777" w:rsidR="00493B75" w:rsidRPr="00CE7A6F" w:rsidRDefault="00493B75" w:rsidP="00493B75">
            <w:pPr>
              <w:spacing w:before="60" w:after="60"/>
              <w:jc w:val="center"/>
              <w:rPr>
                <w:rFonts w:cs="Arial"/>
              </w:rPr>
            </w:pPr>
            <w:r w:rsidRPr="00CE7A6F">
              <w:rPr>
                <w:rFonts w:cs="Arial"/>
              </w:rPr>
              <w:t>GT</w:t>
            </w:r>
            <w:r w:rsidR="00A53B34" w:rsidRPr="00CE7A6F">
              <w:rPr>
                <w:rFonts w:cs="Arial"/>
              </w:rPr>
              <w:t xml:space="preserve"> </w:t>
            </w:r>
            <w:r w:rsidRPr="00CE7A6F">
              <w:rPr>
                <w:rFonts w:cs="Arial"/>
              </w:rPr>
              <w:t>4, 5, 6</w:t>
            </w:r>
          </w:p>
        </w:tc>
        <w:tc>
          <w:tcPr>
            <w:tcW w:w="2935" w:type="dxa"/>
            <w:vAlign w:val="center"/>
          </w:tcPr>
          <w:p w14:paraId="3CC80F5A" w14:textId="77777777" w:rsidR="00493B75" w:rsidRPr="00CE7A6F" w:rsidRDefault="00493B75" w:rsidP="00493B75">
            <w:pPr>
              <w:spacing w:before="60" w:after="60"/>
              <w:jc w:val="center"/>
              <w:rPr>
                <w:rFonts w:cs="Arial"/>
              </w:rPr>
            </w:pPr>
            <w:r w:rsidRPr="00CE7A6F">
              <w:rPr>
                <w:rFonts w:cs="Arial"/>
              </w:rPr>
              <w:t>ENDURANCE-4 (M13-583)</w:t>
            </w:r>
          </w:p>
        </w:tc>
        <w:tc>
          <w:tcPr>
            <w:tcW w:w="4437" w:type="dxa"/>
            <w:vAlign w:val="center"/>
          </w:tcPr>
          <w:p w14:paraId="6201C111" w14:textId="77777777" w:rsidR="00493B75" w:rsidRPr="00CE7A6F" w:rsidRDefault="00493B75" w:rsidP="00493B75">
            <w:pPr>
              <w:spacing w:before="60" w:after="60"/>
              <w:jc w:val="center"/>
              <w:rPr>
                <w:rFonts w:cs="Arial"/>
              </w:rPr>
            </w:pPr>
            <w:r w:rsidRPr="00CE7A6F">
              <w:rPr>
                <w:rFonts w:cs="Arial"/>
              </w:rPr>
              <w:t>MAVIRET for 12 weeks (n=121)</w:t>
            </w:r>
          </w:p>
        </w:tc>
      </w:tr>
      <w:tr w:rsidR="00CE7A6F" w:rsidRPr="00CE7A6F" w14:paraId="38017C48" w14:textId="77777777" w:rsidTr="00CE7A6F">
        <w:trPr>
          <w:trHeight w:val="170"/>
          <w:jc w:val="center"/>
        </w:trPr>
        <w:tc>
          <w:tcPr>
            <w:tcW w:w="1215" w:type="dxa"/>
            <w:vMerge/>
            <w:vAlign w:val="center"/>
          </w:tcPr>
          <w:p w14:paraId="782830CB" w14:textId="77777777" w:rsidR="00493B75" w:rsidRPr="00CE7A6F" w:rsidRDefault="00493B75" w:rsidP="00493B75">
            <w:pPr>
              <w:spacing w:before="60" w:after="60"/>
              <w:ind w:left="162"/>
              <w:jc w:val="center"/>
              <w:rPr>
                <w:rFonts w:cs="Arial"/>
              </w:rPr>
            </w:pPr>
          </w:p>
        </w:tc>
        <w:tc>
          <w:tcPr>
            <w:tcW w:w="2935" w:type="dxa"/>
            <w:vAlign w:val="center"/>
          </w:tcPr>
          <w:p w14:paraId="38E4CC5D" w14:textId="77777777" w:rsidR="00493B75" w:rsidRPr="00CE7A6F" w:rsidRDefault="00493B75" w:rsidP="00493B75">
            <w:pPr>
              <w:spacing w:before="60" w:after="60"/>
              <w:jc w:val="center"/>
              <w:rPr>
                <w:rFonts w:cs="Arial"/>
              </w:rPr>
            </w:pPr>
            <w:r w:rsidRPr="00CE7A6F">
              <w:rPr>
                <w:rFonts w:cs="Arial"/>
              </w:rPr>
              <w:t>SURVEYOR-1 (M14-867)</w:t>
            </w:r>
          </w:p>
        </w:tc>
        <w:tc>
          <w:tcPr>
            <w:tcW w:w="4437" w:type="dxa"/>
            <w:vAlign w:val="center"/>
          </w:tcPr>
          <w:p w14:paraId="3C80E5ED" w14:textId="77777777" w:rsidR="00493B75" w:rsidRPr="00CE7A6F" w:rsidRDefault="00493B75" w:rsidP="00493B75">
            <w:pPr>
              <w:spacing w:before="60" w:after="60"/>
              <w:jc w:val="center"/>
              <w:rPr>
                <w:rFonts w:cs="Arial"/>
              </w:rPr>
            </w:pPr>
            <w:r w:rsidRPr="00CE7A6F">
              <w:rPr>
                <w:rFonts w:cs="Arial"/>
              </w:rPr>
              <w:t>MAVIRET for 12 weeks (n=32)</w:t>
            </w:r>
          </w:p>
        </w:tc>
      </w:tr>
      <w:tr w:rsidR="00CE7A6F" w:rsidRPr="00CE7A6F" w14:paraId="5DAB15C1" w14:textId="77777777" w:rsidTr="00CE7A6F">
        <w:trPr>
          <w:trHeight w:val="170"/>
          <w:jc w:val="center"/>
        </w:trPr>
        <w:tc>
          <w:tcPr>
            <w:tcW w:w="1215" w:type="dxa"/>
            <w:vMerge/>
            <w:vAlign w:val="center"/>
          </w:tcPr>
          <w:p w14:paraId="2C099F10" w14:textId="77777777" w:rsidR="00493B75" w:rsidRPr="00CE7A6F" w:rsidRDefault="00493B75" w:rsidP="00493B75">
            <w:pPr>
              <w:spacing w:before="60" w:after="60"/>
              <w:ind w:left="162"/>
              <w:jc w:val="center"/>
              <w:rPr>
                <w:rFonts w:cs="Arial"/>
              </w:rPr>
            </w:pPr>
          </w:p>
        </w:tc>
        <w:tc>
          <w:tcPr>
            <w:tcW w:w="2935" w:type="dxa"/>
            <w:vAlign w:val="center"/>
          </w:tcPr>
          <w:p w14:paraId="0827F88A" w14:textId="77777777" w:rsidR="00493B75" w:rsidRPr="00CE7A6F" w:rsidRDefault="00493B75" w:rsidP="00493B75">
            <w:pPr>
              <w:spacing w:before="60" w:after="60"/>
              <w:jc w:val="center"/>
              <w:rPr>
                <w:rFonts w:cs="Arial"/>
              </w:rPr>
            </w:pPr>
            <w:r w:rsidRPr="00CE7A6F">
              <w:rPr>
                <w:rFonts w:cs="Arial"/>
              </w:rPr>
              <w:t>SURVEYOR-2 (M14-868)</w:t>
            </w:r>
          </w:p>
        </w:tc>
        <w:tc>
          <w:tcPr>
            <w:tcW w:w="4437" w:type="dxa"/>
            <w:vAlign w:val="center"/>
          </w:tcPr>
          <w:p w14:paraId="007683CE" w14:textId="77777777" w:rsidR="00493B75" w:rsidRPr="00CE7A6F" w:rsidRDefault="00493B75" w:rsidP="00493B75">
            <w:pPr>
              <w:spacing w:before="60" w:after="60"/>
              <w:jc w:val="center"/>
              <w:rPr>
                <w:rFonts w:cs="Arial"/>
              </w:rPr>
            </w:pPr>
            <w:r w:rsidRPr="00CE7A6F">
              <w:rPr>
                <w:rFonts w:cs="Arial"/>
              </w:rPr>
              <w:t>MAVIRET for 8 weeks (n=58)</w:t>
            </w:r>
          </w:p>
        </w:tc>
      </w:tr>
      <w:tr w:rsidR="00CE7A6F" w:rsidRPr="00CE7A6F" w14:paraId="03143425" w14:textId="77777777" w:rsidTr="00CE7A6F">
        <w:trPr>
          <w:trHeight w:val="170"/>
          <w:jc w:val="center"/>
        </w:trPr>
        <w:tc>
          <w:tcPr>
            <w:tcW w:w="1215" w:type="dxa"/>
            <w:vAlign w:val="center"/>
          </w:tcPr>
          <w:p w14:paraId="7414BB18" w14:textId="2338B1A1" w:rsidR="00680DC6" w:rsidRPr="00CE7A6F" w:rsidRDefault="00680DC6" w:rsidP="00680DC6">
            <w:pPr>
              <w:spacing w:before="60" w:after="60"/>
              <w:ind w:left="162"/>
              <w:jc w:val="center"/>
              <w:rPr>
                <w:rFonts w:cs="Arial"/>
              </w:rPr>
            </w:pPr>
            <w:r w:rsidRPr="00CE7A6F">
              <w:rPr>
                <w:rFonts w:cs="Arial"/>
              </w:rPr>
              <w:t>GT 5, 6</w:t>
            </w:r>
          </w:p>
        </w:tc>
        <w:tc>
          <w:tcPr>
            <w:tcW w:w="2935" w:type="dxa"/>
            <w:vAlign w:val="center"/>
          </w:tcPr>
          <w:p w14:paraId="5A5A7EDA" w14:textId="51032CF4" w:rsidR="00680DC6" w:rsidRPr="00CE7A6F" w:rsidRDefault="00680DC6" w:rsidP="00680DC6">
            <w:pPr>
              <w:spacing w:before="60" w:after="60"/>
              <w:jc w:val="center"/>
              <w:rPr>
                <w:rFonts w:cs="Arial"/>
              </w:rPr>
            </w:pPr>
            <w:r w:rsidRPr="00CE7A6F">
              <w:rPr>
                <w:rFonts w:cs="Arial"/>
              </w:rPr>
              <w:t>ENDURANCE-5, 6 (M16-126)</w:t>
            </w:r>
          </w:p>
        </w:tc>
        <w:tc>
          <w:tcPr>
            <w:tcW w:w="4437" w:type="dxa"/>
            <w:vAlign w:val="center"/>
          </w:tcPr>
          <w:p w14:paraId="5CC16A34" w14:textId="01E060B7" w:rsidR="00680DC6" w:rsidRPr="00CE7A6F" w:rsidRDefault="00680DC6" w:rsidP="00680DC6">
            <w:pPr>
              <w:spacing w:before="60" w:after="60"/>
              <w:jc w:val="center"/>
              <w:rPr>
                <w:rFonts w:cs="Arial"/>
              </w:rPr>
            </w:pPr>
            <w:r w:rsidRPr="00CE7A6F">
              <w:rPr>
                <w:rFonts w:cs="Arial"/>
              </w:rPr>
              <w:t>MAVIRET for 8 weeks (n=75)</w:t>
            </w:r>
          </w:p>
        </w:tc>
      </w:tr>
      <w:tr w:rsidR="00CE7A6F" w:rsidRPr="00CE7A6F" w14:paraId="760C19D0" w14:textId="77777777" w:rsidTr="00CE7A6F">
        <w:trPr>
          <w:trHeight w:val="170"/>
          <w:jc w:val="center"/>
        </w:trPr>
        <w:tc>
          <w:tcPr>
            <w:tcW w:w="1215" w:type="dxa"/>
            <w:vAlign w:val="center"/>
          </w:tcPr>
          <w:p w14:paraId="60809CD7" w14:textId="17EAF851" w:rsidR="00680DC6" w:rsidRPr="00CE7A6F" w:rsidRDefault="00680DC6" w:rsidP="00680DC6">
            <w:pPr>
              <w:spacing w:before="60" w:after="60"/>
              <w:ind w:left="162"/>
              <w:jc w:val="center"/>
              <w:rPr>
                <w:rFonts w:cs="Arial"/>
              </w:rPr>
            </w:pPr>
            <w:r w:rsidRPr="00CE7A6F">
              <w:rPr>
                <w:rFonts w:cs="Arial"/>
              </w:rPr>
              <w:t>GT 1-6</w:t>
            </w:r>
          </w:p>
        </w:tc>
        <w:tc>
          <w:tcPr>
            <w:tcW w:w="2935" w:type="dxa"/>
            <w:vAlign w:val="center"/>
          </w:tcPr>
          <w:p w14:paraId="410DD28D" w14:textId="2C44F8DF" w:rsidR="00680DC6" w:rsidRPr="00CE7A6F" w:rsidRDefault="00680DC6" w:rsidP="00680DC6">
            <w:pPr>
              <w:spacing w:before="60" w:after="60"/>
              <w:jc w:val="center"/>
              <w:rPr>
                <w:rFonts w:cs="Arial"/>
              </w:rPr>
            </w:pPr>
            <w:r w:rsidRPr="00CE7A6F">
              <w:rPr>
                <w:rFonts w:cs="Arial"/>
              </w:rPr>
              <w:t>VOYAGE-1</w:t>
            </w:r>
            <w:r w:rsidRPr="00CE7A6F">
              <w:rPr>
                <w:rFonts w:cs="Arial"/>
                <w:vertAlign w:val="superscript"/>
              </w:rPr>
              <w:t>f</w:t>
            </w:r>
            <w:r w:rsidRPr="00CE7A6F">
              <w:rPr>
                <w:rFonts w:cs="Arial"/>
              </w:rPr>
              <w:t xml:space="preserve"> (M15-592)</w:t>
            </w:r>
          </w:p>
        </w:tc>
        <w:tc>
          <w:tcPr>
            <w:tcW w:w="4437" w:type="dxa"/>
            <w:vAlign w:val="center"/>
          </w:tcPr>
          <w:p w14:paraId="4A533B05" w14:textId="6D0C4B64" w:rsidR="00680DC6" w:rsidRPr="00CE7A6F" w:rsidRDefault="00680DC6" w:rsidP="00680DC6">
            <w:pPr>
              <w:spacing w:before="60" w:after="60"/>
              <w:jc w:val="center"/>
              <w:rPr>
                <w:rFonts w:cs="Arial"/>
              </w:rPr>
            </w:pPr>
            <w:r w:rsidRPr="00CE7A6F">
              <w:rPr>
                <w:rFonts w:cs="Arial"/>
              </w:rPr>
              <w:t>MAVIRET for 8 weeks (GT1, 2, 4, 5, and 6, and GT3 TN (n=356)) or 16 weeks (GT3 PRS-TE, only (n=6))</w:t>
            </w:r>
          </w:p>
        </w:tc>
      </w:tr>
      <w:tr w:rsidR="00CE7A6F" w:rsidRPr="00CE7A6F" w14:paraId="339E22B0" w14:textId="77777777" w:rsidTr="00CE7A6F">
        <w:trPr>
          <w:trHeight w:val="289"/>
          <w:jc w:val="center"/>
        </w:trPr>
        <w:tc>
          <w:tcPr>
            <w:tcW w:w="8587" w:type="dxa"/>
            <w:gridSpan w:val="3"/>
            <w:vAlign w:val="center"/>
          </w:tcPr>
          <w:p w14:paraId="076E757E" w14:textId="6002E022" w:rsidR="00680DC6" w:rsidRPr="00CE7A6F" w:rsidRDefault="00680DC6" w:rsidP="00680DC6">
            <w:pPr>
              <w:spacing w:before="60" w:after="60"/>
              <w:jc w:val="center"/>
              <w:rPr>
                <w:rFonts w:cs="Arial"/>
                <w:b/>
              </w:rPr>
            </w:pPr>
            <w:r w:rsidRPr="00CE7A6F">
              <w:rPr>
                <w:rFonts w:cs="Arial"/>
                <w:b/>
              </w:rPr>
              <w:t xml:space="preserve">TN and </w:t>
            </w:r>
            <w:r w:rsidR="00E458BB" w:rsidRPr="00CE7A6F">
              <w:rPr>
                <w:rFonts w:cs="Arial"/>
                <w:b/>
              </w:rPr>
              <w:t>PRS-</w:t>
            </w:r>
            <w:r w:rsidRPr="00CE7A6F">
              <w:rPr>
                <w:rFonts w:cs="Arial"/>
                <w:b/>
              </w:rPr>
              <w:t>TE patients with cirrhosis</w:t>
            </w:r>
          </w:p>
        </w:tc>
      </w:tr>
      <w:tr w:rsidR="00CE7A6F" w:rsidRPr="00CE7A6F" w14:paraId="13A3E05B" w14:textId="77777777" w:rsidTr="00CE7A6F">
        <w:trPr>
          <w:trHeight w:val="552"/>
          <w:jc w:val="center"/>
        </w:trPr>
        <w:tc>
          <w:tcPr>
            <w:tcW w:w="1215" w:type="dxa"/>
            <w:vAlign w:val="center"/>
          </w:tcPr>
          <w:p w14:paraId="54A59174" w14:textId="77777777" w:rsidR="00680DC6" w:rsidRPr="00CE7A6F" w:rsidRDefault="00680DC6" w:rsidP="00680DC6">
            <w:pPr>
              <w:spacing w:before="60" w:after="60"/>
              <w:jc w:val="center"/>
              <w:rPr>
                <w:rFonts w:cs="Arial"/>
              </w:rPr>
            </w:pPr>
            <w:r w:rsidRPr="00CE7A6F">
              <w:rPr>
                <w:rFonts w:cs="Arial"/>
              </w:rPr>
              <w:t>GT 1, 2, 4, 5, 6</w:t>
            </w:r>
          </w:p>
        </w:tc>
        <w:tc>
          <w:tcPr>
            <w:tcW w:w="2935" w:type="dxa"/>
            <w:vAlign w:val="center"/>
          </w:tcPr>
          <w:p w14:paraId="6EC9EEF9" w14:textId="77777777" w:rsidR="00680DC6" w:rsidRPr="00CE7A6F" w:rsidRDefault="00680DC6" w:rsidP="00680DC6">
            <w:pPr>
              <w:spacing w:before="60" w:after="60"/>
              <w:jc w:val="center"/>
              <w:rPr>
                <w:rFonts w:cs="Arial"/>
              </w:rPr>
            </w:pPr>
            <w:r w:rsidRPr="00CE7A6F">
              <w:rPr>
                <w:rFonts w:cs="Arial"/>
              </w:rPr>
              <w:t>EXPEDITION-1 (M14-172)</w:t>
            </w:r>
          </w:p>
        </w:tc>
        <w:tc>
          <w:tcPr>
            <w:tcW w:w="4437" w:type="dxa"/>
            <w:vAlign w:val="center"/>
          </w:tcPr>
          <w:p w14:paraId="53E1AC82" w14:textId="77777777" w:rsidR="00680DC6" w:rsidRPr="00CE7A6F" w:rsidRDefault="00680DC6" w:rsidP="00680DC6">
            <w:pPr>
              <w:spacing w:before="60" w:after="60"/>
              <w:jc w:val="center"/>
              <w:rPr>
                <w:rFonts w:cs="Arial"/>
              </w:rPr>
            </w:pPr>
            <w:r w:rsidRPr="00CE7A6F">
              <w:rPr>
                <w:rFonts w:cs="Arial"/>
              </w:rPr>
              <w:t>MAVIRET for 12 weeks (n=146)</w:t>
            </w:r>
          </w:p>
        </w:tc>
      </w:tr>
      <w:tr w:rsidR="00CE7A6F" w:rsidRPr="00CE7A6F" w14:paraId="1CFB73DB" w14:textId="77777777" w:rsidTr="00CE7A6F">
        <w:trPr>
          <w:trHeight w:val="134"/>
          <w:jc w:val="center"/>
        </w:trPr>
        <w:tc>
          <w:tcPr>
            <w:tcW w:w="1215" w:type="dxa"/>
            <w:vAlign w:val="center"/>
          </w:tcPr>
          <w:p w14:paraId="10E2B078" w14:textId="77777777" w:rsidR="00680DC6" w:rsidRPr="00CE7A6F" w:rsidRDefault="00680DC6" w:rsidP="00680DC6">
            <w:pPr>
              <w:spacing w:before="60" w:after="60"/>
              <w:jc w:val="center"/>
              <w:rPr>
                <w:rFonts w:cs="Arial"/>
              </w:rPr>
            </w:pPr>
            <w:r w:rsidRPr="00CE7A6F">
              <w:rPr>
                <w:rFonts w:cs="Arial"/>
              </w:rPr>
              <w:lastRenderedPageBreak/>
              <w:t>GT 3</w:t>
            </w:r>
          </w:p>
        </w:tc>
        <w:tc>
          <w:tcPr>
            <w:tcW w:w="2935" w:type="dxa"/>
            <w:vAlign w:val="center"/>
          </w:tcPr>
          <w:p w14:paraId="6398A1EA" w14:textId="77777777" w:rsidR="00680DC6" w:rsidRPr="00CE7A6F" w:rsidRDefault="00680DC6" w:rsidP="00680DC6">
            <w:pPr>
              <w:spacing w:before="60" w:after="60"/>
              <w:jc w:val="center"/>
              <w:rPr>
                <w:rFonts w:cs="Arial"/>
              </w:rPr>
            </w:pPr>
            <w:r w:rsidRPr="00CE7A6F">
              <w:rPr>
                <w:rFonts w:cs="Arial"/>
              </w:rPr>
              <w:t>SURVEYOR-2 (M14-</w:t>
            </w:r>
            <w:proofErr w:type="gramStart"/>
            <w:r w:rsidRPr="00CE7A6F">
              <w:rPr>
                <w:rFonts w:cs="Arial"/>
              </w:rPr>
              <w:t>868)</w:t>
            </w:r>
            <w:r w:rsidRPr="00CE7A6F">
              <w:rPr>
                <w:rFonts w:cs="Arial"/>
                <w:vertAlign w:val="superscript"/>
              </w:rPr>
              <w:t>d</w:t>
            </w:r>
            <w:proofErr w:type="gramEnd"/>
          </w:p>
        </w:tc>
        <w:tc>
          <w:tcPr>
            <w:tcW w:w="4437" w:type="dxa"/>
            <w:vAlign w:val="center"/>
          </w:tcPr>
          <w:p w14:paraId="7188824B" w14:textId="77777777" w:rsidR="00680DC6" w:rsidRPr="00CE7A6F" w:rsidRDefault="00680DC6" w:rsidP="00680DC6">
            <w:pPr>
              <w:spacing w:before="60" w:after="60"/>
              <w:jc w:val="center"/>
              <w:rPr>
                <w:rFonts w:cs="Arial"/>
              </w:rPr>
            </w:pPr>
            <w:r w:rsidRPr="00CE7A6F">
              <w:rPr>
                <w:rFonts w:cs="Arial"/>
              </w:rPr>
              <w:t>MAVIRET for 12 weeks (TN only) (n=64) or 16 weeks (TE only) (n=51)</w:t>
            </w:r>
          </w:p>
        </w:tc>
      </w:tr>
      <w:tr w:rsidR="00CE7A6F" w:rsidRPr="00CE7A6F" w14:paraId="62C8EE8F" w14:textId="77777777" w:rsidTr="00CE7A6F">
        <w:trPr>
          <w:trHeight w:val="134"/>
          <w:jc w:val="center"/>
        </w:trPr>
        <w:tc>
          <w:tcPr>
            <w:tcW w:w="1215" w:type="dxa"/>
            <w:vAlign w:val="center"/>
          </w:tcPr>
          <w:p w14:paraId="4110FB7F" w14:textId="77777777" w:rsidR="00195300" w:rsidRPr="00CE7A6F" w:rsidRDefault="00195300" w:rsidP="003E325E">
            <w:pPr>
              <w:spacing w:before="60" w:after="60"/>
              <w:jc w:val="center"/>
              <w:rPr>
                <w:rFonts w:cs="Arial"/>
              </w:rPr>
            </w:pPr>
            <w:r w:rsidRPr="00CE7A6F">
              <w:rPr>
                <w:rFonts w:cs="Arial"/>
              </w:rPr>
              <w:t>GT 5, 6</w:t>
            </w:r>
          </w:p>
        </w:tc>
        <w:tc>
          <w:tcPr>
            <w:tcW w:w="2935" w:type="dxa"/>
            <w:vAlign w:val="center"/>
          </w:tcPr>
          <w:p w14:paraId="438D00F1" w14:textId="77777777" w:rsidR="00195300" w:rsidRPr="00CE7A6F" w:rsidRDefault="00195300" w:rsidP="003E325E">
            <w:pPr>
              <w:spacing w:before="60" w:after="60"/>
              <w:jc w:val="center"/>
              <w:rPr>
                <w:rFonts w:cs="Arial"/>
              </w:rPr>
            </w:pPr>
            <w:r w:rsidRPr="00CE7A6F">
              <w:rPr>
                <w:rFonts w:cs="Arial"/>
              </w:rPr>
              <w:t>ENDURANCE-5, 6 (M16-126)</w:t>
            </w:r>
          </w:p>
        </w:tc>
        <w:tc>
          <w:tcPr>
            <w:tcW w:w="4437" w:type="dxa"/>
            <w:vAlign w:val="center"/>
          </w:tcPr>
          <w:p w14:paraId="1369F42C" w14:textId="77777777" w:rsidR="00195300" w:rsidRPr="00CE7A6F" w:rsidRDefault="00195300" w:rsidP="003E325E">
            <w:pPr>
              <w:spacing w:before="60" w:after="60"/>
              <w:jc w:val="center"/>
              <w:rPr>
                <w:rFonts w:cs="Arial"/>
              </w:rPr>
            </w:pPr>
            <w:r w:rsidRPr="00CE7A6F">
              <w:rPr>
                <w:rFonts w:cs="Arial"/>
              </w:rPr>
              <w:t>MAVIRET for 12 weeks (n=9)</w:t>
            </w:r>
          </w:p>
        </w:tc>
      </w:tr>
      <w:tr w:rsidR="00CE7A6F" w:rsidRPr="00CE7A6F" w14:paraId="4FEEEA71" w14:textId="77777777" w:rsidTr="00CE7A6F">
        <w:trPr>
          <w:trHeight w:val="134"/>
          <w:jc w:val="center"/>
        </w:trPr>
        <w:tc>
          <w:tcPr>
            <w:tcW w:w="1215" w:type="dxa"/>
            <w:vAlign w:val="center"/>
          </w:tcPr>
          <w:p w14:paraId="652547F7" w14:textId="71E30984" w:rsidR="00680DC6" w:rsidRPr="00A4182C" w:rsidRDefault="00680DC6" w:rsidP="00680DC6">
            <w:pPr>
              <w:spacing w:before="60" w:after="60"/>
              <w:jc w:val="center"/>
              <w:rPr>
                <w:rFonts w:cs="Arial"/>
              </w:rPr>
            </w:pPr>
            <w:r w:rsidRPr="00A4182C">
              <w:rPr>
                <w:rFonts w:cs="Arial"/>
              </w:rPr>
              <w:t>GT</w:t>
            </w:r>
            <w:r w:rsidR="00195300" w:rsidRPr="00A4182C">
              <w:rPr>
                <w:rFonts w:cs="Arial"/>
              </w:rPr>
              <w:t xml:space="preserve"> </w:t>
            </w:r>
            <w:r w:rsidRPr="00A4182C">
              <w:rPr>
                <w:rFonts w:cs="Arial"/>
              </w:rPr>
              <w:t xml:space="preserve">1-6 </w:t>
            </w:r>
          </w:p>
        </w:tc>
        <w:tc>
          <w:tcPr>
            <w:tcW w:w="2935" w:type="dxa"/>
            <w:vAlign w:val="center"/>
          </w:tcPr>
          <w:p w14:paraId="6246C1F8" w14:textId="5B47E947" w:rsidR="00680DC6" w:rsidRPr="00A4182C" w:rsidRDefault="00680DC6" w:rsidP="00680DC6">
            <w:pPr>
              <w:spacing w:before="60" w:after="60"/>
              <w:jc w:val="center"/>
              <w:rPr>
                <w:rFonts w:cs="Arial"/>
              </w:rPr>
            </w:pPr>
            <w:r w:rsidRPr="00A4182C">
              <w:rPr>
                <w:rFonts w:cs="Arial"/>
              </w:rPr>
              <w:t>EXPEDITION-8 (M16-135)</w:t>
            </w:r>
          </w:p>
        </w:tc>
        <w:tc>
          <w:tcPr>
            <w:tcW w:w="4437" w:type="dxa"/>
            <w:vAlign w:val="center"/>
          </w:tcPr>
          <w:p w14:paraId="4F8C2EDE" w14:textId="33D8EF62" w:rsidR="00680DC6" w:rsidRPr="00A4182C" w:rsidRDefault="00680DC6" w:rsidP="00680DC6">
            <w:pPr>
              <w:spacing w:before="60" w:after="60"/>
              <w:jc w:val="center"/>
              <w:rPr>
                <w:rFonts w:cs="Arial"/>
              </w:rPr>
            </w:pPr>
            <w:r w:rsidRPr="00A4182C">
              <w:rPr>
                <w:rFonts w:cs="Arial"/>
              </w:rPr>
              <w:t>MAVIRET for 8 weeks (n=343) (TN only)</w:t>
            </w:r>
          </w:p>
        </w:tc>
      </w:tr>
      <w:tr w:rsidR="00CE7A6F" w:rsidRPr="00CE7A6F" w14:paraId="19B02E92" w14:textId="77777777" w:rsidTr="00CE7A6F">
        <w:trPr>
          <w:trHeight w:val="134"/>
          <w:jc w:val="center"/>
        </w:trPr>
        <w:tc>
          <w:tcPr>
            <w:tcW w:w="1215" w:type="dxa"/>
            <w:vAlign w:val="center"/>
          </w:tcPr>
          <w:p w14:paraId="0408BEED" w14:textId="77777777" w:rsidR="00E458BB" w:rsidRPr="00CE7A6F" w:rsidRDefault="00E458BB" w:rsidP="00E7250D">
            <w:pPr>
              <w:spacing w:before="60" w:after="60"/>
              <w:jc w:val="center"/>
              <w:rPr>
                <w:rFonts w:cs="Arial"/>
              </w:rPr>
            </w:pPr>
            <w:r w:rsidRPr="00CE7A6F">
              <w:rPr>
                <w:rFonts w:cs="Arial"/>
              </w:rPr>
              <w:t>GT 1-6</w:t>
            </w:r>
          </w:p>
        </w:tc>
        <w:tc>
          <w:tcPr>
            <w:tcW w:w="2935" w:type="dxa"/>
            <w:vAlign w:val="center"/>
          </w:tcPr>
          <w:p w14:paraId="5E914DD5" w14:textId="77777777" w:rsidR="00E458BB" w:rsidRPr="00CE7A6F" w:rsidRDefault="00E458BB" w:rsidP="00E7250D">
            <w:pPr>
              <w:spacing w:before="60" w:after="60"/>
              <w:jc w:val="center"/>
              <w:rPr>
                <w:rFonts w:cs="Arial"/>
              </w:rPr>
            </w:pPr>
            <w:r w:rsidRPr="00CE7A6F">
              <w:rPr>
                <w:rFonts w:cs="Arial"/>
              </w:rPr>
              <w:t>VOYAGE-2</w:t>
            </w:r>
            <w:r w:rsidRPr="00CE7A6F">
              <w:rPr>
                <w:rFonts w:cs="Arial"/>
                <w:vertAlign w:val="superscript"/>
              </w:rPr>
              <w:t xml:space="preserve"> f</w:t>
            </w:r>
            <w:r w:rsidRPr="00CE7A6F">
              <w:rPr>
                <w:rFonts w:cs="Arial"/>
              </w:rPr>
              <w:t xml:space="preserve"> (M15-593)</w:t>
            </w:r>
          </w:p>
        </w:tc>
        <w:tc>
          <w:tcPr>
            <w:tcW w:w="4437" w:type="dxa"/>
            <w:vAlign w:val="center"/>
          </w:tcPr>
          <w:p w14:paraId="2AF2440B" w14:textId="77777777" w:rsidR="00E458BB" w:rsidRDefault="00E458BB" w:rsidP="00E7250D">
            <w:pPr>
              <w:spacing w:before="60" w:after="60"/>
              <w:jc w:val="center"/>
              <w:rPr>
                <w:rFonts w:cs="Arial"/>
              </w:rPr>
            </w:pPr>
            <w:r w:rsidRPr="00CE7A6F">
              <w:rPr>
                <w:rFonts w:cs="Arial"/>
              </w:rPr>
              <w:t>MAVIRET for 12 weeks (GT1, 2, 4, 5, and 6, and GT3 TN (n=157); GT3 PRS-TE, only (n=3))</w:t>
            </w:r>
          </w:p>
          <w:p w14:paraId="0763C604" w14:textId="3D741FBC" w:rsidR="00A4182C" w:rsidRPr="00CE7A6F" w:rsidRDefault="00A4182C" w:rsidP="00E7250D">
            <w:pPr>
              <w:spacing w:before="60" w:after="60"/>
              <w:jc w:val="center"/>
              <w:rPr>
                <w:rFonts w:cs="Arial"/>
              </w:rPr>
            </w:pPr>
          </w:p>
        </w:tc>
      </w:tr>
      <w:tr w:rsidR="00CE7A6F" w:rsidRPr="00CE7A6F" w14:paraId="6F114248" w14:textId="77777777" w:rsidTr="00CE7A6F">
        <w:trPr>
          <w:trHeight w:val="276"/>
          <w:jc w:val="center"/>
        </w:trPr>
        <w:tc>
          <w:tcPr>
            <w:tcW w:w="8587" w:type="dxa"/>
            <w:gridSpan w:val="3"/>
            <w:vAlign w:val="center"/>
          </w:tcPr>
          <w:p w14:paraId="75984EBB" w14:textId="77777777" w:rsidR="00680DC6" w:rsidRPr="00CE7A6F" w:rsidRDefault="00680DC6" w:rsidP="00680DC6">
            <w:pPr>
              <w:spacing w:before="60" w:after="60"/>
              <w:jc w:val="center"/>
              <w:rPr>
                <w:rFonts w:cs="Arial"/>
                <w:b/>
              </w:rPr>
            </w:pPr>
            <w:r w:rsidRPr="00CE7A6F">
              <w:rPr>
                <w:rFonts w:cs="Arial"/>
                <w:b/>
              </w:rPr>
              <w:t>Patients with CKD stage 4 and 5 with or without cirrhosis</w:t>
            </w:r>
          </w:p>
        </w:tc>
      </w:tr>
      <w:tr w:rsidR="00CE7A6F" w:rsidRPr="00CE7A6F" w14:paraId="2D8F6844" w14:textId="77777777" w:rsidTr="00CE7A6F">
        <w:trPr>
          <w:trHeight w:val="263"/>
          <w:jc w:val="center"/>
        </w:trPr>
        <w:tc>
          <w:tcPr>
            <w:tcW w:w="1215" w:type="dxa"/>
            <w:vAlign w:val="center"/>
          </w:tcPr>
          <w:p w14:paraId="0428C928" w14:textId="77777777" w:rsidR="00680DC6" w:rsidRPr="00CE7A6F" w:rsidRDefault="00680DC6" w:rsidP="00680DC6">
            <w:pPr>
              <w:spacing w:before="60" w:after="60"/>
              <w:ind w:left="162"/>
              <w:jc w:val="center"/>
              <w:rPr>
                <w:rFonts w:cs="Arial"/>
              </w:rPr>
            </w:pPr>
            <w:r w:rsidRPr="00CE7A6F">
              <w:rPr>
                <w:rFonts w:cs="Arial"/>
              </w:rPr>
              <w:t>GT 1-6</w:t>
            </w:r>
          </w:p>
        </w:tc>
        <w:tc>
          <w:tcPr>
            <w:tcW w:w="2935" w:type="dxa"/>
            <w:vAlign w:val="center"/>
          </w:tcPr>
          <w:p w14:paraId="2BB9C6E5" w14:textId="77777777" w:rsidR="00680DC6" w:rsidRPr="00CE7A6F" w:rsidRDefault="00680DC6" w:rsidP="00680DC6">
            <w:pPr>
              <w:spacing w:before="60" w:after="60"/>
              <w:jc w:val="center"/>
              <w:rPr>
                <w:rFonts w:cs="Arial"/>
              </w:rPr>
            </w:pPr>
            <w:r w:rsidRPr="00CE7A6F">
              <w:rPr>
                <w:rFonts w:cs="Arial"/>
              </w:rPr>
              <w:t>EXPEDITION-4 (M15-462)</w:t>
            </w:r>
          </w:p>
        </w:tc>
        <w:tc>
          <w:tcPr>
            <w:tcW w:w="4437" w:type="dxa"/>
            <w:vAlign w:val="center"/>
          </w:tcPr>
          <w:p w14:paraId="110FFDFC" w14:textId="77777777" w:rsidR="00680DC6" w:rsidRPr="00CE7A6F" w:rsidRDefault="00680DC6" w:rsidP="00680DC6">
            <w:pPr>
              <w:spacing w:before="60" w:after="60"/>
              <w:jc w:val="center"/>
              <w:rPr>
                <w:rFonts w:cs="Arial"/>
              </w:rPr>
            </w:pPr>
            <w:r w:rsidRPr="00CE7A6F">
              <w:rPr>
                <w:rFonts w:cs="Arial"/>
              </w:rPr>
              <w:t>MAVIRET for 12 weeks (n=104)</w:t>
            </w:r>
          </w:p>
        </w:tc>
      </w:tr>
      <w:tr w:rsidR="00CE7A6F" w:rsidRPr="00CE7A6F" w14:paraId="1A06DF8F" w14:textId="77777777" w:rsidTr="00CE7A6F">
        <w:trPr>
          <w:trHeight w:val="276"/>
          <w:jc w:val="center"/>
        </w:trPr>
        <w:tc>
          <w:tcPr>
            <w:tcW w:w="8587" w:type="dxa"/>
            <w:gridSpan w:val="3"/>
            <w:vAlign w:val="center"/>
          </w:tcPr>
          <w:p w14:paraId="719FC99F" w14:textId="77777777" w:rsidR="00680DC6" w:rsidRPr="00CE7A6F" w:rsidRDefault="00680DC6" w:rsidP="00680DC6">
            <w:pPr>
              <w:spacing w:before="60" w:after="60"/>
              <w:jc w:val="center"/>
              <w:rPr>
                <w:rFonts w:cs="Arial"/>
                <w:b/>
              </w:rPr>
            </w:pPr>
            <w:r w:rsidRPr="00CE7A6F">
              <w:rPr>
                <w:rFonts w:cs="Arial"/>
                <w:b/>
              </w:rPr>
              <w:t>NS5A inhibitor and/or NS3/4A PI-experienced patients with or without cirrhosis</w:t>
            </w:r>
          </w:p>
        </w:tc>
      </w:tr>
      <w:tr w:rsidR="00CE7A6F" w:rsidRPr="00CE7A6F" w14:paraId="2E2D2A1A" w14:textId="77777777" w:rsidTr="00CE7A6F">
        <w:trPr>
          <w:trHeight w:val="152"/>
          <w:jc w:val="center"/>
        </w:trPr>
        <w:tc>
          <w:tcPr>
            <w:tcW w:w="1215" w:type="dxa"/>
            <w:tcBorders>
              <w:bottom w:val="single" w:sz="4" w:space="0" w:color="auto"/>
            </w:tcBorders>
            <w:vAlign w:val="center"/>
          </w:tcPr>
          <w:p w14:paraId="14BB4219" w14:textId="77777777" w:rsidR="00680DC6" w:rsidRPr="00CE7A6F" w:rsidRDefault="00680DC6" w:rsidP="00680DC6">
            <w:pPr>
              <w:spacing w:before="60" w:after="60"/>
              <w:ind w:left="162"/>
              <w:jc w:val="center"/>
              <w:rPr>
                <w:rFonts w:cs="Arial"/>
              </w:rPr>
            </w:pPr>
            <w:r w:rsidRPr="00CE7A6F">
              <w:rPr>
                <w:rFonts w:cs="Arial"/>
              </w:rPr>
              <w:t>GT 1, 4</w:t>
            </w:r>
          </w:p>
        </w:tc>
        <w:tc>
          <w:tcPr>
            <w:tcW w:w="2935" w:type="dxa"/>
            <w:tcBorders>
              <w:bottom w:val="single" w:sz="4" w:space="0" w:color="auto"/>
            </w:tcBorders>
            <w:vAlign w:val="center"/>
          </w:tcPr>
          <w:p w14:paraId="6EE3880E" w14:textId="77777777" w:rsidR="00680DC6" w:rsidRPr="00CE7A6F" w:rsidRDefault="00680DC6" w:rsidP="00680DC6">
            <w:pPr>
              <w:spacing w:before="60" w:after="60"/>
              <w:jc w:val="center"/>
              <w:rPr>
                <w:rFonts w:cs="Arial"/>
              </w:rPr>
            </w:pPr>
            <w:r w:rsidRPr="00CE7A6F">
              <w:rPr>
                <w:rFonts w:cs="Arial"/>
              </w:rPr>
              <w:t>MAGELLAN-1 (M15-</w:t>
            </w:r>
            <w:proofErr w:type="gramStart"/>
            <w:r w:rsidRPr="00CE7A6F">
              <w:rPr>
                <w:rFonts w:cs="Arial"/>
              </w:rPr>
              <w:t>410)</w:t>
            </w:r>
            <w:r w:rsidRPr="00CE7A6F">
              <w:rPr>
                <w:rFonts w:cs="Arial"/>
                <w:vertAlign w:val="superscript"/>
              </w:rPr>
              <w:t>e</w:t>
            </w:r>
            <w:proofErr w:type="gramEnd"/>
          </w:p>
        </w:tc>
        <w:tc>
          <w:tcPr>
            <w:tcW w:w="4437" w:type="dxa"/>
            <w:tcBorders>
              <w:bottom w:val="single" w:sz="4" w:space="0" w:color="auto"/>
            </w:tcBorders>
            <w:vAlign w:val="center"/>
          </w:tcPr>
          <w:p w14:paraId="29E76C29" w14:textId="77777777" w:rsidR="00680DC6" w:rsidRPr="00CE7A6F" w:rsidRDefault="00680DC6" w:rsidP="00680DC6">
            <w:pPr>
              <w:spacing w:before="60" w:after="60"/>
              <w:jc w:val="center"/>
              <w:rPr>
                <w:rFonts w:cs="Arial"/>
              </w:rPr>
            </w:pPr>
            <w:r w:rsidRPr="00CE7A6F">
              <w:rPr>
                <w:rFonts w:cs="Arial"/>
              </w:rPr>
              <w:t>MAVIRET for 12 (n=66) or 16 weeks (n=47)</w:t>
            </w:r>
          </w:p>
        </w:tc>
      </w:tr>
      <w:tr w:rsidR="00CE7A6F" w:rsidRPr="00CE7A6F" w14:paraId="58E8A2C1" w14:textId="77777777" w:rsidTr="00CE7A6F">
        <w:trPr>
          <w:trHeight w:val="152"/>
          <w:jc w:val="center"/>
        </w:trPr>
        <w:tc>
          <w:tcPr>
            <w:tcW w:w="8587" w:type="dxa"/>
            <w:gridSpan w:val="3"/>
            <w:tcBorders>
              <w:bottom w:val="single" w:sz="4" w:space="0" w:color="auto"/>
            </w:tcBorders>
            <w:vAlign w:val="center"/>
          </w:tcPr>
          <w:p w14:paraId="15B4ECAF" w14:textId="77777777" w:rsidR="00680DC6" w:rsidRPr="00CE7A6F" w:rsidRDefault="00680DC6" w:rsidP="00680DC6">
            <w:pPr>
              <w:spacing w:before="60" w:after="60"/>
              <w:jc w:val="center"/>
              <w:rPr>
                <w:rFonts w:cs="Arial"/>
                <w:b/>
              </w:rPr>
            </w:pPr>
            <w:r w:rsidRPr="00CE7A6F">
              <w:rPr>
                <w:rFonts w:cs="Arial"/>
                <w:b/>
              </w:rPr>
              <w:t>HCV/HIV-1 coinfected patients with or without cirrhosis</w:t>
            </w:r>
          </w:p>
        </w:tc>
      </w:tr>
      <w:tr w:rsidR="00CE7A6F" w:rsidRPr="00CE7A6F" w14:paraId="05A6C231" w14:textId="77777777" w:rsidTr="00CE7A6F">
        <w:trPr>
          <w:trHeight w:val="152"/>
          <w:jc w:val="center"/>
        </w:trPr>
        <w:tc>
          <w:tcPr>
            <w:tcW w:w="1215" w:type="dxa"/>
            <w:tcBorders>
              <w:bottom w:val="single" w:sz="4" w:space="0" w:color="auto"/>
            </w:tcBorders>
            <w:vAlign w:val="center"/>
          </w:tcPr>
          <w:p w14:paraId="6FB8B441" w14:textId="77777777" w:rsidR="00680DC6" w:rsidRPr="00CE7A6F" w:rsidRDefault="00680DC6" w:rsidP="00680DC6">
            <w:pPr>
              <w:spacing w:before="60" w:after="60"/>
              <w:ind w:left="162"/>
              <w:jc w:val="center"/>
              <w:rPr>
                <w:rFonts w:cs="Arial"/>
              </w:rPr>
            </w:pPr>
            <w:r w:rsidRPr="00CE7A6F">
              <w:rPr>
                <w:rFonts w:cs="Arial"/>
              </w:rPr>
              <w:t>GT 1-6</w:t>
            </w:r>
          </w:p>
        </w:tc>
        <w:tc>
          <w:tcPr>
            <w:tcW w:w="2935" w:type="dxa"/>
            <w:tcBorders>
              <w:bottom w:val="single" w:sz="4" w:space="0" w:color="auto"/>
            </w:tcBorders>
            <w:vAlign w:val="center"/>
          </w:tcPr>
          <w:p w14:paraId="1BE82245" w14:textId="77777777" w:rsidR="00680DC6" w:rsidRPr="00CE7A6F" w:rsidRDefault="00680DC6" w:rsidP="00680DC6">
            <w:pPr>
              <w:spacing w:before="60" w:after="60"/>
              <w:jc w:val="center"/>
              <w:rPr>
                <w:rFonts w:cs="Arial"/>
              </w:rPr>
            </w:pPr>
            <w:r w:rsidRPr="00CE7A6F">
              <w:rPr>
                <w:rFonts w:cs="Arial"/>
              </w:rPr>
              <w:t>EXPEDITION-2 (M14-730)</w:t>
            </w:r>
          </w:p>
        </w:tc>
        <w:tc>
          <w:tcPr>
            <w:tcW w:w="4437" w:type="dxa"/>
            <w:tcBorders>
              <w:bottom w:val="single" w:sz="4" w:space="0" w:color="auto"/>
            </w:tcBorders>
            <w:vAlign w:val="center"/>
          </w:tcPr>
          <w:p w14:paraId="33775FE6" w14:textId="77777777" w:rsidR="00680DC6" w:rsidRPr="00CE7A6F" w:rsidRDefault="00680DC6" w:rsidP="00680DC6">
            <w:pPr>
              <w:spacing w:before="60" w:after="60"/>
              <w:jc w:val="center"/>
              <w:rPr>
                <w:rFonts w:cs="Arial"/>
              </w:rPr>
            </w:pPr>
            <w:r w:rsidRPr="00CE7A6F">
              <w:rPr>
                <w:rFonts w:cs="Arial"/>
              </w:rPr>
              <w:t>MAVIRET for 8 (n=137) or 12 weeks (n=16)</w:t>
            </w:r>
          </w:p>
        </w:tc>
      </w:tr>
      <w:tr w:rsidR="00CE7A6F" w:rsidRPr="00CE7A6F" w14:paraId="34245DBF" w14:textId="77777777" w:rsidTr="00CE7A6F">
        <w:trPr>
          <w:trHeight w:val="152"/>
          <w:jc w:val="center"/>
        </w:trPr>
        <w:tc>
          <w:tcPr>
            <w:tcW w:w="8587" w:type="dxa"/>
            <w:gridSpan w:val="3"/>
            <w:tcBorders>
              <w:bottom w:val="single" w:sz="4" w:space="0" w:color="auto"/>
            </w:tcBorders>
            <w:vAlign w:val="center"/>
          </w:tcPr>
          <w:p w14:paraId="697477CA" w14:textId="77777777" w:rsidR="00680DC6" w:rsidRPr="00CE7A6F" w:rsidRDefault="00680DC6" w:rsidP="00680DC6">
            <w:pPr>
              <w:spacing w:before="60" w:after="60"/>
              <w:jc w:val="center"/>
              <w:rPr>
                <w:rFonts w:cs="Arial"/>
                <w:b/>
              </w:rPr>
            </w:pPr>
            <w:r w:rsidRPr="00CE7A6F">
              <w:rPr>
                <w:rFonts w:cs="Arial"/>
                <w:b/>
              </w:rPr>
              <w:t>Liver or Kidney Transplant Recipients</w:t>
            </w:r>
          </w:p>
        </w:tc>
      </w:tr>
      <w:tr w:rsidR="00CE7A6F" w:rsidRPr="00CE7A6F" w14:paraId="45767093" w14:textId="77777777" w:rsidTr="00CE7A6F">
        <w:trPr>
          <w:trHeight w:val="152"/>
          <w:jc w:val="center"/>
        </w:trPr>
        <w:tc>
          <w:tcPr>
            <w:tcW w:w="1215" w:type="dxa"/>
            <w:tcBorders>
              <w:bottom w:val="single" w:sz="4" w:space="0" w:color="auto"/>
            </w:tcBorders>
            <w:vAlign w:val="center"/>
          </w:tcPr>
          <w:p w14:paraId="722D284C" w14:textId="77777777" w:rsidR="00680DC6" w:rsidRPr="00CE7A6F" w:rsidRDefault="00680DC6" w:rsidP="00680DC6">
            <w:pPr>
              <w:spacing w:before="60" w:after="60"/>
              <w:ind w:left="162"/>
              <w:jc w:val="center"/>
              <w:rPr>
                <w:rFonts w:cs="Arial"/>
              </w:rPr>
            </w:pPr>
            <w:r w:rsidRPr="00CE7A6F">
              <w:rPr>
                <w:rFonts w:cs="Arial"/>
              </w:rPr>
              <w:t>GT 1-6</w:t>
            </w:r>
          </w:p>
        </w:tc>
        <w:tc>
          <w:tcPr>
            <w:tcW w:w="2935" w:type="dxa"/>
            <w:tcBorders>
              <w:bottom w:val="single" w:sz="4" w:space="0" w:color="auto"/>
            </w:tcBorders>
            <w:vAlign w:val="center"/>
          </w:tcPr>
          <w:p w14:paraId="496FE97D" w14:textId="77777777" w:rsidR="00680DC6" w:rsidRPr="00CE7A6F" w:rsidRDefault="00680DC6" w:rsidP="00680DC6">
            <w:pPr>
              <w:spacing w:before="60" w:after="60"/>
              <w:jc w:val="center"/>
              <w:rPr>
                <w:rFonts w:cs="Arial"/>
              </w:rPr>
            </w:pPr>
            <w:r w:rsidRPr="00CE7A6F">
              <w:rPr>
                <w:rFonts w:cs="Arial"/>
              </w:rPr>
              <w:t>MAGELLAN-2 (M13-596)</w:t>
            </w:r>
          </w:p>
        </w:tc>
        <w:tc>
          <w:tcPr>
            <w:tcW w:w="4437" w:type="dxa"/>
            <w:tcBorders>
              <w:bottom w:val="single" w:sz="4" w:space="0" w:color="auto"/>
            </w:tcBorders>
            <w:vAlign w:val="center"/>
          </w:tcPr>
          <w:p w14:paraId="655D403E" w14:textId="77777777" w:rsidR="00680DC6" w:rsidRPr="00CE7A6F" w:rsidRDefault="00680DC6" w:rsidP="00680DC6">
            <w:pPr>
              <w:spacing w:before="60" w:after="60"/>
              <w:jc w:val="center"/>
              <w:rPr>
                <w:rFonts w:cs="Arial"/>
              </w:rPr>
            </w:pPr>
            <w:r w:rsidRPr="00CE7A6F">
              <w:rPr>
                <w:rFonts w:cs="Arial"/>
              </w:rPr>
              <w:t>MAVIRET for 12 weeks (n=100)</w:t>
            </w:r>
          </w:p>
        </w:tc>
      </w:tr>
      <w:tr w:rsidR="00CE7A6F" w:rsidRPr="00CE7A6F" w14:paraId="3C5A3E03" w14:textId="77777777" w:rsidTr="00CE7A6F">
        <w:trPr>
          <w:trHeight w:val="152"/>
          <w:jc w:val="center"/>
        </w:trPr>
        <w:tc>
          <w:tcPr>
            <w:tcW w:w="8587" w:type="dxa"/>
            <w:gridSpan w:val="3"/>
            <w:tcBorders>
              <w:bottom w:val="single" w:sz="4" w:space="0" w:color="auto"/>
            </w:tcBorders>
            <w:vAlign w:val="center"/>
          </w:tcPr>
          <w:p w14:paraId="55FBEA59" w14:textId="332CD6B1" w:rsidR="00680DC6" w:rsidRPr="00CE7A6F" w:rsidRDefault="00680DC6" w:rsidP="00680DC6">
            <w:pPr>
              <w:spacing w:before="60" w:after="60"/>
              <w:jc w:val="center"/>
              <w:rPr>
                <w:rFonts w:cs="Arial"/>
              </w:rPr>
            </w:pPr>
            <w:r w:rsidRPr="00CE7A6F">
              <w:rPr>
                <w:rFonts w:cs="Arial"/>
                <w:b/>
              </w:rPr>
              <w:t xml:space="preserve">Adolescent patients (12 </w:t>
            </w:r>
            <w:r w:rsidR="00FA1AB2">
              <w:rPr>
                <w:rFonts w:cs="Arial"/>
                <w:b/>
              </w:rPr>
              <w:t xml:space="preserve">years </w:t>
            </w:r>
            <w:r w:rsidRPr="00CE7A6F">
              <w:rPr>
                <w:rFonts w:cs="Arial"/>
                <w:b/>
              </w:rPr>
              <w:t>to less than 18 years)</w:t>
            </w:r>
          </w:p>
        </w:tc>
      </w:tr>
      <w:tr w:rsidR="00CE7A6F" w:rsidRPr="00CE7A6F" w14:paraId="7BAC4403" w14:textId="77777777" w:rsidTr="00CE7A6F">
        <w:trPr>
          <w:trHeight w:val="152"/>
          <w:jc w:val="center"/>
        </w:trPr>
        <w:tc>
          <w:tcPr>
            <w:tcW w:w="1215" w:type="dxa"/>
            <w:tcBorders>
              <w:bottom w:val="single" w:sz="4" w:space="0" w:color="auto"/>
            </w:tcBorders>
            <w:vAlign w:val="center"/>
          </w:tcPr>
          <w:p w14:paraId="42EEC4CB" w14:textId="472810AD" w:rsidR="00680DC6" w:rsidRPr="00CE7A6F" w:rsidRDefault="00680DC6" w:rsidP="00680DC6">
            <w:pPr>
              <w:spacing w:before="60" w:after="60"/>
              <w:ind w:left="162"/>
              <w:jc w:val="center"/>
              <w:rPr>
                <w:rFonts w:cs="Arial"/>
              </w:rPr>
            </w:pPr>
            <w:r w:rsidRPr="00CE7A6F">
              <w:rPr>
                <w:rFonts w:cs="Arial"/>
              </w:rPr>
              <w:t>GT 1-6</w:t>
            </w:r>
          </w:p>
        </w:tc>
        <w:tc>
          <w:tcPr>
            <w:tcW w:w="2935" w:type="dxa"/>
            <w:tcBorders>
              <w:bottom w:val="single" w:sz="4" w:space="0" w:color="auto"/>
            </w:tcBorders>
            <w:vAlign w:val="center"/>
          </w:tcPr>
          <w:p w14:paraId="5D006CFF" w14:textId="5252252D" w:rsidR="00680DC6" w:rsidRPr="00CE7A6F" w:rsidRDefault="00553D55" w:rsidP="00680DC6">
            <w:pPr>
              <w:spacing w:before="60" w:after="60"/>
              <w:jc w:val="center"/>
              <w:rPr>
                <w:rFonts w:cs="Arial"/>
              </w:rPr>
            </w:pPr>
            <w:r w:rsidRPr="00CE7A6F">
              <w:rPr>
                <w:rFonts w:cs="Arial"/>
              </w:rPr>
              <w:t>DORA – PART 1 (M16-123)</w:t>
            </w:r>
          </w:p>
        </w:tc>
        <w:tc>
          <w:tcPr>
            <w:tcW w:w="4437" w:type="dxa"/>
            <w:tcBorders>
              <w:bottom w:val="single" w:sz="4" w:space="0" w:color="auto"/>
            </w:tcBorders>
            <w:vAlign w:val="center"/>
          </w:tcPr>
          <w:p w14:paraId="746256E3" w14:textId="3BC22D1D" w:rsidR="00680DC6" w:rsidRPr="00CE7A6F" w:rsidRDefault="00553D55" w:rsidP="00680DC6">
            <w:pPr>
              <w:spacing w:before="60" w:after="60"/>
              <w:jc w:val="center"/>
              <w:rPr>
                <w:rFonts w:cs="Arial"/>
              </w:rPr>
            </w:pPr>
            <w:r w:rsidRPr="00CE7A6F">
              <w:rPr>
                <w:rFonts w:cs="Arial"/>
              </w:rPr>
              <w:t>MAVIRET for 8 weeks (n=44) or 16 weeks (n=3)</w:t>
            </w:r>
          </w:p>
        </w:tc>
      </w:tr>
    </w:tbl>
    <w:tbl>
      <w:tblPr>
        <w:tblStyle w:val="TableGrid1"/>
        <w:tblW w:w="8587" w:type="dxa"/>
        <w:jc w:val="center"/>
        <w:tblLayout w:type="fixed"/>
        <w:tblLook w:val="04A0" w:firstRow="1" w:lastRow="0" w:firstColumn="1" w:lastColumn="0" w:noHBand="0" w:noVBand="1"/>
      </w:tblPr>
      <w:tblGrid>
        <w:gridCol w:w="1215"/>
        <w:gridCol w:w="2935"/>
        <w:gridCol w:w="4437"/>
      </w:tblGrid>
      <w:tr w:rsidR="00FA1AB2" w:rsidRPr="00982637" w14:paraId="3ABDBCD0" w14:textId="77777777" w:rsidTr="00FA1AB2">
        <w:trPr>
          <w:trHeight w:val="152"/>
          <w:jc w:val="center"/>
        </w:trPr>
        <w:tc>
          <w:tcPr>
            <w:tcW w:w="8587" w:type="dxa"/>
            <w:gridSpan w:val="3"/>
            <w:tcBorders>
              <w:bottom w:val="single" w:sz="4" w:space="0" w:color="auto"/>
            </w:tcBorders>
            <w:vAlign w:val="center"/>
          </w:tcPr>
          <w:p w14:paraId="7B490124" w14:textId="77777777" w:rsidR="00FA1AB2" w:rsidRPr="00982637" w:rsidRDefault="00FA1AB2" w:rsidP="007D52B7">
            <w:pPr>
              <w:spacing w:before="60" w:after="60"/>
              <w:jc w:val="center"/>
              <w:rPr>
                <w:rFonts w:cs="Arial"/>
              </w:rPr>
            </w:pPr>
            <w:r>
              <w:rPr>
                <w:rFonts w:cs="Arial"/>
              </w:rPr>
              <w:t>Paediatric patients (3 years to less than 12 years)</w:t>
            </w:r>
          </w:p>
        </w:tc>
      </w:tr>
      <w:tr w:rsidR="00FA1AB2" w:rsidRPr="00982637" w14:paraId="3E261A06" w14:textId="77777777" w:rsidTr="00FA1AB2">
        <w:trPr>
          <w:trHeight w:val="152"/>
          <w:jc w:val="center"/>
        </w:trPr>
        <w:tc>
          <w:tcPr>
            <w:tcW w:w="1215" w:type="dxa"/>
            <w:tcBorders>
              <w:bottom w:val="single" w:sz="4" w:space="0" w:color="auto"/>
            </w:tcBorders>
            <w:vAlign w:val="center"/>
          </w:tcPr>
          <w:p w14:paraId="1C013F6C" w14:textId="77777777" w:rsidR="00FA1AB2" w:rsidRPr="00982637" w:rsidRDefault="00FA1AB2" w:rsidP="007D52B7">
            <w:pPr>
              <w:spacing w:before="60" w:after="60"/>
              <w:ind w:left="162"/>
              <w:jc w:val="center"/>
              <w:rPr>
                <w:rFonts w:cs="Arial"/>
              </w:rPr>
            </w:pPr>
            <w:r>
              <w:rPr>
                <w:rFonts w:cs="Arial"/>
              </w:rPr>
              <w:t>GT 1-6</w:t>
            </w:r>
          </w:p>
        </w:tc>
        <w:tc>
          <w:tcPr>
            <w:tcW w:w="2935" w:type="dxa"/>
            <w:tcBorders>
              <w:bottom w:val="single" w:sz="4" w:space="0" w:color="auto"/>
            </w:tcBorders>
            <w:vAlign w:val="center"/>
          </w:tcPr>
          <w:p w14:paraId="76EACD20" w14:textId="77777777" w:rsidR="00FA1AB2" w:rsidRPr="00982637" w:rsidRDefault="00FA1AB2" w:rsidP="007D52B7">
            <w:pPr>
              <w:spacing w:before="60" w:after="60"/>
              <w:jc w:val="center"/>
              <w:rPr>
                <w:rFonts w:cs="Arial"/>
              </w:rPr>
            </w:pPr>
            <w:r w:rsidRPr="00982637">
              <w:rPr>
                <w:rFonts w:cs="Arial"/>
              </w:rPr>
              <w:t xml:space="preserve">DORA – PART </w:t>
            </w:r>
            <w:r>
              <w:rPr>
                <w:rFonts w:cs="Arial"/>
              </w:rPr>
              <w:t>2</w:t>
            </w:r>
            <w:r w:rsidRPr="00982637">
              <w:rPr>
                <w:rFonts w:cs="Arial"/>
              </w:rPr>
              <w:t xml:space="preserve"> (M16-123)</w:t>
            </w:r>
          </w:p>
        </w:tc>
        <w:tc>
          <w:tcPr>
            <w:tcW w:w="4437" w:type="dxa"/>
            <w:tcBorders>
              <w:bottom w:val="single" w:sz="4" w:space="0" w:color="auto"/>
            </w:tcBorders>
            <w:vAlign w:val="center"/>
          </w:tcPr>
          <w:p w14:paraId="28CC3BFD" w14:textId="77777777" w:rsidR="00FA1AB2" w:rsidRPr="00982637" w:rsidRDefault="00FA1AB2" w:rsidP="007D52B7">
            <w:pPr>
              <w:spacing w:before="60" w:after="60"/>
              <w:jc w:val="center"/>
              <w:rPr>
                <w:rFonts w:cs="Arial"/>
              </w:rPr>
            </w:pPr>
            <w:r>
              <w:rPr>
                <w:rFonts w:cs="Arial"/>
              </w:rPr>
              <w:t>MAVIRET</w:t>
            </w:r>
            <w:r w:rsidRPr="00EA06A6">
              <w:rPr>
                <w:rFonts w:cs="Arial"/>
              </w:rPr>
              <w:t xml:space="preserve"> for 8 (n=78), 12 (n=1), or 16 weeks (n=1)</w:t>
            </w:r>
          </w:p>
        </w:tc>
      </w:tr>
    </w:tbl>
    <w:tbl>
      <w:tblPr>
        <w:tblStyle w:val="TableGrid"/>
        <w:tblW w:w="8587" w:type="dxa"/>
        <w:jc w:val="center"/>
        <w:tblLayout w:type="fixed"/>
        <w:tblLook w:val="04A0" w:firstRow="1" w:lastRow="0" w:firstColumn="1" w:lastColumn="0" w:noHBand="0" w:noVBand="1"/>
      </w:tblPr>
      <w:tblGrid>
        <w:gridCol w:w="8587"/>
      </w:tblGrid>
      <w:tr w:rsidR="00CE7A6F" w:rsidRPr="00CE7A6F" w14:paraId="741A367F" w14:textId="77777777" w:rsidTr="00CE7A6F">
        <w:trPr>
          <w:trHeight w:val="1610"/>
          <w:jc w:val="center"/>
        </w:trPr>
        <w:tc>
          <w:tcPr>
            <w:tcW w:w="8587" w:type="dxa"/>
            <w:tcBorders>
              <w:top w:val="single" w:sz="4" w:space="0" w:color="auto"/>
              <w:left w:val="nil"/>
              <w:bottom w:val="nil"/>
              <w:right w:val="nil"/>
            </w:tcBorders>
          </w:tcPr>
          <w:p w14:paraId="6BC9A060" w14:textId="7C3BA97D" w:rsidR="00680DC6" w:rsidRDefault="00680DC6" w:rsidP="00680DC6">
            <w:pPr>
              <w:spacing w:before="60" w:after="60"/>
              <w:rPr>
                <w:rFonts w:cs="Arial"/>
              </w:rPr>
            </w:pPr>
            <w:r w:rsidRPr="00CE7A6F">
              <w:rPr>
                <w:rFonts w:cs="Arial"/>
              </w:rPr>
              <w:t xml:space="preserve">TN = treatment-naïve, </w:t>
            </w:r>
            <w:r w:rsidR="00B85AF8" w:rsidRPr="00CE7A6F">
              <w:rPr>
                <w:rFonts w:cs="Arial"/>
              </w:rPr>
              <w:t>PRS-</w:t>
            </w:r>
            <w:r w:rsidRPr="00CE7A6F">
              <w:rPr>
                <w:rFonts w:cs="Arial"/>
              </w:rPr>
              <w:t xml:space="preserve">TE = treatment-experienced (includes previous treatment that included </w:t>
            </w:r>
            <w:proofErr w:type="spellStart"/>
            <w:r w:rsidRPr="00CE7A6F">
              <w:rPr>
                <w:rFonts w:cs="Arial"/>
              </w:rPr>
              <w:t>pegIFN</w:t>
            </w:r>
            <w:proofErr w:type="spellEnd"/>
            <w:r w:rsidRPr="00CE7A6F">
              <w:rPr>
                <w:rFonts w:cs="Arial"/>
              </w:rPr>
              <w:t xml:space="preserve"> or IFN, and/or RBV and/or sofosbuvir), PI = Protease Inhibitor, CKD = chronic kidney disease</w:t>
            </w:r>
          </w:p>
          <w:p w14:paraId="17E22BA1" w14:textId="5AB085D8" w:rsidR="00FA1AB2" w:rsidRPr="00CE7A6F" w:rsidRDefault="00FA1AB2" w:rsidP="00680DC6">
            <w:pPr>
              <w:spacing w:before="60" w:after="60"/>
              <w:rPr>
                <w:rFonts w:cs="Arial"/>
              </w:rPr>
            </w:pPr>
            <w:r>
              <w:rPr>
                <w:rFonts w:cs="Arial"/>
              </w:rPr>
              <w:t xml:space="preserve">* </w:t>
            </w:r>
            <w:r w:rsidRPr="00EA06A6">
              <w:rPr>
                <w:rFonts w:cs="Arial"/>
              </w:rPr>
              <w:t xml:space="preserve">Treatment durations for some trial arms shown in this table do not reflect recommended dosing for the respective genotypes, prior treatment history, and/or cirrhosis status. Refer to </w:t>
            </w:r>
            <w:r w:rsidRPr="00070D98">
              <w:rPr>
                <w:rFonts w:cs="Arial"/>
              </w:rPr>
              <w:t>Section 4.2 Dose and method of administration for</w:t>
            </w:r>
            <w:r w:rsidRPr="00EA06A6">
              <w:rPr>
                <w:rFonts w:cs="Arial"/>
              </w:rPr>
              <w:t xml:space="preserve"> recommended dosing in adults</w:t>
            </w:r>
            <w:r>
              <w:rPr>
                <w:rFonts w:cs="Arial"/>
              </w:rPr>
              <w:t xml:space="preserve">, </w:t>
            </w:r>
            <w:proofErr w:type="gramStart"/>
            <w:r>
              <w:rPr>
                <w:rFonts w:cs="Arial"/>
              </w:rPr>
              <w:t>adolescents</w:t>
            </w:r>
            <w:proofErr w:type="gramEnd"/>
            <w:r w:rsidRPr="00EA06A6">
              <w:rPr>
                <w:rFonts w:cs="Arial"/>
              </w:rPr>
              <w:t xml:space="preserve"> and p</w:t>
            </w:r>
            <w:r>
              <w:rPr>
                <w:rFonts w:cs="Arial"/>
              </w:rPr>
              <w:t>a</w:t>
            </w:r>
            <w:r w:rsidRPr="00EA06A6">
              <w:rPr>
                <w:rFonts w:cs="Arial"/>
              </w:rPr>
              <w:t>ediatric patients 3 years and older (weighing at least 12 kg)</w:t>
            </w:r>
          </w:p>
          <w:p w14:paraId="311A6F13" w14:textId="77777777" w:rsidR="00680DC6" w:rsidRPr="00CE7A6F" w:rsidRDefault="00680DC6" w:rsidP="00680DC6">
            <w:pPr>
              <w:spacing w:before="60" w:after="60"/>
              <w:jc w:val="both"/>
              <w:rPr>
                <w:rFonts w:cs="Arial"/>
              </w:rPr>
            </w:pPr>
            <w:r w:rsidRPr="00CE7A6F">
              <w:rPr>
                <w:rFonts w:cs="Arial"/>
                <w:vertAlign w:val="superscript"/>
              </w:rPr>
              <w:t>a.</w:t>
            </w:r>
            <w:r w:rsidRPr="00CE7A6F">
              <w:rPr>
                <w:rFonts w:cs="Arial"/>
              </w:rPr>
              <w:t xml:space="preserve"> Included 33 subjects co-infected with HIV-1.</w:t>
            </w:r>
          </w:p>
          <w:p w14:paraId="5E23EA77" w14:textId="77777777" w:rsidR="00680DC6" w:rsidRPr="00CE7A6F" w:rsidRDefault="00680DC6" w:rsidP="00680DC6">
            <w:pPr>
              <w:spacing w:before="60" w:after="60"/>
              <w:jc w:val="both"/>
              <w:rPr>
                <w:rFonts w:cs="Arial"/>
              </w:rPr>
            </w:pPr>
            <w:r w:rsidRPr="00CE7A6F">
              <w:rPr>
                <w:rFonts w:cs="Arial"/>
                <w:vertAlign w:val="superscript"/>
              </w:rPr>
              <w:t>b.</w:t>
            </w:r>
            <w:r w:rsidRPr="00CE7A6F">
              <w:rPr>
                <w:rFonts w:cs="Arial"/>
              </w:rPr>
              <w:t xml:space="preserve"> GT2 from SURVEYOR-2 Parts 1 and 2 - MAVIRET for 8 weeks (n=54) or 12 weeks (n=25); GT2 from SURVEYOR-2 Part 4 - MAVIRET for 8 weeks (n=145).</w:t>
            </w:r>
          </w:p>
          <w:p w14:paraId="22E6CAC6" w14:textId="77777777" w:rsidR="00680DC6" w:rsidRPr="00CE7A6F" w:rsidRDefault="00680DC6" w:rsidP="00680DC6">
            <w:pPr>
              <w:spacing w:before="60" w:after="60"/>
              <w:jc w:val="both"/>
              <w:rPr>
                <w:rFonts w:cs="Arial"/>
              </w:rPr>
            </w:pPr>
            <w:r w:rsidRPr="00CE7A6F">
              <w:rPr>
                <w:rFonts w:cs="Arial"/>
                <w:vertAlign w:val="superscript"/>
              </w:rPr>
              <w:t>c.</w:t>
            </w:r>
            <w:r w:rsidRPr="00CE7A6F">
              <w:rPr>
                <w:rFonts w:cs="Arial"/>
              </w:rPr>
              <w:t xml:space="preserve"> GT3 without cirrhosis from SURVEYOR-2 Parts 1 and 2 - MAVIRET for 8 (n=29) or 12 weeks (n=54); GT3 without cirrhosis from SURVEYOR-2 Part 3 - MAVIRET for 12 weeks (n=22) or 16 weeks (n=22).</w:t>
            </w:r>
          </w:p>
          <w:p w14:paraId="0AFDC4DB" w14:textId="77777777" w:rsidR="00680DC6" w:rsidRPr="00CE7A6F" w:rsidRDefault="00680DC6" w:rsidP="00680DC6">
            <w:pPr>
              <w:spacing w:before="60" w:after="60"/>
              <w:jc w:val="both"/>
              <w:rPr>
                <w:rFonts w:cs="Arial"/>
              </w:rPr>
            </w:pPr>
            <w:r w:rsidRPr="00CE7A6F">
              <w:rPr>
                <w:rFonts w:cs="Arial"/>
                <w:vertAlign w:val="superscript"/>
              </w:rPr>
              <w:t>d.</w:t>
            </w:r>
            <w:r w:rsidRPr="00CE7A6F">
              <w:rPr>
                <w:rFonts w:cs="Arial"/>
              </w:rPr>
              <w:t xml:space="preserve"> GT3 with cirrhosis from SURVEYOR-2 Part 2 - MAVIRET for 12 weeks (n=24) or 16 weeks (n=4); GT3 with cirrhosis from SURVEYOR-2 Part 3 - MAVIRET for 12 weeks (n=40) or 16 weeks (n=47).</w:t>
            </w:r>
          </w:p>
          <w:p w14:paraId="03F0ECC9" w14:textId="77777777" w:rsidR="00680DC6" w:rsidRPr="00CE7A6F" w:rsidRDefault="00680DC6" w:rsidP="00680DC6">
            <w:pPr>
              <w:spacing w:before="60" w:after="60"/>
              <w:jc w:val="both"/>
              <w:rPr>
                <w:rFonts w:cs="Arial"/>
              </w:rPr>
            </w:pPr>
            <w:r w:rsidRPr="00CE7A6F">
              <w:rPr>
                <w:rFonts w:cs="Arial"/>
                <w:vertAlign w:val="superscript"/>
              </w:rPr>
              <w:t>e.</w:t>
            </w:r>
            <w:r w:rsidRPr="00CE7A6F">
              <w:rPr>
                <w:rFonts w:cs="Arial"/>
              </w:rPr>
              <w:t xml:space="preserve"> GT1, 4 from MAGELLAN-1 Part 1 - MAVIRET for 12 (n=22); GT1, 4 from MAGELLAN-1 Part 2 - MAVIRET for 12 (n=44) or 16 weeks (n=47).</w:t>
            </w:r>
          </w:p>
          <w:p w14:paraId="4475BE81" w14:textId="3AD85F65" w:rsidR="00B85AF8" w:rsidRPr="00CE7A6F" w:rsidRDefault="00B85AF8" w:rsidP="00680DC6">
            <w:pPr>
              <w:spacing w:before="60" w:after="60"/>
              <w:jc w:val="both"/>
              <w:rPr>
                <w:rFonts w:cs="Arial"/>
              </w:rPr>
            </w:pPr>
            <w:proofErr w:type="gramStart"/>
            <w:r w:rsidRPr="00CE7A6F">
              <w:rPr>
                <w:rFonts w:cs="Arial"/>
                <w:vertAlign w:val="superscript"/>
              </w:rPr>
              <w:lastRenderedPageBreak/>
              <w:t xml:space="preserve">f  </w:t>
            </w:r>
            <w:r w:rsidRPr="00CE7A6F">
              <w:rPr>
                <w:rFonts w:cs="Arial"/>
              </w:rPr>
              <w:t>VOYAGE</w:t>
            </w:r>
            <w:proofErr w:type="gramEnd"/>
            <w:r w:rsidRPr="00CE7A6F">
              <w:rPr>
                <w:rFonts w:cs="Arial"/>
              </w:rPr>
              <w:t>-1 and VOYAGE-2 were Asian regional studies.</w:t>
            </w:r>
          </w:p>
        </w:tc>
      </w:tr>
    </w:tbl>
    <w:p w14:paraId="2CA9ABF6" w14:textId="77777777" w:rsidR="00493B75" w:rsidRPr="005E1202" w:rsidRDefault="00493B75" w:rsidP="00493B75">
      <w:pPr>
        <w:rPr>
          <w:rFonts w:cs="Arial"/>
        </w:rPr>
      </w:pPr>
    </w:p>
    <w:p w14:paraId="0436BFBB" w14:textId="577452A4" w:rsidR="00493B75" w:rsidRPr="005E1202" w:rsidRDefault="00493B75" w:rsidP="00A31EE5">
      <w:pPr>
        <w:jc w:val="both"/>
        <w:rPr>
          <w:rFonts w:cs="Arial"/>
        </w:rPr>
      </w:pPr>
      <w:r w:rsidRPr="005E1202">
        <w:rPr>
          <w:rFonts w:cs="Arial"/>
        </w:rPr>
        <w:t xml:space="preserve">Serum HCV RNA values were measured during the clinical studies using the Roche COBAS </w:t>
      </w:r>
      <w:proofErr w:type="spellStart"/>
      <w:r w:rsidRPr="005E1202">
        <w:rPr>
          <w:rFonts w:cs="Arial"/>
        </w:rPr>
        <w:t>AmpliPrep</w:t>
      </w:r>
      <w:proofErr w:type="spellEnd"/>
      <w:r w:rsidRPr="005E1202">
        <w:rPr>
          <w:rFonts w:cs="Arial"/>
        </w:rPr>
        <w:t xml:space="preserve">/COBAS </w:t>
      </w:r>
      <w:r w:rsidR="00C36FF3" w:rsidRPr="005E1202">
        <w:rPr>
          <w:rFonts w:cs="Arial"/>
        </w:rPr>
        <w:t>Taq</w:t>
      </w:r>
      <w:r w:rsidR="00C36FF3">
        <w:rPr>
          <w:rFonts w:cs="Arial"/>
        </w:rPr>
        <w:t>M</w:t>
      </w:r>
      <w:r w:rsidR="00C36FF3" w:rsidRPr="005E1202">
        <w:rPr>
          <w:rFonts w:cs="Arial"/>
        </w:rPr>
        <w:t xml:space="preserve">an </w:t>
      </w:r>
      <w:r w:rsidRPr="005E1202">
        <w:rPr>
          <w:rFonts w:cs="Arial"/>
        </w:rPr>
        <w:t xml:space="preserve">HCV test (version 2.0) with a lower limit of quantification </w:t>
      </w:r>
      <w:r w:rsidRPr="005E1202" w:rsidDel="00487DE4">
        <w:rPr>
          <w:rFonts w:cs="Arial"/>
        </w:rPr>
        <w:t xml:space="preserve">(LLOQ) </w:t>
      </w:r>
      <w:r w:rsidRPr="005E1202">
        <w:rPr>
          <w:rFonts w:cs="Arial"/>
        </w:rPr>
        <w:t xml:space="preserve">of 15 IU/mL (except for SURVEYOR-1 and SURVEYOR-2 which used the Roche COBAS TaqMan real-time reverse transcriptase-PCR (RT-PCR) assay v. 2.0 with an LLOQ of 25 IU/mL). </w:t>
      </w:r>
      <w:r w:rsidR="00600A34">
        <w:rPr>
          <w:rFonts w:cs="Arial"/>
        </w:rPr>
        <w:t xml:space="preserve"> </w:t>
      </w:r>
      <w:r w:rsidRPr="005E1202">
        <w:rPr>
          <w:rFonts w:cs="Arial"/>
        </w:rPr>
        <w:t>Sustained virologic response (SVR12), defined as HCV RNA less than LLOQ at 12 weeks after the cessation of treatment, was the primary endpoint in all the studies to determine the HCV cure rate.</w:t>
      </w:r>
    </w:p>
    <w:p w14:paraId="436627B9" w14:textId="4F74DE5B" w:rsidR="00493B75" w:rsidRPr="00904452" w:rsidRDefault="00493B75" w:rsidP="00A31EE5">
      <w:pPr>
        <w:pStyle w:val="Heading3"/>
        <w:jc w:val="both"/>
      </w:pPr>
      <w:r w:rsidRPr="005E1202">
        <w:t>C</w:t>
      </w:r>
      <w:r w:rsidRPr="00904452">
        <w:t xml:space="preserve">linical Studies in </w:t>
      </w:r>
      <w:r w:rsidR="00E2492D" w:rsidRPr="00904452">
        <w:t>TN</w:t>
      </w:r>
      <w:r w:rsidRPr="00904452">
        <w:t xml:space="preserve"> or </w:t>
      </w:r>
      <w:r w:rsidR="001B7F01" w:rsidRPr="00904452">
        <w:t>PRS-</w:t>
      </w:r>
      <w:r w:rsidR="00E2492D" w:rsidRPr="00904452">
        <w:t>TE</w:t>
      </w:r>
      <w:r w:rsidRPr="00904452">
        <w:t xml:space="preserve"> </w:t>
      </w:r>
      <w:r w:rsidR="00096612" w:rsidRPr="00904452">
        <w:t xml:space="preserve">Adult </w:t>
      </w:r>
      <w:r w:rsidRPr="00904452">
        <w:t>Patients with or without Cirrhosis</w:t>
      </w:r>
    </w:p>
    <w:p w14:paraId="410EC64A" w14:textId="2FA2DF9C" w:rsidR="00493B75" w:rsidRPr="00904452" w:rsidRDefault="00493B75" w:rsidP="00A31EE5">
      <w:pPr>
        <w:jc w:val="both"/>
        <w:rPr>
          <w:rFonts w:cs="Arial"/>
        </w:rPr>
      </w:pPr>
      <w:r w:rsidRPr="00904452">
        <w:rPr>
          <w:rFonts w:cs="Arial"/>
        </w:rPr>
        <w:t xml:space="preserve">Of the </w:t>
      </w:r>
      <w:r w:rsidR="0066710A" w:rsidRPr="00904452">
        <w:rPr>
          <w:rFonts w:cs="Arial"/>
        </w:rPr>
        <w:t xml:space="preserve">2409 </w:t>
      </w:r>
      <w:r w:rsidRPr="00904452">
        <w:rPr>
          <w:rFonts w:cs="Arial"/>
        </w:rPr>
        <w:t xml:space="preserve">patients with compensated liver disease (with or without cirrhosis) treated who were </w:t>
      </w:r>
      <w:r w:rsidR="00E2492D" w:rsidRPr="00904452">
        <w:rPr>
          <w:rFonts w:cs="Arial"/>
        </w:rPr>
        <w:t>TN</w:t>
      </w:r>
      <w:r w:rsidRPr="00904452">
        <w:rPr>
          <w:rFonts w:cs="Arial"/>
        </w:rPr>
        <w:t xml:space="preserve"> or </w:t>
      </w:r>
      <w:r w:rsidR="00E2492D" w:rsidRPr="00904452">
        <w:rPr>
          <w:rFonts w:cs="Arial"/>
        </w:rPr>
        <w:t>PRS</w:t>
      </w:r>
      <w:r w:rsidR="006B3A73" w:rsidRPr="00904452">
        <w:rPr>
          <w:rFonts w:cs="Arial"/>
        </w:rPr>
        <w:t>-</w:t>
      </w:r>
      <w:r w:rsidR="00E2492D" w:rsidRPr="00904452">
        <w:rPr>
          <w:rFonts w:cs="Arial"/>
        </w:rPr>
        <w:t>TE</w:t>
      </w:r>
      <w:r w:rsidRPr="00904452">
        <w:rPr>
          <w:rFonts w:cs="Arial"/>
        </w:rPr>
        <w:t>, the median age was 5</w:t>
      </w:r>
      <w:r w:rsidR="0066710A" w:rsidRPr="00904452">
        <w:rPr>
          <w:rFonts w:cs="Arial"/>
        </w:rPr>
        <w:t>3</w:t>
      </w:r>
      <w:r w:rsidRPr="00904452">
        <w:rPr>
          <w:rFonts w:cs="Arial"/>
        </w:rPr>
        <w:t xml:space="preserve"> years (range: 19 to 88); </w:t>
      </w:r>
      <w:r w:rsidR="0066710A" w:rsidRPr="00904452">
        <w:rPr>
          <w:rFonts w:cs="Arial"/>
        </w:rPr>
        <w:t>73.3</w:t>
      </w:r>
      <w:r w:rsidRPr="00904452">
        <w:rPr>
          <w:rFonts w:cs="Arial"/>
        </w:rPr>
        <w:t xml:space="preserve">% were </w:t>
      </w:r>
      <w:r w:rsidR="00E2492D" w:rsidRPr="00904452">
        <w:rPr>
          <w:rFonts w:cs="Arial"/>
        </w:rPr>
        <w:t>TN</w:t>
      </w:r>
      <w:r w:rsidRPr="00904452">
        <w:rPr>
          <w:rFonts w:cs="Arial"/>
        </w:rPr>
        <w:t xml:space="preserve">, </w:t>
      </w:r>
      <w:r w:rsidR="0066710A" w:rsidRPr="00904452">
        <w:rPr>
          <w:rFonts w:cs="Arial"/>
        </w:rPr>
        <w:t>26.7</w:t>
      </w:r>
      <w:r w:rsidRPr="00904452">
        <w:rPr>
          <w:rFonts w:cs="Arial"/>
        </w:rPr>
        <w:t xml:space="preserve">% were </w:t>
      </w:r>
      <w:r w:rsidR="00096612" w:rsidRPr="00904452">
        <w:rPr>
          <w:rFonts w:cs="Arial"/>
        </w:rPr>
        <w:t>PRS-</w:t>
      </w:r>
      <w:r w:rsidR="00E2492D" w:rsidRPr="00904452">
        <w:rPr>
          <w:rFonts w:cs="Arial"/>
        </w:rPr>
        <w:t>TE</w:t>
      </w:r>
      <w:r w:rsidRPr="00904452">
        <w:rPr>
          <w:rFonts w:cs="Arial"/>
        </w:rPr>
        <w:t xml:space="preserve">; </w:t>
      </w:r>
      <w:r w:rsidR="0066710A" w:rsidRPr="00904452">
        <w:rPr>
          <w:rFonts w:cs="Arial"/>
        </w:rPr>
        <w:t>40.3</w:t>
      </w:r>
      <w:r w:rsidRPr="00904452">
        <w:rPr>
          <w:rFonts w:cs="Arial"/>
        </w:rPr>
        <w:t xml:space="preserve">% were HCV </w:t>
      </w:r>
      <w:r w:rsidR="001B7F01" w:rsidRPr="00904452">
        <w:rPr>
          <w:rFonts w:cs="Arial"/>
        </w:rPr>
        <w:t>GT</w:t>
      </w:r>
      <w:r w:rsidRPr="00904452">
        <w:rPr>
          <w:rFonts w:cs="Arial"/>
        </w:rPr>
        <w:t xml:space="preserve">1; </w:t>
      </w:r>
      <w:r w:rsidR="0066710A" w:rsidRPr="00904452">
        <w:rPr>
          <w:rFonts w:cs="Arial"/>
        </w:rPr>
        <w:t>19.8</w:t>
      </w:r>
      <w:r w:rsidRPr="00904452">
        <w:rPr>
          <w:rFonts w:cs="Arial"/>
        </w:rPr>
        <w:t xml:space="preserve">% were HCV </w:t>
      </w:r>
      <w:r w:rsidR="001B7F01" w:rsidRPr="00904452">
        <w:rPr>
          <w:rFonts w:cs="Arial"/>
        </w:rPr>
        <w:t>GT</w:t>
      </w:r>
      <w:r w:rsidRPr="00904452">
        <w:rPr>
          <w:rFonts w:cs="Arial"/>
        </w:rPr>
        <w:t xml:space="preserve">2; </w:t>
      </w:r>
      <w:r w:rsidR="0066710A" w:rsidRPr="00904452">
        <w:rPr>
          <w:rFonts w:cs="Arial"/>
        </w:rPr>
        <w:t>27.8</w:t>
      </w:r>
      <w:r w:rsidRPr="00904452">
        <w:rPr>
          <w:rFonts w:cs="Arial"/>
        </w:rPr>
        <w:t xml:space="preserve">% were HCV </w:t>
      </w:r>
      <w:r w:rsidR="001B7F01" w:rsidRPr="00904452">
        <w:rPr>
          <w:rFonts w:cs="Arial"/>
        </w:rPr>
        <w:t>GT</w:t>
      </w:r>
      <w:r w:rsidRPr="00904452">
        <w:rPr>
          <w:rFonts w:cs="Arial"/>
        </w:rPr>
        <w:t xml:space="preserve">3; </w:t>
      </w:r>
      <w:r w:rsidR="0066710A" w:rsidRPr="00904452">
        <w:rPr>
          <w:rFonts w:cs="Arial"/>
        </w:rPr>
        <w:t>8.1</w:t>
      </w:r>
      <w:r w:rsidRPr="00904452">
        <w:rPr>
          <w:rFonts w:cs="Arial"/>
        </w:rPr>
        <w:t xml:space="preserve">% were HCV </w:t>
      </w:r>
      <w:r w:rsidR="001B7F01" w:rsidRPr="00904452">
        <w:rPr>
          <w:rFonts w:cs="Arial"/>
        </w:rPr>
        <w:t>GT</w:t>
      </w:r>
      <w:r w:rsidRPr="00904452">
        <w:rPr>
          <w:rFonts w:cs="Arial"/>
        </w:rPr>
        <w:t xml:space="preserve">4; </w:t>
      </w:r>
      <w:r w:rsidR="00292E2A" w:rsidRPr="00904452">
        <w:rPr>
          <w:rFonts w:cs="Arial"/>
        </w:rPr>
        <w:t>3.4</w:t>
      </w:r>
      <w:r w:rsidRPr="00904452">
        <w:rPr>
          <w:rFonts w:cs="Arial"/>
        </w:rPr>
        <w:t xml:space="preserve">% were HCV </w:t>
      </w:r>
      <w:r w:rsidR="001B7F01" w:rsidRPr="00904452">
        <w:rPr>
          <w:rFonts w:cs="Arial"/>
        </w:rPr>
        <w:t>GT</w:t>
      </w:r>
      <w:r w:rsidRPr="00904452">
        <w:rPr>
          <w:rFonts w:cs="Arial"/>
        </w:rPr>
        <w:t>5</w:t>
      </w:r>
      <w:r w:rsidR="006F6131" w:rsidRPr="00904452">
        <w:rPr>
          <w:rFonts w:cs="Arial"/>
        </w:rPr>
        <w:t xml:space="preserve"> or </w:t>
      </w:r>
      <w:r w:rsidRPr="00904452">
        <w:rPr>
          <w:rFonts w:cs="Arial"/>
        </w:rPr>
        <w:t xml:space="preserve">6; </w:t>
      </w:r>
      <w:r w:rsidR="00292E2A" w:rsidRPr="00904452">
        <w:rPr>
          <w:rFonts w:cs="Arial"/>
        </w:rPr>
        <w:t>13.1</w:t>
      </w:r>
      <w:r w:rsidRPr="00904452">
        <w:rPr>
          <w:rFonts w:cs="Arial"/>
        </w:rPr>
        <w:t xml:space="preserve">% were ≥ 65 years; </w:t>
      </w:r>
      <w:r w:rsidR="00292E2A" w:rsidRPr="00904452">
        <w:rPr>
          <w:rFonts w:cs="Arial"/>
        </w:rPr>
        <w:t>56.6</w:t>
      </w:r>
      <w:r w:rsidRPr="00904452">
        <w:rPr>
          <w:rFonts w:cs="Arial"/>
        </w:rPr>
        <w:t xml:space="preserve">% were male; </w:t>
      </w:r>
      <w:r w:rsidR="00292E2A" w:rsidRPr="00904452">
        <w:rPr>
          <w:rFonts w:cs="Arial"/>
        </w:rPr>
        <w:t>6.2</w:t>
      </w:r>
      <w:r w:rsidRPr="00904452">
        <w:rPr>
          <w:rFonts w:cs="Arial"/>
        </w:rPr>
        <w:t xml:space="preserve">% were Black; </w:t>
      </w:r>
      <w:r w:rsidR="00292E2A" w:rsidRPr="00904452">
        <w:rPr>
          <w:rFonts w:cs="Arial"/>
        </w:rPr>
        <w:t>12.3</w:t>
      </w:r>
      <w:r w:rsidRPr="00904452">
        <w:rPr>
          <w:rFonts w:cs="Arial"/>
        </w:rPr>
        <w:t xml:space="preserve">% had cirrhosis; </w:t>
      </w:r>
      <w:r w:rsidR="00292E2A" w:rsidRPr="00904452">
        <w:rPr>
          <w:rFonts w:cs="Arial"/>
        </w:rPr>
        <w:t>4.3</w:t>
      </w:r>
      <w:r w:rsidRPr="00904452">
        <w:rPr>
          <w:rFonts w:cs="Arial"/>
        </w:rPr>
        <w:t xml:space="preserve">% had severe renal impairment or end stage renal disease; </w:t>
      </w:r>
      <w:r w:rsidR="00292E2A" w:rsidRPr="00904452">
        <w:rPr>
          <w:rFonts w:cs="Arial"/>
        </w:rPr>
        <w:t>20.0</w:t>
      </w:r>
      <w:r w:rsidRPr="00904452">
        <w:rPr>
          <w:rFonts w:cs="Arial"/>
        </w:rPr>
        <w:t>% had a body mass index of at least 30 kg per m</w:t>
      </w:r>
      <w:r w:rsidRPr="00904452">
        <w:rPr>
          <w:rFonts w:cs="Arial"/>
          <w:vertAlign w:val="superscript"/>
        </w:rPr>
        <w:t>2</w:t>
      </w:r>
      <w:r w:rsidRPr="00904452">
        <w:rPr>
          <w:rFonts w:cs="Arial"/>
        </w:rPr>
        <w:t xml:space="preserve">; </w:t>
      </w:r>
      <w:r w:rsidR="00292E2A" w:rsidRPr="00904452">
        <w:rPr>
          <w:rFonts w:cs="Arial"/>
        </w:rPr>
        <w:t xml:space="preserve">7.7% had HIV-1 coinfection; and the </w:t>
      </w:r>
      <w:r w:rsidRPr="00904452">
        <w:rPr>
          <w:rFonts w:cs="Arial"/>
        </w:rPr>
        <w:t>median baseline HCV RNA level was 6.2 log</w:t>
      </w:r>
      <w:r w:rsidRPr="00904452">
        <w:rPr>
          <w:rFonts w:cs="Arial"/>
          <w:vertAlign w:val="subscript"/>
        </w:rPr>
        <w:t>10</w:t>
      </w:r>
      <w:r w:rsidRPr="00904452">
        <w:rPr>
          <w:rFonts w:cs="Arial"/>
        </w:rPr>
        <w:t xml:space="preserve"> IU/</w:t>
      </w:r>
      <w:proofErr w:type="spellStart"/>
      <w:r w:rsidRPr="00904452">
        <w:rPr>
          <w:rFonts w:cs="Arial"/>
        </w:rPr>
        <w:t>mL.</w:t>
      </w:r>
      <w:proofErr w:type="spellEnd"/>
    </w:p>
    <w:p w14:paraId="6ED9D5CE" w14:textId="16692C5B" w:rsidR="00493B75" w:rsidRPr="00A4182C" w:rsidRDefault="00493B75" w:rsidP="00A31EE5">
      <w:pPr>
        <w:pStyle w:val="Heading4"/>
        <w:jc w:val="both"/>
        <w:rPr>
          <w:rFonts w:cs="Arial"/>
        </w:rPr>
      </w:pPr>
      <w:r w:rsidRPr="00904452">
        <w:rPr>
          <w:rFonts w:cs="Arial"/>
        </w:rPr>
        <w:t xml:space="preserve">Patients with </w:t>
      </w:r>
      <w:r w:rsidR="005721F5" w:rsidRPr="00904452">
        <w:rPr>
          <w:rFonts w:cs="Arial"/>
        </w:rPr>
        <w:t>GT</w:t>
      </w:r>
      <w:r w:rsidRPr="00904452">
        <w:rPr>
          <w:rFonts w:cs="Arial"/>
        </w:rPr>
        <w:t xml:space="preserve">1, 2, </w:t>
      </w:r>
      <w:r w:rsidRPr="00A4182C">
        <w:rPr>
          <w:rFonts w:cs="Arial"/>
        </w:rPr>
        <w:t>4, 5, or 6 Infection</w:t>
      </w:r>
    </w:p>
    <w:p w14:paraId="35EC2045" w14:textId="0FFE943A" w:rsidR="00493B75" w:rsidRPr="00A4182C" w:rsidRDefault="00493B75" w:rsidP="00A31EE5">
      <w:pPr>
        <w:jc w:val="both"/>
        <w:rPr>
          <w:rFonts w:cs="Arial"/>
        </w:rPr>
      </w:pPr>
      <w:r w:rsidRPr="00A4182C">
        <w:rPr>
          <w:rFonts w:cs="Arial"/>
        </w:rPr>
        <w:t xml:space="preserve">The efficacy of MAVIRET in </w:t>
      </w:r>
      <w:r w:rsidR="00E2207E" w:rsidRPr="00A4182C">
        <w:rPr>
          <w:rFonts w:cs="Arial"/>
        </w:rPr>
        <w:t xml:space="preserve">adult </w:t>
      </w:r>
      <w:r w:rsidRPr="00A4182C">
        <w:rPr>
          <w:rFonts w:cs="Arial"/>
        </w:rPr>
        <w:t xml:space="preserve">patients who were </w:t>
      </w:r>
      <w:r w:rsidR="00E2492D" w:rsidRPr="00A4182C">
        <w:rPr>
          <w:rFonts w:cs="Arial"/>
        </w:rPr>
        <w:t>TN</w:t>
      </w:r>
      <w:r w:rsidRPr="00A4182C">
        <w:rPr>
          <w:rFonts w:cs="Arial"/>
        </w:rPr>
        <w:t xml:space="preserve"> or </w:t>
      </w:r>
      <w:r w:rsidR="00E2492D" w:rsidRPr="00A4182C">
        <w:rPr>
          <w:rFonts w:cs="Arial"/>
        </w:rPr>
        <w:t>PRS TE</w:t>
      </w:r>
      <w:r w:rsidRPr="00A4182C">
        <w:rPr>
          <w:rFonts w:cs="Arial"/>
        </w:rPr>
        <w:t xml:space="preserve"> with </w:t>
      </w:r>
      <w:r w:rsidR="005721F5" w:rsidRPr="00A4182C">
        <w:rPr>
          <w:rFonts w:cs="Arial"/>
        </w:rPr>
        <w:t>GT</w:t>
      </w:r>
      <w:r w:rsidRPr="00A4182C">
        <w:rPr>
          <w:rFonts w:cs="Arial"/>
        </w:rPr>
        <w:t xml:space="preserve">1, 2, 4, 5 or 6 chronic hepatitis C infection was demonstrated in </w:t>
      </w:r>
      <w:r w:rsidR="000C1130" w:rsidRPr="00A4182C">
        <w:rPr>
          <w:rFonts w:cs="Arial"/>
        </w:rPr>
        <w:t xml:space="preserve">nine </w:t>
      </w:r>
      <w:r w:rsidRPr="00A4182C">
        <w:rPr>
          <w:rFonts w:cs="Arial"/>
        </w:rPr>
        <w:t xml:space="preserve">studies using 8- or 12-week durations: ENDURANCE-1, ENDURANCE-2, ENDURANCE-4, SURVEYOR-1 (Part 1), SURVEYOR-2 (Part 1, Part 2, Part 4), EXPEDITION-1, </w:t>
      </w:r>
      <w:r w:rsidR="00292E2A" w:rsidRPr="00A4182C">
        <w:rPr>
          <w:rFonts w:cs="Arial"/>
        </w:rPr>
        <w:t>EXPEDITION-2</w:t>
      </w:r>
      <w:r w:rsidR="00E2207E" w:rsidRPr="00A4182C">
        <w:rPr>
          <w:rFonts w:cs="Arial"/>
        </w:rPr>
        <w:t>,</w:t>
      </w:r>
      <w:r w:rsidR="00292E2A" w:rsidRPr="00A4182C">
        <w:rPr>
          <w:rFonts w:cs="Arial"/>
        </w:rPr>
        <w:t xml:space="preserve"> </w:t>
      </w:r>
      <w:r w:rsidRPr="00A4182C">
        <w:rPr>
          <w:rFonts w:cs="Arial"/>
        </w:rPr>
        <w:t>EXPEDITION-</w:t>
      </w:r>
      <w:proofErr w:type="gramStart"/>
      <w:r w:rsidRPr="00A4182C">
        <w:rPr>
          <w:rFonts w:cs="Arial"/>
        </w:rPr>
        <w:t>4</w:t>
      </w:r>
      <w:proofErr w:type="gramEnd"/>
      <w:r w:rsidR="00E2207E" w:rsidRPr="00A4182C">
        <w:rPr>
          <w:rFonts w:cs="Arial"/>
        </w:rPr>
        <w:t xml:space="preserve"> and EXPEDITION-8</w:t>
      </w:r>
      <w:r w:rsidRPr="00A4182C">
        <w:rPr>
          <w:rFonts w:cs="Arial"/>
        </w:rPr>
        <w:t>.</w:t>
      </w:r>
    </w:p>
    <w:p w14:paraId="3E9EC837" w14:textId="4D33437A" w:rsidR="00493B75" w:rsidRPr="00A4182C" w:rsidRDefault="00493B75" w:rsidP="00A31EE5">
      <w:pPr>
        <w:jc w:val="both"/>
        <w:rPr>
          <w:rFonts w:cs="Arial"/>
        </w:rPr>
      </w:pPr>
      <w:r w:rsidRPr="00A4182C">
        <w:rPr>
          <w:rFonts w:cs="Arial"/>
        </w:rPr>
        <w:t>ENDURANCE</w:t>
      </w:r>
      <w:r w:rsidRPr="00A4182C" w:rsidDel="00DF5E3A">
        <w:rPr>
          <w:rFonts w:cs="Arial"/>
        </w:rPr>
        <w:t xml:space="preserve">-1 was a </w:t>
      </w:r>
      <w:r w:rsidRPr="00A4182C">
        <w:rPr>
          <w:rFonts w:cs="Arial"/>
        </w:rPr>
        <w:t xml:space="preserve">randomised </w:t>
      </w:r>
      <w:r w:rsidRPr="00A4182C" w:rsidDel="00DF5E3A">
        <w:rPr>
          <w:rFonts w:cs="Arial"/>
        </w:rPr>
        <w:t xml:space="preserve">(1:1) and open-label </w:t>
      </w:r>
      <w:r w:rsidRPr="00A4182C">
        <w:rPr>
          <w:rFonts w:cs="Arial"/>
        </w:rPr>
        <w:t>study</w:t>
      </w:r>
      <w:r w:rsidRPr="00A4182C" w:rsidDel="00DF5E3A">
        <w:rPr>
          <w:rFonts w:cs="Arial"/>
        </w:rPr>
        <w:t xml:space="preserve"> comparing the efficacy of 8 weeks of treatment with </w:t>
      </w:r>
      <w:r w:rsidRPr="00A4182C">
        <w:rPr>
          <w:rFonts w:cs="Arial"/>
        </w:rPr>
        <w:t>MAVIRET</w:t>
      </w:r>
      <w:r w:rsidRPr="00A4182C" w:rsidDel="00DF5E3A">
        <w:rPr>
          <w:rFonts w:cs="Arial"/>
        </w:rPr>
        <w:t xml:space="preserve"> versus 12 weeks of treatment in non-cirrhotic </w:t>
      </w:r>
      <w:r w:rsidRPr="00A4182C">
        <w:rPr>
          <w:rFonts w:cs="Arial"/>
        </w:rPr>
        <w:t>patients</w:t>
      </w:r>
      <w:r w:rsidRPr="00A4182C" w:rsidDel="00DF5E3A">
        <w:rPr>
          <w:rFonts w:cs="Arial"/>
        </w:rPr>
        <w:t xml:space="preserve"> with </w:t>
      </w:r>
      <w:r w:rsidR="00672F5C" w:rsidRPr="00A4182C">
        <w:rPr>
          <w:rFonts w:cs="Arial"/>
        </w:rPr>
        <w:t>GT</w:t>
      </w:r>
      <w:r w:rsidRPr="00A4182C" w:rsidDel="00DF5E3A">
        <w:rPr>
          <w:rFonts w:cs="Arial"/>
        </w:rPr>
        <w:t>1 infection</w:t>
      </w:r>
      <w:r w:rsidRPr="00A4182C">
        <w:rPr>
          <w:rFonts w:cs="Arial"/>
        </w:rPr>
        <w:t xml:space="preserve"> who were either mono-infected with HCV or coinfected with HCV/HIV-1. </w:t>
      </w:r>
      <w:r w:rsidRPr="00A4182C" w:rsidDel="00DF5E3A">
        <w:rPr>
          <w:rFonts w:cs="Arial"/>
        </w:rPr>
        <w:t xml:space="preserve">ENDURANCE-2 was a </w:t>
      </w:r>
      <w:r w:rsidRPr="00A4182C">
        <w:rPr>
          <w:rFonts w:cs="Arial"/>
        </w:rPr>
        <w:t xml:space="preserve">randomised </w:t>
      </w:r>
      <w:r w:rsidRPr="00A4182C" w:rsidDel="00DF5E3A">
        <w:rPr>
          <w:rFonts w:cs="Arial"/>
        </w:rPr>
        <w:t xml:space="preserve">(2:1), placebo-controlled </w:t>
      </w:r>
      <w:r w:rsidRPr="00A4182C">
        <w:rPr>
          <w:rFonts w:cs="Arial"/>
        </w:rPr>
        <w:t>study</w:t>
      </w:r>
      <w:r w:rsidRPr="00A4182C" w:rsidDel="00DF5E3A">
        <w:rPr>
          <w:rFonts w:cs="Arial"/>
        </w:rPr>
        <w:t xml:space="preserve"> comparing </w:t>
      </w:r>
      <w:r w:rsidRPr="00A4182C">
        <w:rPr>
          <w:rFonts w:cs="Arial"/>
        </w:rPr>
        <w:t>the safety of MAVIRET</w:t>
      </w:r>
      <w:r w:rsidRPr="00A4182C" w:rsidDel="00DF5E3A">
        <w:rPr>
          <w:rFonts w:cs="Arial"/>
        </w:rPr>
        <w:t xml:space="preserve"> for 12 weeks versus matching-placebo for 12 weeks in non-cirrhotic </w:t>
      </w:r>
      <w:r w:rsidRPr="00A4182C">
        <w:rPr>
          <w:rFonts w:cs="Arial"/>
        </w:rPr>
        <w:t>patients</w:t>
      </w:r>
      <w:r w:rsidRPr="00A4182C" w:rsidDel="00DF5E3A">
        <w:rPr>
          <w:rFonts w:cs="Arial"/>
        </w:rPr>
        <w:t xml:space="preserve"> with </w:t>
      </w:r>
      <w:r w:rsidR="00672F5C" w:rsidRPr="00A4182C">
        <w:rPr>
          <w:rFonts w:cs="Arial"/>
        </w:rPr>
        <w:t>GT</w:t>
      </w:r>
      <w:r w:rsidRPr="00A4182C" w:rsidDel="00DF5E3A">
        <w:rPr>
          <w:rFonts w:cs="Arial"/>
        </w:rPr>
        <w:t xml:space="preserve">2 infection. ENDURANCE-4 was a single-arm, open-label </w:t>
      </w:r>
      <w:r w:rsidRPr="00A4182C">
        <w:rPr>
          <w:rFonts w:cs="Arial"/>
        </w:rPr>
        <w:t>study</w:t>
      </w:r>
      <w:r w:rsidRPr="00A4182C" w:rsidDel="00DF5E3A">
        <w:rPr>
          <w:rFonts w:cs="Arial"/>
        </w:rPr>
        <w:t xml:space="preserve"> in non-cirrhotic </w:t>
      </w:r>
      <w:r w:rsidRPr="00A4182C">
        <w:rPr>
          <w:rFonts w:cs="Arial"/>
        </w:rPr>
        <w:t>patients</w:t>
      </w:r>
      <w:r w:rsidRPr="00A4182C" w:rsidDel="00DF5E3A">
        <w:rPr>
          <w:rFonts w:cs="Arial"/>
        </w:rPr>
        <w:t xml:space="preserve"> with </w:t>
      </w:r>
      <w:r w:rsidR="00672F5C" w:rsidRPr="00A4182C">
        <w:rPr>
          <w:rFonts w:cs="Arial"/>
        </w:rPr>
        <w:t>GT</w:t>
      </w:r>
      <w:r w:rsidRPr="00A4182C" w:rsidDel="00DF5E3A">
        <w:rPr>
          <w:rFonts w:cs="Arial"/>
        </w:rPr>
        <w:t xml:space="preserve">4, 5, </w:t>
      </w:r>
      <w:r w:rsidRPr="00A4182C">
        <w:rPr>
          <w:rFonts w:cs="Arial"/>
        </w:rPr>
        <w:t>or</w:t>
      </w:r>
      <w:r w:rsidRPr="00A4182C" w:rsidDel="00DF5E3A">
        <w:rPr>
          <w:rFonts w:cs="Arial"/>
        </w:rPr>
        <w:t xml:space="preserve"> 6 </w:t>
      </w:r>
      <w:proofErr w:type="gramStart"/>
      <w:r w:rsidRPr="00A4182C" w:rsidDel="00DF5E3A">
        <w:rPr>
          <w:rFonts w:cs="Arial"/>
        </w:rPr>
        <w:t>infection</w:t>
      </w:r>
      <w:proofErr w:type="gramEnd"/>
      <w:r w:rsidRPr="00A4182C" w:rsidDel="00DF5E3A">
        <w:rPr>
          <w:rFonts w:cs="Arial"/>
        </w:rPr>
        <w:t>. SURVEYOR-2 (Part 4) included a single</w:t>
      </w:r>
      <w:r w:rsidRPr="00A4182C">
        <w:rPr>
          <w:rFonts w:cs="Arial"/>
        </w:rPr>
        <w:t>,</w:t>
      </w:r>
      <w:r w:rsidRPr="00A4182C" w:rsidDel="00DF5E3A">
        <w:rPr>
          <w:rFonts w:cs="Arial"/>
        </w:rPr>
        <w:t xml:space="preserve"> open-label arm in non-cirrhotic </w:t>
      </w:r>
      <w:r w:rsidRPr="00A4182C">
        <w:rPr>
          <w:rFonts w:cs="Arial"/>
        </w:rPr>
        <w:t>patients</w:t>
      </w:r>
      <w:r w:rsidRPr="00A4182C" w:rsidDel="00DF5E3A">
        <w:rPr>
          <w:rFonts w:cs="Arial"/>
        </w:rPr>
        <w:t xml:space="preserve"> with </w:t>
      </w:r>
      <w:r w:rsidR="00672F5C" w:rsidRPr="00A4182C">
        <w:rPr>
          <w:rFonts w:cs="Arial"/>
        </w:rPr>
        <w:t>GT</w:t>
      </w:r>
      <w:r w:rsidRPr="00A4182C" w:rsidDel="00DF5E3A">
        <w:rPr>
          <w:rFonts w:cs="Arial"/>
        </w:rPr>
        <w:t xml:space="preserve">2, 4, 5 </w:t>
      </w:r>
      <w:r w:rsidRPr="00A4182C">
        <w:rPr>
          <w:rFonts w:cs="Arial"/>
        </w:rPr>
        <w:t>or</w:t>
      </w:r>
      <w:r w:rsidRPr="00A4182C" w:rsidDel="00DF5E3A">
        <w:rPr>
          <w:rFonts w:cs="Arial"/>
        </w:rPr>
        <w:t xml:space="preserve"> 6 infection treated for 8 weeks</w:t>
      </w:r>
      <w:r w:rsidRPr="00A4182C">
        <w:rPr>
          <w:rFonts w:cs="Arial"/>
        </w:rPr>
        <w:t>.</w:t>
      </w:r>
    </w:p>
    <w:p w14:paraId="65A8DDFE" w14:textId="708851F7" w:rsidR="001569FC" w:rsidRDefault="00493B75" w:rsidP="00A02930">
      <w:pPr>
        <w:jc w:val="both"/>
        <w:rPr>
          <w:rFonts w:cs="Arial"/>
        </w:rPr>
      </w:pPr>
      <w:r w:rsidRPr="00A4182C" w:rsidDel="00DF5E3A">
        <w:rPr>
          <w:rFonts w:cs="Arial"/>
        </w:rPr>
        <w:lastRenderedPageBreak/>
        <w:t xml:space="preserve">EXPEDITION-1 was a single-arm, open-label </w:t>
      </w:r>
      <w:r w:rsidRPr="00A4182C">
        <w:rPr>
          <w:rFonts w:cs="Arial"/>
        </w:rPr>
        <w:t>study</w:t>
      </w:r>
      <w:r w:rsidRPr="00A4182C" w:rsidDel="00DF5E3A">
        <w:rPr>
          <w:rFonts w:cs="Arial"/>
        </w:rPr>
        <w:t xml:space="preserve"> in </w:t>
      </w:r>
      <w:r w:rsidRPr="00A4182C">
        <w:rPr>
          <w:rFonts w:cs="Arial"/>
        </w:rPr>
        <w:t>patients</w:t>
      </w:r>
      <w:r w:rsidRPr="00A4182C" w:rsidDel="00DF5E3A">
        <w:rPr>
          <w:rFonts w:cs="Arial"/>
        </w:rPr>
        <w:t xml:space="preserve"> with compensated cirrhosis and </w:t>
      </w:r>
      <w:r w:rsidR="00672F5C" w:rsidRPr="00A4182C">
        <w:rPr>
          <w:rFonts w:cs="Arial"/>
        </w:rPr>
        <w:t>GT</w:t>
      </w:r>
      <w:r w:rsidRPr="00A4182C" w:rsidDel="00DF5E3A">
        <w:rPr>
          <w:rFonts w:cs="Arial"/>
        </w:rPr>
        <w:t xml:space="preserve">1, 2, 4, 5 </w:t>
      </w:r>
      <w:r w:rsidRPr="00A4182C">
        <w:rPr>
          <w:rFonts w:cs="Arial"/>
        </w:rPr>
        <w:t>or</w:t>
      </w:r>
      <w:r w:rsidRPr="00A4182C" w:rsidDel="00DF5E3A">
        <w:rPr>
          <w:rFonts w:cs="Arial"/>
        </w:rPr>
        <w:t xml:space="preserve"> 6 infection</w:t>
      </w:r>
      <w:r w:rsidR="00E2207E" w:rsidRPr="00A4182C">
        <w:rPr>
          <w:rFonts w:cs="Arial"/>
        </w:rPr>
        <w:t xml:space="preserve"> who received MAVIR</w:t>
      </w:r>
      <w:r w:rsidR="00757911" w:rsidRPr="00A4182C">
        <w:rPr>
          <w:rFonts w:cs="Arial"/>
        </w:rPr>
        <w:t>E</w:t>
      </w:r>
      <w:r w:rsidR="00E2207E" w:rsidRPr="00A4182C">
        <w:rPr>
          <w:rFonts w:cs="Arial"/>
        </w:rPr>
        <w:t>T for 12 weeks</w:t>
      </w:r>
      <w:r w:rsidRPr="00A4182C" w:rsidDel="00DF5E3A">
        <w:rPr>
          <w:rFonts w:cs="Arial"/>
        </w:rPr>
        <w:t>.</w:t>
      </w:r>
      <w:r w:rsidRPr="00A4182C">
        <w:rPr>
          <w:rFonts w:cs="Arial"/>
        </w:rPr>
        <w:t xml:space="preserve"> </w:t>
      </w:r>
      <w:r w:rsidR="00961FBF" w:rsidRPr="00A4182C">
        <w:rPr>
          <w:rFonts w:cs="Arial"/>
        </w:rPr>
        <w:t xml:space="preserve">EXPEDITION-8 was a single-arm, open-label study in TN subjects with compensated cirrhosis and genotype 1, 2, 3, 4, 5 or 6 infection who received </w:t>
      </w:r>
      <w:r w:rsidR="00757911" w:rsidRPr="00A4182C">
        <w:rPr>
          <w:rFonts w:cs="Arial"/>
        </w:rPr>
        <w:t>MAVIRET</w:t>
      </w:r>
      <w:r w:rsidR="00961FBF" w:rsidRPr="00A4182C">
        <w:rPr>
          <w:rFonts w:cs="Arial"/>
        </w:rPr>
        <w:t xml:space="preserve"> for 8 weeks.</w:t>
      </w:r>
      <w:r w:rsidR="002D7246" w:rsidRPr="00A4182C">
        <w:rPr>
          <w:rFonts w:cs="Arial"/>
        </w:rPr>
        <w:t xml:space="preserve"> </w:t>
      </w:r>
      <w:r w:rsidR="00292E2A" w:rsidRPr="00A4182C">
        <w:rPr>
          <w:rFonts w:cs="Arial"/>
        </w:rPr>
        <w:t>EXPEDITION-</w:t>
      </w:r>
      <w:r w:rsidR="00292E2A" w:rsidRPr="00904452">
        <w:rPr>
          <w:rFonts w:cs="Arial"/>
        </w:rPr>
        <w:t xml:space="preserve">2 was an open-label study in HCV GT1-6/HIV-1 coinfected patients, in which patients without cirrhosis received MAVIRET for 8 weeks, and patients with cirrhosis received MAVIRET for 12 weeks. </w:t>
      </w:r>
      <w:r w:rsidRPr="00904452">
        <w:rPr>
          <w:rFonts w:cs="Arial"/>
        </w:rPr>
        <w:t xml:space="preserve">EXPEDITION-4 was a single-arm, open-label study in </w:t>
      </w:r>
      <w:r w:rsidR="00672F5C" w:rsidRPr="00904452">
        <w:rPr>
          <w:rFonts w:cs="Arial"/>
        </w:rPr>
        <w:t>GT</w:t>
      </w:r>
      <w:r w:rsidRPr="00904452">
        <w:rPr>
          <w:rFonts w:cs="Arial"/>
        </w:rPr>
        <w:t xml:space="preserve">1-6 infected patients with chronic kidney disease stage 4 and 5. </w:t>
      </w:r>
      <w:r w:rsidR="00600A34" w:rsidRPr="00904452">
        <w:rPr>
          <w:rFonts w:cs="Arial"/>
        </w:rPr>
        <w:t xml:space="preserve"> </w:t>
      </w:r>
      <w:r w:rsidRPr="00904452" w:rsidDel="00DF5E3A">
        <w:rPr>
          <w:rFonts w:cs="Arial"/>
        </w:rPr>
        <w:t xml:space="preserve">In addition, treatment arms in Phase 2 studies investigating </w:t>
      </w:r>
      <w:r w:rsidRPr="00904452">
        <w:rPr>
          <w:rFonts w:cs="Arial"/>
        </w:rPr>
        <w:t>MAVIRET</w:t>
      </w:r>
      <w:r w:rsidRPr="00904452" w:rsidDel="00DF5E3A">
        <w:rPr>
          <w:rFonts w:cs="Arial"/>
        </w:rPr>
        <w:t xml:space="preserve"> using glecaprevir 300 mg plus pibrentasvir 120 mg once daily were included (SURVEYOR-1 </w:t>
      </w:r>
      <w:r w:rsidRPr="00904452">
        <w:rPr>
          <w:rFonts w:cs="Arial"/>
        </w:rPr>
        <w:t xml:space="preserve">Part 2 </w:t>
      </w:r>
      <w:r w:rsidRPr="00904452" w:rsidDel="00DF5E3A">
        <w:rPr>
          <w:rFonts w:cs="Arial"/>
        </w:rPr>
        <w:t>and SURVEYOR-2 Part</w:t>
      </w:r>
      <w:r w:rsidRPr="00904452">
        <w:rPr>
          <w:rFonts w:cs="Arial"/>
        </w:rPr>
        <w:t>s</w:t>
      </w:r>
      <w:r w:rsidRPr="00904452" w:rsidDel="00DF5E3A">
        <w:rPr>
          <w:rFonts w:cs="Arial"/>
        </w:rPr>
        <w:t xml:space="preserve"> </w:t>
      </w:r>
      <w:r w:rsidRPr="00904452">
        <w:rPr>
          <w:rFonts w:cs="Arial"/>
        </w:rPr>
        <w:t>1-2).</w:t>
      </w:r>
    </w:p>
    <w:p w14:paraId="6EA66A6B" w14:textId="77777777" w:rsidR="007F1424" w:rsidRPr="005E1202" w:rsidRDefault="007F1424" w:rsidP="00A02930">
      <w:pPr>
        <w:jc w:val="both"/>
        <w:rPr>
          <w:rFonts w:cs="Arial"/>
        </w:rPr>
      </w:pPr>
    </w:p>
    <w:p w14:paraId="2DF1DFB7" w14:textId="3E8A14AF" w:rsidR="00493B75" w:rsidRPr="00B64E1C" w:rsidRDefault="00493B75" w:rsidP="00A31EE5">
      <w:pPr>
        <w:jc w:val="both"/>
        <w:rPr>
          <w:rFonts w:cs="Arial"/>
          <w:b/>
        </w:rPr>
      </w:pPr>
      <w:r w:rsidRPr="00904452">
        <w:rPr>
          <w:rFonts w:cs="Arial"/>
          <w:b/>
        </w:rPr>
        <w:t xml:space="preserve">Table </w:t>
      </w:r>
      <w:r w:rsidR="00FA1AB2">
        <w:rPr>
          <w:rFonts w:cs="Arial"/>
          <w:b/>
        </w:rPr>
        <w:t>10</w:t>
      </w:r>
      <w:r w:rsidR="009206A1" w:rsidRPr="00904452">
        <w:rPr>
          <w:rFonts w:cs="Arial"/>
          <w:b/>
        </w:rPr>
        <w:t>.</w:t>
      </w:r>
      <w:r w:rsidRPr="00904452">
        <w:rPr>
          <w:rFonts w:cs="Arial"/>
          <w:b/>
        </w:rPr>
        <w:t xml:space="preserve"> ENDURANCE-1</w:t>
      </w:r>
      <w:r w:rsidR="00292E2A" w:rsidRPr="00904452">
        <w:rPr>
          <w:rFonts w:cs="Arial"/>
          <w:b/>
          <w:vertAlign w:val="superscript"/>
        </w:rPr>
        <w:t>a</w:t>
      </w:r>
      <w:r w:rsidRPr="00904452">
        <w:rPr>
          <w:rFonts w:cs="Arial"/>
          <w:b/>
        </w:rPr>
        <w:t>, -2, -4, SURVEYOR-1, -2, and EXPEDITION-1</w:t>
      </w:r>
      <w:r w:rsidR="00292E2A" w:rsidRPr="00904452">
        <w:rPr>
          <w:rFonts w:cs="Arial"/>
          <w:b/>
        </w:rPr>
        <w:t>, -2</w:t>
      </w:r>
      <w:r w:rsidR="00292E2A" w:rsidRPr="00904452">
        <w:rPr>
          <w:rFonts w:cs="Arial"/>
          <w:b/>
          <w:vertAlign w:val="superscript"/>
        </w:rPr>
        <w:t>a</w:t>
      </w:r>
      <w:r w:rsidR="00961FBF" w:rsidRPr="00904452">
        <w:rPr>
          <w:rFonts w:cs="Arial"/>
          <w:b/>
        </w:rPr>
        <w:t>,</w:t>
      </w:r>
      <w:r w:rsidRPr="00904452">
        <w:rPr>
          <w:rFonts w:cs="Arial"/>
          <w:b/>
        </w:rPr>
        <w:t xml:space="preserve"> </w:t>
      </w:r>
      <w:r w:rsidRPr="00B64E1C">
        <w:rPr>
          <w:rFonts w:cs="Arial"/>
          <w:b/>
        </w:rPr>
        <w:t>-4</w:t>
      </w:r>
      <w:r w:rsidR="00961FBF" w:rsidRPr="00B64E1C">
        <w:rPr>
          <w:rFonts w:cs="Arial"/>
          <w:b/>
        </w:rPr>
        <w:t xml:space="preserve"> and -8</w:t>
      </w:r>
      <w:r w:rsidRPr="00B64E1C">
        <w:rPr>
          <w:rFonts w:cs="Arial"/>
          <w:b/>
        </w:rPr>
        <w:t xml:space="preserve">: SVR12 in </w:t>
      </w:r>
      <w:r w:rsidR="00832A55" w:rsidRPr="00B64E1C">
        <w:rPr>
          <w:rFonts w:cs="Arial"/>
          <w:b/>
        </w:rPr>
        <w:t>TN</w:t>
      </w:r>
      <w:r w:rsidRPr="00B64E1C">
        <w:rPr>
          <w:rFonts w:cs="Arial"/>
          <w:b/>
        </w:rPr>
        <w:t xml:space="preserve"> and </w:t>
      </w:r>
      <w:r w:rsidR="00832A55" w:rsidRPr="00B64E1C">
        <w:rPr>
          <w:rFonts w:cs="Arial"/>
          <w:b/>
        </w:rPr>
        <w:t>PRS</w:t>
      </w:r>
      <w:r w:rsidR="00672F5C" w:rsidRPr="00B64E1C">
        <w:rPr>
          <w:rFonts w:cs="Arial"/>
          <w:b/>
        </w:rPr>
        <w:t>-</w:t>
      </w:r>
      <w:r w:rsidR="00832A55" w:rsidRPr="00B64E1C">
        <w:rPr>
          <w:rFonts w:cs="Arial"/>
          <w:b/>
        </w:rPr>
        <w:t>TE</w:t>
      </w:r>
      <w:r w:rsidRPr="00B64E1C">
        <w:rPr>
          <w:rFonts w:cs="Arial"/>
          <w:b/>
        </w:rPr>
        <w:t xml:space="preserve"> </w:t>
      </w:r>
      <w:r w:rsidR="00FA1AB2" w:rsidRPr="00B64E1C">
        <w:rPr>
          <w:rFonts w:cs="Arial"/>
          <w:b/>
        </w:rPr>
        <w:t xml:space="preserve">Adults </w:t>
      </w:r>
      <w:r w:rsidRPr="00B64E1C">
        <w:rPr>
          <w:rFonts w:cs="Arial"/>
          <w:b/>
        </w:rPr>
        <w:t xml:space="preserve">with </w:t>
      </w:r>
      <w:r w:rsidR="00672F5C" w:rsidRPr="00B64E1C">
        <w:rPr>
          <w:rFonts w:cs="Arial"/>
          <w:b/>
        </w:rPr>
        <w:t>GT</w:t>
      </w:r>
      <w:r w:rsidRPr="00B64E1C">
        <w:rPr>
          <w:rFonts w:cs="Arial"/>
          <w:b/>
        </w:rPr>
        <w:t>1, 2, 4, 5 or 6 Infection who Received the Recommended Duration</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43"/>
        <w:gridCol w:w="1170"/>
        <w:gridCol w:w="1170"/>
        <w:gridCol w:w="1170"/>
        <w:gridCol w:w="1260"/>
        <w:gridCol w:w="1170"/>
      </w:tblGrid>
      <w:tr w:rsidR="00B64E1C" w:rsidRPr="00B64E1C" w14:paraId="0ABDC8EE" w14:textId="77777777" w:rsidTr="00493B75">
        <w:trPr>
          <w:cantSplit/>
          <w:tblHeader/>
          <w:jc w:val="center"/>
        </w:trPr>
        <w:tc>
          <w:tcPr>
            <w:tcW w:w="1943" w:type="dxa"/>
          </w:tcPr>
          <w:p w14:paraId="332038B0" w14:textId="77777777" w:rsidR="00493B75" w:rsidRPr="00B64E1C" w:rsidRDefault="00493B75" w:rsidP="00493B75">
            <w:pPr>
              <w:rPr>
                <w:rFonts w:cs="Arial"/>
                <w:b/>
                <w:sz w:val="20"/>
              </w:rPr>
            </w:pPr>
          </w:p>
        </w:tc>
        <w:tc>
          <w:tcPr>
            <w:tcW w:w="1170" w:type="dxa"/>
            <w:vAlign w:val="center"/>
          </w:tcPr>
          <w:p w14:paraId="762B7D2B" w14:textId="03DA7AB1" w:rsidR="00493B75" w:rsidRPr="00B64E1C" w:rsidRDefault="00672F5C" w:rsidP="00292E2A">
            <w:pPr>
              <w:spacing w:before="60" w:after="60"/>
              <w:jc w:val="center"/>
              <w:rPr>
                <w:rFonts w:cs="Arial"/>
                <w:b/>
                <w:sz w:val="20"/>
              </w:rPr>
            </w:pPr>
            <w:r w:rsidRPr="00B64E1C">
              <w:rPr>
                <w:rFonts w:cs="Arial"/>
                <w:b/>
                <w:sz w:val="20"/>
              </w:rPr>
              <w:t>GT</w:t>
            </w:r>
            <w:r w:rsidR="00493B75" w:rsidRPr="00B64E1C">
              <w:rPr>
                <w:rFonts w:cs="Arial"/>
                <w:b/>
                <w:sz w:val="20"/>
              </w:rPr>
              <w:t>1</w:t>
            </w:r>
          </w:p>
        </w:tc>
        <w:tc>
          <w:tcPr>
            <w:tcW w:w="1170" w:type="dxa"/>
            <w:vAlign w:val="center"/>
          </w:tcPr>
          <w:p w14:paraId="7D6DD487" w14:textId="6FA18914" w:rsidR="00493B75" w:rsidRPr="00B64E1C" w:rsidRDefault="00672F5C" w:rsidP="00493B75">
            <w:pPr>
              <w:spacing w:before="60" w:after="60"/>
              <w:jc w:val="center"/>
              <w:rPr>
                <w:rFonts w:cs="Arial"/>
                <w:b/>
                <w:sz w:val="20"/>
              </w:rPr>
            </w:pPr>
            <w:r w:rsidRPr="00B64E1C">
              <w:rPr>
                <w:rFonts w:cs="Arial"/>
                <w:b/>
                <w:sz w:val="20"/>
              </w:rPr>
              <w:t>GT</w:t>
            </w:r>
            <w:r w:rsidR="00493B75" w:rsidRPr="00B64E1C">
              <w:rPr>
                <w:rFonts w:cs="Arial"/>
                <w:b/>
                <w:sz w:val="20"/>
              </w:rPr>
              <w:t>2</w:t>
            </w:r>
          </w:p>
        </w:tc>
        <w:tc>
          <w:tcPr>
            <w:tcW w:w="1170" w:type="dxa"/>
            <w:vAlign w:val="center"/>
          </w:tcPr>
          <w:p w14:paraId="797F2D42" w14:textId="2314A79F" w:rsidR="00493B75" w:rsidRPr="00B64E1C" w:rsidRDefault="00672F5C" w:rsidP="00493B75">
            <w:pPr>
              <w:spacing w:before="60" w:after="60"/>
              <w:jc w:val="center"/>
              <w:rPr>
                <w:rFonts w:cs="Arial"/>
                <w:b/>
                <w:sz w:val="20"/>
              </w:rPr>
            </w:pPr>
            <w:r w:rsidRPr="00B64E1C">
              <w:rPr>
                <w:rFonts w:cs="Arial"/>
                <w:b/>
                <w:sz w:val="20"/>
              </w:rPr>
              <w:t>GT</w:t>
            </w:r>
            <w:r w:rsidR="00493B75" w:rsidRPr="00B64E1C">
              <w:rPr>
                <w:rFonts w:cs="Arial"/>
                <w:b/>
                <w:sz w:val="20"/>
              </w:rPr>
              <w:t>4</w:t>
            </w:r>
          </w:p>
        </w:tc>
        <w:tc>
          <w:tcPr>
            <w:tcW w:w="1260" w:type="dxa"/>
            <w:vAlign w:val="center"/>
          </w:tcPr>
          <w:p w14:paraId="1EF844AD" w14:textId="6A6F5334" w:rsidR="00493B75" w:rsidRPr="00B64E1C" w:rsidRDefault="00672F5C" w:rsidP="00493B75">
            <w:pPr>
              <w:spacing w:before="60" w:after="60"/>
              <w:jc w:val="center"/>
              <w:rPr>
                <w:rFonts w:cs="Arial"/>
                <w:b/>
                <w:sz w:val="20"/>
              </w:rPr>
            </w:pPr>
            <w:r w:rsidRPr="00B64E1C">
              <w:rPr>
                <w:rFonts w:cs="Arial"/>
                <w:b/>
                <w:sz w:val="20"/>
              </w:rPr>
              <w:t>GT</w:t>
            </w:r>
            <w:r w:rsidR="00493B75" w:rsidRPr="00B64E1C">
              <w:rPr>
                <w:rFonts w:cs="Arial"/>
                <w:b/>
                <w:sz w:val="20"/>
              </w:rPr>
              <w:t>5</w:t>
            </w:r>
          </w:p>
        </w:tc>
        <w:tc>
          <w:tcPr>
            <w:tcW w:w="1170" w:type="dxa"/>
            <w:vAlign w:val="center"/>
          </w:tcPr>
          <w:p w14:paraId="356F5287" w14:textId="4BD7E6EE" w:rsidR="00493B75" w:rsidRPr="00B64E1C" w:rsidRDefault="00672F5C" w:rsidP="00493B75">
            <w:pPr>
              <w:spacing w:before="60" w:after="60"/>
              <w:jc w:val="center"/>
              <w:rPr>
                <w:rFonts w:cs="Arial"/>
                <w:b/>
                <w:sz w:val="20"/>
              </w:rPr>
            </w:pPr>
            <w:r w:rsidRPr="00B64E1C">
              <w:rPr>
                <w:rFonts w:cs="Arial"/>
                <w:b/>
                <w:sz w:val="20"/>
              </w:rPr>
              <w:t>GT</w:t>
            </w:r>
            <w:r w:rsidR="00493B75" w:rsidRPr="00B64E1C">
              <w:rPr>
                <w:rFonts w:cs="Arial"/>
                <w:b/>
                <w:sz w:val="20"/>
              </w:rPr>
              <w:t>6</w:t>
            </w:r>
          </w:p>
        </w:tc>
      </w:tr>
      <w:tr w:rsidR="00B64E1C" w:rsidRPr="00B64E1C" w14:paraId="707C345A" w14:textId="77777777" w:rsidTr="00493B75">
        <w:trPr>
          <w:cantSplit/>
          <w:jc w:val="center"/>
        </w:trPr>
        <w:tc>
          <w:tcPr>
            <w:tcW w:w="7883" w:type="dxa"/>
            <w:gridSpan w:val="6"/>
            <w:vAlign w:val="center"/>
          </w:tcPr>
          <w:p w14:paraId="2DD21BAB" w14:textId="77777777" w:rsidR="00493B75" w:rsidRPr="00B64E1C" w:rsidRDefault="00493B75" w:rsidP="00493B75">
            <w:pPr>
              <w:spacing w:before="60" w:after="60"/>
              <w:jc w:val="center"/>
              <w:rPr>
                <w:rFonts w:cs="Arial"/>
                <w:b/>
                <w:sz w:val="20"/>
              </w:rPr>
            </w:pPr>
            <w:r w:rsidRPr="00B64E1C">
              <w:rPr>
                <w:rFonts w:cs="Arial"/>
                <w:b/>
                <w:sz w:val="20"/>
              </w:rPr>
              <w:t>SVR12 in Patients Without Cirrhosis</w:t>
            </w:r>
          </w:p>
        </w:tc>
      </w:tr>
      <w:tr w:rsidR="00B64E1C" w:rsidRPr="00B64E1C" w14:paraId="10F04D5E" w14:textId="77777777" w:rsidTr="00493B75">
        <w:trPr>
          <w:cantSplit/>
          <w:jc w:val="center"/>
        </w:trPr>
        <w:tc>
          <w:tcPr>
            <w:tcW w:w="1943" w:type="dxa"/>
            <w:vAlign w:val="center"/>
          </w:tcPr>
          <w:p w14:paraId="67F15A9A" w14:textId="6DE373D6" w:rsidR="00493B75" w:rsidRPr="00B64E1C" w:rsidRDefault="00493B75" w:rsidP="00493B75">
            <w:pPr>
              <w:spacing w:before="60" w:after="60"/>
              <w:jc w:val="center"/>
              <w:rPr>
                <w:rFonts w:cs="Arial"/>
                <w:sz w:val="20"/>
              </w:rPr>
            </w:pPr>
            <w:r w:rsidRPr="00B64E1C">
              <w:rPr>
                <w:rFonts w:cs="Arial"/>
                <w:sz w:val="20"/>
              </w:rPr>
              <w:t>8 weeks</w:t>
            </w:r>
          </w:p>
        </w:tc>
        <w:tc>
          <w:tcPr>
            <w:tcW w:w="1170" w:type="dxa"/>
          </w:tcPr>
          <w:p w14:paraId="312DB42B" w14:textId="77777777" w:rsidR="00493B75" w:rsidRPr="00B64E1C" w:rsidRDefault="00493B75" w:rsidP="00292E2A">
            <w:pPr>
              <w:spacing w:before="60" w:after="60"/>
              <w:jc w:val="center"/>
              <w:rPr>
                <w:rFonts w:cs="Arial"/>
                <w:sz w:val="20"/>
              </w:rPr>
            </w:pPr>
            <w:r w:rsidRPr="00B64E1C">
              <w:rPr>
                <w:rFonts w:cs="Arial"/>
                <w:sz w:val="20"/>
              </w:rPr>
              <w:t>99.</w:t>
            </w:r>
            <w:r w:rsidR="00292E2A" w:rsidRPr="00B64E1C">
              <w:rPr>
                <w:rFonts w:cs="Arial"/>
                <w:sz w:val="20"/>
              </w:rPr>
              <w:t>2</w:t>
            </w:r>
            <w:r w:rsidRPr="00B64E1C">
              <w:rPr>
                <w:rFonts w:cs="Arial"/>
                <w:sz w:val="20"/>
              </w:rPr>
              <w:t xml:space="preserve">% </w:t>
            </w:r>
          </w:p>
          <w:p w14:paraId="41659084" w14:textId="77777777" w:rsidR="00292E2A" w:rsidRPr="00B64E1C" w:rsidRDefault="00292E2A" w:rsidP="00292E2A">
            <w:pPr>
              <w:spacing w:before="60" w:after="60"/>
              <w:jc w:val="center"/>
              <w:rPr>
                <w:rFonts w:cs="Arial"/>
                <w:sz w:val="20"/>
              </w:rPr>
            </w:pPr>
            <w:r w:rsidRPr="00B64E1C">
              <w:rPr>
                <w:rFonts w:cs="Arial"/>
                <w:sz w:val="20"/>
              </w:rPr>
              <w:t>(470/474)</w:t>
            </w:r>
          </w:p>
        </w:tc>
        <w:tc>
          <w:tcPr>
            <w:tcW w:w="1170" w:type="dxa"/>
          </w:tcPr>
          <w:p w14:paraId="7065E8F3" w14:textId="77777777" w:rsidR="00493B75" w:rsidRPr="00B64E1C" w:rsidRDefault="00493B75" w:rsidP="00292E2A">
            <w:pPr>
              <w:spacing w:before="60" w:after="60"/>
              <w:jc w:val="center"/>
              <w:rPr>
                <w:rFonts w:cs="Arial"/>
                <w:sz w:val="20"/>
              </w:rPr>
            </w:pPr>
            <w:r w:rsidRPr="00B64E1C">
              <w:rPr>
                <w:rFonts w:cs="Arial"/>
                <w:sz w:val="20"/>
              </w:rPr>
              <w:t>98.</w:t>
            </w:r>
            <w:r w:rsidR="00292E2A" w:rsidRPr="00B64E1C">
              <w:rPr>
                <w:rFonts w:cs="Arial"/>
                <w:sz w:val="20"/>
              </w:rPr>
              <w:t>1</w:t>
            </w:r>
            <w:r w:rsidRPr="00B64E1C">
              <w:rPr>
                <w:rFonts w:cs="Arial"/>
                <w:sz w:val="20"/>
              </w:rPr>
              <w:t xml:space="preserve">% </w:t>
            </w:r>
          </w:p>
          <w:p w14:paraId="10A699AE" w14:textId="77777777" w:rsidR="00292E2A" w:rsidRPr="00B64E1C" w:rsidRDefault="00292E2A" w:rsidP="00292E2A">
            <w:pPr>
              <w:spacing w:before="60" w:after="60"/>
              <w:jc w:val="center"/>
              <w:rPr>
                <w:rFonts w:cs="Arial"/>
                <w:sz w:val="20"/>
              </w:rPr>
            </w:pPr>
            <w:r w:rsidRPr="00B64E1C">
              <w:rPr>
                <w:rFonts w:cs="Arial"/>
                <w:sz w:val="20"/>
              </w:rPr>
              <w:t>(202/206)</w:t>
            </w:r>
          </w:p>
        </w:tc>
        <w:tc>
          <w:tcPr>
            <w:tcW w:w="1170" w:type="dxa"/>
          </w:tcPr>
          <w:p w14:paraId="62627529" w14:textId="77777777" w:rsidR="00292E2A" w:rsidRPr="00B64E1C" w:rsidRDefault="00292E2A" w:rsidP="00493B75">
            <w:pPr>
              <w:spacing w:before="60" w:after="60"/>
              <w:jc w:val="center"/>
              <w:rPr>
                <w:rFonts w:cs="Arial"/>
                <w:sz w:val="20"/>
              </w:rPr>
            </w:pPr>
            <w:r w:rsidRPr="00B64E1C">
              <w:rPr>
                <w:rFonts w:cs="Arial"/>
                <w:sz w:val="20"/>
              </w:rPr>
              <w:t>95.2</w:t>
            </w:r>
            <w:r w:rsidR="00493B75" w:rsidRPr="00B64E1C">
              <w:rPr>
                <w:rFonts w:cs="Arial"/>
                <w:sz w:val="20"/>
              </w:rPr>
              <w:t xml:space="preserve">% </w:t>
            </w:r>
          </w:p>
          <w:p w14:paraId="00941CE4" w14:textId="77777777" w:rsidR="00493B75" w:rsidRPr="00B64E1C" w:rsidRDefault="00292E2A" w:rsidP="00614099">
            <w:pPr>
              <w:spacing w:before="60" w:after="60"/>
              <w:jc w:val="center"/>
              <w:rPr>
                <w:rFonts w:cs="Arial"/>
                <w:sz w:val="20"/>
              </w:rPr>
            </w:pPr>
            <w:r w:rsidRPr="00B64E1C">
              <w:rPr>
                <w:rFonts w:cs="Arial"/>
                <w:sz w:val="20"/>
              </w:rPr>
              <w:t>(59/62)</w:t>
            </w:r>
          </w:p>
        </w:tc>
        <w:tc>
          <w:tcPr>
            <w:tcW w:w="1260" w:type="dxa"/>
          </w:tcPr>
          <w:p w14:paraId="4D250B0D" w14:textId="77777777" w:rsidR="00493B75" w:rsidRPr="00B64E1C" w:rsidRDefault="00493B75" w:rsidP="00493B75">
            <w:pPr>
              <w:spacing w:before="60" w:after="60"/>
              <w:jc w:val="center"/>
              <w:rPr>
                <w:rFonts w:cs="Arial"/>
                <w:sz w:val="20"/>
              </w:rPr>
            </w:pPr>
            <w:r w:rsidRPr="00B64E1C">
              <w:rPr>
                <w:rFonts w:cs="Arial"/>
                <w:sz w:val="20"/>
              </w:rPr>
              <w:t>100%</w:t>
            </w:r>
            <w:proofErr w:type="gramStart"/>
            <w:r w:rsidRPr="00B64E1C">
              <w:rPr>
                <w:rFonts w:cs="Arial"/>
                <w:sz w:val="20"/>
              </w:rPr>
              <w:t xml:space="preserve">   (</w:t>
            </w:r>
            <w:proofErr w:type="gramEnd"/>
            <w:r w:rsidRPr="00B64E1C">
              <w:rPr>
                <w:rFonts w:cs="Arial"/>
                <w:sz w:val="20"/>
              </w:rPr>
              <w:t xml:space="preserve">2/2) </w:t>
            </w:r>
          </w:p>
        </w:tc>
        <w:tc>
          <w:tcPr>
            <w:tcW w:w="1170" w:type="dxa"/>
          </w:tcPr>
          <w:p w14:paraId="2125E2B8" w14:textId="77777777" w:rsidR="00292E2A" w:rsidRPr="00B64E1C" w:rsidRDefault="00292E2A" w:rsidP="00292E2A">
            <w:pPr>
              <w:spacing w:before="60" w:after="60"/>
              <w:jc w:val="center"/>
              <w:rPr>
                <w:rFonts w:cs="Arial"/>
                <w:sz w:val="20"/>
              </w:rPr>
            </w:pPr>
            <w:r w:rsidRPr="00B64E1C">
              <w:rPr>
                <w:rFonts w:cs="Arial"/>
                <w:sz w:val="20"/>
              </w:rPr>
              <w:t>92.3</w:t>
            </w:r>
            <w:r w:rsidR="00493B75" w:rsidRPr="00B64E1C">
              <w:rPr>
                <w:rFonts w:cs="Arial"/>
                <w:sz w:val="20"/>
              </w:rPr>
              <w:t xml:space="preserve">%  </w:t>
            </w:r>
          </w:p>
          <w:p w14:paraId="4577687D" w14:textId="77777777" w:rsidR="00493B75" w:rsidRPr="00B64E1C" w:rsidRDefault="00292E2A" w:rsidP="00292E2A">
            <w:pPr>
              <w:spacing w:before="60" w:after="60"/>
              <w:jc w:val="center"/>
              <w:rPr>
                <w:rFonts w:cs="Arial"/>
                <w:sz w:val="20"/>
              </w:rPr>
            </w:pPr>
            <w:r w:rsidRPr="00B64E1C">
              <w:rPr>
                <w:rFonts w:cs="Arial"/>
                <w:sz w:val="20"/>
              </w:rPr>
              <w:t>(12/13)</w:t>
            </w:r>
          </w:p>
        </w:tc>
      </w:tr>
      <w:tr w:rsidR="00B64E1C" w:rsidRPr="00B64E1C" w14:paraId="17D6534E" w14:textId="77777777" w:rsidTr="00493B75">
        <w:trPr>
          <w:cantSplit/>
          <w:jc w:val="center"/>
        </w:trPr>
        <w:tc>
          <w:tcPr>
            <w:tcW w:w="7883" w:type="dxa"/>
            <w:gridSpan w:val="6"/>
            <w:vAlign w:val="center"/>
          </w:tcPr>
          <w:p w14:paraId="6DD4CD56" w14:textId="77777777" w:rsidR="00493B75" w:rsidRPr="00B64E1C" w:rsidRDefault="00493B75" w:rsidP="00493B75">
            <w:pPr>
              <w:spacing w:before="60" w:after="60"/>
              <w:jc w:val="center"/>
              <w:rPr>
                <w:rFonts w:cs="Arial"/>
                <w:sz w:val="20"/>
              </w:rPr>
            </w:pPr>
            <w:r w:rsidRPr="00B64E1C">
              <w:rPr>
                <w:rFonts w:cs="Arial"/>
                <w:b/>
                <w:sz w:val="20"/>
              </w:rPr>
              <w:t>Outcome for patients without SVR12</w:t>
            </w:r>
          </w:p>
        </w:tc>
      </w:tr>
      <w:tr w:rsidR="00B64E1C" w:rsidRPr="00B64E1C" w14:paraId="28F5987F" w14:textId="77777777" w:rsidTr="00493B75">
        <w:trPr>
          <w:cantSplit/>
          <w:jc w:val="center"/>
        </w:trPr>
        <w:tc>
          <w:tcPr>
            <w:tcW w:w="1943" w:type="dxa"/>
            <w:vAlign w:val="center"/>
          </w:tcPr>
          <w:p w14:paraId="1446A2F1" w14:textId="77777777" w:rsidR="00493B75" w:rsidRPr="00B64E1C" w:rsidRDefault="00493B75" w:rsidP="00493B75">
            <w:pPr>
              <w:spacing w:before="60" w:after="60"/>
              <w:jc w:val="center"/>
              <w:rPr>
                <w:rFonts w:cs="Arial"/>
                <w:sz w:val="20"/>
              </w:rPr>
            </w:pPr>
            <w:r w:rsidRPr="00B64E1C">
              <w:rPr>
                <w:rFonts w:cs="Arial"/>
                <w:sz w:val="20"/>
              </w:rPr>
              <w:t>On-treatment VF</w:t>
            </w:r>
          </w:p>
        </w:tc>
        <w:tc>
          <w:tcPr>
            <w:tcW w:w="1170" w:type="dxa"/>
            <w:vAlign w:val="center"/>
          </w:tcPr>
          <w:p w14:paraId="74E5B597" w14:textId="77777777" w:rsidR="00493B75" w:rsidRPr="00B64E1C" w:rsidRDefault="00493B75" w:rsidP="00292E2A">
            <w:pPr>
              <w:spacing w:before="60" w:after="60"/>
              <w:jc w:val="center"/>
              <w:rPr>
                <w:rFonts w:cs="Arial"/>
                <w:sz w:val="20"/>
              </w:rPr>
            </w:pPr>
            <w:r w:rsidRPr="00B64E1C">
              <w:rPr>
                <w:rFonts w:cs="Arial"/>
                <w:sz w:val="20"/>
              </w:rPr>
              <w:t>0.</w:t>
            </w:r>
            <w:r w:rsidR="00292E2A" w:rsidRPr="00B64E1C">
              <w:rPr>
                <w:rFonts w:cs="Arial"/>
                <w:sz w:val="20"/>
              </w:rPr>
              <w:t>2</w:t>
            </w:r>
            <w:r w:rsidRPr="00B64E1C">
              <w:rPr>
                <w:rFonts w:cs="Arial"/>
                <w:sz w:val="20"/>
              </w:rPr>
              <w:t>% (1/</w:t>
            </w:r>
            <w:r w:rsidR="00292E2A" w:rsidRPr="00B64E1C">
              <w:rPr>
                <w:rFonts w:cs="Arial"/>
                <w:sz w:val="20"/>
              </w:rPr>
              <w:t>474</w:t>
            </w:r>
            <w:r w:rsidRPr="00B64E1C">
              <w:rPr>
                <w:rFonts w:cs="Arial"/>
                <w:sz w:val="20"/>
              </w:rPr>
              <w:t>)</w:t>
            </w:r>
          </w:p>
        </w:tc>
        <w:tc>
          <w:tcPr>
            <w:tcW w:w="1170" w:type="dxa"/>
            <w:vAlign w:val="center"/>
          </w:tcPr>
          <w:p w14:paraId="2B744AFB" w14:textId="77777777" w:rsidR="00493B75" w:rsidRPr="00B64E1C" w:rsidRDefault="00493B75" w:rsidP="00292E2A">
            <w:pPr>
              <w:spacing w:before="60" w:after="60"/>
              <w:jc w:val="center"/>
              <w:rPr>
                <w:rFonts w:cs="Arial"/>
                <w:sz w:val="20"/>
              </w:rPr>
            </w:pPr>
            <w:r w:rsidRPr="00B64E1C">
              <w:rPr>
                <w:rFonts w:cs="Arial"/>
                <w:sz w:val="20"/>
              </w:rPr>
              <w:t>0% (0/</w:t>
            </w:r>
            <w:r w:rsidR="00292E2A" w:rsidRPr="00B64E1C">
              <w:rPr>
                <w:rFonts w:cs="Arial"/>
                <w:sz w:val="20"/>
              </w:rPr>
              <w:t>206</w:t>
            </w:r>
            <w:r w:rsidRPr="00B64E1C">
              <w:rPr>
                <w:rFonts w:cs="Arial"/>
                <w:sz w:val="20"/>
              </w:rPr>
              <w:t>)</w:t>
            </w:r>
          </w:p>
        </w:tc>
        <w:tc>
          <w:tcPr>
            <w:tcW w:w="1170" w:type="dxa"/>
            <w:vAlign w:val="center"/>
          </w:tcPr>
          <w:p w14:paraId="276D5308" w14:textId="34C307A9" w:rsidR="00493B75" w:rsidRPr="00B64E1C" w:rsidRDefault="00493B75" w:rsidP="00292E2A">
            <w:pPr>
              <w:spacing w:before="60" w:after="60"/>
              <w:jc w:val="center"/>
              <w:rPr>
                <w:rFonts w:cs="Arial"/>
                <w:sz w:val="20"/>
              </w:rPr>
            </w:pPr>
            <w:r w:rsidRPr="00B64E1C">
              <w:rPr>
                <w:rFonts w:cs="Arial"/>
                <w:sz w:val="20"/>
              </w:rPr>
              <w:t>0%</w:t>
            </w:r>
            <w:proofErr w:type="gramStart"/>
            <w:r w:rsidRPr="00B64E1C">
              <w:rPr>
                <w:rFonts w:cs="Arial"/>
                <w:sz w:val="20"/>
              </w:rPr>
              <w:t xml:space="preserve">   (</w:t>
            </w:r>
            <w:proofErr w:type="gramEnd"/>
            <w:r w:rsidRPr="00B64E1C">
              <w:rPr>
                <w:rFonts w:cs="Arial"/>
                <w:sz w:val="20"/>
              </w:rPr>
              <w:t>0/</w:t>
            </w:r>
            <w:r w:rsidR="00292E2A" w:rsidRPr="00B64E1C">
              <w:rPr>
                <w:rFonts w:cs="Arial"/>
                <w:sz w:val="20"/>
              </w:rPr>
              <w:t>6</w:t>
            </w:r>
            <w:r w:rsidR="00D658E5" w:rsidRPr="00B64E1C">
              <w:rPr>
                <w:rFonts w:cs="Arial"/>
                <w:sz w:val="20"/>
              </w:rPr>
              <w:t>2</w:t>
            </w:r>
            <w:r w:rsidRPr="00B64E1C">
              <w:rPr>
                <w:rFonts w:cs="Arial"/>
                <w:sz w:val="20"/>
              </w:rPr>
              <w:t>)</w:t>
            </w:r>
          </w:p>
        </w:tc>
        <w:tc>
          <w:tcPr>
            <w:tcW w:w="1260" w:type="dxa"/>
            <w:vAlign w:val="center"/>
          </w:tcPr>
          <w:p w14:paraId="28171733" w14:textId="77777777" w:rsidR="00493B75" w:rsidRPr="00B64E1C" w:rsidRDefault="00493B75" w:rsidP="00493B75">
            <w:pPr>
              <w:spacing w:before="60" w:after="60"/>
              <w:jc w:val="center"/>
              <w:rPr>
                <w:rFonts w:cs="Arial"/>
                <w:sz w:val="20"/>
              </w:rPr>
            </w:pPr>
            <w:r w:rsidRPr="00B64E1C">
              <w:rPr>
                <w:rFonts w:cs="Arial"/>
                <w:sz w:val="20"/>
              </w:rPr>
              <w:t xml:space="preserve">0%    </w:t>
            </w:r>
            <w:proofErr w:type="gramStart"/>
            <w:r w:rsidRPr="00B64E1C">
              <w:rPr>
                <w:rFonts w:cs="Arial"/>
                <w:sz w:val="20"/>
              </w:rPr>
              <w:t xml:space="preserve">   (</w:t>
            </w:r>
            <w:proofErr w:type="gramEnd"/>
            <w:r w:rsidRPr="00B64E1C">
              <w:rPr>
                <w:rFonts w:cs="Arial"/>
                <w:sz w:val="20"/>
              </w:rPr>
              <w:t>0/2)</w:t>
            </w:r>
          </w:p>
        </w:tc>
        <w:tc>
          <w:tcPr>
            <w:tcW w:w="1170" w:type="dxa"/>
            <w:vAlign w:val="center"/>
          </w:tcPr>
          <w:p w14:paraId="18E1C956" w14:textId="77777777" w:rsidR="00493B75" w:rsidRPr="00B64E1C" w:rsidRDefault="00493B75" w:rsidP="00292E2A">
            <w:pPr>
              <w:spacing w:before="60" w:after="60"/>
              <w:jc w:val="center"/>
              <w:rPr>
                <w:rFonts w:cs="Arial"/>
                <w:sz w:val="20"/>
              </w:rPr>
            </w:pPr>
            <w:r w:rsidRPr="00B64E1C">
              <w:rPr>
                <w:rFonts w:cs="Arial"/>
                <w:sz w:val="20"/>
              </w:rPr>
              <w:t xml:space="preserve">0% </w:t>
            </w:r>
            <w:proofErr w:type="gramStart"/>
            <w:r w:rsidRPr="00B64E1C">
              <w:rPr>
                <w:rFonts w:cs="Arial"/>
                <w:sz w:val="20"/>
              </w:rPr>
              <w:t xml:space="preserve">   (</w:t>
            </w:r>
            <w:proofErr w:type="gramEnd"/>
            <w:r w:rsidRPr="00B64E1C">
              <w:rPr>
                <w:rFonts w:cs="Arial"/>
                <w:sz w:val="20"/>
              </w:rPr>
              <w:t>0/</w:t>
            </w:r>
            <w:r w:rsidR="00292E2A" w:rsidRPr="00B64E1C">
              <w:rPr>
                <w:rFonts w:cs="Arial"/>
                <w:sz w:val="20"/>
              </w:rPr>
              <w:t>13</w:t>
            </w:r>
            <w:r w:rsidRPr="00B64E1C">
              <w:rPr>
                <w:rFonts w:cs="Arial"/>
                <w:sz w:val="20"/>
              </w:rPr>
              <w:t>)</w:t>
            </w:r>
          </w:p>
        </w:tc>
      </w:tr>
      <w:tr w:rsidR="00493B75" w:rsidRPr="005E1202" w14:paraId="23503254" w14:textId="77777777" w:rsidTr="00493B75">
        <w:trPr>
          <w:cantSplit/>
          <w:jc w:val="center"/>
        </w:trPr>
        <w:tc>
          <w:tcPr>
            <w:tcW w:w="1943" w:type="dxa"/>
            <w:vAlign w:val="center"/>
          </w:tcPr>
          <w:p w14:paraId="70E81913" w14:textId="77777777" w:rsidR="00493B75" w:rsidRPr="005E1202" w:rsidRDefault="00493B75" w:rsidP="00292E2A">
            <w:pPr>
              <w:spacing w:before="60" w:after="60"/>
              <w:jc w:val="center"/>
              <w:rPr>
                <w:rFonts w:cs="Arial"/>
                <w:sz w:val="20"/>
              </w:rPr>
            </w:pPr>
            <w:proofErr w:type="spellStart"/>
            <w:r w:rsidRPr="005E1202">
              <w:rPr>
                <w:rFonts w:cs="Arial"/>
                <w:sz w:val="20"/>
              </w:rPr>
              <w:t>Relapse</w:t>
            </w:r>
            <w:r w:rsidR="00292E2A" w:rsidRPr="00292E2A">
              <w:rPr>
                <w:rFonts w:cs="Arial"/>
                <w:sz w:val="20"/>
                <w:vertAlign w:val="superscript"/>
              </w:rPr>
              <w:t>b</w:t>
            </w:r>
            <w:proofErr w:type="spellEnd"/>
          </w:p>
        </w:tc>
        <w:tc>
          <w:tcPr>
            <w:tcW w:w="1170" w:type="dxa"/>
            <w:vAlign w:val="center"/>
          </w:tcPr>
          <w:p w14:paraId="1316DF0C" w14:textId="77777777" w:rsidR="00493B75" w:rsidRPr="005E1202" w:rsidRDefault="00493B75" w:rsidP="000978B7">
            <w:pPr>
              <w:spacing w:before="60" w:after="60"/>
              <w:jc w:val="center"/>
              <w:rPr>
                <w:rFonts w:cs="Arial"/>
                <w:sz w:val="20"/>
              </w:rPr>
            </w:pPr>
            <w:r w:rsidRPr="005E1202">
              <w:rPr>
                <w:rFonts w:cs="Arial"/>
                <w:sz w:val="20"/>
              </w:rPr>
              <w:t>0% (0/</w:t>
            </w:r>
            <w:r w:rsidR="000978B7">
              <w:rPr>
                <w:rFonts w:cs="Arial"/>
                <w:sz w:val="20"/>
              </w:rPr>
              <w:t>471</w:t>
            </w:r>
            <w:r w:rsidRPr="005E1202">
              <w:rPr>
                <w:rFonts w:cs="Arial"/>
                <w:sz w:val="20"/>
              </w:rPr>
              <w:t>)</w:t>
            </w:r>
          </w:p>
        </w:tc>
        <w:tc>
          <w:tcPr>
            <w:tcW w:w="1170" w:type="dxa"/>
            <w:vAlign w:val="center"/>
          </w:tcPr>
          <w:p w14:paraId="6F778D9F" w14:textId="77777777" w:rsidR="00493B75" w:rsidRPr="005E1202" w:rsidRDefault="00493B75" w:rsidP="000978B7">
            <w:pPr>
              <w:spacing w:before="60" w:after="60"/>
              <w:jc w:val="center"/>
              <w:rPr>
                <w:rFonts w:cs="Arial"/>
                <w:sz w:val="20"/>
              </w:rPr>
            </w:pPr>
            <w:r w:rsidRPr="005E1202">
              <w:rPr>
                <w:rFonts w:cs="Arial"/>
                <w:sz w:val="20"/>
              </w:rPr>
              <w:t>1.0% (2/</w:t>
            </w:r>
            <w:r w:rsidR="000978B7">
              <w:rPr>
                <w:rFonts w:cs="Arial"/>
                <w:sz w:val="20"/>
              </w:rPr>
              <w:t>204</w:t>
            </w:r>
            <w:r w:rsidRPr="005E1202">
              <w:rPr>
                <w:rFonts w:cs="Arial"/>
                <w:sz w:val="20"/>
              </w:rPr>
              <w:t>)</w:t>
            </w:r>
          </w:p>
        </w:tc>
        <w:tc>
          <w:tcPr>
            <w:tcW w:w="1170" w:type="dxa"/>
            <w:vAlign w:val="center"/>
          </w:tcPr>
          <w:p w14:paraId="58810ACA" w14:textId="77777777" w:rsidR="00493B75" w:rsidRPr="005E1202" w:rsidRDefault="00493B75" w:rsidP="000978B7">
            <w:pPr>
              <w:spacing w:before="60" w:after="60"/>
              <w:jc w:val="center"/>
              <w:rPr>
                <w:rFonts w:cs="Arial"/>
                <w:sz w:val="20"/>
              </w:rPr>
            </w:pPr>
            <w:r w:rsidRPr="005E1202">
              <w:rPr>
                <w:rFonts w:cs="Arial"/>
                <w:sz w:val="20"/>
              </w:rPr>
              <w:t xml:space="preserve">0% </w:t>
            </w:r>
            <w:proofErr w:type="gramStart"/>
            <w:r w:rsidRPr="005E1202">
              <w:rPr>
                <w:rFonts w:cs="Arial"/>
                <w:sz w:val="20"/>
              </w:rPr>
              <w:t xml:space="preserve">   (</w:t>
            </w:r>
            <w:proofErr w:type="gramEnd"/>
            <w:r w:rsidRPr="005E1202">
              <w:rPr>
                <w:rFonts w:cs="Arial"/>
                <w:sz w:val="20"/>
              </w:rPr>
              <w:t>0/</w:t>
            </w:r>
            <w:r w:rsidR="000978B7">
              <w:rPr>
                <w:rFonts w:cs="Arial"/>
                <w:sz w:val="20"/>
              </w:rPr>
              <w:t>61</w:t>
            </w:r>
            <w:r w:rsidRPr="005E1202">
              <w:rPr>
                <w:rFonts w:cs="Arial"/>
                <w:sz w:val="20"/>
              </w:rPr>
              <w:t>)</w:t>
            </w:r>
          </w:p>
        </w:tc>
        <w:tc>
          <w:tcPr>
            <w:tcW w:w="1260" w:type="dxa"/>
            <w:vAlign w:val="center"/>
          </w:tcPr>
          <w:p w14:paraId="6987D54D" w14:textId="77777777" w:rsidR="00493B75" w:rsidRPr="005E1202" w:rsidRDefault="00493B75" w:rsidP="00493B75">
            <w:pPr>
              <w:spacing w:before="60" w:after="60"/>
              <w:jc w:val="center"/>
              <w:rPr>
                <w:rFonts w:cs="Arial"/>
                <w:sz w:val="20"/>
              </w:rPr>
            </w:pPr>
            <w:r w:rsidRPr="005E1202">
              <w:rPr>
                <w:rFonts w:cs="Arial"/>
                <w:sz w:val="20"/>
              </w:rPr>
              <w:t xml:space="preserve">0%    </w:t>
            </w:r>
            <w:proofErr w:type="gramStart"/>
            <w:r w:rsidRPr="005E1202">
              <w:rPr>
                <w:rFonts w:cs="Arial"/>
                <w:sz w:val="20"/>
              </w:rPr>
              <w:t xml:space="preserve">   (</w:t>
            </w:r>
            <w:proofErr w:type="gramEnd"/>
            <w:r w:rsidRPr="005E1202">
              <w:rPr>
                <w:rFonts w:cs="Arial"/>
                <w:sz w:val="20"/>
              </w:rPr>
              <w:t>0/2)</w:t>
            </w:r>
          </w:p>
        </w:tc>
        <w:tc>
          <w:tcPr>
            <w:tcW w:w="1170" w:type="dxa"/>
            <w:vAlign w:val="center"/>
          </w:tcPr>
          <w:p w14:paraId="1B0ED6B9" w14:textId="77777777" w:rsidR="00493B75" w:rsidRPr="005E1202" w:rsidRDefault="00493B75" w:rsidP="000978B7">
            <w:pPr>
              <w:spacing w:before="60" w:after="60"/>
              <w:jc w:val="center"/>
              <w:rPr>
                <w:rFonts w:cs="Arial"/>
                <w:sz w:val="20"/>
              </w:rPr>
            </w:pPr>
            <w:r w:rsidRPr="005E1202">
              <w:rPr>
                <w:rFonts w:cs="Arial"/>
                <w:sz w:val="20"/>
              </w:rPr>
              <w:t xml:space="preserve">0% </w:t>
            </w:r>
            <w:proofErr w:type="gramStart"/>
            <w:r w:rsidRPr="005E1202">
              <w:rPr>
                <w:rFonts w:cs="Arial"/>
                <w:sz w:val="20"/>
              </w:rPr>
              <w:t xml:space="preserve">   (</w:t>
            </w:r>
            <w:proofErr w:type="gramEnd"/>
            <w:r w:rsidRPr="005E1202">
              <w:rPr>
                <w:rFonts w:cs="Arial"/>
                <w:sz w:val="20"/>
              </w:rPr>
              <w:t>0/</w:t>
            </w:r>
            <w:r w:rsidR="000978B7">
              <w:rPr>
                <w:rFonts w:cs="Arial"/>
                <w:sz w:val="20"/>
              </w:rPr>
              <w:t>13</w:t>
            </w:r>
            <w:r w:rsidRPr="005E1202">
              <w:rPr>
                <w:rFonts w:cs="Arial"/>
                <w:sz w:val="20"/>
              </w:rPr>
              <w:t>)</w:t>
            </w:r>
          </w:p>
        </w:tc>
      </w:tr>
      <w:tr w:rsidR="00493B75" w:rsidRPr="005E1202" w14:paraId="4A0CF510" w14:textId="77777777" w:rsidTr="00493B75">
        <w:trPr>
          <w:cantSplit/>
          <w:jc w:val="center"/>
        </w:trPr>
        <w:tc>
          <w:tcPr>
            <w:tcW w:w="1943" w:type="dxa"/>
            <w:vAlign w:val="center"/>
          </w:tcPr>
          <w:p w14:paraId="56A7800E" w14:textId="77777777" w:rsidR="00493B75" w:rsidRPr="005E1202" w:rsidRDefault="00493B75" w:rsidP="00292E2A">
            <w:pPr>
              <w:spacing w:before="60" w:after="60"/>
              <w:jc w:val="center"/>
              <w:rPr>
                <w:rFonts w:cs="Arial"/>
                <w:sz w:val="20"/>
              </w:rPr>
            </w:pPr>
            <w:proofErr w:type="spellStart"/>
            <w:r w:rsidRPr="005E1202">
              <w:rPr>
                <w:rFonts w:cs="Arial"/>
                <w:sz w:val="20"/>
              </w:rPr>
              <w:t>Other</w:t>
            </w:r>
            <w:r w:rsidR="00292E2A" w:rsidRPr="00292E2A">
              <w:rPr>
                <w:rFonts w:cs="Arial"/>
                <w:sz w:val="20"/>
                <w:vertAlign w:val="superscript"/>
              </w:rPr>
              <w:t>c</w:t>
            </w:r>
            <w:proofErr w:type="spellEnd"/>
          </w:p>
        </w:tc>
        <w:tc>
          <w:tcPr>
            <w:tcW w:w="1170" w:type="dxa"/>
            <w:vAlign w:val="center"/>
          </w:tcPr>
          <w:p w14:paraId="72E8741F" w14:textId="77777777" w:rsidR="00493B75" w:rsidRPr="005E1202" w:rsidRDefault="00493B75" w:rsidP="000978B7">
            <w:pPr>
              <w:spacing w:before="60" w:after="60"/>
              <w:jc w:val="center"/>
              <w:rPr>
                <w:rFonts w:cs="Arial"/>
                <w:sz w:val="20"/>
              </w:rPr>
            </w:pPr>
            <w:r w:rsidRPr="005E1202">
              <w:rPr>
                <w:rFonts w:cs="Arial"/>
                <w:sz w:val="20"/>
              </w:rPr>
              <w:t>0.</w:t>
            </w:r>
            <w:r w:rsidR="000978B7">
              <w:rPr>
                <w:rFonts w:cs="Arial"/>
                <w:sz w:val="20"/>
              </w:rPr>
              <w:t>6</w:t>
            </w:r>
            <w:r w:rsidRPr="005E1202">
              <w:rPr>
                <w:rFonts w:cs="Arial"/>
                <w:sz w:val="20"/>
              </w:rPr>
              <w:t>% (3/</w:t>
            </w:r>
            <w:r w:rsidR="000978B7">
              <w:rPr>
                <w:rFonts w:cs="Arial"/>
                <w:sz w:val="20"/>
              </w:rPr>
              <w:t>474</w:t>
            </w:r>
            <w:r w:rsidRPr="005E1202">
              <w:rPr>
                <w:rFonts w:cs="Arial"/>
                <w:sz w:val="20"/>
              </w:rPr>
              <w:t>)</w:t>
            </w:r>
          </w:p>
        </w:tc>
        <w:tc>
          <w:tcPr>
            <w:tcW w:w="1170" w:type="dxa"/>
            <w:vAlign w:val="center"/>
          </w:tcPr>
          <w:p w14:paraId="5ABBBDB3" w14:textId="77777777" w:rsidR="00493B75" w:rsidRPr="005E1202" w:rsidRDefault="00493B75" w:rsidP="000978B7">
            <w:pPr>
              <w:spacing w:before="60" w:after="60"/>
              <w:jc w:val="center"/>
              <w:rPr>
                <w:rFonts w:cs="Arial"/>
                <w:sz w:val="20"/>
              </w:rPr>
            </w:pPr>
            <w:r w:rsidRPr="005E1202">
              <w:rPr>
                <w:rFonts w:cs="Arial"/>
                <w:sz w:val="20"/>
              </w:rPr>
              <w:t>1.0% (2/</w:t>
            </w:r>
            <w:r w:rsidR="000978B7">
              <w:rPr>
                <w:rFonts w:cs="Arial"/>
                <w:sz w:val="20"/>
              </w:rPr>
              <w:t>206</w:t>
            </w:r>
            <w:r w:rsidRPr="005E1202">
              <w:rPr>
                <w:rFonts w:cs="Arial"/>
                <w:sz w:val="20"/>
              </w:rPr>
              <w:t>)</w:t>
            </w:r>
          </w:p>
        </w:tc>
        <w:tc>
          <w:tcPr>
            <w:tcW w:w="1170" w:type="dxa"/>
            <w:vAlign w:val="center"/>
          </w:tcPr>
          <w:p w14:paraId="6F69605B" w14:textId="77777777" w:rsidR="00493B75" w:rsidRPr="005E1202" w:rsidRDefault="000978B7" w:rsidP="000978B7">
            <w:pPr>
              <w:spacing w:before="60" w:after="60"/>
              <w:jc w:val="center"/>
              <w:rPr>
                <w:rFonts w:cs="Arial"/>
                <w:sz w:val="20"/>
              </w:rPr>
            </w:pPr>
            <w:r>
              <w:rPr>
                <w:rFonts w:cs="Arial"/>
                <w:sz w:val="20"/>
              </w:rPr>
              <w:t>4.8</w:t>
            </w:r>
            <w:r w:rsidR="00493B75" w:rsidRPr="005E1202">
              <w:rPr>
                <w:rFonts w:cs="Arial"/>
                <w:sz w:val="20"/>
              </w:rPr>
              <w:t>% (3/</w:t>
            </w:r>
            <w:r>
              <w:rPr>
                <w:rFonts w:cs="Arial"/>
                <w:sz w:val="20"/>
              </w:rPr>
              <w:t>62</w:t>
            </w:r>
            <w:r w:rsidR="00493B75" w:rsidRPr="005E1202">
              <w:rPr>
                <w:rFonts w:cs="Arial"/>
                <w:sz w:val="20"/>
              </w:rPr>
              <w:t>)</w:t>
            </w:r>
          </w:p>
        </w:tc>
        <w:tc>
          <w:tcPr>
            <w:tcW w:w="1260" w:type="dxa"/>
            <w:vAlign w:val="center"/>
          </w:tcPr>
          <w:p w14:paraId="38A26537" w14:textId="77777777" w:rsidR="00493B75" w:rsidRPr="005E1202" w:rsidRDefault="00493B75" w:rsidP="00493B75">
            <w:pPr>
              <w:spacing w:before="60" w:after="60"/>
              <w:jc w:val="center"/>
              <w:rPr>
                <w:rFonts w:cs="Arial"/>
                <w:sz w:val="20"/>
              </w:rPr>
            </w:pPr>
            <w:r w:rsidRPr="005E1202">
              <w:rPr>
                <w:rFonts w:cs="Arial"/>
                <w:sz w:val="20"/>
              </w:rPr>
              <w:t xml:space="preserve">0%    </w:t>
            </w:r>
            <w:proofErr w:type="gramStart"/>
            <w:r w:rsidRPr="005E1202">
              <w:rPr>
                <w:rFonts w:cs="Arial"/>
                <w:sz w:val="20"/>
              </w:rPr>
              <w:t xml:space="preserve">   (</w:t>
            </w:r>
            <w:proofErr w:type="gramEnd"/>
            <w:r w:rsidRPr="005E1202">
              <w:rPr>
                <w:rFonts w:cs="Arial"/>
                <w:sz w:val="20"/>
              </w:rPr>
              <w:t>0/2)</w:t>
            </w:r>
          </w:p>
        </w:tc>
        <w:tc>
          <w:tcPr>
            <w:tcW w:w="1170" w:type="dxa"/>
            <w:vAlign w:val="center"/>
          </w:tcPr>
          <w:p w14:paraId="4911C705" w14:textId="77777777" w:rsidR="00493B75" w:rsidRPr="005E1202" w:rsidRDefault="00493B75" w:rsidP="000978B7">
            <w:pPr>
              <w:spacing w:before="60" w:after="60"/>
              <w:jc w:val="center"/>
              <w:rPr>
                <w:rFonts w:cs="Arial"/>
                <w:sz w:val="20"/>
              </w:rPr>
            </w:pPr>
            <w:r w:rsidRPr="005E1202">
              <w:rPr>
                <w:rFonts w:cs="Arial"/>
                <w:sz w:val="20"/>
              </w:rPr>
              <w:t>10</w:t>
            </w:r>
            <w:proofErr w:type="gramStart"/>
            <w:r w:rsidRPr="005E1202">
              <w:rPr>
                <w:rFonts w:cs="Arial"/>
                <w:sz w:val="20"/>
              </w:rPr>
              <w:t>%  (</w:t>
            </w:r>
            <w:proofErr w:type="gramEnd"/>
            <w:r w:rsidRPr="005E1202">
              <w:rPr>
                <w:rFonts w:cs="Arial"/>
                <w:sz w:val="20"/>
              </w:rPr>
              <w:t>1/</w:t>
            </w:r>
            <w:r w:rsidR="000978B7">
              <w:rPr>
                <w:rFonts w:cs="Arial"/>
                <w:sz w:val="20"/>
              </w:rPr>
              <w:t>13</w:t>
            </w:r>
            <w:r w:rsidRPr="005E1202">
              <w:rPr>
                <w:rFonts w:cs="Arial"/>
                <w:sz w:val="20"/>
              </w:rPr>
              <w:t>)</w:t>
            </w:r>
          </w:p>
        </w:tc>
      </w:tr>
      <w:tr w:rsidR="00A4182C" w:rsidRPr="00A4182C" w14:paraId="3658B2D6" w14:textId="77777777" w:rsidTr="00493B75">
        <w:trPr>
          <w:cantSplit/>
          <w:jc w:val="center"/>
        </w:trPr>
        <w:tc>
          <w:tcPr>
            <w:tcW w:w="7883" w:type="dxa"/>
            <w:gridSpan w:val="6"/>
            <w:vAlign w:val="center"/>
          </w:tcPr>
          <w:p w14:paraId="6E225661" w14:textId="40751ADF" w:rsidR="00493B75" w:rsidRPr="00A4182C" w:rsidRDefault="00493B75" w:rsidP="00493B75">
            <w:pPr>
              <w:spacing w:before="60" w:after="60"/>
              <w:jc w:val="center"/>
              <w:rPr>
                <w:rFonts w:cs="Arial"/>
                <w:b/>
                <w:sz w:val="20"/>
              </w:rPr>
            </w:pPr>
            <w:r w:rsidRPr="00A4182C">
              <w:rPr>
                <w:rFonts w:cs="Arial"/>
                <w:b/>
                <w:sz w:val="20"/>
              </w:rPr>
              <w:t xml:space="preserve">SVR12 in Patients </w:t>
            </w:r>
            <w:proofErr w:type="gramStart"/>
            <w:r w:rsidRPr="00A4182C">
              <w:rPr>
                <w:rFonts w:cs="Arial"/>
                <w:b/>
                <w:sz w:val="20"/>
              </w:rPr>
              <w:t>With</w:t>
            </w:r>
            <w:proofErr w:type="gramEnd"/>
            <w:r w:rsidRPr="00A4182C">
              <w:rPr>
                <w:rFonts w:cs="Arial"/>
                <w:b/>
                <w:sz w:val="20"/>
              </w:rPr>
              <w:t xml:space="preserve"> </w:t>
            </w:r>
            <w:r w:rsidR="00753165" w:rsidRPr="00A4182C">
              <w:rPr>
                <w:rFonts w:cs="Arial"/>
                <w:b/>
                <w:sz w:val="20"/>
              </w:rPr>
              <w:t xml:space="preserve">Compensated </w:t>
            </w:r>
            <w:r w:rsidRPr="00A4182C">
              <w:rPr>
                <w:rFonts w:cs="Arial"/>
                <w:b/>
                <w:sz w:val="20"/>
              </w:rPr>
              <w:t>Cirrhosis</w:t>
            </w:r>
          </w:p>
        </w:tc>
      </w:tr>
      <w:tr w:rsidR="00A4182C" w:rsidRPr="00A4182C" w14:paraId="70FA0C7C" w14:textId="77777777" w:rsidTr="00614099">
        <w:trPr>
          <w:cantSplit/>
          <w:jc w:val="center"/>
        </w:trPr>
        <w:tc>
          <w:tcPr>
            <w:tcW w:w="1943" w:type="dxa"/>
            <w:vAlign w:val="center"/>
          </w:tcPr>
          <w:p w14:paraId="1227F28F" w14:textId="0A823F19" w:rsidR="00614099" w:rsidRPr="00A4182C" w:rsidRDefault="00614099" w:rsidP="00614099">
            <w:pPr>
              <w:spacing w:before="60" w:after="60"/>
              <w:jc w:val="center"/>
              <w:rPr>
                <w:rFonts w:cs="Arial"/>
                <w:sz w:val="20"/>
              </w:rPr>
            </w:pPr>
            <w:r w:rsidRPr="00A4182C">
              <w:rPr>
                <w:rFonts w:cs="Arial"/>
                <w:sz w:val="20"/>
              </w:rPr>
              <w:t>8 weeks</w:t>
            </w:r>
            <w:r w:rsidR="00CA0D85" w:rsidRPr="00A4182C">
              <w:rPr>
                <w:rFonts w:cs="Arial"/>
                <w:sz w:val="20"/>
                <w:vertAlign w:val="superscript"/>
              </w:rPr>
              <w:t>*</w:t>
            </w:r>
          </w:p>
        </w:tc>
        <w:tc>
          <w:tcPr>
            <w:tcW w:w="1170" w:type="dxa"/>
          </w:tcPr>
          <w:p w14:paraId="219102F6" w14:textId="2CB364E1" w:rsidR="00614099" w:rsidRPr="00A4182C" w:rsidRDefault="00614099" w:rsidP="00614099">
            <w:pPr>
              <w:spacing w:before="60" w:after="60"/>
              <w:jc w:val="center"/>
              <w:rPr>
                <w:rFonts w:cs="Arial"/>
                <w:sz w:val="20"/>
                <w:szCs w:val="20"/>
              </w:rPr>
            </w:pPr>
            <w:r w:rsidRPr="00A4182C">
              <w:rPr>
                <w:sz w:val="20"/>
                <w:szCs w:val="20"/>
              </w:rPr>
              <w:t>97.8%</w:t>
            </w:r>
            <w:r w:rsidRPr="00A4182C">
              <w:rPr>
                <w:sz w:val="20"/>
                <w:szCs w:val="20"/>
              </w:rPr>
              <w:br/>
              <w:t xml:space="preserve">(226/231) </w:t>
            </w:r>
          </w:p>
        </w:tc>
        <w:tc>
          <w:tcPr>
            <w:tcW w:w="1170" w:type="dxa"/>
          </w:tcPr>
          <w:p w14:paraId="532B54E2" w14:textId="7927F6D6" w:rsidR="00614099" w:rsidRPr="00A4182C" w:rsidRDefault="00614099" w:rsidP="00614099">
            <w:pPr>
              <w:spacing w:before="60" w:after="60"/>
              <w:jc w:val="center"/>
              <w:rPr>
                <w:rFonts w:cs="Arial"/>
                <w:sz w:val="20"/>
                <w:szCs w:val="20"/>
              </w:rPr>
            </w:pPr>
            <w:r w:rsidRPr="00A4182C">
              <w:rPr>
                <w:sz w:val="20"/>
                <w:szCs w:val="20"/>
              </w:rPr>
              <w:t>100%</w:t>
            </w:r>
            <w:r w:rsidRPr="00A4182C">
              <w:rPr>
                <w:sz w:val="20"/>
                <w:szCs w:val="20"/>
              </w:rPr>
              <w:br/>
              <w:t xml:space="preserve">(26/26) </w:t>
            </w:r>
          </w:p>
        </w:tc>
        <w:tc>
          <w:tcPr>
            <w:tcW w:w="1170" w:type="dxa"/>
          </w:tcPr>
          <w:p w14:paraId="406440D0" w14:textId="0D356981" w:rsidR="00614099" w:rsidRPr="00A4182C" w:rsidRDefault="00614099" w:rsidP="00614099">
            <w:pPr>
              <w:spacing w:before="60" w:after="60"/>
              <w:jc w:val="center"/>
              <w:rPr>
                <w:rFonts w:cs="Arial"/>
                <w:sz w:val="20"/>
                <w:szCs w:val="20"/>
              </w:rPr>
            </w:pPr>
            <w:r w:rsidRPr="00A4182C">
              <w:rPr>
                <w:sz w:val="20"/>
                <w:szCs w:val="20"/>
              </w:rPr>
              <w:t>100%</w:t>
            </w:r>
            <w:r w:rsidRPr="00A4182C">
              <w:rPr>
                <w:sz w:val="20"/>
                <w:szCs w:val="20"/>
              </w:rPr>
              <w:br/>
              <w:t xml:space="preserve">(13/13) </w:t>
            </w:r>
          </w:p>
        </w:tc>
        <w:tc>
          <w:tcPr>
            <w:tcW w:w="1260" w:type="dxa"/>
          </w:tcPr>
          <w:p w14:paraId="611735D1" w14:textId="551D33C8" w:rsidR="00614099" w:rsidRPr="00A4182C" w:rsidRDefault="00614099" w:rsidP="00614099">
            <w:pPr>
              <w:spacing w:before="60" w:after="60"/>
              <w:jc w:val="center"/>
              <w:rPr>
                <w:rFonts w:cs="Arial"/>
                <w:sz w:val="20"/>
                <w:szCs w:val="20"/>
              </w:rPr>
            </w:pPr>
            <w:r w:rsidRPr="00A4182C">
              <w:rPr>
                <w:sz w:val="20"/>
                <w:szCs w:val="20"/>
              </w:rPr>
              <w:t>100%</w:t>
            </w:r>
            <w:r w:rsidRPr="00A4182C">
              <w:rPr>
                <w:sz w:val="20"/>
                <w:szCs w:val="20"/>
              </w:rPr>
              <w:br/>
              <w:t xml:space="preserve">(1/1) </w:t>
            </w:r>
          </w:p>
        </w:tc>
        <w:tc>
          <w:tcPr>
            <w:tcW w:w="1170" w:type="dxa"/>
          </w:tcPr>
          <w:p w14:paraId="52786CFD" w14:textId="46C6F3C8" w:rsidR="00614099" w:rsidRPr="00A4182C" w:rsidRDefault="00614099" w:rsidP="00614099">
            <w:pPr>
              <w:spacing w:before="60" w:after="60"/>
              <w:jc w:val="center"/>
              <w:rPr>
                <w:rFonts w:cs="Arial"/>
                <w:sz w:val="20"/>
                <w:szCs w:val="20"/>
              </w:rPr>
            </w:pPr>
            <w:r w:rsidRPr="00A4182C">
              <w:rPr>
                <w:sz w:val="20"/>
                <w:szCs w:val="20"/>
              </w:rPr>
              <w:t>100%</w:t>
            </w:r>
            <w:r w:rsidRPr="00A4182C">
              <w:rPr>
                <w:sz w:val="20"/>
                <w:szCs w:val="20"/>
              </w:rPr>
              <w:br/>
              <w:t xml:space="preserve">(9/9) </w:t>
            </w:r>
          </w:p>
        </w:tc>
      </w:tr>
      <w:tr w:rsidR="00A4182C" w:rsidRPr="00A4182C" w14:paraId="646DA6D2" w14:textId="77777777" w:rsidTr="00493B75">
        <w:trPr>
          <w:cantSplit/>
          <w:jc w:val="center"/>
        </w:trPr>
        <w:tc>
          <w:tcPr>
            <w:tcW w:w="1943" w:type="dxa"/>
            <w:vAlign w:val="center"/>
          </w:tcPr>
          <w:p w14:paraId="03D18F4B" w14:textId="0B5008FE" w:rsidR="00614099" w:rsidRPr="00A4182C" w:rsidRDefault="00614099" w:rsidP="00614099">
            <w:pPr>
              <w:spacing w:before="60" w:after="60"/>
              <w:jc w:val="center"/>
              <w:rPr>
                <w:rFonts w:cs="Arial"/>
                <w:sz w:val="20"/>
              </w:rPr>
            </w:pPr>
            <w:r w:rsidRPr="00A4182C">
              <w:rPr>
                <w:rFonts w:cs="Arial"/>
                <w:sz w:val="20"/>
              </w:rPr>
              <w:t>12 weeks</w:t>
            </w:r>
            <w:r w:rsidR="00CA0D85" w:rsidRPr="00A4182C">
              <w:rPr>
                <w:rFonts w:cs="Arial"/>
                <w:sz w:val="20"/>
                <w:vertAlign w:val="superscript"/>
              </w:rPr>
              <w:t>**</w:t>
            </w:r>
          </w:p>
        </w:tc>
        <w:tc>
          <w:tcPr>
            <w:tcW w:w="1170" w:type="dxa"/>
            <w:vAlign w:val="center"/>
          </w:tcPr>
          <w:p w14:paraId="1972D1AB" w14:textId="2ADBC42A" w:rsidR="00614099" w:rsidRPr="00A4182C" w:rsidRDefault="00614099" w:rsidP="00614099">
            <w:pPr>
              <w:spacing w:before="60" w:after="60"/>
              <w:jc w:val="center"/>
              <w:rPr>
                <w:rFonts w:cs="Arial"/>
                <w:sz w:val="20"/>
              </w:rPr>
            </w:pPr>
            <w:r w:rsidRPr="00A4182C">
              <w:rPr>
                <w:rFonts w:cs="Arial"/>
                <w:sz w:val="20"/>
              </w:rPr>
              <w:t>96.8% (30/31)</w:t>
            </w:r>
          </w:p>
        </w:tc>
        <w:tc>
          <w:tcPr>
            <w:tcW w:w="1170" w:type="dxa"/>
            <w:vAlign w:val="center"/>
          </w:tcPr>
          <w:p w14:paraId="64E2410B" w14:textId="6067C78F" w:rsidR="00614099" w:rsidRPr="00A4182C" w:rsidRDefault="00614099" w:rsidP="00614099">
            <w:pPr>
              <w:spacing w:before="60" w:after="60"/>
              <w:jc w:val="center"/>
              <w:rPr>
                <w:rFonts w:cs="Arial"/>
                <w:sz w:val="20"/>
              </w:rPr>
            </w:pPr>
            <w:r w:rsidRPr="00A4182C">
              <w:rPr>
                <w:rFonts w:cs="Arial"/>
                <w:sz w:val="20"/>
              </w:rPr>
              <w:t>90.0% (9/10)</w:t>
            </w:r>
          </w:p>
        </w:tc>
        <w:tc>
          <w:tcPr>
            <w:tcW w:w="1170" w:type="dxa"/>
            <w:vAlign w:val="center"/>
          </w:tcPr>
          <w:p w14:paraId="56E63E7A" w14:textId="5541848C" w:rsidR="00614099" w:rsidRPr="00A4182C" w:rsidRDefault="00614099" w:rsidP="00614099">
            <w:pPr>
              <w:spacing w:before="60" w:after="60"/>
              <w:jc w:val="center"/>
              <w:rPr>
                <w:rFonts w:cs="Arial"/>
                <w:sz w:val="20"/>
              </w:rPr>
            </w:pPr>
            <w:r w:rsidRPr="00A4182C">
              <w:rPr>
                <w:rFonts w:cs="Arial"/>
                <w:sz w:val="20"/>
              </w:rPr>
              <w:t>100% (8/8)</w:t>
            </w:r>
          </w:p>
        </w:tc>
        <w:tc>
          <w:tcPr>
            <w:tcW w:w="1260" w:type="dxa"/>
            <w:vAlign w:val="center"/>
          </w:tcPr>
          <w:p w14:paraId="59F7B558" w14:textId="4D86C46D" w:rsidR="00614099" w:rsidRPr="00A4182C" w:rsidRDefault="00614099" w:rsidP="00614099">
            <w:pPr>
              <w:spacing w:before="60" w:after="60"/>
              <w:jc w:val="center"/>
              <w:rPr>
                <w:rFonts w:cs="Arial"/>
                <w:sz w:val="20"/>
              </w:rPr>
            </w:pPr>
            <w:r w:rsidRPr="00A4182C">
              <w:rPr>
                <w:rFonts w:cs="Arial"/>
                <w:sz w:val="20"/>
              </w:rPr>
              <w:t xml:space="preserve">- </w:t>
            </w:r>
          </w:p>
        </w:tc>
        <w:tc>
          <w:tcPr>
            <w:tcW w:w="1170" w:type="dxa"/>
            <w:vAlign w:val="center"/>
          </w:tcPr>
          <w:p w14:paraId="0EF4E7CF" w14:textId="65B3B4A6" w:rsidR="00614099" w:rsidRPr="00A4182C" w:rsidRDefault="00614099" w:rsidP="00614099">
            <w:pPr>
              <w:spacing w:before="60" w:after="60"/>
              <w:jc w:val="center"/>
              <w:rPr>
                <w:rFonts w:cs="Arial"/>
                <w:sz w:val="20"/>
              </w:rPr>
            </w:pPr>
            <w:r w:rsidRPr="00A4182C">
              <w:rPr>
                <w:rFonts w:cs="Arial"/>
                <w:sz w:val="20"/>
              </w:rPr>
              <w:t>100</w:t>
            </w:r>
            <w:proofErr w:type="gramStart"/>
            <w:r w:rsidRPr="00A4182C">
              <w:rPr>
                <w:rFonts w:cs="Arial"/>
                <w:sz w:val="20"/>
              </w:rPr>
              <w:t>%  (</w:t>
            </w:r>
            <w:proofErr w:type="gramEnd"/>
            <w:r w:rsidRPr="00A4182C">
              <w:rPr>
                <w:rFonts w:cs="Arial"/>
                <w:sz w:val="20"/>
              </w:rPr>
              <w:t>1/1)</w:t>
            </w:r>
          </w:p>
        </w:tc>
      </w:tr>
      <w:tr w:rsidR="00A4182C" w:rsidRPr="00A4182C" w14:paraId="3861281D" w14:textId="77777777" w:rsidTr="00493B75">
        <w:trPr>
          <w:cantSplit/>
          <w:jc w:val="center"/>
        </w:trPr>
        <w:tc>
          <w:tcPr>
            <w:tcW w:w="7883" w:type="dxa"/>
            <w:gridSpan w:val="6"/>
            <w:vAlign w:val="center"/>
          </w:tcPr>
          <w:p w14:paraId="5DA5B016" w14:textId="77777777" w:rsidR="00614099" w:rsidRPr="00A4182C" w:rsidRDefault="00614099" w:rsidP="00614099">
            <w:pPr>
              <w:spacing w:before="60" w:after="60"/>
              <w:jc w:val="center"/>
              <w:rPr>
                <w:rFonts w:cs="Arial"/>
                <w:sz w:val="20"/>
              </w:rPr>
            </w:pPr>
            <w:r w:rsidRPr="00A4182C">
              <w:rPr>
                <w:rFonts w:cs="Arial"/>
                <w:b/>
                <w:sz w:val="20"/>
              </w:rPr>
              <w:t>Outcome for patients without SVR12</w:t>
            </w:r>
          </w:p>
        </w:tc>
      </w:tr>
      <w:tr w:rsidR="00A4182C" w:rsidRPr="00A4182C" w14:paraId="7698B25D" w14:textId="77777777" w:rsidTr="00493B75">
        <w:trPr>
          <w:cantSplit/>
          <w:jc w:val="center"/>
        </w:trPr>
        <w:tc>
          <w:tcPr>
            <w:tcW w:w="1943" w:type="dxa"/>
            <w:vAlign w:val="center"/>
          </w:tcPr>
          <w:p w14:paraId="024CBE80" w14:textId="77777777" w:rsidR="00614099" w:rsidRPr="00A4182C" w:rsidRDefault="00614099" w:rsidP="00614099">
            <w:pPr>
              <w:spacing w:before="60" w:after="60"/>
              <w:ind w:left="121"/>
              <w:jc w:val="center"/>
              <w:rPr>
                <w:rFonts w:cs="Arial"/>
                <w:sz w:val="20"/>
              </w:rPr>
            </w:pPr>
            <w:r w:rsidRPr="00A4182C">
              <w:rPr>
                <w:rFonts w:cs="Arial"/>
                <w:sz w:val="20"/>
              </w:rPr>
              <w:t>On-treatment VF</w:t>
            </w:r>
          </w:p>
        </w:tc>
        <w:tc>
          <w:tcPr>
            <w:tcW w:w="1170" w:type="dxa"/>
            <w:vAlign w:val="center"/>
          </w:tcPr>
          <w:p w14:paraId="5534DF6F" w14:textId="3A26238A" w:rsidR="00614099" w:rsidRPr="00A4182C" w:rsidRDefault="00614099" w:rsidP="00614099">
            <w:pPr>
              <w:spacing w:before="60" w:after="60"/>
              <w:jc w:val="center"/>
              <w:rPr>
                <w:rFonts w:cs="Arial"/>
                <w:sz w:val="20"/>
              </w:rPr>
            </w:pPr>
            <w:r w:rsidRPr="00A4182C">
              <w:rPr>
                <w:rFonts w:cs="Arial"/>
                <w:sz w:val="20"/>
              </w:rPr>
              <w:t>0% (0/262)</w:t>
            </w:r>
          </w:p>
        </w:tc>
        <w:tc>
          <w:tcPr>
            <w:tcW w:w="1170" w:type="dxa"/>
            <w:vAlign w:val="center"/>
          </w:tcPr>
          <w:p w14:paraId="686C823C" w14:textId="77777777" w:rsidR="00614099" w:rsidRPr="00A4182C" w:rsidRDefault="00614099" w:rsidP="00614099">
            <w:pPr>
              <w:spacing w:before="60" w:after="60"/>
              <w:jc w:val="center"/>
              <w:rPr>
                <w:rFonts w:cs="Arial"/>
                <w:sz w:val="20"/>
              </w:rPr>
            </w:pPr>
            <w:r w:rsidRPr="00A4182C">
              <w:rPr>
                <w:rFonts w:cs="Arial"/>
                <w:sz w:val="20"/>
              </w:rPr>
              <w:t xml:space="preserve">0% </w:t>
            </w:r>
            <w:proofErr w:type="gramStart"/>
            <w:r w:rsidRPr="00A4182C">
              <w:rPr>
                <w:rFonts w:cs="Arial"/>
                <w:sz w:val="20"/>
              </w:rPr>
              <w:t xml:space="preserve">   (</w:t>
            </w:r>
            <w:proofErr w:type="gramEnd"/>
            <w:r w:rsidRPr="00A4182C">
              <w:rPr>
                <w:rFonts w:cs="Arial"/>
                <w:sz w:val="20"/>
              </w:rPr>
              <w:t>0/36)</w:t>
            </w:r>
          </w:p>
        </w:tc>
        <w:tc>
          <w:tcPr>
            <w:tcW w:w="1170" w:type="dxa"/>
            <w:vAlign w:val="center"/>
          </w:tcPr>
          <w:p w14:paraId="25CD31A2" w14:textId="77777777" w:rsidR="00614099" w:rsidRPr="00A4182C" w:rsidRDefault="00614099" w:rsidP="00614099">
            <w:pPr>
              <w:spacing w:before="60" w:after="60"/>
              <w:jc w:val="center"/>
              <w:rPr>
                <w:rFonts w:cs="Arial"/>
                <w:sz w:val="20"/>
              </w:rPr>
            </w:pPr>
            <w:r w:rsidRPr="00A4182C">
              <w:rPr>
                <w:rFonts w:cs="Arial"/>
                <w:sz w:val="20"/>
              </w:rPr>
              <w:t xml:space="preserve">0%  </w:t>
            </w:r>
            <w:proofErr w:type="gramStart"/>
            <w:r w:rsidRPr="00A4182C">
              <w:rPr>
                <w:rFonts w:cs="Arial"/>
                <w:sz w:val="20"/>
              </w:rPr>
              <w:t xml:space="preserve">   (</w:t>
            </w:r>
            <w:proofErr w:type="gramEnd"/>
            <w:r w:rsidRPr="00A4182C">
              <w:rPr>
                <w:rFonts w:cs="Arial"/>
                <w:sz w:val="20"/>
              </w:rPr>
              <w:t>0/21)</w:t>
            </w:r>
          </w:p>
        </w:tc>
        <w:tc>
          <w:tcPr>
            <w:tcW w:w="1260" w:type="dxa"/>
            <w:vAlign w:val="center"/>
          </w:tcPr>
          <w:p w14:paraId="4BF5D4AA" w14:textId="642E39CD" w:rsidR="00614099" w:rsidRPr="00A4182C" w:rsidRDefault="00614099" w:rsidP="00614099">
            <w:pPr>
              <w:spacing w:before="60" w:after="60"/>
              <w:jc w:val="center"/>
              <w:rPr>
                <w:rFonts w:cs="Arial"/>
                <w:sz w:val="20"/>
              </w:rPr>
            </w:pPr>
            <w:r w:rsidRPr="00A4182C">
              <w:rPr>
                <w:rFonts w:cs="Arial"/>
                <w:sz w:val="20"/>
              </w:rPr>
              <w:t xml:space="preserve">0%     </w:t>
            </w:r>
            <w:proofErr w:type="gramStart"/>
            <w:r w:rsidRPr="00A4182C">
              <w:rPr>
                <w:rFonts w:cs="Arial"/>
                <w:sz w:val="20"/>
              </w:rPr>
              <w:t xml:space="preserve">   (</w:t>
            </w:r>
            <w:proofErr w:type="gramEnd"/>
            <w:r w:rsidRPr="00A4182C">
              <w:rPr>
                <w:rFonts w:cs="Arial"/>
                <w:sz w:val="20"/>
              </w:rPr>
              <w:t>0/1)</w:t>
            </w:r>
          </w:p>
        </w:tc>
        <w:tc>
          <w:tcPr>
            <w:tcW w:w="1170" w:type="dxa"/>
            <w:vAlign w:val="center"/>
          </w:tcPr>
          <w:p w14:paraId="30EC5C2B" w14:textId="5C6C510D" w:rsidR="00614099" w:rsidRPr="00A4182C" w:rsidRDefault="00614099" w:rsidP="00614099">
            <w:pPr>
              <w:spacing w:before="60" w:after="60"/>
              <w:jc w:val="center"/>
              <w:rPr>
                <w:rFonts w:cs="Arial"/>
                <w:sz w:val="20"/>
              </w:rPr>
            </w:pPr>
            <w:r w:rsidRPr="00A4182C">
              <w:rPr>
                <w:rFonts w:cs="Arial"/>
                <w:sz w:val="20"/>
              </w:rPr>
              <w:t xml:space="preserve">0%  </w:t>
            </w:r>
            <w:proofErr w:type="gramStart"/>
            <w:r w:rsidRPr="00A4182C">
              <w:rPr>
                <w:rFonts w:cs="Arial"/>
                <w:sz w:val="20"/>
              </w:rPr>
              <w:t xml:space="preserve">   (</w:t>
            </w:r>
            <w:proofErr w:type="gramEnd"/>
            <w:r w:rsidRPr="00A4182C">
              <w:rPr>
                <w:rFonts w:cs="Arial"/>
                <w:sz w:val="20"/>
              </w:rPr>
              <w:t>0/10)</w:t>
            </w:r>
          </w:p>
        </w:tc>
      </w:tr>
      <w:tr w:rsidR="00A4182C" w:rsidRPr="00A4182C" w14:paraId="76B73B20" w14:textId="77777777" w:rsidTr="00493B75">
        <w:trPr>
          <w:cantSplit/>
          <w:jc w:val="center"/>
        </w:trPr>
        <w:tc>
          <w:tcPr>
            <w:tcW w:w="1943" w:type="dxa"/>
            <w:vAlign w:val="center"/>
          </w:tcPr>
          <w:p w14:paraId="5AFF8455" w14:textId="426E48EC" w:rsidR="00614099" w:rsidRPr="00A4182C" w:rsidRDefault="00614099" w:rsidP="00614099">
            <w:pPr>
              <w:spacing w:before="60" w:after="60"/>
              <w:ind w:left="121"/>
              <w:jc w:val="center"/>
              <w:rPr>
                <w:rFonts w:cs="Arial"/>
                <w:sz w:val="20"/>
              </w:rPr>
            </w:pPr>
            <w:proofErr w:type="spellStart"/>
            <w:r w:rsidRPr="00A4182C">
              <w:rPr>
                <w:rFonts w:cs="Arial"/>
                <w:sz w:val="20"/>
              </w:rPr>
              <w:lastRenderedPageBreak/>
              <w:t>Relapse</w:t>
            </w:r>
            <w:r w:rsidR="00CA0D85" w:rsidRPr="00A4182C">
              <w:rPr>
                <w:rFonts w:cs="Arial"/>
                <w:sz w:val="20"/>
                <w:vertAlign w:val="superscript"/>
              </w:rPr>
              <w:t>b</w:t>
            </w:r>
            <w:proofErr w:type="spellEnd"/>
          </w:p>
        </w:tc>
        <w:tc>
          <w:tcPr>
            <w:tcW w:w="1170" w:type="dxa"/>
            <w:vAlign w:val="center"/>
          </w:tcPr>
          <w:p w14:paraId="1784961C" w14:textId="6FB1DA85" w:rsidR="00614099" w:rsidRPr="00A4182C" w:rsidRDefault="00614099" w:rsidP="00614099">
            <w:pPr>
              <w:spacing w:before="60" w:after="60"/>
              <w:jc w:val="center"/>
              <w:rPr>
                <w:rFonts w:cs="Arial"/>
                <w:sz w:val="20"/>
              </w:rPr>
            </w:pPr>
            <w:r w:rsidRPr="00A4182C">
              <w:rPr>
                <w:rFonts w:cs="Arial"/>
                <w:sz w:val="20"/>
              </w:rPr>
              <w:t>0.4% (1/256)</w:t>
            </w:r>
          </w:p>
        </w:tc>
        <w:tc>
          <w:tcPr>
            <w:tcW w:w="1170" w:type="dxa"/>
            <w:vAlign w:val="center"/>
          </w:tcPr>
          <w:p w14:paraId="547F72DB" w14:textId="77777777" w:rsidR="00614099" w:rsidRPr="00A4182C" w:rsidRDefault="00614099" w:rsidP="00614099">
            <w:pPr>
              <w:spacing w:before="60" w:after="60"/>
              <w:jc w:val="center"/>
              <w:rPr>
                <w:rFonts w:cs="Arial"/>
                <w:sz w:val="20"/>
              </w:rPr>
            </w:pPr>
            <w:r w:rsidRPr="00A4182C">
              <w:rPr>
                <w:rFonts w:cs="Arial"/>
                <w:sz w:val="20"/>
              </w:rPr>
              <w:t xml:space="preserve">0% </w:t>
            </w:r>
            <w:proofErr w:type="gramStart"/>
            <w:r w:rsidRPr="00A4182C">
              <w:rPr>
                <w:rFonts w:cs="Arial"/>
                <w:sz w:val="20"/>
              </w:rPr>
              <w:t xml:space="preserve">   (</w:t>
            </w:r>
            <w:proofErr w:type="gramEnd"/>
            <w:r w:rsidRPr="00A4182C">
              <w:rPr>
                <w:rFonts w:cs="Arial"/>
                <w:sz w:val="20"/>
              </w:rPr>
              <w:t>0/35)</w:t>
            </w:r>
          </w:p>
        </w:tc>
        <w:tc>
          <w:tcPr>
            <w:tcW w:w="1170" w:type="dxa"/>
            <w:vAlign w:val="center"/>
          </w:tcPr>
          <w:p w14:paraId="38662EB9" w14:textId="77777777" w:rsidR="00614099" w:rsidRPr="00A4182C" w:rsidRDefault="00614099" w:rsidP="00614099">
            <w:pPr>
              <w:spacing w:before="60" w:after="60"/>
              <w:jc w:val="center"/>
              <w:rPr>
                <w:rFonts w:cs="Arial"/>
                <w:sz w:val="20"/>
              </w:rPr>
            </w:pPr>
            <w:r w:rsidRPr="00A4182C">
              <w:rPr>
                <w:rFonts w:cs="Arial"/>
                <w:sz w:val="20"/>
              </w:rPr>
              <w:t xml:space="preserve">0% </w:t>
            </w:r>
            <w:proofErr w:type="gramStart"/>
            <w:r w:rsidRPr="00A4182C">
              <w:rPr>
                <w:rFonts w:cs="Arial"/>
                <w:sz w:val="20"/>
              </w:rPr>
              <w:t xml:space="preserve">   (</w:t>
            </w:r>
            <w:proofErr w:type="gramEnd"/>
            <w:r w:rsidRPr="00A4182C">
              <w:rPr>
                <w:rFonts w:cs="Arial"/>
                <w:sz w:val="20"/>
              </w:rPr>
              <w:t>0/20)</w:t>
            </w:r>
          </w:p>
        </w:tc>
        <w:tc>
          <w:tcPr>
            <w:tcW w:w="1260" w:type="dxa"/>
            <w:vAlign w:val="center"/>
          </w:tcPr>
          <w:p w14:paraId="431B5004" w14:textId="151914FC" w:rsidR="00614099" w:rsidRPr="00A4182C" w:rsidRDefault="00614099" w:rsidP="00614099">
            <w:pPr>
              <w:spacing w:before="60" w:after="60"/>
              <w:jc w:val="center"/>
              <w:rPr>
                <w:rFonts w:cs="Arial"/>
                <w:sz w:val="20"/>
              </w:rPr>
            </w:pPr>
            <w:r w:rsidRPr="00A4182C">
              <w:rPr>
                <w:rFonts w:cs="Arial"/>
                <w:sz w:val="20"/>
              </w:rPr>
              <w:t xml:space="preserve">0%    </w:t>
            </w:r>
            <w:proofErr w:type="gramStart"/>
            <w:r w:rsidRPr="00A4182C">
              <w:rPr>
                <w:rFonts w:cs="Arial"/>
                <w:sz w:val="20"/>
              </w:rPr>
              <w:t xml:space="preserve">   (</w:t>
            </w:r>
            <w:proofErr w:type="gramEnd"/>
            <w:r w:rsidRPr="00A4182C">
              <w:rPr>
                <w:rFonts w:cs="Arial"/>
                <w:sz w:val="20"/>
              </w:rPr>
              <w:t>0/</w:t>
            </w:r>
            <w:r w:rsidR="00CB7F97" w:rsidRPr="00A4182C">
              <w:rPr>
                <w:rFonts w:cs="Arial"/>
                <w:sz w:val="20"/>
              </w:rPr>
              <w:t>1</w:t>
            </w:r>
            <w:r w:rsidRPr="00A4182C">
              <w:rPr>
                <w:rFonts w:cs="Arial"/>
                <w:sz w:val="20"/>
              </w:rPr>
              <w:t>)</w:t>
            </w:r>
          </w:p>
        </w:tc>
        <w:tc>
          <w:tcPr>
            <w:tcW w:w="1170" w:type="dxa"/>
            <w:vAlign w:val="center"/>
          </w:tcPr>
          <w:p w14:paraId="09D97702" w14:textId="7E46B3FA" w:rsidR="00614099" w:rsidRPr="00A4182C" w:rsidRDefault="00614099" w:rsidP="00614099">
            <w:pPr>
              <w:spacing w:before="60" w:after="60"/>
              <w:jc w:val="center"/>
              <w:rPr>
                <w:rFonts w:cs="Arial"/>
                <w:sz w:val="20"/>
              </w:rPr>
            </w:pPr>
            <w:r w:rsidRPr="00A4182C">
              <w:rPr>
                <w:rFonts w:cs="Arial"/>
                <w:sz w:val="20"/>
              </w:rPr>
              <w:t xml:space="preserve">0%  </w:t>
            </w:r>
            <w:proofErr w:type="gramStart"/>
            <w:r w:rsidRPr="00A4182C">
              <w:rPr>
                <w:rFonts w:cs="Arial"/>
                <w:sz w:val="20"/>
              </w:rPr>
              <w:t xml:space="preserve">   (</w:t>
            </w:r>
            <w:proofErr w:type="gramEnd"/>
            <w:r w:rsidRPr="00A4182C">
              <w:rPr>
                <w:rFonts w:cs="Arial"/>
                <w:sz w:val="20"/>
              </w:rPr>
              <w:t>0/</w:t>
            </w:r>
            <w:r w:rsidR="00CB7F97" w:rsidRPr="00A4182C">
              <w:rPr>
                <w:rFonts w:cs="Arial"/>
                <w:sz w:val="20"/>
              </w:rPr>
              <w:t>10</w:t>
            </w:r>
            <w:r w:rsidRPr="00A4182C">
              <w:rPr>
                <w:rFonts w:cs="Arial"/>
                <w:sz w:val="20"/>
              </w:rPr>
              <w:t>)</w:t>
            </w:r>
          </w:p>
        </w:tc>
      </w:tr>
      <w:tr w:rsidR="00A4182C" w:rsidRPr="00A4182C" w14:paraId="1434822D" w14:textId="77777777" w:rsidTr="00493B75">
        <w:trPr>
          <w:cantSplit/>
          <w:jc w:val="center"/>
        </w:trPr>
        <w:tc>
          <w:tcPr>
            <w:tcW w:w="1943" w:type="dxa"/>
            <w:tcBorders>
              <w:bottom w:val="single" w:sz="4" w:space="0" w:color="auto"/>
            </w:tcBorders>
            <w:vAlign w:val="center"/>
          </w:tcPr>
          <w:p w14:paraId="6E642BB0" w14:textId="79737301" w:rsidR="00614099" w:rsidRPr="00A4182C" w:rsidRDefault="00614099" w:rsidP="00614099">
            <w:pPr>
              <w:spacing w:before="60" w:after="60"/>
              <w:ind w:left="121"/>
              <w:jc w:val="center"/>
              <w:rPr>
                <w:rFonts w:cs="Arial"/>
                <w:sz w:val="20"/>
              </w:rPr>
            </w:pPr>
            <w:proofErr w:type="spellStart"/>
            <w:r w:rsidRPr="00A4182C">
              <w:rPr>
                <w:rFonts w:cs="Arial"/>
                <w:sz w:val="20"/>
              </w:rPr>
              <w:t>Other</w:t>
            </w:r>
            <w:r w:rsidR="00CA0D85" w:rsidRPr="00A4182C">
              <w:rPr>
                <w:rFonts w:cs="Arial"/>
                <w:sz w:val="20"/>
                <w:vertAlign w:val="superscript"/>
              </w:rPr>
              <w:t>c</w:t>
            </w:r>
            <w:proofErr w:type="spellEnd"/>
          </w:p>
        </w:tc>
        <w:tc>
          <w:tcPr>
            <w:tcW w:w="1170" w:type="dxa"/>
            <w:tcBorders>
              <w:bottom w:val="single" w:sz="4" w:space="0" w:color="auto"/>
            </w:tcBorders>
            <w:vAlign w:val="center"/>
          </w:tcPr>
          <w:p w14:paraId="13ED02E4" w14:textId="320633C8" w:rsidR="00614099" w:rsidRPr="00A4182C" w:rsidRDefault="00614099" w:rsidP="00614099">
            <w:pPr>
              <w:spacing w:before="60" w:after="60"/>
              <w:jc w:val="center"/>
              <w:rPr>
                <w:rFonts w:cs="Arial"/>
                <w:sz w:val="20"/>
              </w:rPr>
            </w:pPr>
            <w:r w:rsidRPr="00A4182C">
              <w:rPr>
                <w:rFonts w:cs="Arial"/>
                <w:sz w:val="20"/>
              </w:rPr>
              <w:t>1.</w:t>
            </w:r>
            <w:r w:rsidR="00CB7F97" w:rsidRPr="00A4182C">
              <w:rPr>
                <w:rFonts w:cs="Arial"/>
                <w:sz w:val="20"/>
              </w:rPr>
              <w:t>9</w:t>
            </w:r>
            <w:r w:rsidRPr="00A4182C">
              <w:rPr>
                <w:rFonts w:cs="Arial"/>
                <w:sz w:val="20"/>
              </w:rPr>
              <w:t>% (</w:t>
            </w:r>
            <w:r w:rsidR="00CB7F97" w:rsidRPr="00A4182C">
              <w:rPr>
                <w:rFonts w:cs="Arial"/>
                <w:sz w:val="20"/>
              </w:rPr>
              <w:t>5</w:t>
            </w:r>
            <w:r w:rsidRPr="00A4182C">
              <w:rPr>
                <w:rFonts w:cs="Arial"/>
                <w:sz w:val="20"/>
              </w:rPr>
              <w:t>/</w:t>
            </w:r>
            <w:r w:rsidR="00CB7F97" w:rsidRPr="00A4182C">
              <w:rPr>
                <w:rFonts w:cs="Arial"/>
                <w:sz w:val="20"/>
              </w:rPr>
              <w:t>262</w:t>
            </w:r>
            <w:r w:rsidRPr="00A4182C">
              <w:rPr>
                <w:rFonts w:cs="Arial"/>
                <w:sz w:val="20"/>
              </w:rPr>
              <w:t>)</w:t>
            </w:r>
          </w:p>
        </w:tc>
        <w:tc>
          <w:tcPr>
            <w:tcW w:w="1170" w:type="dxa"/>
            <w:tcBorders>
              <w:bottom w:val="single" w:sz="4" w:space="0" w:color="auto"/>
            </w:tcBorders>
            <w:vAlign w:val="center"/>
          </w:tcPr>
          <w:p w14:paraId="0694935D" w14:textId="77777777" w:rsidR="00614099" w:rsidRPr="00A4182C" w:rsidRDefault="00614099" w:rsidP="00614099">
            <w:pPr>
              <w:spacing w:before="60" w:after="60"/>
              <w:jc w:val="center"/>
              <w:rPr>
                <w:rFonts w:cs="Arial"/>
                <w:sz w:val="20"/>
              </w:rPr>
            </w:pPr>
            <w:r w:rsidRPr="00A4182C">
              <w:rPr>
                <w:rFonts w:cs="Arial"/>
                <w:sz w:val="20"/>
              </w:rPr>
              <w:t xml:space="preserve">2.8% </w:t>
            </w:r>
            <w:proofErr w:type="gramStart"/>
            <w:r w:rsidRPr="00A4182C">
              <w:rPr>
                <w:rFonts w:cs="Arial"/>
                <w:sz w:val="20"/>
              </w:rPr>
              <w:t xml:space="preserve">   (</w:t>
            </w:r>
            <w:proofErr w:type="gramEnd"/>
            <w:r w:rsidRPr="00A4182C">
              <w:rPr>
                <w:rFonts w:cs="Arial"/>
                <w:sz w:val="20"/>
              </w:rPr>
              <w:t>1/36)</w:t>
            </w:r>
          </w:p>
        </w:tc>
        <w:tc>
          <w:tcPr>
            <w:tcW w:w="1170" w:type="dxa"/>
            <w:tcBorders>
              <w:bottom w:val="single" w:sz="4" w:space="0" w:color="auto"/>
            </w:tcBorders>
            <w:vAlign w:val="center"/>
          </w:tcPr>
          <w:p w14:paraId="0CE6028C" w14:textId="15F18546" w:rsidR="00614099" w:rsidRPr="00A4182C" w:rsidRDefault="00614099" w:rsidP="00614099">
            <w:pPr>
              <w:spacing w:before="60" w:after="60"/>
              <w:jc w:val="center"/>
              <w:rPr>
                <w:rFonts w:cs="Arial"/>
                <w:sz w:val="20"/>
              </w:rPr>
            </w:pPr>
            <w:r w:rsidRPr="00A4182C">
              <w:rPr>
                <w:rFonts w:cs="Arial"/>
                <w:sz w:val="20"/>
              </w:rPr>
              <w:t xml:space="preserve">0% </w:t>
            </w:r>
            <w:proofErr w:type="gramStart"/>
            <w:r w:rsidRPr="00A4182C">
              <w:rPr>
                <w:rFonts w:cs="Arial"/>
                <w:sz w:val="20"/>
              </w:rPr>
              <w:t xml:space="preserve">   (</w:t>
            </w:r>
            <w:proofErr w:type="gramEnd"/>
            <w:r w:rsidRPr="00A4182C">
              <w:rPr>
                <w:rFonts w:cs="Arial"/>
                <w:sz w:val="20"/>
              </w:rPr>
              <w:t>0/21</w:t>
            </w:r>
            <w:r w:rsidR="001E3727" w:rsidRPr="00A4182C">
              <w:rPr>
                <w:rFonts w:cs="Arial"/>
                <w:sz w:val="20"/>
              </w:rPr>
              <w:t>)</w:t>
            </w:r>
          </w:p>
        </w:tc>
        <w:tc>
          <w:tcPr>
            <w:tcW w:w="1260" w:type="dxa"/>
            <w:tcBorders>
              <w:bottom w:val="single" w:sz="4" w:space="0" w:color="auto"/>
            </w:tcBorders>
            <w:vAlign w:val="center"/>
          </w:tcPr>
          <w:p w14:paraId="6EFC6B54" w14:textId="32FD5A3F" w:rsidR="00614099" w:rsidRPr="00A4182C" w:rsidRDefault="00614099" w:rsidP="00614099">
            <w:pPr>
              <w:spacing w:before="60" w:after="60"/>
              <w:jc w:val="center"/>
              <w:rPr>
                <w:rFonts w:cs="Arial"/>
                <w:sz w:val="20"/>
              </w:rPr>
            </w:pPr>
            <w:r w:rsidRPr="00A4182C">
              <w:rPr>
                <w:rFonts w:cs="Arial"/>
                <w:sz w:val="20"/>
              </w:rPr>
              <w:t xml:space="preserve">0%    </w:t>
            </w:r>
            <w:proofErr w:type="gramStart"/>
            <w:r w:rsidRPr="00A4182C">
              <w:rPr>
                <w:rFonts w:cs="Arial"/>
                <w:sz w:val="20"/>
              </w:rPr>
              <w:t xml:space="preserve">   (</w:t>
            </w:r>
            <w:proofErr w:type="gramEnd"/>
            <w:r w:rsidRPr="00A4182C">
              <w:rPr>
                <w:rFonts w:cs="Arial"/>
                <w:sz w:val="20"/>
              </w:rPr>
              <w:t>0/</w:t>
            </w:r>
            <w:r w:rsidR="00CB7F97" w:rsidRPr="00A4182C">
              <w:rPr>
                <w:rFonts w:cs="Arial"/>
                <w:sz w:val="20"/>
              </w:rPr>
              <w:t>1</w:t>
            </w:r>
            <w:r w:rsidRPr="00A4182C">
              <w:rPr>
                <w:rFonts w:cs="Arial"/>
                <w:sz w:val="20"/>
              </w:rPr>
              <w:t>)</w:t>
            </w:r>
          </w:p>
        </w:tc>
        <w:tc>
          <w:tcPr>
            <w:tcW w:w="1170" w:type="dxa"/>
            <w:tcBorders>
              <w:bottom w:val="single" w:sz="4" w:space="0" w:color="auto"/>
            </w:tcBorders>
            <w:vAlign w:val="center"/>
          </w:tcPr>
          <w:p w14:paraId="64AE77BD" w14:textId="3C7BED84" w:rsidR="00614099" w:rsidRPr="00A4182C" w:rsidRDefault="00614099" w:rsidP="00614099">
            <w:pPr>
              <w:spacing w:before="60" w:after="60"/>
              <w:jc w:val="center"/>
              <w:rPr>
                <w:rFonts w:cs="Arial"/>
                <w:sz w:val="20"/>
              </w:rPr>
            </w:pPr>
            <w:r w:rsidRPr="00A4182C">
              <w:rPr>
                <w:rFonts w:cs="Arial"/>
                <w:sz w:val="20"/>
              </w:rPr>
              <w:t xml:space="preserve">0%   </w:t>
            </w:r>
            <w:proofErr w:type="gramStart"/>
            <w:r w:rsidRPr="00A4182C">
              <w:rPr>
                <w:rFonts w:cs="Arial"/>
                <w:sz w:val="20"/>
              </w:rPr>
              <w:t xml:space="preserve">   (</w:t>
            </w:r>
            <w:proofErr w:type="gramEnd"/>
            <w:r w:rsidRPr="00A4182C">
              <w:rPr>
                <w:rFonts w:cs="Arial"/>
                <w:sz w:val="20"/>
              </w:rPr>
              <w:t>0/</w:t>
            </w:r>
            <w:r w:rsidR="00CB7F97" w:rsidRPr="00A4182C">
              <w:rPr>
                <w:rFonts w:cs="Arial"/>
                <w:sz w:val="20"/>
              </w:rPr>
              <w:t>10</w:t>
            </w:r>
            <w:r w:rsidRPr="00A4182C">
              <w:rPr>
                <w:rFonts w:cs="Arial"/>
                <w:sz w:val="20"/>
              </w:rPr>
              <w:t>)</w:t>
            </w:r>
          </w:p>
        </w:tc>
      </w:tr>
      <w:tr w:rsidR="00A4182C" w:rsidRPr="00A4182C" w14:paraId="1C6CCD90" w14:textId="77777777" w:rsidTr="001569FC">
        <w:trPr>
          <w:cantSplit/>
          <w:trHeight w:val="1864"/>
          <w:jc w:val="center"/>
        </w:trPr>
        <w:tc>
          <w:tcPr>
            <w:tcW w:w="7883" w:type="dxa"/>
            <w:gridSpan w:val="6"/>
            <w:tcBorders>
              <w:left w:val="nil"/>
              <w:bottom w:val="nil"/>
              <w:right w:val="nil"/>
            </w:tcBorders>
          </w:tcPr>
          <w:p w14:paraId="3D72BD22" w14:textId="1BB3551C" w:rsidR="00614099" w:rsidRPr="00A4182C" w:rsidRDefault="00614099" w:rsidP="00614099">
            <w:pPr>
              <w:spacing w:after="0"/>
              <w:rPr>
                <w:rFonts w:cs="Arial"/>
                <w:sz w:val="20"/>
              </w:rPr>
            </w:pPr>
            <w:r w:rsidRPr="00A4182C">
              <w:rPr>
                <w:rFonts w:cs="Arial"/>
                <w:sz w:val="20"/>
                <w:vertAlign w:val="superscript"/>
              </w:rPr>
              <w:t>a.</w:t>
            </w:r>
            <w:r w:rsidRPr="00A4182C">
              <w:rPr>
                <w:rFonts w:cs="Arial"/>
                <w:sz w:val="20"/>
              </w:rPr>
              <w:t xml:space="preserve"> Includes a total of </w:t>
            </w:r>
            <w:r w:rsidR="00DB1A3B" w:rsidRPr="00A4182C">
              <w:rPr>
                <w:rFonts w:cs="Arial"/>
                <w:sz w:val="20"/>
              </w:rPr>
              <w:t>132</w:t>
            </w:r>
            <w:r w:rsidR="00CB7F97" w:rsidRPr="00A4182C">
              <w:rPr>
                <w:rFonts w:cs="Arial"/>
                <w:sz w:val="20"/>
              </w:rPr>
              <w:t xml:space="preserve"> </w:t>
            </w:r>
            <w:r w:rsidRPr="00A4182C">
              <w:rPr>
                <w:rFonts w:cs="Arial"/>
                <w:sz w:val="20"/>
              </w:rPr>
              <w:t>patients co-infected with HIV-1 from ENDURANCE-1 or EXPEDITION-2 who received the recommended duration.</w:t>
            </w:r>
          </w:p>
          <w:p w14:paraId="75CE9172" w14:textId="77777777" w:rsidR="00614099" w:rsidRPr="00A4182C" w:rsidRDefault="00614099" w:rsidP="00614099">
            <w:pPr>
              <w:spacing w:after="0"/>
              <w:rPr>
                <w:rFonts w:cs="Arial"/>
                <w:sz w:val="20"/>
              </w:rPr>
            </w:pPr>
            <w:r w:rsidRPr="00A4182C">
              <w:rPr>
                <w:rFonts w:cs="Arial"/>
                <w:sz w:val="20"/>
                <w:vertAlign w:val="superscript"/>
              </w:rPr>
              <w:t>b.</w:t>
            </w:r>
            <w:r w:rsidRPr="00A4182C">
              <w:rPr>
                <w:rFonts w:cs="Arial"/>
                <w:sz w:val="20"/>
              </w:rPr>
              <w:t xml:space="preserve"> Relapse is defined as HCV RNA ≥ LLOQ after end-of-treatment response among those who completed treatment.</w:t>
            </w:r>
          </w:p>
          <w:p w14:paraId="48B498CE" w14:textId="77777777" w:rsidR="00614099" w:rsidRPr="00A4182C" w:rsidRDefault="00614099" w:rsidP="00614099">
            <w:pPr>
              <w:spacing w:after="0"/>
              <w:rPr>
                <w:rFonts w:cs="Arial"/>
                <w:sz w:val="20"/>
              </w:rPr>
            </w:pPr>
            <w:r w:rsidRPr="00A4182C">
              <w:rPr>
                <w:rFonts w:cs="Arial"/>
                <w:sz w:val="20"/>
                <w:vertAlign w:val="superscript"/>
              </w:rPr>
              <w:t>c.</w:t>
            </w:r>
            <w:r w:rsidRPr="00A4182C">
              <w:rPr>
                <w:rFonts w:cs="Arial"/>
                <w:sz w:val="20"/>
              </w:rPr>
              <w:t xml:space="preserve"> Includes patients who discontinued due to adverse event, lost to follow-up, or subject withdrawal. </w:t>
            </w:r>
          </w:p>
          <w:p w14:paraId="775608B7" w14:textId="5412D91D" w:rsidR="00CA0D85" w:rsidRPr="00A4182C" w:rsidRDefault="00CA0D85" w:rsidP="00614099">
            <w:pPr>
              <w:spacing w:after="0"/>
              <w:rPr>
                <w:rFonts w:cs="Arial"/>
                <w:sz w:val="20"/>
              </w:rPr>
            </w:pPr>
            <w:r w:rsidRPr="00A4182C">
              <w:rPr>
                <w:rFonts w:cs="Arial"/>
                <w:sz w:val="20"/>
                <w:vertAlign w:val="superscript"/>
              </w:rPr>
              <w:t>*</w:t>
            </w:r>
            <w:r w:rsidRPr="00A4182C">
              <w:rPr>
                <w:rFonts w:cs="Arial"/>
                <w:sz w:val="20"/>
              </w:rPr>
              <w:t xml:space="preserve"> In TN patients</w:t>
            </w:r>
          </w:p>
          <w:p w14:paraId="10AEC94A" w14:textId="5EC42959" w:rsidR="00CA0D85" w:rsidRPr="00A4182C" w:rsidRDefault="00CA0D85" w:rsidP="00614099">
            <w:pPr>
              <w:spacing w:after="0"/>
              <w:rPr>
                <w:rFonts w:cs="Arial"/>
                <w:sz w:val="20"/>
              </w:rPr>
            </w:pPr>
            <w:r w:rsidRPr="00A4182C">
              <w:rPr>
                <w:rFonts w:cs="Arial"/>
                <w:sz w:val="20"/>
                <w:vertAlign w:val="superscript"/>
              </w:rPr>
              <w:t xml:space="preserve">** </w:t>
            </w:r>
            <w:r w:rsidRPr="00A4182C">
              <w:rPr>
                <w:rFonts w:cs="Arial"/>
                <w:sz w:val="20"/>
              </w:rPr>
              <w:t>In PRS-TE patients</w:t>
            </w:r>
          </w:p>
        </w:tc>
      </w:tr>
    </w:tbl>
    <w:p w14:paraId="1516D133" w14:textId="70BFEC5A" w:rsidR="00493B75" w:rsidRPr="00A4182C" w:rsidRDefault="00CA0D85" w:rsidP="00493B75">
      <w:pPr>
        <w:rPr>
          <w:rFonts w:cs="Arial"/>
        </w:rPr>
      </w:pPr>
      <w:r w:rsidRPr="00A4182C">
        <w:rPr>
          <w:rFonts w:cs="Arial"/>
        </w:rPr>
        <w:t xml:space="preserve"> </w:t>
      </w:r>
    </w:p>
    <w:p w14:paraId="27645ABC" w14:textId="49D4E239" w:rsidR="00493B75" w:rsidRPr="00904452" w:rsidRDefault="00493B75" w:rsidP="00A31EE5">
      <w:pPr>
        <w:jc w:val="both"/>
        <w:rPr>
          <w:rFonts w:cs="Arial"/>
        </w:rPr>
      </w:pPr>
      <w:r w:rsidRPr="00904452">
        <w:rPr>
          <w:rFonts w:cs="Arial"/>
        </w:rPr>
        <w:t xml:space="preserve">Of the </w:t>
      </w:r>
      <w:r w:rsidR="00672F5C" w:rsidRPr="00904452">
        <w:rPr>
          <w:rFonts w:cs="Arial"/>
        </w:rPr>
        <w:t>GT</w:t>
      </w:r>
      <w:r w:rsidRPr="00904452">
        <w:rPr>
          <w:rFonts w:cs="Arial"/>
        </w:rPr>
        <w:t>1, 2, 4, 5 or 6-infected patients with end stage renal disease enrolled in EXPEDITION-4, 97.8% (91/93) achieved SVR12 with no virologic failures.</w:t>
      </w:r>
    </w:p>
    <w:p w14:paraId="09289E39" w14:textId="58941914" w:rsidR="00CB7F97" w:rsidRPr="00A4182C" w:rsidRDefault="00CB7F97" w:rsidP="00CB7F97">
      <w:pPr>
        <w:pStyle w:val="Heading4"/>
      </w:pPr>
      <w:r w:rsidRPr="00A4182C">
        <w:t xml:space="preserve">Patients with </w:t>
      </w:r>
      <w:r w:rsidR="00672F5C" w:rsidRPr="00A4182C">
        <w:t>GT</w:t>
      </w:r>
      <w:r w:rsidRPr="00A4182C">
        <w:t xml:space="preserve">1, 2, 4, 5, or 6 Infection with </w:t>
      </w:r>
      <w:r w:rsidR="00BC17D1" w:rsidRPr="00A4182C">
        <w:t xml:space="preserve">compensated </w:t>
      </w:r>
      <w:r w:rsidRPr="00A4182C">
        <w:t>cirrhosis who received 8 weeks of MAVIRET</w:t>
      </w:r>
    </w:p>
    <w:p w14:paraId="764AAC46" w14:textId="2FC1370A" w:rsidR="00CB7F97" w:rsidRPr="00A4182C" w:rsidRDefault="00CB7F97" w:rsidP="00CB7F97">
      <w:pPr>
        <w:jc w:val="both"/>
        <w:rPr>
          <w:rFonts w:cs="Arial"/>
        </w:rPr>
      </w:pPr>
      <w:r w:rsidRPr="00A4182C">
        <w:rPr>
          <w:rFonts w:cs="Arial"/>
        </w:rPr>
        <w:t xml:space="preserve">The safety and efficacy of </w:t>
      </w:r>
      <w:r w:rsidR="006C4E84" w:rsidRPr="00A4182C">
        <w:rPr>
          <w:rFonts w:cs="Arial"/>
        </w:rPr>
        <w:t>MAVIRET</w:t>
      </w:r>
      <w:r w:rsidRPr="00A4182C">
        <w:rPr>
          <w:rFonts w:cs="Arial"/>
        </w:rPr>
        <w:t xml:space="preserve"> given for 8 weeks in GT 1, 2, 4, 5 or 6 TN subjects with compensated cirrhosis was evaluated in a single-arm, open-label study (EXPEDITION-8). </w:t>
      </w:r>
    </w:p>
    <w:p w14:paraId="29BFE2C8" w14:textId="77777777" w:rsidR="00CB7F97" w:rsidRPr="00A4182C" w:rsidRDefault="00CB7F97" w:rsidP="00CB7F97">
      <w:pPr>
        <w:jc w:val="both"/>
        <w:rPr>
          <w:rFonts w:cs="Arial"/>
        </w:rPr>
      </w:pPr>
      <w:r w:rsidRPr="00A4182C">
        <w:rPr>
          <w:rFonts w:cs="Arial"/>
        </w:rPr>
        <w:t xml:space="preserve">Of the 280 subjects treated, the median age was 60 years (range: 34 to 88); 81.8% had HCV genotype 1, 10% had HCV genotype 2, 4.6% had HCV genotype 4, 0.4% had HCV genotype 5; 3.2% had HCV genotype 6; 60% were male; 9.6% were Black.  </w:t>
      </w:r>
    </w:p>
    <w:p w14:paraId="4DCE37E1" w14:textId="051074AB" w:rsidR="00CB7F97" w:rsidRPr="00A4182C" w:rsidRDefault="00CB7F97" w:rsidP="00CB7F97">
      <w:pPr>
        <w:jc w:val="both"/>
        <w:rPr>
          <w:rFonts w:cs="Arial"/>
        </w:rPr>
      </w:pPr>
      <w:r w:rsidRPr="00A4182C">
        <w:rPr>
          <w:rFonts w:cs="Arial"/>
        </w:rPr>
        <w:t>The overall SVR12 rate was 98.2% (275/280). There were no virologic failures.</w:t>
      </w:r>
    </w:p>
    <w:p w14:paraId="26C3CF83" w14:textId="77777777" w:rsidR="00824411" w:rsidRPr="00904452" w:rsidRDefault="00824411" w:rsidP="00672F5C">
      <w:pPr>
        <w:pStyle w:val="Heading4"/>
      </w:pPr>
      <w:r w:rsidRPr="00904452">
        <w:t>Study in Patients with GT5 or GT6 Infection</w:t>
      </w:r>
    </w:p>
    <w:p w14:paraId="40FC8990" w14:textId="6C45DFD1" w:rsidR="00824411" w:rsidRPr="00904452" w:rsidRDefault="00824411" w:rsidP="00824411">
      <w:pPr>
        <w:jc w:val="both"/>
        <w:rPr>
          <w:rFonts w:cs="Arial"/>
        </w:rPr>
      </w:pPr>
      <w:r w:rsidRPr="00904452">
        <w:rPr>
          <w:rFonts w:cs="Arial"/>
        </w:rPr>
        <w:t xml:space="preserve">ENDURANCE-5,6 was an open-label study in 84 HCV GT5- (n=23) or GT6-infected (n=61) TN or PRS-TE </w:t>
      </w:r>
      <w:proofErr w:type="gramStart"/>
      <w:r w:rsidR="00FA1AB2">
        <w:rPr>
          <w:rFonts w:cs="Arial"/>
        </w:rPr>
        <w:t>adults</w:t>
      </w:r>
      <w:proofErr w:type="gramEnd"/>
      <w:r w:rsidR="00FA1AB2">
        <w:rPr>
          <w:rFonts w:cs="Arial"/>
        </w:rPr>
        <w:t xml:space="preserve"> </w:t>
      </w:r>
      <w:r w:rsidRPr="00904452">
        <w:rPr>
          <w:rFonts w:cs="Arial"/>
        </w:rPr>
        <w:t>patients.  Patients without cirrhosis received MAVIRET for 8 weeks, and patients with compensated cirrhosis received MAVIRET for 12 weeks.</w:t>
      </w:r>
    </w:p>
    <w:p w14:paraId="33364343" w14:textId="16FAC4D8" w:rsidR="00824411" w:rsidRPr="00904452" w:rsidRDefault="00824411" w:rsidP="00824411">
      <w:pPr>
        <w:jc w:val="both"/>
        <w:rPr>
          <w:rFonts w:cs="Arial"/>
        </w:rPr>
      </w:pPr>
      <w:r w:rsidRPr="00904452">
        <w:rPr>
          <w:rFonts w:cs="Arial"/>
        </w:rPr>
        <w:t>Of the 84 patients treated, the median age was 59 years (range 24-79); 27% had HCV GT5, 73% had HCV GT6; 54% were female; 30% were White, 68% were Asian; 90% were HCV TN; 11% had compensated cirrhosis.</w:t>
      </w:r>
    </w:p>
    <w:p w14:paraId="63586AA2" w14:textId="19626FFD" w:rsidR="00824411" w:rsidRPr="00904452" w:rsidRDefault="00824411" w:rsidP="00824411">
      <w:pPr>
        <w:jc w:val="both"/>
        <w:rPr>
          <w:rFonts w:cs="Arial"/>
        </w:rPr>
      </w:pPr>
      <w:r w:rsidRPr="00904452">
        <w:rPr>
          <w:rFonts w:cs="Arial"/>
        </w:rPr>
        <w:t xml:space="preserve">The overall SVR12 rate was 97.6% (82/84).  The SVR12 rate was 95.7% (22/23) for GT5-infected patients and 98.4% (60/61) for GT6-infected patients.  One TN GT5-infected patient </w:t>
      </w:r>
      <w:r w:rsidRPr="00904452">
        <w:rPr>
          <w:rFonts w:cs="Arial"/>
        </w:rPr>
        <w:lastRenderedPageBreak/>
        <w:t>without cirrhosis experienced relapse, and one TN GT6-infected patient with compensated cirrhosis experienced on-treatment virologic failure.</w:t>
      </w:r>
    </w:p>
    <w:p w14:paraId="4FF9A388" w14:textId="06F77063" w:rsidR="00493B75" w:rsidRPr="00904452" w:rsidRDefault="00493B75" w:rsidP="009C7847">
      <w:pPr>
        <w:pStyle w:val="Heading4"/>
        <w:rPr>
          <w:rFonts w:cs="Arial"/>
        </w:rPr>
      </w:pPr>
      <w:r w:rsidRPr="005E1202">
        <w:rPr>
          <w:rFonts w:cs="Arial"/>
        </w:rPr>
        <w:t>P</w:t>
      </w:r>
      <w:r w:rsidRPr="00904452">
        <w:rPr>
          <w:rFonts w:cs="Arial"/>
        </w:rPr>
        <w:t xml:space="preserve">atients with </w:t>
      </w:r>
      <w:r w:rsidR="00672F5C" w:rsidRPr="00904452">
        <w:rPr>
          <w:rFonts w:cs="Arial"/>
        </w:rPr>
        <w:t>GT</w:t>
      </w:r>
      <w:r w:rsidRPr="00904452">
        <w:rPr>
          <w:rFonts w:cs="Arial"/>
        </w:rPr>
        <w:t>3 Infection</w:t>
      </w:r>
    </w:p>
    <w:p w14:paraId="37036BF4" w14:textId="55885005" w:rsidR="00493B75" w:rsidRPr="00A4182C" w:rsidRDefault="00493B75" w:rsidP="00A31EE5">
      <w:pPr>
        <w:jc w:val="both"/>
        <w:rPr>
          <w:rFonts w:cs="Arial"/>
        </w:rPr>
      </w:pPr>
      <w:r w:rsidRPr="00904452">
        <w:rPr>
          <w:rFonts w:cs="Arial"/>
        </w:rPr>
        <w:t xml:space="preserve">The efficacy of MAVIRET in </w:t>
      </w:r>
      <w:r w:rsidR="00FA1AB2">
        <w:rPr>
          <w:rFonts w:cs="Arial"/>
        </w:rPr>
        <w:t xml:space="preserve">adult </w:t>
      </w:r>
      <w:r w:rsidRPr="00904452">
        <w:rPr>
          <w:rFonts w:cs="Arial"/>
        </w:rPr>
        <w:t xml:space="preserve">patients with </w:t>
      </w:r>
      <w:r w:rsidR="00672F5C" w:rsidRPr="00904452">
        <w:rPr>
          <w:rFonts w:cs="Arial"/>
        </w:rPr>
        <w:t>GT</w:t>
      </w:r>
      <w:r w:rsidRPr="00904452">
        <w:rPr>
          <w:rFonts w:cs="Arial"/>
        </w:rPr>
        <w:t>3 chronic hepatitis C infection was demonstrated in the ENDURANCE-3 (</w:t>
      </w:r>
      <w:r w:rsidR="00DA6FE8" w:rsidRPr="00904452">
        <w:rPr>
          <w:rFonts w:cs="Arial"/>
        </w:rPr>
        <w:t>TN</w:t>
      </w:r>
      <w:r w:rsidRPr="00904452">
        <w:rPr>
          <w:rFonts w:cs="Arial"/>
        </w:rPr>
        <w:t xml:space="preserve"> without cirrhosis)</w:t>
      </w:r>
      <w:r w:rsidR="00E556DC" w:rsidRPr="00904452">
        <w:rPr>
          <w:rFonts w:cs="Arial"/>
        </w:rPr>
        <w:t>,</w:t>
      </w:r>
      <w:r w:rsidR="00E556DC" w:rsidRPr="00A4182C">
        <w:rPr>
          <w:rFonts w:cs="Arial"/>
        </w:rPr>
        <w:t xml:space="preserve"> EXPEDITION-8 (TN with compensated cirrhosis)</w:t>
      </w:r>
      <w:r w:rsidRPr="00A4182C">
        <w:rPr>
          <w:rFonts w:cs="Arial"/>
        </w:rPr>
        <w:t xml:space="preserve"> and SURVEYOR-2 Part 3 (</w:t>
      </w:r>
      <w:r w:rsidR="00DA6FE8" w:rsidRPr="00A4182C">
        <w:rPr>
          <w:rFonts w:cs="Arial"/>
        </w:rPr>
        <w:t>PRS</w:t>
      </w:r>
      <w:r w:rsidR="00672F5C" w:rsidRPr="00A4182C">
        <w:rPr>
          <w:rFonts w:cs="Arial"/>
        </w:rPr>
        <w:t>-</w:t>
      </w:r>
      <w:r w:rsidR="00DA6FE8" w:rsidRPr="00A4182C">
        <w:rPr>
          <w:rFonts w:cs="Arial"/>
        </w:rPr>
        <w:t xml:space="preserve">TE </w:t>
      </w:r>
      <w:r w:rsidRPr="00A4182C">
        <w:rPr>
          <w:rFonts w:cs="Arial"/>
        </w:rPr>
        <w:t>patients and/or compensated cirrhosis) clinical studies.</w:t>
      </w:r>
      <w:r w:rsidR="00EC496D" w:rsidRPr="00A4182C">
        <w:rPr>
          <w:rFonts w:cs="Arial"/>
        </w:rPr>
        <w:t xml:space="preserve"> </w:t>
      </w:r>
      <w:r w:rsidR="00600A34" w:rsidRPr="00A4182C">
        <w:rPr>
          <w:rFonts w:cs="Arial"/>
        </w:rPr>
        <w:t xml:space="preserve"> </w:t>
      </w:r>
      <w:r w:rsidR="00EC496D" w:rsidRPr="00A4182C">
        <w:rPr>
          <w:rFonts w:cs="Arial"/>
        </w:rPr>
        <w:t xml:space="preserve">Patients with </w:t>
      </w:r>
      <w:r w:rsidR="00672F5C" w:rsidRPr="00A4182C">
        <w:rPr>
          <w:rFonts w:cs="Arial"/>
        </w:rPr>
        <w:t>GT</w:t>
      </w:r>
      <w:r w:rsidR="00EC496D" w:rsidRPr="00A4182C">
        <w:rPr>
          <w:rFonts w:cs="Arial"/>
        </w:rPr>
        <w:t xml:space="preserve">3 chronic hepatitis infection were excluded from the MAGELLAN-1 study of patients who failed a previous regimen containing NS5A and/or </w:t>
      </w:r>
      <w:r w:rsidR="006F6131" w:rsidRPr="00A4182C">
        <w:rPr>
          <w:rFonts w:cs="Arial"/>
        </w:rPr>
        <w:t xml:space="preserve">NS3/4A </w:t>
      </w:r>
      <w:r w:rsidR="00EC496D" w:rsidRPr="00A4182C">
        <w:rPr>
          <w:rFonts w:cs="Arial"/>
        </w:rPr>
        <w:t>protease inhibitor</w:t>
      </w:r>
      <w:r w:rsidR="00CB7E98" w:rsidRPr="00A4182C">
        <w:rPr>
          <w:rFonts w:cs="Arial"/>
        </w:rPr>
        <w:t>s</w:t>
      </w:r>
      <w:r w:rsidR="00EC496D" w:rsidRPr="00A4182C">
        <w:rPr>
          <w:rFonts w:cs="Arial"/>
        </w:rPr>
        <w:t>.</w:t>
      </w:r>
    </w:p>
    <w:p w14:paraId="3D141D89" w14:textId="579E4E98" w:rsidR="00672F5C" w:rsidRPr="00A4182C" w:rsidRDefault="00672F5C" w:rsidP="00A31EE5">
      <w:pPr>
        <w:jc w:val="both"/>
        <w:rPr>
          <w:rFonts w:cs="Arial"/>
        </w:rPr>
      </w:pPr>
      <w:r w:rsidRPr="00A4182C">
        <w:rPr>
          <w:rFonts w:cs="Arial"/>
        </w:rPr>
        <w:t>Patients with GT3 HCV infection were also included in other studies, such as the two Asian regional studies, VOYAGE-</w:t>
      </w:r>
      <w:proofErr w:type="gramStart"/>
      <w:r w:rsidRPr="00A4182C">
        <w:rPr>
          <w:rFonts w:cs="Arial"/>
        </w:rPr>
        <w:t>1</w:t>
      </w:r>
      <w:proofErr w:type="gramEnd"/>
      <w:r w:rsidRPr="00A4182C">
        <w:rPr>
          <w:rFonts w:cs="Arial"/>
        </w:rPr>
        <w:t xml:space="preserve"> and VOYAGE-2.</w:t>
      </w:r>
    </w:p>
    <w:p w14:paraId="1B8F06BF" w14:textId="2B291E2F" w:rsidR="007F1424" w:rsidRDefault="00493B75" w:rsidP="00A31EE5">
      <w:pPr>
        <w:jc w:val="both"/>
        <w:rPr>
          <w:rFonts w:cs="Arial"/>
        </w:rPr>
      </w:pPr>
      <w:r w:rsidRPr="00A4182C">
        <w:rPr>
          <w:rFonts w:cs="Arial"/>
        </w:rPr>
        <w:t xml:space="preserve">ENDURANCE-3 was a </w:t>
      </w:r>
      <w:proofErr w:type="gramStart"/>
      <w:r w:rsidRPr="00A4182C">
        <w:rPr>
          <w:rFonts w:cs="Arial"/>
        </w:rPr>
        <w:t>partially-randomised</w:t>
      </w:r>
      <w:proofErr w:type="gramEnd"/>
      <w:r w:rsidRPr="00A4182C">
        <w:rPr>
          <w:rFonts w:cs="Arial"/>
        </w:rPr>
        <w:t xml:space="preserve">, open-label, active-controlled study in </w:t>
      </w:r>
      <w:r w:rsidR="00DA6FE8" w:rsidRPr="00A4182C">
        <w:rPr>
          <w:rFonts w:cs="Arial"/>
        </w:rPr>
        <w:t>TN</w:t>
      </w:r>
      <w:r w:rsidRPr="00A4182C">
        <w:rPr>
          <w:rFonts w:cs="Arial"/>
        </w:rPr>
        <w:t xml:space="preserve"> </w:t>
      </w:r>
      <w:r w:rsidR="00E556DC" w:rsidRPr="00A4182C">
        <w:rPr>
          <w:rFonts w:cs="Arial"/>
        </w:rPr>
        <w:t xml:space="preserve">GT3-infected </w:t>
      </w:r>
      <w:r w:rsidRPr="00A4182C">
        <w:rPr>
          <w:rFonts w:cs="Arial"/>
        </w:rPr>
        <w:t xml:space="preserve">patients. </w:t>
      </w:r>
      <w:r w:rsidR="00600A34" w:rsidRPr="00A4182C">
        <w:rPr>
          <w:rFonts w:cs="Arial"/>
        </w:rPr>
        <w:t xml:space="preserve"> </w:t>
      </w:r>
      <w:r w:rsidRPr="00A4182C">
        <w:rPr>
          <w:rFonts w:cs="Arial"/>
        </w:rPr>
        <w:t xml:space="preserve">Patients were randomised (2:1) to either MAVIRET for 12 weeks or the combination of sofosbuvir and daclatasvir for 12 weeks; subsequently the study included a third arm (which was non-randomised) with MAVIRET for 8 weeks. </w:t>
      </w:r>
      <w:r w:rsidR="00E556DC" w:rsidRPr="00A4182C">
        <w:rPr>
          <w:rFonts w:cs="Arial"/>
        </w:rPr>
        <w:t xml:space="preserve">EXPEDITION-8 was a single-arm, open-label study in TN subjects with compensated cirrhosis and </w:t>
      </w:r>
      <w:r w:rsidR="005C46C7" w:rsidRPr="00A4182C">
        <w:rPr>
          <w:rFonts w:cs="Arial"/>
        </w:rPr>
        <w:t>GT</w:t>
      </w:r>
      <w:r w:rsidR="00E556DC" w:rsidRPr="00A4182C">
        <w:rPr>
          <w:rFonts w:cs="Arial"/>
        </w:rPr>
        <w:t xml:space="preserve">1, 2, 3, 4, 5 or 6 infection who received </w:t>
      </w:r>
      <w:r w:rsidR="006C4E84" w:rsidRPr="00A4182C">
        <w:rPr>
          <w:rFonts w:cs="Arial"/>
        </w:rPr>
        <w:t>MAVIRET</w:t>
      </w:r>
      <w:r w:rsidR="00E556DC" w:rsidRPr="00A4182C">
        <w:rPr>
          <w:rFonts w:cs="Arial"/>
        </w:rPr>
        <w:t xml:space="preserve"> for 8 weeks. </w:t>
      </w:r>
      <w:r w:rsidRPr="00A4182C">
        <w:rPr>
          <w:rFonts w:cs="Arial"/>
        </w:rPr>
        <w:t>SURVEYOR-2 Part 3 was an open-label study</w:t>
      </w:r>
      <w:r w:rsidR="00E556DC" w:rsidRPr="00A4182C">
        <w:rPr>
          <w:rFonts w:cs="Arial"/>
        </w:rPr>
        <w:t xml:space="preserve"> that evaluated the efficacy of MAVIRET in PRS-TE GT3-infected </w:t>
      </w:r>
      <w:r w:rsidR="00634F77" w:rsidRPr="00A4182C">
        <w:rPr>
          <w:rFonts w:cs="Arial"/>
        </w:rPr>
        <w:t>patients</w:t>
      </w:r>
      <w:r w:rsidR="00E556DC" w:rsidRPr="00A4182C">
        <w:rPr>
          <w:rFonts w:cs="Arial"/>
        </w:rPr>
        <w:t xml:space="preserve"> without cirrhosis and with compensated cirrhosis for 16-weeks</w:t>
      </w:r>
      <w:r w:rsidRPr="00A4182C">
        <w:rPr>
          <w:rFonts w:cs="Arial"/>
        </w:rPr>
        <w:t xml:space="preserve">. Among </w:t>
      </w:r>
      <w:r w:rsidR="005C46C7" w:rsidRPr="00A4182C">
        <w:rPr>
          <w:rFonts w:cs="Arial"/>
        </w:rPr>
        <w:t>PRS-</w:t>
      </w:r>
      <w:r w:rsidR="00DA6FE8" w:rsidRPr="00A4182C">
        <w:rPr>
          <w:rFonts w:cs="Arial"/>
        </w:rPr>
        <w:t>TE</w:t>
      </w:r>
      <w:r w:rsidRPr="00A4182C">
        <w:rPr>
          <w:rFonts w:cs="Arial"/>
        </w:rPr>
        <w:t xml:space="preserve"> patients, 46% (42/91) failed a previous regimen containing sofosbuvir.</w:t>
      </w:r>
    </w:p>
    <w:p w14:paraId="23625DCD" w14:textId="5248570A" w:rsidR="00493B75" w:rsidRPr="00904452" w:rsidRDefault="00493B75" w:rsidP="003B0ECB">
      <w:pPr>
        <w:pageBreakBefore/>
        <w:rPr>
          <w:rFonts w:cs="Arial"/>
          <w:b/>
        </w:rPr>
      </w:pPr>
      <w:r w:rsidRPr="005E1202">
        <w:rPr>
          <w:rFonts w:cs="Arial"/>
          <w:b/>
        </w:rPr>
        <w:lastRenderedPageBreak/>
        <w:t xml:space="preserve">Table </w:t>
      </w:r>
      <w:r w:rsidR="005E1202">
        <w:rPr>
          <w:rFonts w:cs="Arial"/>
          <w:b/>
        </w:rPr>
        <w:t>1</w:t>
      </w:r>
      <w:r w:rsidR="00FA1AB2">
        <w:rPr>
          <w:rFonts w:cs="Arial"/>
          <w:b/>
        </w:rPr>
        <w:t>1</w:t>
      </w:r>
      <w:r w:rsidRPr="005E1202">
        <w:rPr>
          <w:rFonts w:cs="Arial"/>
          <w:b/>
        </w:rPr>
        <w:t>. ENDURA</w:t>
      </w:r>
      <w:r w:rsidRPr="00904452">
        <w:rPr>
          <w:rFonts w:cs="Arial"/>
          <w:b/>
        </w:rPr>
        <w:t xml:space="preserve">NCE-3: SVR12 in </w:t>
      </w:r>
      <w:r w:rsidR="00DA6FE8" w:rsidRPr="00904452">
        <w:rPr>
          <w:rFonts w:cs="Arial"/>
          <w:b/>
        </w:rPr>
        <w:t>TN</w:t>
      </w:r>
      <w:r w:rsidRPr="00904452">
        <w:rPr>
          <w:rFonts w:cs="Arial"/>
          <w:b/>
        </w:rPr>
        <w:t xml:space="preserve">, </w:t>
      </w:r>
      <w:r w:rsidR="00FF0963" w:rsidRPr="00904452">
        <w:rPr>
          <w:rFonts w:cs="Arial"/>
          <w:b/>
        </w:rPr>
        <w:t>GT</w:t>
      </w:r>
      <w:r w:rsidRPr="00904452">
        <w:rPr>
          <w:rFonts w:cs="Arial"/>
          <w:b/>
        </w:rPr>
        <w:t xml:space="preserve">3-Infected </w:t>
      </w:r>
      <w:r w:rsidR="00FA1AB2">
        <w:rPr>
          <w:rFonts w:cs="Arial"/>
          <w:b/>
        </w:rPr>
        <w:t xml:space="preserve">Adult </w:t>
      </w:r>
      <w:r w:rsidRPr="00904452">
        <w:rPr>
          <w:rFonts w:cs="Arial"/>
          <w:b/>
        </w:rPr>
        <w:t>Patients without Cirrhosis</w:t>
      </w:r>
    </w:p>
    <w:tbl>
      <w:tblPr>
        <w:tblW w:w="7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71"/>
        <w:gridCol w:w="1800"/>
        <w:gridCol w:w="2160"/>
        <w:gridCol w:w="1800"/>
      </w:tblGrid>
      <w:tr w:rsidR="00493B75" w:rsidRPr="00904452" w14:paraId="5AB022DE" w14:textId="77777777" w:rsidTr="00493B75">
        <w:trPr>
          <w:tblHeader/>
          <w:jc w:val="center"/>
        </w:trPr>
        <w:tc>
          <w:tcPr>
            <w:tcW w:w="2071" w:type="dxa"/>
            <w:vAlign w:val="center"/>
          </w:tcPr>
          <w:p w14:paraId="0FB54224" w14:textId="77777777" w:rsidR="00493B75" w:rsidRPr="00904452" w:rsidRDefault="00493B75" w:rsidP="00493B75">
            <w:pPr>
              <w:spacing w:before="60" w:after="60"/>
              <w:jc w:val="center"/>
              <w:rPr>
                <w:rFonts w:cs="Arial"/>
                <w:sz w:val="20"/>
              </w:rPr>
            </w:pPr>
          </w:p>
        </w:tc>
        <w:tc>
          <w:tcPr>
            <w:tcW w:w="1800" w:type="dxa"/>
            <w:vAlign w:val="center"/>
          </w:tcPr>
          <w:p w14:paraId="37B70930" w14:textId="77777777" w:rsidR="00493B75" w:rsidRPr="00904452" w:rsidRDefault="00493B75" w:rsidP="00493B75">
            <w:pPr>
              <w:spacing w:before="60" w:after="60"/>
              <w:jc w:val="center"/>
              <w:rPr>
                <w:rFonts w:cs="Arial"/>
                <w:b/>
                <w:sz w:val="20"/>
              </w:rPr>
            </w:pPr>
            <w:r w:rsidRPr="00904452">
              <w:rPr>
                <w:rFonts w:cs="Arial"/>
                <w:b/>
                <w:sz w:val="20"/>
              </w:rPr>
              <w:t>MAVIRET</w:t>
            </w:r>
          </w:p>
          <w:p w14:paraId="03E8536D" w14:textId="77777777" w:rsidR="00493B75" w:rsidRPr="00904452" w:rsidRDefault="00493B75" w:rsidP="00493B75">
            <w:pPr>
              <w:spacing w:before="60" w:after="60"/>
              <w:jc w:val="center"/>
              <w:rPr>
                <w:rFonts w:cs="Arial"/>
                <w:b/>
                <w:sz w:val="20"/>
              </w:rPr>
            </w:pPr>
            <w:r w:rsidRPr="00904452">
              <w:rPr>
                <w:rFonts w:cs="Arial"/>
                <w:b/>
                <w:sz w:val="20"/>
              </w:rPr>
              <w:t>8 weeks</w:t>
            </w:r>
          </w:p>
          <w:p w14:paraId="02D5400A" w14:textId="4A9C033B" w:rsidR="00493B75" w:rsidRPr="00904452" w:rsidRDefault="00FF0963" w:rsidP="00493B75">
            <w:pPr>
              <w:spacing w:before="60" w:after="60"/>
              <w:jc w:val="center"/>
              <w:rPr>
                <w:rFonts w:cs="Arial"/>
                <w:b/>
                <w:sz w:val="20"/>
              </w:rPr>
            </w:pPr>
            <w:r w:rsidRPr="00904452">
              <w:rPr>
                <w:rFonts w:cs="Arial"/>
                <w:b/>
                <w:sz w:val="20"/>
              </w:rPr>
              <w:t>n</w:t>
            </w:r>
            <w:r w:rsidR="00493B75" w:rsidRPr="00904452">
              <w:rPr>
                <w:rFonts w:cs="Arial"/>
                <w:b/>
                <w:sz w:val="20"/>
              </w:rPr>
              <w:t>=157</w:t>
            </w:r>
          </w:p>
        </w:tc>
        <w:tc>
          <w:tcPr>
            <w:tcW w:w="2160" w:type="dxa"/>
            <w:vAlign w:val="center"/>
          </w:tcPr>
          <w:p w14:paraId="4A065F07" w14:textId="77777777" w:rsidR="00493B75" w:rsidRPr="00904452" w:rsidRDefault="00493B75" w:rsidP="00493B75">
            <w:pPr>
              <w:spacing w:before="60" w:after="60"/>
              <w:jc w:val="center"/>
              <w:rPr>
                <w:rFonts w:cs="Arial"/>
                <w:b/>
                <w:sz w:val="20"/>
              </w:rPr>
            </w:pPr>
            <w:r w:rsidRPr="00904452">
              <w:rPr>
                <w:rFonts w:cs="Arial"/>
                <w:b/>
                <w:sz w:val="20"/>
              </w:rPr>
              <w:t>MAVIRET</w:t>
            </w:r>
          </w:p>
          <w:p w14:paraId="71786D81" w14:textId="77777777" w:rsidR="00493B75" w:rsidRPr="00904452" w:rsidRDefault="00493B75" w:rsidP="00493B75">
            <w:pPr>
              <w:spacing w:before="60" w:after="60"/>
              <w:jc w:val="center"/>
              <w:rPr>
                <w:rFonts w:cs="Arial"/>
                <w:b/>
                <w:sz w:val="20"/>
              </w:rPr>
            </w:pPr>
            <w:r w:rsidRPr="00904452">
              <w:rPr>
                <w:rFonts w:cs="Arial"/>
                <w:b/>
                <w:sz w:val="20"/>
              </w:rPr>
              <w:t>12 weeks</w:t>
            </w:r>
          </w:p>
          <w:p w14:paraId="340DD62A" w14:textId="5E34D994" w:rsidR="00493B75" w:rsidRPr="00904452" w:rsidRDefault="00FF0963" w:rsidP="00493B75">
            <w:pPr>
              <w:spacing w:before="60" w:after="60"/>
              <w:jc w:val="center"/>
              <w:rPr>
                <w:rFonts w:cs="Arial"/>
                <w:b/>
                <w:sz w:val="20"/>
              </w:rPr>
            </w:pPr>
            <w:r w:rsidRPr="00904452">
              <w:rPr>
                <w:rFonts w:cs="Arial"/>
                <w:b/>
                <w:sz w:val="20"/>
              </w:rPr>
              <w:t>n</w:t>
            </w:r>
            <w:r w:rsidR="00493B75" w:rsidRPr="00904452">
              <w:rPr>
                <w:rFonts w:cs="Arial"/>
                <w:b/>
                <w:sz w:val="20"/>
              </w:rPr>
              <w:t>=233</w:t>
            </w:r>
          </w:p>
        </w:tc>
        <w:tc>
          <w:tcPr>
            <w:tcW w:w="1800" w:type="dxa"/>
            <w:vAlign w:val="center"/>
          </w:tcPr>
          <w:p w14:paraId="11DDDD1B" w14:textId="77777777" w:rsidR="00493B75" w:rsidRPr="00904452" w:rsidRDefault="00493B75" w:rsidP="00493B75">
            <w:pPr>
              <w:spacing w:before="60" w:after="60"/>
              <w:jc w:val="center"/>
              <w:rPr>
                <w:rFonts w:cs="Arial"/>
                <w:b/>
                <w:sz w:val="20"/>
              </w:rPr>
            </w:pPr>
            <w:r w:rsidRPr="00904452">
              <w:rPr>
                <w:rFonts w:cs="Arial"/>
                <w:b/>
                <w:sz w:val="20"/>
              </w:rPr>
              <w:t>SOF</w:t>
            </w:r>
            <w:r w:rsidR="00A31EE5" w:rsidRPr="00904452">
              <w:rPr>
                <w:rFonts w:cs="Arial"/>
                <w:b/>
                <w:sz w:val="20"/>
              </w:rPr>
              <w:t xml:space="preserve"> </w:t>
            </w:r>
            <w:r w:rsidRPr="00904452">
              <w:rPr>
                <w:rFonts w:cs="Arial"/>
                <w:b/>
                <w:sz w:val="20"/>
              </w:rPr>
              <w:t>+</w:t>
            </w:r>
            <w:r w:rsidR="00A31EE5" w:rsidRPr="00904452">
              <w:rPr>
                <w:rFonts w:cs="Arial"/>
                <w:b/>
                <w:sz w:val="20"/>
              </w:rPr>
              <w:t xml:space="preserve"> </w:t>
            </w:r>
            <w:r w:rsidRPr="00904452">
              <w:rPr>
                <w:rFonts w:cs="Arial"/>
                <w:b/>
                <w:sz w:val="20"/>
              </w:rPr>
              <w:t>DCV</w:t>
            </w:r>
          </w:p>
          <w:p w14:paraId="0778121B" w14:textId="77777777" w:rsidR="00493B75" w:rsidRPr="00904452" w:rsidRDefault="00493B75" w:rsidP="00493B75">
            <w:pPr>
              <w:spacing w:before="60" w:after="60"/>
              <w:jc w:val="center"/>
              <w:rPr>
                <w:rFonts w:cs="Arial"/>
                <w:b/>
                <w:sz w:val="20"/>
              </w:rPr>
            </w:pPr>
            <w:r w:rsidRPr="00904452">
              <w:rPr>
                <w:rFonts w:cs="Arial"/>
                <w:b/>
                <w:sz w:val="20"/>
              </w:rPr>
              <w:t>12 weeks</w:t>
            </w:r>
          </w:p>
          <w:p w14:paraId="245B3940" w14:textId="2C8BF93B" w:rsidR="00493B75" w:rsidRPr="00904452" w:rsidRDefault="00FF0963" w:rsidP="00493B75">
            <w:pPr>
              <w:spacing w:before="60" w:after="60"/>
              <w:jc w:val="center"/>
              <w:rPr>
                <w:rFonts w:cs="Arial"/>
                <w:b/>
                <w:sz w:val="20"/>
              </w:rPr>
            </w:pPr>
            <w:r w:rsidRPr="00904452">
              <w:rPr>
                <w:rFonts w:cs="Arial"/>
                <w:b/>
                <w:sz w:val="20"/>
              </w:rPr>
              <w:t>n</w:t>
            </w:r>
            <w:r w:rsidR="00493B75" w:rsidRPr="00904452">
              <w:rPr>
                <w:rFonts w:cs="Arial"/>
                <w:b/>
                <w:sz w:val="20"/>
              </w:rPr>
              <w:t>=115</w:t>
            </w:r>
          </w:p>
        </w:tc>
      </w:tr>
      <w:tr w:rsidR="00493B75" w:rsidRPr="005E1202" w14:paraId="3FDFBF31" w14:textId="77777777" w:rsidTr="00493B75">
        <w:trPr>
          <w:jc w:val="center"/>
        </w:trPr>
        <w:tc>
          <w:tcPr>
            <w:tcW w:w="2071" w:type="dxa"/>
            <w:vAlign w:val="center"/>
          </w:tcPr>
          <w:p w14:paraId="32367797" w14:textId="77777777" w:rsidR="00493B75" w:rsidRPr="005E1202" w:rsidRDefault="00493B75" w:rsidP="00493B75">
            <w:pPr>
              <w:spacing w:before="60" w:after="60"/>
              <w:jc w:val="center"/>
              <w:rPr>
                <w:rFonts w:cs="Arial"/>
                <w:b/>
                <w:sz w:val="20"/>
              </w:rPr>
            </w:pPr>
            <w:r w:rsidRPr="005E1202">
              <w:rPr>
                <w:rFonts w:cs="Arial"/>
                <w:b/>
                <w:sz w:val="20"/>
              </w:rPr>
              <w:t>SVR</w:t>
            </w:r>
          </w:p>
        </w:tc>
        <w:tc>
          <w:tcPr>
            <w:tcW w:w="1800" w:type="dxa"/>
            <w:vAlign w:val="center"/>
          </w:tcPr>
          <w:p w14:paraId="6E96A6A2" w14:textId="77777777" w:rsidR="00493B75" w:rsidRPr="005E1202" w:rsidRDefault="00493B75" w:rsidP="00493B75">
            <w:pPr>
              <w:spacing w:before="60" w:after="60"/>
              <w:jc w:val="center"/>
              <w:rPr>
                <w:rFonts w:cs="Arial"/>
                <w:sz w:val="20"/>
              </w:rPr>
            </w:pPr>
            <w:r w:rsidRPr="005E1202">
              <w:rPr>
                <w:rFonts w:cs="Arial"/>
                <w:sz w:val="20"/>
              </w:rPr>
              <w:t>94.9% (149/157)</w:t>
            </w:r>
          </w:p>
        </w:tc>
        <w:tc>
          <w:tcPr>
            <w:tcW w:w="2160" w:type="dxa"/>
            <w:vAlign w:val="center"/>
          </w:tcPr>
          <w:p w14:paraId="24837955" w14:textId="77777777" w:rsidR="00493B75" w:rsidRPr="005E1202" w:rsidRDefault="00493B75" w:rsidP="00493B75">
            <w:pPr>
              <w:spacing w:before="60" w:after="60"/>
              <w:jc w:val="center"/>
              <w:rPr>
                <w:rFonts w:cs="Arial"/>
                <w:sz w:val="20"/>
              </w:rPr>
            </w:pPr>
            <w:r w:rsidRPr="005E1202">
              <w:rPr>
                <w:rFonts w:cs="Arial"/>
                <w:sz w:val="20"/>
              </w:rPr>
              <w:t>95.3% (222/233)</w:t>
            </w:r>
          </w:p>
        </w:tc>
        <w:tc>
          <w:tcPr>
            <w:tcW w:w="1800" w:type="dxa"/>
            <w:vAlign w:val="center"/>
          </w:tcPr>
          <w:p w14:paraId="62D27BAE" w14:textId="77777777" w:rsidR="00493B75" w:rsidRPr="005E1202" w:rsidRDefault="00493B75" w:rsidP="00493B75">
            <w:pPr>
              <w:spacing w:before="60" w:after="60"/>
              <w:jc w:val="center"/>
              <w:rPr>
                <w:rFonts w:cs="Arial"/>
                <w:sz w:val="20"/>
              </w:rPr>
            </w:pPr>
            <w:r w:rsidRPr="005E1202">
              <w:rPr>
                <w:rFonts w:cs="Arial"/>
                <w:sz w:val="20"/>
              </w:rPr>
              <w:t>96.5% (111/115)</w:t>
            </w:r>
          </w:p>
        </w:tc>
      </w:tr>
      <w:tr w:rsidR="00493B75" w:rsidRPr="005E1202" w14:paraId="37278C29" w14:textId="77777777" w:rsidTr="00493B75">
        <w:trPr>
          <w:jc w:val="center"/>
        </w:trPr>
        <w:tc>
          <w:tcPr>
            <w:tcW w:w="2071" w:type="dxa"/>
            <w:vAlign w:val="center"/>
          </w:tcPr>
          <w:p w14:paraId="05B693BF" w14:textId="77777777" w:rsidR="00493B75" w:rsidRPr="005E1202" w:rsidRDefault="00493B75" w:rsidP="00493B75">
            <w:pPr>
              <w:spacing w:before="60" w:after="60"/>
              <w:jc w:val="center"/>
              <w:rPr>
                <w:rFonts w:cs="Arial"/>
                <w:sz w:val="20"/>
              </w:rPr>
            </w:pPr>
          </w:p>
        </w:tc>
        <w:tc>
          <w:tcPr>
            <w:tcW w:w="1800" w:type="dxa"/>
            <w:vAlign w:val="center"/>
          </w:tcPr>
          <w:p w14:paraId="484EAACD" w14:textId="77777777" w:rsidR="00493B75" w:rsidRPr="005E1202" w:rsidRDefault="00493B75" w:rsidP="00493B75">
            <w:pPr>
              <w:spacing w:before="60" w:after="60"/>
              <w:jc w:val="center"/>
              <w:rPr>
                <w:rFonts w:cs="Arial"/>
                <w:sz w:val="20"/>
              </w:rPr>
            </w:pPr>
          </w:p>
        </w:tc>
        <w:tc>
          <w:tcPr>
            <w:tcW w:w="3960" w:type="dxa"/>
            <w:gridSpan w:val="2"/>
            <w:vAlign w:val="center"/>
          </w:tcPr>
          <w:p w14:paraId="0CFB5EF4" w14:textId="77777777" w:rsidR="00493B75" w:rsidRPr="005E1202" w:rsidRDefault="00493B75" w:rsidP="00493B75">
            <w:pPr>
              <w:spacing w:before="60" w:after="60"/>
              <w:jc w:val="center"/>
              <w:rPr>
                <w:rFonts w:cs="Arial"/>
                <w:sz w:val="20"/>
              </w:rPr>
            </w:pPr>
            <w:r w:rsidRPr="005E1202">
              <w:rPr>
                <w:rFonts w:cs="Arial"/>
                <w:sz w:val="20"/>
              </w:rPr>
              <w:t>Treatment difference -1.2</w:t>
            </w:r>
            <w:proofErr w:type="gramStart"/>
            <w:r w:rsidRPr="005E1202">
              <w:rPr>
                <w:rFonts w:cs="Arial"/>
                <w:sz w:val="20"/>
              </w:rPr>
              <w:t>%;</w:t>
            </w:r>
            <w:proofErr w:type="gramEnd"/>
          </w:p>
          <w:p w14:paraId="2276805F" w14:textId="77777777" w:rsidR="00493B75" w:rsidRPr="005E1202" w:rsidRDefault="00493B75" w:rsidP="00493B75">
            <w:pPr>
              <w:spacing w:before="60" w:after="60"/>
              <w:jc w:val="center"/>
              <w:rPr>
                <w:rFonts w:cs="Arial"/>
                <w:sz w:val="20"/>
              </w:rPr>
            </w:pPr>
            <w:r w:rsidRPr="005E1202">
              <w:rPr>
                <w:rFonts w:cs="Arial"/>
                <w:sz w:val="20"/>
              </w:rPr>
              <w:t>95% confidence interval (-5.6% to 3.1%)</w:t>
            </w:r>
          </w:p>
        </w:tc>
      </w:tr>
      <w:tr w:rsidR="00493B75" w:rsidRPr="005E1202" w14:paraId="17B72B59" w14:textId="77777777" w:rsidTr="00493B75">
        <w:trPr>
          <w:jc w:val="center"/>
        </w:trPr>
        <w:tc>
          <w:tcPr>
            <w:tcW w:w="2071" w:type="dxa"/>
            <w:vAlign w:val="center"/>
          </w:tcPr>
          <w:p w14:paraId="0338DDF6" w14:textId="77777777" w:rsidR="00493B75" w:rsidRPr="005E1202" w:rsidRDefault="00493B75" w:rsidP="00493B75">
            <w:pPr>
              <w:spacing w:before="60" w:after="60"/>
              <w:jc w:val="center"/>
              <w:rPr>
                <w:rFonts w:cs="Arial"/>
                <w:sz w:val="20"/>
              </w:rPr>
            </w:pPr>
          </w:p>
        </w:tc>
        <w:tc>
          <w:tcPr>
            <w:tcW w:w="3960" w:type="dxa"/>
            <w:gridSpan w:val="2"/>
            <w:vAlign w:val="center"/>
          </w:tcPr>
          <w:p w14:paraId="37A7CA69" w14:textId="77777777" w:rsidR="00493B75" w:rsidRPr="005E1202" w:rsidRDefault="00493B75" w:rsidP="00493B75">
            <w:pPr>
              <w:spacing w:before="60" w:after="60"/>
              <w:jc w:val="center"/>
              <w:rPr>
                <w:rFonts w:cs="Arial"/>
                <w:sz w:val="20"/>
              </w:rPr>
            </w:pPr>
            <w:r w:rsidRPr="005E1202">
              <w:rPr>
                <w:rFonts w:cs="Arial"/>
                <w:sz w:val="20"/>
              </w:rPr>
              <w:t>Treatment difference -0.4</w:t>
            </w:r>
            <w:proofErr w:type="gramStart"/>
            <w:r w:rsidRPr="005E1202">
              <w:rPr>
                <w:rFonts w:cs="Arial"/>
                <w:sz w:val="20"/>
              </w:rPr>
              <w:t>%;</w:t>
            </w:r>
            <w:proofErr w:type="gramEnd"/>
          </w:p>
          <w:p w14:paraId="3B0CDFC9" w14:textId="77777777" w:rsidR="00493B75" w:rsidRPr="005E1202" w:rsidRDefault="00493B75" w:rsidP="00493B75">
            <w:pPr>
              <w:spacing w:before="60" w:after="60"/>
              <w:jc w:val="center"/>
              <w:rPr>
                <w:rFonts w:cs="Arial"/>
                <w:sz w:val="20"/>
              </w:rPr>
            </w:pPr>
            <w:r w:rsidRPr="005E1202">
              <w:rPr>
                <w:rFonts w:cs="Arial"/>
                <w:sz w:val="20"/>
              </w:rPr>
              <w:t>97.5% confidence interval (-5.4% to 4.6%)</w:t>
            </w:r>
          </w:p>
        </w:tc>
        <w:tc>
          <w:tcPr>
            <w:tcW w:w="1800" w:type="dxa"/>
            <w:vAlign w:val="center"/>
          </w:tcPr>
          <w:p w14:paraId="77F1F0FE" w14:textId="77777777" w:rsidR="00493B75" w:rsidRPr="005E1202" w:rsidRDefault="00493B75" w:rsidP="00493B75">
            <w:pPr>
              <w:spacing w:before="60" w:after="60"/>
              <w:jc w:val="center"/>
              <w:rPr>
                <w:rFonts w:cs="Arial"/>
                <w:sz w:val="20"/>
              </w:rPr>
            </w:pPr>
          </w:p>
        </w:tc>
      </w:tr>
      <w:tr w:rsidR="00493B75" w:rsidRPr="005E1202" w14:paraId="42C8795E" w14:textId="77777777" w:rsidTr="00493B75">
        <w:trPr>
          <w:jc w:val="center"/>
        </w:trPr>
        <w:tc>
          <w:tcPr>
            <w:tcW w:w="7831" w:type="dxa"/>
            <w:gridSpan w:val="4"/>
            <w:vAlign w:val="center"/>
          </w:tcPr>
          <w:p w14:paraId="6906BE89" w14:textId="77777777" w:rsidR="00493B75" w:rsidRPr="005E1202" w:rsidRDefault="00493B75" w:rsidP="00493B75">
            <w:pPr>
              <w:spacing w:before="60" w:after="60"/>
              <w:jc w:val="center"/>
              <w:rPr>
                <w:rFonts w:cs="Arial"/>
                <w:b/>
                <w:sz w:val="20"/>
              </w:rPr>
            </w:pPr>
            <w:r w:rsidRPr="005E1202">
              <w:rPr>
                <w:rFonts w:cs="Arial"/>
                <w:b/>
                <w:sz w:val="20"/>
              </w:rPr>
              <w:t>Outcome for patients without SVR12</w:t>
            </w:r>
          </w:p>
        </w:tc>
      </w:tr>
      <w:tr w:rsidR="00493B75" w:rsidRPr="005E1202" w14:paraId="6BAE6140" w14:textId="77777777" w:rsidTr="00493B75">
        <w:trPr>
          <w:jc w:val="center"/>
        </w:trPr>
        <w:tc>
          <w:tcPr>
            <w:tcW w:w="2071" w:type="dxa"/>
            <w:vAlign w:val="center"/>
          </w:tcPr>
          <w:p w14:paraId="1FE4DEB2" w14:textId="77777777" w:rsidR="00493B75" w:rsidRPr="005E1202" w:rsidRDefault="00493B75" w:rsidP="00493B75">
            <w:pPr>
              <w:spacing w:before="60" w:after="60"/>
              <w:jc w:val="center"/>
              <w:rPr>
                <w:rFonts w:cs="Arial"/>
                <w:sz w:val="20"/>
              </w:rPr>
            </w:pPr>
            <w:r w:rsidRPr="005E1202">
              <w:rPr>
                <w:rFonts w:cs="Arial"/>
                <w:sz w:val="20"/>
              </w:rPr>
              <w:t>On-treatment VF</w:t>
            </w:r>
          </w:p>
        </w:tc>
        <w:tc>
          <w:tcPr>
            <w:tcW w:w="1800" w:type="dxa"/>
            <w:vAlign w:val="center"/>
          </w:tcPr>
          <w:p w14:paraId="2A401A72" w14:textId="77777777" w:rsidR="00493B75" w:rsidRPr="005E1202" w:rsidRDefault="00493B75" w:rsidP="00493B75">
            <w:pPr>
              <w:spacing w:before="60" w:after="60"/>
              <w:jc w:val="center"/>
              <w:rPr>
                <w:rFonts w:cs="Arial"/>
                <w:sz w:val="20"/>
              </w:rPr>
            </w:pPr>
            <w:r w:rsidRPr="005E1202">
              <w:rPr>
                <w:rFonts w:cs="Arial"/>
                <w:sz w:val="20"/>
              </w:rPr>
              <w:t>0.6% (1/157)</w:t>
            </w:r>
          </w:p>
        </w:tc>
        <w:tc>
          <w:tcPr>
            <w:tcW w:w="2160" w:type="dxa"/>
            <w:vAlign w:val="center"/>
          </w:tcPr>
          <w:p w14:paraId="784361B3" w14:textId="77777777" w:rsidR="00493B75" w:rsidRPr="005E1202" w:rsidRDefault="00493B75" w:rsidP="00493B75">
            <w:pPr>
              <w:spacing w:before="60" w:after="60"/>
              <w:jc w:val="center"/>
              <w:rPr>
                <w:rFonts w:cs="Arial"/>
                <w:sz w:val="20"/>
              </w:rPr>
            </w:pPr>
            <w:r w:rsidRPr="005E1202">
              <w:rPr>
                <w:rFonts w:cs="Arial"/>
                <w:sz w:val="20"/>
              </w:rPr>
              <w:t>0.4% (1/233)</w:t>
            </w:r>
          </w:p>
        </w:tc>
        <w:tc>
          <w:tcPr>
            <w:tcW w:w="1800" w:type="dxa"/>
            <w:vAlign w:val="center"/>
          </w:tcPr>
          <w:p w14:paraId="4C080B82" w14:textId="77777777" w:rsidR="00493B75" w:rsidRPr="005E1202" w:rsidRDefault="00493B75" w:rsidP="00493B75">
            <w:pPr>
              <w:spacing w:before="60" w:after="60"/>
              <w:jc w:val="center"/>
              <w:rPr>
                <w:rFonts w:cs="Arial"/>
                <w:sz w:val="20"/>
              </w:rPr>
            </w:pPr>
            <w:r w:rsidRPr="005E1202">
              <w:rPr>
                <w:rFonts w:cs="Arial"/>
                <w:sz w:val="20"/>
              </w:rPr>
              <w:t>0% (0/115)</w:t>
            </w:r>
          </w:p>
        </w:tc>
      </w:tr>
      <w:tr w:rsidR="00493B75" w:rsidRPr="005E1202" w14:paraId="54F6A47F" w14:textId="77777777" w:rsidTr="00493B75">
        <w:trPr>
          <w:jc w:val="center"/>
        </w:trPr>
        <w:tc>
          <w:tcPr>
            <w:tcW w:w="2071" w:type="dxa"/>
            <w:vAlign w:val="center"/>
          </w:tcPr>
          <w:p w14:paraId="1BD5CB17" w14:textId="77777777" w:rsidR="00493B75" w:rsidRPr="005E1202" w:rsidRDefault="00493B75" w:rsidP="000978B7">
            <w:pPr>
              <w:spacing w:before="60" w:after="60"/>
              <w:jc w:val="center"/>
              <w:rPr>
                <w:rFonts w:cs="Arial"/>
                <w:sz w:val="20"/>
              </w:rPr>
            </w:pPr>
            <w:proofErr w:type="spellStart"/>
            <w:r w:rsidRPr="005E1202">
              <w:rPr>
                <w:rFonts w:cs="Arial"/>
                <w:sz w:val="20"/>
              </w:rPr>
              <w:t>Relapse</w:t>
            </w:r>
            <w:r w:rsidR="000978B7" w:rsidRPr="000978B7">
              <w:rPr>
                <w:rFonts w:cs="Arial"/>
                <w:sz w:val="20"/>
                <w:vertAlign w:val="superscript"/>
              </w:rPr>
              <w:t>a</w:t>
            </w:r>
            <w:proofErr w:type="spellEnd"/>
          </w:p>
        </w:tc>
        <w:tc>
          <w:tcPr>
            <w:tcW w:w="1800" w:type="dxa"/>
            <w:vAlign w:val="center"/>
          </w:tcPr>
          <w:p w14:paraId="73DCE820" w14:textId="77777777" w:rsidR="00493B75" w:rsidRPr="005E1202" w:rsidRDefault="00493B75" w:rsidP="00493B75">
            <w:pPr>
              <w:spacing w:before="60" w:after="60"/>
              <w:jc w:val="center"/>
              <w:rPr>
                <w:rFonts w:cs="Arial"/>
                <w:sz w:val="20"/>
              </w:rPr>
            </w:pPr>
            <w:r w:rsidRPr="005E1202">
              <w:rPr>
                <w:rFonts w:cs="Arial"/>
                <w:sz w:val="20"/>
              </w:rPr>
              <w:t>3.3% (5/150)</w:t>
            </w:r>
          </w:p>
        </w:tc>
        <w:tc>
          <w:tcPr>
            <w:tcW w:w="2160" w:type="dxa"/>
            <w:vAlign w:val="center"/>
          </w:tcPr>
          <w:p w14:paraId="7CC20B5B" w14:textId="77777777" w:rsidR="00493B75" w:rsidRPr="005E1202" w:rsidRDefault="00493B75" w:rsidP="00493B75">
            <w:pPr>
              <w:spacing w:before="60" w:after="60"/>
              <w:jc w:val="center"/>
              <w:rPr>
                <w:rFonts w:cs="Arial"/>
                <w:sz w:val="20"/>
              </w:rPr>
            </w:pPr>
            <w:r w:rsidRPr="005E1202">
              <w:rPr>
                <w:rFonts w:cs="Arial"/>
                <w:sz w:val="20"/>
              </w:rPr>
              <w:t>1.4% (3/222)</w:t>
            </w:r>
          </w:p>
        </w:tc>
        <w:tc>
          <w:tcPr>
            <w:tcW w:w="1800" w:type="dxa"/>
            <w:vAlign w:val="center"/>
          </w:tcPr>
          <w:p w14:paraId="3B3AAC74" w14:textId="77777777" w:rsidR="00493B75" w:rsidRPr="005E1202" w:rsidRDefault="00493B75" w:rsidP="00493B75">
            <w:pPr>
              <w:spacing w:before="60" w:after="60"/>
              <w:jc w:val="center"/>
              <w:rPr>
                <w:rFonts w:cs="Arial"/>
                <w:sz w:val="20"/>
              </w:rPr>
            </w:pPr>
            <w:r w:rsidRPr="005E1202">
              <w:rPr>
                <w:rFonts w:cs="Arial"/>
                <w:sz w:val="20"/>
              </w:rPr>
              <w:t>0.9% (1/114)</w:t>
            </w:r>
          </w:p>
        </w:tc>
      </w:tr>
      <w:tr w:rsidR="00493B75" w:rsidRPr="005E1202" w14:paraId="749EA8B3" w14:textId="77777777" w:rsidTr="00493B75">
        <w:trPr>
          <w:jc w:val="center"/>
        </w:trPr>
        <w:tc>
          <w:tcPr>
            <w:tcW w:w="2071" w:type="dxa"/>
            <w:tcBorders>
              <w:bottom w:val="single" w:sz="4" w:space="0" w:color="auto"/>
            </w:tcBorders>
            <w:vAlign w:val="center"/>
          </w:tcPr>
          <w:p w14:paraId="15118B7C" w14:textId="77777777" w:rsidR="00493B75" w:rsidRPr="005E1202" w:rsidRDefault="00493B75" w:rsidP="000978B7">
            <w:pPr>
              <w:spacing w:before="60" w:after="60"/>
              <w:jc w:val="center"/>
              <w:rPr>
                <w:rFonts w:cs="Arial"/>
                <w:sz w:val="20"/>
              </w:rPr>
            </w:pPr>
            <w:proofErr w:type="spellStart"/>
            <w:r w:rsidRPr="005E1202">
              <w:rPr>
                <w:rFonts w:cs="Arial"/>
                <w:sz w:val="20"/>
              </w:rPr>
              <w:t>Other</w:t>
            </w:r>
            <w:r w:rsidR="000978B7" w:rsidRPr="000978B7">
              <w:rPr>
                <w:rFonts w:cs="Arial"/>
                <w:sz w:val="20"/>
                <w:vertAlign w:val="superscript"/>
              </w:rPr>
              <w:t>b</w:t>
            </w:r>
            <w:proofErr w:type="spellEnd"/>
          </w:p>
        </w:tc>
        <w:tc>
          <w:tcPr>
            <w:tcW w:w="1800" w:type="dxa"/>
            <w:tcBorders>
              <w:bottom w:val="single" w:sz="4" w:space="0" w:color="auto"/>
            </w:tcBorders>
            <w:vAlign w:val="center"/>
          </w:tcPr>
          <w:p w14:paraId="5D20C460" w14:textId="77777777" w:rsidR="00493B75" w:rsidRPr="005E1202" w:rsidRDefault="00493B75" w:rsidP="00493B75">
            <w:pPr>
              <w:spacing w:before="60" w:after="60"/>
              <w:jc w:val="center"/>
              <w:rPr>
                <w:rFonts w:cs="Arial"/>
                <w:sz w:val="20"/>
              </w:rPr>
            </w:pPr>
            <w:r w:rsidRPr="005E1202">
              <w:rPr>
                <w:rFonts w:cs="Arial"/>
                <w:sz w:val="20"/>
              </w:rPr>
              <w:t>1.3% (2/157)</w:t>
            </w:r>
          </w:p>
        </w:tc>
        <w:tc>
          <w:tcPr>
            <w:tcW w:w="2160" w:type="dxa"/>
            <w:tcBorders>
              <w:bottom w:val="single" w:sz="4" w:space="0" w:color="auto"/>
            </w:tcBorders>
            <w:vAlign w:val="center"/>
          </w:tcPr>
          <w:p w14:paraId="4D1A76C8" w14:textId="77777777" w:rsidR="00493B75" w:rsidRPr="005E1202" w:rsidRDefault="00493B75" w:rsidP="00493B75">
            <w:pPr>
              <w:spacing w:before="60" w:after="60"/>
              <w:jc w:val="center"/>
              <w:rPr>
                <w:rFonts w:cs="Arial"/>
                <w:sz w:val="20"/>
              </w:rPr>
            </w:pPr>
            <w:r w:rsidRPr="005E1202">
              <w:rPr>
                <w:rFonts w:cs="Arial"/>
                <w:sz w:val="20"/>
              </w:rPr>
              <w:t>3.0% (7/233)</w:t>
            </w:r>
          </w:p>
        </w:tc>
        <w:tc>
          <w:tcPr>
            <w:tcW w:w="1800" w:type="dxa"/>
            <w:tcBorders>
              <w:bottom w:val="single" w:sz="4" w:space="0" w:color="auto"/>
            </w:tcBorders>
            <w:vAlign w:val="center"/>
          </w:tcPr>
          <w:p w14:paraId="0B4BC3AE" w14:textId="77777777" w:rsidR="00493B75" w:rsidRPr="005E1202" w:rsidRDefault="00493B75" w:rsidP="00493B75">
            <w:pPr>
              <w:spacing w:before="60" w:after="60"/>
              <w:jc w:val="center"/>
              <w:rPr>
                <w:rFonts w:cs="Arial"/>
                <w:sz w:val="20"/>
              </w:rPr>
            </w:pPr>
            <w:r w:rsidRPr="005E1202">
              <w:rPr>
                <w:rFonts w:cs="Arial"/>
                <w:sz w:val="20"/>
              </w:rPr>
              <w:t>2.6% (3/115)</w:t>
            </w:r>
          </w:p>
        </w:tc>
      </w:tr>
      <w:tr w:rsidR="00493B75" w:rsidRPr="005E1202" w14:paraId="255CBDB8" w14:textId="77777777" w:rsidTr="00493B75">
        <w:trPr>
          <w:jc w:val="center"/>
        </w:trPr>
        <w:tc>
          <w:tcPr>
            <w:tcW w:w="7831" w:type="dxa"/>
            <w:gridSpan w:val="4"/>
            <w:tcBorders>
              <w:left w:val="nil"/>
              <w:bottom w:val="nil"/>
              <w:right w:val="nil"/>
            </w:tcBorders>
          </w:tcPr>
          <w:p w14:paraId="05BAC79A" w14:textId="77777777" w:rsidR="00493B75" w:rsidRPr="005E1202" w:rsidRDefault="000978B7" w:rsidP="00493B75">
            <w:pPr>
              <w:spacing w:after="0"/>
              <w:rPr>
                <w:rFonts w:cs="Arial"/>
                <w:sz w:val="20"/>
              </w:rPr>
            </w:pPr>
            <w:r w:rsidRPr="000978B7">
              <w:rPr>
                <w:rFonts w:cs="Arial"/>
                <w:sz w:val="20"/>
                <w:vertAlign w:val="superscript"/>
              </w:rPr>
              <w:t>a.</w:t>
            </w:r>
            <w:r w:rsidR="00493B75" w:rsidRPr="005E1202">
              <w:rPr>
                <w:rFonts w:cs="Arial"/>
                <w:sz w:val="20"/>
              </w:rPr>
              <w:t xml:space="preserve"> Relapse is defined as HCV RNA ≥ LLOQ after end-of-treatment response among those who completed treatment.</w:t>
            </w:r>
          </w:p>
          <w:p w14:paraId="69881A10" w14:textId="77777777" w:rsidR="00493B75" w:rsidRPr="005E1202" w:rsidRDefault="000978B7" w:rsidP="00493B75">
            <w:pPr>
              <w:spacing w:after="0"/>
              <w:rPr>
                <w:rFonts w:cs="Arial"/>
                <w:sz w:val="20"/>
              </w:rPr>
            </w:pPr>
            <w:r w:rsidRPr="000978B7">
              <w:rPr>
                <w:rFonts w:cs="Arial"/>
                <w:sz w:val="20"/>
                <w:vertAlign w:val="superscript"/>
              </w:rPr>
              <w:t>b.</w:t>
            </w:r>
            <w:r w:rsidRPr="005E1202">
              <w:rPr>
                <w:rFonts w:cs="Arial"/>
                <w:sz w:val="20"/>
              </w:rPr>
              <w:t xml:space="preserve"> </w:t>
            </w:r>
            <w:r w:rsidR="00493B75" w:rsidRPr="005E1202">
              <w:rPr>
                <w:rFonts w:cs="Arial"/>
                <w:sz w:val="20"/>
              </w:rPr>
              <w:t>Includes patients who discontinued due to adverse event, lost to follow-up, or subject withdrawal.</w:t>
            </w:r>
          </w:p>
        </w:tc>
      </w:tr>
    </w:tbl>
    <w:p w14:paraId="4FE6C938" w14:textId="77777777" w:rsidR="005B4E83" w:rsidRDefault="005B4E83" w:rsidP="00A31EE5">
      <w:pPr>
        <w:jc w:val="both"/>
        <w:rPr>
          <w:rFonts w:cs="Arial"/>
          <w:b/>
        </w:rPr>
      </w:pPr>
    </w:p>
    <w:p w14:paraId="43A5EC64" w14:textId="3C3FEFD4" w:rsidR="00493B75" w:rsidRPr="00A4182C" w:rsidRDefault="00493B75" w:rsidP="00A31EE5">
      <w:pPr>
        <w:jc w:val="both"/>
        <w:rPr>
          <w:rFonts w:cs="Arial"/>
          <w:b/>
        </w:rPr>
      </w:pPr>
      <w:r w:rsidRPr="005E1202">
        <w:rPr>
          <w:rFonts w:cs="Arial"/>
          <w:b/>
        </w:rPr>
        <w:t xml:space="preserve">Table </w:t>
      </w:r>
      <w:r w:rsidR="005E1202">
        <w:rPr>
          <w:rFonts w:cs="Arial"/>
          <w:b/>
        </w:rPr>
        <w:t>1</w:t>
      </w:r>
      <w:r w:rsidR="00FA1AB2">
        <w:rPr>
          <w:rFonts w:cs="Arial"/>
          <w:b/>
        </w:rPr>
        <w:t>2</w:t>
      </w:r>
      <w:r w:rsidRPr="005E1202">
        <w:rPr>
          <w:rFonts w:cs="Arial"/>
          <w:b/>
        </w:rPr>
        <w:t>. SURVEYOR-2 Part 3</w:t>
      </w:r>
      <w:r w:rsidR="00E556DC">
        <w:rPr>
          <w:rFonts w:cs="Arial"/>
          <w:b/>
        </w:rPr>
        <w:t xml:space="preserve"> </w:t>
      </w:r>
      <w:r w:rsidR="00E556DC" w:rsidRPr="00A4182C">
        <w:rPr>
          <w:rFonts w:cs="Arial"/>
          <w:b/>
        </w:rPr>
        <w:t>and EXPEDITION-8</w:t>
      </w:r>
      <w:r w:rsidRPr="00A4182C">
        <w:rPr>
          <w:rFonts w:cs="Arial"/>
          <w:b/>
        </w:rPr>
        <w:t xml:space="preserve">: SVR12 in </w:t>
      </w:r>
      <w:r w:rsidR="00F5309A" w:rsidRPr="00A4182C">
        <w:rPr>
          <w:rFonts w:cs="Arial"/>
          <w:b/>
        </w:rPr>
        <w:t>GT</w:t>
      </w:r>
      <w:r w:rsidRPr="00A4182C">
        <w:rPr>
          <w:rFonts w:cs="Arial"/>
          <w:b/>
        </w:rPr>
        <w:t xml:space="preserve">3-Infected </w:t>
      </w:r>
      <w:r w:rsidR="00FA1AB2" w:rsidRPr="00A4182C">
        <w:rPr>
          <w:rFonts w:cs="Arial"/>
          <w:b/>
        </w:rPr>
        <w:t xml:space="preserve">Adult </w:t>
      </w:r>
      <w:r w:rsidRPr="00A4182C">
        <w:rPr>
          <w:rFonts w:cs="Arial"/>
          <w:b/>
        </w:rPr>
        <w:t xml:space="preserve">Patients with or without </w:t>
      </w:r>
      <w:r w:rsidR="00150F86" w:rsidRPr="00A4182C">
        <w:rPr>
          <w:rFonts w:cs="Arial"/>
          <w:b/>
        </w:rPr>
        <w:t xml:space="preserve">Compensated </w:t>
      </w:r>
      <w:r w:rsidRPr="00A4182C">
        <w:rPr>
          <w:rFonts w:cs="Arial"/>
          <w:b/>
        </w:rPr>
        <w:t>Cirrhosis who Received the Recommended Duration</w:t>
      </w:r>
    </w:p>
    <w:tbl>
      <w:tblPr>
        <w:tblW w:w="96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31"/>
        <w:gridCol w:w="2226"/>
        <w:gridCol w:w="2700"/>
        <w:gridCol w:w="2814"/>
      </w:tblGrid>
      <w:tr w:rsidR="00A4182C" w:rsidRPr="00A4182C" w14:paraId="59FAB876" w14:textId="77777777" w:rsidTr="00493B75">
        <w:trPr>
          <w:jc w:val="center"/>
        </w:trPr>
        <w:tc>
          <w:tcPr>
            <w:tcW w:w="1931" w:type="dxa"/>
            <w:vMerge w:val="restart"/>
            <w:vAlign w:val="center"/>
          </w:tcPr>
          <w:p w14:paraId="4F6A9CA8" w14:textId="77777777" w:rsidR="00493B75" w:rsidRPr="00A4182C" w:rsidRDefault="00493B75" w:rsidP="00493B75">
            <w:pPr>
              <w:spacing w:before="60" w:after="60"/>
              <w:jc w:val="center"/>
              <w:rPr>
                <w:rFonts w:cs="Arial"/>
                <w:lang w:val="en-US"/>
              </w:rPr>
            </w:pPr>
          </w:p>
        </w:tc>
        <w:tc>
          <w:tcPr>
            <w:tcW w:w="2226" w:type="dxa"/>
            <w:vAlign w:val="center"/>
            <w:hideMark/>
          </w:tcPr>
          <w:p w14:paraId="4808BB30" w14:textId="77777777" w:rsidR="00493B75" w:rsidRPr="00A4182C" w:rsidRDefault="00DA6FE8" w:rsidP="00493B75">
            <w:pPr>
              <w:spacing w:before="60" w:after="60"/>
              <w:jc w:val="center"/>
              <w:rPr>
                <w:rFonts w:cs="Arial"/>
                <w:b/>
                <w:lang w:val="en-US"/>
              </w:rPr>
            </w:pPr>
            <w:r w:rsidRPr="00A4182C">
              <w:rPr>
                <w:rFonts w:cs="Arial"/>
                <w:b/>
                <w:lang w:val="en-US"/>
              </w:rPr>
              <w:t>TN</w:t>
            </w:r>
            <w:r w:rsidR="00493B75" w:rsidRPr="00A4182C">
              <w:rPr>
                <w:rFonts w:cs="Arial"/>
                <w:b/>
                <w:lang w:val="en-US"/>
              </w:rPr>
              <w:t xml:space="preserve"> with Cirrhosis</w:t>
            </w:r>
          </w:p>
        </w:tc>
        <w:tc>
          <w:tcPr>
            <w:tcW w:w="2700" w:type="dxa"/>
            <w:vAlign w:val="center"/>
            <w:hideMark/>
          </w:tcPr>
          <w:p w14:paraId="1201F855" w14:textId="0AB72CC4" w:rsidR="00493B75" w:rsidRPr="00A4182C" w:rsidRDefault="00F5309A" w:rsidP="00493B75">
            <w:pPr>
              <w:spacing w:before="60" w:after="60"/>
              <w:jc w:val="center"/>
              <w:rPr>
                <w:rFonts w:cs="Arial"/>
                <w:b/>
                <w:lang w:val="en-US"/>
              </w:rPr>
            </w:pPr>
            <w:r w:rsidRPr="00A4182C">
              <w:rPr>
                <w:rFonts w:cs="Arial"/>
                <w:b/>
                <w:lang w:val="en-US"/>
              </w:rPr>
              <w:t>PRS-</w:t>
            </w:r>
            <w:r w:rsidR="00DA6FE8" w:rsidRPr="00A4182C">
              <w:rPr>
                <w:rFonts w:cs="Arial"/>
                <w:b/>
                <w:lang w:val="en-US"/>
              </w:rPr>
              <w:t>TE</w:t>
            </w:r>
            <w:r w:rsidR="00493B75" w:rsidRPr="00A4182C">
              <w:rPr>
                <w:rFonts w:cs="Arial"/>
                <w:b/>
                <w:lang w:val="en-US"/>
              </w:rPr>
              <w:t xml:space="preserve"> with Cirrhosis</w:t>
            </w:r>
          </w:p>
        </w:tc>
        <w:tc>
          <w:tcPr>
            <w:tcW w:w="2814" w:type="dxa"/>
            <w:vAlign w:val="center"/>
          </w:tcPr>
          <w:p w14:paraId="70A08AD3" w14:textId="6ADF466A" w:rsidR="00493B75" w:rsidRPr="00A4182C" w:rsidRDefault="00F5309A" w:rsidP="00493B75">
            <w:pPr>
              <w:spacing w:before="60" w:after="60"/>
              <w:jc w:val="center"/>
              <w:rPr>
                <w:rFonts w:cs="Arial"/>
                <w:b/>
                <w:lang w:val="en-US"/>
              </w:rPr>
            </w:pPr>
            <w:r w:rsidRPr="00A4182C">
              <w:rPr>
                <w:rFonts w:cs="Arial"/>
                <w:b/>
                <w:lang w:val="en-US"/>
              </w:rPr>
              <w:t>PRS-</w:t>
            </w:r>
            <w:r w:rsidR="00DA6FE8" w:rsidRPr="00A4182C">
              <w:rPr>
                <w:rFonts w:cs="Arial"/>
                <w:b/>
                <w:lang w:val="en-US"/>
              </w:rPr>
              <w:t>TE</w:t>
            </w:r>
            <w:r w:rsidR="00493B75" w:rsidRPr="00A4182C">
              <w:rPr>
                <w:rFonts w:cs="Arial"/>
                <w:b/>
                <w:lang w:val="en-US"/>
              </w:rPr>
              <w:t xml:space="preserve"> without Cirrhosis</w:t>
            </w:r>
          </w:p>
        </w:tc>
      </w:tr>
      <w:tr w:rsidR="00A4182C" w:rsidRPr="00A4182C" w14:paraId="164809A1" w14:textId="77777777" w:rsidTr="00493B75">
        <w:trPr>
          <w:jc w:val="center"/>
        </w:trPr>
        <w:tc>
          <w:tcPr>
            <w:tcW w:w="1931" w:type="dxa"/>
            <w:vMerge/>
            <w:vAlign w:val="center"/>
          </w:tcPr>
          <w:p w14:paraId="028371CB" w14:textId="77777777" w:rsidR="00493B75" w:rsidRPr="00A4182C" w:rsidRDefault="00493B75" w:rsidP="00493B75">
            <w:pPr>
              <w:spacing w:before="60" w:after="60"/>
              <w:jc w:val="center"/>
              <w:rPr>
                <w:rFonts w:cs="Arial"/>
                <w:lang w:val="en-US"/>
              </w:rPr>
            </w:pPr>
          </w:p>
        </w:tc>
        <w:tc>
          <w:tcPr>
            <w:tcW w:w="2226" w:type="dxa"/>
            <w:vAlign w:val="center"/>
            <w:hideMark/>
          </w:tcPr>
          <w:p w14:paraId="07B133F1" w14:textId="77777777" w:rsidR="00493B75" w:rsidRPr="00A4182C" w:rsidRDefault="00493B75" w:rsidP="00493B75">
            <w:pPr>
              <w:spacing w:before="60" w:after="60"/>
              <w:jc w:val="center"/>
              <w:rPr>
                <w:rFonts w:cs="Arial"/>
                <w:b/>
                <w:lang w:val="en-US"/>
              </w:rPr>
            </w:pPr>
            <w:r w:rsidRPr="00A4182C">
              <w:rPr>
                <w:rFonts w:cs="Arial"/>
                <w:b/>
                <w:lang w:val="en-US"/>
              </w:rPr>
              <w:t>MAVIRET</w:t>
            </w:r>
          </w:p>
          <w:p w14:paraId="34226B10" w14:textId="3D3A33CF" w:rsidR="00493B75" w:rsidRPr="00A4182C" w:rsidRDefault="00E556DC" w:rsidP="00493B75">
            <w:pPr>
              <w:spacing w:before="60" w:after="60"/>
              <w:jc w:val="center"/>
              <w:rPr>
                <w:rFonts w:cs="Arial"/>
                <w:b/>
                <w:lang w:val="en-US"/>
              </w:rPr>
            </w:pPr>
            <w:r w:rsidRPr="00A4182C">
              <w:rPr>
                <w:rFonts w:cs="Arial"/>
                <w:b/>
                <w:lang w:val="en-US"/>
              </w:rPr>
              <w:t xml:space="preserve">8 </w:t>
            </w:r>
            <w:r w:rsidR="00493B75" w:rsidRPr="00A4182C">
              <w:rPr>
                <w:rFonts w:cs="Arial"/>
                <w:b/>
                <w:lang w:val="en-US"/>
              </w:rPr>
              <w:t>weeks</w:t>
            </w:r>
          </w:p>
          <w:p w14:paraId="27720C5D" w14:textId="11272533" w:rsidR="00493B75" w:rsidRPr="00A4182C" w:rsidRDefault="00493B75" w:rsidP="00493B75">
            <w:pPr>
              <w:spacing w:before="60" w:after="60"/>
              <w:jc w:val="center"/>
              <w:rPr>
                <w:rFonts w:cs="Arial"/>
                <w:b/>
                <w:lang w:val="en-US"/>
              </w:rPr>
            </w:pPr>
            <w:r w:rsidRPr="00A4182C">
              <w:rPr>
                <w:rFonts w:cs="Arial"/>
                <w:b/>
                <w:lang w:val="en-US"/>
              </w:rPr>
              <w:t>(</w:t>
            </w:r>
            <w:r w:rsidR="005F5DF1" w:rsidRPr="00A4182C">
              <w:rPr>
                <w:rFonts w:cs="Arial"/>
                <w:b/>
                <w:lang w:val="en-US"/>
              </w:rPr>
              <w:t>n</w:t>
            </w:r>
            <w:r w:rsidRPr="00A4182C">
              <w:rPr>
                <w:rFonts w:cs="Arial"/>
                <w:b/>
                <w:lang w:val="en-US"/>
              </w:rPr>
              <w:t>=</w:t>
            </w:r>
            <w:r w:rsidR="00E556DC" w:rsidRPr="00A4182C">
              <w:rPr>
                <w:rFonts w:cs="Arial"/>
                <w:b/>
                <w:lang w:val="en-US"/>
              </w:rPr>
              <w:t>63</w:t>
            </w:r>
            <w:r w:rsidRPr="00A4182C">
              <w:rPr>
                <w:rFonts w:cs="Arial"/>
                <w:b/>
                <w:lang w:val="en-US"/>
              </w:rPr>
              <w:t>)</w:t>
            </w:r>
          </w:p>
        </w:tc>
        <w:tc>
          <w:tcPr>
            <w:tcW w:w="2700" w:type="dxa"/>
            <w:vAlign w:val="center"/>
            <w:hideMark/>
          </w:tcPr>
          <w:p w14:paraId="5D5101EB" w14:textId="77777777" w:rsidR="00493B75" w:rsidRPr="00A4182C" w:rsidRDefault="00493B75" w:rsidP="00493B75">
            <w:pPr>
              <w:spacing w:before="60" w:after="60"/>
              <w:jc w:val="center"/>
              <w:rPr>
                <w:rFonts w:cs="Arial"/>
                <w:b/>
                <w:lang w:val="en-US"/>
              </w:rPr>
            </w:pPr>
            <w:r w:rsidRPr="00A4182C">
              <w:rPr>
                <w:rFonts w:cs="Arial"/>
                <w:b/>
                <w:lang w:val="en-US"/>
              </w:rPr>
              <w:t>MAVIRET</w:t>
            </w:r>
          </w:p>
          <w:p w14:paraId="07C38A6D" w14:textId="77777777" w:rsidR="00493B75" w:rsidRPr="00A4182C" w:rsidRDefault="00493B75" w:rsidP="00493B75">
            <w:pPr>
              <w:spacing w:before="60" w:after="60"/>
              <w:jc w:val="center"/>
              <w:rPr>
                <w:rFonts w:cs="Arial"/>
                <w:b/>
                <w:lang w:val="en-US"/>
              </w:rPr>
            </w:pPr>
            <w:r w:rsidRPr="00A4182C">
              <w:rPr>
                <w:rFonts w:cs="Arial"/>
                <w:b/>
                <w:lang w:val="en-US"/>
              </w:rPr>
              <w:t>16 weeks</w:t>
            </w:r>
          </w:p>
          <w:p w14:paraId="73A21E8F" w14:textId="25CADAD7" w:rsidR="00493B75" w:rsidRPr="00A4182C" w:rsidRDefault="00493B75" w:rsidP="00493B75">
            <w:pPr>
              <w:spacing w:before="60" w:after="60"/>
              <w:jc w:val="center"/>
              <w:rPr>
                <w:rFonts w:cs="Arial"/>
                <w:b/>
                <w:lang w:val="en-US"/>
              </w:rPr>
            </w:pPr>
            <w:r w:rsidRPr="00A4182C">
              <w:rPr>
                <w:rFonts w:cs="Arial"/>
                <w:b/>
                <w:lang w:val="en-US"/>
              </w:rPr>
              <w:t>(</w:t>
            </w:r>
            <w:r w:rsidR="005F5DF1" w:rsidRPr="00A4182C">
              <w:rPr>
                <w:rFonts w:cs="Arial"/>
                <w:b/>
                <w:lang w:val="en-US"/>
              </w:rPr>
              <w:t>n</w:t>
            </w:r>
            <w:r w:rsidRPr="00A4182C">
              <w:rPr>
                <w:rFonts w:cs="Arial"/>
                <w:b/>
                <w:lang w:val="en-US"/>
              </w:rPr>
              <w:t>=47)</w:t>
            </w:r>
          </w:p>
        </w:tc>
        <w:tc>
          <w:tcPr>
            <w:tcW w:w="2814" w:type="dxa"/>
            <w:vAlign w:val="center"/>
          </w:tcPr>
          <w:p w14:paraId="2D7B3F2C" w14:textId="77777777" w:rsidR="00493B75" w:rsidRPr="00A4182C" w:rsidRDefault="00493B75" w:rsidP="00493B75">
            <w:pPr>
              <w:spacing w:before="60" w:after="60"/>
              <w:jc w:val="center"/>
              <w:rPr>
                <w:rFonts w:cs="Arial"/>
                <w:b/>
                <w:lang w:val="en-US"/>
              </w:rPr>
            </w:pPr>
            <w:r w:rsidRPr="00A4182C">
              <w:rPr>
                <w:rFonts w:cs="Arial"/>
                <w:b/>
                <w:lang w:val="en-US"/>
              </w:rPr>
              <w:t>MAVIRET</w:t>
            </w:r>
          </w:p>
          <w:p w14:paraId="6C335220" w14:textId="77777777" w:rsidR="00493B75" w:rsidRPr="00A4182C" w:rsidRDefault="00493B75" w:rsidP="00493B75">
            <w:pPr>
              <w:spacing w:before="60" w:after="60"/>
              <w:jc w:val="center"/>
              <w:rPr>
                <w:rFonts w:cs="Arial"/>
                <w:b/>
                <w:lang w:val="en-US"/>
              </w:rPr>
            </w:pPr>
            <w:r w:rsidRPr="00A4182C">
              <w:rPr>
                <w:rFonts w:cs="Arial"/>
                <w:b/>
                <w:lang w:val="en-US"/>
              </w:rPr>
              <w:t>16 weeks</w:t>
            </w:r>
          </w:p>
          <w:p w14:paraId="07E278FC" w14:textId="723A1E41" w:rsidR="00493B75" w:rsidRPr="00A4182C" w:rsidRDefault="00493B75" w:rsidP="00493B75">
            <w:pPr>
              <w:spacing w:before="60" w:after="60"/>
              <w:jc w:val="center"/>
              <w:rPr>
                <w:rFonts w:cs="Arial"/>
                <w:b/>
                <w:lang w:val="en-US"/>
              </w:rPr>
            </w:pPr>
            <w:r w:rsidRPr="00A4182C">
              <w:rPr>
                <w:rFonts w:cs="Arial"/>
                <w:b/>
                <w:lang w:val="en-US"/>
              </w:rPr>
              <w:t>(</w:t>
            </w:r>
            <w:r w:rsidR="005F5DF1" w:rsidRPr="00A4182C">
              <w:rPr>
                <w:rFonts w:cs="Arial"/>
                <w:b/>
                <w:lang w:val="en-US"/>
              </w:rPr>
              <w:t>n</w:t>
            </w:r>
            <w:r w:rsidRPr="00A4182C">
              <w:rPr>
                <w:rFonts w:cs="Arial"/>
                <w:b/>
                <w:lang w:val="en-US"/>
              </w:rPr>
              <w:t>=22)</w:t>
            </w:r>
          </w:p>
        </w:tc>
      </w:tr>
      <w:tr w:rsidR="00A4182C" w:rsidRPr="00A4182C" w14:paraId="486B744C" w14:textId="77777777" w:rsidTr="00493B75">
        <w:trPr>
          <w:jc w:val="center"/>
        </w:trPr>
        <w:tc>
          <w:tcPr>
            <w:tcW w:w="1931" w:type="dxa"/>
            <w:vAlign w:val="center"/>
            <w:hideMark/>
          </w:tcPr>
          <w:p w14:paraId="64A63429" w14:textId="77777777" w:rsidR="00493B75" w:rsidRPr="00A4182C" w:rsidRDefault="00493B75" w:rsidP="00493B75">
            <w:pPr>
              <w:spacing w:before="60" w:after="60"/>
              <w:jc w:val="center"/>
              <w:rPr>
                <w:rFonts w:cs="Arial"/>
                <w:b/>
                <w:lang w:val="en-US"/>
              </w:rPr>
            </w:pPr>
            <w:r w:rsidRPr="00A4182C">
              <w:rPr>
                <w:rFonts w:cs="Arial"/>
                <w:b/>
                <w:lang w:val="en-US"/>
              </w:rPr>
              <w:t>SVR</w:t>
            </w:r>
          </w:p>
        </w:tc>
        <w:tc>
          <w:tcPr>
            <w:tcW w:w="2226" w:type="dxa"/>
            <w:vAlign w:val="center"/>
            <w:hideMark/>
          </w:tcPr>
          <w:p w14:paraId="572BFE75" w14:textId="73ECE934" w:rsidR="00493B75" w:rsidRPr="00A4182C" w:rsidRDefault="00E556DC" w:rsidP="00493B75">
            <w:pPr>
              <w:spacing w:before="60" w:after="60"/>
              <w:jc w:val="center"/>
              <w:rPr>
                <w:rFonts w:cs="Arial"/>
                <w:lang w:val="en-US"/>
              </w:rPr>
            </w:pPr>
            <w:r w:rsidRPr="00A4182C">
              <w:rPr>
                <w:rFonts w:cs="Arial"/>
                <w:lang w:val="en-US"/>
              </w:rPr>
              <w:t>95.2</w:t>
            </w:r>
            <w:r w:rsidR="00493B75" w:rsidRPr="00A4182C">
              <w:rPr>
                <w:rFonts w:cs="Arial"/>
                <w:lang w:val="en-US"/>
              </w:rPr>
              <w:t>% (</w:t>
            </w:r>
            <w:r w:rsidRPr="00A4182C">
              <w:rPr>
                <w:rFonts w:cs="Arial"/>
                <w:lang w:val="en-US"/>
              </w:rPr>
              <w:t>60</w:t>
            </w:r>
            <w:r w:rsidR="00493B75" w:rsidRPr="00A4182C">
              <w:rPr>
                <w:rFonts w:cs="Arial"/>
                <w:lang w:val="en-US"/>
              </w:rPr>
              <w:t>/</w:t>
            </w:r>
            <w:r w:rsidRPr="00A4182C">
              <w:rPr>
                <w:rFonts w:cs="Arial"/>
                <w:lang w:val="en-US"/>
              </w:rPr>
              <w:t>63</w:t>
            </w:r>
            <w:r w:rsidR="00493B75" w:rsidRPr="00A4182C">
              <w:rPr>
                <w:rFonts w:cs="Arial"/>
                <w:lang w:val="en-US"/>
              </w:rPr>
              <w:t>)</w:t>
            </w:r>
          </w:p>
        </w:tc>
        <w:tc>
          <w:tcPr>
            <w:tcW w:w="2700" w:type="dxa"/>
            <w:vAlign w:val="center"/>
            <w:hideMark/>
          </w:tcPr>
          <w:p w14:paraId="4DCDA81E" w14:textId="77777777" w:rsidR="00493B75" w:rsidRPr="00A4182C" w:rsidRDefault="00493B75" w:rsidP="00493B75">
            <w:pPr>
              <w:spacing w:before="60" w:after="60"/>
              <w:jc w:val="center"/>
              <w:rPr>
                <w:rFonts w:cs="Arial"/>
                <w:lang w:val="en-US"/>
              </w:rPr>
            </w:pPr>
            <w:r w:rsidRPr="00A4182C">
              <w:rPr>
                <w:rFonts w:cs="Arial"/>
                <w:lang w:val="en-US"/>
              </w:rPr>
              <w:t>95.7% (45/47)</w:t>
            </w:r>
          </w:p>
        </w:tc>
        <w:tc>
          <w:tcPr>
            <w:tcW w:w="2814" w:type="dxa"/>
            <w:vAlign w:val="center"/>
          </w:tcPr>
          <w:p w14:paraId="65B76A07" w14:textId="77777777" w:rsidR="00493B75" w:rsidRPr="00A4182C" w:rsidRDefault="00493B75" w:rsidP="00493B75">
            <w:pPr>
              <w:spacing w:before="60" w:after="60"/>
              <w:jc w:val="center"/>
              <w:rPr>
                <w:rFonts w:cs="Arial"/>
                <w:lang w:val="en-US"/>
              </w:rPr>
            </w:pPr>
            <w:r w:rsidRPr="00A4182C">
              <w:rPr>
                <w:rFonts w:cs="Arial"/>
                <w:lang w:val="en-US"/>
              </w:rPr>
              <w:t>95.5% (21/22)</w:t>
            </w:r>
          </w:p>
        </w:tc>
      </w:tr>
      <w:tr w:rsidR="00A4182C" w:rsidRPr="00A4182C" w14:paraId="4713A06F" w14:textId="77777777" w:rsidTr="00493B75">
        <w:trPr>
          <w:jc w:val="center"/>
        </w:trPr>
        <w:tc>
          <w:tcPr>
            <w:tcW w:w="9671" w:type="dxa"/>
            <w:gridSpan w:val="4"/>
            <w:vAlign w:val="center"/>
          </w:tcPr>
          <w:p w14:paraId="5D5954B6" w14:textId="77777777" w:rsidR="00493B75" w:rsidRPr="00A4182C" w:rsidRDefault="00493B75" w:rsidP="00493B75">
            <w:pPr>
              <w:spacing w:before="60" w:after="60"/>
              <w:jc w:val="center"/>
              <w:rPr>
                <w:rFonts w:cs="Arial"/>
                <w:b/>
                <w:lang w:val="en-US"/>
              </w:rPr>
            </w:pPr>
            <w:r w:rsidRPr="00A4182C">
              <w:rPr>
                <w:rFonts w:cs="Arial"/>
                <w:b/>
                <w:lang w:val="en-US"/>
              </w:rPr>
              <w:t>Outcome for patients without SVR12</w:t>
            </w:r>
          </w:p>
        </w:tc>
      </w:tr>
      <w:tr w:rsidR="00A4182C" w:rsidRPr="00A4182C" w14:paraId="71B27938" w14:textId="77777777" w:rsidTr="00493B75">
        <w:trPr>
          <w:jc w:val="center"/>
        </w:trPr>
        <w:tc>
          <w:tcPr>
            <w:tcW w:w="1931" w:type="dxa"/>
            <w:vAlign w:val="center"/>
            <w:hideMark/>
          </w:tcPr>
          <w:p w14:paraId="56FEA5C1" w14:textId="77777777" w:rsidR="00493B75" w:rsidRPr="00A4182C" w:rsidRDefault="00493B75" w:rsidP="00493B75">
            <w:pPr>
              <w:spacing w:before="60" w:after="60"/>
              <w:jc w:val="center"/>
              <w:rPr>
                <w:rFonts w:cs="Arial"/>
                <w:lang w:val="en-US"/>
              </w:rPr>
            </w:pPr>
            <w:r w:rsidRPr="00A4182C">
              <w:rPr>
                <w:rFonts w:cs="Arial"/>
                <w:lang w:val="en-US"/>
              </w:rPr>
              <w:t>On-treatment VF</w:t>
            </w:r>
          </w:p>
        </w:tc>
        <w:tc>
          <w:tcPr>
            <w:tcW w:w="2226" w:type="dxa"/>
            <w:vAlign w:val="center"/>
          </w:tcPr>
          <w:p w14:paraId="0229B861" w14:textId="62BB648D" w:rsidR="00493B75" w:rsidRPr="00A4182C" w:rsidRDefault="00493B75" w:rsidP="00493B75">
            <w:pPr>
              <w:spacing w:before="60" w:after="60"/>
              <w:jc w:val="center"/>
              <w:rPr>
                <w:rFonts w:cs="Arial"/>
                <w:lang w:val="en-US"/>
              </w:rPr>
            </w:pPr>
            <w:r w:rsidRPr="00A4182C">
              <w:rPr>
                <w:rFonts w:cs="Arial"/>
                <w:lang w:val="en-US"/>
              </w:rPr>
              <w:t>0% (0/</w:t>
            </w:r>
            <w:r w:rsidR="00E556DC" w:rsidRPr="00A4182C">
              <w:rPr>
                <w:rFonts w:cs="Arial"/>
                <w:lang w:val="en-US"/>
              </w:rPr>
              <w:t>63</w:t>
            </w:r>
            <w:r w:rsidRPr="00A4182C">
              <w:rPr>
                <w:rFonts w:cs="Arial"/>
                <w:lang w:val="en-US"/>
              </w:rPr>
              <w:t>)</w:t>
            </w:r>
          </w:p>
        </w:tc>
        <w:tc>
          <w:tcPr>
            <w:tcW w:w="2700" w:type="dxa"/>
            <w:vAlign w:val="center"/>
            <w:hideMark/>
          </w:tcPr>
          <w:p w14:paraId="15931DDC" w14:textId="77777777" w:rsidR="00493B75" w:rsidRPr="00A4182C" w:rsidRDefault="00493B75" w:rsidP="00493B75">
            <w:pPr>
              <w:spacing w:before="60" w:after="60"/>
              <w:jc w:val="center"/>
              <w:rPr>
                <w:rFonts w:cs="Arial"/>
                <w:lang w:val="en-US"/>
              </w:rPr>
            </w:pPr>
            <w:r w:rsidRPr="00A4182C">
              <w:rPr>
                <w:rFonts w:cs="Arial"/>
                <w:lang w:val="en-US"/>
              </w:rPr>
              <w:t>2.1% (1/47)</w:t>
            </w:r>
          </w:p>
        </w:tc>
        <w:tc>
          <w:tcPr>
            <w:tcW w:w="2814" w:type="dxa"/>
            <w:vAlign w:val="center"/>
          </w:tcPr>
          <w:p w14:paraId="47ED3260" w14:textId="77777777" w:rsidR="00493B75" w:rsidRPr="00A4182C" w:rsidRDefault="00493B75" w:rsidP="00493B75">
            <w:pPr>
              <w:spacing w:before="60" w:after="60"/>
              <w:jc w:val="center"/>
              <w:rPr>
                <w:rFonts w:cs="Arial"/>
                <w:lang w:val="en-US"/>
              </w:rPr>
            </w:pPr>
            <w:r w:rsidRPr="00A4182C">
              <w:rPr>
                <w:rFonts w:cs="Arial"/>
                <w:lang w:val="en-US"/>
              </w:rPr>
              <w:t>0% (0/22)</w:t>
            </w:r>
          </w:p>
        </w:tc>
      </w:tr>
      <w:tr w:rsidR="00A4182C" w:rsidRPr="00A4182C" w14:paraId="484C4E84" w14:textId="77777777" w:rsidTr="00493B75">
        <w:trPr>
          <w:jc w:val="center"/>
        </w:trPr>
        <w:tc>
          <w:tcPr>
            <w:tcW w:w="1931" w:type="dxa"/>
            <w:vAlign w:val="center"/>
            <w:hideMark/>
          </w:tcPr>
          <w:p w14:paraId="66E14C35" w14:textId="77777777" w:rsidR="00493B75" w:rsidRPr="00A4182C" w:rsidRDefault="00493B75" w:rsidP="00287988">
            <w:pPr>
              <w:spacing w:before="60" w:after="60"/>
              <w:jc w:val="center"/>
              <w:rPr>
                <w:rFonts w:cs="Arial"/>
                <w:lang w:val="en-US"/>
              </w:rPr>
            </w:pPr>
            <w:proofErr w:type="spellStart"/>
            <w:r w:rsidRPr="00A4182C">
              <w:rPr>
                <w:rFonts w:cs="Arial"/>
                <w:lang w:val="en-US"/>
              </w:rPr>
              <w:t>Relapse</w:t>
            </w:r>
            <w:r w:rsidR="00287988" w:rsidRPr="00A4182C">
              <w:rPr>
                <w:rFonts w:cs="Arial"/>
                <w:vertAlign w:val="superscript"/>
                <w:lang w:val="en-US"/>
              </w:rPr>
              <w:t>a</w:t>
            </w:r>
            <w:proofErr w:type="spellEnd"/>
          </w:p>
        </w:tc>
        <w:tc>
          <w:tcPr>
            <w:tcW w:w="2226" w:type="dxa"/>
            <w:vAlign w:val="center"/>
          </w:tcPr>
          <w:p w14:paraId="6C3578A0" w14:textId="0050746E" w:rsidR="00493B75" w:rsidRPr="00A4182C" w:rsidRDefault="00E556DC" w:rsidP="00493B75">
            <w:pPr>
              <w:spacing w:before="60" w:after="60"/>
              <w:jc w:val="center"/>
              <w:rPr>
                <w:rFonts w:cs="Arial"/>
                <w:lang w:val="en-US"/>
              </w:rPr>
            </w:pPr>
            <w:r w:rsidRPr="00A4182C">
              <w:rPr>
                <w:rFonts w:cs="Arial"/>
                <w:lang w:val="en-US"/>
              </w:rPr>
              <w:t>1.6</w:t>
            </w:r>
            <w:r w:rsidR="00493B75" w:rsidRPr="00A4182C">
              <w:rPr>
                <w:rFonts w:cs="Arial"/>
                <w:lang w:val="en-US"/>
              </w:rPr>
              <w:t>% (</w:t>
            </w:r>
            <w:r w:rsidRPr="00A4182C">
              <w:rPr>
                <w:rFonts w:cs="Arial"/>
                <w:lang w:val="en-US"/>
              </w:rPr>
              <w:t>1/62</w:t>
            </w:r>
            <w:r w:rsidR="00493B75" w:rsidRPr="00A4182C">
              <w:rPr>
                <w:rFonts w:cs="Arial"/>
                <w:lang w:val="en-US"/>
              </w:rPr>
              <w:t>)</w:t>
            </w:r>
          </w:p>
        </w:tc>
        <w:tc>
          <w:tcPr>
            <w:tcW w:w="2700" w:type="dxa"/>
            <w:vAlign w:val="center"/>
            <w:hideMark/>
          </w:tcPr>
          <w:p w14:paraId="5A617721" w14:textId="77777777" w:rsidR="00493B75" w:rsidRPr="00A4182C" w:rsidRDefault="00493B75" w:rsidP="00493B75">
            <w:pPr>
              <w:spacing w:before="60" w:after="60"/>
              <w:jc w:val="center"/>
              <w:rPr>
                <w:rFonts w:cs="Arial"/>
                <w:lang w:val="en-US"/>
              </w:rPr>
            </w:pPr>
            <w:r w:rsidRPr="00A4182C">
              <w:rPr>
                <w:rFonts w:cs="Arial"/>
                <w:lang w:val="en-US"/>
              </w:rPr>
              <w:t>2.2% (1/46)</w:t>
            </w:r>
          </w:p>
        </w:tc>
        <w:tc>
          <w:tcPr>
            <w:tcW w:w="2814" w:type="dxa"/>
            <w:vAlign w:val="center"/>
          </w:tcPr>
          <w:p w14:paraId="68240121" w14:textId="77777777" w:rsidR="00493B75" w:rsidRPr="00A4182C" w:rsidRDefault="00493B75" w:rsidP="00493B75">
            <w:pPr>
              <w:spacing w:before="60" w:after="60"/>
              <w:jc w:val="center"/>
              <w:rPr>
                <w:rFonts w:cs="Arial"/>
                <w:lang w:val="en-US"/>
              </w:rPr>
            </w:pPr>
            <w:r w:rsidRPr="00A4182C">
              <w:rPr>
                <w:rFonts w:cs="Arial"/>
                <w:lang w:val="en-US"/>
              </w:rPr>
              <w:t>4.5% (1/22)</w:t>
            </w:r>
          </w:p>
        </w:tc>
      </w:tr>
      <w:tr w:rsidR="00A4182C" w:rsidRPr="00A4182C" w14:paraId="0EDEE737" w14:textId="77777777" w:rsidTr="00493B75">
        <w:trPr>
          <w:jc w:val="center"/>
        </w:trPr>
        <w:tc>
          <w:tcPr>
            <w:tcW w:w="1931" w:type="dxa"/>
            <w:vAlign w:val="center"/>
            <w:hideMark/>
          </w:tcPr>
          <w:p w14:paraId="326CFDA3" w14:textId="77777777" w:rsidR="00493B75" w:rsidRPr="00A4182C" w:rsidRDefault="00493B75" w:rsidP="00287988">
            <w:pPr>
              <w:spacing w:before="60" w:after="60"/>
              <w:jc w:val="center"/>
              <w:rPr>
                <w:rFonts w:cs="Arial"/>
                <w:lang w:val="en-US"/>
              </w:rPr>
            </w:pPr>
            <w:proofErr w:type="spellStart"/>
            <w:r w:rsidRPr="00A4182C">
              <w:rPr>
                <w:rFonts w:cs="Arial"/>
                <w:lang w:val="en-US"/>
              </w:rPr>
              <w:t>Other</w:t>
            </w:r>
            <w:r w:rsidR="00287988" w:rsidRPr="00A4182C">
              <w:rPr>
                <w:rFonts w:cs="Arial"/>
                <w:vertAlign w:val="superscript"/>
                <w:lang w:val="en-US"/>
              </w:rPr>
              <w:t>b</w:t>
            </w:r>
            <w:proofErr w:type="spellEnd"/>
          </w:p>
        </w:tc>
        <w:tc>
          <w:tcPr>
            <w:tcW w:w="2226" w:type="dxa"/>
            <w:vAlign w:val="center"/>
          </w:tcPr>
          <w:p w14:paraId="1A4B2E55" w14:textId="2CA10163" w:rsidR="00493B75" w:rsidRPr="00A4182C" w:rsidRDefault="00E556DC" w:rsidP="00493B75">
            <w:pPr>
              <w:spacing w:before="60" w:after="60"/>
              <w:jc w:val="center"/>
              <w:rPr>
                <w:rFonts w:cs="Arial"/>
                <w:lang w:val="en-US"/>
              </w:rPr>
            </w:pPr>
            <w:r w:rsidRPr="00A4182C">
              <w:rPr>
                <w:rFonts w:cs="Arial"/>
                <w:lang w:val="en-US"/>
              </w:rPr>
              <w:t>3.2</w:t>
            </w:r>
            <w:r w:rsidR="00493B75" w:rsidRPr="00A4182C">
              <w:rPr>
                <w:rFonts w:cs="Arial"/>
                <w:lang w:val="en-US"/>
              </w:rPr>
              <w:t>% (</w:t>
            </w:r>
            <w:r w:rsidRPr="00A4182C">
              <w:rPr>
                <w:rFonts w:cs="Arial"/>
                <w:lang w:val="en-US"/>
              </w:rPr>
              <w:t>2</w:t>
            </w:r>
            <w:r w:rsidR="00493B75" w:rsidRPr="00A4182C">
              <w:rPr>
                <w:rFonts w:cs="Arial"/>
                <w:lang w:val="en-US"/>
              </w:rPr>
              <w:t>/</w:t>
            </w:r>
            <w:r w:rsidRPr="00A4182C">
              <w:rPr>
                <w:rFonts w:cs="Arial"/>
                <w:lang w:val="en-US"/>
              </w:rPr>
              <w:t>63</w:t>
            </w:r>
            <w:r w:rsidR="00493B75" w:rsidRPr="00A4182C">
              <w:rPr>
                <w:rFonts w:cs="Arial"/>
                <w:lang w:val="en-US"/>
              </w:rPr>
              <w:t>)</w:t>
            </w:r>
          </w:p>
        </w:tc>
        <w:tc>
          <w:tcPr>
            <w:tcW w:w="2700" w:type="dxa"/>
            <w:vAlign w:val="center"/>
            <w:hideMark/>
          </w:tcPr>
          <w:p w14:paraId="513D3DBB" w14:textId="77777777" w:rsidR="00493B75" w:rsidRPr="00A4182C" w:rsidRDefault="00493B75" w:rsidP="00493B75">
            <w:pPr>
              <w:spacing w:before="60" w:after="60"/>
              <w:jc w:val="center"/>
              <w:rPr>
                <w:rFonts w:cs="Arial"/>
                <w:lang w:val="en-US"/>
              </w:rPr>
            </w:pPr>
            <w:r w:rsidRPr="00A4182C">
              <w:rPr>
                <w:rFonts w:cs="Arial"/>
                <w:lang w:val="en-US"/>
              </w:rPr>
              <w:t>0% (0/47)</w:t>
            </w:r>
          </w:p>
        </w:tc>
        <w:tc>
          <w:tcPr>
            <w:tcW w:w="2814" w:type="dxa"/>
            <w:vAlign w:val="center"/>
          </w:tcPr>
          <w:p w14:paraId="35761A62" w14:textId="77777777" w:rsidR="00493B75" w:rsidRPr="00A4182C" w:rsidRDefault="00493B75" w:rsidP="00493B75">
            <w:pPr>
              <w:spacing w:before="60" w:after="60"/>
              <w:jc w:val="center"/>
              <w:rPr>
                <w:rFonts w:cs="Arial"/>
                <w:lang w:val="en-US"/>
              </w:rPr>
            </w:pPr>
            <w:r w:rsidRPr="00A4182C">
              <w:rPr>
                <w:rFonts w:cs="Arial"/>
                <w:lang w:val="en-US"/>
              </w:rPr>
              <w:t>0% (0/22)</w:t>
            </w:r>
          </w:p>
        </w:tc>
      </w:tr>
      <w:tr w:rsidR="00493B75" w:rsidRPr="005E1202" w14:paraId="649ED60F" w14:textId="77777777" w:rsidTr="00493B75">
        <w:trPr>
          <w:jc w:val="center"/>
        </w:trPr>
        <w:tc>
          <w:tcPr>
            <w:tcW w:w="9671" w:type="dxa"/>
            <w:gridSpan w:val="4"/>
            <w:tcBorders>
              <w:left w:val="nil"/>
              <w:bottom w:val="nil"/>
              <w:right w:val="nil"/>
            </w:tcBorders>
            <w:vAlign w:val="center"/>
          </w:tcPr>
          <w:p w14:paraId="1858D2A5" w14:textId="77777777" w:rsidR="00493B75" w:rsidRPr="005E1202" w:rsidRDefault="00287988" w:rsidP="00493B75">
            <w:pPr>
              <w:spacing w:before="60" w:after="60"/>
              <w:ind w:left="180" w:hanging="180"/>
              <w:rPr>
                <w:rFonts w:cs="Arial"/>
                <w:sz w:val="20"/>
              </w:rPr>
            </w:pPr>
            <w:r w:rsidRPr="00287988">
              <w:rPr>
                <w:rFonts w:cs="Arial"/>
                <w:sz w:val="20"/>
                <w:vertAlign w:val="superscript"/>
              </w:rPr>
              <w:lastRenderedPageBreak/>
              <w:t>a.</w:t>
            </w:r>
            <w:r w:rsidRPr="005E1202">
              <w:rPr>
                <w:rFonts w:cs="Arial"/>
                <w:sz w:val="20"/>
              </w:rPr>
              <w:t xml:space="preserve"> </w:t>
            </w:r>
            <w:r w:rsidR="00493B75" w:rsidRPr="005E1202">
              <w:rPr>
                <w:rFonts w:cs="Arial"/>
                <w:sz w:val="20"/>
              </w:rPr>
              <w:t>Relapse is defined as HCV RNA ≥ LLOQ after end-of-treatment response among those who completed treatment.</w:t>
            </w:r>
          </w:p>
          <w:p w14:paraId="2295B71F" w14:textId="77777777" w:rsidR="00493B75" w:rsidRPr="005E1202" w:rsidRDefault="00287988" w:rsidP="00493B75">
            <w:pPr>
              <w:spacing w:before="60" w:after="60"/>
              <w:ind w:left="180" w:hanging="180"/>
              <w:rPr>
                <w:rFonts w:cs="Arial"/>
                <w:sz w:val="20"/>
              </w:rPr>
            </w:pPr>
            <w:r w:rsidRPr="00287988">
              <w:rPr>
                <w:rFonts w:cs="Arial"/>
                <w:sz w:val="20"/>
                <w:vertAlign w:val="superscript"/>
              </w:rPr>
              <w:t>b.</w:t>
            </w:r>
            <w:r w:rsidRPr="005E1202">
              <w:rPr>
                <w:rFonts w:cs="Arial"/>
                <w:sz w:val="20"/>
              </w:rPr>
              <w:t xml:space="preserve"> </w:t>
            </w:r>
            <w:r w:rsidR="00493B75" w:rsidRPr="005E1202">
              <w:rPr>
                <w:rFonts w:cs="Arial"/>
                <w:sz w:val="20"/>
              </w:rPr>
              <w:t>Includes patients who discontinued due to adverse event, lost to follow-up, or subject withdrawal.</w:t>
            </w:r>
          </w:p>
        </w:tc>
      </w:tr>
    </w:tbl>
    <w:p w14:paraId="17E66BD6" w14:textId="77777777" w:rsidR="00904452" w:rsidRDefault="00904452" w:rsidP="00A31EE5">
      <w:pPr>
        <w:jc w:val="both"/>
        <w:rPr>
          <w:rFonts w:cs="Arial"/>
        </w:rPr>
      </w:pPr>
    </w:p>
    <w:p w14:paraId="1E6527E2" w14:textId="4242CE05" w:rsidR="0047006D" w:rsidRDefault="00493B75" w:rsidP="00A31EE5">
      <w:pPr>
        <w:jc w:val="both"/>
        <w:rPr>
          <w:rFonts w:cs="Arial"/>
        </w:rPr>
      </w:pPr>
      <w:r w:rsidRPr="00904452">
        <w:rPr>
          <w:rFonts w:cs="Arial"/>
        </w:rPr>
        <w:t xml:space="preserve">Of the </w:t>
      </w:r>
      <w:r w:rsidR="00F5309A" w:rsidRPr="00904452">
        <w:rPr>
          <w:rFonts w:cs="Arial"/>
        </w:rPr>
        <w:t>GT</w:t>
      </w:r>
      <w:r w:rsidRPr="00904452">
        <w:rPr>
          <w:rFonts w:cs="Arial"/>
        </w:rPr>
        <w:t>3-infected p</w:t>
      </w:r>
      <w:r w:rsidRPr="005E1202">
        <w:rPr>
          <w:rFonts w:cs="Arial"/>
        </w:rPr>
        <w:t>atients with end stage renal disease enrolled in EXPEDITION-4, 100% (11/11) achieved SVR12.</w:t>
      </w:r>
    </w:p>
    <w:p w14:paraId="72CD8AE3" w14:textId="77777777" w:rsidR="00824411" w:rsidRPr="00904452" w:rsidRDefault="00824411" w:rsidP="00824411">
      <w:pPr>
        <w:pStyle w:val="Heading4"/>
      </w:pPr>
      <w:r w:rsidRPr="00904452">
        <w:t xml:space="preserve">Patients with GT3b infection </w:t>
      </w:r>
    </w:p>
    <w:p w14:paraId="52560FBD" w14:textId="139F3EDB" w:rsidR="00824411" w:rsidRPr="00904452" w:rsidRDefault="00824411" w:rsidP="00824411">
      <w:pPr>
        <w:jc w:val="both"/>
        <w:rPr>
          <w:rFonts w:cs="Arial"/>
        </w:rPr>
      </w:pPr>
      <w:r w:rsidRPr="00904452">
        <w:rPr>
          <w:rFonts w:cs="Arial"/>
        </w:rPr>
        <w:t xml:space="preserve">GT3b is a subtype reported in a relatively small number of HCV infected patients in China and a few countries in South and Southeast Asia, but rarely outside of this region.  Studies VOYAGE-1 and VOYAGE-2 were conducted in China, Singapore, and South Korea in HCV GT1-6 </w:t>
      </w:r>
      <w:r w:rsidR="00FA1AB2">
        <w:rPr>
          <w:rFonts w:cs="Arial"/>
        </w:rPr>
        <w:t xml:space="preserve">adult </w:t>
      </w:r>
      <w:r w:rsidRPr="00904452">
        <w:rPr>
          <w:rFonts w:cs="Arial"/>
        </w:rPr>
        <w:t>subjects without cirrhosis (VOYAGE-1) or with compensated cirrhosis (VOYAGE-2) that were TN or PRS-TE. All patients without cirrhosis or with compensated cirrhosis received 8 or 12 weeks of MAVIRET, respectively, except GT3 PRS-TE patients who received 16 weeks of MAVIRET. The overall SVR12 rates were 97.2% (352/362) and 99.4% (159/160) in VOYAGE-1 and VOYAGE-2, respectively.</w:t>
      </w:r>
    </w:p>
    <w:p w14:paraId="7E693FA8" w14:textId="43C13603" w:rsidR="00824411" w:rsidRPr="00904452" w:rsidRDefault="00824411" w:rsidP="00824411">
      <w:pPr>
        <w:jc w:val="both"/>
        <w:rPr>
          <w:rFonts w:cs="Arial"/>
        </w:rPr>
      </w:pPr>
      <w:r w:rsidRPr="00904452">
        <w:rPr>
          <w:rFonts w:cs="Arial"/>
        </w:rPr>
        <w:t>Among GT3b patients without cirrhosis, a numerically lower SVR12 rate of 58.3% (7/12) (62.5% (5/8) for TN patients and 50% (2/4) for PRS-TE patients) was observed compared to GT3a patients without cirrhosis (92.9% (13/14)). Three GT3b TN patients experienced relapse and 2 GT3b PRS-TE patients experienced on-treatment virologic failure. Among patients with compensated cirrhosis, the overall SVR12 rate for GT3b infected patients was 87.5% (7/8) [85.7% (6/7) for TN patients and 100% (1/1) for PRS-TE patients] and 100% (6/6) for GT3a infected patients.  One GT3b TN patient experienced relapse.</w:t>
      </w:r>
    </w:p>
    <w:p w14:paraId="29B7BC94" w14:textId="1FABFA50" w:rsidR="00136C98" w:rsidRPr="00A4182C" w:rsidRDefault="00136C98" w:rsidP="007D5600">
      <w:pPr>
        <w:pStyle w:val="Heading4"/>
      </w:pPr>
      <w:r>
        <w:t xml:space="preserve">Overall SVR12 Rate from the Clinical Studies in </w:t>
      </w:r>
      <w:r w:rsidR="0027614D">
        <w:t>TN</w:t>
      </w:r>
      <w:r>
        <w:t xml:space="preserve"> or </w:t>
      </w:r>
      <w:r w:rsidR="0027614D">
        <w:t>TE</w:t>
      </w:r>
      <w:r w:rsidR="00ED03B1" w:rsidRPr="00904452">
        <w:t xml:space="preserve"> </w:t>
      </w:r>
      <w:r w:rsidR="00B93F52" w:rsidRPr="00904452">
        <w:t xml:space="preserve">Adult </w:t>
      </w:r>
      <w:r w:rsidRPr="00904452">
        <w:t>Patients with or wit</w:t>
      </w:r>
      <w:r w:rsidRPr="00A4182C">
        <w:t xml:space="preserve">hout </w:t>
      </w:r>
      <w:r w:rsidR="00C04433" w:rsidRPr="00A4182C">
        <w:t xml:space="preserve">Compensated </w:t>
      </w:r>
      <w:r w:rsidRPr="00A4182C">
        <w:t>Cirrhosis</w:t>
      </w:r>
    </w:p>
    <w:p w14:paraId="08CA4B71" w14:textId="59729D9A" w:rsidR="00493B75" w:rsidRPr="00A4182C" w:rsidRDefault="00187F39" w:rsidP="00A31EE5">
      <w:pPr>
        <w:jc w:val="both"/>
        <w:rPr>
          <w:rFonts w:cs="Arial"/>
        </w:rPr>
      </w:pPr>
      <w:r w:rsidRPr="00A4182C">
        <w:rPr>
          <w:rFonts w:cs="Arial"/>
        </w:rPr>
        <w:t xml:space="preserve">Among all patients, regardless of renal function, cirrhosis status or presence of HIV-1 coinfection, who were </w:t>
      </w:r>
      <w:r w:rsidR="00C45065" w:rsidRPr="00A4182C">
        <w:rPr>
          <w:rFonts w:cs="Arial"/>
        </w:rPr>
        <w:t xml:space="preserve">TN </w:t>
      </w:r>
      <w:r w:rsidR="00493B75" w:rsidRPr="00A4182C">
        <w:rPr>
          <w:rFonts w:cs="Arial"/>
        </w:rPr>
        <w:t xml:space="preserve">or </w:t>
      </w:r>
      <w:r w:rsidR="00C45065" w:rsidRPr="00A4182C">
        <w:rPr>
          <w:rFonts w:cs="Arial"/>
        </w:rPr>
        <w:t xml:space="preserve">PRS-TE </w:t>
      </w:r>
      <w:r w:rsidR="00493B75" w:rsidRPr="00A4182C">
        <w:rPr>
          <w:rFonts w:cs="Arial"/>
        </w:rPr>
        <w:t>who received the recommended duration, 97.</w:t>
      </w:r>
      <w:r w:rsidR="00C45065" w:rsidRPr="00A4182C">
        <w:rPr>
          <w:rFonts w:cs="Arial"/>
        </w:rPr>
        <w:t>5</w:t>
      </w:r>
      <w:r w:rsidR="00493B75" w:rsidRPr="00A4182C">
        <w:rPr>
          <w:rFonts w:cs="Arial"/>
        </w:rPr>
        <w:t>% (</w:t>
      </w:r>
      <w:r w:rsidR="003A01CF" w:rsidRPr="00A4182C">
        <w:rPr>
          <w:rFonts w:cs="Arial"/>
        </w:rPr>
        <w:t>1395/1431</w:t>
      </w:r>
      <w:r w:rsidR="00493B75" w:rsidRPr="00A4182C">
        <w:rPr>
          <w:rFonts w:cs="Arial"/>
        </w:rPr>
        <w:t>) achieved SVR</w:t>
      </w:r>
      <w:r w:rsidR="003A01CF" w:rsidRPr="00A4182C">
        <w:rPr>
          <w:rFonts w:cs="Arial"/>
        </w:rPr>
        <w:t>12</w:t>
      </w:r>
      <w:r w:rsidR="00493B75" w:rsidRPr="00A4182C">
        <w:rPr>
          <w:rFonts w:cs="Arial"/>
        </w:rPr>
        <w:t xml:space="preserve"> overall, while </w:t>
      </w:r>
      <w:r w:rsidR="003A01CF" w:rsidRPr="00A4182C">
        <w:rPr>
          <w:rFonts w:cs="Arial"/>
        </w:rPr>
        <w:t>0.2</w:t>
      </w:r>
      <w:r w:rsidR="00493B75" w:rsidRPr="00A4182C">
        <w:rPr>
          <w:rFonts w:cs="Arial"/>
        </w:rPr>
        <w:t>% (</w:t>
      </w:r>
      <w:r w:rsidR="003A01CF" w:rsidRPr="00A4182C">
        <w:rPr>
          <w:rFonts w:cs="Arial"/>
        </w:rPr>
        <w:t>3/1431</w:t>
      </w:r>
      <w:r w:rsidR="00493B75" w:rsidRPr="00A4182C">
        <w:rPr>
          <w:rFonts w:cs="Arial"/>
        </w:rPr>
        <w:t xml:space="preserve">) experienced on-treatment virologic failure and </w:t>
      </w:r>
      <w:r w:rsidR="00C45065" w:rsidRPr="00A4182C">
        <w:rPr>
          <w:rFonts w:cs="Arial"/>
        </w:rPr>
        <w:t>0.9</w:t>
      </w:r>
      <w:r w:rsidR="00493B75" w:rsidRPr="00A4182C">
        <w:rPr>
          <w:rFonts w:cs="Arial"/>
        </w:rPr>
        <w:t>% (</w:t>
      </w:r>
      <w:r w:rsidR="003A01CF" w:rsidRPr="00A4182C">
        <w:rPr>
          <w:rFonts w:cs="Arial"/>
        </w:rPr>
        <w:t>12</w:t>
      </w:r>
      <w:r w:rsidR="00493B75" w:rsidRPr="00A4182C">
        <w:rPr>
          <w:rFonts w:cs="Arial"/>
        </w:rPr>
        <w:t>/</w:t>
      </w:r>
      <w:r w:rsidR="003A01CF" w:rsidRPr="00A4182C">
        <w:rPr>
          <w:rFonts w:cs="Arial"/>
        </w:rPr>
        <w:t>1407</w:t>
      </w:r>
      <w:r w:rsidR="00493B75" w:rsidRPr="00A4182C">
        <w:rPr>
          <w:rFonts w:cs="Arial"/>
        </w:rPr>
        <w:t>) experienced post-treatment relapse.</w:t>
      </w:r>
    </w:p>
    <w:p w14:paraId="53BCE113" w14:textId="77777777" w:rsidR="00C45065" w:rsidRPr="00A4182C" w:rsidRDefault="00C45065" w:rsidP="00A31EE5">
      <w:pPr>
        <w:jc w:val="both"/>
        <w:rPr>
          <w:rFonts w:cs="Arial"/>
        </w:rPr>
      </w:pPr>
      <w:r w:rsidRPr="00A4182C">
        <w:rPr>
          <w:rFonts w:cs="Arial"/>
        </w:rPr>
        <w:t>In TN patients without cirrhosis who received the recommended duration of 8 weeks, 97.5% (749/768) achieved SVR12, while 0.1% (1/768) experienced on-treatment virologic failure and 0.7% (5/755) experienced post-treatment relapses.</w:t>
      </w:r>
    </w:p>
    <w:p w14:paraId="10138A7E" w14:textId="77777777" w:rsidR="00C45065" w:rsidRPr="00A4182C" w:rsidRDefault="00D00956" w:rsidP="00D00956">
      <w:pPr>
        <w:jc w:val="both"/>
        <w:rPr>
          <w:rFonts w:cs="Arial"/>
        </w:rPr>
      </w:pPr>
      <w:r w:rsidRPr="00A4182C">
        <w:rPr>
          <w:rFonts w:cs="Arial"/>
        </w:rPr>
        <w:t>In PRS-TE patients without cirrhosis who received the recommended duration, 98.2% (215/219) achieved SVR12, while 0.5% (1/219) experienced on-treatment virologic failure and 1.4% (3/218) experienced post-treatment relapse.</w:t>
      </w:r>
    </w:p>
    <w:p w14:paraId="58B4CF86" w14:textId="554E4D46" w:rsidR="00D00956" w:rsidRPr="00A4182C" w:rsidRDefault="00D00956" w:rsidP="00D00956">
      <w:pPr>
        <w:jc w:val="both"/>
        <w:rPr>
          <w:rFonts w:cs="Arial"/>
        </w:rPr>
      </w:pPr>
      <w:r w:rsidRPr="00A4182C">
        <w:rPr>
          <w:rFonts w:cs="Arial"/>
        </w:rPr>
        <w:lastRenderedPageBreak/>
        <w:t xml:space="preserve">In TN or PRS-TE </w:t>
      </w:r>
      <w:r w:rsidR="00E436D6" w:rsidRPr="00A4182C">
        <w:rPr>
          <w:rFonts w:cs="Arial"/>
        </w:rPr>
        <w:t xml:space="preserve">patients </w:t>
      </w:r>
      <w:r w:rsidRPr="00A4182C">
        <w:rPr>
          <w:rFonts w:cs="Arial"/>
        </w:rPr>
        <w:t>with compensated cirrhosis who received the recommended duration, 97.</w:t>
      </w:r>
      <w:r w:rsidR="00E436D6" w:rsidRPr="00A4182C">
        <w:rPr>
          <w:rFonts w:cs="Arial"/>
        </w:rPr>
        <w:t>1</w:t>
      </w:r>
      <w:r w:rsidRPr="00A4182C">
        <w:rPr>
          <w:rFonts w:cs="Arial"/>
        </w:rPr>
        <w:t>% (</w:t>
      </w:r>
      <w:r w:rsidR="00E436D6" w:rsidRPr="00A4182C">
        <w:rPr>
          <w:rFonts w:cs="Arial"/>
        </w:rPr>
        <w:t>431/444</w:t>
      </w:r>
      <w:r w:rsidRPr="00A4182C">
        <w:rPr>
          <w:rFonts w:cs="Arial"/>
        </w:rPr>
        <w:t xml:space="preserve">) achieved SVR12 (among which </w:t>
      </w:r>
      <w:r w:rsidR="00E436D6" w:rsidRPr="00A4182C">
        <w:rPr>
          <w:rFonts w:cs="Arial"/>
        </w:rPr>
        <w:t>97.7</w:t>
      </w:r>
      <w:r w:rsidRPr="00A4182C">
        <w:rPr>
          <w:rFonts w:cs="Arial"/>
        </w:rPr>
        <w:t>% [</w:t>
      </w:r>
      <w:r w:rsidR="00E436D6" w:rsidRPr="00A4182C">
        <w:rPr>
          <w:rFonts w:cs="Arial"/>
        </w:rPr>
        <w:t>335/343</w:t>
      </w:r>
      <w:r w:rsidRPr="00A4182C">
        <w:rPr>
          <w:rFonts w:cs="Arial"/>
        </w:rPr>
        <w:t xml:space="preserve">] of TN </w:t>
      </w:r>
      <w:r w:rsidR="00E436D6" w:rsidRPr="00A4182C">
        <w:rPr>
          <w:rFonts w:cs="Arial"/>
        </w:rPr>
        <w:t xml:space="preserve">patients </w:t>
      </w:r>
      <w:r w:rsidRPr="00A4182C">
        <w:rPr>
          <w:rFonts w:cs="Arial"/>
        </w:rPr>
        <w:t>achieved SVR12), while 0.</w:t>
      </w:r>
      <w:r w:rsidR="00E436D6" w:rsidRPr="00A4182C">
        <w:rPr>
          <w:rFonts w:cs="Arial"/>
        </w:rPr>
        <w:t>2</w:t>
      </w:r>
      <w:r w:rsidRPr="00A4182C">
        <w:rPr>
          <w:rFonts w:cs="Arial"/>
        </w:rPr>
        <w:t>% (</w:t>
      </w:r>
      <w:r w:rsidR="00E436D6" w:rsidRPr="00A4182C">
        <w:rPr>
          <w:rFonts w:cs="Arial"/>
        </w:rPr>
        <w:t>1/444</w:t>
      </w:r>
      <w:r w:rsidRPr="00A4182C">
        <w:rPr>
          <w:rFonts w:cs="Arial"/>
        </w:rPr>
        <w:t xml:space="preserve">) experienced on-treatment virologic failure and </w:t>
      </w:r>
      <w:r w:rsidR="00E436D6" w:rsidRPr="00A4182C">
        <w:rPr>
          <w:rFonts w:cs="Arial"/>
        </w:rPr>
        <w:t>0.</w:t>
      </w:r>
      <w:r w:rsidR="00CA6797" w:rsidRPr="00A4182C">
        <w:rPr>
          <w:rFonts w:cs="Arial"/>
        </w:rPr>
        <w:t>9</w:t>
      </w:r>
      <w:r w:rsidRPr="00A4182C">
        <w:rPr>
          <w:rFonts w:cs="Arial"/>
        </w:rPr>
        <w:t>% (</w:t>
      </w:r>
      <w:r w:rsidR="00E436D6" w:rsidRPr="00A4182C">
        <w:rPr>
          <w:rFonts w:cs="Arial"/>
        </w:rPr>
        <w:t>4/434</w:t>
      </w:r>
      <w:r w:rsidRPr="00A4182C">
        <w:rPr>
          <w:rFonts w:cs="Arial"/>
        </w:rPr>
        <w:t xml:space="preserve">) experienced post-treatment relapse. </w:t>
      </w:r>
    </w:p>
    <w:p w14:paraId="2B8A3A06" w14:textId="2DC7AB8A" w:rsidR="00D00956" w:rsidRPr="005E1202" w:rsidRDefault="00382FFC" w:rsidP="00D00956">
      <w:pPr>
        <w:jc w:val="both"/>
        <w:rPr>
          <w:rFonts w:cs="Arial"/>
        </w:rPr>
      </w:pPr>
      <w:r w:rsidRPr="00A4182C">
        <w:rPr>
          <w:rFonts w:cs="Arial"/>
        </w:rPr>
        <w:t>The presence of HIV-1 co</w:t>
      </w:r>
      <w:r w:rsidR="00D00956" w:rsidRPr="00A4182C">
        <w:rPr>
          <w:rFonts w:cs="Arial"/>
        </w:rPr>
        <w:t>infection did not impact ef</w:t>
      </w:r>
      <w:r w:rsidRPr="00A4182C">
        <w:rPr>
          <w:rFonts w:cs="Arial"/>
        </w:rPr>
        <w:t>ficacy. In a dedicated HIV-1 co</w:t>
      </w:r>
      <w:r w:rsidR="00D00956" w:rsidRPr="00A4182C">
        <w:rPr>
          <w:rFonts w:cs="Arial"/>
        </w:rPr>
        <w:t>infection study (EXPEDITION-2),</w:t>
      </w:r>
      <w:r w:rsidRPr="00A4182C">
        <w:rPr>
          <w:rFonts w:cs="Arial"/>
        </w:rPr>
        <w:t xml:space="preserve"> the SVR12 rate in HCV/HIV-1 co</w:t>
      </w:r>
      <w:r w:rsidR="00D00956" w:rsidRPr="00A4182C">
        <w:rPr>
          <w:rFonts w:cs="Arial"/>
        </w:rPr>
        <w:t xml:space="preserve">infected </w:t>
      </w:r>
      <w:r w:rsidRPr="00A4182C">
        <w:rPr>
          <w:rFonts w:cs="Arial"/>
        </w:rPr>
        <w:t>patients</w:t>
      </w:r>
      <w:r w:rsidR="00D00956" w:rsidRPr="00A4182C">
        <w:rPr>
          <w:rFonts w:cs="Arial"/>
        </w:rPr>
        <w:t xml:space="preserve"> was </w:t>
      </w:r>
      <w:r w:rsidR="00D00956" w:rsidRPr="00D00956">
        <w:rPr>
          <w:rFonts w:cs="Arial"/>
        </w:rPr>
        <w:t xml:space="preserve">98% (150/153) with one virologic failure. Among </w:t>
      </w:r>
      <w:r>
        <w:rPr>
          <w:rFonts w:cs="Arial"/>
        </w:rPr>
        <w:t>patients</w:t>
      </w:r>
      <w:r w:rsidR="00D00956" w:rsidRPr="00D00956">
        <w:rPr>
          <w:rFonts w:cs="Arial"/>
        </w:rPr>
        <w:t xml:space="preserve"> without cirrhosis that received 8 weeks of </w:t>
      </w:r>
      <w:r>
        <w:rPr>
          <w:rFonts w:cs="Arial"/>
        </w:rPr>
        <w:t>MAVIRET,</w:t>
      </w:r>
      <w:r w:rsidR="00D00956" w:rsidRPr="00D00956">
        <w:rPr>
          <w:rFonts w:cs="Arial"/>
        </w:rPr>
        <w:t xml:space="preserve"> the overall SVR12 rate was 99.3% (136/137) (99.1% (110/111) for TN subjects and 100% (26/26) for PRS-TE subjects</w:t>
      </w:r>
      <w:r w:rsidR="005B5C58">
        <w:rPr>
          <w:rFonts w:cs="Arial"/>
        </w:rPr>
        <w:t>. Among HCV/HIV-1 co</w:t>
      </w:r>
      <w:r w:rsidR="00D00956" w:rsidRPr="00D00956">
        <w:rPr>
          <w:rFonts w:cs="Arial"/>
        </w:rPr>
        <w:t xml:space="preserve">infected </w:t>
      </w:r>
      <w:r w:rsidR="005B5C58">
        <w:rPr>
          <w:rFonts w:cs="Arial"/>
        </w:rPr>
        <w:t>patients</w:t>
      </w:r>
      <w:r w:rsidR="00D00956" w:rsidRPr="00D00956">
        <w:rPr>
          <w:rFonts w:cs="Arial"/>
        </w:rPr>
        <w:t xml:space="preserve"> from ENDURANCE-1 and EXPEDITION-2 combined who were TN or PRS-TE treated with the recommended duration, the SVR12 rate was 98.2% (165/168). One </w:t>
      </w:r>
      <w:r w:rsidR="005B5C58">
        <w:rPr>
          <w:rFonts w:cs="Arial"/>
        </w:rPr>
        <w:t>patient</w:t>
      </w:r>
      <w:r w:rsidR="00D00956" w:rsidRPr="00D00956">
        <w:rPr>
          <w:rFonts w:cs="Arial"/>
        </w:rPr>
        <w:t xml:space="preserve"> experienced on-treatment virologic failure and no subjects relapsed</w:t>
      </w:r>
      <w:r w:rsidR="005B5C58">
        <w:rPr>
          <w:rFonts w:cs="Arial"/>
        </w:rPr>
        <w:t>.</w:t>
      </w:r>
    </w:p>
    <w:p w14:paraId="70E0B2B2" w14:textId="7B64A51D" w:rsidR="00493B75" w:rsidRPr="00904452" w:rsidRDefault="00493B75" w:rsidP="00A31EE5">
      <w:pPr>
        <w:pStyle w:val="Heading3"/>
        <w:jc w:val="both"/>
      </w:pPr>
      <w:r w:rsidRPr="00904452">
        <w:t xml:space="preserve">Clinical Study in </w:t>
      </w:r>
      <w:r w:rsidRPr="00904452">
        <w:rPr>
          <w:rStyle w:val="Heading3Char"/>
        </w:rPr>
        <w:t>NS5A and/or</w:t>
      </w:r>
      <w:r w:rsidRPr="00904452">
        <w:t xml:space="preserve"> Protease Inhibitor-Experienced </w:t>
      </w:r>
      <w:r w:rsidR="00B93F52" w:rsidRPr="00904452">
        <w:t xml:space="preserve">Adult </w:t>
      </w:r>
      <w:r w:rsidRPr="00904452">
        <w:t>Patients with or without Cirrhosis</w:t>
      </w:r>
    </w:p>
    <w:p w14:paraId="7734518B" w14:textId="19A166F2" w:rsidR="00493B75" w:rsidRPr="00904452" w:rsidRDefault="00493B75" w:rsidP="00A31EE5">
      <w:pPr>
        <w:jc w:val="both"/>
        <w:rPr>
          <w:rFonts w:cs="Arial"/>
        </w:rPr>
      </w:pPr>
      <w:r w:rsidRPr="00904452">
        <w:rPr>
          <w:rFonts w:cs="Arial"/>
        </w:rPr>
        <w:t xml:space="preserve">MAGELLAN-1 was a randomised, multipart, open-label study in 141 </w:t>
      </w:r>
      <w:r w:rsidR="00F5309A" w:rsidRPr="00904452">
        <w:rPr>
          <w:rFonts w:cs="Arial"/>
        </w:rPr>
        <w:t>GT</w:t>
      </w:r>
      <w:r w:rsidRPr="00904452">
        <w:rPr>
          <w:rFonts w:cs="Arial"/>
        </w:rPr>
        <w:t xml:space="preserve">1 or 4-infected patients who failed a previous regimen containing NS5A and/or protease inhibitors. Part 1 (n=50) was a randomised study exploring 12 weeks of glecaprevir 300 mg or 200 mg and pibrentasvir 120 mg or 80 mg, with and without ribavirin (glecaprevir 300 mg plus pibrentasvir 120 mg without ribavirin only included in the analysis). Part 2 (n=91) randomised </w:t>
      </w:r>
      <w:r w:rsidR="00F5309A" w:rsidRPr="00904452">
        <w:rPr>
          <w:rFonts w:cs="Arial"/>
        </w:rPr>
        <w:t>GT</w:t>
      </w:r>
      <w:r w:rsidRPr="00904452">
        <w:rPr>
          <w:rFonts w:cs="Arial"/>
        </w:rPr>
        <w:t>1</w:t>
      </w:r>
      <w:r w:rsidR="005F5DF1" w:rsidRPr="00904452">
        <w:rPr>
          <w:rFonts w:cs="Arial"/>
        </w:rPr>
        <w:t>-</w:t>
      </w:r>
      <w:r w:rsidRPr="00904452">
        <w:rPr>
          <w:rFonts w:cs="Arial"/>
        </w:rPr>
        <w:t xml:space="preserve"> or </w:t>
      </w:r>
      <w:r w:rsidR="00F5309A" w:rsidRPr="00904452">
        <w:rPr>
          <w:rFonts w:cs="Arial"/>
        </w:rPr>
        <w:t>GT</w:t>
      </w:r>
      <w:r w:rsidRPr="00904452">
        <w:rPr>
          <w:rFonts w:cs="Arial"/>
        </w:rPr>
        <w:t>4-infected patients with or without cirrhosis to 12- or 16-weeks of treatment with MAVIRET.</w:t>
      </w:r>
    </w:p>
    <w:p w14:paraId="2D293D81" w14:textId="247F4904" w:rsidR="00493B75" w:rsidRPr="00904452" w:rsidRDefault="00493B75" w:rsidP="00A31EE5">
      <w:pPr>
        <w:jc w:val="both"/>
        <w:rPr>
          <w:rFonts w:cs="Arial"/>
        </w:rPr>
      </w:pPr>
      <w:r w:rsidRPr="00904452">
        <w:rPr>
          <w:rFonts w:cs="Arial"/>
        </w:rPr>
        <w:t xml:space="preserve">Of the 91 patients treated in Part 2, the median age was 57 years (range: 22 to 70); 37.4%, 29.7%, and 33.0% had treatment-experience to NS5A only, protease inhibitors only, or both NS5A inhibitors and protease inhibitors; 95.6% had HCV </w:t>
      </w:r>
      <w:r w:rsidR="00F5309A" w:rsidRPr="00904452">
        <w:rPr>
          <w:rFonts w:cs="Arial"/>
        </w:rPr>
        <w:t>GT</w:t>
      </w:r>
      <w:r w:rsidRPr="00904452">
        <w:rPr>
          <w:rFonts w:cs="Arial"/>
        </w:rPr>
        <w:t xml:space="preserve">1 and 4.4% had HCV </w:t>
      </w:r>
      <w:r w:rsidR="00F5309A" w:rsidRPr="00904452">
        <w:rPr>
          <w:rFonts w:cs="Arial"/>
        </w:rPr>
        <w:t>GT</w:t>
      </w:r>
      <w:r w:rsidRPr="00904452">
        <w:rPr>
          <w:rFonts w:cs="Arial"/>
        </w:rPr>
        <w:t>4 infection; 12.1% were ≥65 years; 70.3% were male; 22.0% were Black; 38.5% had a body mass index of at least 30 kg per m</w:t>
      </w:r>
      <w:r w:rsidRPr="00904452">
        <w:rPr>
          <w:rFonts w:cs="Arial"/>
          <w:vertAlign w:val="superscript"/>
        </w:rPr>
        <w:t>2</w:t>
      </w:r>
      <w:r w:rsidRPr="00904452">
        <w:rPr>
          <w:rFonts w:cs="Arial"/>
        </w:rPr>
        <w:t xml:space="preserve">; 62.6% had baseline HCV RNA levels of at least 1,000,000 IU per </w:t>
      </w:r>
      <w:proofErr w:type="spellStart"/>
      <w:r w:rsidRPr="00904452">
        <w:rPr>
          <w:rFonts w:cs="Arial"/>
        </w:rPr>
        <w:t>mL.</w:t>
      </w:r>
      <w:proofErr w:type="spellEnd"/>
    </w:p>
    <w:p w14:paraId="62AA0E7F" w14:textId="1C61F5DD" w:rsidR="00CD5358" w:rsidRDefault="00493B75" w:rsidP="00D607D5">
      <w:pPr>
        <w:jc w:val="both"/>
        <w:rPr>
          <w:rFonts w:cs="Arial"/>
        </w:rPr>
      </w:pPr>
      <w:r w:rsidRPr="00904452">
        <w:rPr>
          <w:rFonts w:cs="Arial"/>
        </w:rPr>
        <w:t xml:space="preserve">The SVR12 in protease inhibitor-experienced (NS5A-inhibitor naïve) patients with or without cirrhosis who received 12 weeks of treatment with MAVIRET was 100% (14/14). </w:t>
      </w:r>
      <w:r w:rsidR="00A21000" w:rsidRPr="00904452">
        <w:rPr>
          <w:rFonts w:cs="Arial"/>
        </w:rPr>
        <w:t xml:space="preserve"> </w:t>
      </w:r>
      <w:r w:rsidRPr="00904452">
        <w:rPr>
          <w:rFonts w:cs="Arial"/>
        </w:rPr>
        <w:t xml:space="preserve">The SVR12 in patients who were experienced to NS5A inhibitors (alone or with a protease inhibitor) is presented in Table </w:t>
      </w:r>
      <w:r w:rsidR="008D55BB" w:rsidRPr="00904452">
        <w:rPr>
          <w:rFonts w:cs="Arial"/>
        </w:rPr>
        <w:t>1</w:t>
      </w:r>
      <w:r w:rsidR="00FA1AB2">
        <w:rPr>
          <w:rFonts w:cs="Arial"/>
        </w:rPr>
        <w:t>3</w:t>
      </w:r>
      <w:r w:rsidRPr="00904452">
        <w:rPr>
          <w:rFonts w:cs="Arial"/>
        </w:rPr>
        <w:t>.</w:t>
      </w:r>
    </w:p>
    <w:p w14:paraId="2A609CF4" w14:textId="77777777" w:rsidR="00CD5358" w:rsidRPr="00904452" w:rsidRDefault="00CD5358" w:rsidP="00D607D5">
      <w:pPr>
        <w:jc w:val="both"/>
        <w:rPr>
          <w:rFonts w:cs="Arial"/>
        </w:rPr>
      </w:pPr>
    </w:p>
    <w:p w14:paraId="24E2FF6A" w14:textId="69C22FA8" w:rsidR="005E193F" w:rsidRPr="005E1202" w:rsidRDefault="00493B75" w:rsidP="003B0ECB">
      <w:pPr>
        <w:pageBreakBefore/>
        <w:rPr>
          <w:rFonts w:cs="Arial"/>
          <w:b/>
        </w:rPr>
      </w:pPr>
      <w:r w:rsidRPr="005E1202">
        <w:rPr>
          <w:rFonts w:cs="Arial"/>
          <w:b/>
        </w:rPr>
        <w:lastRenderedPageBreak/>
        <w:t xml:space="preserve">Table </w:t>
      </w:r>
      <w:r w:rsidR="008D55BB">
        <w:rPr>
          <w:rFonts w:cs="Arial"/>
          <w:b/>
        </w:rPr>
        <w:t>1</w:t>
      </w:r>
      <w:r w:rsidR="00FA1AB2">
        <w:rPr>
          <w:rFonts w:cs="Arial"/>
          <w:b/>
        </w:rPr>
        <w:t>3</w:t>
      </w:r>
      <w:r w:rsidRPr="005E1202">
        <w:rPr>
          <w:rFonts w:cs="Arial"/>
          <w:b/>
        </w:rPr>
        <w:t xml:space="preserve">. MAGELLAN-1 Part 2: SVR12 in NS5A Inhibitor-Experienced </w:t>
      </w:r>
      <w:r w:rsidR="00FA1AB2">
        <w:rPr>
          <w:rFonts w:cs="Arial"/>
          <w:b/>
        </w:rPr>
        <w:t xml:space="preserve">Adult </w:t>
      </w:r>
      <w:r w:rsidRPr="005E1202">
        <w:rPr>
          <w:rFonts w:cs="Arial"/>
          <w:b/>
        </w:rPr>
        <w:t>Patients with or without Cirrhosis who Received the Recommended Duration</w:t>
      </w:r>
    </w:p>
    <w:tbl>
      <w:tblPr>
        <w:tblW w:w="6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5"/>
        <w:gridCol w:w="2644"/>
      </w:tblGrid>
      <w:tr w:rsidR="00493B75" w:rsidRPr="005E1202" w14:paraId="5DBFC603" w14:textId="77777777" w:rsidTr="00DE0924">
        <w:trPr>
          <w:jc w:val="center"/>
        </w:trPr>
        <w:tc>
          <w:tcPr>
            <w:tcW w:w="4065" w:type="dxa"/>
            <w:vAlign w:val="center"/>
          </w:tcPr>
          <w:p w14:paraId="336D3AA2" w14:textId="77777777" w:rsidR="00493B75" w:rsidRPr="005E1202" w:rsidRDefault="00493B75" w:rsidP="00493B75">
            <w:pPr>
              <w:spacing w:before="60" w:after="60"/>
              <w:jc w:val="center"/>
              <w:rPr>
                <w:rFonts w:cs="Arial"/>
                <w:b/>
                <w:sz w:val="20"/>
              </w:rPr>
            </w:pPr>
          </w:p>
        </w:tc>
        <w:tc>
          <w:tcPr>
            <w:tcW w:w="2644" w:type="dxa"/>
            <w:vAlign w:val="center"/>
          </w:tcPr>
          <w:p w14:paraId="006F2A61" w14:textId="77777777" w:rsidR="00493B75" w:rsidRPr="005E1202" w:rsidRDefault="00493B75" w:rsidP="00493B75">
            <w:pPr>
              <w:spacing w:before="60" w:after="60"/>
              <w:jc w:val="center"/>
              <w:rPr>
                <w:rFonts w:cs="Arial"/>
                <w:b/>
                <w:sz w:val="20"/>
              </w:rPr>
            </w:pPr>
            <w:r w:rsidRPr="005E1202">
              <w:rPr>
                <w:rFonts w:cs="Arial"/>
                <w:b/>
                <w:sz w:val="20"/>
              </w:rPr>
              <w:t xml:space="preserve">MAVIRET </w:t>
            </w:r>
          </w:p>
          <w:p w14:paraId="43B97054" w14:textId="77777777" w:rsidR="00493B75" w:rsidRPr="005E1202" w:rsidRDefault="00493B75" w:rsidP="00493B75">
            <w:pPr>
              <w:spacing w:before="60" w:after="60"/>
              <w:jc w:val="center"/>
              <w:rPr>
                <w:rFonts w:cs="Arial"/>
                <w:b/>
                <w:sz w:val="20"/>
              </w:rPr>
            </w:pPr>
            <w:r w:rsidRPr="005E1202">
              <w:rPr>
                <w:rFonts w:cs="Arial"/>
                <w:b/>
                <w:sz w:val="20"/>
              </w:rPr>
              <w:t xml:space="preserve">16 weeks </w:t>
            </w:r>
          </w:p>
          <w:p w14:paraId="3C171CFC" w14:textId="4220EDCD" w:rsidR="00493B75" w:rsidRPr="005E1202" w:rsidRDefault="00493B75" w:rsidP="00493B75">
            <w:pPr>
              <w:spacing w:before="60" w:after="60"/>
              <w:jc w:val="center"/>
              <w:rPr>
                <w:rFonts w:cs="Arial"/>
                <w:b/>
                <w:sz w:val="20"/>
              </w:rPr>
            </w:pPr>
            <w:r w:rsidRPr="006C4AB2">
              <w:rPr>
                <w:rFonts w:cs="Arial"/>
                <w:b/>
                <w:sz w:val="20"/>
              </w:rPr>
              <w:t>(</w:t>
            </w:r>
            <w:r w:rsidR="00E7250D" w:rsidRPr="006C4AB2">
              <w:rPr>
                <w:rFonts w:cs="Arial"/>
                <w:b/>
                <w:sz w:val="20"/>
              </w:rPr>
              <w:t>n</w:t>
            </w:r>
            <w:r w:rsidRPr="006C4AB2">
              <w:rPr>
                <w:rFonts w:cs="Arial"/>
                <w:b/>
                <w:sz w:val="20"/>
              </w:rPr>
              <w:t>=34)</w:t>
            </w:r>
          </w:p>
        </w:tc>
      </w:tr>
      <w:tr w:rsidR="00493B75" w:rsidRPr="005E1202" w14:paraId="0C70696A" w14:textId="77777777" w:rsidTr="00DE0924">
        <w:trPr>
          <w:jc w:val="center"/>
        </w:trPr>
        <w:tc>
          <w:tcPr>
            <w:tcW w:w="4065" w:type="dxa"/>
            <w:vAlign w:val="center"/>
          </w:tcPr>
          <w:p w14:paraId="211C5275" w14:textId="77777777" w:rsidR="00493B75" w:rsidRPr="005E1202" w:rsidRDefault="00493B75" w:rsidP="00493B75">
            <w:pPr>
              <w:spacing w:before="60" w:after="60"/>
              <w:jc w:val="center"/>
              <w:rPr>
                <w:rFonts w:cs="Arial"/>
                <w:b/>
                <w:sz w:val="20"/>
              </w:rPr>
            </w:pPr>
            <w:r w:rsidRPr="005E1202">
              <w:rPr>
                <w:rFonts w:cs="Arial"/>
                <w:b/>
                <w:sz w:val="20"/>
              </w:rPr>
              <w:t xml:space="preserve">SVR NS5A-Inhibitor Experienced </w:t>
            </w:r>
            <w:proofErr w:type="spellStart"/>
            <w:r w:rsidRPr="005E1202">
              <w:rPr>
                <w:rFonts w:cs="Arial"/>
                <w:b/>
                <w:sz w:val="20"/>
              </w:rPr>
              <w:t>Only</w:t>
            </w:r>
            <w:r w:rsidR="005B5C58" w:rsidRPr="005B5C58">
              <w:rPr>
                <w:rFonts w:cs="Arial"/>
                <w:b/>
                <w:sz w:val="20"/>
                <w:vertAlign w:val="superscript"/>
              </w:rPr>
              <w:t>a</w:t>
            </w:r>
            <w:proofErr w:type="spellEnd"/>
          </w:p>
        </w:tc>
        <w:tc>
          <w:tcPr>
            <w:tcW w:w="2644" w:type="dxa"/>
            <w:vAlign w:val="center"/>
          </w:tcPr>
          <w:p w14:paraId="56942586" w14:textId="77777777" w:rsidR="00493B75" w:rsidRPr="005E1202" w:rsidRDefault="00493B75" w:rsidP="00493B75">
            <w:pPr>
              <w:spacing w:before="60" w:after="60"/>
              <w:jc w:val="center"/>
              <w:rPr>
                <w:rFonts w:cs="Arial"/>
                <w:b/>
                <w:sz w:val="20"/>
              </w:rPr>
            </w:pPr>
            <w:r w:rsidRPr="005E1202">
              <w:rPr>
                <w:rFonts w:eastAsia="MS Mincho" w:cs="Arial"/>
                <w:sz w:val="20"/>
                <w:lang w:eastAsia="ja-JP"/>
              </w:rPr>
              <w:t>94.4% (17/18)</w:t>
            </w:r>
          </w:p>
        </w:tc>
      </w:tr>
      <w:tr w:rsidR="00493B75" w:rsidRPr="005E1202" w14:paraId="08F75BF7" w14:textId="77777777" w:rsidTr="00DE0924">
        <w:trPr>
          <w:jc w:val="center"/>
        </w:trPr>
        <w:tc>
          <w:tcPr>
            <w:tcW w:w="4065" w:type="dxa"/>
            <w:vAlign w:val="center"/>
          </w:tcPr>
          <w:p w14:paraId="4F88B1EB" w14:textId="77777777" w:rsidR="00493B75" w:rsidRPr="005E1202" w:rsidRDefault="00493B75" w:rsidP="00493B75">
            <w:pPr>
              <w:spacing w:before="60" w:after="60"/>
              <w:jc w:val="center"/>
              <w:rPr>
                <w:rFonts w:cs="Arial"/>
                <w:sz w:val="20"/>
              </w:rPr>
            </w:pPr>
            <w:r w:rsidRPr="005E1202">
              <w:rPr>
                <w:rFonts w:cs="Arial"/>
                <w:sz w:val="20"/>
              </w:rPr>
              <w:t>On-treatment VF</w:t>
            </w:r>
          </w:p>
        </w:tc>
        <w:tc>
          <w:tcPr>
            <w:tcW w:w="2644" w:type="dxa"/>
            <w:vAlign w:val="center"/>
          </w:tcPr>
          <w:p w14:paraId="4A1E56DE" w14:textId="77777777" w:rsidR="00493B75" w:rsidRPr="005E1202" w:rsidRDefault="00493B75" w:rsidP="00493B75">
            <w:pPr>
              <w:spacing w:before="60" w:after="60"/>
              <w:jc w:val="center"/>
              <w:rPr>
                <w:rFonts w:cs="Arial"/>
                <w:sz w:val="20"/>
              </w:rPr>
            </w:pPr>
            <w:r w:rsidRPr="005E1202">
              <w:rPr>
                <w:rFonts w:cs="Arial"/>
                <w:sz w:val="20"/>
              </w:rPr>
              <w:t>5.6% (1/18)</w:t>
            </w:r>
          </w:p>
        </w:tc>
      </w:tr>
      <w:tr w:rsidR="00493B75" w:rsidRPr="005E1202" w14:paraId="4334809F" w14:textId="77777777" w:rsidTr="00DE0924">
        <w:trPr>
          <w:jc w:val="center"/>
        </w:trPr>
        <w:tc>
          <w:tcPr>
            <w:tcW w:w="4065" w:type="dxa"/>
            <w:vAlign w:val="center"/>
          </w:tcPr>
          <w:p w14:paraId="148FD9FE" w14:textId="77777777" w:rsidR="00493B75" w:rsidRPr="005E1202" w:rsidRDefault="00493B75" w:rsidP="005B5C58">
            <w:pPr>
              <w:spacing w:before="60" w:after="60"/>
              <w:jc w:val="center"/>
              <w:rPr>
                <w:rFonts w:cs="Arial"/>
                <w:sz w:val="20"/>
              </w:rPr>
            </w:pPr>
            <w:proofErr w:type="spellStart"/>
            <w:r w:rsidRPr="005E1202">
              <w:rPr>
                <w:rFonts w:cs="Arial"/>
                <w:sz w:val="20"/>
              </w:rPr>
              <w:t>Relapse</w:t>
            </w:r>
            <w:r w:rsidR="005B5C58" w:rsidRPr="005B5C58">
              <w:rPr>
                <w:rFonts w:cs="Arial"/>
                <w:sz w:val="20"/>
                <w:vertAlign w:val="superscript"/>
              </w:rPr>
              <w:t>b</w:t>
            </w:r>
            <w:proofErr w:type="spellEnd"/>
          </w:p>
        </w:tc>
        <w:tc>
          <w:tcPr>
            <w:tcW w:w="2644" w:type="dxa"/>
            <w:vAlign w:val="center"/>
          </w:tcPr>
          <w:p w14:paraId="6DAA8EC8" w14:textId="77777777" w:rsidR="00493B75" w:rsidRPr="005E1202" w:rsidRDefault="00493B75" w:rsidP="00493B75">
            <w:pPr>
              <w:spacing w:before="60" w:after="60"/>
              <w:jc w:val="center"/>
              <w:rPr>
                <w:rFonts w:cs="Arial"/>
                <w:sz w:val="20"/>
              </w:rPr>
            </w:pPr>
            <w:r w:rsidRPr="005E1202">
              <w:rPr>
                <w:rFonts w:cs="Arial"/>
                <w:sz w:val="20"/>
              </w:rPr>
              <w:t>0% (0/17)</w:t>
            </w:r>
          </w:p>
        </w:tc>
      </w:tr>
      <w:tr w:rsidR="00493B75" w:rsidRPr="005E1202" w14:paraId="40C6C943" w14:textId="77777777" w:rsidTr="00DE0924">
        <w:trPr>
          <w:jc w:val="center"/>
        </w:trPr>
        <w:tc>
          <w:tcPr>
            <w:tcW w:w="4065" w:type="dxa"/>
            <w:vAlign w:val="center"/>
          </w:tcPr>
          <w:p w14:paraId="5037383D" w14:textId="77777777" w:rsidR="00493B75" w:rsidRPr="005E1202" w:rsidRDefault="00493B75" w:rsidP="00493B75">
            <w:pPr>
              <w:spacing w:before="60" w:after="60"/>
              <w:jc w:val="center"/>
              <w:rPr>
                <w:rFonts w:cs="Arial"/>
                <w:sz w:val="20"/>
              </w:rPr>
            </w:pPr>
            <w:r w:rsidRPr="005E1202">
              <w:rPr>
                <w:rFonts w:cs="Arial"/>
                <w:b/>
                <w:sz w:val="20"/>
              </w:rPr>
              <w:t>SVR NS5A-Inhibitor and PI-experienced</w:t>
            </w:r>
          </w:p>
        </w:tc>
        <w:tc>
          <w:tcPr>
            <w:tcW w:w="2644" w:type="dxa"/>
            <w:vAlign w:val="center"/>
          </w:tcPr>
          <w:p w14:paraId="71756C40" w14:textId="77777777" w:rsidR="00493B75" w:rsidRPr="005E1202" w:rsidRDefault="00493B75" w:rsidP="00493B75">
            <w:pPr>
              <w:spacing w:before="60" w:after="60"/>
              <w:jc w:val="center"/>
              <w:rPr>
                <w:rFonts w:cs="Arial"/>
                <w:sz w:val="20"/>
              </w:rPr>
            </w:pPr>
            <w:r w:rsidRPr="005E1202">
              <w:rPr>
                <w:rFonts w:eastAsia="MS Mincho" w:cs="Arial"/>
                <w:sz w:val="20"/>
                <w:lang w:eastAsia="ja-JP"/>
              </w:rPr>
              <w:t>81.3% (13/16)</w:t>
            </w:r>
          </w:p>
        </w:tc>
      </w:tr>
      <w:tr w:rsidR="00493B75" w:rsidRPr="005E1202" w14:paraId="5599CB2E" w14:textId="77777777" w:rsidTr="00DE0924">
        <w:trPr>
          <w:jc w:val="center"/>
        </w:trPr>
        <w:tc>
          <w:tcPr>
            <w:tcW w:w="4065" w:type="dxa"/>
            <w:vAlign w:val="center"/>
          </w:tcPr>
          <w:p w14:paraId="2523EC7A" w14:textId="77777777" w:rsidR="00493B75" w:rsidRPr="005E1202" w:rsidRDefault="00493B75" w:rsidP="00493B75">
            <w:pPr>
              <w:spacing w:before="60" w:after="60"/>
              <w:jc w:val="center"/>
              <w:rPr>
                <w:rFonts w:cs="Arial"/>
                <w:sz w:val="20"/>
              </w:rPr>
            </w:pPr>
            <w:r w:rsidRPr="005E1202">
              <w:rPr>
                <w:rFonts w:cs="Arial"/>
                <w:sz w:val="20"/>
              </w:rPr>
              <w:t>On-treatment VF</w:t>
            </w:r>
          </w:p>
        </w:tc>
        <w:tc>
          <w:tcPr>
            <w:tcW w:w="2644" w:type="dxa"/>
            <w:vAlign w:val="center"/>
          </w:tcPr>
          <w:p w14:paraId="6E33D5B1" w14:textId="77777777" w:rsidR="00493B75" w:rsidRPr="005E1202" w:rsidRDefault="00493B75" w:rsidP="00493B75">
            <w:pPr>
              <w:spacing w:before="60" w:after="60"/>
              <w:jc w:val="center"/>
              <w:rPr>
                <w:rFonts w:cs="Arial"/>
                <w:sz w:val="20"/>
              </w:rPr>
            </w:pPr>
            <w:r w:rsidRPr="005E1202">
              <w:rPr>
                <w:rFonts w:cs="Arial"/>
                <w:sz w:val="20"/>
              </w:rPr>
              <w:t>18.8% (3/16)</w:t>
            </w:r>
          </w:p>
        </w:tc>
      </w:tr>
      <w:tr w:rsidR="00493B75" w:rsidRPr="005E1202" w14:paraId="29F6865E" w14:textId="77777777" w:rsidTr="00DE0924">
        <w:trPr>
          <w:jc w:val="center"/>
        </w:trPr>
        <w:tc>
          <w:tcPr>
            <w:tcW w:w="4065" w:type="dxa"/>
            <w:tcBorders>
              <w:bottom w:val="single" w:sz="4" w:space="0" w:color="auto"/>
            </w:tcBorders>
            <w:vAlign w:val="center"/>
          </w:tcPr>
          <w:p w14:paraId="08148280" w14:textId="77777777" w:rsidR="00493B75" w:rsidRPr="005E1202" w:rsidRDefault="00493B75" w:rsidP="005B5C58">
            <w:pPr>
              <w:spacing w:before="60" w:after="60"/>
              <w:jc w:val="center"/>
              <w:rPr>
                <w:rFonts w:cs="Arial"/>
                <w:sz w:val="20"/>
              </w:rPr>
            </w:pPr>
            <w:proofErr w:type="spellStart"/>
            <w:r w:rsidRPr="005E1202">
              <w:rPr>
                <w:rFonts w:cs="Arial"/>
                <w:sz w:val="20"/>
              </w:rPr>
              <w:t>Relapse</w:t>
            </w:r>
            <w:r w:rsidR="005B5C58" w:rsidRPr="005B5C58">
              <w:rPr>
                <w:rFonts w:cs="Arial"/>
                <w:sz w:val="20"/>
                <w:vertAlign w:val="superscript"/>
              </w:rPr>
              <w:t>b</w:t>
            </w:r>
            <w:proofErr w:type="spellEnd"/>
          </w:p>
        </w:tc>
        <w:tc>
          <w:tcPr>
            <w:tcW w:w="2644" w:type="dxa"/>
            <w:tcBorders>
              <w:bottom w:val="single" w:sz="4" w:space="0" w:color="auto"/>
            </w:tcBorders>
            <w:vAlign w:val="center"/>
          </w:tcPr>
          <w:p w14:paraId="15DF135D" w14:textId="77777777" w:rsidR="00493B75" w:rsidRPr="005E1202" w:rsidRDefault="00493B75" w:rsidP="00493B75">
            <w:pPr>
              <w:spacing w:before="60" w:after="60"/>
              <w:jc w:val="center"/>
              <w:rPr>
                <w:rFonts w:eastAsia="MS Mincho" w:cs="Arial"/>
                <w:sz w:val="20"/>
                <w:lang w:eastAsia="ja-JP"/>
              </w:rPr>
            </w:pPr>
            <w:r w:rsidRPr="005E1202">
              <w:rPr>
                <w:rFonts w:eastAsia="MS Mincho" w:cs="Arial"/>
                <w:sz w:val="20"/>
                <w:lang w:eastAsia="ja-JP"/>
              </w:rPr>
              <w:t>0% (0/13)</w:t>
            </w:r>
          </w:p>
        </w:tc>
      </w:tr>
      <w:tr w:rsidR="00493B75" w:rsidRPr="005E1202" w14:paraId="31BAFC71" w14:textId="77777777" w:rsidTr="00DE0924">
        <w:trPr>
          <w:jc w:val="center"/>
        </w:trPr>
        <w:tc>
          <w:tcPr>
            <w:tcW w:w="6709" w:type="dxa"/>
            <w:gridSpan w:val="2"/>
            <w:tcBorders>
              <w:left w:val="nil"/>
              <w:bottom w:val="nil"/>
              <w:right w:val="nil"/>
            </w:tcBorders>
          </w:tcPr>
          <w:p w14:paraId="718D84BC" w14:textId="77777777" w:rsidR="00493B75" w:rsidRPr="005E1202" w:rsidRDefault="005B5C58" w:rsidP="00493B75">
            <w:pPr>
              <w:spacing w:before="60" w:after="60"/>
              <w:rPr>
                <w:rFonts w:cs="Arial"/>
                <w:sz w:val="20"/>
              </w:rPr>
            </w:pPr>
            <w:r w:rsidRPr="005B5C58">
              <w:rPr>
                <w:rFonts w:cs="Arial"/>
                <w:sz w:val="20"/>
                <w:vertAlign w:val="superscript"/>
              </w:rPr>
              <w:t>a.</w:t>
            </w:r>
            <w:r w:rsidR="00493B75" w:rsidRPr="005E1202">
              <w:rPr>
                <w:rFonts w:cs="Arial"/>
                <w:sz w:val="20"/>
              </w:rPr>
              <w:t xml:space="preserve"> Includes patients who previously failed LDV</w:t>
            </w:r>
            <w:r w:rsidR="00A31EE5">
              <w:rPr>
                <w:rFonts w:cs="Arial"/>
                <w:sz w:val="20"/>
              </w:rPr>
              <w:t xml:space="preserve"> </w:t>
            </w:r>
            <w:r w:rsidR="00493B75" w:rsidRPr="005E1202">
              <w:rPr>
                <w:rFonts w:cs="Arial"/>
                <w:sz w:val="20"/>
              </w:rPr>
              <w:t>/</w:t>
            </w:r>
            <w:r w:rsidR="00A31EE5">
              <w:rPr>
                <w:rFonts w:cs="Arial"/>
                <w:sz w:val="20"/>
              </w:rPr>
              <w:t xml:space="preserve"> </w:t>
            </w:r>
            <w:r w:rsidR="00493B75" w:rsidRPr="005E1202">
              <w:rPr>
                <w:rFonts w:cs="Arial"/>
                <w:sz w:val="20"/>
              </w:rPr>
              <w:t>SOF or DCV containing regimens.</w:t>
            </w:r>
          </w:p>
          <w:p w14:paraId="5D2A102A" w14:textId="77777777" w:rsidR="00493B75" w:rsidRPr="005E1202" w:rsidRDefault="005B5C58" w:rsidP="00493B75">
            <w:pPr>
              <w:spacing w:before="60" w:after="60"/>
              <w:rPr>
                <w:rFonts w:cs="Arial"/>
                <w:sz w:val="20"/>
              </w:rPr>
            </w:pPr>
            <w:r w:rsidRPr="005B5C58">
              <w:rPr>
                <w:rFonts w:cs="Arial"/>
                <w:sz w:val="20"/>
                <w:vertAlign w:val="superscript"/>
              </w:rPr>
              <w:t>b</w:t>
            </w:r>
            <w:r w:rsidRPr="00C46F2B">
              <w:rPr>
                <w:rFonts w:cs="Arial"/>
                <w:sz w:val="20"/>
                <w:vertAlign w:val="superscript"/>
              </w:rPr>
              <w:t>.</w:t>
            </w:r>
            <w:r w:rsidRPr="005E1202">
              <w:rPr>
                <w:rFonts w:cs="Arial"/>
                <w:sz w:val="20"/>
              </w:rPr>
              <w:t xml:space="preserve"> </w:t>
            </w:r>
            <w:r w:rsidR="00493B75" w:rsidRPr="005E1202">
              <w:rPr>
                <w:rFonts w:cs="Arial"/>
                <w:sz w:val="20"/>
              </w:rPr>
              <w:t xml:space="preserve">Relapse is defined as HCV RNA ≥ LLOQ after end-of-treatment response among those who completed treatment. </w:t>
            </w:r>
          </w:p>
        </w:tc>
      </w:tr>
    </w:tbl>
    <w:p w14:paraId="6D734514" w14:textId="77777777" w:rsidR="00493B75" w:rsidRPr="005E1202" w:rsidRDefault="00493B75" w:rsidP="00493B75">
      <w:pPr>
        <w:rPr>
          <w:rFonts w:cs="Arial"/>
        </w:rPr>
      </w:pPr>
    </w:p>
    <w:p w14:paraId="7A2DFBC9" w14:textId="2B872B9C" w:rsidR="00493B75" w:rsidRPr="005E1202" w:rsidRDefault="00493B75" w:rsidP="00A31EE5">
      <w:pPr>
        <w:jc w:val="both"/>
        <w:rPr>
          <w:rFonts w:cs="Arial"/>
        </w:rPr>
      </w:pPr>
      <w:r w:rsidRPr="005E1202">
        <w:rPr>
          <w:rFonts w:cs="Arial"/>
        </w:rPr>
        <w:t>Lower SVR</w:t>
      </w:r>
      <w:r w:rsidR="00E436D6">
        <w:rPr>
          <w:rFonts w:cs="Arial"/>
        </w:rPr>
        <w:t>12</w:t>
      </w:r>
      <w:r w:rsidRPr="005E1202">
        <w:rPr>
          <w:rFonts w:cs="Arial"/>
        </w:rPr>
        <w:t xml:space="preserve"> rates were observed in GT1a-infected patients who were retreated with MAVIRET within 12 months of failing a regimen containing both NS3/4A protease inhibitors and NS5A inhibitors.</w:t>
      </w:r>
    </w:p>
    <w:p w14:paraId="51214109" w14:textId="0179F612" w:rsidR="00493B75" w:rsidRDefault="00493B75" w:rsidP="00A31EE5">
      <w:pPr>
        <w:jc w:val="both"/>
        <w:rPr>
          <w:rFonts w:cs="Arial"/>
        </w:rPr>
      </w:pPr>
      <w:r w:rsidRPr="005E1202">
        <w:rPr>
          <w:rFonts w:cs="Arial"/>
        </w:rPr>
        <w:t xml:space="preserve">On the basis of the </w:t>
      </w:r>
      <w:r w:rsidRPr="005E1202">
        <w:rPr>
          <w:rFonts w:cs="Arial"/>
          <w:i/>
          <w:iCs/>
        </w:rPr>
        <w:t xml:space="preserve">in vitro </w:t>
      </w:r>
      <w:r w:rsidRPr="005E1202">
        <w:rPr>
          <w:rFonts w:cs="Arial"/>
        </w:rPr>
        <w:t>pharmacology of pibrentasv</w:t>
      </w:r>
      <w:r w:rsidRPr="00904452">
        <w:rPr>
          <w:rFonts w:cs="Arial"/>
        </w:rPr>
        <w:t xml:space="preserve">ir demonstrating that it retains antiviral activity against NS5A substitutions typically seen in </w:t>
      </w:r>
      <w:r w:rsidR="00F5309A" w:rsidRPr="00904452">
        <w:rPr>
          <w:rFonts w:cs="Arial"/>
        </w:rPr>
        <w:t>GT</w:t>
      </w:r>
      <w:r w:rsidRPr="00904452">
        <w:rPr>
          <w:rFonts w:cs="Arial"/>
        </w:rPr>
        <w:t xml:space="preserve">3 patients who have failed therapy with other NS5A inhibitor containing regimens, and the favourable outcomes of MAVIRET treatment in NS5A inhibitor-naïve patients with baseline NS5A polymorphisms such as Y93H enrolled into the Phase 2 and 3 studies, treatment with MAVIRET for 16 weeks can be considered for patients with </w:t>
      </w:r>
      <w:r w:rsidR="00F5309A" w:rsidRPr="00904452">
        <w:rPr>
          <w:rFonts w:cs="Arial"/>
        </w:rPr>
        <w:t>GT</w:t>
      </w:r>
      <w:r w:rsidRPr="00904452">
        <w:rPr>
          <w:rFonts w:cs="Arial"/>
        </w:rPr>
        <w:t xml:space="preserve">3 who have failed therapy on an NS5A inhibitor-containing regimen and who are deemed at high </w:t>
      </w:r>
      <w:r w:rsidRPr="005E1202">
        <w:rPr>
          <w:rFonts w:cs="Arial"/>
        </w:rPr>
        <w:t>risk for clinical disease progression.</w:t>
      </w:r>
    </w:p>
    <w:p w14:paraId="03C8C938" w14:textId="2F738860" w:rsidR="00C46F2B" w:rsidRPr="00904452" w:rsidRDefault="00C46F2B" w:rsidP="00C46F2B">
      <w:pPr>
        <w:pStyle w:val="Heading4"/>
      </w:pPr>
      <w:r w:rsidRPr="00904452">
        <w:t xml:space="preserve">Clinical Study in </w:t>
      </w:r>
      <w:r w:rsidR="00B93F52" w:rsidRPr="00904452">
        <w:t xml:space="preserve">Adult </w:t>
      </w:r>
      <w:r w:rsidRPr="00904452">
        <w:t>Liver or Kidney Transplant Recipients</w:t>
      </w:r>
    </w:p>
    <w:p w14:paraId="48DC1FBE" w14:textId="789D97AF" w:rsidR="00C46F2B" w:rsidRPr="00904452" w:rsidRDefault="00C46F2B" w:rsidP="00C46F2B">
      <w:pPr>
        <w:jc w:val="both"/>
      </w:pPr>
      <w:r w:rsidRPr="00904452">
        <w:t xml:space="preserve">MAGELLAN-2 was a single-arm, open-label study in 100 post-liver or -kidney transplant HCV GT1 – 6 infected </w:t>
      </w:r>
      <w:r w:rsidR="00FA1AB2">
        <w:t xml:space="preserve">adult </w:t>
      </w:r>
      <w:r w:rsidRPr="00904452">
        <w:t xml:space="preserve">patients without cirrhosis who received MAVIRET for 12 weeks. </w:t>
      </w:r>
      <w:r w:rsidR="00A21000" w:rsidRPr="00904452">
        <w:t xml:space="preserve"> </w:t>
      </w:r>
      <w:r w:rsidRPr="00904452">
        <w:t xml:space="preserve">The study included patients who were HCV </w:t>
      </w:r>
      <w:r w:rsidR="0027614D" w:rsidRPr="00904452">
        <w:t>TN</w:t>
      </w:r>
      <w:r w:rsidRPr="00904452">
        <w:t xml:space="preserve"> or </w:t>
      </w:r>
      <w:r w:rsidR="0027614D" w:rsidRPr="00904452">
        <w:t>PRS</w:t>
      </w:r>
      <w:r w:rsidR="00F5309A" w:rsidRPr="00904452">
        <w:t>-</w:t>
      </w:r>
      <w:r w:rsidR="0027614D" w:rsidRPr="00904452">
        <w:t>TE</w:t>
      </w:r>
      <w:r w:rsidRPr="00904452">
        <w:t xml:space="preserve">, </w:t>
      </w:r>
      <w:proofErr w:type="gramStart"/>
      <w:r w:rsidRPr="00904452">
        <w:t>with the exception of</w:t>
      </w:r>
      <w:proofErr w:type="gramEnd"/>
      <w:r w:rsidRPr="00904452">
        <w:t xml:space="preserve"> GT3-infected subjects who were all </w:t>
      </w:r>
      <w:r w:rsidR="00F5309A" w:rsidRPr="00904452">
        <w:t>TN</w:t>
      </w:r>
      <w:r w:rsidRPr="00904452">
        <w:t xml:space="preserve">. </w:t>
      </w:r>
    </w:p>
    <w:p w14:paraId="3FBA90EB" w14:textId="516DF7D0" w:rsidR="00C46F2B" w:rsidRPr="00904452" w:rsidRDefault="00C46F2B" w:rsidP="00C46F2B">
      <w:pPr>
        <w:jc w:val="both"/>
      </w:pPr>
      <w:r w:rsidRPr="00904452">
        <w:lastRenderedPageBreak/>
        <w:t xml:space="preserve">Of the 100 patients treated, the median age was 60 years (range: 39 to 78); 57% had HCV </w:t>
      </w:r>
      <w:r w:rsidR="00F5309A" w:rsidRPr="00904452">
        <w:t>GT</w:t>
      </w:r>
      <w:r w:rsidRPr="00904452">
        <w:t xml:space="preserve">1, 13% had HCV </w:t>
      </w:r>
      <w:r w:rsidR="00F5309A" w:rsidRPr="00904452">
        <w:t>GT</w:t>
      </w:r>
      <w:r w:rsidRPr="00904452">
        <w:t xml:space="preserve">2, 24% had HCV </w:t>
      </w:r>
      <w:r w:rsidR="00F5309A" w:rsidRPr="00904452">
        <w:t>GT</w:t>
      </w:r>
      <w:r w:rsidRPr="00904452">
        <w:t xml:space="preserve">3, 4% had HCV </w:t>
      </w:r>
      <w:r w:rsidR="00F5309A" w:rsidRPr="00904452">
        <w:t>GT</w:t>
      </w:r>
      <w:r w:rsidRPr="00904452">
        <w:t xml:space="preserve">4, 2% had HCV </w:t>
      </w:r>
      <w:r w:rsidR="00F5309A" w:rsidRPr="00904452">
        <w:t>GT</w:t>
      </w:r>
      <w:r w:rsidRPr="00904452">
        <w:t xml:space="preserve">6; 75% were male; 8% were Black; 80% of patients were post-liver transplant and 20% were post-kidney transplant. </w:t>
      </w:r>
      <w:r w:rsidR="00A21000" w:rsidRPr="00904452">
        <w:t xml:space="preserve"> </w:t>
      </w:r>
      <w:r w:rsidRPr="00904452">
        <w:t xml:space="preserve">Immunosuppressants allowed for coadministration were ciclosporin ≤100 mg, tacrolimus, sirolimus, </w:t>
      </w:r>
      <w:proofErr w:type="spellStart"/>
      <w:r w:rsidRPr="00904452">
        <w:t>everolimus</w:t>
      </w:r>
      <w:proofErr w:type="spellEnd"/>
      <w:r w:rsidRPr="00904452">
        <w:t>, azathioprine, mycophenolic acid, prednisone, and prednisolone.</w:t>
      </w:r>
    </w:p>
    <w:p w14:paraId="7356597D" w14:textId="1D2F333B" w:rsidR="00C46F2B" w:rsidRPr="00904452" w:rsidRDefault="00C46F2B" w:rsidP="00C46F2B">
      <w:pPr>
        <w:jc w:val="both"/>
      </w:pPr>
      <w:r w:rsidRPr="00904452">
        <w:t xml:space="preserve">The overall SVR12 rate in post-transplant patients was 98.0% (98/100). </w:t>
      </w:r>
      <w:r w:rsidR="00A21000" w:rsidRPr="00904452">
        <w:t xml:space="preserve"> </w:t>
      </w:r>
      <w:r w:rsidRPr="00904452">
        <w:t>There was one relapse, and no on-treatment virologic failure.</w:t>
      </w:r>
    </w:p>
    <w:p w14:paraId="347C6C02" w14:textId="59AB1D77" w:rsidR="00B93F52" w:rsidRPr="00904452" w:rsidRDefault="00B93F52" w:rsidP="00B93F52">
      <w:pPr>
        <w:pStyle w:val="Heading4"/>
      </w:pPr>
      <w:r w:rsidRPr="00904452">
        <w:t xml:space="preserve">Clinical Study in </w:t>
      </w:r>
      <w:r w:rsidR="007D52B7">
        <w:t>Paediatric</w:t>
      </w:r>
      <w:r w:rsidR="007D52B7" w:rsidRPr="00904452">
        <w:t xml:space="preserve"> </w:t>
      </w:r>
      <w:r w:rsidRPr="00904452">
        <w:t>Patients</w:t>
      </w:r>
      <w:r w:rsidR="007D52B7">
        <w:t xml:space="preserve"> </w:t>
      </w:r>
      <w:r w:rsidR="007D52B7">
        <w:rPr>
          <w:bCs w:val="0"/>
          <w:i w:val="0"/>
          <w:iCs w:val="0"/>
        </w:rPr>
        <w:t>(3 years to less than 18 years old and weighing at least 12 kg)</w:t>
      </w:r>
    </w:p>
    <w:p w14:paraId="5E68B79B" w14:textId="77777777" w:rsidR="007D52B7" w:rsidRDefault="007D52B7" w:rsidP="007D52B7">
      <w:pPr>
        <w:jc w:val="both"/>
      </w:pPr>
      <w:r>
        <w:t>DORA (Part 1 and Part 2) was an open-label study to evaluate the safety and efficacy of MAVIRET in paediatric patients aged 3 years to less than 18 years old.</w:t>
      </w:r>
    </w:p>
    <w:p w14:paraId="24484FE9" w14:textId="27D6FEB1" w:rsidR="00B93F52" w:rsidRPr="00904452" w:rsidRDefault="00B93F52" w:rsidP="00B93F52">
      <w:pPr>
        <w:jc w:val="both"/>
      </w:pPr>
      <w:r w:rsidRPr="00904452">
        <w:t>DORA Part 1 evaluate</w:t>
      </w:r>
      <w:r w:rsidR="007D52B7">
        <w:t>d the</w:t>
      </w:r>
      <w:r w:rsidRPr="00904452">
        <w:t xml:space="preserve"> safety and efficacy in </w:t>
      </w:r>
      <w:r w:rsidR="007D52B7">
        <w:t xml:space="preserve">47 </w:t>
      </w:r>
      <w:r w:rsidRPr="00904452">
        <w:t>adolescent</w:t>
      </w:r>
      <w:r w:rsidR="007D52B7">
        <w:t xml:space="preserve"> patients</w:t>
      </w:r>
      <w:r w:rsidRPr="00904452">
        <w:t xml:space="preserve"> aged 12 to less than 18 years who received MAVIRET </w:t>
      </w:r>
      <w:r w:rsidR="007D52B7">
        <w:t xml:space="preserve">tablets </w:t>
      </w:r>
      <w:r w:rsidRPr="00904452">
        <w:t>for 8 or 16 weeks. Treatment duration was chosen to match approved adult durations based on HCV genotype and prior treatment experience.</w:t>
      </w:r>
    </w:p>
    <w:p w14:paraId="052E668E" w14:textId="2B4CC697" w:rsidR="00B93F52" w:rsidRPr="00904452" w:rsidRDefault="00B93F52" w:rsidP="00B93F52">
      <w:pPr>
        <w:jc w:val="both"/>
      </w:pPr>
      <w:r w:rsidRPr="00904452">
        <w:t xml:space="preserve">The median age was 14 years (range: 12 to 17); </w:t>
      </w:r>
      <w:r w:rsidR="007D52B7" w:rsidRPr="00904452">
        <w:t>the mean weight was 59 kg (range: 32 to 109 kg)</w:t>
      </w:r>
      <w:r w:rsidR="007D52B7">
        <w:t xml:space="preserve">; </w:t>
      </w:r>
      <w:r w:rsidRPr="00904452">
        <w:t>79% had HCV genotype 1, 6% had HCV genotype 2, 9% had HCV genotype 3, 6% had HCV genotype 4; 55% were female; 11% were Black; 77% were HCV treatment-naïve; 23% were treatment-experienced to interferon; 4% had HIV-coinfection; none had cirrhosis.</w:t>
      </w:r>
    </w:p>
    <w:p w14:paraId="6020FEF2" w14:textId="77777777" w:rsidR="00B93F52" w:rsidRPr="00904452" w:rsidRDefault="00B93F52" w:rsidP="00B93F52">
      <w:pPr>
        <w:jc w:val="both"/>
      </w:pPr>
      <w:r w:rsidRPr="00904452">
        <w:t>The overall SVR12 rate was 100% (47/47).  No subject experienced virologic failure.</w:t>
      </w:r>
    </w:p>
    <w:p w14:paraId="17014340" w14:textId="77777777" w:rsidR="007D52B7" w:rsidRDefault="007D52B7" w:rsidP="007D52B7">
      <w:pPr>
        <w:jc w:val="both"/>
      </w:pPr>
      <w:r>
        <w:t xml:space="preserve">DORA Part 2 evaluated the safety and efficacy in 80 paediatric patients aged 3 years to less than 12 years who received </w:t>
      </w:r>
      <w:proofErr w:type="gramStart"/>
      <w:r>
        <w:t>weight-based</w:t>
      </w:r>
      <w:proofErr w:type="gramEnd"/>
      <w:r>
        <w:t xml:space="preserve"> MAVIRET granules in sachets for 8, 12 or 16 weeks. 18 patients received the initial lower dose, and 62 patients received the final recommended dose. The median age was 7 years (range: 3 to 11); the mean weight was 26 kg (range: 13 to 44); 73% had HCV genotype 1, 3% had genotype 2, 23% had HCV genotype 3, 3% had HCV genotype 4; 55% were female; 6% were Black; 97.5% were HCV TN; 3% were treatment-experienced to interferon; 1% had HIV-coinfection; none had cirrhosis.</w:t>
      </w:r>
    </w:p>
    <w:p w14:paraId="293CA7E2" w14:textId="267D9FEE" w:rsidR="007D52B7" w:rsidRPr="00904452" w:rsidRDefault="007D52B7" w:rsidP="007D52B7">
      <w:pPr>
        <w:jc w:val="both"/>
      </w:pPr>
      <w:r>
        <w:t>The overall SVR12 rate for the patients who received the final recommended dose ratio was 98.4% (61/62). No patient taking the final recommended dose ratio experienced virologic failure.</w:t>
      </w:r>
    </w:p>
    <w:p w14:paraId="52B4139C" w14:textId="77777777" w:rsidR="00493B75" w:rsidRPr="005E1202" w:rsidRDefault="00493B75" w:rsidP="007D5600">
      <w:pPr>
        <w:pStyle w:val="Heading3"/>
      </w:pPr>
      <w:r w:rsidRPr="005E1202">
        <w:lastRenderedPageBreak/>
        <w:t>Geriatric Patients</w:t>
      </w:r>
    </w:p>
    <w:p w14:paraId="6161239B" w14:textId="77777777" w:rsidR="00493B75" w:rsidRPr="005E1202" w:rsidRDefault="00493B75" w:rsidP="00997256">
      <w:pPr>
        <w:jc w:val="both"/>
        <w:rPr>
          <w:rFonts w:cs="Arial"/>
        </w:rPr>
      </w:pPr>
      <w:r w:rsidRPr="005E1202">
        <w:rPr>
          <w:rFonts w:cs="Arial"/>
        </w:rPr>
        <w:t xml:space="preserve">Clinical studies of MAVIRET included 328 patients aged 65 and over (13.8% of total number of patients in the Phase 2 and 3 clinical studies). </w:t>
      </w:r>
      <w:r w:rsidR="00A21000">
        <w:rPr>
          <w:rFonts w:cs="Arial"/>
        </w:rPr>
        <w:t xml:space="preserve"> </w:t>
      </w:r>
      <w:r w:rsidRPr="005E1202">
        <w:rPr>
          <w:rFonts w:cs="Arial"/>
        </w:rPr>
        <w:t xml:space="preserve">The response rates observed for patients </w:t>
      </w:r>
      <w:r w:rsidR="00997256">
        <w:rPr>
          <w:rFonts w:cs="Arial"/>
        </w:rPr>
        <w:t xml:space="preserve">  </w:t>
      </w:r>
      <w:r w:rsidRPr="005E1202">
        <w:rPr>
          <w:rFonts w:cs="Arial"/>
        </w:rPr>
        <w:t xml:space="preserve">≥ 65 years of age (97.9%) were </w:t>
      </w:r>
      <w:proofErr w:type="gramStart"/>
      <w:r w:rsidRPr="005E1202">
        <w:rPr>
          <w:rFonts w:cs="Arial"/>
        </w:rPr>
        <w:t>similar to</w:t>
      </w:r>
      <w:proofErr w:type="gramEnd"/>
      <w:r w:rsidRPr="005E1202">
        <w:rPr>
          <w:rFonts w:cs="Arial"/>
        </w:rPr>
        <w:t xml:space="preserve"> that of patients &lt; 65 years of age (97.3%), across treatment groups.</w:t>
      </w:r>
    </w:p>
    <w:p w14:paraId="669FECA3" w14:textId="77777777" w:rsidR="001A3992" w:rsidRPr="005E1202" w:rsidRDefault="001A3992" w:rsidP="001A3992">
      <w:pPr>
        <w:pStyle w:val="Heading2"/>
        <w:keepNext/>
        <w:spacing w:before="0" w:after="120"/>
        <w:rPr>
          <w:rFonts w:cs="Arial"/>
          <w:lang w:val="en-US"/>
        </w:rPr>
      </w:pPr>
      <w:r w:rsidRPr="005E1202">
        <w:rPr>
          <w:rFonts w:cs="Arial"/>
          <w:lang w:val="en-US"/>
        </w:rPr>
        <w:t xml:space="preserve">Pharmacokinetic properties </w:t>
      </w:r>
    </w:p>
    <w:p w14:paraId="204628AC" w14:textId="77777777" w:rsidR="00493B75" w:rsidRPr="005E1202" w:rsidRDefault="00493B75" w:rsidP="00997256">
      <w:pPr>
        <w:pStyle w:val="Heading3"/>
        <w:jc w:val="both"/>
        <w:rPr>
          <w:rFonts w:cs="Arial"/>
        </w:rPr>
      </w:pPr>
      <w:r w:rsidRPr="005E1202">
        <w:rPr>
          <w:rFonts w:cs="Arial"/>
        </w:rPr>
        <w:t>Absorption, Distribution, Metabolism and Excretion</w:t>
      </w:r>
    </w:p>
    <w:p w14:paraId="6C7E4854" w14:textId="78AA55C9" w:rsidR="005B4E83" w:rsidRDefault="00493B75" w:rsidP="00997256">
      <w:pPr>
        <w:jc w:val="both"/>
        <w:rPr>
          <w:rStyle w:val="gtclinktext12"/>
          <w:rFonts w:cs="Arial"/>
          <w:b/>
        </w:rPr>
      </w:pPr>
      <w:r w:rsidRPr="005E1202">
        <w:rPr>
          <w:rFonts w:cs="Arial"/>
        </w:rPr>
        <w:t xml:space="preserve">The pharmacokinetic properties of the components of MAVIRET in healthy subjects are provided in </w:t>
      </w:r>
      <w:r w:rsidRPr="005E1202">
        <w:rPr>
          <w:rStyle w:val="gtclinktext12"/>
          <w:rFonts w:cs="Arial"/>
        </w:rPr>
        <w:t xml:space="preserve">Table </w:t>
      </w:r>
      <w:r w:rsidR="008D55BB">
        <w:rPr>
          <w:rFonts w:cs="Arial"/>
        </w:rPr>
        <w:t>1</w:t>
      </w:r>
      <w:r w:rsidR="007D52B7">
        <w:rPr>
          <w:rFonts w:cs="Arial"/>
        </w:rPr>
        <w:t>4</w:t>
      </w:r>
      <w:r w:rsidRPr="005E1202">
        <w:rPr>
          <w:rFonts w:cs="Arial"/>
        </w:rPr>
        <w:t>. The steady-state pharmacokinetic parameters of glecaprevir and pibrentasvir in HCV</w:t>
      </w:r>
      <w:r w:rsidRPr="005E1202">
        <w:rPr>
          <w:rFonts w:cs="Arial"/>
        </w:rPr>
        <w:noBreakHyphen/>
        <w:t xml:space="preserve">infected patients without cirrhosis are provided in </w:t>
      </w:r>
      <w:r w:rsidRPr="005E1202">
        <w:rPr>
          <w:rStyle w:val="gtclinktext12"/>
          <w:rFonts w:cs="Arial"/>
        </w:rPr>
        <w:t xml:space="preserve">Table </w:t>
      </w:r>
      <w:r w:rsidR="008D55BB">
        <w:rPr>
          <w:rStyle w:val="gtclinktext12"/>
          <w:rFonts w:cs="Arial"/>
        </w:rPr>
        <w:t>1</w:t>
      </w:r>
      <w:r w:rsidR="007D52B7">
        <w:rPr>
          <w:rStyle w:val="gtclinktext12"/>
          <w:rFonts w:cs="Arial"/>
        </w:rPr>
        <w:t>5</w:t>
      </w:r>
      <w:r w:rsidRPr="005E1202">
        <w:rPr>
          <w:rStyle w:val="gtclinktext12"/>
          <w:rFonts w:cs="Arial"/>
          <w:b/>
        </w:rPr>
        <w:t>.</w:t>
      </w:r>
    </w:p>
    <w:p w14:paraId="2893EDFB" w14:textId="39A9F356" w:rsidR="00493B75" w:rsidRPr="005E1202" w:rsidRDefault="00493B75" w:rsidP="003B0ECB">
      <w:pPr>
        <w:pageBreakBefore/>
        <w:jc w:val="both"/>
        <w:rPr>
          <w:rFonts w:cs="Arial"/>
          <w:b/>
        </w:rPr>
      </w:pPr>
      <w:r w:rsidRPr="005E1202">
        <w:rPr>
          <w:rFonts w:cs="Arial"/>
          <w:b/>
        </w:rPr>
        <w:lastRenderedPageBreak/>
        <w:t xml:space="preserve">Table </w:t>
      </w:r>
      <w:r w:rsidR="008D55BB">
        <w:rPr>
          <w:rFonts w:cs="Arial"/>
          <w:b/>
        </w:rPr>
        <w:t>1</w:t>
      </w:r>
      <w:r w:rsidR="007D52B7">
        <w:rPr>
          <w:rFonts w:cs="Arial"/>
          <w:b/>
        </w:rPr>
        <w:t>4</w:t>
      </w:r>
      <w:r w:rsidRPr="005E1202">
        <w:rPr>
          <w:rFonts w:cs="Arial"/>
          <w:b/>
        </w:rPr>
        <w:t>. Pharmacokinetic Properties of the Components of MAVIRET in Healthy Subjects</w:t>
      </w:r>
    </w:p>
    <w:tbl>
      <w:tblPr>
        <w:tblStyle w:val="TableGrid"/>
        <w:tblW w:w="7696" w:type="dxa"/>
        <w:jc w:val="center"/>
        <w:tblLayout w:type="fixed"/>
        <w:tblLook w:val="04A0" w:firstRow="1" w:lastRow="0" w:firstColumn="1" w:lastColumn="0" w:noHBand="0" w:noVBand="1"/>
      </w:tblPr>
      <w:tblGrid>
        <w:gridCol w:w="4587"/>
        <w:gridCol w:w="1563"/>
        <w:gridCol w:w="1546"/>
      </w:tblGrid>
      <w:tr w:rsidR="00493B75" w:rsidRPr="005E1202" w14:paraId="4E1B8226" w14:textId="77777777" w:rsidTr="005B4E83">
        <w:trPr>
          <w:cantSplit/>
          <w:trHeight w:val="271"/>
          <w:tblHeader/>
          <w:jc w:val="center"/>
        </w:trPr>
        <w:tc>
          <w:tcPr>
            <w:tcW w:w="4587" w:type="dxa"/>
            <w:vAlign w:val="center"/>
          </w:tcPr>
          <w:p w14:paraId="4E1D80A9" w14:textId="77777777" w:rsidR="00493B75" w:rsidRPr="005E1202" w:rsidRDefault="00493B75" w:rsidP="00493B75">
            <w:pPr>
              <w:spacing w:before="60" w:after="60"/>
              <w:jc w:val="center"/>
              <w:rPr>
                <w:rFonts w:cs="Arial"/>
              </w:rPr>
            </w:pPr>
          </w:p>
        </w:tc>
        <w:tc>
          <w:tcPr>
            <w:tcW w:w="1563" w:type="dxa"/>
            <w:vAlign w:val="center"/>
          </w:tcPr>
          <w:p w14:paraId="5CDDC25D" w14:textId="77777777" w:rsidR="00493B75" w:rsidRPr="005E1202" w:rsidRDefault="00493B75" w:rsidP="00493B75">
            <w:pPr>
              <w:spacing w:before="60" w:after="60"/>
              <w:jc w:val="center"/>
              <w:rPr>
                <w:rFonts w:cs="Arial"/>
                <w:b/>
              </w:rPr>
            </w:pPr>
            <w:r w:rsidRPr="005E1202">
              <w:rPr>
                <w:rFonts w:cs="Arial"/>
                <w:b/>
              </w:rPr>
              <w:t>Glecaprevir</w:t>
            </w:r>
          </w:p>
        </w:tc>
        <w:tc>
          <w:tcPr>
            <w:tcW w:w="1546" w:type="dxa"/>
            <w:vAlign w:val="center"/>
          </w:tcPr>
          <w:p w14:paraId="42764400" w14:textId="77777777" w:rsidR="00493B75" w:rsidRPr="005E1202" w:rsidRDefault="00493B75" w:rsidP="00493B75">
            <w:pPr>
              <w:spacing w:before="60" w:after="60"/>
              <w:jc w:val="center"/>
              <w:rPr>
                <w:rFonts w:cs="Arial"/>
                <w:b/>
              </w:rPr>
            </w:pPr>
            <w:r w:rsidRPr="005E1202">
              <w:rPr>
                <w:rFonts w:cs="Arial"/>
                <w:b/>
              </w:rPr>
              <w:t>Pibrentasvir</w:t>
            </w:r>
          </w:p>
        </w:tc>
      </w:tr>
      <w:tr w:rsidR="00493B75" w:rsidRPr="005E1202" w14:paraId="3F415EAA" w14:textId="77777777" w:rsidTr="005B4E83">
        <w:trPr>
          <w:cantSplit/>
          <w:trHeight w:val="271"/>
          <w:jc w:val="center"/>
        </w:trPr>
        <w:tc>
          <w:tcPr>
            <w:tcW w:w="4587" w:type="dxa"/>
            <w:vAlign w:val="center"/>
          </w:tcPr>
          <w:p w14:paraId="105CD6F5" w14:textId="77777777" w:rsidR="00493B75" w:rsidRPr="005E1202" w:rsidRDefault="00493B75" w:rsidP="00493B75">
            <w:pPr>
              <w:spacing w:before="60" w:after="60"/>
              <w:jc w:val="center"/>
              <w:rPr>
                <w:rFonts w:cs="Arial"/>
                <w:b/>
              </w:rPr>
            </w:pPr>
            <w:r w:rsidRPr="005E1202">
              <w:rPr>
                <w:rFonts w:cs="Arial"/>
                <w:b/>
              </w:rPr>
              <w:t>Absorption</w:t>
            </w:r>
          </w:p>
        </w:tc>
        <w:tc>
          <w:tcPr>
            <w:tcW w:w="1563" w:type="dxa"/>
            <w:vAlign w:val="center"/>
          </w:tcPr>
          <w:p w14:paraId="54AF1EBD" w14:textId="77777777" w:rsidR="00493B75" w:rsidRPr="005E1202" w:rsidRDefault="00493B75" w:rsidP="00493B75">
            <w:pPr>
              <w:spacing w:before="60" w:after="60"/>
              <w:jc w:val="center"/>
              <w:rPr>
                <w:rFonts w:cs="Arial"/>
              </w:rPr>
            </w:pPr>
          </w:p>
        </w:tc>
        <w:tc>
          <w:tcPr>
            <w:tcW w:w="1546" w:type="dxa"/>
            <w:vAlign w:val="center"/>
          </w:tcPr>
          <w:p w14:paraId="5D3B192B" w14:textId="77777777" w:rsidR="00493B75" w:rsidRPr="005E1202" w:rsidRDefault="00493B75" w:rsidP="00493B75">
            <w:pPr>
              <w:spacing w:before="60" w:after="60"/>
              <w:jc w:val="center"/>
              <w:rPr>
                <w:rFonts w:cs="Arial"/>
              </w:rPr>
            </w:pPr>
          </w:p>
        </w:tc>
      </w:tr>
      <w:tr w:rsidR="00493B75" w:rsidRPr="005E1202" w14:paraId="4D2F582D" w14:textId="77777777" w:rsidTr="005B4E83">
        <w:trPr>
          <w:cantSplit/>
          <w:trHeight w:val="271"/>
          <w:jc w:val="center"/>
        </w:trPr>
        <w:tc>
          <w:tcPr>
            <w:tcW w:w="4587" w:type="dxa"/>
            <w:vAlign w:val="center"/>
          </w:tcPr>
          <w:p w14:paraId="49D963A4" w14:textId="2CBC3B63" w:rsidR="00493B75" w:rsidRPr="005E1202" w:rsidRDefault="00493B75" w:rsidP="00493B75">
            <w:pPr>
              <w:spacing w:before="60" w:after="60"/>
              <w:jc w:val="center"/>
              <w:rPr>
                <w:rFonts w:cs="Arial"/>
              </w:rPr>
            </w:pPr>
            <w:proofErr w:type="spellStart"/>
            <w:r w:rsidRPr="005E1202">
              <w:rPr>
                <w:rFonts w:cs="Arial"/>
              </w:rPr>
              <w:t>T</w:t>
            </w:r>
            <w:r w:rsidRPr="005E1202">
              <w:rPr>
                <w:rFonts w:cs="Arial"/>
                <w:vertAlign w:val="subscript"/>
              </w:rPr>
              <w:t>max</w:t>
            </w:r>
            <w:proofErr w:type="spellEnd"/>
            <w:r w:rsidRPr="005E1202">
              <w:rPr>
                <w:rFonts w:cs="Arial"/>
              </w:rPr>
              <w:t xml:space="preserve"> (h)</w:t>
            </w:r>
            <w:r w:rsidRPr="005E1202">
              <w:rPr>
                <w:rFonts w:cs="Arial"/>
                <w:vertAlign w:val="superscript"/>
              </w:rPr>
              <w:t>a</w:t>
            </w:r>
            <w:r w:rsidR="007D52B7">
              <w:rPr>
                <w:rFonts w:cs="Arial"/>
                <w:vertAlign w:val="superscript"/>
              </w:rPr>
              <w:t xml:space="preserve"> </w:t>
            </w:r>
            <w:r w:rsidR="007D52B7">
              <w:rPr>
                <w:rFonts w:cs="Arial"/>
              </w:rPr>
              <w:t>of tablets</w:t>
            </w:r>
          </w:p>
        </w:tc>
        <w:tc>
          <w:tcPr>
            <w:tcW w:w="1563" w:type="dxa"/>
            <w:vAlign w:val="center"/>
          </w:tcPr>
          <w:p w14:paraId="33D07A26" w14:textId="77777777" w:rsidR="00493B75" w:rsidRPr="005E1202" w:rsidRDefault="00493B75" w:rsidP="00493B75">
            <w:pPr>
              <w:spacing w:before="60" w:after="60"/>
              <w:jc w:val="center"/>
              <w:rPr>
                <w:rFonts w:cs="Arial"/>
              </w:rPr>
            </w:pPr>
            <w:r w:rsidRPr="005E1202">
              <w:rPr>
                <w:rFonts w:cs="Arial"/>
              </w:rPr>
              <w:t>5.0</w:t>
            </w:r>
          </w:p>
        </w:tc>
        <w:tc>
          <w:tcPr>
            <w:tcW w:w="1546" w:type="dxa"/>
            <w:vAlign w:val="center"/>
          </w:tcPr>
          <w:p w14:paraId="5FEAC909" w14:textId="77777777" w:rsidR="00493B75" w:rsidRPr="005E1202" w:rsidRDefault="00493B75" w:rsidP="00493B75">
            <w:pPr>
              <w:spacing w:before="60" w:after="60"/>
              <w:jc w:val="center"/>
              <w:rPr>
                <w:rFonts w:cs="Arial"/>
              </w:rPr>
            </w:pPr>
            <w:r w:rsidRPr="005E1202">
              <w:rPr>
                <w:rFonts w:cs="Arial"/>
              </w:rPr>
              <w:t>5.0</w:t>
            </w:r>
          </w:p>
        </w:tc>
      </w:tr>
      <w:tr w:rsidR="007D52B7" w:rsidRPr="005E1202" w14:paraId="514D22B9" w14:textId="77777777" w:rsidTr="005B4E83">
        <w:trPr>
          <w:cantSplit/>
          <w:trHeight w:val="271"/>
          <w:jc w:val="center"/>
        </w:trPr>
        <w:tc>
          <w:tcPr>
            <w:tcW w:w="4587" w:type="dxa"/>
            <w:vAlign w:val="center"/>
          </w:tcPr>
          <w:p w14:paraId="4D5D61E8" w14:textId="4B02137C" w:rsidR="007D52B7" w:rsidRPr="005E1202" w:rsidRDefault="007D52B7" w:rsidP="007D52B7">
            <w:pPr>
              <w:spacing w:before="60" w:after="60"/>
              <w:jc w:val="center"/>
              <w:rPr>
                <w:rFonts w:cs="Arial"/>
              </w:rPr>
            </w:pPr>
            <w:proofErr w:type="spellStart"/>
            <w:r w:rsidRPr="005E1202">
              <w:rPr>
                <w:rFonts w:cs="Arial"/>
              </w:rPr>
              <w:t>T</w:t>
            </w:r>
            <w:r w:rsidRPr="005E1202">
              <w:rPr>
                <w:rFonts w:cs="Arial"/>
                <w:vertAlign w:val="subscript"/>
              </w:rPr>
              <w:t>max</w:t>
            </w:r>
            <w:proofErr w:type="spellEnd"/>
            <w:r w:rsidRPr="005E1202">
              <w:rPr>
                <w:rFonts w:cs="Arial"/>
              </w:rPr>
              <w:t xml:space="preserve"> (h)</w:t>
            </w:r>
            <w:r w:rsidRPr="005E1202">
              <w:rPr>
                <w:rFonts w:cs="Arial"/>
                <w:vertAlign w:val="superscript"/>
              </w:rPr>
              <w:t>a</w:t>
            </w:r>
            <w:r>
              <w:rPr>
                <w:rFonts w:cs="Arial"/>
                <w:vertAlign w:val="superscript"/>
              </w:rPr>
              <w:t xml:space="preserve"> </w:t>
            </w:r>
            <w:r>
              <w:rPr>
                <w:rFonts w:cs="Arial"/>
              </w:rPr>
              <w:t>of granules</w:t>
            </w:r>
          </w:p>
        </w:tc>
        <w:tc>
          <w:tcPr>
            <w:tcW w:w="1563" w:type="dxa"/>
            <w:vAlign w:val="center"/>
          </w:tcPr>
          <w:p w14:paraId="1281EBE8" w14:textId="29B26566" w:rsidR="007D52B7" w:rsidRPr="005E1202" w:rsidRDefault="007D52B7" w:rsidP="007D52B7">
            <w:pPr>
              <w:spacing w:before="60" w:after="60"/>
              <w:jc w:val="center"/>
              <w:rPr>
                <w:rFonts w:cs="Arial"/>
              </w:rPr>
            </w:pPr>
            <w:r>
              <w:rPr>
                <w:rFonts w:cs="Arial"/>
              </w:rPr>
              <w:t>3.0</w:t>
            </w:r>
          </w:p>
        </w:tc>
        <w:tc>
          <w:tcPr>
            <w:tcW w:w="1546" w:type="dxa"/>
            <w:vAlign w:val="center"/>
          </w:tcPr>
          <w:p w14:paraId="1D43E8F8" w14:textId="3BE8BC5E" w:rsidR="007D52B7" w:rsidRPr="005E1202" w:rsidRDefault="007D52B7" w:rsidP="007D52B7">
            <w:pPr>
              <w:spacing w:before="60" w:after="60"/>
              <w:jc w:val="center"/>
              <w:rPr>
                <w:rFonts w:cs="Arial"/>
              </w:rPr>
            </w:pPr>
            <w:r>
              <w:rPr>
                <w:rFonts w:cs="Arial"/>
              </w:rPr>
              <w:t>5.0</w:t>
            </w:r>
          </w:p>
        </w:tc>
      </w:tr>
      <w:tr w:rsidR="007D52B7" w:rsidRPr="005E1202" w14:paraId="69DC737C" w14:textId="77777777" w:rsidTr="005B4E83">
        <w:trPr>
          <w:cantSplit/>
          <w:trHeight w:val="271"/>
          <w:jc w:val="center"/>
        </w:trPr>
        <w:tc>
          <w:tcPr>
            <w:tcW w:w="4587" w:type="dxa"/>
            <w:vAlign w:val="center"/>
          </w:tcPr>
          <w:p w14:paraId="2C56A47E" w14:textId="5AE50EF1" w:rsidR="007D52B7" w:rsidRPr="005E1202" w:rsidRDefault="007D52B7" w:rsidP="007D52B7">
            <w:pPr>
              <w:spacing w:before="60" w:after="60"/>
              <w:jc w:val="center"/>
              <w:rPr>
                <w:rFonts w:cs="Arial"/>
              </w:rPr>
            </w:pPr>
            <w:r w:rsidRPr="005E1202">
              <w:rPr>
                <w:rFonts w:cs="Arial"/>
              </w:rPr>
              <w:t xml:space="preserve">Effect of meal (relative to </w:t>
            </w:r>
            <w:proofErr w:type="gramStart"/>
            <w:r w:rsidRPr="005E1202">
              <w:rPr>
                <w:rFonts w:cs="Arial"/>
              </w:rPr>
              <w:t>fasting)</w:t>
            </w:r>
            <w:r w:rsidRPr="005E1202">
              <w:rPr>
                <w:rFonts w:cs="Arial"/>
                <w:vertAlign w:val="superscript"/>
              </w:rPr>
              <w:t>b</w:t>
            </w:r>
            <w:proofErr w:type="gramEnd"/>
            <w:r>
              <w:rPr>
                <w:rFonts w:cs="Arial"/>
                <w:vertAlign w:val="superscript"/>
              </w:rPr>
              <w:t xml:space="preserve"> </w:t>
            </w:r>
            <w:r>
              <w:rPr>
                <w:rFonts w:cs="Arial"/>
              </w:rPr>
              <w:t>on tablets</w:t>
            </w:r>
          </w:p>
        </w:tc>
        <w:tc>
          <w:tcPr>
            <w:tcW w:w="1563" w:type="dxa"/>
            <w:vAlign w:val="center"/>
          </w:tcPr>
          <w:p w14:paraId="12F15011" w14:textId="77777777" w:rsidR="007D52B7" w:rsidRPr="005E1202" w:rsidRDefault="007D52B7" w:rsidP="007D52B7">
            <w:pPr>
              <w:spacing w:before="60" w:after="60"/>
              <w:jc w:val="center"/>
              <w:rPr>
                <w:rFonts w:cs="Arial"/>
              </w:rPr>
            </w:pPr>
            <w:r w:rsidRPr="005E1202">
              <w:rPr>
                <w:rFonts w:cs="Arial"/>
              </w:rPr>
              <w:t>↑ 83-163%</w:t>
            </w:r>
          </w:p>
        </w:tc>
        <w:tc>
          <w:tcPr>
            <w:tcW w:w="1546" w:type="dxa"/>
            <w:vAlign w:val="center"/>
          </w:tcPr>
          <w:p w14:paraId="4E994AEE" w14:textId="77777777" w:rsidR="007D52B7" w:rsidRPr="005E1202" w:rsidRDefault="007D52B7" w:rsidP="007D52B7">
            <w:pPr>
              <w:spacing w:before="60" w:after="60"/>
              <w:jc w:val="center"/>
              <w:rPr>
                <w:rFonts w:cs="Arial"/>
              </w:rPr>
            </w:pPr>
            <w:r w:rsidRPr="005E1202">
              <w:rPr>
                <w:rFonts w:cs="Arial"/>
              </w:rPr>
              <w:t>↑ 40-53%</w:t>
            </w:r>
          </w:p>
        </w:tc>
      </w:tr>
      <w:tr w:rsidR="007D52B7" w:rsidRPr="005E1202" w14:paraId="46A705D2" w14:textId="77777777" w:rsidTr="00942C76">
        <w:trPr>
          <w:cantSplit/>
          <w:trHeight w:val="271"/>
          <w:jc w:val="center"/>
        </w:trPr>
        <w:tc>
          <w:tcPr>
            <w:tcW w:w="4587" w:type="dxa"/>
            <w:vAlign w:val="center"/>
          </w:tcPr>
          <w:p w14:paraId="2D016801" w14:textId="356F5BD2" w:rsidR="007D52B7" w:rsidRPr="005E1202" w:rsidRDefault="007D52B7" w:rsidP="007D52B7">
            <w:pPr>
              <w:spacing w:before="60" w:after="60"/>
              <w:jc w:val="center"/>
              <w:rPr>
                <w:rFonts w:cs="Arial"/>
                <w:b/>
              </w:rPr>
            </w:pPr>
            <w:r w:rsidRPr="005E1202">
              <w:rPr>
                <w:rFonts w:cs="Arial"/>
              </w:rPr>
              <w:t xml:space="preserve">Effect of meal (relative to </w:t>
            </w:r>
            <w:proofErr w:type="gramStart"/>
            <w:r w:rsidRPr="005E1202">
              <w:rPr>
                <w:rFonts w:cs="Arial"/>
              </w:rPr>
              <w:t>fasting)</w:t>
            </w:r>
            <w:r w:rsidRPr="005E1202">
              <w:rPr>
                <w:rFonts w:cs="Arial"/>
                <w:vertAlign w:val="superscript"/>
              </w:rPr>
              <w:t>b</w:t>
            </w:r>
            <w:proofErr w:type="gramEnd"/>
            <w:r>
              <w:rPr>
                <w:rFonts w:cs="Arial"/>
                <w:vertAlign w:val="superscript"/>
              </w:rPr>
              <w:t xml:space="preserve"> </w:t>
            </w:r>
            <w:r>
              <w:rPr>
                <w:rFonts w:cs="Arial"/>
              </w:rPr>
              <w:t>on granules</w:t>
            </w:r>
          </w:p>
        </w:tc>
        <w:tc>
          <w:tcPr>
            <w:tcW w:w="1563" w:type="dxa"/>
          </w:tcPr>
          <w:p w14:paraId="29FFBA6B" w14:textId="0C226255" w:rsidR="007D52B7" w:rsidRPr="005E1202" w:rsidRDefault="007D52B7" w:rsidP="007D52B7">
            <w:pPr>
              <w:spacing w:before="60" w:after="60"/>
              <w:jc w:val="center"/>
              <w:rPr>
                <w:rFonts w:cs="Arial"/>
              </w:rPr>
            </w:pPr>
            <w:r w:rsidRPr="00D1667C">
              <w:t>↑ 131-167%</w:t>
            </w:r>
          </w:p>
        </w:tc>
        <w:tc>
          <w:tcPr>
            <w:tcW w:w="1546" w:type="dxa"/>
          </w:tcPr>
          <w:p w14:paraId="529F5C5C" w14:textId="1E22FE98" w:rsidR="007D52B7" w:rsidRPr="005E1202" w:rsidRDefault="007D52B7" w:rsidP="007D52B7">
            <w:pPr>
              <w:spacing w:before="60" w:after="60"/>
              <w:jc w:val="center"/>
              <w:rPr>
                <w:rFonts w:cs="Arial"/>
              </w:rPr>
            </w:pPr>
            <w:r w:rsidRPr="00D1667C">
              <w:t>↑ 56-114%</w:t>
            </w:r>
          </w:p>
        </w:tc>
      </w:tr>
      <w:tr w:rsidR="007D52B7" w:rsidRPr="005E1202" w14:paraId="7120DF80" w14:textId="77777777" w:rsidTr="005B4E83">
        <w:trPr>
          <w:cantSplit/>
          <w:trHeight w:val="271"/>
          <w:jc w:val="center"/>
        </w:trPr>
        <w:tc>
          <w:tcPr>
            <w:tcW w:w="4587" w:type="dxa"/>
            <w:vAlign w:val="center"/>
          </w:tcPr>
          <w:p w14:paraId="494752E2" w14:textId="77777777" w:rsidR="007D52B7" w:rsidRPr="005E1202" w:rsidRDefault="007D52B7" w:rsidP="007D52B7">
            <w:pPr>
              <w:spacing w:before="60" w:after="60"/>
              <w:jc w:val="center"/>
              <w:rPr>
                <w:rFonts w:cs="Arial"/>
                <w:b/>
              </w:rPr>
            </w:pPr>
            <w:r w:rsidRPr="005E1202">
              <w:rPr>
                <w:rFonts w:cs="Arial"/>
                <w:b/>
              </w:rPr>
              <w:t>Distribution</w:t>
            </w:r>
          </w:p>
        </w:tc>
        <w:tc>
          <w:tcPr>
            <w:tcW w:w="1563" w:type="dxa"/>
            <w:vAlign w:val="center"/>
          </w:tcPr>
          <w:p w14:paraId="50438516" w14:textId="77777777" w:rsidR="007D52B7" w:rsidRPr="005E1202" w:rsidRDefault="007D52B7" w:rsidP="007D52B7">
            <w:pPr>
              <w:spacing w:before="60" w:after="60"/>
              <w:jc w:val="center"/>
              <w:rPr>
                <w:rFonts w:cs="Arial"/>
              </w:rPr>
            </w:pPr>
          </w:p>
        </w:tc>
        <w:tc>
          <w:tcPr>
            <w:tcW w:w="1546" w:type="dxa"/>
            <w:vAlign w:val="center"/>
          </w:tcPr>
          <w:p w14:paraId="495586CA" w14:textId="77777777" w:rsidR="007D52B7" w:rsidRPr="005E1202" w:rsidRDefault="007D52B7" w:rsidP="007D52B7">
            <w:pPr>
              <w:spacing w:before="60" w:after="60"/>
              <w:jc w:val="center"/>
              <w:rPr>
                <w:rFonts w:cs="Arial"/>
              </w:rPr>
            </w:pPr>
          </w:p>
        </w:tc>
      </w:tr>
      <w:tr w:rsidR="007D52B7" w:rsidRPr="005E1202" w14:paraId="7827E30C" w14:textId="77777777" w:rsidTr="005B4E83">
        <w:trPr>
          <w:cantSplit/>
          <w:trHeight w:val="271"/>
          <w:jc w:val="center"/>
        </w:trPr>
        <w:tc>
          <w:tcPr>
            <w:tcW w:w="4587" w:type="dxa"/>
            <w:vAlign w:val="center"/>
          </w:tcPr>
          <w:p w14:paraId="152B35D4" w14:textId="77777777" w:rsidR="007D52B7" w:rsidRPr="005E1202" w:rsidRDefault="007D52B7" w:rsidP="007D52B7">
            <w:pPr>
              <w:spacing w:before="60" w:after="60"/>
              <w:jc w:val="center"/>
              <w:rPr>
                <w:rFonts w:cs="Arial"/>
              </w:rPr>
            </w:pPr>
            <w:r w:rsidRPr="005E1202">
              <w:rPr>
                <w:rFonts w:cs="Arial"/>
              </w:rPr>
              <w:t>% Bound to human plasma proteins</w:t>
            </w:r>
          </w:p>
        </w:tc>
        <w:tc>
          <w:tcPr>
            <w:tcW w:w="1563" w:type="dxa"/>
            <w:vAlign w:val="center"/>
          </w:tcPr>
          <w:p w14:paraId="35BCB11A" w14:textId="77777777" w:rsidR="007D52B7" w:rsidRPr="005E1202" w:rsidRDefault="007D52B7" w:rsidP="007D52B7">
            <w:pPr>
              <w:spacing w:before="60" w:after="60"/>
              <w:jc w:val="center"/>
              <w:rPr>
                <w:rFonts w:cs="Arial"/>
              </w:rPr>
            </w:pPr>
            <w:r w:rsidRPr="005E1202">
              <w:rPr>
                <w:rFonts w:cs="Arial"/>
              </w:rPr>
              <w:t>97.5</w:t>
            </w:r>
          </w:p>
        </w:tc>
        <w:tc>
          <w:tcPr>
            <w:tcW w:w="1546" w:type="dxa"/>
            <w:vAlign w:val="center"/>
          </w:tcPr>
          <w:p w14:paraId="22E2F6EF" w14:textId="77777777" w:rsidR="007D52B7" w:rsidRPr="005E1202" w:rsidRDefault="007D52B7" w:rsidP="007D52B7">
            <w:pPr>
              <w:spacing w:before="60" w:after="60"/>
              <w:jc w:val="center"/>
              <w:rPr>
                <w:rFonts w:cs="Arial"/>
              </w:rPr>
            </w:pPr>
            <w:r w:rsidRPr="005E1202">
              <w:rPr>
                <w:rFonts w:cs="Arial"/>
              </w:rPr>
              <w:t>&gt; 99.9</w:t>
            </w:r>
          </w:p>
        </w:tc>
      </w:tr>
      <w:tr w:rsidR="007D52B7" w:rsidRPr="005E1202" w14:paraId="2F597441" w14:textId="77777777" w:rsidTr="005B4E83">
        <w:trPr>
          <w:cantSplit/>
          <w:trHeight w:val="271"/>
          <w:jc w:val="center"/>
        </w:trPr>
        <w:tc>
          <w:tcPr>
            <w:tcW w:w="4587" w:type="dxa"/>
            <w:vAlign w:val="center"/>
          </w:tcPr>
          <w:p w14:paraId="2D3E345A" w14:textId="77777777" w:rsidR="007D52B7" w:rsidRPr="005E1202" w:rsidRDefault="007D52B7" w:rsidP="007D52B7">
            <w:pPr>
              <w:spacing w:before="60" w:after="60"/>
              <w:jc w:val="center"/>
              <w:rPr>
                <w:rFonts w:cs="Arial"/>
              </w:rPr>
            </w:pPr>
            <w:r w:rsidRPr="005E1202">
              <w:rPr>
                <w:rFonts w:cs="Arial"/>
              </w:rPr>
              <w:t>Blood-to-plasma ratio</w:t>
            </w:r>
          </w:p>
        </w:tc>
        <w:tc>
          <w:tcPr>
            <w:tcW w:w="1563" w:type="dxa"/>
            <w:vAlign w:val="center"/>
          </w:tcPr>
          <w:p w14:paraId="466B373D" w14:textId="77777777" w:rsidR="007D52B7" w:rsidRPr="005E1202" w:rsidRDefault="007D52B7" w:rsidP="007D52B7">
            <w:pPr>
              <w:spacing w:before="60" w:after="60"/>
              <w:jc w:val="center"/>
              <w:rPr>
                <w:rFonts w:cs="Arial"/>
              </w:rPr>
            </w:pPr>
            <w:r w:rsidRPr="005E1202">
              <w:rPr>
                <w:rFonts w:cs="Arial"/>
              </w:rPr>
              <w:t>0.57</w:t>
            </w:r>
          </w:p>
        </w:tc>
        <w:tc>
          <w:tcPr>
            <w:tcW w:w="1546" w:type="dxa"/>
            <w:vAlign w:val="center"/>
          </w:tcPr>
          <w:p w14:paraId="1A32F122" w14:textId="77777777" w:rsidR="007D52B7" w:rsidRPr="005E1202" w:rsidRDefault="007D52B7" w:rsidP="007D52B7">
            <w:pPr>
              <w:spacing w:before="60" w:after="60"/>
              <w:jc w:val="center"/>
              <w:rPr>
                <w:rFonts w:cs="Arial"/>
              </w:rPr>
            </w:pPr>
            <w:r w:rsidRPr="005E1202">
              <w:rPr>
                <w:rFonts w:cs="Arial"/>
              </w:rPr>
              <w:t>0.62</w:t>
            </w:r>
          </w:p>
        </w:tc>
      </w:tr>
      <w:tr w:rsidR="007D52B7" w:rsidRPr="005E1202" w14:paraId="197708D5" w14:textId="77777777" w:rsidTr="005B4E83">
        <w:trPr>
          <w:cantSplit/>
          <w:trHeight w:val="271"/>
          <w:jc w:val="center"/>
        </w:trPr>
        <w:tc>
          <w:tcPr>
            <w:tcW w:w="4587" w:type="dxa"/>
            <w:vAlign w:val="center"/>
          </w:tcPr>
          <w:p w14:paraId="15CD9F5B" w14:textId="77777777" w:rsidR="007D52B7" w:rsidRPr="005E1202" w:rsidRDefault="007D52B7" w:rsidP="007D52B7">
            <w:pPr>
              <w:spacing w:before="60" w:after="60"/>
              <w:jc w:val="center"/>
              <w:rPr>
                <w:rFonts w:cs="Arial"/>
              </w:rPr>
            </w:pPr>
            <w:r w:rsidRPr="005E1202">
              <w:rPr>
                <w:rFonts w:cs="Arial"/>
                <w:b/>
                <w:bCs/>
              </w:rPr>
              <w:t>Metabolism</w:t>
            </w:r>
          </w:p>
        </w:tc>
        <w:tc>
          <w:tcPr>
            <w:tcW w:w="1563" w:type="dxa"/>
            <w:vAlign w:val="center"/>
          </w:tcPr>
          <w:p w14:paraId="0C673350" w14:textId="77777777" w:rsidR="007D52B7" w:rsidRPr="005E1202" w:rsidRDefault="007D52B7" w:rsidP="007D52B7">
            <w:pPr>
              <w:spacing w:before="60" w:after="60"/>
              <w:jc w:val="center"/>
              <w:rPr>
                <w:rFonts w:cs="Arial"/>
              </w:rPr>
            </w:pPr>
          </w:p>
        </w:tc>
        <w:tc>
          <w:tcPr>
            <w:tcW w:w="1546" w:type="dxa"/>
            <w:vAlign w:val="center"/>
          </w:tcPr>
          <w:p w14:paraId="6E2841F3" w14:textId="77777777" w:rsidR="007D52B7" w:rsidRPr="005E1202" w:rsidRDefault="007D52B7" w:rsidP="007D52B7">
            <w:pPr>
              <w:spacing w:before="60" w:after="60"/>
              <w:jc w:val="center"/>
              <w:rPr>
                <w:rFonts w:cs="Arial"/>
              </w:rPr>
            </w:pPr>
          </w:p>
        </w:tc>
      </w:tr>
      <w:tr w:rsidR="007D52B7" w:rsidRPr="005E1202" w14:paraId="487AA182" w14:textId="77777777" w:rsidTr="005B4E83">
        <w:trPr>
          <w:cantSplit/>
          <w:trHeight w:val="271"/>
          <w:jc w:val="center"/>
        </w:trPr>
        <w:tc>
          <w:tcPr>
            <w:tcW w:w="4587" w:type="dxa"/>
            <w:vAlign w:val="center"/>
          </w:tcPr>
          <w:p w14:paraId="069A891B" w14:textId="77777777" w:rsidR="007D52B7" w:rsidRDefault="007D52B7" w:rsidP="007D52B7">
            <w:pPr>
              <w:spacing w:before="60" w:after="60"/>
              <w:jc w:val="center"/>
              <w:rPr>
                <w:rFonts w:cs="Arial"/>
                <w:bCs/>
              </w:rPr>
            </w:pPr>
            <w:r w:rsidRPr="005E1202">
              <w:rPr>
                <w:rFonts w:cs="Arial"/>
                <w:bCs/>
              </w:rPr>
              <w:t>Metabolism</w:t>
            </w:r>
          </w:p>
          <w:p w14:paraId="718A8D59" w14:textId="77777777" w:rsidR="007D52B7" w:rsidRPr="005E1202" w:rsidRDefault="007D52B7" w:rsidP="007D52B7">
            <w:pPr>
              <w:spacing w:before="60" w:after="60"/>
              <w:jc w:val="center"/>
              <w:rPr>
                <w:rFonts w:cs="Arial"/>
              </w:rPr>
            </w:pPr>
          </w:p>
        </w:tc>
        <w:tc>
          <w:tcPr>
            <w:tcW w:w="1563" w:type="dxa"/>
            <w:vAlign w:val="center"/>
          </w:tcPr>
          <w:p w14:paraId="6B5D868A" w14:textId="77777777" w:rsidR="007D52B7" w:rsidRPr="005E1202" w:rsidRDefault="007D52B7" w:rsidP="007D52B7">
            <w:pPr>
              <w:spacing w:before="60" w:after="60"/>
              <w:jc w:val="center"/>
              <w:rPr>
                <w:rFonts w:cs="Arial"/>
              </w:rPr>
            </w:pPr>
            <w:r w:rsidRPr="005E1202">
              <w:rPr>
                <w:rFonts w:cs="Arial"/>
              </w:rPr>
              <w:t>secondary, CYP3A</w:t>
            </w:r>
          </w:p>
        </w:tc>
        <w:tc>
          <w:tcPr>
            <w:tcW w:w="1546" w:type="dxa"/>
            <w:vAlign w:val="center"/>
          </w:tcPr>
          <w:p w14:paraId="7DFF5C08" w14:textId="77777777" w:rsidR="007D52B7" w:rsidRPr="005E1202" w:rsidRDefault="007D52B7" w:rsidP="007D52B7">
            <w:pPr>
              <w:spacing w:before="60" w:after="60"/>
              <w:jc w:val="center"/>
              <w:rPr>
                <w:rFonts w:cs="Arial"/>
              </w:rPr>
            </w:pPr>
            <w:r w:rsidRPr="005E1202">
              <w:rPr>
                <w:rFonts w:cs="Arial"/>
              </w:rPr>
              <w:t>none</w:t>
            </w:r>
          </w:p>
        </w:tc>
      </w:tr>
      <w:tr w:rsidR="007D52B7" w:rsidRPr="005E1202" w14:paraId="0B5BB492" w14:textId="77777777" w:rsidTr="005B4E83">
        <w:trPr>
          <w:cantSplit/>
          <w:trHeight w:val="271"/>
          <w:jc w:val="center"/>
        </w:trPr>
        <w:tc>
          <w:tcPr>
            <w:tcW w:w="4587" w:type="dxa"/>
            <w:vAlign w:val="center"/>
          </w:tcPr>
          <w:p w14:paraId="2392C2C8" w14:textId="77777777" w:rsidR="007D52B7" w:rsidRPr="005E1202" w:rsidRDefault="007D52B7" w:rsidP="007D52B7">
            <w:pPr>
              <w:spacing w:before="60" w:after="60"/>
              <w:jc w:val="center"/>
              <w:rPr>
                <w:rFonts w:cs="Arial"/>
              </w:rPr>
            </w:pPr>
            <w:r w:rsidRPr="005E1202">
              <w:rPr>
                <w:rFonts w:cs="Arial"/>
                <w:b/>
                <w:bCs/>
              </w:rPr>
              <w:t>Elimination</w:t>
            </w:r>
          </w:p>
        </w:tc>
        <w:tc>
          <w:tcPr>
            <w:tcW w:w="1563" w:type="dxa"/>
            <w:vAlign w:val="center"/>
          </w:tcPr>
          <w:p w14:paraId="5047423B" w14:textId="77777777" w:rsidR="007D52B7" w:rsidRPr="005E1202" w:rsidRDefault="007D52B7" w:rsidP="007D52B7">
            <w:pPr>
              <w:spacing w:before="60" w:after="60"/>
              <w:jc w:val="center"/>
              <w:rPr>
                <w:rFonts w:cs="Arial"/>
              </w:rPr>
            </w:pPr>
          </w:p>
        </w:tc>
        <w:tc>
          <w:tcPr>
            <w:tcW w:w="1546" w:type="dxa"/>
            <w:vAlign w:val="center"/>
          </w:tcPr>
          <w:p w14:paraId="58C4A786" w14:textId="77777777" w:rsidR="007D52B7" w:rsidRPr="005E1202" w:rsidRDefault="007D52B7" w:rsidP="007D52B7">
            <w:pPr>
              <w:spacing w:before="60" w:after="60"/>
              <w:jc w:val="center"/>
              <w:rPr>
                <w:rFonts w:cs="Arial"/>
              </w:rPr>
            </w:pPr>
          </w:p>
        </w:tc>
      </w:tr>
      <w:tr w:rsidR="007D52B7" w:rsidRPr="005E1202" w14:paraId="04D0DB7E" w14:textId="77777777" w:rsidTr="005B4E83">
        <w:trPr>
          <w:cantSplit/>
          <w:trHeight w:val="271"/>
          <w:jc w:val="center"/>
        </w:trPr>
        <w:tc>
          <w:tcPr>
            <w:tcW w:w="4587" w:type="dxa"/>
            <w:vAlign w:val="center"/>
          </w:tcPr>
          <w:p w14:paraId="582B064D" w14:textId="77777777" w:rsidR="007D52B7" w:rsidRPr="005E1202" w:rsidRDefault="007D52B7" w:rsidP="007D52B7">
            <w:pPr>
              <w:spacing w:before="60" w:after="60"/>
              <w:jc w:val="center"/>
              <w:rPr>
                <w:rFonts w:cs="Arial"/>
              </w:rPr>
            </w:pPr>
            <w:r w:rsidRPr="005E1202">
              <w:rPr>
                <w:rFonts w:cs="Arial"/>
              </w:rPr>
              <w:t>Major route of elimination</w:t>
            </w:r>
          </w:p>
        </w:tc>
        <w:tc>
          <w:tcPr>
            <w:tcW w:w="1563" w:type="dxa"/>
            <w:vAlign w:val="center"/>
          </w:tcPr>
          <w:p w14:paraId="059D99D5" w14:textId="77777777" w:rsidR="007D52B7" w:rsidRPr="005E1202" w:rsidRDefault="007D52B7" w:rsidP="007D52B7">
            <w:pPr>
              <w:spacing w:before="60" w:after="60"/>
              <w:jc w:val="center"/>
              <w:rPr>
                <w:rFonts w:cs="Arial"/>
              </w:rPr>
            </w:pPr>
            <w:r w:rsidRPr="005E1202">
              <w:rPr>
                <w:rFonts w:cs="Arial"/>
              </w:rPr>
              <w:t>biliary-faecal</w:t>
            </w:r>
          </w:p>
        </w:tc>
        <w:tc>
          <w:tcPr>
            <w:tcW w:w="1546" w:type="dxa"/>
            <w:vAlign w:val="center"/>
          </w:tcPr>
          <w:p w14:paraId="0A233C66" w14:textId="77777777" w:rsidR="007D52B7" w:rsidRPr="005E1202" w:rsidRDefault="007D52B7" w:rsidP="007D52B7">
            <w:pPr>
              <w:spacing w:before="60" w:after="60"/>
              <w:jc w:val="center"/>
              <w:rPr>
                <w:rFonts w:cs="Arial"/>
              </w:rPr>
            </w:pPr>
            <w:r w:rsidRPr="005E1202">
              <w:rPr>
                <w:rFonts w:cs="Arial"/>
              </w:rPr>
              <w:t>biliary-faecal</w:t>
            </w:r>
          </w:p>
        </w:tc>
      </w:tr>
      <w:tr w:rsidR="007D52B7" w:rsidRPr="005E1202" w14:paraId="316B9617" w14:textId="77777777" w:rsidTr="005B4E83">
        <w:trPr>
          <w:cantSplit/>
          <w:trHeight w:val="271"/>
          <w:jc w:val="center"/>
        </w:trPr>
        <w:tc>
          <w:tcPr>
            <w:tcW w:w="4587" w:type="dxa"/>
            <w:vAlign w:val="center"/>
          </w:tcPr>
          <w:p w14:paraId="5B811A5B" w14:textId="77777777" w:rsidR="007D52B7" w:rsidRPr="005E1202" w:rsidRDefault="007D52B7" w:rsidP="007D52B7">
            <w:pPr>
              <w:spacing w:before="60" w:after="60"/>
              <w:jc w:val="center"/>
              <w:rPr>
                <w:rFonts w:cs="Arial"/>
              </w:rPr>
            </w:pPr>
            <w:r w:rsidRPr="005E1202">
              <w:rPr>
                <w:rFonts w:cs="Arial"/>
              </w:rPr>
              <w:t>t</w:t>
            </w:r>
            <w:r w:rsidRPr="005E1202">
              <w:rPr>
                <w:rFonts w:cs="Arial"/>
                <w:vertAlign w:val="subscript"/>
              </w:rPr>
              <w:t>1/2</w:t>
            </w:r>
            <w:r w:rsidRPr="005E1202">
              <w:rPr>
                <w:rFonts w:cs="Arial"/>
              </w:rPr>
              <w:t xml:space="preserve"> (h)</w:t>
            </w:r>
          </w:p>
        </w:tc>
        <w:tc>
          <w:tcPr>
            <w:tcW w:w="1563" w:type="dxa"/>
            <w:vAlign w:val="center"/>
          </w:tcPr>
          <w:p w14:paraId="02DD0DFF" w14:textId="77777777" w:rsidR="007D52B7" w:rsidRPr="005E1202" w:rsidRDefault="007D52B7" w:rsidP="007D52B7">
            <w:pPr>
              <w:spacing w:before="60" w:after="60"/>
              <w:jc w:val="center"/>
              <w:rPr>
                <w:rFonts w:cs="Arial"/>
              </w:rPr>
            </w:pPr>
            <w:r w:rsidRPr="005E1202">
              <w:rPr>
                <w:rFonts w:cs="Arial"/>
              </w:rPr>
              <w:t>6</w:t>
            </w:r>
          </w:p>
        </w:tc>
        <w:tc>
          <w:tcPr>
            <w:tcW w:w="1546" w:type="dxa"/>
            <w:vAlign w:val="center"/>
          </w:tcPr>
          <w:p w14:paraId="756EA98E" w14:textId="77777777" w:rsidR="007D52B7" w:rsidRPr="005E1202" w:rsidRDefault="007D52B7" w:rsidP="007D52B7">
            <w:pPr>
              <w:spacing w:before="60" w:after="60"/>
              <w:jc w:val="center"/>
              <w:rPr>
                <w:rFonts w:cs="Arial"/>
              </w:rPr>
            </w:pPr>
            <w:r w:rsidRPr="005E1202">
              <w:rPr>
                <w:rFonts w:cs="Arial"/>
              </w:rPr>
              <w:t>13</w:t>
            </w:r>
          </w:p>
        </w:tc>
      </w:tr>
      <w:tr w:rsidR="007D52B7" w:rsidRPr="005E1202" w14:paraId="59733B55" w14:textId="77777777" w:rsidTr="005B4E83">
        <w:trPr>
          <w:cantSplit/>
          <w:trHeight w:val="286"/>
          <w:jc w:val="center"/>
        </w:trPr>
        <w:tc>
          <w:tcPr>
            <w:tcW w:w="4587" w:type="dxa"/>
            <w:vAlign w:val="center"/>
          </w:tcPr>
          <w:p w14:paraId="0769B152" w14:textId="77777777" w:rsidR="007D52B7" w:rsidRPr="005E1202" w:rsidRDefault="007D52B7" w:rsidP="007D52B7">
            <w:pPr>
              <w:spacing w:before="60" w:after="60"/>
              <w:jc w:val="center"/>
              <w:rPr>
                <w:rFonts w:cs="Arial"/>
              </w:rPr>
            </w:pPr>
            <w:r w:rsidRPr="005E1202">
              <w:rPr>
                <w:rFonts w:cs="Arial"/>
              </w:rPr>
              <w:t xml:space="preserve">% </w:t>
            </w:r>
            <w:proofErr w:type="gramStart"/>
            <w:r w:rsidRPr="005E1202">
              <w:rPr>
                <w:rFonts w:cs="Arial"/>
              </w:rPr>
              <w:t>of</w:t>
            </w:r>
            <w:proofErr w:type="gramEnd"/>
            <w:r w:rsidRPr="005E1202">
              <w:rPr>
                <w:rFonts w:cs="Arial"/>
              </w:rPr>
              <w:t xml:space="preserve"> dose excreted in </w:t>
            </w:r>
            <w:proofErr w:type="spellStart"/>
            <w:r w:rsidRPr="005E1202">
              <w:rPr>
                <w:rFonts w:cs="Arial"/>
              </w:rPr>
              <w:t>urine</w:t>
            </w:r>
            <w:r w:rsidRPr="005E1202">
              <w:rPr>
                <w:rFonts w:cs="Arial"/>
                <w:vertAlign w:val="superscript"/>
              </w:rPr>
              <w:t>c</w:t>
            </w:r>
            <w:proofErr w:type="spellEnd"/>
          </w:p>
        </w:tc>
        <w:tc>
          <w:tcPr>
            <w:tcW w:w="1563" w:type="dxa"/>
            <w:vAlign w:val="center"/>
          </w:tcPr>
          <w:p w14:paraId="7CC45CC5" w14:textId="77777777" w:rsidR="007D52B7" w:rsidRPr="005E1202" w:rsidRDefault="007D52B7" w:rsidP="007D52B7">
            <w:pPr>
              <w:spacing w:before="60" w:after="60"/>
              <w:jc w:val="center"/>
              <w:rPr>
                <w:rFonts w:cs="Arial"/>
              </w:rPr>
            </w:pPr>
            <w:r w:rsidRPr="005E1202">
              <w:rPr>
                <w:rFonts w:cs="Arial"/>
              </w:rPr>
              <w:t>0.7</w:t>
            </w:r>
          </w:p>
        </w:tc>
        <w:tc>
          <w:tcPr>
            <w:tcW w:w="1546" w:type="dxa"/>
            <w:vAlign w:val="center"/>
          </w:tcPr>
          <w:p w14:paraId="1427E46F" w14:textId="77777777" w:rsidR="007D52B7" w:rsidRPr="005E1202" w:rsidRDefault="007D52B7" w:rsidP="007D52B7">
            <w:pPr>
              <w:spacing w:before="60" w:after="60"/>
              <w:jc w:val="center"/>
              <w:rPr>
                <w:rFonts w:cs="Arial"/>
              </w:rPr>
            </w:pPr>
            <w:r w:rsidRPr="005E1202">
              <w:rPr>
                <w:rFonts w:cs="Arial"/>
              </w:rPr>
              <w:t>0</w:t>
            </w:r>
          </w:p>
        </w:tc>
      </w:tr>
      <w:tr w:rsidR="007D52B7" w:rsidRPr="005E1202" w14:paraId="644FC667" w14:textId="77777777" w:rsidTr="005B4E83">
        <w:trPr>
          <w:cantSplit/>
          <w:trHeight w:val="271"/>
          <w:jc w:val="center"/>
        </w:trPr>
        <w:tc>
          <w:tcPr>
            <w:tcW w:w="4587" w:type="dxa"/>
            <w:tcBorders>
              <w:bottom w:val="single" w:sz="4" w:space="0" w:color="auto"/>
            </w:tcBorders>
            <w:vAlign w:val="center"/>
          </w:tcPr>
          <w:p w14:paraId="34B810E2" w14:textId="77777777" w:rsidR="007D52B7" w:rsidRPr="005E1202" w:rsidRDefault="007D52B7" w:rsidP="007D52B7">
            <w:pPr>
              <w:spacing w:before="60" w:after="60"/>
              <w:jc w:val="center"/>
              <w:rPr>
                <w:rFonts w:cs="Arial"/>
              </w:rPr>
            </w:pPr>
            <w:r w:rsidRPr="005E1202">
              <w:rPr>
                <w:rFonts w:cs="Arial"/>
              </w:rPr>
              <w:t xml:space="preserve">% </w:t>
            </w:r>
            <w:proofErr w:type="gramStart"/>
            <w:r w:rsidRPr="005E1202">
              <w:rPr>
                <w:rFonts w:cs="Arial"/>
              </w:rPr>
              <w:t>of</w:t>
            </w:r>
            <w:proofErr w:type="gramEnd"/>
            <w:r w:rsidRPr="005E1202">
              <w:rPr>
                <w:rFonts w:cs="Arial"/>
              </w:rPr>
              <w:t xml:space="preserve"> dose excreted in </w:t>
            </w:r>
            <w:proofErr w:type="spellStart"/>
            <w:r w:rsidRPr="005E1202">
              <w:rPr>
                <w:rFonts w:cs="Arial"/>
              </w:rPr>
              <w:t>faeces</w:t>
            </w:r>
            <w:r w:rsidRPr="005E1202">
              <w:rPr>
                <w:rFonts w:cs="Arial"/>
                <w:vertAlign w:val="superscript"/>
              </w:rPr>
              <w:t>c</w:t>
            </w:r>
            <w:proofErr w:type="spellEnd"/>
          </w:p>
        </w:tc>
        <w:tc>
          <w:tcPr>
            <w:tcW w:w="1563" w:type="dxa"/>
            <w:tcBorders>
              <w:bottom w:val="single" w:sz="4" w:space="0" w:color="auto"/>
            </w:tcBorders>
            <w:vAlign w:val="center"/>
          </w:tcPr>
          <w:p w14:paraId="146C8240" w14:textId="77777777" w:rsidR="007D52B7" w:rsidRPr="005E1202" w:rsidRDefault="007D52B7" w:rsidP="007D52B7">
            <w:pPr>
              <w:spacing w:before="60" w:after="60"/>
              <w:jc w:val="center"/>
              <w:rPr>
                <w:rFonts w:cs="Arial"/>
              </w:rPr>
            </w:pPr>
            <w:r w:rsidRPr="005E1202">
              <w:rPr>
                <w:rFonts w:cs="Arial"/>
              </w:rPr>
              <w:t>92.1</w:t>
            </w:r>
          </w:p>
        </w:tc>
        <w:tc>
          <w:tcPr>
            <w:tcW w:w="1546" w:type="dxa"/>
            <w:tcBorders>
              <w:bottom w:val="single" w:sz="4" w:space="0" w:color="auto"/>
            </w:tcBorders>
            <w:vAlign w:val="center"/>
          </w:tcPr>
          <w:p w14:paraId="21CD840E" w14:textId="77777777" w:rsidR="007D52B7" w:rsidRPr="005E1202" w:rsidRDefault="007D52B7" w:rsidP="007D52B7">
            <w:pPr>
              <w:spacing w:before="60" w:after="60"/>
              <w:jc w:val="center"/>
              <w:rPr>
                <w:rFonts w:cs="Arial"/>
              </w:rPr>
            </w:pPr>
            <w:r w:rsidRPr="005E1202">
              <w:rPr>
                <w:rFonts w:cs="Arial"/>
              </w:rPr>
              <w:t>96.6</w:t>
            </w:r>
          </w:p>
        </w:tc>
      </w:tr>
      <w:tr w:rsidR="007D52B7" w:rsidRPr="005E1202" w14:paraId="7AEC130A" w14:textId="77777777" w:rsidTr="005B4E83">
        <w:trPr>
          <w:cantSplit/>
          <w:trHeight w:val="271"/>
          <w:jc w:val="center"/>
        </w:trPr>
        <w:tc>
          <w:tcPr>
            <w:tcW w:w="7696" w:type="dxa"/>
            <w:gridSpan w:val="3"/>
            <w:tcBorders>
              <w:left w:val="nil"/>
              <w:bottom w:val="nil"/>
              <w:right w:val="nil"/>
            </w:tcBorders>
            <w:vAlign w:val="center"/>
          </w:tcPr>
          <w:p w14:paraId="637B5BE5" w14:textId="77777777" w:rsidR="007D52B7" w:rsidRPr="005E1202" w:rsidRDefault="007D52B7" w:rsidP="007D52B7">
            <w:pPr>
              <w:autoSpaceDE w:val="0"/>
              <w:autoSpaceDN w:val="0"/>
              <w:adjustRightInd w:val="0"/>
              <w:spacing w:before="60" w:after="60"/>
              <w:jc w:val="both"/>
              <w:rPr>
                <w:rFonts w:cs="Arial"/>
                <w:color w:val="000000"/>
              </w:rPr>
            </w:pPr>
            <w:r w:rsidRPr="005E1202">
              <w:rPr>
                <w:rFonts w:cs="Arial"/>
                <w:color w:val="000000"/>
                <w:vertAlign w:val="superscript"/>
              </w:rPr>
              <w:t>a.</w:t>
            </w:r>
            <w:r w:rsidRPr="005E1202">
              <w:rPr>
                <w:rFonts w:cs="Arial"/>
                <w:color w:val="000000"/>
              </w:rPr>
              <w:t xml:space="preserve"> Median </w:t>
            </w:r>
            <w:proofErr w:type="spellStart"/>
            <w:r w:rsidRPr="005E1202">
              <w:rPr>
                <w:rFonts w:cs="Arial"/>
                <w:color w:val="000000"/>
              </w:rPr>
              <w:t>T</w:t>
            </w:r>
            <w:r w:rsidRPr="005E1202">
              <w:rPr>
                <w:rFonts w:cs="Arial"/>
                <w:color w:val="000000"/>
                <w:vertAlign w:val="subscript"/>
              </w:rPr>
              <w:t>max</w:t>
            </w:r>
            <w:proofErr w:type="spellEnd"/>
            <w:r w:rsidRPr="005E1202">
              <w:rPr>
                <w:rFonts w:cs="Arial"/>
                <w:color w:val="000000"/>
              </w:rPr>
              <w:t xml:space="preserve"> following single doses of glecaprevir and pibrentasvir in healthy subjects.</w:t>
            </w:r>
          </w:p>
          <w:p w14:paraId="0E815169" w14:textId="77777777" w:rsidR="007D52B7" w:rsidRPr="005E1202" w:rsidRDefault="007D52B7" w:rsidP="007D52B7">
            <w:pPr>
              <w:autoSpaceDE w:val="0"/>
              <w:autoSpaceDN w:val="0"/>
              <w:adjustRightInd w:val="0"/>
              <w:spacing w:before="60" w:after="60"/>
              <w:jc w:val="both"/>
              <w:rPr>
                <w:rFonts w:cs="Arial"/>
                <w:color w:val="000000"/>
              </w:rPr>
            </w:pPr>
            <w:r w:rsidRPr="005E1202">
              <w:rPr>
                <w:rFonts w:cs="Arial"/>
                <w:color w:val="000000"/>
                <w:vertAlign w:val="superscript"/>
              </w:rPr>
              <w:t>b.</w:t>
            </w:r>
            <w:r w:rsidRPr="005E1202">
              <w:rPr>
                <w:rFonts w:cs="Arial"/>
                <w:color w:val="000000"/>
              </w:rPr>
              <w:t xml:space="preserve"> Mean systemic exposure with moderate to high fat meals.</w:t>
            </w:r>
          </w:p>
          <w:p w14:paraId="1BDF6243" w14:textId="77777777" w:rsidR="007D52B7" w:rsidRDefault="007D52B7" w:rsidP="007D52B7">
            <w:pPr>
              <w:autoSpaceDE w:val="0"/>
              <w:autoSpaceDN w:val="0"/>
              <w:adjustRightInd w:val="0"/>
              <w:spacing w:before="60" w:after="60"/>
              <w:jc w:val="both"/>
              <w:rPr>
                <w:rFonts w:cs="Arial"/>
                <w:color w:val="000000"/>
              </w:rPr>
            </w:pPr>
            <w:r w:rsidRPr="005E1202">
              <w:rPr>
                <w:rFonts w:cs="Arial"/>
                <w:color w:val="000000"/>
                <w:vertAlign w:val="superscript"/>
              </w:rPr>
              <w:t>c.</w:t>
            </w:r>
            <w:r w:rsidRPr="005E1202">
              <w:rPr>
                <w:rFonts w:cs="Arial"/>
                <w:color w:val="000000"/>
              </w:rPr>
              <w:t xml:space="preserve"> Single dose administration of [</w:t>
            </w:r>
            <w:r w:rsidRPr="005E1202">
              <w:rPr>
                <w:rFonts w:cs="Arial"/>
                <w:color w:val="000000"/>
                <w:vertAlign w:val="superscript"/>
              </w:rPr>
              <w:t>14</w:t>
            </w:r>
            <w:proofErr w:type="gramStart"/>
            <w:r w:rsidRPr="005E1202">
              <w:rPr>
                <w:rFonts w:cs="Arial"/>
                <w:color w:val="000000"/>
              </w:rPr>
              <w:t>C]glecaprevir</w:t>
            </w:r>
            <w:proofErr w:type="gramEnd"/>
            <w:r w:rsidRPr="005E1202">
              <w:rPr>
                <w:rFonts w:cs="Arial"/>
                <w:color w:val="000000"/>
              </w:rPr>
              <w:t xml:space="preserve"> or [</w:t>
            </w:r>
            <w:r w:rsidRPr="005E1202">
              <w:rPr>
                <w:rFonts w:cs="Arial"/>
                <w:color w:val="000000"/>
                <w:vertAlign w:val="superscript"/>
              </w:rPr>
              <w:t>14</w:t>
            </w:r>
            <w:r w:rsidRPr="005E1202">
              <w:rPr>
                <w:rFonts w:cs="Arial"/>
                <w:color w:val="000000"/>
              </w:rPr>
              <w:t>C]pibrentasvir in mass balance studies.</w:t>
            </w:r>
          </w:p>
          <w:p w14:paraId="121CEE3B" w14:textId="258935BD" w:rsidR="00AE18F9" w:rsidRPr="005E1202" w:rsidRDefault="00AE18F9" w:rsidP="00AE18F9"/>
        </w:tc>
      </w:tr>
    </w:tbl>
    <w:p w14:paraId="0F34625C" w14:textId="23734FC5" w:rsidR="00493B75" w:rsidRPr="005E1202" w:rsidRDefault="00493B75" w:rsidP="00997256">
      <w:pPr>
        <w:keepNext/>
        <w:keepLines/>
        <w:jc w:val="both"/>
        <w:rPr>
          <w:rFonts w:cs="Arial"/>
          <w:b/>
        </w:rPr>
      </w:pPr>
      <w:r w:rsidRPr="005E1202">
        <w:rPr>
          <w:rFonts w:cs="Arial"/>
          <w:b/>
        </w:rPr>
        <w:t xml:space="preserve">Table </w:t>
      </w:r>
      <w:r w:rsidR="008D55BB">
        <w:rPr>
          <w:rFonts w:cs="Arial"/>
          <w:b/>
        </w:rPr>
        <w:t>1</w:t>
      </w:r>
      <w:r w:rsidR="007D52B7">
        <w:rPr>
          <w:rFonts w:cs="Arial"/>
          <w:b/>
        </w:rPr>
        <w:t>5</w:t>
      </w:r>
      <w:r w:rsidRPr="005E1202">
        <w:rPr>
          <w:rFonts w:cs="Arial"/>
          <w:b/>
        </w:rPr>
        <w:t>. Steady-State Pharmacokinetic Parameters of Glecaprevir and Pibrentasvir Following Administration of MAVIRET in Non-Cirrhotic HCV-Infected Patients</w:t>
      </w:r>
    </w:p>
    <w:tbl>
      <w:tblPr>
        <w:tblStyle w:val="TableGrid"/>
        <w:tblW w:w="7503" w:type="dxa"/>
        <w:jc w:val="center"/>
        <w:tblLayout w:type="fixed"/>
        <w:tblLook w:val="04A0" w:firstRow="1" w:lastRow="0" w:firstColumn="1" w:lastColumn="0" w:noHBand="0" w:noVBand="1"/>
      </w:tblPr>
      <w:tblGrid>
        <w:gridCol w:w="3673"/>
        <w:gridCol w:w="1915"/>
        <w:gridCol w:w="1915"/>
      </w:tblGrid>
      <w:tr w:rsidR="00493B75" w:rsidRPr="005E1202" w14:paraId="6C471460" w14:textId="77777777" w:rsidTr="00493B75">
        <w:trPr>
          <w:trHeight w:val="283"/>
          <w:jc w:val="center"/>
        </w:trPr>
        <w:tc>
          <w:tcPr>
            <w:tcW w:w="3673" w:type="dxa"/>
            <w:vAlign w:val="center"/>
          </w:tcPr>
          <w:p w14:paraId="67AE1938" w14:textId="77777777" w:rsidR="00493B75" w:rsidRPr="005E1202" w:rsidRDefault="00493B75" w:rsidP="002D6483">
            <w:pPr>
              <w:keepNext/>
              <w:keepLines/>
              <w:spacing w:before="60" w:after="60"/>
              <w:jc w:val="center"/>
              <w:rPr>
                <w:rFonts w:cs="Arial"/>
                <w:b/>
              </w:rPr>
            </w:pPr>
            <w:r w:rsidRPr="005E1202">
              <w:rPr>
                <w:rFonts w:cs="Arial"/>
                <w:b/>
              </w:rPr>
              <w:t>Pharmacokinetic Parameter</w:t>
            </w:r>
          </w:p>
        </w:tc>
        <w:tc>
          <w:tcPr>
            <w:tcW w:w="1915" w:type="dxa"/>
            <w:vAlign w:val="center"/>
          </w:tcPr>
          <w:p w14:paraId="1D0A6338" w14:textId="77777777" w:rsidR="00493B75" w:rsidRPr="005E1202" w:rsidRDefault="00493B75" w:rsidP="002D6483">
            <w:pPr>
              <w:keepNext/>
              <w:keepLines/>
              <w:spacing w:before="60" w:after="60"/>
              <w:jc w:val="center"/>
              <w:rPr>
                <w:rFonts w:cs="Arial"/>
                <w:b/>
              </w:rPr>
            </w:pPr>
            <w:r w:rsidRPr="005E1202">
              <w:rPr>
                <w:rFonts w:cs="Arial"/>
                <w:b/>
              </w:rPr>
              <w:t>Glecaprevir</w:t>
            </w:r>
          </w:p>
        </w:tc>
        <w:tc>
          <w:tcPr>
            <w:tcW w:w="1915" w:type="dxa"/>
            <w:vAlign w:val="center"/>
          </w:tcPr>
          <w:p w14:paraId="328D2812" w14:textId="77777777" w:rsidR="00493B75" w:rsidRPr="005E1202" w:rsidRDefault="00493B75" w:rsidP="002D6483">
            <w:pPr>
              <w:keepNext/>
              <w:keepLines/>
              <w:spacing w:before="60" w:after="60"/>
              <w:jc w:val="center"/>
              <w:rPr>
                <w:rFonts w:cs="Arial"/>
                <w:b/>
              </w:rPr>
            </w:pPr>
            <w:r w:rsidRPr="005E1202">
              <w:rPr>
                <w:rFonts w:cs="Arial"/>
                <w:b/>
              </w:rPr>
              <w:t>Pibrentasvir</w:t>
            </w:r>
          </w:p>
        </w:tc>
      </w:tr>
      <w:tr w:rsidR="00493B75" w:rsidRPr="005E1202" w14:paraId="50BEAC9E" w14:textId="77777777" w:rsidTr="00493B75">
        <w:trPr>
          <w:trHeight w:val="283"/>
          <w:jc w:val="center"/>
        </w:trPr>
        <w:tc>
          <w:tcPr>
            <w:tcW w:w="3673" w:type="dxa"/>
            <w:vAlign w:val="center"/>
          </w:tcPr>
          <w:p w14:paraId="7DE59EE8" w14:textId="77777777" w:rsidR="00493B75" w:rsidRPr="005E1202" w:rsidRDefault="00493B75" w:rsidP="002D6483">
            <w:pPr>
              <w:keepNext/>
              <w:keepLines/>
              <w:spacing w:before="60" w:after="60"/>
              <w:jc w:val="center"/>
              <w:rPr>
                <w:rFonts w:cs="Arial"/>
              </w:rPr>
            </w:pPr>
            <w:proofErr w:type="spellStart"/>
            <w:r w:rsidRPr="005E1202">
              <w:rPr>
                <w:rFonts w:cs="Arial"/>
              </w:rPr>
              <w:t>C</w:t>
            </w:r>
            <w:r w:rsidRPr="005E1202">
              <w:rPr>
                <w:rFonts w:cs="Arial"/>
                <w:vertAlign w:val="subscript"/>
              </w:rPr>
              <w:t>max</w:t>
            </w:r>
            <w:proofErr w:type="spellEnd"/>
            <w:r w:rsidRPr="005E1202">
              <w:rPr>
                <w:rFonts w:cs="Arial"/>
              </w:rPr>
              <w:t xml:space="preserve"> (ng/</w:t>
            </w:r>
            <w:proofErr w:type="gramStart"/>
            <w:r w:rsidRPr="005E1202">
              <w:rPr>
                <w:rFonts w:cs="Arial"/>
              </w:rPr>
              <w:t>mL)</w:t>
            </w:r>
            <w:r w:rsidRPr="005E1202">
              <w:rPr>
                <w:rFonts w:cs="Arial"/>
                <w:vertAlign w:val="superscript"/>
              </w:rPr>
              <w:t>a</w:t>
            </w:r>
            <w:proofErr w:type="gramEnd"/>
          </w:p>
        </w:tc>
        <w:tc>
          <w:tcPr>
            <w:tcW w:w="1915" w:type="dxa"/>
            <w:vAlign w:val="center"/>
          </w:tcPr>
          <w:p w14:paraId="6D0E2A2E" w14:textId="77777777" w:rsidR="00493B75" w:rsidRPr="005E1202" w:rsidRDefault="00493B75" w:rsidP="002D6483">
            <w:pPr>
              <w:keepNext/>
              <w:keepLines/>
              <w:spacing w:before="60" w:after="60"/>
              <w:jc w:val="center"/>
              <w:rPr>
                <w:rFonts w:cs="Arial"/>
              </w:rPr>
            </w:pPr>
            <w:r w:rsidRPr="005E1202">
              <w:rPr>
                <w:rFonts w:cs="Arial"/>
              </w:rPr>
              <w:t>597 (150)</w:t>
            </w:r>
          </w:p>
        </w:tc>
        <w:tc>
          <w:tcPr>
            <w:tcW w:w="1915" w:type="dxa"/>
            <w:vAlign w:val="center"/>
          </w:tcPr>
          <w:p w14:paraId="5375294F" w14:textId="77777777" w:rsidR="00493B75" w:rsidRPr="005E1202" w:rsidRDefault="00493B75" w:rsidP="002D6483">
            <w:pPr>
              <w:keepNext/>
              <w:keepLines/>
              <w:spacing w:before="60" w:after="60"/>
              <w:jc w:val="center"/>
              <w:rPr>
                <w:rFonts w:cs="Arial"/>
              </w:rPr>
            </w:pPr>
            <w:r w:rsidRPr="005E1202">
              <w:rPr>
                <w:rFonts w:cs="Arial"/>
              </w:rPr>
              <w:t>110 (49)</w:t>
            </w:r>
          </w:p>
        </w:tc>
      </w:tr>
      <w:tr w:rsidR="00493B75" w:rsidRPr="005E1202" w14:paraId="19DA0804" w14:textId="77777777" w:rsidTr="00493B75">
        <w:trPr>
          <w:trHeight w:val="283"/>
          <w:jc w:val="center"/>
        </w:trPr>
        <w:tc>
          <w:tcPr>
            <w:tcW w:w="3673" w:type="dxa"/>
            <w:tcBorders>
              <w:bottom w:val="single" w:sz="4" w:space="0" w:color="auto"/>
            </w:tcBorders>
            <w:vAlign w:val="center"/>
          </w:tcPr>
          <w:p w14:paraId="3DF0F8F9" w14:textId="77777777" w:rsidR="00493B75" w:rsidRPr="005E1202" w:rsidRDefault="00493B75" w:rsidP="002D6483">
            <w:pPr>
              <w:keepNext/>
              <w:keepLines/>
              <w:spacing w:before="60" w:after="60"/>
              <w:jc w:val="center"/>
              <w:rPr>
                <w:rFonts w:cs="Arial"/>
              </w:rPr>
            </w:pPr>
            <w:r w:rsidRPr="005E1202">
              <w:rPr>
                <w:rFonts w:cs="Arial"/>
              </w:rPr>
              <w:t>AUC</w:t>
            </w:r>
            <w:proofErr w:type="gramStart"/>
            <w:r w:rsidRPr="005E1202">
              <w:rPr>
                <w:rFonts w:cs="Arial"/>
                <w:vertAlign w:val="subscript"/>
              </w:rPr>
              <w:t>24,ss</w:t>
            </w:r>
            <w:proofErr w:type="gramEnd"/>
            <w:r w:rsidRPr="005E1202">
              <w:rPr>
                <w:rFonts w:cs="Arial"/>
              </w:rPr>
              <w:t xml:space="preserve"> (ng*h/mL)</w:t>
            </w:r>
            <w:r w:rsidRPr="005E1202">
              <w:rPr>
                <w:rFonts w:cs="Arial"/>
                <w:vertAlign w:val="superscript"/>
              </w:rPr>
              <w:t>a</w:t>
            </w:r>
          </w:p>
        </w:tc>
        <w:tc>
          <w:tcPr>
            <w:tcW w:w="1915" w:type="dxa"/>
            <w:tcBorders>
              <w:bottom w:val="single" w:sz="4" w:space="0" w:color="auto"/>
            </w:tcBorders>
            <w:vAlign w:val="center"/>
          </w:tcPr>
          <w:p w14:paraId="608C3E8C" w14:textId="77777777" w:rsidR="00493B75" w:rsidRPr="005E1202" w:rsidRDefault="00493B75" w:rsidP="002D6483">
            <w:pPr>
              <w:keepNext/>
              <w:keepLines/>
              <w:spacing w:before="60" w:after="60"/>
              <w:jc w:val="center"/>
              <w:rPr>
                <w:rFonts w:cs="Arial"/>
              </w:rPr>
            </w:pPr>
            <w:r w:rsidRPr="005E1202">
              <w:rPr>
                <w:rFonts w:cs="Arial"/>
              </w:rPr>
              <w:t>4800 (198)</w:t>
            </w:r>
          </w:p>
        </w:tc>
        <w:tc>
          <w:tcPr>
            <w:tcW w:w="1915" w:type="dxa"/>
            <w:tcBorders>
              <w:bottom w:val="single" w:sz="4" w:space="0" w:color="auto"/>
            </w:tcBorders>
            <w:vAlign w:val="center"/>
          </w:tcPr>
          <w:p w14:paraId="7F4875BE" w14:textId="77777777" w:rsidR="00493B75" w:rsidRPr="005E1202" w:rsidRDefault="00493B75" w:rsidP="002D6483">
            <w:pPr>
              <w:keepNext/>
              <w:keepLines/>
              <w:spacing w:before="60" w:after="60"/>
              <w:jc w:val="center"/>
              <w:rPr>
                <w:rFonts w:cs="Arial"/>
              </w:rPr>
            </w:pPr>
            <w:r w:rsidRPr="005E1202">
              <w:rPr>
                <w:rFonts w:cs="Arial"/>
              </w:rPr>
              <w:t>1430 (63)</w:t>
            </w:r>
          </w:p>
        </w:tc>
      </w:tr>
      <w:tr w:rsidR="00493B75" w:rsidRPr="005E1202" w14:paraId="259BD22B" w14:textId="77777777" w:rsidTr="00493B75">
        <w:trPr>
          <w:trHeight w:val="283"/>
          <w:jc w:val="center"/>
        </w:trPr>
        <w:tc>
          <w:tcPr>
            <w:tcW w:w="7503" w:type="dxa"/>
            <w:gridSpan w:val="3"/>
            <w:tcBorders>
              <w:left w:val="nil"/>
              <w:bottom w:val="nil"/>
              <w:right w:val="nil"/>
            </w:tcBorders>
          </w:tcPr>
          <w:p w14:paraId="5C723D05" w14:textId="77777777" w:rsidR="00493B75" w:rsidRPr="005E1202" w:rsidRDefault="00493B75" w:rsidP="002D6483">
            <w:pPr>
              <w:keepNext/>
              <w:keepLines/>
              <w:rPr>
                <w:rFonts w:cs="Arial"/>
              </w:rPr>
            </w:pPr>
            <w:r w:rsidRPr="005E1202">
              <w:rPr>
                <w:rFonts w:eastAsia="MS Mincho" w:cs="Arial"/>
                <w:vertAlign w:val="superscript"/>
                <w:lang w:eastAsia="ja-JP"/>
              </w:rPr>
              <w:t>a.</w:t>
            </w:r>
            <w:r w:rsidRPr="005E1202">
              <w:rPr>
                <w:rFonts w:eastAsia="MS Mincho" w:cs="Arial"/>
                <w:lang w:eastAsia="ja-JP"/>
              </w:rPr>
              <w:t xml:space="preserve"> </w:t>
            </w:r>
            <w:r w:rsidRPr="005E1202">
              <w:rPr>
                <w:rFonts w:cs="Arial"/>
              </w:rPr>
              <w:t xml:space="preserve">Geometric mean (%CV) of individual-estimated </w:t>
            </w:r>
            <w:proofErr w:type="spellStart"/>
            <w:r w:rsidRPr="005E1202">
              <w:rPr>
                <w:rFonts w:cs="Arial"/>
              </w:rPr>
              <w:t>C</w:t>
            </w:r>
            <w:r w:rsidRPr="005E1202">
              <w:rPr>
                <w:rFonts w:cs="Arial"/>
                <w:vertAlign w:val="subscript"/>
              </w:rPr>
              <w:t>max</w:t>
            </w:r>
            <w:proofErr w:type="spellEnd"/>
            <w:r w:rsidRPr="005E1202">
              <w:rPr>
                <w:rFonts w:cs="Arial"/>
              </w:rPr>
              <w:t xml:space="preserve"> and AUC</w:t>
            </w:r>
            <w:proofErr w:type="gramStart"/>
            <w:r w:rsidRPr="005E1202">
              <w:rPr>
                <w:rFonts w:cs="Arial"/>
                <w:vertAlign w:val="subscript"/>
              </w:rPr>
              <w:t>24,ss</w:t>
            </w:r>
            <w:proofErr w:type="gramEnd"/>
            <w:r w:rsidRPr="005E1202">
              <w:rPr>
                <w:rFonts w:cs="Arial"/>
              </w:rPr>
              <w:t xml:space="preserve"> values</w:t>
            </w:r>
          </w:p>
        </w:tc>
      </w:tr>
    </w:tbl>
    <w:p w14:paraId="65DA7DEE" w14:textId="77777777" w:rsidR="00493B75" w:rsidRPr="005E1202" w:rsidRDefault="00493B75" w:rsidP="00AE18F9">
      <w:bookmarkStart w:id="7" w:name="p105263291413821197"/>
      <w:bookmarkStart w:id="8" w:name="p105283291413821252"/>
      <w:bookmarkStart w:id="9" w:name="p105243291413821258"/>
      <w:bookmarkStart w:id="10" w:name="p484311291413821267"/>
      <w:bookmarkStart w:id="11" w:name="p107593291413821307"/>
      <w:bookmarkStart w:id="12" w:name="p107643291413821322"/>
      <w:bookmarkStart w:id="13" w:name="p107673291413821334"/>
      <w:bookmarkStart w:id="14" w:name="p425184291423070290"/>
      <w:bookmarkStart w:id="15" w:name="p107733291413821360"/>
      <w:bookmarkStart w:id="16" w:name="p107783291413821375"/>
      <w:bookmarkStart w:id="17" w:name="p107843291413821388"/>
      <w:bookmarkStart w:id="18" w:name="p107903291413821402"/>
      <w:bookmarkStart w:id="19" w:name="p483944291413821426"/>
      <w:bookmarkStart w:id="20" w:name="p110083291413821437"/>
      <w:bookmarkStart w:id="21" w:name="p110133291413821449"/>
      <w:bookmarkStart w:id="22" w:name="p110193291413821465"/>
      <w:bookmarkStart w:id="23" w:name="p110253291413821475"/>
      <w:bookmarkStart w:id="24" w:name="p1614813291393954738"/>
      <w:bookmarkStart w:id="25" w:name="p110288291413576223"/>
      <w:bookmarkStart w:id="26" w:name="p507325291413576241"/>
      <w:bookmarkStart w:id="27" w:name="p110479291413576257"/>
      <w:bookmarkStart w:id="28" w:name="p110547291413576274"/>
      <w:bookmarkStart w:id="29" w:name="p112996291413576294"/>
      <w:bookmarkStart w:id="30" w:name="p168971291393955279"/>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p w14:paraId="0A1E0A27" w14:textId="77777777" w:rsidR="00493B75" w:rsidRPr="005E1202" w:rsidRDefault="00493B75" w:rsidP="00493B75">
      <w:pPr>
        <w:rPr>
          <w:rFonts w:cs="Arial"/>
        </w:rPr>
      </w:pPr>
      <w:r w:rsidRPr="005E1202">
        <w:rPr>
          <w:rFonts w:cs="Arial"/>
        </w:rPr>
        <w:lastRenderedPageBreak/>
        <w:t xml:space="preserve">Relative to healthy subjects (N=230), </w:t>
      </w:r>
      <w:proofErr w:type="spellStart"/>
      <w:r w:rsidRPr="005E1202">
        <w:rPr>
          <w:rFonts w:cs="Arial"/>
        </w:rPr>
        <w:t>glecaprevir</w:t>
      </w:r>
      <w:proofErr w:type="spellEnd"/>
      <w:r w:rsidRPr="005E1202">
        <w:rPr>
          <w:rFonts w:cs="Arial"/>
        </w:rPr>
        <w:t xml:space="preserve"> </w:t>
      </w:r>
      <w:proofErr w:type="spellStart"/>
      <w:r w:rsidRPr="005E1202">
        <w:rPr>
          <w:rFonts w:cs="Arial"/>
        </w:rPr>
        <w:t>C</w:t>
      </w:r>
      <w:r w:rsidRPr="005E1202">
        <w:rPr>
          <w:rFonts w:cs="Arial"/>
          <w:vertAlign w:val="subscript"/>
        </w:rPr>
        <w:t>max</w:t>
      </w:r>
      <w:proofErr w:type="spellEnd"/>
      <w:r w:rsidRPr="005E1202">
        <w:rPr>
          <w:rFonts w:cs="Arial"/>
        </w:rPr>
        <w:t xml:space="preserve"> was 51% lower and AUC</w:t>
      </w:r>
      <w:proofErr w:type="gramStart"/>
      <w:r w:rsidRPr="005E1202">
        <w:rPr>
          <w:rFonts w:cs="Arial"/>
          <w:vertAlign w:val="subscript"/>
        </w:rPr>
        <w:t>24,ss</w:t>
      </w:r>
      <w:proofErr w:type="gramEnd"/>
      <w:r w:rsidRPr="005E1202">
        <w:rPr>
          <w:rFonts w:cs="Arial"/>
        </w:rPr>
        <w:t xml:space="preserve"> was similar (10% difference) in HCV-infected patients without cirrhosis; </w:t>
      </w:r>
      <w:proofErr w:type="spellStart"/>
      <w:r w:rsidRPr="005E1202">
        <w:rPr>
          <w:rFonts w:cs="Arial"/>
        </w:rPr>
        <w:t>pibrentasvir</w:t>
      </w:r>
      <w:proofErr w:type="spellEnd"/>
      <w:r w:rsidRPr="005E1202">
        <w:rPr>
          <w:rFonts w:cs="Arial"/>
        </w:rPr>
        <w:t xml:space="preserve"> </w:t>
      </w:r>
      <w:proofErr w:type="spellStart"/>
      <w:r w:rsidRPr="005E1202">
        <w:rPr>
          <w:rFonts w:cs="Arial"/>
        </w:rPr>
        <w:t>C</w:t>
      </w:r>
      <w:r w:rsidRPr="005E1202">
        <w:rPr>
          <w:rFonts w:cs="Arial"/>
          <w:vertAlign w:val="subscript"/>
        </w:rPr>
        <w:t>max</w:t>
      </w:r>
      <w:proofErr w:type="spellEnd"/>
      <w:r w:rsidRPr="005E1202">
        <w:rPr>
          <w:rFonts w:cs="Arial"/>
        </w:rPr>
        <w:t xml:space="preserve"> and AUC</w:t>
      </w:r>
      <w:r w:rsidRPr="005E1202">
        <w:rPr>
          <w:rFonts w:cs="Arial"/>
          <w:vertAlign w:val="subscript"/>
        </w:rPr>
        <w:t>24,ss</w:t>
      </w:r>
      <w:r w:rsidRPr="005E1202">
        <w:rPr>
          <w:rFonts w:cs="Arial"/>
        </w:rPr>
        <w:t xml:space="preserve"> were 63% and 34% lower, respectively.</w:t>
      </w:r>
    </w:p>
    <w:p w14:paraId="3D7822DB" w14:textId="77777777" w:rsidR="00493B75" w:rsidRPr="005E1202" w:rsidRDefault="00493B75" w:rsidP="00493B75">
      <w:pPr>
        <w:pStyle w:val="Heading3"/>
        <w:rPr>
          <w:rFonts w:cs="Arial"/>
        </w:rPr>
      </w:pPr>
      <w:r w:rsidRPr="005E1202">
        <w:rPr>
          <w:rFonts w:cs="Arial"/>
        </w:rPr>
        <w:t>Specific Populations</w:t>
      </w:r>
    </w:p>
    <w:p w14:paraId="44DDF73C" w14:textId="77777777" w:rsidR="00493B75" w:rsidRPr="005E1202" w:rsidRDefault="00493B75" w:rsidP="00493B75">
      <w:pPr>
        <w:pStyle w:val="Heading4"/>
        <w:rPr>
          <w:rFonts w:cs="Arial"/>
        </w:rPr>
      </w:pPr>
      <w:r w:rsidRPr="005E1202">
        <w:rPr>
          <w:rFonts w:cs="Arial"/>
        </w:rPr>
        <w:t>Race/ethnicity</w:t>
      </w:r>
    </w:p>
    <w:p w14:paraId="1262A42C" w14:textId="77777777" w:rsidR="00493B75" w:rsidRPr="005E1202" w:rsidRDefault="00493B75" w:rsidP="00493B75">
      <w:pPr>
        <w:rPr>
          <w:rFonts w:cs="Arial"/>
        </w:rPr>
      </w:pPr>
      <w:r w:rsidRPr="005E1202">
        <w:rPr>
          <w:rFonts w:cs="Arial"/>
        </w:rPr>
        <w:t>No dose adjustment of MAVIRET is recommended based on race or ethnicity.</w:t>
      </w:r>
    </w:p>
    <w:p w14:paraId="6D40EA9F" w14:textId="4EB3894E" w:rsidR="00493B75" w:rsidRPr="005E1202" w:rsidRDefault="00493B75" w:rsidP="00493B75">
      <w:pPr>
        <w:pStyle w:val="Heading4"/>
        <w:rPr>
          <w:rFonts w:cs="Arial"/>
        </w:rPr>
      </w:pPr>
      <w:r w:rsidRPr="005E1202">
        <w:rPr>
          <w:rFonts w:cs="Arial"/>
        </w:rPr>
        <w:t>Gender</w:t>
      </w:r>
    </w:p>
    <w:p w14:paraId="6E75D044" w14:textId="251108F8" w:rsidR="00493B75" w:rsidRPr="005E1202" w:rsidRDefault="00493B75" w:rsidP="00493B75">
      <w:pPr>
        <w:rPr>
          <w:rFonts w:cs="Arial"/>
        </w:rPr>
      </w:pPr>
      <w:r w:rsidRPr="005E1202">
        <w:rPr>
          <w:rFonts w:cs="Arial"/>
        </w:rPr>
        <w:t xml:space="preserve">No dose adjustment of MAVIRET is recommended based on </w:t>
      </w:r>
      <w:r w:rsidR="007D52B7">
        <w:rPr>
          <w:rFonts w:cs="Arial"/>
        </w:rPr>
        <w:t>gender</w:t>
      </w:r>
      <w:r w:rsidRPr="005E1202">
        <w:rPr>
          <w:rFonts w:cs="Arial"/>
        </w:rPr>
        <w:t>.</w:t>
      </w:r>
    </w:p>
    <w:p w14:paraId="38C3C04F" w14:textId="77777777" w:rsidR="00493B75" w:rsidRPr="00904452" w:rsidRDefault="00493B75" w:rsidP="00493B75">
      <w:pPr>
        <w:pStyle w:val="Heading4"/>
        <w:rPr>
          <w:rFonts w:cs="Arial"/>
        </w:rPr>
      </w:pPr>
      <w:r w:rsidRPr="00904452">
        <w:rPr>
          <w:rFonts w:cs="Arial"/>
        </w:rPr>
        <w:t>Paediatric Patients</w:t>
      </w:r>
    </w:p>
    <w:p w14:paraId="51DCFEF2" w14:textId="77777777" w:rsidR="007D52B7" w:rsidRDefault="00B93F52" w:rsidP="00B93F52">
      <w:pPr>
        <w:jc w:val="both"/>
        <w:rPr>
          <w:rFonts w:cs="Arial"/>
        </w:rPr>
      </w:pPr>
      <w:r w:rsidRPr="00904452">
        <w:rPr>
          <w:rFonts w:cs="Arial"/>
        </w:rPr>
        <w:t xml:space="preserve">No dose adjustment of MAVIRET is required in adolescents 12 years and older.  </w:t>
      </w:r>
    </w:p>
    <w:p w14:paraId="6B1E67B1" w14:textId="73053D06" w:rsidR="000363B6" w:rsidRDefault="007D52B7" w:rsidP="00B93F52">
      <w:pPr>
        <w:jc w:val="both"/>
        <w:rPr>
          <w:rFonts w:cs="Arial"/>
        </w:rPr>
      </w:pPr>
      <w:r>
        <w:rPr>
          <w:rFonts w:cs="Arial"/>
        </w:rPr>
        <w:t>Paediatric patients aged 3 years to less than 12 years of age should receive doses based on body weight (see 4.2 Dose and method of administration -</w:t>
      </w:r>
      <w:r w:rsidRPr="000F76E4">
        <w:t xml:space="preserve"> </w:t>
      </w:r>
      <w:r w:rsidRPr="000F76E4">
        <w:rPr>
          <w:rFonts w:cs="Arial"/>
        </w:rPr>
        <w:t>Recommended Dosage of MAVIRET Granules in Sachets in Paediatric Patients 3 Years and Older (Weighing 12 kg to less than 45 kg)</w:t>
      </w:r>
      <w:r>
        <w:rPr>
          <w:rFonts w:cs="Arial"/>
        </w:rPr>
        <w:t>).</w:t>
      </w:r>
      <w:r w:rsidR="000363B6" w:rsidRPr="000363B6">
        <w:rPr>
          <w:rFonts w:cs="Arial"/>
        </w:rPr>
        <w:t xml:space="preserve"> </w:t>
      </w:r>
      <w:r w:rsidR="000363B6">
        <w:rPr>
          <w:rFonts w:cs="Arial"/>
        </w:rPr>
        <w:t>At the recommended doses</w:t>
      </w:r>
      <w:r w:rsidR="00942C76">
        <w:rPr>
          <w:rFonts w:cs="Arial"/>
        </w:rPr>
        <w:t xml:space="preserve"> according to body weight</w:t>
      </w:r>
      <w:r w:rsidR="00B93F52" w:rsidRPr="00904452">
        <w:rPr>
          <w:rFonts w:cs="Arial"/>
        </w:rPr>
        <w:t xml:space="preserve">, exposures of glecaprevir and pibrentasvir in </w:t>
      </w:r>
      <w:r w:rsidR="00942C76">
        <w:rPr>
          <w:rFonts w:cs="Arial"/>
        </w:rPr>
        <w:t xml:space="preserve">children </w:t>
      </w:r>
      <w:r w:rsidR="000363B6">
        <w:rPr>
          <w:rFonts w:cs="Arial"/>
        </w:rPr>
        <w:t xml:space="preserve">aged 3 </w:t>
      </w:r>
      <w:r w:rsidR="00942C76">
        <w:rPr>
          <w:rFonts w:cs="Arial"/>
        </w:rPr>
        <w:t xml:space="preserve">to &lt; 12 years fell within the </w:t>
      </w:r>
      <w:r w:rsidR="00807E52">
        <w:rPr>
          <w:rFonts w:cs="Arial"/>
        </w:rPr>
        <w:t xml:space="preserve">observed </w:t>
      </w:r>
      <w:r w:rsidR="00942C76">
        <w:rPr>
          <w:rFonts w:cs="Arial"/>
        </w:rPr>
        <w:t xml:space="preserve">efficacious exposure range </w:t>
      </w:r>
      <w:r w:rsidR="00B93F52" w:rsidRPr="00904452">
        <w:rPr>
          <w:rFonts w:cs="Arial"/>
        </w:rPr>
        <w:t>in adults from Phase 2</w:t>
      </w:r>
      <w:r w:rsidR="000363B6">
        <w:rPr>
          <w:rFonts w:cs="Arial"/>
        </w:rPr>
        <w:t xml:space="preserve"> and </w:t>
      </w:r>
      <w:r w:rsidR="00B93F52" w:rsidRPr="00904452">
        <w:rPr>
          <w:rFonts w:cs="Arial"/>
        </w:rPr>
        <w:t xml:space="preserve">3 studies.  </w:t>
      </w:r>
    </w:p>
    <w:p w14:paraId="48B55710" w14:textId="2B02F7C8" w:rsidR="00493B75" w:rsidRPr="00904452" w:rsidRDefault="00B93F52" w:rsidP="00B93F52">
      <w:pPr>
        <w:jc w:val="both"/>
        <w:rPr>
          <w:rFonts w:cs="Arial"/>
        </w:rPr>
      </w:pPr>
      <w:r w:rsidRPr="00904452">
        <w:rPr>
          <w:rFonts w:cs="Arial"/>
        </w:rPr>
        <w:t xml:space="preserve">The pharmacokinetics of glecaprevir and pibrentasvir have not been established in children less than </w:t>
      </w:r>
      <w:r w:rsidR="000363B6">
        <w:rPr>
          <w:rFonts w:cs="Arial"/>
        </w:rPr>
        <w:t>3</w:t>
      </w:r>
      <w:r w:rsidRPr="00904452">
        <w:rPr>
          <w:rFonts w:cs="Arial"/>
        </w:rPr>
        <w:t xml:space="preserve"> years of age</w:t>
      </w:r>
      <w:r w:rsidR="00493B75" w:rsidRPr="00904452">
        <w:rPr>
          <w:rFonts w:cs="Arial"/>
        </w:rPr>
        <w:t>.</w:t>
      </w:r>
    </w:p>
    <w:p w14:paraId="6FD9DBC6" w14:textId="77777777" w:rsidR="00493B75" w:rsidRPr="005E1202" w:rsidRDefault="00493B75" w:rsidP="00493B75">
      <w:pPr>
        <w:pStyle w:val="Heading4"/>
        <w:rPr>
          <w:rFonts w:cs="Arial"/>
        </w:rPr>
      </w:pPr>
      <w:r w:rsidRPr="005E1202">
        <w:rPr>
          <w:rFonts w:cs="Arial"/>
        </w:rPr>
        <w:t>Geriatric Patients</w:t>
      </w:r>
    </w:p>
    <w:p w14:paraId="13D12867" w14:textId="77777777" w:rsidR="00493B75" w:rsidRPr="005E1202" w:rsidRDefault="00493B75" w:rsidP="00997256">
      <w:pPr>
        <w:jc w:val="both"/>
        <w:rPr>
          <w:rFonts w:cs="Arial"/>
        </w:rPr>
      </w:pPr>
      <w:r w:rsidRPr="005E1202">
        <w:rPr>
          <w:rFonts w:cs="Arial"/>
        </w:rPr>
        <w:t xml:space="preserve">No dose adjustment of MAVIRET is recommended in geriatric patients. </w:t>
      </w:r>
      <w:r w:rsidR="00A21000">
        <w:rPr>
          <w:rFonts w:cs="Arial"/>
        </w:rPr>
        <w:t xml:space="preserve"> </w:t>
      </w:r>
      <w:r w:rsidRPr="005E1202">
        <w:rPr>
          <w:rFonts w:cs="Arial"/>
        </w:rPr>
        <w:t>Population pharmacokinetic analysis in HCV-infected patients showed that within the age range (18 to 88 years) analysed, age did not have a clinically relevant effect on the exposure to glecaprevir or pibrentasvir.</w:t>
      </w:r>
    </w:p>
    <w:p w14:paraId="5A07B96E" w14:textId="77777777" w:rsidR="00493B75" w:rsidRPr="005E1202" w:rsidRDefault="00493B75" w:rsidP="00493B75">
      <w:pPr>
        <w:pStyle w:val="Heading4"/>
        <w:rPr>
          <w:rFonts w:cs="Arial"/>
        </w:rPr>
      </w:pPr>
      <w:r w:rsidRPr="005E1202">
        <w:rPr>
          <w:rFonts w:cs="Arial"/>
        </w:rPr>
        <w:t>Renal Impairment</w:t>
      </w:r>
    </w:p>
    <w:p w14:paraId="75618BC5" w14:textId="585BE5A4" w:rsidR="00493B75" w:rsidRPr="005E1202" w:rsidRDefault="00493B75" w:rsidP="00997256">
      <w:pPr>
        <w:jc w:val="both"/>
        <w:rPr>
          <w:rFonts w:cs="Arial"/>
        </w:rPr>
      </w:pPr>
      <w:r w:rsidRPr="005E1202">
        <w:rPr>
          <w:rFonts w:cs="Arial"/>
        </w:rPr>
        <w:t xml:space="preserve">Glecaprevir and pibrentasvir AUC were increased ≤ 56% in non-HCV infected subjects with mild (n=8), moderate (n=8), severe (n=8), or end-stage renal impairment who were not on dialysis (n=6) compared to subjects with normal renal function (n=8). Glecaprevir and pibrentasvir AUC were similar with and without dialysis (≤ 18% difference) in dialysis-dependent non-HCV infected subjects. In population pharmacokinetic analysis of HCV-infected patients, 86% higher glecaprevir and 54% higher pibrentasvir AUC were observed for patients with end stage renal disease, with or without dialysis, compared to patients with normal renal function. </w:t>
      </w:r>
    </w:p>
    <w:p w14:paraId="3A3C0A77" w14:textId="77777777" w:rsidR="00493B75" w:rsidRPr="005E1202" w:rsidRDefault="00493B75" w:rsidP="00997256">
      <w:pPr>
        <w:jc w:val="both"/>
        <w:rPr>
          <w:rFonts w:cs="Arial"/>
        </w:rPr>
      </w:pPr>
      <w:r w:rsidRPr="005E1202">
        <w:rPr>
          <w:rFonts w:cs="Arial"/>
        </w:rPr>
        <w:lastRenderedPageBreak/>
        <w:t>Overall, the changes in exposures of MAVIRET in HCV-infected patients with renal impairment with or without dialysis were not clinically significant.</w:t>
      </w:r>
    </w:p>
    <w:p w14:paraId="2C6A417C" w14:textId="77777777" w:rsidR="00493B75" w:rsidRPr="005E1202" w:rsidRDefault="00493B75" w:rsidP="00997256">
      <w:pPr>
        <w:pStyle w:val="Heading4"/>
        <w:jc w:val="both"/>
        <w:rPr>
          <w:rFonts w:cs="Arial"/>
        </w:rPr>
      </w:pPr>
      <w:r w:rsidRPr="005E1202">
        <w:rPr>
          <w:rFonts w:cs="Arial"/>
        </w:rPr>
        <w:t>Hepatic Impairment</w:t>
      </w:r>
    </w:p>
    <w:p w14:paraId="035F0C1D" w14:textId="77777777" w:rsidR="00493B75" w:rsidRPr="005E1202" w:rsidRDefault="00493B75" w:rsidP="00997256">
      <w:pPr>
        <w:jc w:val="both"/>
        <w:rPr>
          <w:rFonts w:cs="Arial"/>
        </w:rPr>
      </w:pPr>
      <w:r w:rsidRPr="005E1202">
        <w:rPr>
          <w:rFonts w:cs="Arial"/>
        </w:rPr>
        <w:t>At the clinical dose, compared to non-HCV infected subjects with normal hepatic function (n=6), glecaprevir AUC was 33% higher in Child-Pugh</w:t>
      </w:r>
      <w:r w:rsidRPr="005E1202" w:rsidDel="00BD2AD2">
        <w:rPr>
          <w:rFonts w:cs="Arial"/>
        </w:rPr>
        <w:t xml:space="preserve"> </w:t>
      </w:r>
      <w:r w:rsidRPr="005E1202">
        <w:rPr>
          <w:rFonts w:cs="Arial"/>
        </w:rPr>
        <w:t>A patients (n=6), 100% higher in Child-Pugh</w:t>
      </w:r>
      <w:r w:rsidRPr="005E1202" w:rsidDel="00BD2AD2">
        <w:rPr>
          <w:rFonts w:cs="Arial"/>
        </w:rPr>
        <w:t xml:space="preserve"> </w:t>
      </w:r>
      <w:r w:rsidRPr="005E1202">
        <w:rPr>
          <w:rFonts w:cs="Arial"/>
        </w:rPr>
        <w:t>B patients (n=6), and increased to 11-fold in Child-Pugh</w:t>
      </w:r>
      <w:r w:rsidRPr="005E1202" w:rsidDel="00BD2AD2">
        <w:rPr>
          <w:rFonts w:cs="Arial"/>
        </w:rPr>
        <w:t xml:space="preserve"> </w:t>
      </w:r>
      <w:r w:rsidRPr="005E1202">
        <w:rPr>
          <w:rFonts w:cs="Arial"/>
        </w:rPr>
        <w:t xml:space="preserve">C patients (n=6). </w:t>
      </w:r>
      <w:r w:rsidR="00A21000">
        <w:rPr>
          <w:rFonts w:cs="Arial"/>
        </w:rPr>
        <w:t xml:space="preserve"> </w:t>
      </w:r>
      <w:r w:rsidRPr="005E1202">
        <w:rPr>
          <w:rFonts w:cs="Arial"/>
        </w:rPr>
        <w:t>Pibrentasvir AUC was similar in Child-Pugh</w:t>
      </w:r>
      <w:r w:rsidRPr="005E1202" w:rsidDel="00BD2AD2">
        <w:rPr>
          <w:rFonts w:cs="Arial"/>
        </w:rPr>
        <w:t xml:space="preserve"> </w:t>
      </w:r>
      <w:r w:rsidRPr="005E1202">
        <w:rPr>
          <w:rFonts w:cs="Arial"/>
        </w:rPr>
        <w:t>A patients, 26% higher in Child-Pugh</w:t>
      </w:r>
      <w:r w:rsidRPr="005E1202" w:rsidDel="00BD2AD2">
        <w:rPr>
          <w:rFonts w:cs="Arial"/>
        </w:rPr>
        <w:t xml:space="preserve"> </w:t>
      </w:r>
      <w:r w:rsidRPr="005E1202">
        <w:rPr>
          <w:rFonts w:cs="Arial"/>
        </w:rPr>
        <w:t>B patients, and 114% higher in Child-Pugh</w:t>
      </w:r>
      <w:r w:rsidRPr="005E1202" w:rsidDel="00BD2AD2">
        <w:rPr>
          <w:rFonts w:cs="Arial"/>
        </w:rPr>
        <w:t xml:space="preserve"> </w:t>
      </w:r>
      <w:r w:rsidRPr="005E1202">
        <w:rPr>
          <w:rFonts w:cs="Arial"/>
        </w:rPr>
        <w:t>C patients.</w:t>
      </w:r>
    </w:p>
    <w:p w14:paraId="706074BF" w14:textId="341805E5" w:rsidR="00493B75" w:rsidRPr="005E1202" w:rsidRDefault="00493B75" w:rsidP="00997256">
      <w:pPr>
        <w:jc w:val="both"/>
        <w:rPr>
          <w:rFonts w:cs="Arial"/>
        </w:rPr>
      </w:pPr>
      <w:r w:rsidRPr="005E1202">
        <w:rPr>
          <w:rFonts w:cs="Arial"/>
        </w:rPr>
        <w:t xml:space="preserve">Following administration of MAVIRET in HCV infected patients with compensated (Child-Pugh A) cirrhosis, exposure of glecaprevir was approximately 2-fold and pibrentasvir exposure was </w:t>
      </w:r>
      <w:proofErr w:type="gramStart"/>
      <w:r w:rsidRPr="005E1202">
        <w:rPr>
          <w:rFonts w:cs="Arial"/>
        </w:rPr>
        <w:t>similar to</w:t>
      </w:r>
      <w:proofErr w:type="gramEnd"/>
      <w:r w:rsidRPr="005E1202">
        <w:rPr>
          <w:rFonts w:cs="Arial"/>
        </w:rPr>
        <w:t xml:space="preserve"> non-cirrhotic HCV infected patients</w:t>
      </w:r>
      <w:r w:rsidR="00A21000">
        <w:rPr>
          <w:rFonts w:cs="Arial"/>
        </w:rPr>
        <w:t>;</w:t>
      </w:r>
      <w:r w:rsidR="00A21000" w:rsidRPr="005E1202">
        <w:rPr>
          <w:rFonts w:cs="Arial"/>
        </w:rPr>
        <w:t xml:space="preserve"> </w:t>
      </w:r>
      <w:r w:rsidRPr="005E1202">
        <w:rPr>
          <w:rFonts w:cs="Arial"/>
        </w:rPr>
        <w:t>however</w:t>
      </w:r>
      <w:r w:rsidR="00E7250D" w:rsidRPr="00E7250D">
        <w:rPr>
          <w:rFonts w:cs="Arial"/>
          <w:color w:val="008000"/>
        </w:rPr>
        <w:t>,</w:t>
      </w:r>
      <w:r w:rsidRPr="005E1202">
        <w:rPr>
          <w:rFonts w:cs="Arial"/>
        </w:rPr>
        <w:t xml:space="preserve"> there was significant overlap in exposures. </w:t>
      </w:r>
      <w:r w:rsidR="00A21000">
        <w:rPr>
          <w:rFonts w:cs="Arial"/>
        </w:rPr>
        <w:t xml:space="preserve"> </w:t>
      </w:r>
      <w:r w:rsidRPr="005E1202">
        <w:rPr>
          <w:rFonts w:cs="Arial"/>
        </w:rPr>
        <w:t>Therefore, recommendations for drug-drug interactions are not different for cirrhotic (Child-Pugh A) and non-cirrhotic subjects.</w:t>
      </w:r>
    </w:p>
    <w:p w14:paraId="3F6BB6C7" w14:textId="77777777" w:rsidR="00493B75" w:rsidRPr="005E1202" w:rsidRDefault="00493B75" w:rsidP="00493B75">
      <w:pPr>
        <w:pStyle w:val="Heading3"/>
        <w:rPr>
          <w:rFonts w:cs="Arial"/>
        </w:rPr>
      </w:pPr>
      <w:r w:rsidRPr="005E1202">
        <w:rPr>
          <w:rFonts w:cs="Arial"/>
        </w:rPr>
        <w:t>Drug Interactions</w:t>
      </w:r>
    </w:p>
    <w:p w14:paraId="4156FAC6" w14:textId="548D02D9" w:rsidR="00AE18F9" w:rsidRDefault="00493B75" w:rsidP="00997256">
      <w:pPr>
        <w:jc w:val="both"/>
        <w:rPr>
          <w:rFonts w:cs="Arial"/>
        </w:rPr>
      </w:pPr>
      <w:r w:rsidRPr="005E1202">
        <w:rPr>
          <w:rFonts w:cs="Arial"/>
        </w:rPr>
        <w:t>Drug interaction studies were performed with glecaprevir</w:t>
      </w:r>
      <w:r w:rsidR="00997256">
        <w:rPr>
          <w:rFonts w:cs="Arial"/>
        </w:rPr>
        <w:t xml:space="preserve"> </w:t>
      </w:r>
      <w:r w:rsidRPr="005E1202">
        <w:rPr>
          <w:rFonts w:cs="Arial"/>
        </w:rPr>
        <w:t>/</w:t>
      </w:r>
      <w:r w:rsidR="00997256">
        <w:rPr>
          <w:rFonts w:cs="Arial"/>
        </w:rPr>
        <w:t xml:space="preserve"> </w:t>
      </w:r>
      <w:r w:rsidRPr="005E1202">
        <w:rPr>
          <w:rFonts w:cs="Arial"/>
        </w:rPr>
        <w:t xml:space="preserve">pibrentasvir and other drugs that are likely to be </w:t>
      </w:r>
      <w:proofErr w:type="spellStart"/>
      <w:r w:rsidRPr="005E1202">
        <w:rPr>
          <w:rFonts w:cs="Arial"/>
        </w:rPr>
        <w:t>coadministered</w:t>
      </w:r>
      <w:proofErr w:type="spellEnd"/>
      <w:r w:rsidRPr="005E1202">
        <w:rPr>
          <w:rFonts w:cs="Arial"/>
        </w:rPr>
        <w:t xml:space="preserve"> and with drugs commonly used as probes for pharmacokinetic interactions. </w:t>
      </w:r>
      <w:hyperlink w:anchor="table_7" w:tooltip="gtc:Link" w:history="1">
        <w:r w:rsidRPr="005E1202">
          <w:rPr>
            <w:rFonts w:cs="Arial"/>
          </w:rPr>
          <w:t xml:space="preserve">Tables </w:t>
        </w:r>
      </w:hyperlink>
      <w:r w:rsidR="008D55BB">
        <w:rPr>
          <w:rFonts w:cs="Arial"/>
        </w:rPr>
        <w:t>1</w:t>
      </w:r>
      <w:r w:rsidR="000363B6">
        <w:rPr>
          <w:rFonts w:cs="Arial"/>
        </w:rPr>
        <w:t>6</w:t>
      </w:r>
      <w:r w:rsidRPr="005E1202">
        <w:rPr>
          <w:rFonts w:cs="Arial"/>
        </w:rPr>
        <w:t xml:space="preserve"> and </w:t>
      </w:r>
      <w:r w:rsidR="008D55BB">
        <w:rPr>
          <w:rFonts w:cs="Arial"/>
        </w:rPr>
        <w:t>1</w:t>
      </w:r>
      <w:r w:rsidR="000363B6">
        <w:rPr>
          <w:rFonts w:cs="Arial"/>
        </w:rPr>
        <w:t>7</w:t>
      </w:r>
      <w:r w:rsidRPr="005E1202">
        <w:rPr>
          <w:rFonts w:cs="Arial"/>
        </w:rPr>
        <w:t xml:space="preserve"> summarise the pharmacokinetic effects when glecaprevir</w:t>
      </w:r>
      <w:r w:rsidR="00997256">
        <w:rPr>
          <w:rFonts w:cs="Arial"/>
        </w:rPr>
        <w:t xml:space="preserve"> </w:t>
      </w:r>
      <w:r w:rsidRPr="005E1202">
        <w:rPr>
          <w:rFonts w:cs="Arial"/>
        </w:rPr>
        <w:t>/</w:t>
      </w:r>
      <w:r w:rsidR="00997256">
        <w:rPr>
          <w:rFonts w:cs="Arial"/>
        </w:rPr>
        <w:t xml:space="preserve"> </w:t>
      </w:r>
      <w:proofErr w:type="spellStart"/>
      <w:r w:rsidRPr="005E1202">
        <w:rPr>
          <w:rFonts w:cs="Arial"/>
        </w:rPr>
        <w:t>pibrentasvir</w:t>
      </w:r>
      <w:proofErr w:type="spellEnd"/>
      <w:r w:rsidRPr="005E1202">
        <w:rPr>
          <w:rFonts w:cs="Arial"/>
          <w:i/>
        </w:rPr>
        <w:t xml:space="preserve"> </w:t>
      </w:r>
      <w:r w:rsidRPr="005E1202">
        <w:rPr>
          <w:rFonts w:cs="Arial"/>
        </w:rPr>
        <w:t xml:space="preserve">was </w:t>
      </w:r>
      <w:proofErr w:type="spellStart"/>
      <w:r w:rsidRPr="005E1202">
        <w:rPr>
          <w:rFonts w:cs="Arial"/>
        </w:rPr>
        <w:t>coadministered</w:t>
      </w:r>
      <w:proofErr w:type="spellEnd"/>
      <w:r w:rsidRPr="005E1202">
        <w:rPr>
          <w:rFonts w:cs="Arial"/>
        </w:rPr>
        <w:t xml:space="preserve"> with other drugs which showed potentially clinically relevant changes.</w:t>
      </w:r>
    </w:p>
    <w:p w14:paraId="40B3208A" w14:textId="77777777" w:rsidR="00AE18F9" w:rsidRDefault="00AE18F9" w:rsidP="00997256">
      <w:pPr>
        <w:jc w:val="both"/>
        <w:rPr>
          <w:rFonts w:cs="Arial"/>
        </w:rPr>
      </w:pPr>
    </w:p>
    <w:p w14:paraId="3BF0E1E1" w14:textId="482068A5" w:rsidR="00D207C3" w:rsidRPr="005E1202" w:rsidRDefault="00493B75" w:rsidP="00AB396F">
      <w:pPr>
        <w:jc w:val="both"/>
        <w:rPr>
          <w:rFonts w:cs="Arial"/>
          <w:b/>
        </w:rPr>
      </w:pPr>
      <w:r w:rsidRPr="005E1202">
        <w:rPr>
          <w:rFonts w:cs="Arial"/>
          <w:b/>
        </w:rPr>
        <w:t xml:space="preserve">Table </w:t>
      </w:r>
      <w:r w:rsidR="008D55BB">
        <w:rPr>
          <w:rFonts w:cs="Arial"/>
          <w:b/>
        </w:rPr>
        <w:t>1</w:t>
      </w:r>
      <w:r w:rsidR="000363B6">
        <w:rPr>
          <w:rFonts w:cs="Arial"/>
          <w:b/>
        </w:rPr>
        <w:t>6</w:t>
      </w:r>
      <w:r w:rsidRPr="005E1202">
        <w:rPr>
          <w:rFonts w:cs="Arial"/>
          <w:b/>
        </w:rPr>
        <w:t xml:space="preserve">. Drug Interactions: Changes in Pharmacokinetic Parameters of Glecaprevir </w:t>
      </w:r>
      <w:r w:rsidR="00F82EC5">
        <w:rPr>
          <w:rFonts w:cs="Arial"/>
          <w:b/>
        </w:rPr>
        <w:t xml:space="preserve">(GLE) </w:t>
      </w:r>
      <w:r w:rsidRPr="005E1202">
        <w:rPr>
          <w:rFonts w:cs="Arial"/>
          <w:b/>
        </w:rPr>
        <w:t>or Pibrentasvir</w:t>
      </w:r>
      <w:r w:rsidR="00F82EC5">
        <w:rPr>
          <w:rFonts w:cs="Arial"/>
          <w:b/>
        </w:rPr>
        <w:t xml:space="preserve"> (PIB)</w:t>
      </w:r>
      <w:r w:rsidRPr="005E1202">
        <w:rPr>
          <w:rFonts w:cs="Arial"/>
          <w:b/>
        </w:rPr>
        <w:t xml:space="preserve"> in the Presence of </w:t>
      </w:r>
      <w:proofErr w:type="spellStart"/>
      <w:r w:rsidRPr="005E1202">
        <w:rPr>
          <w:rFonts w:cs="Arial"/>
          <w:b/>
        </w:rPr>
        <w:t>Coadministered</w:t>
      </w:r>
      <w:proofErr w:type="spellEnd"/>
      <w:r w:rsidRPr="005E1202">
        <w:rPr>
          <w:rFonts w:cs="Arial"/>
          <w:b/>
        </w:rPr>
        <w:t xml:space="preserve"> Drug</w:t>
      </w:r>
    </w:p>
    <w:tbl>
      <w:tblPr>
        <w:tblW w:w="9859" w:type="dxa"/>
        <w:jc w:val="center"/>
        <w:tblLayout w:type="fixed"/>
        <w:tblCellMar>
          <w:left w:w="0" w:type="dxa"/>
          <w:right w:w="0" w:type="dxa"/>
        </w:tblCellMar>
        <w:tblLook w:val="04A0" w:firstRow="1" w:lastRow="0" w:firstColumn="1" w:lastColumn="0" w:noHBand="0" w:noVBand="1"/>
      </w:tblPr>
      <w:tblGrid>
        <w:gridCol w:w="1702"/>
        <w:gridCol w:w="1595"/>
        <w:gridCol w:w="1524"/>
        <w:gridCol w:w="708"/>
        <w:gridCol w:w="1276"/>
        <w:gridCol w:w="992"/>
        <w:gridCol w:w="993"/>
        <w:gridCol w:w="1069"/>
      </w:tblGrid>
      <w:tr w:rsidR="00493B75" w:rsidRPr="005E1202" w14:paraId="0E56CBED" w14:textId="77777777" w:rsidTr="00AE18F9">
        <w:trPr>
          <w:cantSplit/>
          <w:tblHeader/>
          <w:jc w:val="center"/>
        </w:trPr>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163ACC" w14:textId="77777777" w:rsidR="00493B75" w:rsidRPr="0068143D" w:rsidRDefault="00493B75" w:rsidP="00101A8A">
            <w:pPr>
              <w:spacing w:after="120" w:line="240" w:lineRule="auto"/>
              <w:jc w:val="center"/>
              <w:rPr>
                <w:rFonts w:cs="Arial"/>
                <w:b/>
                <w:sz w:val="18"/>
                <w:szCs w:val="18"/>
              </w:rPr>
            </w:pPr>
            <w:proofErr w:type="spellStart"/>
            <w:r w:rsidRPr="0068143D">
              <w:rPr>
                <w:rFonts w:cs="Arial"/>
                <w:b/>
                <w:sz w:val="18"/>
                <w:szCs w:val="18"/>
              </w:rPr>
              <w:t>Coadministered</w:t>
            </w:r>
            <w:proofErr w:type="spellEnd"/>
            <w:r w:rsidRPr="0068143D">
              <w:rPr>
                <w:rFonts w:cs="Arial"/>
                <w:b/>
                <w:sz w:val="18"/>
                <w:szCs w:val="18"/>
              </w:rPr>
              <w:t xml:space="preserve"> Drug</w:t>
            </w:r>
          </w:p>
        </w:tc>
        <w:tc>
          <w:tcPr>
            <w:tcW w:w="15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DA7795" w14:textId="77777777" w:rsidR="00493B75" w:rsidRPr="0068143D" w:rsidRDefault="00493B75" w:rsidP="00101A8A">
            <w:pPr>
              <w:spacing w:after="120" w:line="240" w:lineRule="auto"/>
              <w:jc w:val="center"/>
              <w:rPr>
                <w:rFonts w:cs="Arial"/>
                <w:b/>
                <w:sz w:val="18"/>
                <w:szCs w:val="18"/>
              </w:rPr>
            </w:pPr>
            <w:r w:rsidRPr="0068143D">
              <w:rPr>
                <w:rFonts w:cs="Arial"/>
                <w:b/>
                <w:sz w:val="18"/>
                <w:szCs w:val="18"/>
              </w:rPr>
              <w:t xml:space="preserve">Regimen of </w:t>
            </w:r>
            <w:proofErr w:type="spellStart"/>
            <w:r w:rsidRPr="0068143D">
              <w:rPr>
                <w:rFonts w:cs="Arial"/>
                <w:b/>
                <w:sz w:val="18"/>
                <w:szCs w:val="18"/>
              </w:rPr>
              <w:t>Coadministered</w:t>
            </w:r>
            <w:proofErr w:type="spellEnd"/>
            <w:r w:rsidRPr="0068143D">
              <w:rPr>
                <w:rFonts w:cs="Arial"/>
                <w:b/>
                <w:sz w:val="18"/>
                <w:szCs w:val="18"/>
              </w:rPr>
              <w:t xml:space="preserve"> Drug (mg)</w:t>
            </w:r>
          </w:p>
        </w:tc>
        <w:tc>
          <w:tcPr>
            <w:tcW w:w="15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2A4FF2" w14:textId="77777777" w:rsidR="00493B75" w:rsidRPr="0068143D" w:rsidRDefault="00493B75" w:rsidP="00101A8A">
            <w:pPr>
              <w:spacing w:after="120" w:line="240" w:lineRule="auto"/>
              <w:jc w:val="center"/>
              <w:rPr>
                <w:rFonts w:cs="Arial"/>
                <w:b/>
                <w:sz w:val="18"/>
                <w:szCs w:val="18"/>
              </w:rPr>
            </w:pPr>
            <w:r w:rsidRPr="0068143D">
              <w:rPr>
                <w:rFonts w:cs="Arial"/>
                <w:b/>
                <w:sz w:val="18"/>
                <w:szCs w:val="18"/>
              </w:rPr>
              <w:t>Regimen of glecaprevir / pibrentasvir (mg)</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9AEF6" w14:textId="77777777" w:rsidR="00493B75" w:rsidRPr="0068143D" w:rsidRDefault="00493B75" w:rsidP="00101A8A">
            <w:pPr>
              <w:spacing w:after="120" w:line="240" w:lineRule="auto"/>
              <w:jc w:val="center"/>
              <w:rPr>
                <w:rFonts w:cs="Arial"/>
                <w:b/>
                <w:sz w:val="18"/>
                <w:szCs w:val="18"/>
              </w:rPr>
            </w:pPr>
            <w:r w:rsidRPr="0068143D">
              <w:rPr>
                <w:rFonts w:cs="Arial"/>
                <w:b/>
                <w:sz w:val="18"/>
                <w:szCs w:val="18"/>
              </w:rPr>
              <w:t>N</w:t>
            </w:r>
          </w:p>
        </w:tc>
        <w:tc>
          <w:tcPr>
            <w:tcW w:w="1276"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C9E81C" w14:textId="77777777" w:rsidR="00493B75" w:rsidRPr="0068143D" w:rsidRDefault="00493B75" w:rsidP="00101A8A">
            <w:pPr>
              <w:spacing w:after="120" w:line="240" w:lineRule="auto"/>
              <w:jc w:val="center"/>
              <w:rPr>
                <w:rFonts w:cs="Arial"/>
                <w:b/>
                <w:sz w:val="18"/>
                <w:szCs w:val="18"/>
              </w:rPr>
            </w:pPr>
            <w:r w:rsidRPr="0068143D">
              <w:rPr>
                <w:rFonts w:cs="Arial"/>
                <w:b/>
                <w:sz w:val="18"/>
                <w:szCs w:val="18"/>
              </w:rPr>
              <w:t>DAA</w:t>
            </w:r>
          </w:p>
        </w:tc>
        <w:tc>
          <w:tcPr>
            <w:tcW w:w="3054"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DA64B9" w14:textId="77777777" w:rsidR="00493B75" w:rsidRPr="0068143D" w:rsidRDefault="00493B75" w:rsidP="00101A8A">
            <w:pPr>
              <w:spacing w:after="120" w:line="240" w:lineRule="auto"/>
              <w:jc w:val="center"/>
              <w:rPr>
                <w:rFonts w:eastAsia="Calibri" w:cs="Arial"/>
                <w:b/>
                <w:sz w:val="18"/>
                <w:szCs w:val="18"/>
              </w:rPr>
            </w:pPr>
            <w:r w:rsidRPr="0068143D">
              <w:rPr>
                <w:rFonts w:cs="Arial"/>
                <w:b/>
                <w:sz w:val="18"/>
                <w:szCs w:val="18"/>
              </w:rPr>
              <w:t>Central Value Ratio (90% CI)</w:t>
            </w:r>
          </w:p>
        </w:tc>
      </w:tr>
      <w:tr w:rsidR="00493B75" w:rsidRPr="005E1202" w14:paraId="0CD647A9" w14:textId="77777777" w:rsidTr="00AE18F9">
        <w:trPr>
          <w:cantSplit/>
          <w:tblHeader/>
          <w:jc w:val="center"/>
        </w:trPr>
        <w:tc>
          <w:tcPr>
            <w:tcW w:w="170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D9F7D9" w14:textId="77777777" w:rsidR="00493B75" w:rsidRPr="0068143D" w:rsidRDefault="00493B75" w:rsidP="00101A8A">
            <w:pPr>
              <w:spacing w:after="120" w:line="240" w:lineRule="auto"/>
              <w:jc w:val="center"/>
              <w:rPr>
                <w:rFonts w:cs="Arial"/>
                <w:b/>
                <w:sz w:val="18"/>
                <w:szCs w:val="18"/>
              </w:rPr>
            </w:pPr>
          </w:p>
        </w:tc>
        <w:tc>
          <w:tcPr>
            <w:tcW w:w="159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F0614E0" w14:textId="77777777" w:rsidR="00493B75" w:rsidRPr="0068143D" w:rsidRDefault="00493B75" w:rsidP="00101A8A">
            <w:pPr>
              <w:spacing w:after="120" w:line="240" w:lineRule="auto"/>
              <w:jc w:val="center"/>
              <w:rPr>
                <w:rFonts w:cs="Arial"/>
                <w:b/>
                <w:sz w:val="18"/>
                <w:szCs w:val="18"/>
              </w:rPr>
            </w:pPr>
          </w:p>
        </w:tc>
        <w:tc>
          <w:tcPr>
            <w:tcW w:w="152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5BB56F" w14:textId="77777777" w:rsidR="00493B75" w:rsidRPr="0068143D" w:rsidRDefault="00493B75" w:rsidP="00101A8A">
            <w:pPr>
              <w:spacing w:after="120" w:line="240" w:lineRule="auto"/>
              <w:jc w:val="center"/>
              <w:rPr>
                <w:rFonts w:cs="Arial"/>
                <w:b/>
                <w:sz w:val="18"/>
                <w:szCs w:val="18"/>
              </w:rPr>
            </w:pPr>
          </w:p>
        </w:tc>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4C3811" w14:textId="77777777" w:rsidR="00493B75" w:rsidRPr="0068143D" w:rsidRDefault="00493B75" w:rsidP="00101A8A">
            <w:pPr>
              <w:spacing w:after="120" w:line="240" w:lineRule="auto"/>
              <w:jc w:val="center"/>
              <w:rPr>
                <w:rFonts w:cs="Arial"/>
                <w:b/>
                <w:sz w:val="18"/>
                <w:szCs w:val="18"/>
              </w:rPr>
            </w:pPr>
          </w:p>
        </w:tc>
        <w:tc>
          <w:tcPr>
            <w:tcW w:w="1276"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0FCEBA" w14:textId="77777777" w:rsidR="00493B75" w:rsidRPr="0068143D" w:rsidRDefault="00493B75" w:rsidP="00101A8A">
            <w:pPr>
              <w:spacing w:after="120" w:line="240" w:lineRule="auto"/>
              <w:jc w:val="center"/>
              <w:rPr>
                <w:rFonts w:cs="Arial"/>
                <w:b/>
                <w:sz w:val="18"/>
                <w:szCs w:val="18"/>
              </w:rPr>
            </w:pP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7A7470" w14:textId="77777777" w:rsidR="00493B75" w:rsidRPr="0068143D" w:rsidRDefault="00493B75" w:rsidP="00101A8A">
            <w:pPr>
              <w:spacing w:after="120" w:line="240" w:lineRule="auto"/>
              <w:jc w:val="center"/>
              <w:rPr>
                <w:rFonts w:eastAsia="Calibri" w:cs="Arial"/>
                <w:b/>
                <w:sz w:val="18"/>
                <w:szCs w:val="18"/>
              </w:rPr>
            </w:pPr>
            <w:proofErr w:type="spellStart"/>
            <w:r w:rsidRPr="0068143D">
              <w:rPr>
                <w:rFonts w:cs="Arial"/>
                <w:b/>
                <w:sz w:val="18"/>
                <w:szCs w:val="18"/>
              </w:rPr>
              <w:t>C</w:t>
            </w:r>
            <w:r w:rsidRPr="0068143D">
              <w:rPr>
                <w:rFonts w:cs="Arial"/>
                <w:b/>
                <w:sz w:val="18"/>
                <w:szCs w:val="18"/>
                <w:vertAlign w:val="subscript"/>
              </w:rPr>
              <w:t>max</w:t>
            </w:r>
            <w:proofErr w:type="spellEnd"/>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1AF60" w14:textId="77777777" w:rsidR="00493B75" w:rsidRPr="0068143D" w:rsidRDefault="00493B75" w:rsidP="00101A8A">
            <w:pPr>
              <w:spacing w:after="120" w:line="240" w:lineRule="auto"/>
              <w:jc w:val="center"/>
              <w:rPr>
                <w:rFonts w:eastAsia="Calibri" w:cs="Arial"/>
                <w:b/>
                <w:sz w:val="18"/>
                <w:szCs w:val="18"/>
              </w:rPr>
            </w:pPr>
            <w:r w:rsidRPr="0068143D">
              <w:rPr>
                <w:rFonts w:cs="Arial"/>
                <w:b/>
                <w:sz w:val="18"/>
                <w:szCs w:val="18"/>
              </w:rPr>
              <w:t>AUC</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41C2AE" w14:textId="77777777" w:rsidR="00493B75" w:rsidRPr="0068143D" w:rsidRDefault="00493B75" w:rsidP="00101A8A">
            <w:pPr>
              <w:spacing w:after="120" w:line="240" w:lineRule="auto"/>
              <w:jc w:val="center"/>
              <w:rPr>
                <w:rFonts w:eastAsia="Calibri" w:cs="Arial"/>
                <w:b/>
                <w:sz w:val="18"/>
                <w:szCs w:val="18"/>
              </w:rPr>
            </w:pPr>
            <w:proofErr w:type="spellStart"/>
            <w:r w:rsidRPr="0068143D">
              <w:rPr>
                <w:rFonts w:cs="Arial"/>
                <w:b/>
                <w:sz w:val="18"/>
                <w:szCs w:val="18"/>
              </w:rPr>
              <w:t>C</w:t>
            </w:r>
            <w:r w:rsidRPr="0068143D">
              <w:rPr>
                <w:rFonts w:cs="Arial"/>
                <w:b/>
                <w:sz w:val="18"/>
                <w:szCs w:val="18"/>
                <w:vertAlign w:val="subscript"/>
              </w:rPr>
              <w:t>min</w:t>
            </w:r>
            <w:proofErr w:type="spellEnd"/>
          </w:p>
        </w:tc>
      </w:tr>
      <w:tr w:rsidR="00493B75" w:rsidRPr="005E1202" w14:paraId="298DD614" w14:textId="77777777" w:rsidTr="00AE18F9">
        <w:trPr>
          <w:cantSplit/>
          <w:jc w:val="center"/>
        </w:trPr>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387C596" w14:textId="77777777" w:rsidR="00493B75" w:rsidRPr="005E1202" w:rsidRDefault="00493B75" w:rsidP="00101A8A">
            <w:pPr>
              <w:spacing w:after="120" w:line="240" w:lineRule="auto"/>
              <w:jc w:val="center"/>
              <w:rPr>
                <w:rFonts w:cs="Arial"/>
                <w:sz w:val="20"/>
              </w:rPr>
            </w:pPr>
            <w:r w:rsidRPr="005E1202">
              <w:rPr>
                <w:rFonts w:cs="Arial"/>
                <w:sz w:val="20"/>
              </w:rPr>
              <w:t>Carbamazepine</w:t>
            </w:r>
          </w:p>
        </w:tc>
        <w:tc>
          <w:tcPr>
            <w:tcW w:w="15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3D5E3" w14:textId="77777777" w:rsidR="00493B75" w:rsidRPr="005E1202" w:rsidRDefault="00493B75" w:rsidP="00101A8A">
            <w:pPr>
              <w:spacing w:after="120" w:line="240" w:lineRule="auto"/>
              <w:jc w:val="center"/>
              <w:rPr>
                <w:rFonts w:cs="Arial"/>
                <w:sz w:val="20"/>
              </w:rPr>
            </w:pPr>
            <w:r w:rsidRPr="005E1202">
              <w:rPr>
                <w:rFonts w:cs="Arial"/>
                <w:sz w:val="20"/>
              </w:rPr>
              <w:t>200 twice daily</w:t>
            </w:r>
          </w:p>
        </w:tc>
        <w:tc>
          <w:tcPr>
            <w:tcW w:w="15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213E38" w14:textId="77777777" w:rsidR="00493B75" w:rsidRPr="005E1202" w:rsidRDefault="00493B75" w:rsidP="00101A8A">
            <w:pPr>
              <w:spacing w:after="120" w:line="240" w:lineRule="auto"/>
              <w:jc w:val="center"/>
              <w:rPr>
                <w:rFonts w:cs="Arial"/>
                <w:sz w:val="20"/>
              </w:rPr>
            </w:pPr>
            <w:r w:rsidRPr="005E1202">
              <w:rPr>
                <w:rFonts w:cs="Arial"/>
                <w:sz w:val="20"/>
              </w:rPr>
              <w:t>300/</w:t>
            </w:r>
            <w:proofErr w:type="gramStart"/>
            <w:r w:rsidRPr="005E1202">
              <w:rPr>
                <w:rFonts w:cs="Arial"/>
                <w:sz w:val="20"/>
              </w:rPr>
              <w:t xml:space="preserve">120 </w:t>
            </w:r>
            <w:r w:rsidR="00AB396F">
              <w:rPr>
                <w:rFonts w:cs="Arial"/>
                <w:sz w:val="20"/>
              </w:rPr>
              <w:t xml:space="preserve"> </w:t>
            </w:r>
            <w:r w:rsidRPr="005E1202">
              <w:rPr>
                <w:rFonts w:cs="Arial"/>
                <w:sz w:val="20"/>
              </w:rPr>
              <w:t>single</w:t>
            </w:r>
            <w:proofErr w:type="gramEnd"/>
            <w:r w:rsidRPr="005E1202">
              <w:rPr>
                <w:rFonts w:cs="Arial"/>
                <w:sz w:val="20"/>
              </w:rPr>
              <w:t xml:space="preserve"> dose</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5CB6EB" w14:textId="77777777" w:rsidR="00493B75" w:rsidRPr="005E1202" w:rsidRDefault="00493B75" w:rsidP="00101A8A">
            <w:pPr>
              <w:spacing w:after="120" w:line="240" w:lineRule="auto"/>
              <w:jc w:val="center"/>
              <w:rPr>
                <w:rFonts w:cs="Arial"/>
                <w:sz w:val="20"/>
              </w:rPr>
            </w:pPr>
            <w:r w:rsidRPr="005E1202">
              <w:rPr>
                <w:rFonts w:cs="Arial"/>
                <w:sz w:val="20"/>
              </w:rPr>
              <w:t>10</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E247A3" w14:textId="77777777" w:rsidR="00493B75" w:rsidRPr="005E1202" w:rsidRDefault="00F82EC5" w:rsidP="00101A8A">
            <w:pPr>
              <w:spacing w:after="120" w:line="240" w:lineRule="auto"/>
              <w:jc w:val="center"/>
              <w:rPr>
                <w:rFonts w:cs="Arial"/>
                <w:sz w:val="20"/>
              </w:rPr>
            </w:pPr>
            <w:r>
              <w:rPr>
                <w:rFonts w:cs="Arial"/>
                <w:sz w:val="20"/>
              </w:rPr>
              <w:t>GLE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E31221"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0.33</w:t>
            </w:r>
            <w:proofErr w:type="gramStart"/>
            <w:r w:rsidRPr="005E1202">
              <w:rPr>
                <w:rFonts w:eastAsia="Calibri" w:cs="Arial"/>
                <w:sz w:val="20"/>
              </w:rPr>
              <w:t xml:space="preserve">   (</w:t>
            </w:r>
            <w:proofErr w:type="gramEnd"/>
            <w:r w:rsidRPr="005E1202">
              <w:rPr>
                <w:rFonts w:eastAsia="Calibri" w:cs="Arial"/>
                <w:sz w:val="20"/>
              </w:rPr>
              <w:t>0.27, 0.41)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3B54A1"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0.34</w:t>
            </w:r>
            <w:proofErr w:type="gramStart"/>
            <w:r w:rsidRPr="005E1202">
              <w:rPr>
                <w:rFonts w:eastAsia="Calibri" w:cs="Arial"/>
                <w:sz w:val="20"/>
              </w:rPr>
              <w:t xml:space="preserve">   (</w:t>
            </w:r>
            <w:proofErr w:type="gramEnd"/>
            <w:r w:rsidRPr="005E1202">
              <w:rPr>
                <w:rFonts w:eastAsia="Calibri" w:cs="Arial"/>
                <w:sz w:val="20"/>
              </w:rPr>
              <w:t>0.28, 0.40)</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2A79C1" w14:textId="77777777" w:rsidR="00493B75" w:rsidRPr="005E1202" w:rsidRDefault="00493B75" w:rsidP="00101A8A">
            <w:pPr>
              <w:spacing w:after="120" w:line="240" w:lineRule="auto"/>
              <w:jc w:val="center"/>
              <w:rPr>
                <w:rFonts w:eastAsia="Calibri" w:cs="Arial"/>
                <w:sz w:val="20"/>
              </w:rPr>
            </w:pPr>
            <w:r w:rsidRPr="005E1202">
              <w:rPr>
                <w:rFonts w:cs="Arial"/>
                <w:sz w:val="20"/>
              </w:rPr>
              <w:t>--</w:t>
            </w:r>
          </w:p>
        </w:tc>
      </w:tr>
      <w:tr w:rsidR="00493B75" w:rsidRPr="005E1202" w14:paraId="67A461A7" w14:textId="77777777" w:rsidTr="00AE18F9">
        <w:trPr>
          <w:cantSplit/>
          <w:jc w:val="center"/>
        </w:trPr>
        <w:tc>
          <w:tcPr>
            <w:tcW w:w="170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5A857F" w14:textId="77777777" w:rsidR="00493B75" w:rsidRPr="005E1202" w:rsidRDefault="00493B75" w:rsidP="00101A8A">
            <w:pPr>
              <w:spacing w:after="120" w:line="240" w:lineRule="auto"/>
              <w:jc w:val="center"/>
              <w:rPr>
                <w:rFonts w:cs="Arial"/>
                <w:sz w:val="20"/>
              </w:rPr>
            </w:pPr>
          </w:p>
        </w:tc>
        <w:tc>
          <w:tcPr>
            <w:tcW w:w="159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036DF" w14:textId="77777777" w:rsidR="00493B75" w:rsidRPr="005E1202" w:rsidRDefault="00493B75" w:rsidP="00101A8A">
            <w:pPr>
              <w:spacing w:after="120" w:line="240" w:lineRule="auto"/>
              <w:jc w:val="center"/>
              <w:rPr>
                <w:rFonts w:cs="Arial"/>
                <w:sz w:val="20"/>
              </w:rPr>
            </w:pPr>
          </w:p>
        </w:tc>
        <w:tc>
          <w:tcPr>
            <w:tcW w:w="152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05EBC5" w14:textId="77777777" w:rsidR="00493B75" w:rsidRPr="005E1202" w:rsidRDefault="00493B75" w:rsidP="00101A8A">
            <w:pPr>
              <w:spacing w:after="120" w:line="240" w:lineRule="auto"/>
              <w:jc w:val="center"/>
              <w:rPr>
                <w:rFonts w:cs="Arial"/>
                <w:sz w:val="20"/>
              </w:rPr>
            </w:pPr>
          </w:p>
        </w:tc>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32A77B" w14:textId="77777777" w:rsidR="00493B75" w:rsidRPr="005E1202" w:rsidRDefault="00493B75" w:rsidP="00101A8A">
            <w:pPr>
              <w:spacing w:after="120" w:line="240" w:lineRule="auto"/>
              <w:jc w:val="center"/>
              <w:rPr>
                <w:rFonts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4FD507" w14:textId="77777777" w:rsidR="00493B75" w:rsidRPr="005E1202" w:rsidRDefault="00F82EC5" w:rsidP="00101A8A">
            <w:pPr>
              <w:spacing w:after="120" w:line="240" w:lineRule="auto"/>
              <w:jc w:val="center"/>
              <w:rPr>
                <w:rFonts w:cs="Arial"/>
                <w:sz w:val="20"/>
              </w:rPr>
            </w:pPr>
            <w:r>
              <w:rPr>
                <w:rFonts w:cs="Arial"/>
                <w:sz w:val="20"/>
              </w:rPr>
              <w:t>PIB</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AC41FC"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0.50</w:t>
            </w:r>
            <w:proofErr w:type="gramStart"/>
            <w:r w:rsidRPr="005E1202">
              <w:rPr>
                <w:rFonts w:eastAsia="Calibri" w:cs="Arial"/>
                <w:sz w:val="20"/>
              </w:rPr>
              <w:t xml:space="preserve">   (</w:t>
            </w:r>
            <w:proofErr w:type="gramEnd"/>
            <w:r w:rsidRPr="005E1202">
              <w:rPr>
                <w:rFonts w:eastAsia="Calibri" w:cs="Arial"/>
                <w:sz w:val="20"/>
              </w:rPr>
              <w:t>0.42, 0.59)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16C5596"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0.49</w:t>
            </w:r>
            <w:proofErr w:type="gramStart"/>
            <w:r w:rsidRPr="005E1202">
              <w:rPr>
                <w:rFonts w:eastAsia="Calibri" w:cs="Arial"/>
                <w:sz w:val="20"/>
              </w:rPr>
              <w:t xml:space="preserve">   (</w:t>
            </w:r>
            <w:proofErr w:type="gramEnd"/>
            <w:r w:rsidRPr="005E1202">
              <w:rPr>
                <w:rFonts w:eastAsia="Calibri" w:cs="Arial"/>
                <w:sz w:val="20"/>
              </w:rPr>
              <w:t>0.43, 0.55)</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1C2AD8" w14:textId="77777777" w:rsidR="00493B75" w:rsidRPr="005E1202" w:rsidRDefault="00493B75" w:rsidP="00101A8A">
            <w:pPr>
              <w:spacing w:after="120" w:line="240" w:lineRule="auto"/>
              <w:jc w:val="center"/>
              <w:rPr>
                <w:rFonts w:eastAsia="Calibri" w:cs="Arial"/>
                <w:sz w:val="20"/>
              </w:rPr>
            </w:pPr>
            <w:r w:rsidRPr="005E1202">
              <w:rPr>
                <w:rFonts w:cs="Arial"/>
                <w:sz w:val="20"/>
              </w:rPr>
              <w:t>--</w:t>
            </w:r>
          </w:p>
        </w:tc>
      </w:tr>
      <w:tr w:rsidR="00493B75" w:rsidRPr="005E1202" w14:paraId="70382CFD" w14:textId="77777777" w:rsidTr="00AE18F9">
        <w:trPr>
          <w:cantSplit/>
          <w:jc w:val="center"/>
        </w:trPr>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4344EC" w14:textId="77777777" w:rsidR="00493B75" w:rsidRPr="005E1202" w:rsidRDefault="00493B75" w:rsidP="00101A8A">
            <w:pPr>
              <w:spacing w:after="120" w:line="240" w:lineRule="auto"/>
              <w:jc w:val="center"/>
              <w:rPr>
                <w:rFonts w:cs="Arial"/>
                <w:sz w:val="20"/>
              </w:rPr>
            </w:pPr>
            <w:r w:rsidRPr="005E1202">
              <w:rPr>
                <w:rFonts w:cs="Arial"/>
                <w:sz w:val="20"/>
              </w:rPr>
              <w:t>Rifampicin</w:t>
            </w:r>
          </w:p>
        </w:tc>
        <w:tc>
          <w:tcPr>
            <w:tcW w:w="159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7B7D1E0" w14:textId="77777777" w:rsidR="00493B75" w:rsidRPr="005E1202" w:rsidRDefault="00493B75" w:rsidP="00101A8A">
            <w:pPr>
              <w:spacing w:after="120" w:line="240" w:lineRule="auto"/>
              <w:jc w:val="center"/>
              <w:rPr>
                <w:rFonts w:cs="Arial"/>
                <w:sz w:val="20"/>
              </w:rPr>
            </w:pPr>
            <w:r w:rsidRPr="005E1202">
              <w:rPr>
                <w:rFonts w:cs="Arial"/>
                <w:sz w:val="20"/>
              </w:rPr>
              <w:t>600 (first dose)</w:t>
            </w:r>
          </w:p>
        </w:tc>
        <w:tc>
          <w:tcPr>
            <w:tcW w:w="15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1FB446F" w14:textId="77777777" w:rsidR="00493B75" w:rsidRPr="005E1202" w:rsidRDefault="00493B75" w:rsidP="00101A8A">
            <w:pPr>
              <w:spacing w:after="120" w:line="240" w:lineRule="auto"/>
              <w:jc w:val="center"/>
              <w:rPr>
                <w:rFonts w:cs="Arial"/>
                <w:sz w:val="20"/>
              </w:rPr>
            </w:pPr>
            <w:r w:rsidRPr="005E1202">
              <w:rPr>
                <w:rFonts w:cs="Arial"/>
                <w:sz w:val="20"/>
              </w:rPr>
              <w:t>300/</w:t>
            </w:r>
            <w:proofErr w:type="gramStart"/>
            <w:r w:rsidRPr="005E1202">
              <w:rPr>
                <w:rFonts w:cs="Arial"/>
                <w:sz w:val="20"/>
              </w:rPr>
              <w:t xml:space="preserve">120 </w:t>
            </w:r>
            <w:r w:rsidR="00AB396F">
              <w:rPr>
                <w:rFonts w:cs="Arial"/>
                <w:sz w:val="20"/>
              </w:rPr>
              <w:t xml:space="preserve"> </w:t>
            </w:r>
            <w:r w:rsidRPr="005E1202">
              <w:rPr>
                <w:rFonts w:cs="Arial"/>
                <w:sz w:val="20"/>
              </w:rPr>
              <w:t>single</w:t>
            </w:r>
            <w:proofErr w:type="gramEnd"/>
            <w:r w:rsidRPr="005E1202">
              <w:rPr>
                <w:rFonts w:cs="Arial"/>
                <w:sz w:val="20"/>
              </w:rPr>
              <w:t xml:space="preserve"> dose</w:t>
            </w:r>
          </w:p>
        </w:tc>
        <w:tc>
          <w:tcPr>
            <w:tcW w:w="70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F7D29CB" w14:textId="77777777" w:rsidR="00493B75" w:rsidRPr="005E1202" w:rsidRDefault="00493B75" w:rsidP="00101A8A">
            <w:pPr>
              <w:spacing w:after="120" w:line="240" w:lineRule="auto"/>
              <w:jc w:val="center"/>
              <w:rPr>
                <w:rFonts w:cs="Arial"/>
                <w:sz w:val="20"/>
              </w:rPr>
            </w:pPr>
            <w:r w:rsidRPr="005E1202">
              <w:rPr>
                <w:rFonts w:cs="Arial"/>
                <w:sz w:val="20"/>
              </w:rPr>
              <w:t>12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937EC" w14:textId="77777777" w:rsidR="00493B75" w:rsidRPr="005E1202" w:rsidRDefault="00F82EC5" w:rsidP="00101A8A">
            <w:pPr>
              <w:spacing w:after="120" w:line="240" w:lineRule="auto"/>
              <w:jc w:val="center"/>
              <w:rPr>
                <w:rFonts w:eastAsia="Calibri" w:cs="Arial"/>
                <w:sz w:val="20"/>
              </w:rPr>
            </w:pPr>
            <w:r>
              <w:rPr>
                <w:rFonts w:cs="Arial"/>
                <w:sz w:val="20"/>
              </w:rPr>
              <w:t>GLE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A33725"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6.52 (5.06, 8.41)</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75B2F"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8.55 (7.01, 10.</w:t>
            </w:r>
            <w:r w:rsidRPr="005E1202" w:rsidDel="00671E0E">
              <w:rPr>
                <w:rFonts w:eastAsia="Calibri" w:cs="Arial"/>
                <w:sz w:val="20"/>
              </w:rPr>
              <w:t>4</w:t>
            </w:r>
            <w:r w:rsidRPr="005E1202">
              <w:rPr>
                <w:rFonts w:eastAsia="Calibri" w:cs="Arial"/>
                <w:sz w:val="20"/>
              </w:rPr>
              <w:t>)</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C204A0"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1C4BDEB0" w14:textId="77777777" w:rsidTr="00AE18F9">
        <w:trPr>
          <w:cantSplit/>
          <w:jc w:val="center"/>
        </w:trPr>
        <w:tc>
          <w:tcPr>
            <w:tcW w:w="170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622CEF6" w14:textId="77777777" w:rsidR="00493B75" w:rsidRPr="005E1202" w:rsidRDefault="00493B75" w:rsidP="00101A8A">
            <w:pPr>
              <w:spacing w:after="120" w:line="240" w:lineRule="auto"/>
              <w:jc w:val="center"/>
              <w:rPr>
                <w:rFonts w:cs="Arial"/>
                <w:sz w:val="20"/>
              </w:rPr>
            </w:pPr>
          </w:p>
        </w:tc>
        <w:tc>
          <w:tcPr>
            <w:tcW w:w="159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06A8051" w14:textId="77777777" w:rsidR="00493B75" w:rsidRPr="005E1202" w:rsidRDefault="00493B75" w:rsidP="00101A8A">
            <w:pPr>
              <w:spacing w:after="120" w:line="240" w:lineRule="auto"/>
              <w:jc w:val="center"/>
              <w:rPr>
                <w:rFonts w:cs="Arial"/>
                <w:sz w:val="20"/>
              </w:rPr>
            </w:pPr>
          </w:p>
        </w:tc>
        <w:tc>
          <w:tcPr>
            <w:tcW w:w="15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0C9922C" w14:textId="77777777" w:rsidR="00493B75" w:rsidRPr="005E1202" w:rsidRDefault="00493B75" w:rsidP="00101A8A">
            <w:pPr>
              <w:spacing w:after="120" w:line="240" w:lineRule="auto"/>
              <w:jc w:val="center"/>
              <w:rPr>
                <w:rFonts w:cs="Arial"/>
                <w:sz w:val="20"/>
              </w:rPr>
            </w:pPr>
          </w:p>
        </w:tc>
        <w:tc>
          <w:tcPr>
            <w:tcW w:w="70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FF96772" w14:textId="77777777" w:rsidR="00493B75" w:rsidRPr="005E1202" w:rsidRDefault="00493B75" w:rsidP="00101A8A">
            <w:pPr>
              <w:spacing w:after="120" w:line="240" w:lineRule="auto"/>
              <w:jc w:val="center"/>
              <w:rPr>
                <w:rFonts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024280" w14:textId="77777777" w:rsidR="00493B75" w:rsidRPr="005E1202" w:rsidRDefault="00F82EC5" w:rsidP="00101A8A">
            <w:pPr>
              <w:spacing w:after="120" w:line="240" w:lineRule="auto"/>
              <w:jc w:val="center"/>
              <w:rPr>
                <w:rFonts w:eastAsia="Calibri" w:cs="Arial"/>
                <w:sz w:val="20"/>
              </w:rPr>
            </w:pPr>
            <w:r>
              <w:rPr>
                <w:rFonts w:cs="Arial"/>
                <w:sz w:val="20"/>
              </w:rPr>
              <w:t>PIB</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BE0A48" w14:textId="77777777" w:rsidR="00493B75" w:rsidRPr="005E1202" w:rsidRDefault="00493B75" w:rsidP="00101A8A">
            <w:pPr>
              <w:spacing w:after="120" w:line="240" w:lineRule="auto"/>
              <w:jc w:val="center"/>
              <w:rPr>
                <w:rFonts w:cs="Arial"/>
                <w:sz w:val="20"/>
              </w:rPr>
            </w:pPr>
            <w:r w:rsidRPr="005E1202">
              <w:rPr>
                <w:rFonts w:eastAsia="Calibri" w:cs="Arial"/>
                <w:sz w:val="20"/>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9D47A6" w14:textId="77777777" w:rsidR="00493B75" w:rsidRPr="005E1202" w:rsidRDefault="00493B75" w:rsidP="00101A8A">
            <w:pPr>
              <w:spacing w:after="120" w:line="240" w:lineRule="auto"/>
              <w:jc w:val="center"/>
              <w:rPr>
                <w:rFonts w:cs="Arial"/>
                <w:sz w:val="20"/>
              </w:rPr>
            </w:pPr>
            <w:r w:rsidRPr="005E1202">
              <w:rPr>
                <w:rFonts w:eastAsia="Calibri" w:cs="Arial"/>
                <w:sz w:val="20"/>
              </w:rPr>
              <w:t>↔</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D25677"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086E0D0E" w14:textId="77777777" w:rsidTr="00AE18F9">
        <w:trPr>
          <w:cantSplit/>
          <w:jc w:val="center"/>
        </w:trPr>
        <w:tc>
          <w:tcPr>
            <w:tcW w:w="1702" w:type="dxa"/>
            <w:vMerge w:val="restart"/>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5AAC18B" w14:textId="047B2464" w:rsidR="00493B75" w:rsidRPr="005E1202" w:rsidRDefault="00101A8A" w:rsidP="00101A8A">
            <w:pPr>
              <w:spacing w:after="120" w:line="240" w:lineRule="auto"/>
              <w:jc w:val="center"/>
              <w:rPr>
                <w:rFonts w:cs="Arial"/>
                <w:sz w:val="20"/>
              </w:rPr>
            </w:pPr>
            <w:r w:rsidRPr="005E1202">
              <w:rPr>
                <w:rFonts w:cs="Arial"/>
                <w:sz w:val="20"/>
              </w:rPr>
              <w:lastRenderedPageBreak/>
              <w:t>Rifampicin</w:t>
            </w:r>
          </w:p>
        </w:tc>
        <w:tc>
          <w:tcPr>
            <w:tcW w:w="159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22CFCB26" w14:textId="77777777" w:rsidR="00493B75" w:rsidRPr="005E1202" w:rsidRDefault="00493B75" w:rsidP="00101A8A">
            <w:pPr>
              <w:spacing w:after="120" w:line="240" w:lineRule="auto"/>
              <w:jc w:val="center"/>
              <w:rPr>
                <w:rFonts w:cs="Arial"/>
                <w:sz w:val="20"/>
              </w:rPr>
            </w:pPr>
            <w:r w:rsidRPr="005E1202">
              <w:rPr>
                <w:rFonts w:cs="Arial"/>
                <w:sz w:val="20"/>
              </w:rPr>
              <w:t>600 once daily</w:t>
            </w:r>
          </w:p>
        </w:tc>
        <w:tc>
          <w:tcPr>
            <w:tcW w:w="15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8B1443D" w14:textId="77777777" w:rsidR="00493B75" w:rsidRPr="005E1202" w:rsidRDefault="00493B75" w:rsidP="00101A8A">
            <w:pPr>
              <w:spacing w:after="120" w:line="240" w:lineRule="auto"/>
              <w:jc w:val="center"/>
              <w:rPr>
                <w:rFonts w:cs="Arial"/>
                <w:sz w:val="20"/>
              </w:rPr>
            </w:pPr>
            <w:r w:rsidRPr="005E1202">
              <w:rPr>
                <w:rFonts w:cs="Arial"/>
                <w:sz w:val="20"/>
              </w:rPr>
              <w:t>300/</w:t>
            </w:r>
            <w:proofErr w:type="gramStart"/>
            <w:r w:rsidRPr="005E1202">
              <w:rPr>
                <w:rFonts w:cs="Arial"/>
                <w:sz w:val="20"/>
              </w:rPr>
              <w:t xml:space="preserve">120 </w:t>
            </w:r>
            <w:r w:rsidR="00AB396F">
              <w:rPr>
                <w:rFonts w:cs="Arial"/>
                <w:sz w:val="20"/>
              </w:rPr>
              <w:t xml:space="preserve"> </w:t>
            </w:r>
            <w:r w:rsidRPr="005E1202">
              <w:rPr>
                <w:rFonts w:cs="Arial"/>
                <w:sz w:val="20"/>
              </w:rPr>
              <w:t>single</w:t>
            </w:r>
            <w:proofErr w:type="gramEnd"/>
            <w:r w:rsidRPr="005E1202">
              <w:rPr>
                <w:rFonts w:cs="Arial"/>
                <w:sz w:val="20"/>
              </w:rPr>
              <w:t xml:space="preserve"> </w:t>
            </w:r>
            <w:proofErr w:type="spellStart"/>
            <w:r w:rsidRPr="005E1202">
              <w:rPr>
                <w:rFonts w:cs="Arial"/>
                <w:sz w:val="20"/>
              </w:rPr>
              <w:t>dose</w:t>
            </w:r>
            <w:r w:rsidRPr="005E1202">
              <w:rPr>
                <w:rFonts w:cs="Arial"/>
                <w:sz w:val="20"/>
                <w:vertAlign w:val="superscript"/>
              </w:rPr>
              <w:t>a</w:t>
            </w:r>
            <w:proofErr w:type="spellEnd"/>
          </w:p>
        </w:tc>
        <w:tc>
          <w:tcPr>
            <w:tcW w:w="70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393A8AB" w14:textId="77777777" w:rsidR="00493B75" w:rsidRPr="005E1202" w:rsidRDefault="00493B75" w:rsidP="00101A8A">
            <w:pPr>
              <w:spacing w:after="120" w:line="240" w:lineRule="auto"/>
              <w:jc w:val="center"/>
              <w:rPr>
                <w:rFonts w:cs="Arial"/>
                <w:sz w:val="20"/>
              </w:rPr>
            </w:pPr>
            <w:r w:rsidRPr="005E1202">
              <w:rPr>
                <w:rFonts w:cs="Arial"/>
                <w:sz w:val="20"/>
              </w:rPr>
              <w:t>12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BA9BC6" w14:textId="77777777" w:rsidR="00493B75" w:rsidRPr="005E1202" w:rsidRDefault="00F82EC5" w:rsidP="00101A8A">
            <w:pPr>
              <w:spacing w:after="120" w:line="240" w:lineRule="auto"/>
              <w:jc w:val="center"/>
              <w:rPr>
                <w:rFonts w:eastAsia="Calibri" w:cs="Arial"/>
                <w:sz w:val="20"/>
              </w:rPr>
            </w:pPr>
            <w:r>
              <w:rPr>
                <w:rFonts w:cs="Arial"/>
                <w:sz w:val="20"/>
              </w:rPr>
              <w:t>GLE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F6CF73"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0.14 (0.11, 0.19)</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81446D"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0.12 (0.09, 0.15)</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2AAE50"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08AAC39E" w14:textId="77777777" w:rsidTr="00AE18F9">
        <w:trPr>
          <w:cantSplit/>
          <w:jc w:val="center"/>
        </w:trPr>
        <w:tc>
          <w:tcPr>
            <w:tcW w:w="170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0F78B56" w14:textId="77777777" w:rsidR="00493B75" w:rsidRPr="005E1202" w:rsidRDefault="00493B75" w:rsidP="00101A8A">
            <w:pPr>
              <w:spacing w:after="120" w:line="240" w:lineRule="auto"/>
              <w:jc w:val="center"/>
              <w:rPr>
                <w:rFonts w:cs="Arial"/>
                <w:sz w:val="20"/>
              </w:rPr>
            </w:pPr>
          </w:p>
        </w:tc>
        <w:tc>
          <w:tcPr>
            <w:tcW w:w="159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3A90D07" w14:textId="77777777" w:rsidR="00493B75" w:rsidRPr="005E1202" w:rsidRDefault="00493B75" w:rsidP="00101A8A">
            <w:pPr>
              <w:spacing w:after="120" w:line="240" w:lineRule="auto"/>
              <w:jc w:val="center"/>
              <w:rPr>
                <w:rFonts w:cs="Arial"/>
                <w:sz w:val="20"/>
              </w:rPr>
            </w:pPr>
          </w:p>
        </w:tc>
        <w:tc>
          <w:tcPr>
            <w:tcW w:w="15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7659484" w14:textId="77777777" w:rsidR="00493B75" w:rsidRPr="005E1202" w:rsidRDefault="00493B75" w:rsidP="00101A8A">
            <w:pPr>
              <w:spacing w:after="120" w:line="240" w:lineRule="auto"/>
              <w:jc w:val="center"/>
              <w:rPr>
                <w:rFonts w:cs="Arial"/>
                <w:sz w:val="20"/>
              </w:rPr>
            </w:pPr>
          </w:p>
        </w:tc>
        <w:tc>
          <w:tcPr>
            <w:tcW w:w="70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EFF8288" w14:textId="77777777" w:rsidR="00493B75" w:rsidRPr="005E1202" w:rsidRDefault="00493B75" w:rsidP="00101A8A">
            <w:pPr>
              <w:spacing w:after="120" w:line="240" w:lineRule="auto"/>
              <w:jc w:val="center"/>
              <w:rPr>
                <w:rFonts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3F4CEE" w14:textId="77777777" w:rsidR="00493B75" w:rsidRPr="005E1202" w:rsidRDefault="00F82EC5" w:rsidP="00101A8A">
            <w:pPr>
              <w:spacing w:after="120" w:line="240" w:lineRule="auto"/>
              <w:jc w:val="center"/>
              <w:rPr>
                <w:rFonts w:eastAsia="Calibri" w:cs="Arial"/>
                <w:sz w:val="20"/>
              </w:rPr>
            </w:pPr>
            <w:r>
              <w:rPr>
                <w:rFonts w:cs="Arial"/>
                <w:sz w:val="20"/>
              </w:rPr>
              <w:t>PIB</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74923"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0.17 (0.14, 0.20)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3D9529"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0.13 (0.11, 0.15)</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9030BD"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13A643E1" w14:textId="77777777" w:rsidTr="00AE18F9">
        <w:trPr>
          <w:cantSplit/>
          <w:jc w:val="center"/>
        </w:trPr>
        <w:tc>
          <w:tcPr>
            <w:tcW w:w="1702"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F28BE" w14:textId="77777777" w:rsidR="00493B75" w:rsidRPr="005E1202" w:rsidRDefault="00493B75" w:rsidP="00101A8A">
            <w:pPr>
              <w:spacing w:after="120" w:line="240" w:lineRule="auto"/>
              <w:jc w:val="center"/>
              <w:rPr>
                <w:rFonts w:cs="Arial"/>
                <w:sz w:val="20"/>
              </w:rPr>
            </w:pPr>
            <w:r w:rsidRPr="005E1202">
              <w:rPr>
                <w:rFonts w:cs="Arial"/>
                <w:sz w:val="20"/>
              </w:rPr>
              <w:t>Ciclosporin</w:t>
            </w:r>
          </w:p>
        </w:tc>
        <w:tc>
          <w:tcPr>
            <w:tcW w:w="15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6AB82C" w14:textId="77777777" w:rsidR="00493B75" w:rsidRPr="005E1202" w:rsidRDefault="00493B75" w:rsidP="00101A8A">
            <w:pPr>
              <w:spacing w:after="120" w:line="240" w:lineRule="auto"/>
              <w:jc w:val="center"/>
              <w:rPr>
                <w:rFonts w:cs="Arial"/>
                <w:sz w:val="20"/>
              </w:rPr>
            </w:pPr>
            <w:r w:rsidRPr="005E1202">
              <w:rPr>
                <w:rFonts w:cs="Arial"/>
                <w:sz w:val="20"/>
              </w:rPr>
              <w:t xml:space="preserve">100 single </w:t>
            </w:r>
            <w:proofErr w:type="gramStart"/>
            <w:r w:rsidRPr="005E1202">
              <w:rPr>
                <w:rFonts w:cs="Arial"/>
                <w:sz w:val="20"/>
              </w:rPr>
              <w:t>dose</w:t>
            </w:r>
            <w:proofErr w:type="gramEnd"/>
          </w:p>
        </w:tc>
        <w:tc>
          <w:tcPr>
            <w:tcW w:w="15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83DD5" w14:textId="77777777" w:rsidR="00493B75" w:rsidRPr="005E1202" w:rsidRDefault="00493B75" w:rsidP="00101A8A">
            <w:pPr>
              <w:spacing w:after="120" w:line="240" w:lineRule="auto"/>
              <w:jc w:val="center"/>
              <w:rPr>
                <w:rFonts w:cs="Arial"/>
                <w:sz w:val="20"/>
              </w:rPr>
            </w:pPr>
            <w:r w:rsidRPr="005E1202">
              <w:rPr>
                <w:rFonts w:cs="Arial"/>
                <w:sz w:val="20"/>
              </w:rPr>
              <w:t xml:space="preserve">300/120 </w:t>
            </w:r>
            <w:r w:rsidR="00AB396F">
              <w:rPr>
                <w:rFonts w:cs="Arial"/>
                <w:sz w:val="20"/>
              </w:rPr>
              <w:t xml:space="preserve">   </w:t>
            </w:r>
            <w:r w:rsidRPr="005E1202">
              <w:rPr>
                <w:rFonts w:cs="Arial"/>
                <w:sz w:val="20"/>
              </w:rPr>
              <w:t>once daily</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FD90A05" w14:textId="77777777" w:rsidR="00493B75" w:rsidRPr="005E1202" w:rsidRDefault="00493B75" w:rsidP="00101A8A">
            <w:pPr>
              <w:spacing w:after="120" w:line="240" w:lineRule="auto"/>
              <w:jc w:val="center"/>
              <w:rPr>
                <w:rFonts w:cs="Arial"/>
                <w:sz w:val="20"/>
              </w:rPr>
            </w:pPr>
            <w:r w:rsidRPr="005E1202">
              <w:rPr>
                <w:rFonts w:cs="Arial"/>
                <w:sz w:val="20"/>
              </w:rPr>
              <w:t>12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621C30" w14:textId="77777777" w:rsidR="00493B75" w:rsidRPr="005E1202" w:rsidRDefault="00F82EC5" w:rsidP="00101A8A">
            <w:pPr>
              <w:spacing w:after="120" w:line="240" w:lineRule="auto"/>
              <w:jc w:val="center"/>
              <w:rPr>
                <w:rFonts w:eastAsia="Calibri" w:cs="Arial"/>
                <w:sz w:val="20"/>
              </w:rPr>
            </w:pPr>
            <w:proofErr w:type="spellStart"/>
            <w:r>
              <w:rPr>
                <w:rFonts w:cs="Arial"/>
                <w:sz w:val="20"/>
              </w:rPr>
              <w:t>GLE</w:t>
            </w:r>
            <w:r w:rsidRPr="00F82EC5">
              <w:rPr>
                <w:rFonts w:cs="Arial"/>
                <w:sz w:val="20"/>
                <w:vertAlign w:val="superscript"/>
              </w:rPr>
              <w:t>b</w:t>
            </w:r>
            <w:proofErr w:type="spellEnd"/>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E02405"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1.30</w:t>
            </w:r>
            <w:proofErr w:type="gramStart"/>
            <w:r w:rsidRPr="005E1202">
              <w:rPr>
                <w:rFonts w:eastAsia="Calibri" w:cs="Arial"/>
                <w:sz w:val="20"/>
              </w:rPr>
              <w:t xml:space="preserve">   (</w:t>
            </w:r>
            <w:proofErr w:type="gramEnd"/>
            <w:r w:rsidRPr="005E1202">
              <w:rPr>
                <w:rFonts w:eastAsia="Calibri" w:cs="Arial"/>
                <w:sz w:val="20"/>
              </w:rPr>
              <w:t>0.95, 1.78)</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D2B1B3"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1.37</w:t>
            </w:r>
            <w:proofErr w:type="gramStart"/>
            <w:r w:rsidRPr="005E1202">
              <w:rPr>
                <w:rFonts w:eastAsia="Calibri" w:cs="Arial"/>
                <w:sz w:val="20"/>
              </w:rPr>
              <w:t xml:space="preserve">   (</w:t>
            </w:r>
            <w:proofErr w:type="gramEnd"/>
            <w:r w:rsidRPr="005E1202">
              <w:rPr>
                <w:rFonts w:eastAsia="Calibri" w:cs="Arial"/>
                <w:sz w:val="20"/>
              </w:rPr>
              <w:t>1.13, 1.66)</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F810B8"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 xml:space="preserve">1.34  </w:t>
            </w:r>
            <w:proofErr w:type="gramStart"/>
            <w:r w:rsidRPr="005E1202">
              <w:rPr>
                <w:rFonts w:eastAsia="Calibri" w:cs="Arial"/>
                <w:sz w:val="20"/>
              </w:rPr>
              <w:t xml:space="preserve">   (</w:t>
            </w:r>
            <w:proofErr w:type="gramEnd"/>
            <w:r w:rsidRPr="005E1202">
              <w:rPr>
                <w:rFonts w:eastAsia="Calibri" w:cs="Arial"/>
                <w:sz w:val="20"/>
              </w:rPr>
              <w:t>1.12, 1.60)</w:t>
            </w:r>
          </w:p>
        </w:tc>
      </w:tr>
      <w:tr w:rsidR="00493B75" w:rsidRPr="005E1202" w14:paraId="7D984BEA" w14:textId="77777777" w:rsidTr="00AE18F9">
        <w:trPr>
          <w:cantSplit/>
          <w:jc w:val="center"/>
        </w:trPr>
        <w:tc>
          <w:tcPr>
            <w:tcW w:w="170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86CAD4" w14:textId="77777777" w:rsidR="00493B75" w:rsidRPr="005E1202" w:rsidRDefault="00493B75" w:rsidP="00101A8A">
            <w:pPr>
              <w:spacing w:after="120" w:line="240" w:lineRule="auto"/>
              <w:jc w:val="center"/>
              <w:rPr>
                <w:rFonts w:cs="Arial"/>
                <w:sz w:val="20"/>
              </w:rPr>
            </w:pPr>
          </w:p>
        </w:tc>
        <w:tc>
          <w:tcPr>
            <w:tcW w:w="159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201AC9" w14:textId="77777777" w:rsidR="00493B75" w:rsidRPr="005E1202" w:rsidRDefault="00493B75" w:rsidP="00101A8A">
            <w:pPr>
              <w:spacing w:after="120" w:line="240" w:lineRule="auto"/>
              <w:jc w:val="center"/>
              <w:rPr>
                <w:rFonts w:cs="Arial"/>
                <w:sz w:val="20"/>
              </w:rPr>
            </w:pPr>
          </w:p>
        </w:tc>
        <w:tc>
          <w:tcPr>
            <w:tcW w:w="152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B03690" w14:textId="77777777" w:rsidR="00493B75" w:rsidRPr="005E1202" w:rsidRDefault="00493B75" w:rsidP="00101A8A">
            <w:pPr>
              <w:spacing w:after="120" w:line="240" w:lineRule="auto"/>
              <w:jc w:val="center"/>
              <w:rPr>
                <w:rFonts w:cs="Arial"/>
                <w:sz w:val="20"/>
              </w:rPr>
            </w:pPr>
          </w:p>
        </w:tc>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9E5DD" w14:textId="77777777" w:rsidR="00493B75" w:rsidRPr="005E1202" w:rsidRDefault="00493B75" w:rsidP="00101A8A">
            <w:pPr>
              <w:spacing w:after="120" w:line="240" w:lineRule="auto"/>
              <w:jc w:val="center"/>
              <w:rPr>
                <w:rFonts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6427EC" w14:textId="77777777" w:rsidR="00493B75" w:rsidRPr="005E1202" w:rsidRDefault="00F82EC5" w:rsidP="00101A8A">
            <w:pPr>
              <w:spacing w:after="120" w:line="240" w:lineRule="auto"/>
              <w:jc w:val="center"/>
              <w:rPr>
                <w:rFonts w:eastAsia="Calibri" w:cs="Arial"/>
                <w:sz w:val="20"/>
              </w:rPr>
            </w:pPr>
            <w:r>
              <w:rPr>
                <w:rFonts w:cs="Arial"/>
                <w:sz w:val="20"/>
              </w:rPr>
              <w:t>PIB</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5C845E" w14:textId="77777777" w:rsidR="00493B75" w:rsidRPr="005E1202" w:rsidRDefault="00493B75" w:rsidP="00101A8A">
            <w:pPr>
              <w:spacing w:after="120" w:line="240" w:lineRule="auto"/>
              <w:jc w:val="center"/>
              <w:rPr>
                <w:rFonts w:cs="Arial"/>
                <w:sz w:val="20"/>
              </w:rPr>
            </w:pPr>
            <w:r w:rsidRPr="005E1202">
              <w:rPr>
                <w:rFonts w:eastAsia="Calibri" w:cs="Arial"/>
                <w:sz w:val="20"/>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4ED8BF" w14:textId="77777777" w:rsidR="00493B75" w:rsidRPr="005E1202" w:rsidRDefault="00493B75" w:rsidP="00101A8A">
            <w:pPr>
              <w:spacing w:after="120" w:line="240" w:lineRule="auto"/>
              <w:jc w:val="center"/>
              <w:rPr>
                <w:rFonts w:cs="Arial"/>
                <w:sz w:val="20"/>
              </w:rPr>
            </w:pPr>
            <w:r w:rsidRPr="005E1202">
              <w:rPr>
                <w:rFonts w:eastAsia="Calibri" w:cs="Arial"/>
                <w:sz w:val="20"/>
              </w:rPr>
              <w:t>↔</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DE05FB"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1.26</w:t>
            </w:r>
            <w:proofErr w:type="gramStart"/>
            <w:r w:rsidRPr="005E1202">
              <w:rPr>
                <w:rFonts w:eastAsia="Calibri" w:cs="Arial"/>
                <w:sz w:val="20"/>
              </w:rPr>
              <w:t xml:space="preserve">   (</w:t>
            </w:r>
            <w:proofErr w:type="gramEnd"/>
            <w:r w:rsidRPr="005E1202">
              <w:rPr>
                <w:rFonts w:eastAsia="Calibri" w:cs="Arial"/>
                <w:sz w:val="20"/>
              </w:rPr>
              <w:t>1.15, 1.37)</w:t>
            </w:r>
          </w:p>
        </w:tc>
      </w:tr>
      <w:tr w:rsidR="00493B75" w:rsidRPr="005E1202" w14:paraId="3DC9B1FD" w14:textId="77777777" w:rsidTr="00AE18F9">
        <w:trPr>
          <w:cantSplit/>
          <w:jc w:val="center"/>
        </w:trPr>
        <w:tc>
          <w:tcPr>
            <w:tcW w:w="170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A55920" w14:textId="77777777" w:rsidR="00493B75" w:rsidRPr="005E1202" w:rsidRDefault="00493B75" w:rsidP="00101A8A">
            <w:pPr>
              <w:spacing w:after="120" w:line="240" w:lineRule="auto"/>
              <w:jc w:val="center"/>
              <w:rPr>
                <w:rFonts w:cs="Arial"/>
                <w:sz w:val="20"/>
              </w:rPr>
            </w:pPr>
          </w:p>
        </w:tc>
        <w:tc>
          <w:tcPr>
            <w:tcW w:w="1595"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90A0D" w14:textId="77777777" w:rsidR="00493B75" w:rsidRPr="005E1202" w:rsidRDefault="00493B75" w:rsidP="00101A8A">
            <w:pPr>
              <w:spacing w:after="120" w:line="240" w:lineRule="auto"/>
              <w:jc w:val="center"/>
              <w:rPr>
                <w:rFonts w:cs="Arial"/>
                <w:sz w:val="20"/>
              </w:rPr>
            </w:pPr>
            <w:r w:rsidRPr="005E1202">
              <w:rPr>
                <w:rFonts w:cs="Arial"/>
                <w:sz w:val="20"/>
              </w:rPr>
              <w:t xml:space="preserve">400 single </w:t>
            </w:r>
            <w:proofErr w:type="gramStart"/>
            <w:r w:rsidRPr="005E1202">
              <w:rPr>
                <w:rFonts w:cs="Arial"/>
                <w:sz w:val="20"/>
              </w:rPr>
              <w:t>dose</w:t>
            </w:r>
            <w:proofErr w:type="gramEnd"/>
          </w:p>
        </w:tc>
        <w:tc>
          <w:tcPr>
            <w:tcW w:w="1524"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E35E01" w14:textId="77777777" w:rsidR="00493B75" w:rsidRPr="005E1202" w:rsidRDefault="00493B75" w:rsidP="00101A8A">
            <w:pPr>
              <w:spacing w:after="120" w:line="240" w:lineRule="auto"/>
              <w:jc w:val="center"/>
              <w:rPr>
                <w:rFonts w:cs="Arial"/>
                <w:sz w:val="20"/>
              </w:rPr>
            </w:pPr>
            <w:r w:rsidRPr="005E1202">
              <w:rPr>
                <w:rFonts w:cs="Arial"/>
                <w:sz w:val="20"/>
              </w:rPr>
              <w:t>300/</w:t>
            </w:r>
            <w:proofErr w:type="gramStart"/>
            <w:r w:rsidRPr="005E1202">
              <w:rPr>
                <w:rFonts w:cs="Arial"/>
                <w:sz w:val="20"/>
              </w:rPr>
              <w:t>120  single</w:t>
            </w:r>
            <w:proofErr w:type="gramEnd"/>
            <w:r w:rsidRPr="005E1202">
              <w:rPr>
                <w:rFonts w:cs="Arial"/>
                <w:sz w:val="20"/>
              </w:rPr>
              <w:t xml:space="preserve"> dose</w:t>
            </w:r>
          </w:p>
        </w:tc>
        <w:tc>
          <w:tcPr>
            <w:tcW w:w="708" w:type="dxa"/>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9A1891" w14:textId="77777777" w:rsidR="00493B75" w:rsidRPr="005E1202" w:rsidRDefault="00493B75" w:rsidP="00101A8A">
            <w:pPr>
              <w:spacing w:after="120" w:line="240" w:lineRule="auto"/>
              <w:jc w:val="center"/>
              <w:rPr>
                <w:rFonts w:cs="Arial"/>
                <w:sz w:val="20"/>
              </w:rPr>
            </w:pPr>
            <w:r w:rsidRPr="005E1202">
              <w:rPr>
                <w:rFonts w:cs="Arial"/>
                <w:sz w:val="20"/>
              </w:rPr>
              <w:t>11</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DAD421A" w14:textId="77777777" w:rsidR="00493B75" w:rsidRPr="005E1202" w:rsidRDefault="00F82EC5" w:rsidP="00101A8A">
            <w:pPr>
              <w:spacing w:after="120" w:line="240" w:lineRule="auto"/>
              <w:jc w:val="center"/>
              <w:rPr>
                <w:rFonts w:eastAsia="Calibri" w:cs="Arial"/>
                <w:sz w:val="20"/>
              </w:rPr>
            </w:pPr>
            <w:r>
              <w:rPr>
                <w:rFonts w:cs="Arial"/>
                <w:sz w:val="20"/>
              </w:rPr>
              <w:t>GLE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CDA799" w14:textId="77777777" w:rsidR="00493B75" w:rsidRPr="005E1202" w:rsidRDefault="00493B75" w:rsidP="00101A8A">
            <w:pPr>
              <w:spacing w:after="120" w:line="240" w:lineRule="auto"/>
              <w:jc w:val="center"/>
              <w:rPr>
                <w:rFonts w:cs="Arial"/>
                <w:sz w:val="20"/>
              </w:rPr>
            </w:pPr>
            <w:r w:rsidRPr="005E1202">
              <w:rPr>
                <w:rFonts w:cs="Arial"/>
                <w:sz w:val="20"/>
              </w:rPr>
              <w:t>4.51</w:t>
            </w:r>
            <w:proofErr w:type="gramStart"/>
            <w:r w:rsidRPr="005E1202">
              <w:rPr>
                <w:rFonts w:cs="Arial"/>
                <w:sz w:val="20"/>
              </w:rPr>
              <w:t xml:space="preserve">   (</w:t>
            </w:r>
            <w:proofErr w:type="gramEnd"/>
            <w:r w:rsidRPr="005E1202">
              <w:rPr>
                <w:rFonts w:cs="Arial"/>
                <w:sz w:val="20"/>
              </w:rPr>
              <w:t>3.63, 6.05)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EA395B6" w14:textId="77777777" w:rsidR="00493B75" w:rsidRPr="005E1202" w:rsidRDefault="00493B75" w:rsidP="00101A8A">
            <w:pPr>
              <w:spacing w:after="120" w:line="240" w:lineRule="auto"/>
              <w:jc w:val="center"/>
              <w:rPr>
                <w:rFonts w:cs="Arial"/>
                <w:sz w:val="20"/>
              </w:rPr>
            </w:pPr>
            <w:r w:rsidRPr="005E1202">
              <w:rPr>
                <w:rFonts w:cs="Arial"/>
                <w:sz w:val="20"/>
              </w:rPr>
              <w:t>5.08</w:t>
            </w:r>
            <w:proofErr w:type="gramStart"/>
            <w:r w:rsidRPr="005E1202">
              <w:rPr>
                <w:rFonts w:cs="Arial"/>
                <w:sz w:val="20"/>
              </w:rPr>
              <w:t xml:space="preserve">   (</w:t>
            </w:r>
            <w:proofErr w:type="gramEnd"/>
            <w:r w:rsidRPr="005E1202">
              <w:rPr>
                <w:rFonts w:cs="Arial"/>
                <w:sz w:val="20"/>
              </w:rPr>
              <w:t>4.11, 6.29)</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4B34E26"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3DA7F391" w14:textId="77777777" w:rsidTr="00AE18F9">
        <w:trPr>
          <w:cantSplit/>
          <w:jc w:val="center"/>
        </w:trPr>
        <w:tc>
          <w:tcPr>
            <w:tcW w:w="1702"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BE1ADC" w14:textId="77777777" w:rsidR="00493B75" w:rsidRPr="005E1202" w:rsidRDefault="00493B75" w:rsidP="00101A8A">
            <w:pPr>
              <w:spacing w:after="120" w:line="240" w:lineRule="auto"/>
              <w:jc w:val="center"/>
              <w:rPr>
                <w:rFonts w:cs="Arial"/>
                <w:sz w:val="20"/>
              </w:rPr>
            </w:pPr>
          </w:p>
        </w:tc>
        <w:tc>
          <w:tcPr>
            <w:tcW w:w="1595"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1975F8" w14:textId="77777777" w:rsidR="00493B75" w:rsidRPr="005E1202" w:rsidRDefault="00493B75" w:rsidP="00101A8A">
            <w:pPr>
              <w:spacing w:after="120" w:line="240" w:lineRule="auto"/>
              <w:jc w:val="center"/>
              <w:rPr>
                <w:rFonts w:cs="Arial"/>
                <w:sz w:val="20"/>
              </w:rPr>
            </w:pPr>
          </w:p>
        </w:tc>
        <w:tc>
          <w:tcPr>
            <w:tcW w:w="1524"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CF4AF0" w14:textId="77777777" w:rsidR="00493B75" w:rsidRPr="005E1202" w:rsidRDefault="00493B75" w:rsidP="00101A8A">
            <w:pPr>
              <w:spacing w:after="120" w:line="240" w:lineRule="auto"/>
              <w:jc w:val="center"/>
              <w:rPr>
                <w:rFonts w:cs="Arial"/>
                <w:sz w:val="20"/>
              </w:rPr>
            </w:pPr>
          </w:p>
        </w:tc>
        <w:tc>
          <w:tcPr>
            <w:tcW w:w="708" w:type="dxa"/>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7ABA98" w14:textId="77777777" w:rsidR="00493B75" w:rsidRPr="005E1202" w:rsidRDefault="00493B75" w:rsidP="00101A8A">
            <w:pPr>
              <w:spacing w:after="120" w:line="240" w:lineRule="auto"/>
              <w:jc w:val="center"/>
              <w:rPr>
                <w:rFonts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655439E" w14:textId="77777777" w:rsidR="00493B75" w:rsidRPr="005E1202" w:rsidRDefault="00F82EC5" w:rsidP="00101A8A">
            <w:pPr>
              <w:spacing w:after="120" w:line="240" w:lineRule="auto"/>
              <w:jc w:val="center"/>
              <w:rPr>
                <w:rFonts w:eastAsia="Calibri" w:cs="Arial"/>
                <w:sz w:val="20"/>
              </w:rPr>
            </w:pPr>
            <w:r>
              <w:rPr>
                <w:rFonts w:cs="Arial"/>
                <w:sz w:val="20"/>
              </w:rPr>
              <w:t>PIB</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0FDB8B" w14:textId="77777777" w:rsidR="00493B75" w:rsidRPr="005E1202" w:rsidRDefault="00493B75" w:rsidP="00101A8A">
            <w:pPr>
              <w:spacing w:after="120" w:line="240" w:lineRule="auto"/>
              <w:jc w:val="center"/>
              <w:rPr>
                <w:rFonts w:cs="Arial"/>
                <w:sz w:val="20"/>
              </w:rPr>
            </w:pPr>
            <w:r w:rsidRPr="005E1202">
              <w:rPr>
                <w:rFonts w:eastAsia="Calibri" w:cs="Arial"/>
                <w:sz w:val="20"/>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66207C" w14:textId="77777777" w:rsidR="00493B75" w:rsidRPr="005E1202" w:rsidRDefault="00493B75" w:rsidP="00101A8A">
            <w:pPr>
              <w:spacing w:after="120" w:line="240" w:lineRule="auto"/>
              <w:jc w:val="center"/>
              <w:rPr>
                <w:rFonts w:cs="Arial"/>
                <w:sz w:val="20"/>
              </w:rPr>
            </w:pPr>
            <w:r w:rsidRPr="005E1202">
              <w:rPr>
                <w:rFonts w:cs="Arial"/>
                <w:sz w:val="20"/>
              </w:rPr>
              <w:t>1.93</w:t>
            </w:r>
            <w:proofErr w:type="gramStart"/>
            <w:r w:rsidRPr="005E1202">
              <w:rPr>
                <w:rFonts w:cs="Arial"/>
                <w:sz w:val="20"/>
              </w:rPr>
              <w:t xml:space="preserve">   (</w:t>
            </w:r>
            <w:proofErr w:type="gramEnd"/>
            <w:r w:rsidRPr="005E1202">
              <w:rPr>
                <w:rFonts w:cs="Arial"/>
                <w:sz w:val="20"/>
              </w:rPr>
              <w:t>1.78, 2.09)</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F92FB4"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239B875D" w14:textId="77777777" w:rsidTr="00AE18F9">
        <w:trPr>
          <w:cantSplit/>
          <w:jc w:val="center"/>
        </w:trPr>
        <w:tc>
          <w:tcPr>
            <w:tcW w:w="170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F37E015" w14:textId="77777777" w:rsidR="00493B75" w:rsidRPr="005E1202" w:rsidRDefault="00493B75" w:rsidP="00101A8A">
            <w:pPr>
              <w:spacing w:after="120" w:line="240" w:lineRule="auto"/>
              <w:jc w:val="center"/>
              <w:rPr>
                <w:rFonts w:cs="Arial"/>
                <w:sz w:val="20"/>
              </w:rPr>
            </w:pPr>
            <w:r w:rsidRPr="005E1202">
              <w:rPr>
                <w:rFonts w:cs="Arial"/>
                <w:sz w:val="20"/>
              </w:rPr>
              <w:t>Atazanavir (ATZ) + ritonavir (RTV)</w:t>
            </w:r>
          </w:p>
        </w:tc>
        <w:tc>
          <w:tcPr>
            <w:tcW w:w="159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D9C80BC" w14:textId="77777777" w:rsidR="00493B75" w:rsidRPr="005E1202" w:rsidRDefault="00493B75" w:rsidP="00101A8A">
            <w:pPr>
              <w:spacing w:after="120" w:line="240" w:lineRule="auto"/>
              <w:jc w:val="center"/>
              <w:rPr>
                <w:rFonts w:cs="Arial"/>
                <w:sz w:val="20"/>
              </w:rPr>
            </w:pPr>
            <w:r w:rsidRPr="005E1202">
              <w:rPr>
                <w:rFonts w:cs="Arial"/>
                <w:sz w:val="20"/>
              </w:rPr>
              <w:t xml:space="preserve">ATZ 300 + </w:t>
            </w:r>
            <w:r w:rsidRPr="005E1202">
              <w:rPr>
                <w:rFonts w:cs="Arial"/>
                <w:sz w:val="20"/>
              </w:rPr>
              <w:br/>
              <w:t>RTV 100 once daily</w:t>
            </w:r>
          </w:p>
        </w:tc>
        <w:tc>
          <w:tcPr>
            <w:tcW w:w="15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80396EC" w14:textId="77777777" w:rsidR="00493B75" w:rsidRPr="005E1202" w:rsidRDefault="00493B75" w:rsidP="00101A8A">
            <w:pPr>
              <w:spacing w:after="120" w:line="240" w:lineRule="auto"/>
              <w:jc w:val="center"/>
              <w:rPr>
                <w:rFonts w:cs="Arial"/>
                <w:sz w:val="20"/>
              </w:rPr>
            </w:pPr>
            <w:r w:rsidRPr="005E1202">
              <w:rPr>
                <w:rFonts w:cs="Arial"/>
                <w:sz w:val="20"/>
              </w:rPr>
              <w:t xml:space="preserve">300/120 </w:t>
            </w:r>
            <w:r w:rsidR="00AB396F">
              <w:rPr>
                <w:rFonts w:cs="Arial"/>
                <w:sz w:val="20"/>
              </w:rPr>
              <w:t xml:space="preserve">   </w:t>
            </w:r>
            <w:r w:rsidRPr="005E1202">
              <w:rPr>
                <w:rFonts w:cs="Arial"/>
                <w:sz w:val="20"/>
              </w:rPr>
              <w:t xml:space="preserve">once </w:t>
            </w:r>
            <w:proofErr w:type="spellStart"/>
            <w:r w:rsidRPr="005E1202">
              <w:rPr>
                <w:rFonts w:cs="Arial"/>
                <w:sz w:val="20"/>
              </w:rPr>
              <w:t>daily</w:t>
            </w:r>
            <w:r w:rsidR="00F82EC5">
              <w:rPr>
                <w:rFonts w:cs="Arial"/>
                <w:sz w:val="20"/>
                <w:vertAlign w:val="superscript"/>
              </w:rPr>
              <w:t>c</w:t>
            </w:r>
            <w:proofErr w:type="spellEnd"/>
          </w:p>
        </w:tc>
        <w:tc>
          <w:tcPr>
            <w:tcW w:w="70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CC1A16C" w14:textId="77777777" w:rsidR="00493B75" w:rsidRPr="005E1202" w:rsidRDefault="00493B75" w:rsidP="00101A8A">
            <w:pPr>
              <w:spacing w:after="120" w:line="240" w:lineRule="auto"/>
              <w:jc w:val="center"/>
              <w:rPr>
                <w:rFonts w:cs="Arial"/>
                <w:sz w:val="20"/>
              </w:rPr>
            </w:pPr>
            <w:r w:rsidRPr="005E1202">
              <w:rPr>
                <w:rFonts w:cs="Arial"/>
                <w:sz w:val="20"/>
              </w:rPr>
              <w:t>12</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B5A5CDC" w14:textId="77777777" w:rsidR="00493B75" w:rsidRPr="005E1202" w:rsidRDefault="00F82EC5" w:rsidP="00101A8A">
            <w:pPr>
              <w:spacing w:after="120" w:line="240" w:lineRule="auto"/>
              <w:jc w:val="center"/>
              <w:rPr>
                <w:rFonts w:eastAsia="Calibri" w:cs="Arial"/>
                <w:sz w:val="20"/>
              </w:rPr>
            </w:pPr>
            <w:r>
              <w:rPr>
                <w:rFonts w:cs="Arial"/>
                <w:sz w:val="20"/>
              </w:rPr>
              <w:t>GLE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A95FB4"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 4.06</w:t>
            </w:r>
          </w:p>
          <w:p w14:paraId="00C958EE"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(3.15, 5.23)</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7656273"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 6.53</w:t>
            </w:r>
          </w:p>
          <w:p w14:paraId="177EB444"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(5.24, 8.14)</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2D65583"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 14.3</w:t>
            </w:r>
            <w:r w:rsidRPr="005E1202">
              <w:rPr>
                <w:rFonts w:eastAsia="Calibri" w:cs="Arial"/>
                <w:sz w:val="20"/>
              </w:rPr>
              <w:br/>
              <w:t>(9.85, 20.7)</w:t>
            </w:r>
          </w:p>
        </w:tc>
      </w:tr>
      <w:tr w:rsidR="00493B75" w:rsidRPr="005E1202" w14:paraId="247A7572" w14:textId="77777777" w:rsidTr="00AE18F9">
        <w:trPr>
          <w:cantSplit/>
          <w:jc w:val="center"/>
        </w:trPr>
        <w:tc>
          <w:tcPr>
            <w:tcW w:w="170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0A4CF88" w14:textId="77777777" w:rsidR="00493B75" w:rsidRPr="005E1202" w:rsidRDefault="00493B75" w:rsidP="00101A8A">
            <w:pPr>
              <w:spacing w:after="120" w:line="240" w:lineRule="auto"/>
              <w:jc w:val="center"/>
              <w:rPr>
                <w:rFonts w:cs="Arial"/>
                <w:sz w:val="20"/>
              </w:rPr>
            </w:pPr>
          </w:p>
        </w:tc>
        <w:tc>
          <w:tcPr>
            <w:tcW w:w="159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DBA5897" w14:textId="77777777" w:rsidR="00493B75" w:rsidRPr="005E1202" w:rsidRDefault="00493B75" w:rsidP="00101A8A">
            <w:pPr>
              <w:spacing w:after="120" w:line="240" w:lineRule="auto"/>
              <w:jc w:val="center"/>
              <w:rPr>
                <w:rFonts w:cs="Arial"/>
                <w:sz w:val="20"/>
              </w:rPr>
            </w:pPr>
          </w:p>
        </w:tc>
        <w:tc>
          <w:tcPr>
            <w:tcW w:w="15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0E57DF0" w14:textId="77777777" w:rsidR="00493B75" w:rsidRPr="005E1202" w:rsidRDefault="00493B75" w:rsidP="00101A8A">
            <w:pPr>
              <w:spacing w:after="120" w:line="240" w:lineRule="auto"/>
              <w:jc w:val="center"/>
              <w:rPr>
                <w:rFonts w:cs="Arial"/>
                <w:sz w:val="20"/>
              </w:rPr>
            </w:pPr>
          </w:p>
        </w:tc>
        <w:tc>
          <w:tcPr>
            <w:tcW w:w="70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F1D1504" w14:textId="77777777" w:rsidR="00493B75" w:rsidRPr="005E1202" w:rsidRDefault="00493B75" w:rsidP="00101A8A">
            <w:pPr>
              <w:spacing w:after="120" w:line="240" w:lineRule="auto"/>
              <w:jc w:val="center"/>
              <w:rPr>
                <w:rFonts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BBF01A" w14:textId="77777777" w:rsidR="00493B75" w:rsidRPr="005E1202" w:rsidRDefault="00F82EC5" w:rsidP="00101A8A">
            <w:pPr>
              <w:spacing w:after="120" w:line="240" w:lineRule="auto"/>
              <w:jc w:val="center"/>
              <w:rPr>
                <w:rFonts w:eastAsia="Calibri" w:cs="Arial"/>
                <w:sz w:val="20"/>
              </w:rPr>
            </w:pPr>
            <w:r>
              <w:rPr>
                <w:rFonts w:cs="Arial"/>
                <w:sz w:val="20"/>
              </w:rPr>
              <w:t>PIB</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F6F161"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 1.29 (1.15, 1.45)</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971193"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 1.64 (1.48, 1.82)</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89E747"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 2.29</w:t>
            </w:r>
            <w:r w:rsidRPr="005E1202">
              <w:rPr>
                <w:rFonts w:eastAsia="Calibri" w:cs="Arial"/>
                <w:sz w:val="20"/>
              </w:rPr>
              <w:br/>
              <w:t>(1.95, 2.68)</w:t>
            </w:r>
          </w:p>
        </w:tc>
      </w:tr>
      <w:tr w:rsidR="00493B75" w:rsidRPr="005E1202" w14:paraId="3F235666" w14:textId="77777777" w:rsidTr="00AE18F9">
        <w:trPr>
          <w:cantSplit/>
          <w:trHeight w:val="105"/>
          <w:jc w:val="center"/>
        </w:trPr>
        <w:tc>
          <w:tcPr>
            <w:tcW w:w="170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8F86A90" w14:textId="77777777" w:rsidR="00493B75" w:rsidRPr="005E1202" w:rsidRDefault="00493B75" w:rsidP="00101A8A">
            <w:pPr>
              <w:spacing w:after="120" w:line="240" w:lineRule="auto"/>
              <w:jc w:val="center"/>
              <w:rPr>
                <w:rFonts w:cs="Arial"/>
                <w:sz w:val="20"/>
              </w:rPr>
            </w:pPr>
            <w:r w:rsidRPr="005E1202">
              <w:rPr>
                <w:rFonts w:eastAsia="Calibri" w:cs="Arial"/>
                <w:sz w:val="20"/>
              </w:rPr>
              <w:t>Darunavir (DRV) + RTV</w:t>
            </w:r>
          </w:p>
          <w:p w14:paraId="3D1CC91D" w14:textId="77777777" w:rsidR="00493B75" w:rsidRPr="005E1202" w:rsidRDefault="00493B75" w:rsidP="00101A8A">
            <w:pPr>
              <w:spacing w:after="120" w:line="240" w:lineRule="auto"/>
              <w:jc w:val="center"/>
              <w:rPr>
                <w:rFonts w:cs="Arial"/>
                <w:sz w:val="20"/>
              </w:rPr>
            </w:pPr>
          </w:p>
        </w:tc>
        <w:tc>
          <w:tcPr>
            <w:tcW w:w="159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45C3D39" w14:textId="77777777" w:rsidR="00493B75" w:rsidRPr="005E1202" w:rsidRDefault="00493B75" w:rsidP="00101A8A">
            <w:pPr>
              <w:spacing w:after="120" w:line="240" w:lineRule="auto"/>
              <w:jc w:val="center"/>
              <w:rPr>
                <w:rFonts w:cs="Arial"/>
                <w:sz w:val="20"/>
              </w:rPr>
            </w:pPr>
            <w:r w:rsidRPr="005E1202">
              <w:rPr>
                <w:rFonts w:cs="Arial"/>
                <w:sz w:val="20"/>
              </w:rPr>
              <w:t xml:space="preserve">DRV 800 + </w:t>
            </w:r>
            <w:r w:rsidRPr="005E1202">
              <w:rPr>
                <w:rFonts w:cs="Arial"/>
                <w:sz w:val="20"/>
              </w:rPr>
              <w:br/>
              <w:t>RTV 100 once daily</w:t>
            </w:r>
          </w:p>
          <w:p w14:paraId="31A56576" w14:textId="77777777" w:rsidR="00493B75" w:rsidRPr="005E1202" w:rsidRDefault="00493B75" w:rsidP="00101A8A">
            <w:pPr>
              <w:spacing w:after="120" w:line="240" w:lineRule="auto"/>
              <w:jc w:val="center"/>
              <w:rPr>
                <w:rFonts w:cs="Arial"/>
                <w:sz w:val="20"/>
              </w:rPr>
            </w:pPr>
          </w:p>
        </w:tc>
        <w:tc>
          <w:tcPr>
            <w:tcW w:w="15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1322AB9" w14:textId="77777777" w:rsidR="00493B75" w:rsidRPr="005E1202" w:rsidRDefault="00493B75" w:rsidP="00101A8A">
            <w:pPr>
              <w:spacing w:after="120" w:line="240" w:lineRule="auto"/>
              <w:jc w:val="center"/>
              <w:rPr>
                <w:rFonts w:cs="Arial"/>
                <w:sz w:val="20"/>
              </w:rPr>
            </w:pPr>
            <w:r w:rsidRPr="005E1202">
              <w:rPr>
                <w:rFonts w:cs="Arial"/>
                <w:sz w:val="20"/>
              </w:rPr>
              <w:t xml:space="preserve">300/120 </w:t>
            </w:r>
            <w:r w:rsidR="00AB396F">
              <w:rPr>
                <w:rFonts w:cs="Arial"/>
                <w:sz w:val="20"/>
              </w:rPr>
              <w:t xml:space="preserve">   </w:t>
            </w:r>
            <w:r w:rsidRPr="005E1202">
              <w:rPr>
                <w:rFonts w:cs="Arial"/>
                <w:sz w:val="20"/>
              </w:rPr>
              <w:t>once daily</w:t>
            </w:r>
          </w:p>
          <w:p w14:paraId="6C9DC04A" w14:textId="77777777" w:rsidR="00493B75" w:rsidRPr="005E1202" w:rsidRDefault="00493B75" w:rsidP="00101A8A">
            <w:pPr>
              <w:spacing w:after="120" w:line="240" w:lineRule="auto"/>
              <w:jc w:val="center"/>
              <w:rPr>
                <w:rFonts w:cs="Arial"/>
                <w:sz w:val="20"/>
              </w:rPr>
            </w:pPr>
          </w:p>
        </w:tc>
        <w:tc>
          <w:tcPr>
            <w:tcW w:w="70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AE6C2DA" w14:textId="77777777" w:rsidR="00493B75" w:rsidRPr="005E1202" w:rsidRDefault="00493B75" w:rsidP="00101A8A">
            <w:pPr>
              <w:spacing w:after="120" w:line="240" w:lineRule="auto"/>
              <w:jc w:val="center"/>
              <w:rPr>
                <w:rFonts w:cs="Arial"/>
                <w:sz w:val="20"/>
              </w:rPr>
            </w:pPr>
            <w:r w:rsidRPr="005E1202">
              <w:rPr>
                <w:rFonts w:cs="Arial"/>
                <w:sz w:val="20"/>
              </w:rPr>
              <w:t>8</w:t>
            </w:r>
          </w:p>
          <w:p w14:paraId="01CE1BA9" w14:textId="77777777" w:rsidR="00493B75" w:rsidRPr="005E1202" w:rsidRDefault="00493B75" w:rsidP="00101A8A">
            <w:pPr>
              <w:spacing w:after="120" w:line="240" w:lineRule="auto"/>
              <w:jc w:val="center"/>
              <w:rPr>
                <w:rFonts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07DC9D" w14:textId="77777777" w:rsidR="00493B75" w:rsidRPr="005E1202" w:rsidRDefault="00F82EC5" w:rsidP="00101A8A">
            <w:pPr>
              <w:spacing w:after="120" w:line="240" w:lineRule="auto"/>
              <w:jc w:val="center"/>
              <w:rPr>
                <w:rFonts w:cs="Arial"/>
                <w:sz w:val="20"/>
              </w:rPr>
            </w:pPr>
            <w:r>
              <w:rPr>
                <w:rFonts w:cs="Arial"/>
                <w:sz w:val="20"/>
              </w:rPr>
              <w:t>GLE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A7520C"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3.09</w:t>
            </w:r>
            <w:proofErr w:type="gramStart"/>
            <w:r w:rsidRPr="005E1202">
              <w:rPr>
                <w:rFonts w:eastAsia="Calibri" w:cs="Arial"/>
                <w:sz w:val="20"/>
              </w:rPr>
              <w:t xml:space="preserve">   (</w:t>
            </w:r>
            <w:proofErr w:type="gramEnd"/>
            <w:r w:rsidRPr="005E1202">
              <w:rPr>
                <w:rFonts w:eastAsia="Calibri" w:cs="Arial"/>
                <w:sz w:val="20"/>
              </w:rPr>
              <w:t>2.26, 4.20)</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036D20"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4.97</w:t>
            </w:r>
            <w:proofErr w:type="gramStart"/>
            <w:r w:rsidRPr="005E1202">
              <w:rPr>
                <w:rFonts w:eastAsia="Calibri" w:cs="Arial"/>
                <w:sz w:val="20"/>
              </w:rPr>
              <w:t xml:space="preserve">   (</w:t>
            </w:r>
            <w:proofErr w:type="gramEnd"/>
            <w:r w:rsidRPr="005E1202">
              <w:rPr>
                <w:rFonts w:eastAsia="Calibri" w:cs="Arial"/>
                <w:sz w:val="20"/>
              </w:rPr>
              <w:t>3.62, 6.84)</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7E4B81" w14:textId="77777777" w:rsidR="00493B75" w:rsidRPr="005E1202" w:rsidRDefault="00493B75" w:rsidP="00101A8A">
            <w:pPr>
              <w:spacing w:after="120" w:line="240" w:lineRule="auto"/>
              <w:jc w:val="center"/>
              <w:rPr>
                <w:rFonts w:cs="Arial"/>
                <w:sz w:val="20"/>
              </w:rPr>
            </w:pPr>
            <w:r w:rsidRPr="005E1202">
              <w:rPr>
                <w:rFonts w:eastAsia="Calibri" w:cs="Arial"/>
                <w:sz w:val="20"/>
              </w:rPr>
              <w:t>8.24</w:t>
            </w:r>
            <w:r w:rsidRPr="005E1202">
              <w:rPr>
                <w:rFonts w:eastAsia="Calibri" w:cs="Arial"/>
                <w:sz w:val="20"/>
              </w:rPr>
              <w:br/>
              <w:t>(4.40, 15.4)</w:t>
            </w:r>
          </w:p>
        </w:tc>
      </w:tr>
      <w:tr w:rsidR="00493B75" w:rsidRPr="005E1202" w14:paraId="55B0606F" w14:textId="77777777" w:rsidTr="00AE18F9">
        <w:trPr>
          <w:cantSplit/>
          <w:trHeight w:val="105"/>
          <w:jc w:val="center"/>
        </w:trPr>
        <w:tc>
          <w:tcPr>
            <w:tcW w:w="170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9B66C48" w14:textId="77777777" w:rsidR="00493B75" w:rsidRPr="005E1202" w:rsidRDefault="00493B75" w:rsidP="00101A8A">
            <w:pPr>
              <w:spacing w:after="120" w:line="240" w:lineRule="auto"/>
              <w:jc w:val="center"/>
              <w:rPr>
                <w:rFonts w:cs="Arial"/>
                <w:sz w:val="20"/>
              </w:rPr>
            </w:pPr>
          </w:p>
        </w:tc>
        <w:tc>
          <w:tcPr>
            <w:tcW w:w="159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664EF34" w14:textId="77777777" w:rsidR="00493B75" w:rsidRPr="005E1202" w:rsidRDefault="00493B75" w:rsidP="00101A8A">
            <w:pPr>
              <w:spacing w:after="120" w:line="240" w:lineRule="auto"/>
              <w:jc w:val="center"/>
              <w:rPr>
                <w:rFonts w:cs="Arial"/>
                <w:sz w:val="20"/>
              </w:rPr>
            </w:pPr>
          </w:p>
        </w:tc>
        <w:tc>
          <w:tcPr>
            <w:tcW w:w="15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1939910F" w14:textId="77777777" w:rsidR="00493B75" w:rsidRPr="005E1202" w:rsidRDefault="00493B75" w:rsidP="00101A8A">
            <w:pPr>
              <w:spacing w:after="120" w:line="240" w:lineRule="auto"/>
              <w:jc w:val="center"/>
              <w:rPr>
                <w:rFonts w:cs="Arial"/>
                <w:sz w:val="20"/>
              </w:rPr>
            </w:pPr>
          </w:p>
        </w:tc>
        <w:tc>
          <w:tcPr>
            <w:tcW w:w="70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07EA6F8" w14:textId="77777777" w:rsidR="00493B75" w:rsidRPr="005E1202" w:rsidRDefault="00493B75" w:rsidP="00101A8A">
            <w:pPr>
              <w:spacing w:after="120" w:line="240" w:lineRule="auto"/>
              <w:jc w:val="center"/>
              <w:rPr>
                <w:rFonts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D84C9D" w14:textId="77777777" w:rsidR="00493B75" w:rsidRPr="005E1202" w:rsidRDefault="00F82EC5" w:rsidP="00101A8A">
            <w:pPr>
              <w:spacing w:after="120" w:line="240" w:lineRule="auto"/>
              <w:jc w:val="center"/>
              <w:rPr>
                <w:rFonts w:cs="Arial"/>
                <w:sz w:val="20"/>
              </w:rPr>
            </w:pPr>
            <w:r>
              <w:rPr>
                <w:rFonts w:cs="Arial"/>
                <w:sz w:val="20"/>
              </w:rPr>
              <w:t>PIB</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FFF8AD"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7F3F649"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3C4F05" w14:textId="77777777" w:rsidR="00493B75" w:rsidRPr="005E1202" w:rsidRDefault="00493B75" w:rsidP="00101A8A">
            <w:pPr>
              <w:spacing w:after="120" w:line="240" w:lineRule="auto"/>
              <w:jc w:val="center"/>
              <w:rPr>
                <w:rFonts w:cs="Arial"/>
                <w:sz w:val="20"/>
              </w:rPr>
            </w:pPr>
            <w:r w:rsidRPr="005E1202">
              <w:rPr>
                <w:rFonts w:eastAsia="Calibri" w:cs="Arial"/>
                <w:sz w:val="20"/>
              </w:rPr>
              <w:t>1.66</w:t>
            </w:r>
            <w:r w:rsidRPr="005E1202">
              <w:rPr>
                <w:rFonts w:eastAsia="Calibri" w:cs="Arial"/>
                <w:sz w:val="20"/>
              </w:rPr>
              <w:br/>
              <w:t>(1.25, 2.21)</w:t>
            </w:r>
          </w:p>
        </w:tc>
      </w:tr>
      <w:tr w:rsidR="00493B75" w:rsidRPr="005E1202" w14:paraId="1D0B5CCD" w14:textId="77777777" w:rsidTr="00AE18F9">
        <w:trPr>
          <w:cantSplit/>
          <w:trHeight w:val="105"/>
          <w:jc w:val="center"/>
        </w:trPr>
        <w:tc>
          <w:tcPr>
            <w:tcW w:w="1702"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A70788F" w14:textId="77777777" w:rsidR="00493B75" w:rsidRPr="005E1202" w:rsidRDefault="00493B75" w:rsidP="00101A8A">
            <w:pPr>
              <w:spacing w:after="120" w:line="240" w:lineRule="auto"/>
              <w:jc w:val="center"/>
              <w:rPr>
                <w:rFonts w:cs="Arial"/>
                <w:sz w:val="20"/>
              </w:rPr>
            </w:pPr>
            <w:r w:rsidRPr="005E1202">
              <w:rPr>
                <w:rFonts w:eastAsia="Calibri" w:cs="Arial"/>
                <w:sz w:val="20"/>
              </w:rPr>
              <w:t>Lopinavir</w:t>
            </w:r>
            <w:r w:rsidR="00FD1E1E">
              <w:rPr>
                <w:rFonts w:eastAsia="Calibri" w:cs="Arial"/>
                <w:sz w:val="20"/>
              </w:rPr>
              <w:t xml:space="preserve"> </w:t>
            </w:r>
            <w:r w:rsidRPr="005E1202">
              <w:rPr>
                <w:rFonts w:eastAsia="Calibri" w:cs="Arial"/>
                <w:sz w:val="20"/>
              </w:rPr>
              <w:t>/ ritonavir</w:t>
            </w:r>
          </w:p>
        </w:tc>
        <w:tc>
          <w:tcPr>
            <w:tcW w:w="1595"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77CDF7E9" w14:textId="77777777" w:rsidR="00493B75" w:rsidRPr="005E1202" w:rsidRDefault="00493B75" w:rsidP="00101A8A">
            <w:pPr>
              <w:spacing w:after="120" w:line="240" w:lineRule="auto"/>
              <w:jc w:val="center"/>
              <w:rPr>
                <w:rFonts w:cs="Arial"/>
                <w:sz w:val="20"/>
              </w:rPr>
            </w:pPr>
            <w:r w:rsidRPr="005E1202">
              <w:rPr>
                <w:rFonts w:cs="Arial"/>
                <w:sz w:val="20"/>
              </w:rPr>
              <w:t xml:space="preserve">400/100 </w:t>
            </w:r>
            <w:r w:rsidR="00AB396F">
              <w:rPr>
                <w:rFonts w:cs="Arial"/>
                <w:sz w:val="20"/>
              </w:rPr>
              <w:t xml:space="preserve">  </w:t>
            </w:r>
            <w:r w:rsidRPr="005E1202">
              <w:rPr>
                <w:rFonts w:cs="Arial"/>
                <w:sz w:val="20"/>
              </w:rPr>
              <w:t>twice daily</w:t>
            </w:r>
          </w:p>
        </w:tc>
        <w:tc>
          <w:tcPr>
            <w:tcW w:w="1524"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3ACB06A" w14:textId="77777777" w:rsidR="00493B75" w:rsidRPr="005E1202" w:rsidRDefault="00493B75" w:rsidP="00101A8A">
            <w:pPr>
              <w:spacing w:after="120" w:line="240" w:lineRule="auto"/>
              <w:jc w:val="center"/>
              <w:rPr>
                <w:rFonts w:cs="Arial"/>
                <w:sz w:val="20"/>
              </w:rPr>
            </w:pPr>
            <w:r w:rsidRPr="005E1202">
              <w:rPr>
                <w:rFonts w:cs="Arial"/>
                <w:sz w:val="20"/>
              </w:rPr>
              <w:t xml:space="preserve">300/120 </w:t>
            </w:r>
            <w:r w:rsidR="00AB396F">
              <w:rPr>
                <w:rFonts w:cs="Arial"/>
                <w:sz w:val="20"/>
              </w:rPr>
              <w:t xml:space="preserve">   </w:t>
            </w:r>
            <w:r w:rsidRPr="005E1202">
              <w:rPr>
                <w:rFonts w:cs="Arial"/>
                <w:sz w:val="20"/>
              </w:rPr>
              <w:t>once daily</w:t>
            </w:r>
          </w:p>
        </w:tc>
        <w:tc>
          <w:tcPr>
            <w:tcW w:w="708" w:type="dxa"/>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2F89546" w14:textId="77777777" w:rsidR="00493B75" w:rsidRPr="005E1202" w:rsidRDefault="00493B75" w:rsidP="00101A8A">
            <w:pPr>
              <w:spacing w:after="120" w:line="240" w:lineRule="auto"/>
              <w:jc w:val="center"/>
              <w:rPr>
                <w:rFonts w:cs="Arial"/>
                <w:sz w:val="20"/>
              </w:rPr>
            </w:pPr>
            <w:r w:rsidRPr="005E1202">
              <w:rPr>
                <w:rFonts w:cs="Arial"/>
                <w:sz w:val="20"/>
              </w:rPr>
              <w:t>9</w:t>
            </w: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834BD7" w14:textId="77777777" w:rsidR="00493B75" w:rsidRPr="005E1202" w:rsidRDefault="00F82EC5" w:rsidP="00101A8A">
            <w:pPr>
              <w:spacing w:after="120" w:line="240" w:lineRule="auto"/>
              <w:jc w:val="center"/>
              <w:rPr>
                <w:rFonts w:cs="Arial"/>
                <w:sz w:val="20"/>
              </w:rPr>
            </w:pPr>
            <w:r>
              <w:rPr>
                <w:rFonts w:cs="Arial"/>
                <w:sz w:val="20"/>
              </w:rPr>
              <w:t>GLE</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012D6E"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 xml:space="preserve">2.55 </w:t>
            </w:r>
            <w:proofErr w:type="gramStart"/>
            <w:r w:rsidRPr="005E1202">
              <w:rPr>
                <w:rFonts w:eastAsia="Calibri" w:cs="Arial"/>
                <w:sz w:val="20"/>
              </w:rPr>
              <w:t xml:space="preserve">   (</w:t>
            </w:r>
            <w:proofErr w:type="gramEnd"/>
            <w:r w:rsidRPr="005E1202">
              <w:rPr>
                <w:rFonts w:eastAsia="Calibri" w:cs="Arial"/>
                <w:sz w:val="20"/>
              </w:rPr>
              <w:t>1.84, 3.52)</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D38B9E3"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4.38</w:t>
            </w:r>
            <w:proofErr w:type="gramStart"/>
            <w:r w:rsidRPr="005E1202">
              <w:rPr>
                <w:rFonts w:eastAsia="Calibri" w:cs="Arial"/>
                <w:sz w:val="20"/>
              </w:rPr>
              <w:t xml:space="preserve">   (</w:t>
            </w:r>
            <w:proofErr w:type="gramEnd"/>
            <w:r w:rsidRPr="005E1202">
              <w:rPr>
                <w:rFonts w:eastAsia="Calibri" w:cs="Arial"/>
                <w:sz w:val="20"/>
              </w:rPr>
              <w:t>3.02, 6.36)</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4402D01" w14:textId="77777777" w:rsidR="00493B75" w:rsidRPr="005E1202" w:rsidRDefault="00493B75" w:rsidP="00101A8A">
            <w:pPr>
              <w:spacing w:after="120" w:line="240" w:lineRule="auto"/>
              <w:jc w:val="center"/>
              <w:rPr>
                <w:rFonts w:cs="Arial"/>
                <w:sz w:val="20"/>
              </w:rPr>
            </w:pPr>
            <w:r w:rsidRPr="005E1202">
              <w:rPr>
                <w:rFonts w:eastAsia="Calibri" w:cs="Arial"/>
                <w:sz w:val="20"/>
              </w:rPr>
              <w:t>18.6</w:t>
            </w:r>
            <w:r w:rsidRPr="005E1202">
              <w:rPr>
                <w:rFonts w:eastAsia="Calibri" w:cs="Arial"/>
                <w:sz w:val="20"/>
              </w:rPr>
              <w:br/>
              <w:t>(10.4, 33.5)</w:t>
            </w:r>
          </w:p>
        </w:tc>
      </w:tr>
      <w:tr w:rsidR="00493B75" w:rsidRPr="005E1202" w14:paraId="115883C8" w14:textId="77777777" w:rsidTr="00AE18F9">
        <w:trPr>
          <w:cantSplit/>
          <w:trHeight w:val="105"/>
          <w:jc w:val="center"/>
        </w:trPr>
        <w:tc>
          <w:tcPr>
            <w:tcW w:w="1702"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7F3EB5B" w14:textId="77777777" w:rsidR="00493B75" w:rsidRPr="005E1202" w:rsidRDefault="00493B75" w:rsidP="00101A8A">
            <w:pPr>
              <w:spacing w:after="120" w:line="240" w:lineRule="auto"/>
              <w:jc w:val="center"/>
              <w:rPr>
                <w:rFonts w:cs="Arial"/>
                <w:sz w:val="20"/>
              </w:rPr>
            </w:pPr>
          </w:p>
        </w:tc>
        <w:tc>
          <w:tcPr>
            <w:tcW w:w="1595"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398D574" w14:textId="77777777" w:rsidR="00493B75" w:rsidRPr="005E1202" w:rsidRDefault="00493B75" w:rsidP="00101A8A">
            <w:pPr>
              <w:spacing w:after="120" w:line="240" w:lineRule="auto"/>
              <w:jc w:val="center"/>
              <w:rPr>
                <w:rFonts w:cs="Arial"/>
                <w:sz w:val="20"/>
              </w:rPr>
            </w:pPr>
          </w:p>
        </w:tc>
        <w:tc>
          <w:tcPr>
            <w:tcW w:w="1524"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941A359" w14:textId="77777777" w:rsidR="00493B75" w:rsidRPr="005E1202" w:rsidRDefault="00493B75" w:rsidP="00101A8A">
            <w:pPr>
              <w:spacing w:after="120" w:line="240" w:lineRule="auto"/>
              <w:jc w:val="center"/>
              <w:rPr>
                <w:rFonts w:cs="Arial"/>
                <w:sz w:val="20"/>
              </w:rPr>
            </w:pPr>
          </w:p>
        </w:tc>
        <w:tc>
          <w:tcPr>
            <w:tcW w:w="708" w:type="dxa"/>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46246FDD" w14:textId="77777777" w:rsidR="00493B75" w:rsidRPr="005E1202" w:rsidRDefault="00493B75" w:rsidP="00101A8A">
            <w:pPr>
              <w:spacing w:after="120" w:line="240" w:lineRule="auto"/>
              <w:jc w:val="center"/>
              <w:rPr>
                <w:rFonts w:cs="Arial"/>
                <w:sz w:val="20"/>
              </w:rPr>
            </w:pPr>
          </w:p>
        </w:tc>
        <w:tc>
          <w:tcPr>
            <w:tcW w:w="127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E445A7" w14:textId="77777777" w:rsidR="00493B75" w:rsidRPr="005E1202" w:rsidRDefault="00F82EC5" w:rsidP="00101A8A">
            <w:pPr>
              <w:spacing w:after="120" w:line="240" w:lineRule="auto"/>
              <w:jc w:val="center"/>
              <w:rPr>
                <w:rFonts w:cs="Arial"/>
                <w:sz w:val="20"/>
              </w:rPr>
            </w:pPr>
            <w:r>
              <w:rPr>
                <w:rFonts w:cs="Arial"/>
                <w:sz w:val="20"/>
              </w:rPr>
              <w:t>PIB</w:t>
            </w:r>
          </w:p>
        </w:tc>
        <w:tc>
          <w:tcPr>
            <w:tcW w:w="9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5105BE"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 xml:space="preserve">1.40 </w:t>
            </w:r>
            <w:proofErr w:type="gramStart"/>
            <w:r w:rsidRPr="005E1202">
              <w:rPr>
                <w:rFonts w:eastAsia="Calibri" w:cs="Arial"/>
                <w:sz w:val="20"/>
              </w:rPr>
              <w:t xml:space="preserve">   (</w:t>
            </w:r>
            <w:proofErr w:type="gramEnd"/>
            <w:r w:rsidRPr="005E1202">
              <w:rPr>
                <w:rFonts w:eastAsia="Calibri" w:cs="Arial"/>
                <w:sz w:val="20"/>
              </w:rPr>
              <w:t>1.17, 1.67)</w:t>
            </w:r>
          </w:p>
        </w:tc>
        <w:tc>
          <w:tcPr>
            <w:tcW w:w="9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D55F70E" w14:textId="77777777" w:rsidR="00493B75" w:rsidRPr="005E1202" w:rsidRDefault="00493B75" w:rsidP="00101A8A">
            <w:pPr>
              <w:spacing w:after="120" w:line="240" w:lineRule="auto"/>
              <w:jc w:val="center"/>
              <w:rPr>
                <w:rFonts w:eastAsia="Calibri" w:cs="Arial"/>
                <w:sz w:val="20"/>
              </w:rPr>
            </w:pPr>
            <w:r w:rsidRPr="005E1202">
              <w:rPr>
                <w:rFonts w:eastAsia="Calibri" w:cs="Arial"/>
                <w:sz w:val="20"/>
              </w:rPr>
              <w:t xml:space="preserve">2.46 </w:t>
            </w:r>
            <w:proofErr w:type="gramStart"/>
            <w:r w:rsidRPr="005E1202">
              <w:rPr>
                <w:rFonts w:eastAsia="Calibri" w:cs="Arial"/>
                <w:sz w:val="20"/>
              </w:rPr>
              <w:t xml:space="preserve">   (</w:t>
            </w:r>
            <w:proofErr w:type="gramEnd"/>
            <w:r w:rsidRPr="005E1202">
              <w:rPr>
                <w:rFonts w:eastAsia="Calibri" w:cs="Arial"/>
                <w:sz w:val="20"/>
              </w:rPr>
              <w:t>2.07, 2.92)</w:t>
            </w:r>
          </w:p>
        </w:tc>
        <w:tc>
          <w:tcPr>
            <w:tcW w:w="10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F3B44C" w14:textId="77777777" w:rsidR="00493B75" w:rsidRPr="005E1202" w:rsidRDefault="00493B75" w:rsidP="00101A8A">
            <w:pPr>
              <w:spacing w:after="120" w:line="240" w:lineRule="auto"/>
              <w:jc w:val="center"/>
              <w:rPr>
                <w:rFonts w:cs="Arial"/>
                <w:sz w:val="20"/>
              </w:rPr>
            </w:pPr>
            <w:r w:rsidRPr="005E1202">
              <w:rPr>
                <w:rFonts w:eastAsia="Calibri" w:cs="Arial"/>
                <w:sz w:val="20"/>
              </w:rPr>
              <w:t>5.24</w:t>
            </w:r>
            <w:r w:rsidRPr="005E1202">
              <w:rPr>
                <w:rFonts w:eastAsia="Calibri" w:cs="Arial"/>
                <w:sz w:val="20"/>
              </w:rPr>
              <w:br/>
              <w:t>(4.18, 6.58)</w:t>
            </w:r>
          </w:p>
        </w:tc>
      </w:tr>
      <w:tr w:rsidR="00493B75" w:rsidRPr="005E1202" w14:paraId="73F47885" w14:textId="77777777" w:rsidTr="00AE18F9">
        <w:trPr>
          <w:cantSplit/>
          <w:trHeight w:val="105"/>
          <w:jc w:val="center"/>
        </w:trPr>
        <w:tc>
          <w:tcPr>
            <w:tcW w:w="9859" w:type="dxa"/>
            <w:gridSpan w:val="8"/>
            <w:tcBorders>
              <w:top w:val="single" w:sz="4" w:space="0" w:color="auto"/>
            </w:tcBorders>
            <w:tcMar>
              <w:top w:w="0" w:type="dxa"/>
              <w:left w:w="108" w:type="dxa"/>
              <w:bottom w:w="0" w:type="dxa"/>
              <w:right w:w="108" w:type="dxa"/>
            </w:tcMar>
            <w:vAlign w:val="center"/>
          </w:tcPr>
          <w:p w14:paraId="0BC43DAA" w14:textId="77777777" w:rsidR="00493B75" w:rsidRPr="005E1202" w:rsidRDefault="00493B75" w:rsidP="00493B75">
            <w:pPr>
              <w:spacing w:after="60"/>
              <w:rPr>
                <w:rFonts w:cs="Arial"/>
                <w:sz w:val="20"/>
              </w:rPr>
            </w:pPr>
            <w:r w:rsidRPr="005E1202">
              <w:rPr>
                <w:rFonts w:cs="Arial"/>
                <w:sz w:val="20"/>
              </w:rPr>
              <w:lastRenderedPageBreak/>
              <w:t>↔ = No change (central value ratio 0.80 to 1.25).</w:t>
            </w:r>
          </w:p>
          <w:p w14:paraId="027E6A78" w14:textId="77777777" w:rsidR="00493B75" w:rsidRDefault="00493B75" w:rsidP="00493B75">
            <w:pPr>
              <w:spacing w:after="60"/>
              <w:rPr>
                <w:rFonts w:cs="Arial"/>
                <w:noProof/>
                <w:sz w:val="20"/>
              </w:rPr>
            </w:pPr>
            <w:r w:rsidRPr="005E1202">
              <w:rPr>
                <w:rFonts w:cs="Arial"/>
                <w:noProof/>
                <w:sz w:val="20"/>
                <w:vertAlign w:val="superscript"/>
              </w:rPr>
              <w:t>a.</w:t>
            </w:r>
            <w:r w:rsidRPr="005E1202">
              <w:rPr>
                <w:rFonts w:cs="Arial"/>
                <w:noProof/>
                <w:sz w:val="20"/>
              </w:rPr>
              <w:t xml:space="preserve"> Effect of rifampi</w:t>
            </w:r>
            <w:r w:rsidR="00060256">
              <w:rPr>
                <w:rFonts w:cs="Arial"/>
                <w:noProof/>
                <w:sz w:val="20"/>
              </w:rPr>
              <w:t>ci</w:t>
            </w:r>
            <w:r w:rsidRPr="005E1202">
              <w:rPr>
                <w:rFonts w:cs="Arial"/>
                <w:noProof/>
                <w:sz w:val="20"/>
              </w:rPr>
              <w:t>n on glecaprevir and pibrentasvir 24 hours after final rifampi</w:t>
            </w:r>
            <w:r w:rsidR="00060256">
              <w:rPr>
                <w:rFonts w:cs="Arial"/>
                <w:noProof/>
                <w:sz w:val="20"/>
              </w:rPr>
              <w:t>ci</w:t>
            </w:r>
            <w:r w:rsidRPr="005E1202">
              <w:rPr>
                <w:rFonts w:cs="Arial"/>
                <w:noProof/>
                <w:sz w:val="20"/>
              </w:rPr>
              <w:t>n dose.</w:t>
            </w:r>
          </w:p>
          <w:p w14:paraId="46C72A8D" w14:textId="77777777" w:rsidR="00F82EC5" w:rsidRPr="005E1202" w:rsidRDefault="00F82EC5" w:rsidP="00493B75">
            <w:pPr>
              <w:spacing w:after="60"/>
              <w:rPr>
                <w:rFonts w:cs="Arial"/>
                <w:noProof/>
                <w:sz w:val="20"/>
              </w:rPr>
            </w:pPr>
            <w:r w:rsidRPr="00F82EC5">
              <w:rPr>
                <w:rFonts w:cs="Arial"/>
                <w:noProof/>
                <w:sz w:val="20"/>
                <w:vertAlign w:val="superscript"/>
              </w:rPr>
              <w:t>b</w:t>
            </w:r>
            <w:r>
              <w:rPr>
                <w:rFonts w:cs="Arial"/>
                <w:noProof/>
                <w:sz w:val="20"/>
              </w:rPr>
              <w:t>. HCV-infected transplant recipients who received ciclosporin doses of 100 mg or less per day had glecaprevir exposures 2.4-fold of those not receiving ciclosporin.</w:t>
            </w:r>
          </w:p>
          <w:p w14:paraId="61B83C76" w14:textId="77777777" w:rsidR="00493B75" w:rsidRPr="005E1202" w:rsidRDefault="00F82EC5" w:rsidP="00493B75">
            <w:pPr>
              <w:spacing w:after="60"/>
              <w:rPr>
                <w:rFonts w:cs="Arial"/>
                <w:sz w:val="20"/>
              </w:rPr>
            </w:pPr>
            <w:r>
              <w:rPr>
                <w:rFonts w:cs="Arial"/>
                <w:sz w:val="20"/>
                <w:vertAlign w:val="superscript"/>
              </w:rPr>
              <w:t>c</w:t>
            </w:r>
            <w:r w:rsidR="00493B75" w:rsidRPr="005E1202">
              <w:rPr>
                <w:rFonts w:cs="Arial"/>
                <w:sz w:val="20"/>
                <w:vertAlign w:val="superscript"/>
              </w:rPr>
              <w:t>.</w:t>
            </w:r>
            <w:r w:rsidR="00493B75" w:rsidRPr="005E1202">
              <w:rPr>
                <w:rFonts w:cs="Arial"/>
                <w:sz w:val="20"/>
              </w:rPr>
              <w:t xml:space="preserve"> Effect of atazanavir and ritonavir on the first dose of glecaprevir and pibrentasvir is reported.</w:t>
            </w:r>
          </w:p>
        </w:tc>
      </w:tr>
    </w:tbl>
    <w:p w14:paraId="5E3B0142" w14:textId="77777777" w:rsidR="00AE18F9" w:rsidRDefault="00AE18F9" w:rsidP="00493B75">
      <w:pPr>
        <w:rPr>
          <w:rFonts w:cs="Arial"/>
          <w:b/>
        </w:rPr>
      </w:pPr>
    </w:p>
    <w:p w14:paraId="66B967B9" w14:textId="1E5B4A79" w:rsidR="00493B75" w:rsidRPr="005E1202" w:rsidRDefault="00493B75" w:rsidP="00493B75">
      <w:pPr>
        <w:rPr>
          <w:rFonts w:cs="Arial"/>
          <w:b/>
        </w:rPr>
      </w:pPr>
      <w:r w:rsidRPr="005E1202">
        <w:rPr>
          <w:rFonts w:cs="Arial"/>
          <w:b/>
        </w:rPr>
        <w:t xml:space="preserve">Table </w:t>
      </w:r>
      <w:r w:rsidR="008D55BB">
        <w:rPr>
          <w:rFonts w:cs="Arial"/>
          <w:b/>
        </w:rPr>
        <w:t>1</w:t>
      </w:r>
      <w:r w:rsidR="000363B6">
        <w:rPr>
          <w:rFonts w:cs="Arial"/>
          <w:b/>
        </w:rPr>
        <w:t>7</w:t>
      </w:r>
      <w:r w:rsidRPr="005E1202">
        <w:rPr>
          <w:rFonts w:cs="Arial"/>
          <w:b/>
        </w:rPr>
        <w:t xml:space="preserve">.  Drug Interactions: Pharmacokinetic Parameters for </w:t>
      </w:r>
      <w:proofErr w:type="spellStart"/>
      <w:r w:rsidRPr="005E1202">
        <w:rPr>
          <w:rFonts w:cs="Arial"/>
          <w:b/>
        </w:rPr>
        <w:t>Coadministered</w:t>
      </w:r>
      <w:proofErr w:type="spellEnd"/>
      <w:r w:rsidRPr="005E1202">
        <w:rPr>
          <w:rFonts w:cs="Arial"/>
          <w:b/>
        </w:rPr>
        <w:t xml:space="preserve"> Drug in the Presence of Combination of Glecaprevir</w:t>
      </w:r>
      <w:r w:rsidR="00370AA8">
        <w:rPr>
          <w:rFonts w:cs="Arial"/>
          <w:b/>
        </w:rPr>
        <w:t xml:space="preserve"> </w:t>
      </w:r>
      <w:r w:rsidRPr="005E1202">
        <w:rPr>
          <w:rFonts w:cs="Arial"/>
          <w:b/>
        </w:rPr>
        <w:t>/</w:t>
      </w:r>
      <w:r w:rsidR="00370AA8">
        <w:rPr>
          <w:rFonts w:cs="Arial"/>
          <w:b/>
        </w:rPr>
        <w:t xml:space="preserve"> </w:t>
      </w:r>
      <w:r w:rsidRPr="005E1202">
        <w:rPr>
          <w:rFonts w:cs="Arial"/>
          <w:b/>
        </w:rPr>
        <w:t>Pibrentasvir</w:t>
      </w:r>
    </w:p>
    <w:tbl>
      <w:tblPr>
        <w:tblW w:w="9906" w:type="dxa"/>
        <w:tblLayout w:type="fixed"/>
        <w:tblCellMar>
          <w:left w:w="0" w:type="dxa"/>
          <w:right w:w="0" w:type="dxa"/>
        </w:tblCellMar>
        <w:tblLook w:val="04A0" w:firstRow="1" w:lastRow="0" w:firstColumn="1" w:lastColumn="0" w:noHBand="0" w:noVBand="1"/>
      </w:tblPr>
      <w:tblGrid>
        <w:gridCol w:w="1835"/>
        <w:gridCol w:w="1844"/>
        <w:gridCol w:w="1557"/>
        <w:gridCol w:w="852"/>
        <w:gridCol w:w="1276"/>
        <w:gridCol w:w="1274"/>
        <w:gridCol w:w="1268"/>
      </w:tblGrid>
      <w:tr w:rsidR="00493B75" w:rsidRPr="005E1202" w14:paraId="60DB25D2" w14:textId="77777777" w:rsidTr="00493B75">
        <w:trPr>
          <w:tblHeader/>
        </w:trPr>
        <w:tc>
          <w:tcPr>
            <w:tcW w:w="92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CD0C0E" w14:textId="77777777" w:rsidR="00493B75" w:rsidRPr="005E1202" w:rsidRDefault="00493B75" w:rsidP="00101A8A">
            <w:pPr>
              <w:spacing w:after="120" w:line="240" w:lineRule="auto"/>
              <w:jc w:val="center"/>
              <w:rPr>
                <w:rFonts w:cs="Arial"/>
                <w:b/>
                <w:sz w:val="20"/>
              </w:rPr>
            </w:pPr>
            <w:proofErr w:type="spellStart"/>
            <w:r w:rsidRPr="005E1202">
              <w:rPr>
                <w:rFonts w:cs="Arial"/>
                <w:b/>
                <w:sz w:val="20"/>
              </w:rPr>
              <w:t>Coadministered</w:t>
            </w:r>
            <w:proofErr w:type="spellEnd"/>
            <w:r w:rsidRPr="005E1202">
              <w:rPr>
                <w:rFonts w:cs="Arial"/>
                <w:b/>
                <w:sz w:val="20"/>
              </w:rPr>
              <w:t xml:space="preserve"> Drug</w:t>
            </w:r>
          </w:p>
        </w:tc>
        <w:tc>
          <w:tcPr>
            <w:tcW w:w="9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546BD8" w14:textId="77777777" w:rsidR="00493B75" w:rsidRPr="005E1202" w:rsidRDefault="00493B75" w:rsidP="00101A8A">
            <w:pPr>
              <w:spacing w:after="120" w:line="240" w:lineRule="auto"/>
              <w:jc w:val="center"/>
              <w:rPr>
                <w:rFonts w:cs="Arial"/>
                <w:b/>
                <w:sz w:val="20"/>
              </w:rPr>
            </w:pPr>
            <w:r w:rsidRPr="005E1202">
              <w:rPr>
                <w:rFonts w:cs="Arial"/>
                <w:b/>
                <w:sz w:val="20"/>
              </w:rPr>
              <w:t xml:space="preserve">Regimen of </w:t>
            </w:r>
            <w:proofErr w:type="spellStart"/>
            <w:r w:rsidRPr="005E1202">
              <w:rPr>
                <w:rFonts w:cs="Arial"/>
                <w:b/>
                <w:sz w:val="20"/>
              </w:rPr>
              <w:t>Coadministered</w:t>
            </w:r>
            <w:proofErr w:type="spellEnd"/>
            <w:r w:rsidRPr="005E1202">
              <w:rPr>
                <w:rFonts w:cs="Arial"/>
                <w:b/>
                <w:sz w:val="20"/>
              </w:rPr>
              <w:t xml:space="preserve"> Drug (mg)</w:t>
            </w:r>
          </w:p>
        </w:tc>
        <w:tc>
          <w:tcPr>
            <w:tcW w:w="78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BA39EC" w14:textId="77777777" w:rsidR="00493B75" w:rsidRPr="005E1202" w:rsidRDefault="00493B75" w:rsidP="00101A8A">
            <w:pPr>
              <w:spacing w:after="120" w:line="240" w:lineRule="auto"/>
              <w:jc w:val="center"/>
              <w:rPr>
                <w:rFonts w:cs="Arial"/>
                <w:b/>
                <w:sz w:val="20"/>
              </w:rPr>
            </w:pPr>
            <w:r w:rsidRPr="005E1202">
              <w:rPr>
                <w:rFonts w:cs="Arial"/>
                <w:b/>
                <w:sz w:val="20"/>
              </w:rPr>
              <w:t>Regimen of glecaprevir / pibrentasvir (mg)</w:t>
            </w:r>
          </w:p>
        </w:tc>
        <w:tc>
          <w:tcPr>
            <w:tcW w:w="4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D07A0" w14:textId="77777777" w:rsidR="00493B75" w:rsidRPr="005E1202" w:rsidRDefault="00493B75" w:rsidP="00101A8A">
            <w:pPr>
              <w:spacing w:after="120" w:line="240" w:lineRule="auto"/>
              <w:jc w:val="center"/>
              <w:rPr>
                <w:rFonts w:cs="Arial"/>
                <w:b/>
                <w:sz w:val="20"/>
              </w:rPr>
            </w:pPr>
            <w:r w:rsidRPr="005E1202">
              <w:rPr>
                <w:rFonts w:cs="Arial"/>
                <w:b/>
                <w:sz w:val="20"/>
              </w:rPr>
              <w:t>N</w:t>
            </w:r>
          </w:p>
        </w:tc>
        <w:tc>
          <w:tcPr>
            <w:tcW w:w="1927" w:type="pct"/>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A4664" w14:textId="77777777" w:rsidR="00493B75" w:rsidRPr="005E1202" w:rsidRDefault="00493B75" w:rsidP="00101A8A">
            <w:pPr>
              <w:spacing w:after="120" w:line="240" w:lineRule="auto"/>
              <w:jc w:val="center"/>
              <w:rPr>
                <w:rFonts w:cs="Arial"/>
                <w:b/>
                <w:sz w:val="20"/>
              </w:rPr>
            </w:pPr>
            <w:r w:rsidRPr="005E1202">
              <w:rPr>
                <w:rFonts w:cs="Arial"/>
                <w:b/>
                <w:sz w:val="20"/>
              </w:rPr>
              <w:t>Central Value Ratio (90% CI)</w:t>
            </w:r>
          </w:p>
        </w:tc>
      </w:tr>
      <w:tr w:rsidR="00493B75" w:rsidRPr="005E1202" w14:paraId="0F62D00C" w14:textId="77777777" w:rsidTr="00493B75">
        <w:trPr>
          <w:tblHeader/>
        </w:trPr>
        <w:tc>
          <w:tcPr>
            <w:tcW w:w="92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246CBAB" w14:textId="77777777" w:rsidR="00493B75" w:rsidRPr="005E1202" w:rsidRDefault="00493B75" w:rsidP="00101A8A">
            <w:pPr>
              <w:spacing w:after="120" w:line="240" w:lineRule="auto"/>
              <w:jc w:val="center"/>
              <w:rPr>
                <w:rFonts w:cs="Arial"/>
                <w:b/>
                <w:sz w:val="20"/>
              </w:rPr>
            </w:pPr>
          </w:p>
        </w:tc>
        <w:tc>
          <w:tcPr>
            <w:tcW w:w="93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04BEC" w14:textId="77777777" w:rsidR="00493B75" w:rsidRPr="005E1202" w:rsidRDefault="00493B75" w:rsidP="00101A8A">
            <w:pPr>
              <w:spacing w:after="120" w:line="240" w:lineRule="auto"/>
              <w:jc w:val="center"/>
              <w:rPr>
                <w:rFonts w:cs="Arial"/>
                <w:b/>
                <w:sz w:val="20"/>
              </w:rPr>
            </w:pPr>
          </w:p>
        </w:tc>
        <w:tc>
          <w:tcPr>
            <w:tcW w:w="78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6D4653" w14:textId="77777777" w:rsidR="00493B75" w:rsidRPr="005E1202" w:rsidRDefault="00493B75" w:rsidP="00101A8A">
            <w:pPr>
              <w:spacing w:after="120" w:line="240" w:lineRule="auto"/>
              <w:jc w:val="center"/>
              <w:rPr>
                <w:rFonts w:cs="Arial"/>
                <w:b/>
                <w:sz w:val="20"/>
              </w:rPr>
            </w:pPr>
          </w:p>
        </w:tc>
        <w:tc>
          <w:tcPr>
            <w:tcW w:w="43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2F8A5D" w14:textId="77777777" w:rsidR="00493B75" w:rsidRPr="005E1202" w:rsidRDefault="00493B75" w:rsidP="00101A8A">
            <w:pPr>
              <w:spacing w:after="120" w:line="240" w:lineRule="auto"/>
              <w:jc w:val="center"/>
              <w:rPr>
                <w:rFonts w:cs="Arial"/>
                <w:b/>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DBD734" w14:textId="77777777" w:rsidR="00493B75" w:rsidRPr="005E1202" w:rsidRDefault="00493B75" w:rsidP="00101A8A">
            <w:pPr>
              <w:spacing w:after="120" w:line="240" w:lineRule="auto"/>
              <w:jc w:val="center"/>
              <w:rPr>
                <w:rFonts w:cs="Arial"/>
                <w:b/>
                <w:sz w:val="20"/>
              </w:rPr>
            </w:pPr>
            <w:proofErr w:type="spellStart"/>
            <w:r w:rsidRPr="005E1202">
              <w:rPr>
                <w:rFonts w:cs="Arial"/>
                <w:b/>
                <w:sz w:val="20"/>
              </w:rPr>
              <w:t>C</w:t>
            </w:r>
            <w:r w:rsidRPr="005E1202">
              <w:rPr>
                <w:rFonts w:cs="Arial"/>
                <w:b/>
                <w:sz w:val="20"/>
                <w:vertAlign w:val="subscript"/>
              </w:rPr>
              <w:t>max</w:t>
            </w:r>
            <w:proofErr w:type="spellEnd"/>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DBB00D" w14:textId="77777777" w:rsidR="00493B75" w:rsidRPr="005E1202" w:rsidRDefault="00493B75" w:rsidP="00101A8A">
            <w:pPr>
              <w:spacing w:after="120" w:line="240" w:lineRule="auto"/>
              <w:jc w:val="center"/>
              <w:rPr>
                <w:rFonts w:cs="Arial"/>
                <w:b/>
                <w:sz w:val="20"/>
              </w:rPr>
            </w:pPr>
            <w:r w:rsidRPr="005E1202">
              <w:rPr>
                <w:rFonts w:cs="Arial"/>
                <w:b/>
                <w:sz w:val="20"/>
              </w:rPr>
              <w:t>AUC</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FDBDAF" w14:textId="77777777" w:rsidR="00493B75" w:rsidRPr="005E1202" w:rsidRDefault="00493B75" w:rsidP="00101A8A">
            <w:pPr>
              <w:spacing w:after="120" w:line="240" w:lineRule="auto"/>
              <w:jc w:val="center"/>
              <w:rPr>
                <w:rFonts w:cs="Arial"/>
                <w:b/>
                <w:sz w:val="20"/>
              </w:rPr>
            </w:pPr>
            <w:proofErr w:type="spellStart"/>
            <w:r w:rsidRPr="005E1202">
              <w:rPr>
                <w:rFonts w:cs="Arial"/>
                <w:b/>
                <w:sz w:val="20"/>
              </w:rPr>
              <w:t>C</w:t>
            </w:r>
            <w:r w:rsidRPr="005E1202">
              <w:rPr>
                <w:rFonts w:cs="Arial"/>
                <w:b/>
                <w:sz w:val="20"/>
                <w:vertAlign w:val="subscript"/>
              </w:rPr>
              <w:t>min</w:t>
            </w:r>
            <w:proofErr w:type="spellEnd"/>
          </w:p>
        </w:tc>
      </w:tr>
      <w:tr w:rsidR="00493B75" w:rsidRPr="005E1202" w14:paraId="3009E21F"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D41E4B" w14:textId="77777777" w:rsidR="00493B75" w:rsidRPr="005E1202" w:rsidRDefault="00493B75" w:rsidP="00101A8A">
            <w:pPr>
              <w:spacing w:after="120" w:line="240" w:lineRule="auto"/>
              <w:jc w:val="center"/>
              <w:rPr>
                <w:rFonts w:cs="Arial"/>
                <w:sz w:val="20"/>
              </w:rPr>
            </w:pPr>
            <w:r w:rsidRPr="005E1202">
              <w:rPr>
                <w:rFonts w:cs="Arial"/>
                <w:sz w:val="20"/>
              </w:rPr>
              <w:t>Digoxin</w:t>
            </w:r>
          </w:p>
        </w:tc>
        <w:tc>
          <w:tcPr>
            <w:tcW w:w="9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9B1D74" w14:textId="77777777" w:rsidR="00493B75" w:rsidRPr="005E1202" w:rsidRDefault="00493B75" w:rsidP="00101A8A">
            <w:pPr>
              <w:spacing w:after="120" w:line="240" w:lineRule="auto"/>
              <w:jc w:val="center"/>
              <w:rPr>
                <w:rFonts w:cs="Arial"/>
                <w:sz w:val="20"/>
              </w:rPr>
            </w:pPr>
            <w:r w:rsidRPr="005E1202">
              <w:rPr>
                <w:rFonts w:cs="Arial"/>
                <w:sz w:val="20"/>
              </w:rPr>
              <w:t>0.5 single dose</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C5CECB" w14:textId="77777777" w:rsidR="00493B75" w:rsidRPr="005E1202" w:rsidRDefault="00493B75" w:rsidP="00101A8A">
            <w:pPr>
              <w:spacing w:after="120" w:line="240" w:lineRule="auto"/>
              <w:jc w:val="center"/>
              <w:rPr>
                <w:rFonts w:cs="Arial"/>
                <w:sz w:val="20"/>
              </w:rPr>
            </w:pPr>
            <w:r w:rsidRPr="005E1202">
              <w:rPr>
                <w:rFonts w:cs="Arial"/>
                <w:sz w:val="20"/>
              </w:rPr>
              <w:t xml:space="preserve">400/120 </w:t>
            </w:r>
            <w:r w:rsidR="000074FA">
              <w:rPr>
                <w:rFonts w:cs="Arial"/>
                <w:sz w:val="20"/>
              </w:rPr>
              <w:t xml:space="preserve">   </w:t>
            </w:r>
            <w:r w:rsidRPr="005E1202">
              <w:rPr>
                <w:rFonts w:cs="Arial"/>
                <w:sz w:val="20"/>
              </w:rPr>
              <w:t>once daily</w:t>
            </w:r>
          </w:p>
        </w:tc>
        <w:tc>
          <w:tcPr>
            <w:tcW w:w="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9B31E9" w14:textId="77777777" w:rsidR="00493B75" w:rsidRPr="005E1202" w:rsidRDefault="00493B75" w:rsidP="00101A8A">
            <w:pPr>
              <w:spacing w:after="120" w:line="240" w:lineRule="auto"/>
              <w:jc w:val="center"/>
              <w:rPr>
                <w:rFonts w:cs="Arial"/>
                <w:sz w:val="20"/>
              </w:rPr>
            </w:pPr>
            <w:r w:rsidRPr="005E1202">
              <w:rPr>
                <w:rFonts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D6B4A0" w14:textId="77777777" w:rsidR="00493B75" w:rsidRPr="005E1202" w:rsidRDefault="00493B75" w:rsidP="00101A8A">
            <w:pPr>
              <w:spacing w:after="120" w:line="240" w:lineRule="auto"/>
              <w:jc w:val="center"/>
              <w:rPr>
                <w:rFonts w:cs="Arial"/>
                <w:sz w:val="20"/>
              </w:rPr>
            </w:pPr>
            <w:r w:rsidRPr="005E1202">
              <w:rPr>
                <w:rFonts w:cs="Arial"/>
                <w:sz w:val="20"/>
              </w:rPr>
              <w:t xml:space="preserve">1.72 </w:t>
            </w:r>
            <w:proofErr w:type="gramStart"/>
            <w:r w:rsidRPr="005E1202">
              <w:rPr>
                <w:rFonts w:cs="Arial"/>
                <w:sz w:val="20"/>
              </w:rPr>
              <w:t xml:space="preserve">   (</w:t>
            </w:r>
            <w:proofErr w:type="gramEnd"/>
            <w:r w:rsidRPr="005E1202">
              <w:rPr>
                <w:rFonts w:cs="Arial"/>
                <w:sz w:val="20"/>
              </w:rPr>
              <w:t>1.45, 2.04)</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DC3711" w14:textId="77777777" w:rsidR="00493B75" w:rsidRPr="005E1202" w:rsidRDefault="00493B75" w:rsidP="00101A8A">
            <w:pPr>
              <w:spacing w:after="120" w:line="240" w:lineRule="auto"/>
              <w:jc w:val="center"/>
              <w:rPr>
                <w:rFonts w:cs="Arial"/>
                <w:sz w:val="20"/>
              </w:rPr>
            </w:pPr>
            <w:r w:rsidRPr="005E1202">
              <w:rPr>
                <w:rFonts w:cs="Arial"/>
                <w:sz w:val="20"/>
              </w:rPr>
              <w:t xml:space="preserve">1.48 </w:t>
            </w:r>
            <w:proofErr w:type="gramStart"/>
            <w:r w:rsidRPr="005E1202">
              <w:rPr>
                <w:rFonts w:cs="Arial"/>
                <w:sz w:val="20"/>
              </w:rPr>
              <w:t xml:space="preserve">   (</w:t>
            </w:r>
            <w:proofErr w:type="gramEnd"/>
            <w:r w:rsidRPr="005E1202">
              <w:rPr>
                <w:rFonts w:cs="Arial"/>
                <w:sz w:val="20"/>
              </w:rPr>
              <w:t>1.40, 1.57)</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3951F5"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44558812"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3488FF" w14:textId="77777777" w:rsidR="00493B75" w:rsidRPr="005E1202" w:rsidRDefault="00493B75" w:rsidP="00101A8A">
            <w:pPr>
              <w:spacing w:after="120" w:line="240" w:lineRule="auto"/>
              <w:jc w:val="center"/>
              <w:rPr>
                <w:rFonts w:cs="Arial"/>
                <w:sz w:val="20"/>
              </w:rPr>
            </w:pPr>
            <w:r w:rsidRPr="005E1202">
              <w:rPr>
                <w:rFonts w:cs="Arial"/>
                <w:sz w:val="20"/>
              </w:rPr>
              <w:t>Dabigatran</w:t>
            </w:r>
          </w:p>
        </w:tc>
        <w:tc>
          <w:tcPr>
            <w:tcW w:w="9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7847ED" w14:textId="77777777" w:rsidR="00493B75" w:rsidRPr="005E1202" w:rsidRDefault="00493B75" w:rsidP="00101A8A">
            <w:pPr>
              <w:spacing w:after="120" w:line="240" w:lineRule="auto"/>
              <w:jc w:val="center"/>
              <w:rPr>
                <w:rFonts w:cs="Arial"/>
                <w:sz w:val="20"/>
              </w:rPr>
            </w:pPr>
            <w:r w:rsidRPr="005E1202">
              <w:rPr>
                <w:rFonts w:cs="Arial"/>
                <w:sz w:val="20"/>
              </w:rPr>
              <w:t xml:space="preserve">Dabigatran </w:t>
            </w:r>
            <w:proofErr w:type="spellStart"/>
            <w:r w:rsidRPr="005E1202">
              <w:rPr>
                <w:rFonts w:cs="Arial"/>
                <w:sz w:val="20"/>
              </w:rPr>
              <w:t>etexilate</w:t>
            </w:r>
            <w:proofErr w:type="spellEnd"/>
            <w:r w:rsidRPr="005E1202">
              <w:rPr>
                <w:rFonts w:cs="Arial"/>
                <w:sz w:val="20"/>
              </w:rPr>
              <w:t xml:space="preserve"> 150 single </w:t>
            </w:r>
            <w:proofErr w:type="gramStart"/>
            <w:r w:rsidRPr="005E1202">
              <w:rPr>
                <w:rFonts w:cs="Arial"/>
                <w:sz w:val="20"/>
              </w:rPr>
              <w:t>dose</w:t>
            </w:r>
            <w:proofErr w:type="gramEnd"/>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6C05CC" w14:textId="77777777" w:rsidR="00493B75" w:rsidRPr="005E1202" w:rsidRDefault="00493B75" w:rsidP="00101A8A">
            <w:pPr>
              <w:spacing w:after="120" w:line="240" w:lineRule="auto"/>
              <w:jc w:val="center"/>
              <w:rPr>
                <w:rFonts w:cs="Arial"/>
                <w:sz w:val="20"/>
              </w:rPr>
            </w:pPr>
            <w:r w:rsidRPr="005E1202">
              <w:rPr>
                <w:rFonts w:cs="Arial"/>
                <w:sz w:val="20"/>
              </w:rPr>
              <w:t xml:space="preserve">300/120 </w:t>
            </w:r>
            <w:r w:rsidR="000074FA">
              <w:rPr>
                <w:rFonts w:cs="Arial"/>
                <w:sz w:val="20"/>
              </w:rPr>
              <w:t xml:space="preserve">   </w:t>
            </w:r>
            <w:r w:rsidRPr="005E1202">
              <w:rPr>
                <w:rFonts w:cs="Arial"/>
                <w:sz w:val="20"/>
              </w:rPr>
              <w:t>once daily</w:t>
            </w:r>
          </w:p>
        </w:tc>
        <w:tc>
          <w:tcPr>
            <w:tcW w:w="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272D84" w14:textId="7A73678F" w:rsidR="00493B75" w:rsidRPr="00904452" w:rsidRDefault="00493B75" w:rsidP="00101A8A">
            <w:pPr>
              <w:spacing w:after="120" w:line="240" w:lineRule="auto"/>
              <w:jc w:val="center"/>
              <w:rPr>
                <w:rFonts w:cs="Arial"/>
                <w:sz w:val="20"/>
              </w:rPr>
            </w:pPr>
            <w:r w:rsidRPr="00904452">
              <w:rPr>
                <w:rFonts w:cs="Arial"/>
                <w:sz w:val="20"/>
              </w:rPr>
              <w:t>1</w:t>
            </w:r>
            <w:r w:rsidR="00F86946" w:rsidRPr="00904452">
              <w:rPr>
                <w:rFonts w:cs="Arial"/>
                <w:sz w:val="20"/>
              </w:rPr>
              <w:t>1</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09E297" w14:textId="77777777" w:rsidR="00493B75" w:rsidRPr="005E1202" w:rsidRDefault="00493B75" w:rsidP="00101A8A">
            <w:pPr>
              <w:spacing w:after="120" w:line="240" w:lineRule="auto"/>
              <w:jc w:val="center"/>
              <w:rPr>
                <w:rFonts w:cs="Arial"/>
                <w:sz w:val="20"/>
              </w:rPr>
            </w:pPr>
            <w:r w:rsidRPr="005E1202">
              <w:rPr>
                <w:rFonts w:cs="Arial"/>
                <w:sz w:val="20"/>
              </w:rPr>
              <w:t xml:space="preserve">2.05 </w:t>
            </w:r>
            <w:proofErr w:type="gramStart"/>
            <w:r w:rsidRPr="005E1202">
              <w:rPr>
                <w:rFonts w:cs="Arial"/>
                <w:sz w:val="20"/>
              </w:rPr>
              <w:t xml:space="preserve">   (</w:t>
            </w:r>
            <w:proofErr w:type="gramEnd"/>
            <w:r w:rsidRPr="005E1202">
              <w:rPr>
                <w:rFonts w:cs="Arial"/>
                <w:sz w:val="20"/>
              </w:rPr>
              <w:t>1.72, 2.44)</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469931" w14:textId="77777777" w:rsidR="00493B75" w:rsidRPr="005E1202" w:rsidRDefault="00493B75" w:rsidP="00101A8A">
            <w:pPr>
              <w:spacing w:after="120" w:line="240" w:lineRule="auto"/>
              <w:jc w:val="center"/>
              <w:rPr>
                <w:rFonts w:cs="Arial"/>
                <w:sz w:val="20"/>
              </w:rPr>
            </w:pPr>
            <w:r w:rsidRPr="005E1202">
              <w:rPr>
                <w:rFonts w:cs="Arial"/>
                <w:sz w:val="20"/>
              </w:rPr>
              <w:t xml:space="preserve">2.38 </w:t>
            </w:r>
            <w:proofErr w:type="gramStart"/>
            <w:r w:rsidRPr="005E1202">
              <w:rPr>
                <w:rFonts w:cs="Arial"/>
                <w:sz w:val="20"/>
              </w:rPr>
              <w:t xml:space="preserve">   (</w:t>
            </w:r>
            <w:proofErr w:type="gramEnd"/>
            <w:r w:rsidRPr="005E1202">
              <w:rPr>
                <w:rFonts w:cs="Arial"/>
                <w:sz w:val="20"/>
              </w:rPr>
              <w:t>2.11, 2.70)</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76FBA93"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08741A37"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51FF3F" w14:textId="77777777" w:rsidR="00493B75" w:rsidRPr="005E1202" w:rsidRDefault="00493B75" w:rsidP="00101A8A">
            <w:pPr>
              <w:spacing w:after="120" w:line="240" w:lineRule="auto"/>
              <w:jc w:val="center"/>
              <w:rPr>
                <w:rFonts w:cs="Arial"/>
                <w:sz w:val="20"/>
              </w:rPr>
            </w:pPr>
            <w:r w:rsidRPr="005E1202">
              <w:rPr>
                <w:rFonts w:cs="Arial"/>
                <w:sz w:val="20"/>
              </w:rPr>
              <w:t>Pravastatin</w:t>
            </w:r>
          </w:p>
        </w:tc>
        <w:tc>
          <w:tcPr>
            <w:tcW w:w="9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4B9CC29" w14:textId="77777777" w:rsidR="00493B75" w:rsidRPr="005E1202" w:rsidRDefault="00493B75" w:rsidP="00101A8A">
            <w:pPr>
              <w:spacing w:after="120" w:line="240" w:lineRule="auto"/>
              <w:jc w:val="center"/>
              <w:rPr>
                <w:rFonts w:cs="Arial"/>
                <w:sz w:val="20"/>
              </w:rPr>
            </w:pPr>
            <w:r w:rsidRPr="005E1202">
              <w:rPr>
                <w:rFonts w:cs="Arial"/>
                <w:sz w:val="20"/>
              </w:rPr>
              <w:t>10 once daily</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DA042E" w14:textId="77777777" w:rsidR="00493B75" w:rsidRPr="005E1202" w:rsidRDefault="00493B75" w:rsidP="00101A8A">
            <w:pPr>
              <w:spacing w:after="120" w:line="240" w:lineRule="auto"/>
              <w:jc w:val="center"/>
              <w:rPr>
                <w:rFonts w:cs="Arial"/>
                <w:sz w:val="20"/>
              </w:rPr>
            </w:pPr>
            <w:r w:rsidRPr="005E1202">
              <w:rPr>
                <w:rFonts w:cs="Arial"/>
                <w:sz w:val="20"/>
              </w:rPr>
              <w:t>400/120</w:t>
            </w:r>
            <w:r w:rsidR="000074FA">
              <w:rPr>
                <w:rFonts w:cs="Arial"/>
                <w:sz w:val="20"/>
              </w:rPr>
              <w:t xml:space="preserve">   </w:t>
            </w:r>
            <w:r w:rsidRPr="005E1202">
              <w:rPr>
                <w:rFonts w:cs="Arial"/>
                <w:sz w:val="20"/>
              </w:rPr>
              <w:t xml:space="preserve"> once daily</w:t>
            </w:r>
          </w:p>
        </w:tc>
        <w:tc>
          <w:tcPr>
            <w:tcW w:w="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DF36E5" w14:textId="77777777" w:rsidR="00493B75" w:rsidRPr="00904452" w:rsidRDefault="00493B75" w:rsidP="00101A8A">
            <w:pPr>
              <w:spacing w:after="120" w:line="240" w:lineRule="auto"/>
              <w:jc w:val="center"/>
              <w:rPr>
                <w:rFonts w:cs="Arial"/>
                <w:sz w:val="20"/>
              </w:rPr>
            </w:pPr>
            <w:r w:rsidRPr="00904452">
              <w:rPr>
                <w:rFonts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49D566" w14:textId="77777777" w:rsidR="00493B75" w:rsidRPr="005E1202" w:rsidRDefault="00493B75" w:rsidP="00101A8A">
            <w:pPr>
              <w:spacing w:after="120" w:line="240" w:lineRule="auto"/>
              <w:jc w:val="center"/>
              <w:rPr>
                <w:rFonts w:eastAsia="SimSun" w:cs="Arial"/>
                <w:sz w:val="20"/>
              </w:rPr>
            </w:pPr>
            <w:r w:rsidRPr="005E1202">
              <w:rPr>
                <w:rFonts w:eastAsia="SimSun" w:cs="Arial"/>
                <w:sz w:val="20"/>
              </w:rPr>
              <w:t xml:space="preserve">2.23 </w:t>
            </w:r>
            <w:proofErr w:type="gramStart"/>
            <w:r w:rsidRPr="005E1202">
              <w:rPr>
                <w:rFonts w:eastAsia="SimSun" w:cs="Arial"/>
                <w:sz w:val="20"/>
              </w:rPr>
              <w:t xml:space="preserve">   (</w:t>
            </w:r>
            <w:proofErr w:type="gramEnd"/>
            <w:r w:rsidRPr="005E1202">
              <w:rPr>
                <w:rFonts w:eastAsia="SimSun" w:cs="Arial"/>
                <w:sz w:val="20"/>
              </w:rPr>
              <w:t>1.87, 2.65)</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58C543E" w14:textId="77777777" w:rsidR="00493B75" w:rsidRPr="005E1202" w:rsidRDefault="00493B75" w:rsidP="00101A8A">
            <w:pPr>
              <w:spacing w:after="120" w:line="240" w:lineRule="auto"/>
              <w:jc w:val="center"/>
              <w:rPr>
                <w:rFonts w:eastAsia="SimSun" w:cs="Arial"/>
                <w:sz w:val="20"/>
              </w:rPr>
            </w:pPr>
            <w:r w:rsidRPr="005E1202">
              <w:rPr>
                <w:rFonts w:eastAsia="SimSun" w:cs="Arial"/>
                <w:sz w:val="20"/>
              </w:rPr>
              <w:t xml:space="preserve">2.30 </w:t>
            </w:r>
            <w:proofErr w:type="gramStart"/>
            <w:r w:rsidRPr="005E1202">
              <w:rPr>
                <w:rFonts w:eastAsia="SimSun" w:cs="Arial"/>
                <w:sz w:val="20"/>
              </w:rPr>
              <w:t xml:space="preserve">   (</w:t>
            </w:r>
            <w:proofErr w:type="gramEnd"/>
            <w:r w:rsidRPr="005E1202">
              <w:rPr>
                <w:rFonts w:eastAsia="SimSun" w:cs="Arial"/>
                <w:sz w:val="20"/>
              </w:rPr>
              <w:t>1.91, 2.76)</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888C1D"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53DEA2DB"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1E761C" w14:textId="77777777" w:rsidR="00493B75" w:rsidRPr="005E1202" w:rsidRDefault="00493B75" w:rsidP="00101A8A">
            <w:pPr>
              <w:spacing w:after="120" w:line="240" w:lineRule="auto"/>
              <w:jc w:val="center"/>
              <w:rPr>
                <w:rFonts w:cs="Arial"/>
                <w:sz w:val="20"/>
              </w:rPr>
            </w:pPr>
            <w:r w:rsidRPr="005E1202">
              <w:rPr>
                <w:rFonts w:cs="Arial"/>
                <w:sz w:val="20"/>
              </w:rPr>
              <w:t>Rosuvastatin</w:t>
            </w:r>
          </w:p>
        </w:tc>
        <w:tc>
          <w:tcPr>
            <w:tcW w:w="9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A610F9" w14:textId="77777777" w:rsidR="00493B75" w:rsidRPr="005E1202" w:rsidRDefault="00493B75" w:rsidP="00101A8A">
            <w:pPr>
              <w:spacing w:after="120" w:line="240" w:lineRule="auto"/>
              <w:jc w:val="center"/>
              <w:rPr>
                <w:rFonts w:cs="Arial"/>
                <w:sz w:val="20"/>
              </w:rPr>
            </w:pPr>
            <w:r w:rsidRPr="005E1202">
              <w:rPr>
                <w:rFonts w:cs="Arial"/>
                <w:sz w:val="20"/>
              </w:rPr>
              <w:t>5 once daily</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DE60384" w14:textId="77777777" w:rsidR="00493B75" w:rsidRPr="005E1202" w:rsidRDefault="00493B75" w:rsidP="00101A8A">
            <w:pPr>
              <w:spacing w:after="120" w:line="240" w:lineRule="auto"/>
              <w:jc w:val="center"/>
              <w:rPr>
                <w:rFonts w:cs="Arial"/>
                <w:sz w:val="20"/>
              </w:rPr>
            </w:pPr>
            <w:r w:rsidRPr="005E1202">
              <w:rPr>
                <w:rFonts w:cs="Arial"/>
                <w:sz w:val="20"/>
              </w:rPr>
              <w:t xml:space="preserve">400/120 </w:t>
            </w:r>
            <w:r w:rsidR="000074FA">
              <w:rPr>
                <w:rFonts w:cs="Arial"/>
                <w:sz w:val="20"/>
              </w:rPr>
              <w:t xml:space="preserve">   </w:t>
            </w:r>
            <w:r w:rsidRPr="005E1202">
              <w:rPr>
                <w:rFonts w:cs="Arial"/>
                <w:sz w:val="20"/>
              </w:rPr>
              <w:t>once daily</w:t>
            </w:r>
          </w:p>
        </w:tc>
        <w:tc>
          <w:tcPr>
            <w:tcW w:w="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19760" w14:textId="3858DDA6" w:rsidR="00493B75" w:rsidRPr="00904452" w:rsidRDefault="00493B75" w:rsidP="00101A8A">
            <w:pPr>
              <w:spacing w:after="120" w:line="240" w:lineRule="auto"/>
              <w:jc w:val="center"/>
              <w:rPr>
                <w:rFonts w:cs="Arial"/>
                <w:sz w:val="20"/>
              </w:rPr>
            </w:pPr>
            <w:r w:rsidRPr="00904452">
              <w:rPr>
                <w:rFonts w:cs="Arial"/>
                <w:sz w:val="20"/>
              </w:rPr>
              <w:t>1</w:t>
            </w:r>
            <w:r w:rsidR="00F86946" w:rsidRPr="00904452">
              <w:rPr>
                <w:rFonts w:cs="Arial"/>
                <w:sz w:val="20"/>
              </w:rPr>
              <w:t>1</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B90F19" w14:textId="77777777" w:rsidR="00493B75" w:rsidRPr="005E1202" w:rsidRDefault="00493B75" w:rsidP="00101A8A">
            <w:pPr>
              <w:spacing w:after="120" w:line="240" w:lineRule="auto"/>
              <w:jc w:val="center"/>
              <w:rPr>
                <w:rFonts w:eastAsia="SimSun" w:cs="Arial"/>
                <w:sz w:val="20"/>
              </w:rPr>
            </w:pPr>
            <w:r w:rsidRPr="005E1202">
              <w:rPr>
                <w:rFonts w:eastAsia="SimSun" w:cs="Arial"/>
                <w:sz w:val="20"/>
              </w:rPr>
              <w:t xml:space="preserve">5.62 </w:t>
            </w:r>
            <w:proofErr w:type="gramStart"/>
            <w:r w:rsidRPr="005E1202">
              <w:rPr>
                <w:rFonts w:eastAsia="SimSun" w:cs="Arial"/>
                <w:sz w:val="20"/>
              </w:rPr>
              <w:t xml:space="preserve">   (</w:t>
            </w:r>
            <w:proofErr w:type="gramEnd"/>
            <w:r w:rsidRPr="005E1202">
              <w:rPr>
                <w:rFonts w:eastAsia="SimSun" w:cs="Arial"/>
                <w:sz w:val="20"/>
              </w:rPr>
              <w:t>4.80, 6.59)</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50807" w14:textId="77777777" w:rsidR="00493B75" w:rsidRPr="005E1202" w:rsidRDefault="00493B75" w:rsidP="00101A8A">
            <w:pPr>
              <w:spacing w:after="120" w:line="240" w:lineRule="auto"/>
              <w:jc w:val="center"/>
              <w:rPr>
                <w:rFonts w:eastAsia="SimSun" w:cs="Arial"/>
                <w:sz w:val="20"/>
              </w:rPr>
            </w:pPr>
            <w:r w:rsidRPr="005E1202">
              <w:rPr>
                <w:rFonts w:eastAsia="SimSun" w:cs="Arial"/>
                <w:sz w:val="20"/>
              </w:rPr>
              <w:t xml:space="preserve">2.15 </w:t>
            </w:r>
            <w:proofErr w:type="gramStart"/>
            <w:r w:rsidRPr="005E1202">
              <w:rPr>
                <w:rFonts w:eastAsia="SimSun" w:cs="Arial"/>
                <w:sz w:val="20"/>
              </w:rPr>
              <w:t xml:space="preserve">   (</w:t>
            </w:r>
            <w:proofErr w:type="gramEnd"/>
            <w:r w:rsidRPr="005E1202">
              <w:rPr>
                <w:rFonts w:eastAsia="SimSun" w:cs="Arial"/>
                <w:sz w:val="20"/>
              </w:rPr>
              <w:t>1.88, 2.46)</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91B522"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10381E51"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1A8CAB" w14:textId="77777777" w:rsidR="00493B75" w:rsidRPr="005E1202" w:rsidRDefault="00493B75" w:rsidP="00101A8A">
            <w:pPr>
              <w:spacing w:after="120" w:line="240" w:lineRule="auto"/>
              <w:jc w:val="center"/>
              <w:rPr>
                <w:rFonts w:cs="Arial"/>
                <w:sz w:val="20"/>
              </w:rPr>
            </w:pPr>
            <w:r w:rsidRPr="005E1202">
              <w:rPr>
                <w:rFonts w:cs="Arial"/>
                <w:sz w:val="20"/>
              </w:rPr>
              <w:t>Atorvastatin</w:t>
            </w:r>
          </w:p>
        </w:tc>
        <w:tc>
          <w:tcPr>
            <w:tcW w:w="931"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933F2E" w14:textId="77777777" w:rsidR="00493B75" w:rsidRPr="005E1202" w:rsidRDefault="00493B75" w:rsidP="00101A8A">
            <w:pPr>
              <w:spacing w:after="120" w:line="240" w:lineRule="auto"/>
              <w:jc w:val="center"/>
              <w:rPr>
                <w:rFonts w:cs="Arial"/>
                <w:sz w:val="20"/>
              </w:rPr>
            </w:pPr>
            <w:r w:rsidRPr="005E1202">
              <w:rPr>
                <w:rFonts w:cs="Arial"/>
                <w:sz w:val="20"/>
              </w:rPr>
              <w:t>10 once daily</w:t>
            </w:r>
          </w:p>
        </w:tc>
        <w:tc>
          <w:tcPr>
            <w:tcW w:w="78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EBB75B" w14:textId="77777777" w:rsidR="00493B75" w:rsidRPr="005E1202" w:rsidRDefault="00493B75" w:rsidP="00101A8A">
            <w:pPr>
              <w:spacing w:after="120" w:line="240" w:lineRule="auto"/>
              <w:jc w:val="center"/>
              <w:rPr>
                <w:rFonts w:cs="Arial"/>
                <w:sz w:val="20"/>
              </w:rPr>
            </w:pPr>
            <w:r w:rsidRPr="005E1202">
              <w:rPr>
                <w:rFonts w:cs="Arial"/>
                <w:sz w:val="20"/>
              </w:rPr>
              <w:t xml:space="preserve">400/120 </w:t>
            </w:r>
            <w:r w:rsidR="000074FA">
              <w:rPr>
                <w:rFonts w:cs="Arial"/>
                <w:sz w:val="20"/>
              </w:rPr>
              <w:t xml:space="preserve">   </w:t>
            </w:r>
            <w:r w:rsidRPr="005E1202">
              <w:rPr>
                <w:rFonts w:cs="Arial"/>
                <w:sz w:val="20"/>
              </w:rPr>
              <w:t>once daily</w:t>
            </w:r>
          </w:p>
        </w:tc>
        <w:tc>
          <w:tcPr>
            <w:tcW w:w="43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E5EA43" w14:textId="77777777" w:rsidR="00493B75" w:rsidRPr="00904452" w:rsidRDefault="00493B75" w:rsidP="00101A8A">
            <w:pPr>
              <w:spacing w:after="120" w:line="240" w:lineRule="auto"/>
              <w:jc w:val="center"/>
              <w:rPr>
                <w:rFonts w:cs="Arial"/>
                <w:sz w:val="20"/>
              </w:rPr>
            </w:pPr>
            <w:r w:rsidRPr="00904452">
              <w:rPr>
                <w:rFonts w:cs="Arial"/>
                <w:sz w:val="20"/>
              </w:rPr>
              <w:t>11</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58DBC4" w14:textId="77777777" w:rsidR="00493B75" w:rsidRPr="005E1202" w:rsidRDefault="00493B75" w:rsidP="00101A8A">
            <w:pPr>
              <w:spacing w:after="120" w:line="240" w:lineRule="auto"/>
              <w:jc w:val="center"/>
              <w:rPr>
                <w:rFonts w:eastAsia="SimSun" w:cs="Arial"/>
                <w:sz w:val="20"/>
              </w:rPr>
            </w:pPr>
            <w:r w:rsidRPr="005E1202">
              <w:rPr>
                <w:rFonts w:eastAsia="SimSun" w:cs="Arial"/>
                <w:sz w:val="20"/>
              </w:rPr>
              <w:t>22.0</w:t>
            </w:r>
            <w:proofErr w:type="gramStart"/>
            <w:r w:rsidRPr="005E1202">
              <w:rPr>
                <w:rFonts w:eastAsia="SimSun" w:cs="Arial"/>
                <w:sz w:val="20"/>
              </w:rPr>
              <w:t xml:space="preserve">   (</w:t>
            </w:r>
            <w:proofErr w:type="gramEnd"/>
            <w:r w:rsidRPr="005E1202">
              <w:rPr>
                <w:rFonts w:eastAsia="SimSun" w:cs="Arial"/>
                <w:sz w:val="20"/>
              </w:rPr>
              <w:t>16.4, 29.6)</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F3B65C" w14:textId="77777777" w:rsidR="00493B75" w:rsidRPr="005E1202" w:rsidRDefault="00493B75" w:rsidP="00101A8A">
            <w:pPr>
              <w:spacing w:after="120" w:line="240" w:lineRule="auto"/>
              <w:jc w:val="center"/>
              <w:rPr>
                <w:rFonts w:eastAsia="SimSun" w:cs="Arial"/>
                <w:sz w:val="20"/>
              </w:rPr>
            </w:pPr>
            <w:r w:rsidRPr="005E1202">
              <w:rPr>
                <w:rFonts w:eastAsia="SimSun" w:cs="Arial"/>
                <w:sz w:val="20"/>
              </w:rPr>
              <w:t>8.28</w:t>
            </w:r>
            <w:proofErr w:type="gramStart"/>
            <w:r w:rsidRPr="005E1202">
              <w:rPr>
                <w:rFonts w:eastAsia="SimSun" w:cs="Arial"/>
                <w:sz w:val="20"/>
              </w:rPr>
              <w:t xml:space="preserve">   (</w:t>
            </w:r>
            <w:proofErr w:type="gramEnd"/>
            <w:r w:rsidRPr="005E1202">
              <w:rPr>
                <w:rFonts w:eastAsia="SimSun" w:cs="Arial"/>
                <w:sz w:val="20"/>
              </w:rPr>
              <w:t>6.06, 11.3)</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A7BE30"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64C467D2"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EFCC09" w14:textId="77777777" w:rsidR="00493B75" w:rsidRPr="005E1202" w:rsidRDefault="00493B75" w:rsidP="00101A8A">
            <w:pPr>
              <w:spacing w:after="120" w:line="240" w:lineRule="auto"/>
              <w:jc w:val="center"/>
              <w:rPr>
                <w:rFonts w:cs="Arial"/>
                <w:sz w:val="20"/>
              </w:rPr>
            </w:pPr>
            <w:r w:rsidRPr="005E1202">
              <w:rPr>
                <w:rFonts w:cs="Arial"/>
                <w:sz w:val="20"/>
              </w:rPr>
              <w:t>Lovastatin</w:t>
            </w:r>
          </w:p>
        </w:tc>
        <w:tc>
          <w:tcPr>
            <w:tcW w:w="93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1736178" w14:textId="77777777" w:rsidR="00493B75" w:rsidRPr="005E1202" w:rsidRDefault="00493B75" w:rsidP="00101A8A">
            <w:pPr>
              <w:spacing w:after="120" w:line="240" w:lineRule="auto"/>
              <w:jc w:val="center"/>
              <w:rPr>
                <w:rFonts w:cs="Arial"/>
                <w:sz w:val="20"/>
              </w:rPr>
            </w:pPr>
            <w:r w:rsidRPr="005E1202">
              <w:rPr>
                <w:rFonts w:cs="Arial"/>
                <w:sz w:val="20"/>
              </w:rPr>
              <w:t>Lovastatin 10 once daily</w:t>
            </w:r>
          </w:p>
        </w:tc>
        <w:tc>
          <w:tcPr>
            <w:tcW w:w="786"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326EF729" w14:textId="77777777" w:rsidR="00493B75" w:rsidRPr="005E1202" w:rsidRDefault="00493B75" w:rsidP="00101A8A">
            <w:pPr>
              <w:spacing w:after="120" w:line="240" w:lineRule="auto"/>
              <w:jc w:val="center"/>
              <w:rPr>
                <w:rFonts w:cs="Arial"/>
                <w:sz w:val="20"/>
              </w:rPr>
            </w:pPr>
            <w:r w:rsidRPr="005E1202">
              <w:rPr>
                <w:rFonts w:cs="Arial"/>
                <w:sz w:val="20"/>
              </w:rPr>
              <w:t xml:space="preserve">300/120 </w:t>
            </w:r>
            <w:r w:rsidR="000074FA">
              <w:rPr>
                <w:rFonts w:cs="Arial"/>
                <w:sz w:val="20"/>
              </w:rPr>
              <w:t xml:space="preserve">   </w:t>
            </w:r>
            <w:r w:rsidRPr="005E1202">
              <w:rPr>
                <w:rFonts w:cs="Arial"/>
                <w:sz w:val="20"/>
              </w:rPr>
              <w:t>once daily</w:t>
            </w:r>
          </w:p>
        </w:tc>
        <w:tc>
          <w:tcPr>
            <w:tcW w:w="43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60CAD12" w14:textId="77777777" w:rsidR="00493B75" w:rsidRPr="005E1202" w:rsidRDefault="00493B75" w:rsidP="00101A8A">
            <w:pPr>
              <w:spacing w:after="120" w:line="240" w:lineRule="auto"/>
              <w:jc w:val="center"/>
              <w:rPr>
                <w:rFonts w:cs="Arial"/>
                <w:sz w:val="20"/>
              </w:rPr>
            </w:pPr>
            <w:r w:rsidRPr="005E1202">
              <w:rPr>
                <w:rFonts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5868D4" w14:textId="77777777" w:rsidR="00493B75" w:rsidRPr="005E1202" w:rsidRDefault="00493B75" w:rsidP="00101A8A">
            <w:pPr>
              <w:spacing w:after="120" w:line="240" w:lineRule="auto"/>
              <w:jc w:val="center"/>
              <w:rPr>
                <w:rFonts w:eastAsia="SimSun" w:cs="Arial"/>
                <w:sz w:val="20"/>
              </w:rPr>
            </w:pPr>
            <w:r w:rsidRPr="005E1202">
              <w:rPr>
                <w:rFonts w:eastAsia="Calibri" w:cs="Arial"/>
                <w:sz w:val="20"/>
              </w:rPr>
              <w:t>↔</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DBA45F6" w14:textId="77777777" w:rsidR="00493B75" w:rsidRPr="005E1202" w:rsidRDefault="00493B75" w:rsidP="00101A8A">
            <w:pPr>
              <w:spacing w:after="120" w:line="240" w:lineRule="auto"/>
              <w:jc w:val="center"/>
              <w:rPr>
                <w:rFonts w:cs="Arial"/>
                <w:sz w:val="20"/>
              </w:rPr>
            </w:pPr>
            <w:r w:rsidRPr="005E1202">
              <w:rPr>
                <w:rFonts w:cs="Arial"/>
                <w:sz w:val="20"/>
              </w:rPr>
              <w:t xml:space="preserve">1.70  </w:t>
            </w:r>
            <w:proofErr w:type="gramStart"/>
            <w:r w:rsidRPr="005E1202">
              <w:rPr>
                <w:rFonts w:cs="Arial"/>
                <w:sz w:val="20"/>
              </w:rPr>
              <w:t xml:space="preserve">   (</w:t>
            </w:r>
            <w:proofErr w:type="gramEnd"/>
            <w:r w:rsidRPr="005E1202">
              <w:rPr>
                <w:rFonts w:cs="Arial"/>
                <w:sz w:val="20"/>
              </w:rPr>
              <w:t>1.40, 2.06)</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1ACA00"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29D313D0"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DCFCD03" w14:textId="77777777" w:rsidR="00493B75" w:rsidRPr="005E1202" w:rsidRDefault="00493B75" w:rsidP="00101A8A">
            <w:pPr>
              <w:spacing w:after="120" w:line="240" w:lineRule="auto"/>
              <w:jc w:val="center"/>
              <w:rPr>
                <w:rFonts w:cs="Arial"/>
                <w:sz w:val="20"/>
              </w:rPr>
            </w:pPr>
            <w:r w:rsidRPr="005E1202">
              <w:rPr>
                <w:rFonts w:cs="Arial"/>
                <w:sz w:val="20"/>
              </w:rPr>
              <w:t>Lovastatin metabolite, lovastatin acid</w:t>
            </w:r>
          </w:p>
        </w:tc>
        <w:tc>
          <w:tcPr>
            <w:tcW w:w="931"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07F8D13F" w14:textId="77777777" w:rsidR="00493B75" w:rsidRPr="005E1202" w:rsidRDefault="00493B75" w:rsidP="00101A8A">
            <w:pPr>
              <w:spacing w:after="120" w:line="240" w:lineRule="auto"/>
              <w:jc w:val="center"/>
              <w:rPr>
                <w:rFonts w:cs="Arial"/>
                <w:sz w:val="20"/>
              </w:rPr>
            </w:pPr>
          </w:p>
        </w:tc>
        <w:tc>
          <w:tcPr>
            <w:tcW w:w="786"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F80199A" w14:textId="77777777" w:rsidR="00493B75" w:rsidRPr="005E1202" w:rsidRDefault="00493B75" w:rsidP="00101A8A">
            <w:pPr>
              <w:spacing w:after="120" w:line="240" w:lineRule="auto"/>
              <w:jc w:val="center"/>
              <w:rPr>
                <w:rFonts w:cs="Arial"/>
                <w:sz w:val="20"/>
              </w:rPr>
            </w:pPr>
          </w:p>
        </w:tc>
        <w:tc>
          <w:tcPr>
            <w:tcW w:w="43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2063203C" w14:textId="77777777" w:rsidR="00493B75" w:rsidRPr="005E1202" w:rsidRDefault="00493B75" w:rsidP="00101A8A">
            <w:pPr>
              <w:spacing w:after="120" w:line="240" w:lineRule="auto"/>
              <w:jc w:val="center"/>
              <w:rPr>
                <w:rFonts w:cs="Arial"/>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D857DF" w14:textId="77777777" w:rsidR="00493B75" w:rsidRPr="005E1202" w:rsidRDefault="00493B75" w:rsidP="00101A8A">
            <w:pPr>
              <w:spacing w:after="120" w:line="240" w:lineRule="auto"/>
              <w:jc w:val="center"/>
              <w:rPr>
                <w:rFonts w:cs="Arial"/>
                <w:sz w:val="20"/>
              </w:rPr>
            </w:pPr>
            <w:r w:rsidRPr="005E1202">
              <w:rPr>
                <w:rFonts w:cs="Arial"/>
                <w:sz w:val="20"/>
              </w:rPr>
              <w:t xml:space="preserve">5.73 </w:t>
            </w:r>
            <w:proofErr w:type="gramStart"/>
            <w:r w:rsidRPr="005E1202">
              <w:rPr>
                <w:rFonts w:cs="Arial"/>
                <w:sz w:val="20"/>
              </w:rPr>
              <w:t xml:space="preserve">   (</w:t>
            </w:r>
            <w:proofErr w:type="gramEnd"/>
            <w:r w:rsidRPr="005E1202">
              <w:rPr>
                <w:rFonts w:cs="Arial"/>
                <w:sz w:val="20"/>
              </w:rPr>
              <w:t>4.65, 7.07)</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AFB0B9" w14:textId="77777777" w:rsidR="00493B75" w:rsidRPr="005E1202" w:rsidRDefault="00493B75" w:rsidP="00101A8A">
            <w:pPr>
              <w:spacing w:after="120" w:line="240" w:lineRule="auto"/>
              <w:jc w:val="center"/>
              <w:rPr>
                <w:rFonts w:cs="Arial"/>
                <w:sz w:val="20"/>
              </w:rPr>
            </w:pPr>
            <w:r w:rsidRPr="005E1202">
              <w:rPr>
                <w:rFonts w:cs="Arial"/>
                <w:sz w:val="20"/>
              </w:rPr>
              <w:t xml:space="preserve">4.10 </w:t>
            </w:r>
            <w:proofErr w:type="gramStart"/>
            <w:r w:rsidRPr="005E1202">
              <w:rPr>
                <w:rFonts w:cs="Arial"/>
                <w:sz w:val="20"/>
              </w:rPr>
              <w:t xml:space="preserve">   (</w:t>
            </w:r>
            <w:proofErr w:type="gramEnd"/>
            <w:r w:rsidRPr="005E1202">
              <w:rPr>
                <w:rFonts w:cs="Arial"/>
                <w:sz w:val="20"/>
              </w:rPr>
              <w:t>3.45, 4.87)</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1B7137"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03885864" w14:textId="77777777" w:rsidTr="00493B75">
        <w:trPr>
          <w:cantSplit/>
          <w:trHeight w:val="575"/>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ABDB52" w14:textId="77777777" w:rsidR="00493B75" w:rsidRPr="005E1202" w:rsidRDefault="00493B75" w:rsidP="00101A8A">
            <w:pPr>
              <w:spacing w:after="120" w:line="240" w:lineRule="auto"/>
              <w:jc w:val="center"/>
              <w:rPr>
                <w:rFonts w:cs="Arial"/>
                <w:sz w:val="20"/>
              </w:rPr>
            </w:pPr>
            <w:r w:rsidRPr="005E1202">
              <w:rPr>
                <w:rFonts w:cs="Arial"/>
                <w:sz w:val="20"/>
              </w:rPr>
              <w:t>Simvastatin</w:t>
            </w:r>
          </w:p>
        </w:tc>
        <w:tc>
          <w:tcPr>
            <w:tcW w:w="931"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9099A93" w14:textId="77777777" w:rsidR="00493B75" w:rsidRPr="005E1202" w:rsidRDefault="00493B75" w:rsidP="00101A8A">
            <w:pPr>
              <w:spacing w:after="120" w:line="240" w:lineRule="auto"/>
              <w:jc w:val="center"/>
              <w:rPr>
                <w:rFonts w:cs="Arial"/>
                <w:sz w:val="20"/>
              </w:rPr>
            </w:pPr>
            <w:r w:rsidRPr="005E1202">
              <w:rPr>
                <w:rFonts w:cs="Arial"/>
                <w:sz w:val="20"/>
              </w:rPr>
              <w:t>Simvastatin 5 once daily</w:t>
            </w:r>
          </w:p>
        </w:tc>
        <w:tc>
          <w:tcPr>
            <w:tcW w:w="786"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7BE5AC" w14:textId="77777777" w:rsidR="00493B75" w:rsidRPr="005E1202" w:rsidRDefault="00493B75" w:rsidP="00101A8A">
            <w:pPr>
              <w:spacing w:after="120" w:line="240" w:lineRule="auto"/>
              <w:jc w:val="center"/>
              <w:rPr>
                <w:rFonts w:cs="Arial"/>
                <w:sz w:val="20"/>
              </w:rPr>
            </w:pPr>
            <w:r w:rsidRPr="005E1202">
              <w:rPr>
                <w:rFonts w:cs="Arial"/>
                <w:sz w:val="20"/>
              </w:rPr>
              <w:t xml:space="preserve">300/120 </w:t>
            </w:r>
            <w:r w:rsidR="000074FA">
              <w:rPr>
                <w:rFonts w:cs="Arial"/>
                <w:sz w:val="20"/>
              </w:rPr>
              <w:t xml:space="preserve">   </w:t>
            </w:r>
            <w:r w:rsidRPr="005E1202">
              <w:rPr>
                <w:rFonts w:cs="Arial"/>
                <w:sz w:val="20"/>
              </w:rPr>
              <w:t>once daily</w:t>
            </w:r>
          </w:p>
        </w:tc>
        <w:tc>
          <w:tcPr>
            <w:tcW w:w="430"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6E362" w14:textId="77777777" w:rsidR="00493B75" w:rsidRPr="005E1202" w:rsidRDefault="00493B75" w:rsidP="00101A8A">
            <w:pPr>
              <w:spacing w:after="120" w:line="240" w:lineRule="auto"/>
              <w:jc w:val="center"/>
              <w:rPr>
                <w:rFonts w:cs="Arial"/>
                <w:sz w:val="20"/>
              </w:rPr>
            </w:pPr>
            <w:r w:rsidRPr="005E1202">
              <w:rPr>
                <w:rFonts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AEDEFA8" w14:textId="77777777" w:rsidR="00493B75" w:rsidRPr="005E1202" w:rsidRDefault="00493B75" w:rsidP="00101A8A">
            <w:pPr>
              <w:spacing w:after="120" w:line="240" w:lineRule="auto"/>
              <w:jc w:val="center"/>
              <w:rPr>
                <w:rFonts w:cs="Arial"/>
                <w:sz w:val="20"/>
              </w:rPr>
            </w:pPr>
            <w:r w:rsidRPr="005E1202">
              <w:rPr>
                <w:rFonts w:cs="Arial"/>
                <w:sz w:val="20"/>
              </w:rPr>
              <w:t xml:space="preserve">1.99 </w:t>
            </w:r>
            <w:proofErr w:type="gramStart"/>
            <w:r w:rsidRPr="005E1202">
              <w:rPr>
                <w:rFonts w:cs="Arial"/>
                <w:sz w:val="20"/>
              </w:rPr>
              <w:t xml:space="preserve">   (</w:t>
            </w:r>
            <w:proofErr w:type="gramEnd"/>
            <w:r w:rsidRPr="005E1202">
              <w:rPr>
                <w:rFonts w:cs="Arial"/>
                <w:sz w:val="20"/>
              </w:rPr>
              <w:t>1.60, 2.48)</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0FDDB2" w14:textId="77777777" w:rsidR="00493B75" w:rsidRPr="005E1202" w:rsidRDefault="00493B75" w:rsidP="00101A8A">
            <w:pPr>
              <w:spacing w:after="120" w:line="240" w:lineRule="auto"/>
              <w:jc w:val="center"/>
              <w:rPr>
                <w:rFonts w:cs="Arial"/>
                <w:sz w:val="20"/>
              </w:rPr>
            </w:pPr>
            <w:r w:rsidRPr="005E1202">
              <w:rPr>
                <w:rFonts w:cs="Arial"/>
                <w:sz w:val="20"/>
              </w:rPr>
              <w:t xml:space="preserve">2.32 </w:t>
            </w:r>
            <w:proofErr w:type="gramStart"/>
            <w:r w:rsidRPr="005E1202">
              <w:rPr>
                <w:rFonts w:cs="Arial"/>
                <w:sz w:val="20"/>
              </w:rPr>
              <w:t xml:space="preserve">   (</w:t>
            </w:r>
            <w:proofErr w:type="gramEnd"/>
            <w:r w:rsidRPr="005E1202">
              <w:rPr>
                <w:rFonts w:cs="Arial"/>
                <w:sz w:val="20"/>
              </w:rPr>
              <w:t>1.93, 2.79)</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CB8AB16"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30950F9E"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0B3AF4D" w14:textId="77777777" w:rsidR="00493B75" w:rsidRPr="005E1202" w:rsidRDefault="00493B75" w:rsidP="00101A8A">
            <w:pPr>
              <w:spacing w:after="120" w:line="240" w:lineRule="auto"/>
              <w:jc w:val="center"/>
              <w:rPr>
                <w:rFonts w:cs="Arial"/>
                <w:sz w:val="20"/>
              </w:rPr>
            </w:pPr>
            <w:r w:rsidRPr="005E1202">
              <w:rPr>
                <w:rFonts w:cs="Arial"/>
                <w:sz w:val="20"/>
              </w:rPr>
              <w:t>Simvastatin metabolite, simvastatin acid</w:t>
            </w:r>
          </w:p>
        </w:tc>
        <w:tc>
          <w:tcPr>
            <w:tcW w:w="931"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858CE94" w14:textId="77777777" w:rsidR="00493B75" w:rsidRPr="005E1202" w:rsidRDefault="00493B75" w:rsidP="00101A8A">
            <w:pPr>
              <w:spacing w:after="120" w:line="240" w:lineRule="auto"/>
              <w:jc w:val="center"/>
              <w:rPr>
                <w:rFonts w:cs="Arial"/>
                <w:sz w:val="20"/>
              </w:rPr>
            </w:pPr>
          </w:p>
        </w:tc>
        <w:tc>
          <w:tcPr>
            <w:tcW w:w="786"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F9C0AE" w14:textId="77777777" w:rsidR="00493B75" w:rsidRPr="005E1202" w:rsidRDefault="00493B75" w:rsidP="00101A8A">
            <w:pPr>
              <w:spacing w:after="120" w:line="240" w:lineRule="auto"/>
              <w:jc w:val="center"/>
              <w:rPr>
                <w:rFonts w:cs="Arial"/>
                <w:sz w:val="20"/>
              </w:rPr>
            </w:pPr>
          </w:p>
        </w:tc>
        <w:tc>
          <w:tcPr>
            <w:tcW w:w="430" w:type="pct"/>
            <w:vMerge/>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561C6E7" w14:textId="77777777" w:rsidR="00493B75" w:rsidRPr="005E1202" w:rsidRDefault="00493B75" w:rsidP="00101A8A">
            <w:pPr>
              <w:spacing w:after="120" w:line="240" w:lineRule="auto"/>
              <w:jc w:val="center"/>
              <w:rPr>
                <w:rFonts w:cs="Arial"/>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1850C6" w14:textId="77777777" w:rsidR="00493B75" w:rsidRPr="005E1202" w:rsidRDefault="00493B75" w:rsidP="00101A8A">
            <w:pPr>
              <w:spacing w:after="120" w:line="240" w:lineRule="auto"/>
              <w:jc w:val="center"/>
              <w:rPr>
                <w:rFonts w:cs="Arial"/>
                <w:sz w:val="20"/>
              </w:rPr>
            </w:pPr>
            <w:r w:rsidRPr="005E1202">
              <w:rPr>
                <w:rFonts w:cs="Arial"/>
                <w:sz w:val="20"/>
              </w:rPr>
              <w:t xml:space="preserve">10.7 </w:t>
            </w:r>
            <w:proofErr w:type="gramStart"/>
            <w:r w:rsidRPr="005E1202">
              <w:rPr>
                <w:rFonts w:cs="Arial"/>
                <w:sz w:val="20"/>
              </w:rPr>
              <w:t xml:space="preserve">   (</w:t>
            </w:r>
            <w:proofErr w:type="gramEnd"/>
            <w:r w:rsidRPr="005E1202">
              <w:rPr>
                <w:rFonts w:cs="Arial"/>
                <w:sz w:val="20"/>
              </w:rPr>
              <w:t>7.88, 14.6)</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DFB95C" w14:textId="77777777" w:rsidR="00493B75" w:rsidRPr="005E1202" w:rsidRDefault="00493B75" w:rsidP="00101A8A">
            <w:pPr>
              <w:spacing w:after="120" w:line="240" w:lineRule="auto"/>
              <w:jc w:val="center"/>
              <w:rPr>
                <w:rFonts w:cs="Arial"/>
                <w:sz w:val="20"/>
              </w:rPr>
            </w:pPr>
            <w:r w:rsidRPr="005E1202">
              <w:rPr>
                <w:rFonts w:cs="Arial"/>
                <w:sz w:val="20"/>
              </w:rPr>
              <w:t xml:space="preserve">4.48 </w:t>
            </w:r>
            <w:proofErr w:type="gramStart"/>
            <w:r w:rsidRPr="005E1202">
              <w:rPr>
                <w:rFonts w:cs="Arial"/>
                <w:sz w:val="20"/>
              </w:rPr>
              <w:t xml:space="preserve">   (</w:t>
            </w:r>
            <w:proofErr w:type="gramEnd"/>
            <w:r w:rsidRPr="005E1202">
              <w:rPr>
                <w:rFonts w:cs="Arial"/>
                <w:sz w:val="20"/>
              </w:rPr>
              <w:t>3.11, 6.46)</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FD6DACF" w14:textId="77777777" w:rsidR="00493B75" w:rsidRPr="005E1202" w:rsidRDefault="00493B75" w:rsidP="00101A8A">
            <w:pPr>
              <w:spacing w:after="120" w:line="240" w:lineRule="auto"/>
              <w:jc w:val="center"/>
              <w:rPr>
                <w:rFonts w:cs="Arial"/>
                <w:sz w:val="20"/>
              </w:rPr>
            </w:pPr>
            <w:r w:rsidRPr="005E1202">
              <w:rPr>
                <w:rFonts w:cs="Arial"/>
                <w:sz w:val="20"/>
              </w:rPr>
              <w:t>--</w:t>
            </w:r>
          </w:p>
        </w:tc>
      </w:tr>
      <w:tr w:rsidR="00493B75" w:rsidRPr="005E1202" w14:paraId="5430D9FD"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84E0C3" w14:textId="77777777" w:rsidR="00493B75" w:rsidRPr="005E1202" w:rsidRDefault="00493B75" w:rsidP="00101A8A">
            <w:pPr>
              <w:spacing w:after="120" w:line="240" w:lineRule="auto"/>
              <w:jc w:val="center"/>
              <w:rPr>
                <w:rFonts w:cs="Arial"/>
                <w:sz w:val="20"/>
              </w:rPr>
            </w:pPr>
            <w:proofErr w:type="spellStart"/>
            <w:r w:rsidRPr="005E1202">
              <w:rPr>
                <w:rFonts w:cs="Arial"/>
                <w:sz w:val="20"/>
              </w:rPr>
              <w:t>Ethinyloestradiol</w:t>
            </w:r>
            <w:proofErr w:type="spellEnd"/>
            <w:r w:rsidRPr="005E1202">
              <w:rPr>
                <w:rFonts w:cs="Arial"/>
                <w:sz w:val="20"/>
              </w:rPr>
              <w:t xml:space="preserve"> (EE)</w:t>
            </w:r>
          </w:p>
        </w:tc>
        <w:tc>
          <w:tcPr>
            <w:tcW w:w="93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41AF73CE" w14:textId="77777777" w:rsidR="00493B75" w:rsidRPr="005E1202" w:rsidRDefault="00493B75" w:rsidP="00101A8A">
            <w:pPr>
              <w:spacing w:after="120" w:line="240" w:lineRule="auto"/>
              <w:jc w:val="center"/>
              <w:rPr>
                <w:rFonts w:cs="Arial"/>
                <w:sz w:val="20"/>
              </w:rPr>
            </w:pPr>
            <w:r w:rsidRPr="005E1202">
              <w:rPr>
                <w:rFonts w:cs="Arial"/>
                <w:sz w:val="20"/>
              </w:rPr>
              <w:t xml:space="preserve">EE / </w:t>
            </w:r>
            <w:proofErr w:type="spellStart"/>
            <w:r w:rsidRPr="005E1202">
              <w:rPr>
                <w:rFonts w:cs="Arial"/>
                <w:sz w:val="20"/>
              </w:rPr>
              <w:t>Norgestimate</w:t>
            </w:r>
            <w:proofErr w:type="spellEnd"/>
            <w:r w:rsidRPr="005E1202">
              <w:rPr>
                <w:rFonts w:cs="Arial"/>
                <w:sz w:val="20"/>
              </w:rPr>
              <w:t xml:space="preserve"> 35 µg / </w:t>
            </w:r>
            <w:r w:rsidRPr="005E1202">
              <w:rPr>
                <w:rFonts w:cs="Arial"/>
                <w:sz w:val="20"/>
              </w:rPr>
              <w:br/>
            </w:r>
            <w:r w:rsidRPr="005E1202">
              <w:rPr>
                <w:rFonts w:cs="Arial"/>
                <w:sz w:val="20"/>
              </w:rPr>
              <w:lastRenderedPageBreak/>
              <w:t xml:space="preserve"> 250 µg once daily</w:t>
            </w:r>
          </w:p>
        </w:tc>
        <w:tc>
          <w:tcPr>
            <w:tcW w:w="786"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02FA6CF2" w14:textId="77777777" w:rsidR="00493B75" w:rsidRPr="005E1202" w:rsidRDefault="00493B75" w:rsidP="00101A8A">
            <w:pPr>
              <w:spacing w:after="120" w:line="240" w:lineRule="auto"/>
              <w:jc w:val="center"/>
              <w:rPr>
                <w:rFonts w:cs="Arial"/>
                <w:sz w:val="20"/>
              </w:rPr>
            </w:pPr>
            <w:r w:rsidRPr="005E1202">
              <w:rPr>
                <w:rFonts w:cs="Arial"/>
                <w:sz w:val="20"/>
              </w:rPr>
              <w:lastRenderedPageBreak/>
              <w:t xml:space="preserve">300/120 </w:t>
            </w:r>
            <w:r w:rsidR="000074FA">
              <w:rPr>
                <w:rFonts w:cs="Arial"/>
                <w:sz w:val="20"/>
              </w:rPr>
              <w:t xml:space="preserve">   </w:t>
            </w:r>
            <w:r w:rsidRPr="005E1202">
              <w:rPr>
                <w:rFonts w:cs="Arial"/>
                <w:sz w:val="20"/>
              </w:rPr>
              <w:t>once daily</w:t>
            </w:r>
          </w:p>
        </w:tc>
        <w:tc>
          <w:tcPr>
            <w:tcW w:w="43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5C3241D9" w14:textId="77777777" w:rsidR="00493B75" w:rsidRPr="005E1202" w:rsidRDefault="00493B75" w:rsidP="00101A8A">
            <w:pPr>
              <w:spacing w:after="120" w:line="240" w:lineRule="auto"/>
              <w:jc w:val="center"/>
              <w:rPr>
                <w:rFonts w:cs="Arial"/>
                <w:sz w:val="20"/>
              </w:rPr>
            </w:pPr>
            <w:r w:rsidRPr="005E1202">
              <w:rPr>
                <w:rFonts w:cs="Arial"/>
                <w:sz w:val="20"/>
              </w:rPr>
              <w:t>11</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151C0C" w14:textId="77777777" w:rsidR="00493B75" w:rsidRPr="005E1202" w:rsidRDefault="00493B75" w:rsidP="00101A8A">
            <w:pPr>
              <w:spacing w:after="120" w:line="240" w:lineRule="auto"/>
              <w:jc w:val="center"/>
              <w:rPr>
                <w:rFonts w:cs="Arial"/>
                <w:sz w:val="20"/>
              </w:rPr>
            </w:pPr>
            <w:r w:rsidRPr="005E1202">
              <w:rPr>
                <w:rFonts w:cs="Arial"/>
                <w:sz w:val="20"/>
              </w:rPr>
              <w:t>1.31</w:t>
            </w:r>
            <w:proofErr w:type="gramStart"/>
            <w:r w:rsidRPr="005E1202">
              <w:rPr>
                <w:rFonts w:cs="Arial"/>
                <w:sz w:val="20"/>
              </w:rPr>
              <w:t xml:space="preserve">   (</w:t>
            </w:r>
            <w:proofErr w:type="gramEnd"/>
            <w:r w:rsidRPr="005E1202">
              <w:rPr>
                <w:rFonts w:cs="Arial"/>
                <w:sz w:val="20"/>
              </w:rPr>
              <w:t>1.24, 1.38)</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7E1A64B" w14:textId="77777777" w:rsidR="00493B75" w:rsidRPr="005E1202" w:rsidRDefault="00493B75" w:rsidP="00101A8A">
            <w:pPr>
              <w:spacing w:after="120" w:line="240" w:lineRule="auto"/>
              <w:jc w:val="center"/>
              <w:rPr>
                <w:rFonts w:cs="Arial"/>
                <w:sz w:val="20"/>
              </w:rPr>
            </w:pPr>
            <w:r w:rsidRPr="005E1202">
              <w:rPr>
                <w:rFonts w:cs="Arial"/>
                <w:sz w:val="20"/>
              </w:rPr>
              <w:t>1.28</w:t>
            </w:r>
            <w:proofErr w:type="gramStart"/>
            <w:r w:rsidRPr="005E1202">
              <w:rPr>
                <w:rFonts w:cs="Arial"/>
                <w:sz w:val="20"/>
              </w:rPr>
              <w:t xml:space="preserve">   (</w:t>
            </w:r>
            <w:proofErr w:type="gramEnd"/>
            <w:r w:rsidRPr="005E1202">
              <w:rPr>
                <w:rFonts w:cs="Arial"/>
                <w:sz w:val="20"/>
              </w:rPr>
              <w:t>1.23, 1.32)</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6B54BFB" w14:textId="77777777" w:rsidR="00493B75" w:rsidRPr="005E1202" w:rsidRDefault="00493B75" w:rsidP="00101A8A">
            <w:pPr>
              <w:spacing w:after="120" w:line="240" w:lineRule="auto"/>
              <w:jc w:val="center"/>
              <w:rPr>
                <w:rFonts w:cs="Arial"/>
                <w:sz w:val="20"/>
              </w:rPr>
            </w:pPr>
            <w:r w:rsidRPr="005E1202">
              <w:rPr>
                <w:rFonts w:cs="Arial"/>
                <w:sz w:val="20"/>
              </w:rPr>
              <w:t>1.38</w:t>
            </w:r>
            <w:proofErr w:type="gramStart"/>
            <w:r w:rsidRPr="005E1202">
              <w:rPr>
                <w:rFonts w:cs="Arial"/>
                <w:sz w:val="20"/>
              </w:rPr>
              <w:t xml:space="preserve">   (</w:t>
            </w:r>
            <w:proofErr w:type="gramEnd"/>
            <w:r w:rsidRPr="005E1202">
              <w:rPr>
                <w:rFonts w:cs="Arial"/>
                <w:sz w:val="20"/>
              </w:rPr>
              <w:t>1.25, 1.52)</w:t>
            </w:r>
          </w:p>
        </w:tc>
      </w:tr>
      <w:tr w:rsidR="00493B75" w:rsidRPr="005E1202" w14:paraId="72ED7E72"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797C6" w14:textId="77777777" w:rsidR="00493B75" w:rsidRPr="005E1202" w:rsidRDefault="00493B75" w:rsidP="00101A8A">
            <w:pPr>
              <w:spacing w:after="120" w:line="240" w:lineRule="auto"/>
              <w:jc w:val="center"/>
              <w:rPr>
                <w:rFonts w:cs="Arial"/>
                <w:sz w:val="20"/>
              </w:rPr>
            </w:pPr>
            <w:proofErr w:type="spellStart"/>
            <w:r w:rsidRPr="005E1202">
              <w:rPr>
                <w:rFonts w:cs="Arial"/>
                <w:sz w:val="20"/>
              </w:rPr>
              <w:lastRenderedPageBreak/>
              <w:t>Norgestrel</w:t>
            </w:r>
            <w:proofErr w:type="spellEnd"/>
          </w:p>
        </w:tc>
        <w:tc>
          <w:tcPr>
            <w:tcW w:w="931" w:type="pct"/>
            <w:vMerge/>
            <w:tcBorders>
              <w:left w:val="single" w:sz="4" w:space="0" w:color="auto"/>
              <w:right w:val="single" w:sz="4" w:space="0" w:color="auto"/>
            </w:tcBorders>
            <w:tcMar>
              <w:top w:w="0" w:type="dxa"/>
              <w:left w:w="108" w:type="dxa"/>
              <w:bottom w:w="0" w:type="dxa"/>
              <w:right w:w="108" w:type="dxa"/>
            </w:tcMar>
            <w:vAlign w:val="center"/>
          </w:tcPr>
          <w:p w14:paraId="16F6711B" w14:textId="77777777" w:rsidR="00493B75" w:rsidRPr="005E1202" w:rsidRDefault="00493B75" w:rsidP="00101A8A">
            <w:pPr>
              <w:spacing w:after="120" w:line="240" w:lineRule="auto"/>
              <w:jc w:val="center"/>
              <w:rPr>
                <w:rFonts w:cs="Arial"/>
                <w:sz w:val="20"/>
              </w:rPr>
            </w:pPr>
          </w:p>
        </w:tc>
        <w:tc>
          <w:tcPr>
            <w:tcW w:w="786" w:type="pct"/>
            <w:vMerge/>
            <w:tcBorders>
              <w:left w:val="single" w:sz="4" w:space="0" w:color="auto"/>
              <w:right w:val="single" w:sz="4" w:space="0" w:color="auto"/>
            </w:tcBorders>
            <w:tcMar>
              <w:top w:w="0" w:type="dxa"/>
              <w:left w:w="108" w:type="dxa"/>
              <w:bottom w:w="0" w:type="dxa"/>
              <w:right w:w="108" w:type="dxa"/>
            </w:tcMar>
            <w:vAlign w:val="center"/>
          </w:tcPr>
          <w:p w14:paraId="075DDB20" w14:textId="77777777" w:rsidR="00493B75" w:rsidRPr="005E1202" w:rsidRDefault="00493B75" w:rsidP="00101A8A">
            <w:pPr>
              <w:spacing w:after="120" w:line="240" w:lineRule="auto"/>
              <w:jc w:val="center"/>
              <w:rPr>
                <w:rFonts w:cs="Arial"/>
                <w:sz w:val="20"/>
              </w:rPr>
            </w:pPr>
          </w:p>
        </w:tc>
        <w:tc>
          <w:tcPr>
            <w:tcW w:w="430" w:type="pct"/>
            <w:vMerge/>
            <w:tcBorders>
              <w:left w:val="single" w:sz="4" w:space="0" w:color="auto"/>
              <w:right w:val="single" w:sz="4" w:space="0" w:color="auto"/>
            </w:tcBorders>
            <w:tcMar>
              <w:top w:w="0" w:type="dxa"/>
              <w:left w:w="108" w:type="dxa"/>
              <w:bottom w:w="0" w:type="dxa"/>
              <w:right w:w="108" w:type="dxa"/>
            </w:tcMar>
            <w:vAlign w:val="center"/>
          </w:tcPr>
          <w:p w14:paraId="36AC0496" w14:textId="77777777" w:rsidR="00493B75" w:rsidRPr="005E1202" w:rsidRDefault="00493B75" w:rsidP="00101A8A">
            <w:pPr>
              <w:spacing w:after="120" w:line="240" w:lineRule="auto"/>
              <w:jc w:val="center"/>
              <w:rPr>
                <w:rFonts w:cs="Arial"/>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038BD8C" w14:textId="77777777" w:rsidR="00493B75" w:rsidRPr="005E1202" w:rsidRDefault="00493B75" w:rsidP="00101A8A">
            <w:pPr>
              <w:spacing w:after="120" w:line="240" w:lineRule="auto"/>
              <w:jc w:val="center"/>
              <w:rPr>
                <w:rFonts w:cs="Arial"/>
                <w:sz w:val="20"/>
              </w:rPr>
            </w:pPr>
            <w:r w:rsidRPr="005E1202">
              <w:rPr>
                <w:rFonts w:cs="Arial"/>
                <w:sz w:val="20"/>
              </w:rPr>
              <w:t>1.54</w:t>
            </w:r>
            <w:proofErr w:type="gramStart"/>
            <w:r w:rsidRPr="005E1202">
              <w:rPr>
                <w:rFonts w:cs="Arial"/>
                <w:sz w:val="20"/>
              </w:rPr>
              <w:t xml:space="preserve">   (</w:t>
            </w:r>
            <w:proofErr w:type="gramEnd"/>
            <w:r w:rsidRPr="005E1202">
              <w:rPr>
                <w:rFonts w:cs="Arial"/>
                <w:sz w:val="20"/>
              </w:rPr>
              <w:t>1.34, 1.76)</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BCC492D" w14:textId="77777777" w:rsidR="00493B75" w:rsidRPr="005E1202" w:rsidRDefault="00493B75" w:rsidP="00101A8A">
            <w:pPr>
              <w:spacing w:after="120" w:line="240" w:lineRule="auto"/>
              <w:jc w:val="center"/>
              <w:rPr>
                <w:rFonts w:cs="Arial"/>
                <w:sz w:val="20"/>
              </w:rPr>
            </w:pPr>
            <w:r w:rsidRPr="005E1202">
              <w:rPr>
                <w:rFonts w:cs="Arial"/>
                <w:sz w:val="20"/>
              </w:rPr>
              <w:t>1.63</w:t>
            </w:r>
            <w:proofErr w:type="gramStart"/>
            <w:r w:rsidRPr="005E1202">
              <w:rPr>
                <w:rFonts w:cs="Arial"/>
                <w:sz w:val="20"/>
              </w:rPr>
              <w:t xml:space="preserve">   (</w:t>
            </w:r>
            <w:proofErr w:type="gramEnd"/>
            <w:r w:rsidRPr="005E1202">
              <w:rPr>
                <w:rFonts w:cs="Arial"/>
                <w:sz w:val="20"/>
              </w:rPr>
              <w:t>1.50, 1.76)</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20085D" w14:textId="77777777" w:rsidR="00493B75" w:rsidRPr="005E1202" w:rsidRDefault="00493B75" w:rsidP="00101A8A">
            <w:pPr>
              <w:spacing w:after="120" w:line="240" w:lineRule="auto"/>
              <w:jc w:val="center"/>
              <w:rPr>
                <w:rFonts w:cs="Arial"/>
                <w:sz w:val="20"/>
              </w:rPr>
            </w:pPr>
            <w:r w:rsidRPr="005E1202">
              <w:rPr>
                <w:rFonts w:cs="Arial"/>
                <w:sz w:val="20"/>
              </w:rPr>
              <w:t xml:space="preserve">1.75 </w:t>
            </w:r>
            <w:proofErr w:type="gramStart"/>
            <w:r w:rsidRPr="005E1202">
              <w:rPr>
                <w:rFonts w:cs="Arial"/>
                <w:sz w:val="20"/>
              </w:rPr>
              <w:t xml:space="preserve">   (</w:t>
            </w:r>
            <w:proofErr w:type="gramEnd"/>
            <w:r w:rsidRPr="005E1202">
              <w:rPr>
                <w:rFonts w:cs="Arial"/>
                <w:sz w:val="20"/>
              </w:rPr>
              <w:t>1.62, 1.89)</w:t>
            </w:r>
          </w:p>
        </w:tc>
      </w:tr>
      <w:tr w:rsidR="00493B75" w:rsidRPr="005E1202" w14:paraId="6C83D106"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18D121" w14:textId="77777777" w:rsidR="00493B75" w:rsidRPr="005E1202" w:rsidRDefault="00493B75" w:rsidP="00101A8A">
            <w:pPr>
              <w:spacing w:after="120" w:line="240" w:lineRule="auto"/>
              <w:jc w:val="center"/>
              <w:rPr>
                <w:rFonts w:cs="Arial"/>
                <w:sz w:val="20"/>
              </w:rPr>
            </w:pPr>
            <w:proofErr w:type="spellStart"/>
            <w:r w:rsidRPr="005E1202">
              <w:rPr>
                <w:rFonts w:cs="Arial"/>
                <w:sz w:val="20"/>
              </w:rPr>
              <w:t>Norelgestromin</w:t>
            </w:r>
            <w:proofErr w:type="spellEnd"/>
          </w:p>
        </w:tc>
        <w:tc>
          <w:tcPr>
            <w:tcW w:w="931"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F1BA03F" w14:textId="77777777" w:rsidR="00493B75" w:rsidRPr="005E1202" w:rsidRDefault="00493B75" w:rsidP="00101A8A">
            <w:pPr>
              <w:spacing w:after="120" w:line="240" w:lineRule="auto"/>
              <w:jc w:val="center"/>
              <w:rPr>
                <w:rFonts w:cs="Arial"/>
                <w:sz w:val="20"/>
              </w:rPr>
            </w:pPr>
          </w:p>
        </w:tc>
        <w:tc>
          <w:tcPr>
            <w:tcW w:w="786"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1DF991B" w14:textId="77777777" w:rsidR="00493B75" w:rsidRPr="005E1202" w:rsidRDefault="00493B75" w:rsidP="00101A8A">
            <w:pPr>
              <w:spacing w:after="120" w:line="240" w:lineRule="auto"/>
              <w:jc w:val="center"/>
              <w:rPr>
                <w:rFonts w:cs="Arial"/>
                <w:sz w:val="20"/>
              </w:rPr>
            </w:pPr>
          </w:p>
        </w:tc>
        <w:tc>
          <w:tcPr>
            <w:tcW w:w="43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5A018357" w14:textId="77777777" w:rsidR="00493B75" w:rsidRPr="005E1202" w:rsidRDefault="00493B75" w:rsidP="00101A8A">
            <w:pPr>
              <w:spacing w:after="120" w:line="240" w:lineRule="auto"/>
              <w:jc w:val="center"/>
              <w:rPr>
                <w:rFonts w:cs="Arial"/>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874FB" w14:textId="77777777" w:rsidR="00493B75" w:rsidRPr="005E1202" w:rsidRDefault="00493B75" w:rsidP="00101A8A">
            <w:pPr>
              <w:spacing w:after="120" w:line="240" w:lineRule="auto"/>
              <w:jc w:val="center"/>
              <w:rPr>
                <w:rFonts w:cs="Arial"/>
                <w:sz w:val="20"/>
              </w:rPr>
            </w:pPr>
            <w:r w:rsidRPr="005E1202">
              <w:rPr>
                <w:rFonts w:eastAsia="Calibri" w:cs="Arial"/>
                <w:sz w:val="20"/>
              </w:rPr>
              <w:t>↔</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4C6287" w14:textId="77777777" w:rsidR="00493B75" w:rsidRPr="005E1202" w:rsidRDefault="00493B75" w:rsidP="00101A8A">
            <w:pPr>
              <w:spacing w:after="120" w:line="240" w:lineRule="auto"/>
              <w:jc w:val="center"/>
              <w:rPr>
                <w:rFonts w:cs="Arial"/>
                <w:sz w:val="20"/>
              </w:rPr>
            </w:pPr>
            <w:r w:rsidRPr="005E1202">
              <w:rPr>
                <w:rFonts w:cs="Arial"/>
                <w:sz w:val="20"/>
              </w:rPr>
              <w:t>1.44</w:t>
            </w:r>
            <w:proofErr w:type="gramStart"/>
            <w:r w:rsidRPr="005E1202">
              <w:rPr>
                <w:rFonts w:cs="Arial"/>
                <w:sz w:val="20"/>
              </w:rPr>
              <w:t xml:space="preserve">   (</w:t>
            </w:r>
            <w:proofErr w:type="gramEnd"/>
            <w:r w:rsidRPr="005E1202">
              <w:rPr>
                <w:rFonts w:cs="Arial"/>
                <w:sz w:val="20"/>
              </w:rPr>
              <w:t>1.34, 1.54)</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6CA85E" w14:textId="77777777" w:rsidR="00493B75" w:rsidRPr="005E1202" w:rsidRDefault="00493B75" w:rsidP="00101A8A">
            <w:pPr>
              <w:spacing w:after="120" w:line="240" w:lineRule="auto"/>
              <w:jc w:val="center"/>
              <w:rPr>
                <w:rFonts w:cs="Arial"/>
                <w:sz w:val="20"/>
              </w:rPr>
            </w:pPr>
            <w:r w:rsidRPr="005E1202">
              <w:rPr>
                <w:rFonts w:cs="Arial"/>
                <w:sz w:val="20"/>
              </w:rPr>
              <w:t>1.45</w:t>
            </w:r>
            <w:proofErr w:type="gramStart"/>
            <w:r w:rsidRPr="005E1202">
              <w:rPr>
                <w:rFonts w:cs="Arial"/>
                <w:sz w:val="20"/>
              </w:rPr>
              <w:t xml:space="preserve">   (</w:t>
            </w:r>
            <w:proofErr w:type="gramEnd"/>
            <w:r w:rsidRPr="005E1202">
              <w:rPr>
                <w:rFonts w:cs="Arial"/>
                <w:sz w:val="20"/>
              </w:rPr>
              <w:t>1.33, 1.58)</w:t>
            </w:r>
          </w:p>
        </w:tc>
      </w:tr>
      <w:tr w:rsidR="00493B75" w:rsidRPr="005E1202" w14:paraId="5385A842"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7F6B9D6" w14:textId="77777777" w:rsidR="00493B75" w:rsidRPr="005E1202" w:rsidRDefault="00493B75" w:rsidP="00101A8A">
            <w:pPr>
              <w:spacing w:after="120" w:line="240" w:lineRule="auto"/>
              <w:jc w:val="center"/>
              <w:rPr>
                <w:rFonts w:cs="Arial"/>
                <w:sz w:val="20"/>
              </w:rPr>
            </w:pPr>
            <w:proofErr w:type="spellStart"/>
            <w:r w:rsidRPr="005E1202">
              <w:rPr>
                <w:rFonts w:cs="Arial"/>
                <w:sz w:val="20"/>
              </w:rPr>
              <w:t>Ethinyloestradiol</w:t>
            </w:r>
            <w:proofErr w:type="spellEnd"/>
          </w:p>
        </w:tc>
        <w:tc>
          <w:tcPr>
            <w:tcW w:w="931"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F43F485" w14:textId="77777777" w:rsidR="00493B75" w:rsidRPr="005E1202" w:rsidRDefault="00493B75" w:rsidP="00101A8A">
            <w:pPr>
              <w:spacing w:after="120" w:line="240" w:lineRule="auto"/>
              <w:jc w:val="center"/>
              <w:rPr>
                <w:rFonts w:cs="Arial"/>
                <w:sz w:val="20"/>
              </w:rPr>
            </w:pPr>
            <w:r w:rsidRPr="005E1202">
              <w:rPr>
                <w:rFonts w:cs="Arial"/>
                <w:sz w:val="20"/>
              </w:rPr>
              <w:t>EE / Levonorgestrel 20 µg/</w:t>
            </w:r>
            <w:r w:rsidRPr="005E1202">
              <w:rPr>
                <w:rFonts w:cs="Arial"/>
                <w:sz w:val="20"/>
              </w:rPr>
              <w:br/>
              <w:t>100 µg once daily</w:t>
            </w:r>
          </w:p>
        </w:tc>
        <w:tc>
          <w:tcPr>
            <w:tcW w:w="786"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1D0891D9" w14:textId="77777777" w:rsidR="00493B75" w:rsidRPr="005E1202" w:rsidRDefault="00493B75" w:rsidP="00101A8A">
            <w:pPr>
              <w:spacing w:after="120" w:line="240" w:lineRule="auto"/>
              <w:jc w:val="center"/>
              <w:rPr>
                <w:rFonts w:cs="Arial"/>
                <w:sz w:val="20"/>
              </w:rPr>
            </w:pPr>
            <w:r w:rsidRPr="005E1202">
              <w:rPr>
                <w:rFonts w:cs="Arial"/>
                <w:sz w:val="20"/>
              </w:rPr>
              <w:t>300/120</w:t>
            </w:r>
            <w:r w:rsidR="000074FA">
              <w:rPr>
                <w:rFonts w:cs="Arial"/>
                <w:sz w:val="20"/>
              </w:rPr>
              <w:t xml:space="preserve">   </w:t>
            </w:r>
            <w:r w:rsidRPr="005E1202">
              <w:rPr>
                <w:rFonts w:cs="Arial"/>
                <w:sz w:val="20"/>
              </w:rPr>
              <w:t xml:space="preserve"> once daily</w:t>
            </w:r>
          </w:p>
        </w:tc>
        <w:tc>
          <w:tcPr>
            <w:tcW w:w="430" w:type="pct"/>
            <w:vMerge w:val="restart"/>
            <w:tcBorders>
              <w:top w:val="single" w:sz="4" w:space="0" w:color="auto"/>
              <w:left w:val="single" w:sz="4" w:space="0" w:color="auto"/>
              <w:right w:val="single" w:sz="4" w:space="0" w:color="auto"/>
            </w:tcBorders>
            <w:tcMar>
              <w:top w:w="0" w:type="dxa"/>
              <w:left w:w="108" w:type="dxa"/>
              <w:bottom w:w="0" w:type="dxa"/>
              <w:right w:w="108" w:type="dxa"/>
            </w:tcMar>
            <w:vAlign w:val="center"/>
          </w:tcPr>
          <w:p w14:paraId="6CCFEB4D" w14:textId="77777777" w:rsidR="00493B75" w:rsidRPr="005E1202" w:rsidRDefault="00493B75" w:rsidP="00101A8A">
            <w:pPr>
              <w:spacing w:after="120" w:line="240" w:lineRule="auto"/>
              <w:jc w:val="center"/>
              <w:rPr>
                <w:rFonts w:cs="Arial"/>
                <w:sz w:val="20"/>
              </w:rPr>
            </w:pPr>
            <w:r w:rsidRPr="005E1202">
              <w:rPr>
                <w:rFonts w:cs="Arial"/>
                <w:sz w:val="20"/>
              </w:rPr>
              <w:t>12</w:t>
            </w: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82CF05" w14:textId="77777777" w:rsidR="00493B75" w:rsidRPr="005E1202" w:rsidRDefault="00493B75" w:rsidP="00101A8A">
            <w:pPr>
              <w:spacing w:after="120" w:line="240" w:lineRule="auto"/>
              <w:jc w:val="center"/>
              <w:rPr>
                <w:rFonts w:cs="Arial"/>
                <w:sz w:val="20"/>
              </w:rPr>
            </w:pPr>
            <w:r w:rsidRPr="005E1202">
              <w:rPr>
                <w:rFonts w:cs="Arial"/>
                <w:sz w:val="20"/>
              </w:rPr>
              <w:t>1.30</w:t>
            </w:r>
            <w:proofErr w:type="gramStart"/>
            <w:r w:rsidRPr="005E1202">
              <w:rPr>
                <w:rFonts w:cs="Arial"/>
                <w:sz w:val="20"/>
              </w:rPr>
              <w:t xml:space="preserve">   (</w:t>
            </w:r>
            <w:proofErr w:type="gramEnd"/>
            <w:r w:rsidRPr="005E1202">
              <w:rPr>
                <w:rFonts w:cs="Arial"/>
                <w:sz w:val="20"/>
              </w:rPr>
              <w:t>1.18, 1.44)</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84D024E" w14:textId="77777777" w:rsidR="00493B75" w:rsidRPr="005E1202" w:rsidRDefault="00493B75" w:rsidP="00101A8A">
            <w:pPr>
              <w:spacing w:after="120" w:line="240" w:lineRule="auto"/>
              <w:jc w:val="center"/>
              <w:rPr>
                <w:rFonts w:cs="Arial"/>
                <w:sz w:val="20"/>
              </w:rPr>
            </w:pPr>
            <w:r w:rsidRPr="005E1202">
              <w:rPr>
                <w:rFonts w:cs="Arial"/>
                <w:sz w:val="20"/>
              </w:rPr>
              <w:t>1.40</w:t>
            </w:r>
          </w:p>
          <w:p w14:paraId="1D5E3E2F" w14:textId="77777777" w:rsidR="00493B75" w:rsidRPr="005E1202" w:rsidRDefault="00493B75" w:rsidP="00101A8A">
            <w:pPr>
              <w:spacing w:after="120" w:line="240" w:lineRule="auto"/>
              <w:jc w:val="center"/>
              <w:rPr>
                <w:rFonts w:cs="Arial"/>
                <w:sz w:val="20"/>
              </w:rPr>
            </w:pPr>
            <w:r w:rsidRPr="005E1202">
              <w:rPr>
                <w:rFonts w:cs="Arial"/>
                <w:sz w:val="20"/>
              </w:rPr>
              <w:t>(1.33, 1.48)</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844E5E" w14:textId="77777777" w:rsidR="00493B75" w:rsidRPr="005E1202" w:rsidRDefault="00493B75" w:rsidP="00101A8A">
            <w:pPr>
              <w:spacing w:after="120" w:line="240" w:lineRule="auto"/>
              <w:jc w:val="center"/>
              <w:rPr>
                <w:rFonts w:cs="Arial"/>
                <w:sz w:val="20"/>
              </w:rPr>
            </w:pPr>
            <w:r w:rsidRPr="005E1202">
              <w:rPr>
                <w:rFonts w:cs="Arial"/>
                <w:sz w:val="20"/>
              </w:rPr>
              <w:t>1.56</w:t>
            </w:r>
          </w:p>
          <w:p w14:paraId="45BF35F4" w14:textId="77777777" w:rsidR="00493B75" w:rsidRPr="005E1202" w:rsidRDefault="00493B75" w:rsidP="00101A8A">
            <w:pPr>
              <w:spacing w:after="120" w:line="240" w:lineRule="auto"/>
              <w:jc w:val="center"/>
              <w:rPr>
                <w:rFonts w:cs="Arial"/>
                <w:sz w:val="20"/>
              </w:rPr>
            </w:pPr>
            <w:r w:rsidRPr="005E1202">
              <w:rPr>
                <w:rFonts w:cs="Arial"/>
                <w:sz w:val="20"/>
              </w:rPr>
              <w:t>(1.41, 1.72)</w:t>
            </w:r>
          </w:p>
        </w:tc>
      </w:tr>
      <w:tr w:rsidR="00493B75" w:rsidRPr="005E1202" w14:paraId="32E0F30C" w14:textId="77777777" w:rsidTr="00493B75">
        <w:trPr>
          <w:cantSplit/>
        </w:trPr>
        <w:tc>
          <w:tcPr>
            <w:tcW w:w="92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994C4EB" w14:textId="77777777" w:rsidR="00493B75" w:rsidRPr="005E1202" w:rsidRDefault="00493B75" w:rsidP="00101A8A">
            <w:pPr>
              <w:spacing w:after="120" w:line="240" w:lineRule="auto"/>
              <w:jc w:val="center"/>
              <w:rPr>
                <w:rFonts w:cs="Arial"/>
                <w:sz w:val="20"/>
              </w:rPr>
            </w:pPr>
            <w:proofErr w:type="spellStart"/>
            <w:r w:rsidRPr="005E1202">
              <w:rPr>
                <w:rFonts w:cs="Arial"/>
                <w:sz w:val="20"/>
              </w:rPr>
              <w:t>Norgestrel</w:t>
            </w:r>
            <w:proofErr w:type="spellEnd"/>
          </w:p>
        </w:tc>
        <w:tc>
          <w:tcPr>
            <w:tcW w:w="931"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6B533626" w14:textId="77777777" w:rsidR="00493B75" w:rsidRPr="005E1202" w:rsidRDefault="00493B75" w:rsidP="00101A8A">
            <w:pPr>
              <w:spacing w:after="120" w:line="240" w:lineRule="auto"/>
              <w:jc w:val="center"/>
              <w:rPr>
                <w:rFonts w:cs="Arial"/>
                <w:sz w:val="20"/>
              </w:rPr>
            </w:pPr>
          </w:p>
        </w:tc>
        <w:tc>
          <w:tcPr>
            <w:tcW w:w="786"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72513448" w14:textId="77777777" w:rsidR="00493B75" w:rsidRPr="005E1202" w:rsidRDefault="00493B75" w:rsidP="00101A8A">
            <w:pPr>
              <w:spacing w:after="120" w:line="240" w:lineRule="auto"/>
              <w:jc w:val="center"/>
              <w:rPr>
                <w:rFonts w:cs="Arial"/>
                <w:sz w:val="20"/>
              </w:rPr>
            </w:pPr>
          </w:p>
        </w:tc>
        <w:tc>
          <w:tcPr>
            <w:tcW w:w="430" w:type="pct"/>
            <w:vMerge/>
            <w:tcBorders>
              <w:left w:val="single" w:sz="4" w:space="0" w:color="auto"/>
              <w:bottom w:val="single" w:sz="4" w:space="0" w:color="auto"/>
              <w:right w:val="single" w:sz="4" w:space="0" w:color="auto"/>
            </w:tcBorders>
            <w:tcMar>
              <w:top w:w="0" w:type="dxa"/>
              <w:left w:w="108" w:type="dxa"/>
              <w:bottom w:w="0" w:type="dxa"/>
              <w:right w:w="108" w:type="dxa"/>
            </w:tcMar>
            <w:vAlign w:val="center"/>
          </w:tcPr>
          <w:p w14:paraId="304F9E53" w14:textId="77777777" w:rsidR="00493B75" w:rsidRPr="005E1202" w:rsidRDefault="00493B75" w:rsidP="00101A8A">
            <w:pPr>
              <w:spacing w:after="120" w:line="240" w:lineRule="auto"/>
              <w:jc w:val="center"/>
              <w:rPr>
                <w:rFonts w:cs="Arial"/>
                <w:sz w:val="20"/>
              </w:rPr>
            </w:pPr>
          </w:p>
        </w:tc>
        <w:tc>
          <w:tcPr>
            <w:tcW w:w="6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979ACD7" w14:textId="77777777" w:rsidR="00493B75" w:rsidRPr="005E1202" w:rsidRDefault="00493B75" w:rsidP="00101A8A">
            <w:pPr>
              <w:spacing w:after="120" w:line="240" w:lineRule="auto"/>
              <w:jc w:val="center"/>
              <w:rPr>
                <w:rFonts w:cs="Arial"/>
                <w:sz w:val="20"/>
              </w:rPr>
            </w:pPr>
            <w:r w:rsidRPr="005E1202">
              <w:rPr>
                <w:rFonts w:cs="Arial"/>
                <w:sz w:val="20"/>
              </w:rPr>
              <w:t>1.37</w:t>
            </w:r>
            <w:proofErr w:type="gramStart"/>
            <w:r w:rsidRPr="005E1202">
              <w:rPr>
                <w:rFonts w:cs="Arial"/>
                <w:sz w:val="20"/>
              </w:rPr>
              <w:t xml:space="preserve">   (</w:t>
            </w:r>
            <w:proofErr w:type="gramEnd"/>
            <w:r w:rsidRPr="005E1202">
              <w:rPr>
                <w:rFonts w:cs="Arial"/>
                <w:sz w:val="20"/>
              </w:rPr>
              <w:t>1.23, 1.52)</w:t>
            </w:r>
          </w:p>
        </w:tc>
        <w:tc>
          <w:tcPr>
            <w:tcW w:w="64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E8BA60" w14:textId="77777777" w:rsidR="00493B75" w:rsidRPr="005E1202" w:rsidRDefault="00493B75" w:rsidP="00101A8A">
            <w:pPr>
              <w:spacing w:after="120" w:line="240" w:lineRule="auto"/>
              <w:jc w:val="center"/>
              <w:rPr>
                <w:rFonts w:cs="Arial"/>
                <w:sz w:val="20"/>
              </w:rPr>
            </w:pPr>
            <w:r w:rsidRPr="005E1202">
              <w:rPr>
                <w:rFonts w:cs="Arial"/>
                <w:sz w:val="20"/>
              </w:rPr>
              <w:t>1.68</w:t>
            </w:r>
            <w:proofErr w:type="gramStart"/>
            <w:r w:rsidRPr="005E1202">
              <w:rPr>
                <w:rFonts w:cs="Arial"/>
                <w:sz w:val="20"/>
              </w:rPr>
              <w:t xml:space="preserve">   (</w:t>
            </w:r>
            <w:proofErr w:type="gramEnd"/>
            <w:r w:rsidRPr="005E1202">
              <w:rPr>
                <w:rFonts w:cs="Arial"/>
                <w:sz w:val="20"/>
              </w:rPr>
              <w:t>1.57, 1.80)</w:t>
            </w:r>
          </w:p>
        </w:tc>
        <w:tc>
          <w:tcPr>
            <w:tcW w:w="640"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42E1E5" w14:textId="77777777" w:rsidR="00493B75" w:rsidRPr="005E1202" w:rsidRDefault="00493B75" w:rsidP="00101A8A">
            <w:pPr>
              <w:spacing w:after="120" w:line="240" w:lineRule="auto"/>
              <w:jc w:val="center"/>
              <w:rPr>
                <w:rFonts w:cs="Arial"/>
                <w:sz w:val="20"/>
              </w:rPr>
            </w:pPr>
            <w:r w:rsidRPr="005E1202">
              <w:rPr>
                <w:rFonts w:cs="Arial"/>
                <w:sz w:val="20"/>
              </w:rPr>
              <w:t xml:space="preserve">1.77 </w:t>
            </w:r>
            <w:proofErr w:type="gramStart"/>
            <w:r w:rsidRPr="005E1202">
              <w:rPr>
                <w:rFonts w:cs="Arial"/>
                <w:sz w:val="20"/>
              </w:rPr>
              <w:t xml:space="preserve">   (</w:t>
            </w:r>
            <w:proofErr w:type="gramEnd"/>
            <w:r w:rsidRPr="005E1202">
              <w:rPr>
                <w:rFonts w:cs="Arial"/>
                <w:sz w:val="20"/>
              </w:rPr>
              <w:t>1.58, 1.98)</w:t>
            </w:r>
          </w:p>
        </w:tc>
      </w:tr>
      <w:tr w:rsidR="00493B75" w:rsidRPr="005E1202" w14:paraId="6C1F7115" w14:textId="77777777" w:rsidTr="00493B75">
        <w:tc>
          <w:tcPr>
            <w:tcW w:w="5000" w:type="pct"/>
            <w:gridSpan w:val="7"/>
            <w:tcBorders>
              <w:top w:val="single" w:sz="4" w:space="0" w:color="auto"/>
            </w:tcBorders>
            <w:tcMar>
              <w:top w:w="0" w:type="dxa"/>
              <w:left w:w="108" w:type="dxa"/>
              <w:bottom w:w="0" w:type="dxa"/>
              <w:right w:w="108" w:type="dxa"/>
            </w:tcMar>
            <w:vAlign w:val="center"/>
          </w:tcPr>
          <w:p w14:paraId="7AD8D990" w14:textId="77777777" w:rsidR="00493B75" w:rsidRPr="005E1202" w:rsidRDefault="00493B75" w:rsidP="00101A8A">
            <w:pPr>
              <w:spacing w:after="120" w:line="240" w:lineRule="auto"/>
              <w:rPr>
                <w:rFonts w:cs="Arial"/>
                <w:b/>
              </w:rPr>
            </w:pPr>
            <w:r w:rsidRPr="005E1202">
              <w:rPr>
                <w:rFonts w:cs="Arial"/>
                <w:sz w:val="20"/>
              </w:rPr>
              <w:t>↔ = No change (central value ratio 0.80 to 1.</w:t>
            </w:r>
            <w:r w:rsidRPr="005E1202" w:rsidDel="00060DBD">
              <w:rPr>
                <w:rFonts w:cs="Arial"/>
                <w:sz w:val="20"/>
              </w:rPr>
              <w:t>25</w:t>
            </w:r>
            <w:r w:rsidRPr="005E1202">
              <w:rPr>
                <w:rFonts w:cs="Arial"/>
                <w:sz w:val="20"/>
              </w:rPr>
              <w:t>)</w:t>
            </w:r>
          </w:p>
        </w:tc>
      </w:tr>
    </w:tbl>
    <w:p w14:paraId="2CDA2C4F" w14:textId="77777777" w:rsidR="00AE18F9" w:rsidRPr="005E1202" w:rsidRDefault="00AE18F9" w:rsidP="00493B75">
      <w:pPr>
        <w:rPr>
          <w:rFonts w:cs="Arial"/>
        </w:rPr>
      </w:pPr>
    </w:p>
    <w:p w14:paraId="3AA8A08C" w14:textId="77777777" w:rsidR="001A3992" w:rsidRPr="005E1202" w:rsidRDefault="001A3992" w:rsidP="001A3992">
      <w:pPr>
        <w:pStyle w:val="Heading2"/>
        <w:spacing w:before="0" w:after="120"/>
        <w:rPr>
          <w:rFonts w:cs="Arial"/>
          <w:lang w:val="en-US"/>
        </w:rPr>
      </w:pPr>
      <w:r w:rsidRPr="005E1202">
        <w:rPr>
          <w:rFonts w:cs="Arial"/>
          <w:lang w:val="en-US"/>
        </w:rPr>
        <w:t>Preclinical safety data</w:t>
      </w:r>
    </w:p>
    <w:p w14:paraId="7223EF87" w14:textId="77777777" w:rsidR="001A3992" w:rsidRPr="005E1202" w:rsidRDefault="001A3992" w:rsidP="001A3992">
      <w:pPr>
        <w:pStyle w:val="Heading3"/>
        <w:rPr>
          <w:rFonts w:cs="Arial"/>
        </w:rPr>
      </w:pPr>
      <w:r w:rsidRPr="005E1202">
        <w:rPr>
          <w:rFonts w:cs="Arial"/>
        </w:rPr>
        <w:t>Genotoxicity</w:t>
      </w:r>
    </w:p>
    <w:p w14:paraId="67A8F19F" w14:textId="77777777" w:rsidR="009C7847" w:rsidRPr="005E1202" w:rsidRDefault="009C7847" w:rsidP="00D11D72">
      <w:pPr>
        <w:jc w:val="both"/>
        <w:rPr>
          <w:rFonts w:cs="Arial"/>
        </w:rPr>
      </w:pPr>
      <w:r w:rsidRPr="005E1202">
        <w:rPr>
          <w:rFonts w:cs="Arial"/>
        </w:rPr>
        <w:t xml:space="preserve">Glecaprevir and pibrentasvir were not genotoxic in a battery of </w:t>
      </w:r>
      <w:r w:rsidRPr="005E1202">
        <w:rPr>
          <w:rFonts w:cs="Arial"/>
          <w:i/>
        </w:rPr>
        <w:t>in vitro</w:t>
      </w:r>
      <w:r w:rsidRPr="005E1202">
        <w:rPr>
          <w:rFonts w:cs="Arial"/>
        </w:rPr>
        <w:t xml:space="preserve"> or </w:t>
      </w:r>
      <w:r w:rsidRPr="005E1202">
        <w:rPr>
          <w:rFonts w:cs="Arial"/>
          <w:i/>
        </w:rPr>
        <w:t xml:space="preserve">in vivo </w:t>
      </w:r>
      <w:r w:rsidRPr="005E1202">
        <w:rPr>
          <w:rFonts w:cs="Arial"/>
        </w:rPr>
        <w:t xml:space="preserve">assays, including bacterial mutagenicity, chromosome aberration using human peripheral blood lymphocytes and </w:t>
      </w:r>
      <w:r w:rsidRPr="005E1202">
        <w:rPr>
          <w:rFonts w:cs="Arial"/>
          <w:i/>
        </w:rPr>
        <w:t>in vivo</w:t>
      </w:r>
      <w:r w:rsidRPr="005E1202">
        <w:rPr>
          <w:rFonts w:cs="Arial"/>
        </w:rPr>
        <w:t xml:space="preserve"> rodent micronucleus assays.</w:t>
      </w:r>
    </w:p>
    <w:p w14:paraId="574A4A09" w14:textId="77777777" w:rsidR="001A3992" w:rsidRPr="005E1202" w:rsidRDefault="001A3992" w:rsidP="001A3992">
      <w:pPr>
        <w:pStyle w:val="Heading3"/>
        <w:rPr>
          <w:rFonts w:cs="Arial"/>
          <w:lang w:val="en-US"/>
        </w:rPr>
      </w:pPr>
      <w:proofErr w:type="spellStart"/>
      <w:r w:rsidRPr="005E1202">
        <w:rPr>
          <w:rFonts w:cs="Arial"/>
        </w:rPr>
        <w:t>Carcin</w:t>
      </w:r>
      <w:r w:rsidRPr="005E1202">
        <w:rPr>
          <w:rFonts w:cs="Arial"/>
          <w:lang w:val="en-US"/>
        </w:rPr>
        <w:t>ogenicity</w:t>
      </w:r>
      <w:proofErr w:type="spellEnd"/>
    </w:p>
    <w:p w14:paraId="58071CFA" w14:textId="0E4F3D6A" w:rsidR="00F2097A" w:rsidRDefault="009C7847" w:rsidP="009C7847">
      <w:pPr>
        <w:rPr>
          <w:rFonts w:cs="Arial"/>
        </w:rPr>
      </w:pPr>
      <w:r w:rsidRPr="005E1202">
        <w:rPr>
          <w:rFonts w:cs="Arial"/>
        </w:rPr>
        <w:t>Carcinogenicity studies with glecaprevir and pibrentasvir have not been conducted.</w:t>
      </w:r>
    </w:p>
    <w:p w14:paraId="10F3B240" w14:textId="77777777" w:rsidR="00F5309A" w:rsidRDefault="00F5309A" w:rsidP="009C7847">
      <w:pPr>
        <w:rPr>
          <w:rFonts w:cs="Arial"/>
        </w:rPr>
      </w:pPr>
    </w:p>
    <w:p w14:paraId="23EF7744" w14:textId="77777777" w:rsidR="001A3992" w:rsidRPr="005E1202" w:rsidRDefault="001A3992" w:rsidP="001A3992">
      <w:pPr>
        <w:pStyle w:val="Heading1"/>
        <w:spacing w:before="0" w:after="120"/>
        <w:rPr>
          <w:rFonts w:ascii="Arial" w:hAnsi="Arial" w:cs="Arial"/>
          <w:lang w:val="en-US"/>
        </w:rPr>
      </w:pPr>
      <w:r w:rsidRPr="005E1202">
        <w:rPr>
          <w:rFonts w:ascii="Arial" w:hAnsi="Arial" w:cs="Arial"/>
          <w:lang w:val="en-US"/>
        </w:rPr>
        <w:t>Pharmaceutical particulars</w:t>
      </w:r>
    </w:p>
    <w:p w14:paraId="34BF3A61" w14:textId="77777777" w:rsidR="001A3992" w:rsidRPr="005E1202" w:rsidRDefault="001A3992" w:rsidP="001A3992">
      <w:pPr>
        <w:pStyle w:val="Heading2"/>
        <w:spacing w:before="0" w:after="120"/>
        <w:rPr>
          <w:rFonts w:cs="Arial"/>
          <w:lang w:val="en-US"/>
        </w:rPr>
      </w:pPr>
      <w:r w:rsidRPr="005E1202">
        <w:rPr>
          <w:rFonts w:cs="Arial"/>
          <w:lang w:val="en-US"/>
        </w:rPr>
        <w:t xml:space="preserve">List of excipients </w:t>
      </w:r>
    </w:p>
    <w:p w14:paraId="27A435B0" w14:textId="77777777" w:rsidR="000363B6" w:rsidRDefault="000363B6" w:rsidP="000363B6">
      <w:pPr>
        <w:pStyle w:val="Heading3"/>
        <w:rPr>
          <w:noProof/>
        </w:rPr>
      </w:pPr>
      <w:r>
        <w:rPr>
          <w:noProof/>
        </w:rPr>
        <w:t>Tablets</w:t>
      </w:r>
    </w:p>
    <w:p w14:paraId="272F6A70" w14:textId="393BCD66" w:rsidR="00493B75" w:rsidRDefault="00493B75" w:rsidP="00D11D72">
      <w:pPr>
        <w:jc w:val="both"/>
        <w:rPr>
          <w:rFonts w:cs="Arial"/>
          <w:noProof/>
        </w:rPr>
      </w:pPr>
      <w:r w:rsidRPr="005E1202">
        <w:rPr>
          <w:rFonts w:cs="Arial"/>
          <w:noProof/>
        </w:rPr>
        <w:t xml:space="preserve">The tablets also contain copovidone, </w:t>
      </w:r>
      <w:r w:rsidR="005C5043">
        <w:rPr>
          <w:rFonts w:cs="Arial"/>
          <w:noProof/>
        </w:rPr>
        <w:t>tocofersolan</w:t>
      </w:r>
      <w:r w:rsidRPr="005E1202">
        <w:rPr>
          <w:rFonts w:cs="Arial"/>
          <w:noProof/>
        </w:rPr>
        <w:t xml:space="preserve">, </w:t>
      </w:r>
      <w:r w:rsidR="005C5043">
        <w:rPr>
          <w:rFonts w:cs="Arial"/>
          <w:noProof/>
        </w:rPr>
        <w:t>colloidal anhydrous silica</w:t>
      </w:r>
      <w:r w:rsidRPr="005E1202">
        <w:rPr>
          <w:rFonts w:cs="Arial"/>
          <w:noProof/>
        </w:rPr>
        <w:t>, propylene glycol monocaprylate, croscarmellose sodium, sodium stearylfumarate and Opadry II 32F240023 pink (hypromellose 2910, lactose monohydrate, titanium dioxide, macrogol 3350 and iron oxide red).</w:t>
      </w:r>
    </w:p>
    <w:p w14:paraId="2866FE92" w14:textId="77777777" w:rsidR="000363B6" w:rsidRDefault="000363B6" w:rsidP="000363B6">
      <w:pPr>
        <w:pStyle w:val="Heading3"/>
        <w:jc w:val="both"/>
        <w:rPr>
          <w:noProof/>
        </w:rPr>
      </w:pPr>
      <w:r>
        <w:rPr>
          <w:noProof/>
        </w:rPr>
        <w:t>Granules</w:t>
      </w:r>
    </w:p>
    <w:p w14:paraId="7E169E84" w14:textId="7F00B829" w:rsidR="00F5309A" w:rsidRDefault="000363B6" w:rsidP="00D11D72">
      <w:pPr>
        <w:jc w:val="both"/>
      </w:pPr>
      <w:r>
        <w:t>Both granules also contain</w:t>
      </w:r>
      <w:r w:rsidRPr="00DF5244">
        <w:t xml:space="preserve"> </w:t>
      </w:r>
      <w:proofErr w:type="spellStart"/>
      <w:r w:rsidRPr="00DF5244">
        <w:t>copovidone</w:t>
      </w:r>
      <w:proofErr w:type="spellEnd"/>
      <w:r w:rsidRPr="00DF5244">
        <w:t xml:space="preserve">, </w:t>
      </w:r>
      <w:proofErr w:type="spellStart"/>
      <w:r>
        <w:t>tocofersolan</w:t>
      </w:r>
      <w:proofErr w:type="spellEnd"/>
      <w:r w:rsidRPr="00DF5244">
        <w:t xml:space="preserve">, colloidal </w:t>
      </w:r>
      <w:r>
        <w:t xml:space="preserve">anhydrous silica and sodium </w:t>
      </w:r>
      <w:proofErr w:type="spellStart"/>
      <w:r>
        <w:t>stearylfumarate</w:t>
      </w:r>
      <w:proofErr w:type="spellEnd"/>
      <w:r>
        <w:t>. Glecaprevir granules also contains</w:t>
      </w:r>
      <w:r w:rsidRPr="00DF5244">
        <w:t xml:space="preserve"> croscarmellose sodium </w:t>
      </w:r>
      <w:r>
        <w:t xml:space="preserve">and </w:t>
      </w:r>
      <w:r w:rsidRPr="005E1202">
        <w:rPr>
          <w:rFonts w:cs="Arial"/>
          <w:noProof/>
        </w:rPr>
        <w:t xml:space="preserve">Opadry II 32F240023 pink </w:t>
      </w:r>
      <w:r>
        <w:rPr>
          <w:rFonts w:cs="Arial"/>
          <w:noProof/>
        </w:rPr>
        <w:t>(</w:t>
      </w:r>
      <w:proofErr w:type="spellStart"/>
      <w:r w:rsidRPr="00DF5244">
        <w:t>hypromellose</w:t>
      </w:r>
      <w:proofErr w:type="spellEnd"/>
      <w:r w:rsidRPr="00DF5244">
        <w:t xml:space="preserve"> 2910, lactose monohydrate, titanium dioxide, macrogol 3350, </w:t>
      </w:r>
      <w:r w:rsidRPr="00DF5244">
        <w:lastRenderedPageBreak/>
        <w:t>iron oxide red</w:t>
      </w:r>
      <w:r>
        <w:t xml:space="preserve">). Pibrentasvir granules also contains </w:t>
      </w:r>
      <w:r w:rsidR="00A91C9B" w:rsidRPr="00A91C9B">
        <w:t>propylene glycol monocaprylate</w:t>
      </w:r>
      <w:r w:rsidR="00A91C9B">
        <w:t xml:space="preserve"> and </w:t>
      </w:r>
      <w:r>
        <w:t xml:space="preserve">Opadry II </w:t>
      </w:r>
      <w:r w:rsidRPr="009A2E2D">
        <w:t>32F220006</w:t>
      </w:r>
      <w:r>
        <w:t xml:space="preserve"> yellow </w:t>
      </w:r>
      <w:r>
        <w:rPr>
          <w:rFonts w:cs="Arial"/>
          <w:noProof/>
        </w:rPr>
        <w:t>(</w:t>
      </w:r>
      <w:proofErr w:type="spellStart"/>
      <w:r w:rsidRPr="00DF5244">
        <w:t>hypromellose</w:t>
      </w:r>
      <w:proofErr w:type="spellEnd"/>
      <w:r w:rsidRPr="00DF5244">
        <w:t xml:space="preserve"> 2910, lactose monohydrate, titanium dioxide, macrogol 3350,</w:t>
      </w:r>
      <w:r>
        <w:t xml:space="preserve"> iron oxide yellow).</w:t>
      </w:r>
    </w:p>
    <w:p w14:paraId="0AE87C17" w14:textId="77777777" w:rsidR="00CD5358" w:rsidRPr="000363B6" w:rsidRDefault="00CD5358" w:rsidP="00D11D72">
      <w:pPr>
        <w:jc w:val="both"/>
      </w:pPr>
    </w:p>
    <w:p w14:paraId="6113244D" w14:textId="77777777" w:rsidR="001A3992" w:rsidRPr="005E1202" w:rsidRDefault="001A3992" w:rsidP="001A3992">
      <w:pPr>
        <w:pStyle w:val="Heading2"/>
        <w:keepNext/>
        <w:keepLines/>
        <w:spacing w:before="0" w:after="120"/>
        <w:rPr>
          <w:rFonts w:cs="Arial"/>
          <w:lang w:val="en-US"/>
        </w:rPr>
      </w:pPr>
      <w:r w:rsidRPr="005E1202">
        <w:rPr>
          <w:rFonts w:cs="Arial"/>
          <w:lang w:val="en-US"/>
        </w:rPr>
        <w:t xml:space="preserve">Incompatibilities </w:t>
      </w:r>
    </w:p>
    <w:p w14:paraId="5677E4D3" w14:textId="1790C49B" w:rsidR="00705BAD" w:rsidRDefault="009C7847" w:rsidP="00D11D72">
      <w:pPr>
        <w:jc w:val="both"/>
        <w:rPr>
          <w:rFonts w:cs="Arial"/>
          <w:lang w:val="en"/>
        </w:rPr>
      </w:pPr>
      <w:r w:rsidRPr="005E1202">
        <w:rPr>
          <w:rFonts w:cs="Arial"/>
          <w:lang w:val="en"/>
        </w:rPr>
        <w:t>Incompatibilities were either not assessed or not identified as part of the registration of this medicine</w:t>
      </w:r>
      <w:r w:rsidR="00E362E7">
        <w:rPr>
          <w:rFonts w:cs="Arial"/>
          <w:lang w:val="en"/>
        </w:rPr>
        <w:t>.</w:t>
      </w:r>
    </w:p>
    <w:p w14:paraId="27D331AC" w14:textId="77777777" w:rsidR="00F5309A" w:rsidRPr="00C937E3" w:rsidRDefault="00F5309A" w:rsidP="00D11D72">
      <w:pPr>
        <w:jc w:val="both"/>
        <w:rPr>
          <w:rFonts w:cs="Arial"/>
          <w:lang w:val="en"/>
        </w:rPr>
      </w:pPr>
    </w:p>
    <w:p w14:paraId="48B9A833" w14:textId="77777777" w:rsidR="001A3992" w:rsidRPr="005E1202" w:rsidRDefault="001A3992" w:rsidP="00D11D72">
      <w:pPr>
        <w:pStyle w:val="Heading2"/>
        <w:spacing w:before="0" w:after="120"/>
        <w:jc w:val="both"/>
        <w:rPr>
          <w:rFonts w:cs="Arial"/>
          <w:lang w:val="en-US"/>
        </w:rPr>
      </w:pPr>
      <w:r w:rsidRPr="005E1202">
        <w:rPr>
          <w:rFonts w:cs="Arial"/>
          <w:lang w:val="en-US"/>
        </w:rPr>
        <w:t xml:space="preserve">Shelf life </w:t>
      </w:r>
    </w:p>
    <w:p w14:paraId="157679A2" w14:textId="33137FB7" w:rsidR="009C7847" w:rsidRDefault="009C7847" w:rsidP="00D11D72">
      <w:pPr>
        <w:jc w:val="both"/>
        <w:rPr>
          <w:rFonts w:cs="Arial"/>
          <w:lang w:val="en"/>
        </w:rPr>
      </w:pPr>
      <w:r w:rsidRPr="005E1202">
        <w:rPr>
          <w:rFonts w:cs="Arial"/>
          <w:lang w:val="en"/>
        </w:rPr>
        <w:t>In Australia, information on the shelf life can be found on the public summary of the Australian Register of Therapeutic Goods (ARTG). The expiry date can be found on the packaging</w:t>
      </w:r>
      <w:r w:rsidR="00E362E7">
        <w:rPr>
          <w:rFonts w:cs="Arial"/>
          <w:lang w:val="en"/>
        </w:rPr>
        <w:t>.</w:t>
      </w:r>
    </w:p>
    <w:p w14:paraId="0E17552B" w14:textId="77777777" w:rsidR="00F5309A" w:rsidRPr="005E1202" w:rsidRDefault="00F5309A" w:rsidP="00D11D72">
      <w:pPr>
        <w:jc w:val="both"/>
        <w:rPr>
          <w:rFonts w:cs="Arial"/>
          <w:lang w:val="en-US"/>
        </w:rPr>
      </w:pPr>
    </w:p>
    <w:p w14:paraId="7D24EBCD" w14:textId="77777777" w:rsidR="001A3992" w:rsidRPr="005E1202" w:rsidRDefault="001A3992" w:rsidP="001A3992">
      <w:pPr>
        <w:pStyle w:val="Heading2"/>
        <w:keepNext/>
        <w:keepLines/>
        <w:spacing w:before="0" w:after="120"/>
        <w:rPr>
          <w:rFonts w:cs="Arial"/>
          <w:lang w:val="en-US"/>
        </w:rPr>
      </w:pPr>
      <w:r w:rsidRPr="005E1202">
        <w:rPr>
          <w:rFonts w:cs="Arial"/>
          <w:lang w:val="en-US"/>
        </w:rPr>
        <w:t xml:space="preserve">Special precautions for storage </w:t>
      </w:r>
    </w:p>
    <w:p w14:paraId="5BEC9242" w14:textId="730EDD0B" w:rsidR="00645EA8" w:rsidRDefault="00645EA8" w:rsidP="00645EA8">
      <w:pPr>
        <w:pStyle w:val="Heading3"/>
      </w:pPr>
      <w:r>
        <w:t>Tablets</w:t>
      </w:r>
    </w:p>
    <w:p w14:paraId="0C772145" w14:textId="1C42D5BA" w:rsidR="00F2097A" w:rsidRDefault="009C7847" w:rsidP="009C7847">
      <w:pPr>
        <w:rPr>
          <w:rFonts w:cs="Arial"/>
        </w:rPr>
      </w:pPr>
      <w:r w:rsidRPr="005E1202">
        <w:rPr>
          <w:rFonts w:cs="Arial"/>
        </w:rPr>
        <w:t>Store below 30°C.</w:t>
      </w:r>
    </w:p>
    <w:p w14:paraId="4B0DF53F" w14:textId="63B7FA3A" w:rsidR="00645EA8" w:rsidRDefault="00645EA8" w:rsidP="00645EA8">
      <w:pPr>
        <w:pStyle w:val="Heading3"/>
      </w:pPr>
      <w:r>
        <w:t>Granules</w:t>
      </w:r>
    </w:p>
    <w:p w14:paraId="74703E51" w14:textId="77777777" w:rsidR="00A91C9B" w:rsidRDefault="00645EA8" w:rsidP="00A91C9B">
      <w:pPr>
        <w:rPr>
          <w:rFonts w:cs="Arial"/>
        </w:rPr>
      </w:pPr>
      <w:r w:rsidRPr="005E1202">
        <w:rPr>
          <w:rFonts w:cs="Arial"/>
        </w:rPr>
        <w:t>Store below 30°C.</w:t>
      </w:r>
      <w:r>
        <w:rPr>
          <w:rFonts w:cs="Arial"/>
        </w:rPr>
        <w:t xml:space="preserve"> </w:t>
      </w:r>
    </w:p>
    <w:p w14:paraId="240764EE" w14:textId="7E5B03A8" w:rsidR="00645EA8" w:rsidRDefault="00A91C9B" w:rsidP="00A91C9B">
      <w:pPr>
        <w:rPr>
          <w:rFonts w:cs="Arial"/>
        </w:rPr>
      </w:pPr>
      <w:r>
        <w:rPr>
          <w:rFonts w:cs="Arial"/>
        </w:rPr>
        <w:t xml:space="preserve">Note: </w:t>
      </w:r>
      <w:r w:rsidRPr="00A91C9B">
        <w:rPr>
          <w:rFonts w:cs="Arial"/>
        </w:rPr>
        <w:t>Opened sachets with granules should be used immediately and not</w:t>
      </w:r>
      <w:r>
        <w:rPr>
          <w:rFonts w:cs="Arial"/>
        </w:rPr>
        <w:t xml:space="preserve"> </w:t>
      </w:r>
      <w:r w:rsidRPr="00A91C9B">
        <w:rPr>
          <w:rFonts w:cs="Arial"/>
        </w:rPr>
        <w:t>stored.</w:t>
      </w:r>
    </w:p>
    <w:p w14:paraId="2A2FBB19" w14:textId="77777777" w:rsidR="00F5309A" w:rsidRPr="005E1202" w:rsidRDefault="00F5309A" w:rsidP="009C7847">
      <w:pPr>
        <w:rPr>
          <w:rFonts w:cs="Arial"/>
        </w:rPr>
      </w:pPr>
    </w:p>
    <w:p w14:paraId="5144090A" w14:textId="77777777" w:rsidR="001A3992" w:rsidRPr="005E1202" w:rsidRDefault="001A3992" w:rsidP="001A3992">
      <w:pPr>
        <w:pStyle w:val="Heading2"/>
        <w:spacing w:before="0" w:after="120"/>
        <w:rPr>
          <w:rFonts w:cs="Arial"/>
          <w:lang w:val="en-US"/>
        </w:rPr>
      </w:pPr>
      <w:r w:rsidRPr="005E1202">
        <w:rPr>
          <w:rFonts w:cs="Arial"/>
          <w:lang w:val="en-US"/>
        </w:rPr>
        <w:t xml:space="preserve">Nature and contents of container </w:t>
      </w:r>
    </w:p>
    <w:p w14:paraId="0462443B" w14:textId="468C1D32" w:rsidR="000363B6" w:rsidRPr="000363B6" w:rsidRDefault="000363B6" w:rsidP="000363B6">
      <w:pPr>
        <w:pStyle w:val="Heading3"/>
      </w:pPr>
      <w:r>
        <w:t>Tablets</w:t>
      </w:r>
    </w:p>
    <w:p w14:paraId="53055DD3" w14:textId="569745EC" w:rsidR="009C7847" w:rsidRDefault="009C7847" w:rsidP="00D11D72">
      <w:pPr>
        <w:jc w:val="both"/>
        <w:rPr>
          <w:rFonts w:cs="Arial"/>
        </w:rPr>
      </w:pPr>
      <w:r w:rsidRPr="005E1202">
        <w:rPr>
          <w:rFonts w:cs="Arial"/>
        </w:rPr>
        <w:t>MAVIRET is dispensed in a monthly carton</w:t>
      </w:r>
      <w:r w:rsidR="00B93F52">
        <w:rPr>
          <w:rFonts w:cs="Arial"/>
        </w:rPr>
        <w:t xml:space="preserve"> </w:t>
      </w:r>
      <w:r w:rsidR="00B93F52" w:rsidRPr="00904452">
        <w:rPr>
          <w:rFonts w:cs="Arial"/>
        </w:rPr>
        <w:t>containing a total of 84 film-coated tablets</w:t>
      </w:r>
      <w:r w:rsidRPr="00904452">
        <w:rPr>
          <w:rFonts w:cs="Arial"/>
        </w:rPr>
        <w:t xml:space="preserve">. </w:t>
      </w:r>
      <w:r w:rsidR="00B15CAE" w:rsidRPr="00904452">
        <w:rPr>
          <w:rFonts w:cs="Arial"/>
        </w:rPr>
        <w:t xml:space="preserve"> </w:t>
      </w:r>
      <w:r w:rsidRPr="00904452">
        <w:rPr>
          <w:rFonts w:cs="Arial"/>
        </w:rPr>
        <w:t>Ea</w:t>
      </w:r>
      <w:r w:rsidRPr="005E1202">
        <w:rPr>
          <w:rFonts w:cs="Arial"/>
        </w:rPr>
        <w:t xml:space="preserve">ch monthly carton contains four weekly cartons. </w:t>
      </w:r>
      <w:r w:rsidR="00B15CAE">
        <w:rPr>
          <w:rFonts w:cs="Arial"/>
        </w:rPr>
        <w:t xml:space="preserve"> </w:t>
      </w:r>
      <w:r w:rsidRPr="005E1202">
        <w:rPr>
          <w:rFonts w:cs="Arial"/>
        </w:rPr>
        <w:t xml:space="preserve">Each weekly carton contains seven daily blister packs. </w:t>
      </w:r>
      <w:r w:rsidR="00B15CAE">
        <w:rPr>
          <w:rFonts w:cs="Arial"/>
        </w:rPr>
        <w:t xml:space="preserve"> </w:t>
      </w:r>
      <w:r w:rsidRPr="005E1202">
        <w:rPr>
          <w:rFonts w:cs="Arial"/>
        </w:rPr>
        <w:t>Each daily dose contains three 100 mg / 40 mg glecaprevir</w:t>
      </w:r>
      <w:r w:rsidR="00E362E7">
        <w:rPr>
          <w:rFonts w:cs="Arial"/>
        </w:rPr>
        <w:t xml:space="preserve"> </w:t>
      </w:r>
      <w:r w:rsidRPr="005E1202">
        <w:rPr>
          <w:rFonts w:cs="Arial"/>
        </w:rPr>
        <w:t>/</w:t>
      </w:r>
      <w:r w:rsidR="00E362E7">
        <w:rPr>
          <w:rFonts w:cs="Arial"/>
        </w:rPr>
        <w:t xml:space="preserve"> </w:t>
      </w:r>
      <w:r w:rsidRPr="005E1202">
        <w:rPr>
          <w:rFonts w:cs="Arial"/>
        </w:rPr>
        <w:t>pibrentasvir tablets in PVC/PE/PCTFE</w:t>
      </w:r>
      <w:r w:rsidR="00164172">
        <w:rPr>
          <w:rFonts w:cs="Arial"/>
        </w:rPr>
        <w:t xml:space="preserve"> </w:t>
      </w:r>
      <w:r w:rsidRPr="005E1202">
        <w:rPr>
          <w:rFonts w:cs="Arial"/>
        </w:rPr>
        <w:t>(</w:t>
      </w:r>
      <w:proofErr w:type="spellStart"/>
      <w:r w:rsidRPr="005E1202">
        <w:rPr>
          <w:rFonts w:cs="Arial"/>
        </w:rPr>
        <w:t>Aclar</w:t>
      </w:r>
      <w:proofErr w:type="spellEnd"/>
      <w:r w:rsidRPr="005E1202">
        <w:rPr>
          <w:rFonts w:cs="Arial"/>
        </w:rPr>
        <w:t>)/Al blisters.</w:t>
      </w:r>
    </w:p>
    <w:p w14:paraId="70D99C9F" w14:textId="0A00E929" w:rsidR="00B93F52" w:rsidRPr="00904452" w:rsidRDefault="00B93F52" w:rsidP="00D11D72">
      <w:pPr>
        <w:jc w:val="both"/>
        <w:rPr>
          <w:rFonts w:cs="Arial"/>
        </w:rPr>
      </w:pPr>
      <w:r w:rsidRPr="00904452">
        <w:rPr>
          <w:rFonts w:cs="Arial"/>
        </w:rPr>
        <w:t xml:space="preserve">MAVIRET is also available in a </w:t>
      </w:r>
      <w:proofErr w:type="gramStart"/>
      <w:r w:rsidRPr="00904452">
        <w:rPr>
          <w:rFonts w:cs="Arial"/>
        </w:rPr>
        <w:t>High Density</w:t>
      </w:r>
      <w:proofErr w:type="gramEnd"/>
      <w:r w:rsidRPr="00904452">
        <w:rPr>
          <w:rFonts w:cs="Arial"/>
        </w:rPr>
        <w:t xml:space="preserve"> Polyethylene (HDPE) bottle containing 84 film-tablets and a silica-gel desiccant enclosed with a child resistant closure.</w:t>
      </w:r>
    </w:p>
    <w:p w14:paraId="5DDFB028" w14:textId="77777777" w:rsidR="000363B6" w:rsidRDefault="000363B6" w:rsidP="000363B6">
      <w:pPr>
        <w:pStyle w:val="Heading3"/>
      </w:pPr>
      <w:r>
        <w:lastRenderedPageBreak/>
        <w:t>Granules</w:t>
      </w:r>
    </w:p>
    <w:p w14:paraId="5FFD823D" w14:textId="4645B947" w:rsidR="00B93F52" w:rsidRDefault="000363B6" w:rsidP="000363B6">
      <w:pPr>
        <w:jc w:val="both"/>
      </w:pPr>
      <w:r>
        <w:t xml:space="preserve">MAVIRET granules are available in </w:t>
      </w:r>
      <w:r w:rsidR="0096745D">
        <w:t xml:space="preserve">PET/Al/PE sachets inside cartons. Each </w:t>
      </w:r>
      <w:r>
        <w:t xml:space="preserve">a carton containing a total of </w:t>
      </w:r>
      <w:r w:rsidR="002A6E83">
        <w:t xml:space="preserve">28 </w:t>
      </w:r>
      <w:r>
        <w:t>sachets.</w:t>
      </w:r>
    </w:p>
    <w:p w14:paraId="3A6F064F" w14:textId="77777777" w:rsidR="000363B6" w:rsidRPr="005E1202" w:rsidRDefault="000363B6" w:rsidP="000363B6">
      <w:pPr>
        <w:jc w:val="both"/>
        <w:rPr>
          <w:rFonts w:cs="Arial"/>
        </w:rPr>
      </w:pPr>
    </w:p>
    <w:p w14:paraId="0FED3D60" w14:textId="77777777" w:rsidR="001A3992" w:rsidRPr="005E1202" w:rsidRDefault="001A3992" w:rsidP="001A3992">
      <w:pPr>
        <w:pStyle w:val="Heading2"/>
        <w:spacing w:before="0" w:after="120"/>
        <w:rPr>
          <w:rFonts w:cs="Arial"/>
          <w:lang w:val="en-US"/>
        </w:rPr>
      </w:pPr>
      <w:r w:rsidRPr="005E1202">
        <w:rPr>
          <w:rFonts w:cs="Arial"/>
          <w:lang w:val="en-US"/>
        </w:rPr>
        <w:t xml:space="preserve">Special precautions for disposal </w:t>
      </w:r>
    </w:p>
    <w:p w14:paraId="5CCBE826" w14:textId="44B2FB5D" w:rsidR="00C937E3" w:rsidRDefault="009C7847" w:rsidP="009C7847">
      <w:pPr>
        <w:rPr>
          <w:rFonts w:cs="Arial"/>
          <w:lang w:val="en"/>
        </w:rPr>
      </w:pPr>
      <w:r w:rsidRPr="005E1202">
        <w:rPr>
          <w:rFonts w:cs="Arial"/>
          <w:lang w:val="en"/>
        </w:rPr>
        <w:t xml:space="preserve">In Australia, any unused medicine or waste material should be disposed of by taking </w:t>
      </w:r>
      <w:r w:rsidR="00E362E7">
        <w:rPr>
          <w:rFonts w:cs="Arial"/>
          <w:lang w:val="en"/>
        </w:rPr>
        <w:t xml:space="preserve">it </w:t>
      </w:r>
      <w:r w:rsidRPr="005E1202">
        <w:rPr>
          <w:rFonts w:cs="Arial"/>
          <w:lang w:val="en"/>
        </w:rPr>
        <w:t>to your local pharmacy</w:t>
      </w:r>
      <w:r w:rsidR="00164172">
        <w:rPr>
          <w:rFonts w:cs="Arial"/>
          <w:lang w:val="en"/>
        </w:rPr>
        <w:t>.</w:t>
      </w:r>
    </w:p>
    <w:p w14:paraId="2D828D87" w14:textId="77777777" w:rsidR="00F5309A" w:rsidRDefault="00F5309A" w:rsidP="009C7847">
      <w:pPr>
        <w:rPr>
          <w:rFonts w:cs="Arial"/>
          <w:lang w:val="en"/>
        </w:rPr>
      </w:pPr>
    </w:p>
    <w:p w14:paraId="22583ED2" w14:textId="77777777" w:rsidR="001A3992" w:rsidRPr="005E1202" w:rsidRDefault="001A3992" w:rsidP="001A3992">
      <w:pPr>
        <w:pStyle w:val="Heading2"/>
        <w:spacing w:before="0" w:after="120"/>
        <w:rPr>
          <w:rFonts w:cs="Arial"/>
          <w:lang w:val="en-US"/>
        </w:rPr>
      </w:pPr>
      <w:r w:rsidRPr="005E1202">
        <w:rPr>
          <w:rFonts w:cs="Arial"/>
          <w:lang w:val="en-US"/>
        </w:rPr>
        <w:t>Physicochemical properties</w:t>
      </w:r>
    </w:p>
    <w:p w14:paraId="2E6EB7E9" w14:textId="77777777" w:rsidR="001A3992" w:rsidRPr="005E1202" w:rsidRDefault="001A3992" w:rsidP="001A3992">
      <w:pPr>
        <w:pStyle w:val="Heading3"/>
        <w:rPr>
          <w:rFonts w:cs="Arial"/>
          <w:lang w:val="en-US"/>
        </w:rPr>
      </w:pPr>
      <w:r w:rsidRPr="005E1202">
        <w:rPr>
          <w:rFonts w:cs="Arial"/>
          <w:lang w:val="en-US"/>
        </w:rPr>
        <w:t>Chemical structure</w:t>
      </w:r>
      <w:r w:rsidR="009C7847" w:rsidRPr="005E1202">
        <w:rPr>
          <w:rFonts w:cs="Arial"/>
          <w:lang w:val="en-US"/>
        </w:rPr>
        <w:t xml:space="preserve"> and CAS numbers</w:t>
      </w:r>
    </w:p>
    <w:p w14:paraId="68923345" w14:textId="77777777" w:rsidR="009C7847" w:rsidRPr="005E1202" w:rsidRDefault="009C7847" w:rsidP="009C7847">
      <w:pPr>
        <w:pStyle w:val="Heading4"/>
        <w:rPr>
          <w:rFonts w:cs="Arial"/>
        </w:rPr>
      </w:pPr>
      <w:r w:rsidRPr="005E1202">
        <w:rPr>
          <w:rFonts w:cs="Arial"/>
        </w:rPr>
        <w:t>Glecaprevir</w:t>
      </w:r>
    </w:p>
    <w:p w14:paraId="4BC5BECC" w14:textId="77777777" w:rsidR="009C7847" w:rsidRPr="005E1202" w:rsidRDefault="009C7847" w:rsidP="00D11D72">
      <w:pPr>
        <w:jc w:val="both"/>
        <w:rPr>
          <w:rFonts w:cs="Arial"/>
        </w:rPr>
      </w:pPr>
      <w:r w:rsidRPr="005E1202">
        <w:rPr>
          <w:rFonts w:cs="Arial"/>
        </w:rPr>
        <w:t>The chemical name of glecaprevir is (3a</w:t>
      </w:r>
      <w:r w:rsidRPr="005E1202">
        <w:rPr>
          <w:rFonts w:cs="Arial"/>
          <w:i/>
        </w:rPr>
        <w:t>R</w:t>
      </w:r>
      <w:r w:rsidRPr="005E1202">
        <w:rPr>
          <w:rFonts w:cs="Arial"/>
        </w:rPr>
        <w:t>,7</w:t>
      </w:r>
      <w:r w:rsidRPr="005E1202">
        <w:rPr>
          <w:rFonts w:cs="Arial"/>
          <w:i/>
        </w:rPr>
        <w:t>S</w:t>
      </w:r>
      <w:r w:rsidRPr="005E1202">
        <w:rPr>
          <w:rFonts w:cs="Arial"/>
        </w:rPr>
        <w:t>,10</w:t>
      </w:r>
      <w:r w:rsidRPr="005E1202">
        <w:rPr>
          <w:rFonts w:cs="Arial"/>
          <w:i/>
        </w:rPr>
        <w:t>S</w:t>
      </w:r>
      <w:r w:rsidRPr="005E1202">
        <w:rPr>
          <w:rFonts w:cs="Arial"/>
        </w:rPr>
        <w:t>,12</w:t>
      </w:r>
      <w:r w:rsidRPr="005E1202">
        <w:rPr>
          <w:rFonts w:cs="Arial"/>
          <w:i/>
        </w:rPr>
        <w:t>R</w:t>
      </w:r>
      <w:r w:rsidRPr="005E1202">
        <w:rPr>
          <w:rFonts w:cs="Arial"/>
        </w:rPr>
        <w:t>,21</w:t>
      </w:r>
      <w:r w:rsidRPr="005E1202">
        <w:rPr>
          <w:rFonts w:cs="Arial"/>
          <w:i/>
        </w:rPr>
        <w:t>E</w:t>
      </w:r>
      <w:r w:rsidRPr="005E1202">
        <w:rPr>
          <w:rFonts w:cs="Arial"/>
        </w:rPr>
        <w:t>,24a</w:t>
      </w:r>
      <w:r w:rsidRPr="005E1202">
        <w:rPr>
          <w:rFonts w:cs="Arial"/>
          <w:i/>
        </w:rPr>
        <w:t>R</w:t>
      </w:r>
      <w:r w:rsidRPr="005E1202">
        <w:rPr>
          <w:rFonts w:cs="Arial"/>
        </w:rPr>
        <w:t>)-7-</w:t>
      </w:r>
      <w:r w:rsidRPr="005E1202">
        <w:rPr>
          <w:rFonts w:cs="Arial"/>
          <w:i/>
        </w:rPr>
        <w:t>tert</w:t>
      </w:r>
      <w:r w:rsidRPr="005E1202">
        <w:rPr>
          <w:rFonts w:cs="Arial"/>
        </w:rPr>
        <w:t>-butyl-</w:t>
      </w:r>
      <w:r w:rsidRPr="005E1202">
        <w:rPr>
          <w:rFonts w:cs="Arial"/>
          <w:i/>
        </w:rPr>
        <w:t>N</w:t>
      </w:r>
      <w:r w:rsidRPr="005E1202">
        <w:rPr>
          <w:rFonts w:cs="Arial"/>
        </w:rPr>
        <w:t>-{(1</w:t>
      </w:r>
      <w:r w:rsidRPr="005E1202">
        <w:rPr>
          <w:rFonts w:cs="Arial"/>
          <w:i/>
        </w:rPr>
        <w:t>R</w:t>
      </w:r>
      <w:r w:rsidRPr="005E1202">
        <w:rPr>
          <w:rFonts w:cs="Arial"/>
        </w:rPr>
        <w:t>,2</w:t>
      </w:r>
      <w:r w:rsidRPr="005E1202">
        <w:rPr>
          <w:rFonts w:cs="Arial"/>
          <w:i/>
        </w:rPr>
        <w:t>R</w:t>
      </w:r>
      <w:r w:rsidRPr="005E1202">
        <w:rPr>
          <w:rFonts w:cs="Arial"/>
        </w:rPr>
        <w:t>)-2-(difluoromethyl)-1-[(1-methylcyclopropane-1-sulfonyl)carbamoyl]cyclopropyl}-20,20-difluoro-5,8-dioxo-2,3,3a,5,6,7,8,11,12,20,23,24a-dodecahydro-1</w:t>
      </w:r>
      <w:r w:rsidRPr="005E1202">
        <w:rPr>
          <w:rFonts w:cs="Arial"/>
          <w:i/>
        </w:rPr>
        <w:t>H</w:t>
      </w:r>
      <w:r w:rsidRPr="005E1202">
        <w:rPr>
          <w:rFonts w:cs="Arial"/>
        </w:rPr>
        <w:t>,10</w:t>
      </w:r>
      <w:r w:rsidRPr="005E1202">
        <w:rPr>
          <w:rFonts w:cs="Arial"/>
          <w:i/>
        </w:rPr>
        <w:t>H</w:t>
      </w:r>
      <w:r w:rsidRPr="005E1202">
        <w:rPr>
          <w:rFonts w:cs="Arial"/>
        </w:rPr>
        <w:t xml:space="preserve">-9,12-methanocyclopenta[18,19][1,10,17,3,6]trioxadiazacyclononadecino[11,12-b]quinoxaline-10-carboxamide hydrate. </w:t>
      </w:r>
    </w:p>
    <w:p w14:paraId="55A6BB14" w14:textId="1595F2AB" w:rsidR="00705BAD" w:rsidRPr="005E1202" w:rsidRDefault="009C7847" w:rsidP="00D11D72">
      <w:pPr>
        <w:jc w:val="both"/>
        <w:rPr>
          <w:rFonts w:cs="Arial"/>
        </w:rPr>
      </w:pPr>
      <w:r w:rsidRPr="005E1202">
        <w:rPr>
          <w:rFonts w:cs="Arial"/>
        </w:rPr>
        <w:t>The molecular formula is C</w:t>
      </w:r>
      <w:r w:rsidRPr="005E1202">
        <w:rPr>
          <w:rFonts w:cs="Arial"/>
          <w:vertAlign w:val="subscript"/>
        </w:rPr>
        <w:t>38</w:t>
      </w:r>
      <w:r w:rsidRPr="005E1202">
        <w:rPr>
          <w:rFonts w:cs="Arial"/>
        </w:rPr>
        <w:t>H</w:t>
      </w:r>
      <w:r w:rsidRPr="005E1202">
        <w:rPr>
          <w:rFonts w:cs="Arial"/>
          <w:vertAlign w:val="subscript"/>
        </w:rPr>
        <w:t>46</w:t>
      </w:r>
      <w:r w:rsidRPr="005E1202">
        <w:rPr>
          <w:rFonts w:cs="Arial"/>
        </w:rPr>
        <w:t>F</w:t>
      </w:r>
      <w:r w:rsidRPr="005E1202">
        <w:rPr>
          <w:rFonts w:cs="Arial"/>
          <w:vertAlign w:val="subscript"/>
        </w:rPr>
        <w:t>4</w:t>
      </w:r>
      <w:r w:rsidRPr="005E1202">
        <w:rPr>
          <w:rFonts w:cs="Arial"/>
        </w:rPr>
        <w:t>N</w:t>
      </w:r>
      <w:r w:rsidRPr="005E1202">
        <w:rPr>
          <w:rFonts w:cs="Arial"/>
          <w:vertAlign w:val="subscript"/>
        </w:rPr>
        <w:t>6</w:t>
      </w:r>
      <w:r w:rsidRPr="005E1202">
        <w:rPr>
          <w:rFonts w:cs="Arial"/>
        </w:rPr>
        <w:t>O</w:t>
      </w:r>
      <w:r w:rsidRPr="005E1202">
        <w:rPr>
          <w:rFonts w:cs="Arial"/>
          <w:vertAlign w:val="subscript"/>
        </w:rPr>
        <w:t>9</w:t>
      </w:r>
      <w:r w:rsidRPr="005E1202">
        <w:rPr>
          <w:rFonts w:cs="Arial"/>
        </w:rPr>
        <w:t>S (</w:t>
      </w:r>
      <w:proofErr w:type="spellStart"/>
      <w:r w:rsidRPr="005E1202">
        <w:rPr>
          <w:rFonts w:cs="Arial"/>
        </w:rPr>
        <w:t>anhydrate</w:t>
      </w:r>
      <w:proofErr w:type="spellEnd"/>
      <w:r w:rsidRPr="005E1202">
        <w:rPr>
          <w:rFonts w:cs="Arial"/>
        </w:rPr>
        <w:t>) and the molecular weight for the drug substance is 838.87 g/mol (</w:t>
      </w:r>
      <w:proofErr w:type="spellStart"/>
      <w:r w:rsidRPr="005E1202">
        <w:rPr>
          <w:rFonts w:cs="Arial"/>
        </w:rPr>
        <w:t>anhydrate</w:t>
      </w:r>
      <w:proofErr w:type="spellEnd"/>
      <w:r w:rsidRPr="005E1202">
        <w:rPr>
          <w:rFonts w:cs="Arial"/>
        </w:rPr>
        <w:t xml:space="preserve">). </w:t>
      </w:r>
    </w:p>
    <w:p w14:paraId="2C3E47F9" w14:textId="77777777" w:rsidR="009C7847" w:rsidRPr="005E1202" w:rsidRDefault="009C7847" w:rsidP="00D11D72">
      <w:pPr>
        <w:jc w:val="both"/>
        <w:rPr>
          <w:rFonts w:cs="Arial"/>
        </w:rPr>
      </w:pPr>
      <w:r w:rsidRPr="005E1202">
        <w:rPr>
          <w:rFonts w:cs="Arial"/>
        </w:rPr>
        <w:t xml:space="preserve">Glecaprevir has the following molecular structure: </w:t>
      </w:r>
    </w:p>
    <w:p w14:paraId="6C5BE5DC" w14:textId="77777777" w:rsidR="009C7847" w:rsidRPr="005E1202" w:rsidRDefault="009C7847" w:rsidP="009C7847">
      <w:pPr>
        <w:jc w:val="center"/>
        <w:rPr>
          <w:rFonts w:cs="Arial"/>
        </w:rPr>
      </w:pPr>
      <w:r w:rsidRPr="005E1202">
        <w:rPr>
          <w:rFonts w:cs="Arial"/>
          <w:noProof/>
          <w:lang w:val="en-US"/>
        </w:rPr>
        <w:drawing>
          <wp:inline distT="0" distB="0" distL="0" distR="0" wp14:anchorId="323C3542" wp14:editId="4AD3EE42">
            <wp:extent cx="2312158" cy="2018995"/>
            <wp:effectExtent l="0" t="0" r="0" b="63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12158" cy="2018995"/>
                    </a:xfrm>
                    <a:prstGeom prst="rect">
                      <a:avLst/>
                    </a:prstGeom>
                    <a:noFill/>
                    <a:ln>
                      <a:noFill/>
                    </a:ln>
                  </pic:spPr>
                </pic:pic>
              </a:graphicData>
            </a:graphic>
          </wp:inline>
        </w:drawing>
      </w:r>
    </w:p>
    <w:p w14:paraId="112C0C13" w14:textId="0765C453" w:rsidR="00F2097A" w:rsidRPr="005E1202" w:rsidRDefault="009C7847" w:rsidP="009C7847">
      <w:pPr>
        <w:rPr>
          <w:rFonts w:cs="Arial"/>
        </w:rPr>
      </w:pPr>
      <w:r w:rsidRPr="005E1202">
        <w:rPr>
          <w:rFonts w:cs="Arial"/>
        </w:rPr>
        <w:t xml:space="preserve">CAS Number: </w:t>
      </w:r>
      <w:r w:rsidRPr="005E1202">
        <w:rPr>
          <w:rFonts w:cs="Arial"/>
        </w:rPr>
        <w:tab/>
        <w:t>1838571-99-5 (</w:t>
      </w:r>
      <w:proofErr w:type="spellStart"/>
      <w:r w:rsidRPr="005E1202">
        <w:rPr>
          <w:rFonts w:cs="Arial"/>
        </w:rPr>
        <w:t>anhydrate</w:t>
      </w:r>
      <w:proofErr w:type="spellEnd"/>
      <w:r w:rsidRPr="005E1202">
        <w:rPr>
          <w:rFonts w:cs="Arial"/>
        </w:rPr>
        <w:t xml:space="preserve">) </w:t>
      </w:r>
    </w:p>
    <w:p w14:paraId="61D7DC50" w14:textId="77777777" w:rsidR="009C7847" w:rsidRPr="005E1202" w:rsidRDefault="009C7847" w:rsidP="009C7847">
      <w:pPr>
        <w:pStyle w:val="Heading4"/>
        <w:rPr>
          <w:rFonts w:cs="Arial"/>
        </w:rPr>
      </w:pPr>
      <w:r w:rsidRPr="005E1202">
        <w:rPr>
          <w:rFonts w:cs="Arial"/>
        </w:rPr>
        <w:lastRenderedPageBreak/>
        <w:t>Pibrentasvir</w:t>
      </w:r>
    </w:p>
    <w:p w14:paraId="312BD7BC" w14:textId="77777777" w:rsidR="009C7847" w:rsidRPr="005E1202" w:rsidRDefault="009C7847" w:rsidP="00D11D72">
      <w:pPr>
        <w:jc w:val="both"/>
        <w:rPr>
          <w:rFonts w:cs="Arial"/>
        </w:rPr>
      </w:pPr>
      <w:r w:rsidRPr="005E1202">
        <w:rPr>
          <w:rFonts w:cs="Arial"/>
        </w:rPr>
        <w:t>The chemical name of pibrentasvir is methyl {(2</w:t>
      </w:r>
      <w:r w:rsidRPr="005E1202">
        <w:rPr>
          <w:rFonts w:cs="Arial"/>
          <w:i/>
        </w:rPr>
        <w:t>S</w:t>
      </w:r>
      <w:r w:rsidRPr="005E1202">
        <w:rPr>
          <w:rFonts w:cs="Arial"/>
        </w:rPr>
        <w:t>,3</w:t>
      </w:r>
      <w:r w:rsidRPr="005E1202">
        <w:rPr>
          <w:rFonts w:cs="Arial"/>
          <w:i/>
        </w:rPr>
        <w:t>R</w:t>
      </w:r>
      <w:r w:rsidRPr="005E1202">
        <w:rPr>
          <w:rFonts w:cs="Arial"/>
        </w:rPr>
        <w:t>)-1-[(2</w:t>
      </w:r>
      <w:r w:rsidRPr="005E1202">
        <w:rPr>
          <w:rFonts w:cs="Arial"/>
          <w:i/>
        </w:rPr>
        <w:t>S</w:t>
      </w:r>
      <w:r w:rsidRPr="005E1202">
        <w:rPr>
          <w:rFonts w:cs="Arial"/>
        </w:rPr>
        <w:t>)-2-{5-[(2</w:t>
      </w:r>
      <w:r w:rsidRPr="005E1202">
        <w:rPr>
          <w:rFonts w:cs="Arial"/>
          <w:i/>
        </w:rPr>
        <w:t>R</w:t>
      </w:r>
      <w:r w:rsidRPr="005E1202">
        <w:rPr>
          <w:rFonts w:cs="Arial"/>
        </w:rPr>
        <w:t>,5</w:t>
      </w:r>
      <w:r w:rsidRPr="005E1202">
        <w:rPr>
          <w:rFonts w:cs="Arial"/>
          <w:i/>
        </w:rPr>
        <w:t>R</w:t>
      </w:r>
      <w:r w:rsidRPr="005E1202">
        <w:rPr>
          <w:rFonts w:cs="Arial"/>
        </w:rPr>
        <w:t>)-1-{3,5-difluoro-4-[4-(4-fluorophenyl)piperidin-1-yl]phenyl}-5-(6-fluoro-2-{(2</w:t>
      </w:r>
      <w:r w:rsidRPr="005E1202">
        <w:rPr>
          <w:rFonts w:cs="Arial"/>
          <w:i/>
        </w:rPr>
        <w:t>S</w:t>
      </w:r>
      <w:r w:rsidRPr="005E1202">
        <w:rPr>
          <w:rFonts w:cs="Arial"/>
        </w:rPr>
        <w:t>)-1-[</w:t>
      </w:r>
      <w:r w:rsidRPr="005E1202">
        <w:rPr>
          <w:rFonts w:cs="Arial"/>
          <w:i/>
        </w:rPr>
        <w:t>N</w:t>
      </w:r>
      <w:r w:rsidRPr="005E1202">
        <w:rPr>
          <w:rFonts w:cs="Arial"/>
        </w:rPr>
        <w:t>-(methoxycarbonyl)-</w:t>
      </w:r>
      <w:r w:rsidRPr="005E1202">
        <w:rPr>
          <w:rFonts w:cs="Arial"/>
          <w:i/>
        </w:rPr>
        <w:t>O</w:t>
      </w:r>
      <w:r w:rsidRPr="005E1202">
        <w:rPr>
          <w:rFonts w:cs="Arial"/>
        </w:rPr>
        <w:t>-methyl-L-threonyl]pyrrolidin-2-yl}-1</w:t>
      </w:r>
      <w:r w:rsidRPr="005E1202">
        <w:rPr>
          <w:rFonts w:cs="Arial"/>
          <w:i/>
        </w:rPr>
        <w:t>H</w:t>
      </w:r>
      <w:r w:rsidRPr="005E1202">
        <w:rPr>
          <w:rFonts w:cs="Arial"/>
        </w:rPr>
        <w:t>-benzimidazol-5-yl)pyrrolidin-2-yl]-6-fluoro-1</w:t>
      </w:r>
      <w:r w:rsidRPr="005E1202">
        <w:rPr>
          <w:rFonts w:cs="Arial"/>
          <w:i/>
        </w:rPr>
        <w:t>H</w:t>
      </w:r>
      <w:r w:rsidRPr="005E1202">
        <w:rPr>
          <w:rFonts w:cs="Arial"/>
        </w:rPr>
        <w:t xml:space="preserve">-benzimidazol-2-yl}pyrrolidin-1-yl]-3-methoxy-1-oxobutan-2-yl}carbamate. </w:t>
      </w:r>
    </w:p>
    <w:p w14:paraId="1BB51ED7" w14:textId="3AE53D19" w:rsidR="00B26185" w:rsidRDefault="009C7847" w:rsidP="00D11D72">
      <w:pPr>
        <w:jc w:val="both"/>
        <w:rPr>
          <w:rFonts w:cs="Arial"/>
        </w:rPr>
      </w:pPr>
      <w:r w:rsidRPr="005E1202">
        <w:rPr>
          <w:rFonts w:cs="Arial"/>
        </w:rPr>
        <w:t>The molecular formula is C</w:t>
      </w:r>
      <w:r w:rsidRPr="005E1202">
        <w:rPr>
          <w:rFonts w:cs="Arial"/>
          <w:vertAlign w:val="subscript"/>
        </w:rPr>
        <w:t>57</w:t>
      </w:r>
      <w:r w:rsidRPr="005E1202">
        <w:rPr>
          <w:rFonts w:cs="Arial"/>
        </w:rPr>
        <w:t>H</w:t>
      </w:r>
      <w:r w:rsidRPr="005E1202">
        <w:rPr>
          <w:rFonts w:cs="Arial"/>
          <w:vertAlign w:val="subscript"/>
        </w:rPr>
        <w:t>65</w:t>
      </w:r>
      <w:r w:rsidRPr="005E1202">
        <w:rPr>
          <w:rFonts w:cs="Arial"/>
        </w:rPr>
        <w:t>F</w:t>
      </w:r>
      <w:r w:rsidRPr="005E1202">
        <w:rPr>
          <w:rFonts w:cs="Arial"/>
          <w:vertAlign w:val="subscript"/>
        </w:rPr>
        <w:t>5</w:t>
      </w:r>
      <w:r w:rsidRPr="005E1202">
        <w:rPr>
          <w:rFonts w:cs="Arial"/>
        </w:rPr>
        <w:t>N</w:t>
      </w:r>
      <w:r w:rsidRPr="005E1202">
        <w:rPr>
          <w:rFonts w:cs="Arial"/>
          <w:vertAlign w:val="subscript"/>
        </w:rPr>
        <w:t>10</w:t>
      </w:r>
      <w:r w:rsidRPr="005E1202">
        <w:rPr>
          <w:rFonts w:cs="Arial"/>
        </w:rPr>
        <w:t>O</w:t>
      </w:r>
      <w:r w:rsidRPr="005E1202">
        <w:rPr>
          <w:rFonts w:cs="Arial"/>
          <w:vertAlign w:val="subscript"/>
        </w:rPr>
        <w:t xml:space="preserve">8 </w:t>
      </w:r>
      <w:r w:rsidRPr="005E1202">
        <w:rPr>
          <w:rFonts w:cs="Arial"/>
        </w:rPr>
        <w:t xml:space="preserve">and the molecular weight for the drug substance is 1113.18 g/mol. </w:t>
      </w:r>
    </w:p>
    <w:p w14:paraId="6DE51CD9" w14:textId="77777777" w:rsidR="009C7847" w:rsidRPr="005E1202" w:rsidRDefault="009C7847" w:rsidP="00D11D72">
      <w:pPr>
        <w:jc w:val="both"/>
        <w:rPr>
          <w:rFonts w:cs="Arial"/>
        </w:rPr>
      </w:pPr>
      <w:r w:rsidRPr="005E1202">
        <w:rPr>
          <w:rFonts w:cs="Arial"/>
        </w:rPr>
        <w:t xml:space="preserve">Pibrentasvir has the following molecular structure: </w:t>
      </w:r>
    </w:p>
    <w:p w14:paraId="09909A8F" w14:textId="77777777" w:rsidR="009C7847" w:rsidRPr="005E1202" w:rsidRDefault="009C7847" w:rsidP="009C7847">
      <w:pPr>
        <w:jc w:val="center"/>
        <w:rPr>
          <w:rFonts w:cs="Arial"/>
        </w:rPr>
      </w:pPr>
      <w:r w:rsidRPr="005E1202">
        <w:rPr>
          <w:rFonts w:cs="Arial"/>
          <w:noProof/>
          <w:lang w:val="en-US"/>
        </w:rPr>
        <w:drawing>
          <wp:inline distT="0" distB="0" distL="0" distR="0" wp14:anchorId="3F68262E" wp14:editId="198D8223">
            <wp:extent cx="3714750" cy="2333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714750" cy="2333625"/>
                    </a:xfrm>
                    <a:prstGeom prst="rect">
                      <a:avLst/>
                    </a:prstGeom>
                    <a:noFill/>
                    <a:ln>
                      <a:noFill/>
                    </a:ln>
                  </pic:spPr>
                </pic:pic>
              </a:graphicData>
            </a:graphic>
          </wp:inline>
        </w:drawing>
      </w:r>
    </w:p>
    <w:p w14:paraId="0B861ED1" w14:textId="348DB2B4" w:rsidR="009C7847" w:rsidRDefault="009C7847" w:rsidP="009C7847">
      <w:pPr>
        <w:rPr>
          <w:rFonts w:cs="Arial"/>
        </w:rPr>
      </w:pPr>
      <w:r w:rsidRPr="005E1202">
        <w:rPr>
          <w:rFonts w:cs="Arial"/>
        </w:rPr>
        <w:t xml:space="preserve">CAS Number: </w:t>
      </w:r>
      <w:r w:rsidRPr="005E1202">
        <w:rPr>
          <w:rFonts w:cs="Arial"/>
        </w:rPr>
        <w:tab/>
        <w:t xml:space="preserve">1353900-92-1 </w:t>
      </w:r>
    </w:p>
    <w:p w14:paraId="3B0D7B22" w14:textId="77777777" w:rsidR="009472AE" w:rsidRPr="005E1202" w:rsidRDefault="009472AE" w:rsidP="009C7847">
      <w:pPr>
        <w:rPr>
          <w:rFonts w:cs="Arial"/>
        </w:rPr>
      </w:pPr>
    </w:p>
    <w:p w14:paraId="3358FA9D" w14:textId="77777777" w:rsidR="001A3992" w:rsidRPr="005E1202" w:rsidRDefault="001A3992" w:rsidP="001A3992">
      <w:pPr>
        <w:pStyle w:val="Heading1"/>
        <w:spacing w:before="0" w:after="120"/>
        <w:rPr>
          <w:rFonts w:ascii="Arial" w:hAnsi="Arial" w:cs="Arial"/>
          <w:lang w:val="en-US"/>
        </w:rPr>
      </w:pPr>
      <w:r w:rsidRPr="005E1202">
        <w:rPr>
          <w:rFonts w:ascii="Arial" w:hAnsi="Arial" w:cs="Arial"/>
          <w:lang w:val="en-US"/>
        </w:rPr>
        <w:t>Medicine schedule (Poisons Standard)</w:t>
      </w:r>
    </w:p>
    <w:p w14:paraId="779325D5" w14:textId="77777777" w:rsidR="009C7847" w:rsidRDefault="009C7847" w:rsidP="009C7847">
      <w:pPr>
        <w:rPr>
          <w:rFonts w:cs="Arial"/>
        </w:rPr>
      </w:pPr>
      <w:r w:rsidRPr="005E1202">
        <w:rPr>
          <w:rFonts w:cs="Arial"/>
        </w:rPr>
        <w:t>Schedule 4</w:t>
      </w:r>
    </w:p>
    <w:p w14:paraId="631F638C" w14:textId="77777777" w:rsidR="00D11D72" w:rsidRPr="005E1202" w:rsidRDefault="00D11D72" w:rsidP="009C7847">
      <w:pPr>
        <w:rPr>
          <w:rFonts w:cs="Arial"/>
        </w:rPr>
      </w:pPr>
    </w:p>
    <w:p w14:paraId="463AE5C6" w14:textId="77777777" w:rsidR="00285173" w:rsidRPr="005E1202" w:rsidRDefault="001A3992" w:rsidP="00285173">
      <w:pPr>
        <w:pStyle w:val="Heading1"/>
        <w:spacing w:before="0" w:after="120"/>
        <w:rPr>
          <w:rFonts w:ascii="Arial" w:hAnsi="Arial" w:cs="Arial"/>
          <w:lang w:val="en-US"/>
        </w:rPr>
      </w:pPr>
      <w:r w:rsidRPr="005E1202">
        <w:rPr>
          <w:rFonts w:ascii="Arial" w:hAnsi="Arial" w:cs="Arial"/>
          <w:lang w:val="en-US"/>
        </w:rPr>
        <w:t>Sponsor</w:t>
      </w:r>
      <w:r w:rsidR="00285173" w:rsidRPr="005E1202">
        <w:rPr>
          <w:rFonts w:ascii="Arial" w:hAnsi="Arial" w:cs="Arial"/>
          <w:lang w:val="en-US"/>
        </w:rPr>
        <w:t xml:space="preserve"> </w:t>
      </w:r>
    </w:p>
    <w:p w14:paraId="5C8DB6B1" w14:textId="77777777" w:rsidR="009C7847" w:rsidRPr="005E1202" w:rsidRDefault="009C7847" w:rsidP="00FD2FB7">
      <w:pPr>
        <w:spacing w:after="120"/>
        <w:rPr>
          <w:rFonts w:cs="Arial"/>
        </w:rPr>
      </w:pPr>
      <w:r w:rsidRPr="005E1202">
        <w:rPr>
          <w:rFonts w:cs="Arial"/>
        </w:rPr>
        <w:t>AbbVie Pty Ltd</w:t>
      </w:r>
    </w:p>
    <w:p w14:paraId="43A6955E" w14:textId="77777777" w:rsidR="009C7847" w:rsidRPr="005E1202" w:rsidRDefault="009C7847" w:rsidP="00FD2FB7">
      <w:pPr>
        <w:spacing w:after="120"/>
        <w:rPr>
          <w:rFonts w:cs="Arial"/>
        </w:rPr>
      </w:pPr>
      <w:r w:rsidRPr="005E1202">
        <w:rPr>
          <w:rFonts w:cs="Arial"/>
        </w:rPr>
        <w:t xml:space="preserve">241 </w:t>
      </w:r>
      <w:proofErr w:type="spellStart"/>
      <w:r w:rsidRPr="005E1202">
        <w:rPr>
          <w:rFonts w:cs="Arial"/>
        </w:rPr>
        <w:t>O’Riordan</w:t>
      </w:r>
      <w:proofErr w:type="spellEnd"/>
      <w:r w:rsidRPr="005E1202">
        <w:rPr>
          <w:rFonts w:cs="Arial"/>
        </w:rPr>
        <w:t xml:space="preserve"> Street</w:t>
      </w:r>
    </w:p>
    <w:p w14:paraId="68BD14A8" w14:textId="77777777" w:rsidR="009C7847" w:rsidRPr="005E1202" w:rsidRDefault="009C7847" w:rsidP="00FD2FB7">
      <w:pPr>
        <w:spacing w:after="120"/>
        <w:rPr>
          <w:rFonts w:cs="Arial"/>
        </w:rPr>
      </w:pPr>
      <w:r w:rsidRPr="005E1202">
        <w:rPr>
          <w:rFonts w:cs="Arial"/>
        </w:rPr>
        <w:t>Mascot NSW 2020</w:t>
      </w:r>
    </w:p>
    <w:p w14:paraId="38CE653F" w14:textId="77777777" w:rsidR="009C7847" w:rsidRPr="005E1202" w:rsidRDefault="009C7847" w:rsidP="00FD2FB7">
      <w:pPr>
        <w:spacing w:after="120"/>
        <w:rPr>
          <w:rFonts w:cs="Arial"/>
        </w:rPr>
      </w:pPr>
      <w:r w:rsidRPr="005E1202">
        <w:rPr>
          <w:rFonts w:cs="Arial"/>
        </w:rPr>
        <w:t>AUSTRALIA</w:t>
      </w:r>
    </w:p>
    <w:p w14:paraId="610EF129" w14:textId="77777777" w:rsidR="00F2097A" w:rsidRDefault="00AA05CF" w:rsidP="00FD2FB7">
      <w:pPr>
        <w:spacing w:after="120"/>
        <w:rPr>
          <w:rFonts w:cs="Arial"/>
        </w:rPr>
      </w:pPr>
      <w:r w:rsidRPr="00AA05CF">
        <w:rPr>
          <w:rFonts w:cs="Arial"/>
        </w:rPr>
        <w:lastRenderedPageBreak/>
        <w:t>Tel: 1800 043 460</w:t>
      </w:r>
    </w:p>
    <w:p w14:paraId="6BEB357A" w14:textId="77777777" w:rsidR="00101A8A" w:rsidRPr="005E1202" w:rsidRDefault="00101A8A" w:rsidP="00FD2FB7">
      <w:pPr>
        <w:spacing w:after="120"/>
        <w:rPr>
          <w:rFonts w:cs="Arial"/>
        </w:rPr>
      </w:pPr>
    </w:p>
    <w:p w14:paraId="4F6E3154" w14:textId="77777777" w:rsidR="009C7847" w:rsidRPr="005E1202" w:rsidRDefault="009C7847" w:rsidP="00FD2FB7">
      <w:pPr>
        <w:spacing w:after="120"/>
        <w:rPr>
          <w:rFonts w:cs="Arial"/>
        </w:rPr>
      </w:pPr>
      <w:r w:rsidRPr="005E1202">
        <w:rPr>
          <w:rFonts w:cs="Arial"/>
        </w:rPr>
        <w:t>AbbVie Limited</w:t>
      </w:r>
    </w:p>
    <w:p w14:paraId="516749A4" w14:textId="77777777" w:rsidR="009C7847" w:rsidRPr="005E1202" w:rsidRDefault="009C7847" w:rsidP="00FD2FB7">
      <w:pPr>
        <w:spacing w:after="120"/>
        <w:rPr>
          <w:rFonts w:cs="Arial"/>
        </w:rPr>
      </w:pPr>
      <w:r w:rsidRPr="005E1202">
        <w:rPr>
          <w:rFonts w:cs="Arial"/>
        </w:rPr>
        <w:t>6</w:t>
      </w:r>
      <w:r w:rsidRPr="005E1202">
        <w:rPr>
          <w:rFonts w:cs="Arial"/>
          <w:vertAlign w:val="superscript"/>
        </w:rPr>
        <w:t>th</w:t>
      </w:r>
      <w:r w:rsidRPr="005E1202">
        <w:rPr>
          <w:rFonts w:cs="Arial"/>
        </w:rPr>
        <w:t xml:space="preserve"> Floor</w:t>
      </w:r>
      <w:r w:rsidR="00301A17">
        <w:rPr>
          <w:rFonts w:cs="Arial"/>
        </w:rPr>
        <w:t>,</w:t>
      </w:r>
      <w:r w:rsidRPr="005E1202">
        <w:rPr>
          <w:rFonts w:cs="Arial"/>
        </w:rPr>
        <w:t xml:space="preserve"> 156-158 Victoria St</w:t>
      </w:r>
    </w:p>
    <w:p w14:paraId="02810886" w14:textId="77777777" w:rsidR="009C7847" w:rsidRPr="005E1202" w:rsidRDefault="009C7847" w:rsidP="00FD2FB7">
      <w:pPr>
        <w:spacing w:after="120"/>
        <w:rPr>
          <w:rFonts w:cs="Arial"/>
        </w:rPr>
      </w:pPr>
      <w:r w:rsidRPr="005E1202">
        <w:rPr>
          <w:rFonts w:cs="Arial"/>
        </w:rPr>
        <w:t>Wellington, 6011</w:t>
      </w:r>
    </w:p>
    <w:p w14:paraId="2B30BE65" w14:textId="77777777" w:rsidR="009C7847" w:rsidRPr="005E1202" w:rsidRDefault="009C7847" w:rsidP="00FD2FB7">
      <w:pPr>
        <w:spacing w:after="120"/>
        <w:rPr>
          <w:rFonts w:cs="Arial"/>
        </w:rPr>
      </w:pPr>
      <w:r w:rsidRPr="005E1202">
        <w:rPr>
          <w:rFonts w:cs="Arial"/>
        </w:rPr>
        <w:t>NEW ZEALAND</w:t>
      </w:r>
    </w:p>
    <w:p w14:paraId="0804E7A3" w14:textId="77777777" w:rsidR="009C7847" w:rsidRPr="005E1202" w:rsidRDefault="009C7847" w:rsidP="009C7847">
      <w:pPr>
        <w:rPr>
          <w:rFonts w:cs="Arial"/>
          <w:lang w:val="en-US"/>
        </w:rPr>
      </w:pPr>
    </w:p>
    <w:p w14:paraId="3F371282" w14:textId="77777777" w:rsidR="00285173" w:rsidRDefault="00285173" w:rsidP="00285173">
      <w:pPr>
        <w:pStyle w:val="Heading1"/>
        <w:spacing w:before="0" w:after="120"/>
        <w:rPr>
          <w:rFonts w:ascii="Arial" w:hAnsi="Arial" w:cs="Arial"/>
          <w:lang w:val="en-US"/>
        </w:rPr>
      </w:pPr>
      <w:r w:rsidRPr="005E1202">
        <w:rPr>
          <w:rFonts w:ascii="Arial" w:hAnsi="Arial" w:cs="Arial"/>
          <w:lang w:val="en-US"/>
        </w:rPr>
        <w:t xml:space="preserve">Date of first approval  </w:t>
      </w:r>
    </w:p>
    <w:p w14:paraId="3ECDEB34" w14:textId="77777777" w:rsidR="002D6483" w:rsidRPr="00F26CCE" w:rsidRDefault="002D7948" w:rsidP="002D6483">
      <w:pPr>
        <w:rPr>
          <w:rFonts w:cs="Arial"/>
          <w:lang w:val="en-US"/>
        </w:rPr>
      </w:pPr>
      <w:r w:rsidRPr="00F26CCE">
        <w:rPr>
          <w:rFonts w:cs="Arial"/>
          <w:lang w:val="en-US"/>
        </w:rPr>
        <w:t>2</w:t>
      </w:r>
      <w:r w:rsidR="00375E6E" w:rsidRPr="00F26CCE">
        <w:rPr>
          <w:rFonts w:cs="Arial"/>
          <w:lang w:val="en-US"/>
        </w:rPr>
        <w:t xml:space="preserve"> January 2018</w:t>
      </w:r>
    </w:p>
    <w:p w14:paraId="7CC50BE5" w14:textId="77777777" w:rsidR="00375E6E" w:rsidRPr="002D6483" w:rsidRDefault="00375E6E" w:rsidP="002D6483">
      <w:pPr>
        <w:rPr>
          <w:lang w:val="en-US"/>
        </w:rPr>
      </w:pPr>
    </w:p>
    <w:p w14:paraId="2E664083" w14:textId="77777777" w:rsidR="00285173" w:rsidRPr="005E1202" w:rsidRDefault="00285173" w:rsidP="00285173">
      <w:pPr>
        <w:pStyle w:val="Heading1"/>
        <w:spacing w:before="0" w:after="120"/>
        <w:rPr>
          <w:rFonts w:ascii="Arial" w:hAnsi="Arial" w:cs="Arial"/>
          <w:lang w:val="en-US"/>
        </w:rPr>
      </w:pPr>
      <w:r w:rsidRPr="005E1202">
        <w:rPr>
          <w:rFonts w:ascii="Arial" w:hAnsi="Arial" w:cs="Arial"/>
          <w:lang w:val="en-US"/>
        </w:rPr>
        <w:t xml:space="preserve">Date of revision </w:t>
      </w:r>
    </w:p>
    <w:p w14:paraId="6F926C39" w14:textId="5A558A36" w:rsidR="00DE0924" w:rsidRPr="00AE18F9" w:rsidRDefault="00B64E1C" w:rsidP="00563443">
      <w:pPr>
        <w:rPr>
          <w:rFonts w:cs="Arial"/>
        </w:rPr>
      </w:pPr>
      <w:r>
        <w:rPr>
          <w:rFonts w:cs="Arial"/>
        </w:rPr>
        <w:t>7 February 2022</w:t>
      </w:r>
    </w:p>
    <w:p w14:paraId="55A4BF04" w14:textId="77777777" w:rsidR="00F22E11" w:rsidRDefault="00F22E11" w:rsidP="00563443">
      <w:pPr>
        <w:rPr>
          <w:rFonts w:cs="Arial"/>
        </w:rPr>
      </w:pPr>
    </w:p>
    <w:tbl>
      <w:tblPr>
        <w:tblStyle w:val="TableGrid"/>
        <w:tblW w:w="0" w:type="auto"/>
        <w:tblLook w:val="04A0" w:firstRow="1" w:lastRow="0" w:firstColumn="1" w:lastColumn="0" w:noHBand="0" w:noVBand="1"/>
      </w:tblPr>
      <w:tblGrid>
        <w:gridCol w:w="2178"/>
        <w:gridCol w:w="7064"/>
      </w:tblGrid>
      <w:tr w:rsidR="00DE0924" w14:paraId="50B8DD95" w14:textId="77777777" w:rsidTr="00AE18F9">
        <w:trPr>
          <w:cantSplit/>
          <w:tblHeader/>
        </w:trPr>
        <w:tc>
          <w:tcPr>
            <w:tcW w:w="2178" w:type="dxa"/>
          </w:tcPr>
          <w:p w14:paraId="5F4EB47A" w14:textId="77777777" w:rsidR="00DE0924" w:rsidRPr="000363B6" w:rsidRDefault="00DE0924" w:rsidP="001A7E2D">
            <w:pPr>
              <w:spacing w:after="120"/>
              <w:rPr>
                <w:b/>
              </w:rPr>
            </w:pPr>
            <w:r w:rsidRPr="000363B6">
              <w:rPr>
                <w:b/>
              </w:rPr>
              <w:t>Section Changed</w:t>
            </w:r>
          </w:p>
        </w:tc>
        <w:tc>
          <w:tcPr>
            <w:tcW w:w="7064" w:type="dxa"/>
          </w:tcPr>
          <w:p w14:paraId="696E8A34" w14:textId="77777777" w:rsidR="00DE0924" w:rsidRPr="000363B6" w:rsidRDefault="00DE0924" w:rsidP="001A7E2D">
            <w:pPr>
              <w:spacing w:after="120"/>
              <w:rPr>
                <w:b/>
              </w:rPr>
            </w:pPr>
            <w:r w:rsidRPr="000363B6">
              <w:rPr>
                <w:b/>
              </w:rPr>
              <w:t>Summary of new information</w:t>
            </w:r>
          </w:p>
        </w:tc>
      </w:tr>
      <w:tr w:rsidR="000363B6" w14:paraId="1460C912" w14:textId="77777777" w:rsidTr="00AE18F9">
        <w:trPr>
          <w:cantSplit/>
        </w:trPr>
        <w:tc>
          <w:tcPr>
            <w:tcW w:w="2178" w:type="dxa"/>
          </w:tcPr>
          <w:p w14:paraId="32BEB67D" w14:textId="048751B0" w:rsidR="000363B6" w:rsidRPr="000363B6" w:rsidRDefault="000363B6" w:rsidP="000363B6">
            <w:pPr>
              <w:spacing w:after="120"/>
              <w:rPr>
                <w:b/>
              </w:rPr>
            </w:pPr>
            <w:r w:rsidRPr="000363B6">
              <w:t>ALL</w:t>
            </w:r>
          </w:p>
        </w:tc>
        <w:tc>
          <w:tcPr>
            <w:tcW w:w="7064" w:type="dxa"/>
          </w:tcPr>
          <w:p w14:paraId="596BB738" w14:textId="56556E94" w:rsidR="000363B6" w:rsidRPr="000363B6" w:rsidRDefault="000363B6" w:rsidP="000363B6">
            <w:pPr>
              <w:spacing w:after="120"/>
              <w:rPr>
                <w:b/>
              </w:rPr>
            </w:pPr>
            <w:r w:rsidRPr="000363B6">
              <w:t>Introduction of sub-headings ‘Tablets’ and ‘Granules’ to delineate related information.</w:t>
            </w:r>
          </w:p>
        </w:tc>
      </w:tr>
      <w:tr w:rsidR="000363B6" w14:paraId="576528E9" w14:textId="77777777" w:rsidTr="00AE18F9">
        <w:trPr>
          <w:cantSplit/>
        </w:trPr>
        <w:tc>
          <w:tcPr>
            <w:tcW w:w="2178" w:type="dxa"/>
          </w:tcPr>
          <w:p w14:paraId="361656C3" w14:textId="268012F6" w:rsidR="000363B6" w:rsidRPr="000363B6" w:rsidRDefault="000363B6" w:rsidP="000363B6">
            <w:pPr>
              <w:spacing w:after="120"/>
              <w:rPr>
                <w:b/>
              </w:rPr>
            </w:pPr>
            <w:r w:rsidRPr="000363B6">
              <w:t xml:space="preserve">2 Qualitative and Quantitative Composition </w:t>
            </w:r>
          </w:p>
        </w:tc>
        <w:tc>
          <w:tcPr>
            <w:tcW w:w="7064" w:type="dxa"/>
          </w:tcPr>
          <w:p w14:paraId="120B5268" w14:textId="1A643020" w:rsidR="000363B6" w:rsidRPr="000363B6" w:rsidRDefault="000363B6" w:rsidP="000363B6">
            <w:pPr>
              <w:spacing w:after="120"/>
              <w:rPr>
                <w:b/>
              </w:rPr>
            </w:pPr>
            <w:r w:rsidRPr="000363B6">
              <w:t>Added information on granules.</w:t>
            </w:r>
          </w:p>
        </w:tc>
      </w:tr>
      <w:tr w:rsidR="000363B6" w14:paraId="7796C009" w14:textId="77777777" w:rsidTr="00AE18F9">
        <w:trPr>
          <w:cantSplit/>
        </w:trPr>
        <w:tc>
          <w:tcPr>
            <w:tcW w:w="2178" w:type="dxa"/>
          </w:tcPr>
          <w:p w14:paraId="4363065F" w14:textId="1096FD6A" w:rsidR="000363B6" w:rsidRPr="000363B6" w:rsidRDefault="000363B6" w:rsidP="000363B6">
            <w:pPr>
              <w:spacing w:after="120"/>
              <w:rPr>
                <w:b/>
              </w:rPr>
            </w:pPr>
            <w:r w:rsidRPr="000363B6">
              <w:t>3 Pharmaceutical Form</w:t>
            </w:r>
          </w:p>
        </w:tc>
        <w:tc>
          <w:tcPr>
            <w:tcW w:w="7064" w:type="dxa"/>
          </w:tcPr>
          <w:p w14:paraId="48F845B3" w14:textId="0B84916B" w:rsidR="000363B6" w:rsidRPr="000363B6" w:rsidRDefault="000363B6" w:rsidP="000363B6">
            <w:pPr>
              <w:spacing w:after="120"/>
              <w:rPr>
                <w:b/>
              </w:rPr>
            </w:pPr>
            <w:r w:rsidRPr="000363B6">
              <w:t>Added information on granules.</w:t>
            </w:r>
          </w:p>
        </w:tc>
      </w:tr>
      <w:tr w:rsidR="000363B6" w14:paraId="68DE227E" w14:textId="77777777" w:rsidTr="00AE18F9">
        <w:trPr>
          <w:cantSplit/>
        </w:trPr>
        <w:tc>
          <w:tcPr>
            <w:tcW w:w="2178" w:type="dxa"/>
          </w:tcPr>
          <w:p w14:paraId="7DF36BA1" w14:textId="2E2D4B75" w:rsidR="000363B6" w:rsidRPr="000363B6" w:rsidRDefault="000363B6" w:rsidP="000363B6">
            <w:pPr>
              <w:spacing w:after="120"/>
            </w:pPr>
            <w:r w:rsidRPr="000363B6">
              <w:t xml:space="preserve"> 4.1 Therapeutic indications</w:t>
            </w:r>
          </w:p>
        </w:tc>
        <w:tc>
          <w:tcPr>
            <w:tcW w:w="7064" w:type="dxa"/>
          </w:tcPr>
          <w:p w14:paraId="7E74FB6B" w14:textId="1AB492F6" w:rsidR="000363B6" w:rsidRPr="000363B6" w:rsidRDefault="000363B6" w:rsidP="000363B6">
            <w:pPr>
              <w:spacing w:after="120"/>
            </w:pPr>
            <w:r w:rsidRPr="000363B6">
              <w:t>Extension of indication to include paediatric patients aged 3 and above.</w:t>
            </w:r>
          </w:p>
        </w:tc>
      </w:tr>
      <w:tr w:rsidR="000363B6" w14:paraId="4317C319" w14:textId="77777777" w:rsidTr="00AE18F9">
        <w:trPr>
          <w:cantSplit/>
        </w:trPr>
        <w:tc>
          <w:tcPr>
            <w:tcW w:w="2178" w:type="dxa"/>
          </w:tcPr>
          <w:p w14:paraId="5F197E29" w14:textId="6BD88B18" w:rsidR="000363B6" w:rsidRPr="000363B6" w:rsidRDefault="000363B6" w:rsidP="000363B6">
            <w:pPr>
              <w:spacing w:after="120"/>
              <w:rPr>
                <w:color w:val="008000"/>
              </w:rPr>
            </w:pPr>
            <w:r w:rsidRPr="002E38A6">
              <w:t>4.2</w:t>
            </w:r>
            <w:r w:rsidRPr="000363B6">
              <w:rPr>
                <w:color w:val="008000"/>
              </w:rPr>
              <w:t xml:space="preserve"> </w:t>
            </w:r>
            <w:r w:rsidRPr="000363B6">
              <w:t>Dose and method of administration</w:t>
            </w:r>
          </w:p>
        </w:tc>
        <w:tc>
          <w:tcPr>
            <w:tcW w:w="7064" w:type="dxa"/>
          </w:tcPr>
          <w:p w14:paraId="7009CD59" w14:textId="1ABA379B" w:rsidR="000363B6" w:rsidRPr="000363B6" w:rsidRDefault="000363B6" w:rsidP="000363B6">
            <w:pPr>
              <w:spacing w:after="120"/>
              <w:rPr>
                <w:color w:val="008000"/>
              </w:rPr>
            </w:pPr>
            <w:r w:rsidRPr="00AE18F9">
              <w:t>Addition of dosi</w:t>
            </w:r>
            <w:r w:rsidRPr="000363B6">
              <w:t>ng instructions for paediatric patients aged 3 to less than 12 years of age.</w:t>
            </w:r>
          </w:p>
        </w:tc>
      </w:tr>
      <w:tr w:rsidR="000363B6" w14:paraId="722FC56F" w14:textId="77777777" w:rsidTr="00AE18F9">
        <w:trPr>
          <w:cantSplit/>
        </w:trPr>
        <w:tc>
          <w:tcPr>
            <w:tcW w:w="2178" w:type="dxa"/>
          </w:tcPr>
          <w:p w14:paraId="1C0CFB64" w14:textId="77F344F3" w:rsidR="000363B6" w:rsidRPr="000363B6" w:rsidRDefault="000363B6" w:rsidP="000363B6">
            <w:pPr>
              <w:spacing w:after="120"/>
              <w:rPr>
                <w:color w:val="008000"/>
              </w:rPr>
            </w:pPr>
            <w:r w:rsidRPr="000363B6">
              <w:t>4.8 Adverse effects (Undesirable effects)</w:t>
            </w:r>
          </w:p>
        </w:tc>
        <w:tc>
          <w:tcPr>
            <w:tcW w:w="7064" w:type="dxa"/>
          </w:tcPr>
          <w:p w14:paraId="3914E8B2" w14:textId="4AA90BD2" w:rsidR="000363B6" w:rsidRPr="000363B6" w:rsidDel="000363B6" w:rsidRDefault="000363B6" w:rsidP="000363B6">
            <w:pPr>
              <w:spacing w:after="120"/>
              <w:rPr>
                <w:color w:val="008000"/>
              </w:rPr>
            </w:pPr>
            <w:r w:rsidRPr="000363B6">
              <w:t xml:space="preserve"> Updated information to include information from Study M16-123 Part 2.</w:t>
            </w:r>
          </w:p>
        </w:tc>
      </w:tr>
      <w:tr w:rsidR="000363B6" w:rsidRPr="00072DCA" w14:paraId="5214E2E4" w14:textId="77777777" w:rsidTr="00AE18F9">
        <w:trPr>
          <w:cantSplit/>
        </w:trPr>
        <w:tc>
          <w:tcPr>
            <w:tcW w:w="2178" w:type="dxa"/>
          </w:tcPr>
          <w:p w14:paraId="0A1B0F6B" w14:textId="12DD0F7A" w:rsidR="000363B6" w:rsidRPr="000363B6" w:rsidRDefault="000363B6" w:rsidP="000363B6">
            <w:pPr>
              <w:spacing w:after="120"/>
              <w:rPr>
                <w:color w:val="008000"/>
              </w:rPr>
            </w:pPr>
            <w:r w:rsidRPr="002E38A6">
              <w:t xml:space="preserve">5.1 </w:t>
            </w:r>
            <w:r w:rsidRPr="0034780E">
              <w:t>Pharmacodynamic properties</w:t>
            </w:r>
            <w:r>
              <w:t>; Clinical Studies</w:t>
            </w:r>
          </w:p>
        </w:tc>
        <w:tc>
          <w:tcPr>
            <w:tcW w:w="7064" w:type="dxa"/>
          </w:tcPr>
          <w:p w14:paraId="4B2B2AC7" w14:textId="74F3FBF7" w:rsidR="000363B6" w:rsidRPr="000363B6" w:rsidRDefault="000363B6" w:rsidP="000363B6">
            <w:pPr>
              <w:spacing w:after="120"/>
              <w:rPr>
                <w:color w:val="008000"/>
              </w:rPr>
            </w:pPr>
            <w:r w:rsidRPr="00A5759D">
              <w:t>Added information from Study M16-123 Part 2.</w:t>
            </w:r>
          </w:p>
        </w:tc>
      </w:tr>
      <w:tr w:rsidR="000363B6" w:rsidRPr="00072DCA" w14:paraId="636899BC" w14:textId="77777777" w:rsidTr="00AE18F9">
        <w:trPr>
          <w:cantSplit/>
        </w:trPr>
        <w:tc>
          <w:tcPr>
            <w:tcW w:w="2178" w:type="dxa"/>
          </w:tcPr>
          <w:p w14:paraId="192B2E05" w14:textId="5C9F308B" w:rsidR="000363B6" w:rsidRPr="000363B6" w:rsidRDefault="000363B6" w:rsidP="000363B6">
            <w:pPr>
              <w:spacing w:after="120"/>
              <w:rPr>
                <w:color w:val="008000"/>
              </w:rPr>
            </w:pPr>
            <w:r w:rsidRPr="000363B6">
              <w:lastRenderedPageBreak/>
              <w:t>5.2 Pharmacokinetic Properties</w:t>
            </w:r>
          </w:p>
        </w:tc>
        <w:tc>
          <w:tcPr>
            <w:tcW w:w="7064" w:type="dxa"/>
          </w:tcPr>
          <w:p w14:paraId="62163556" w14:textId="77777777" w:rsidR="000363B6" w:rsidRPr="000363B6" w:rsidRDefault="000363B6" w:rsidP="000363B6">
            <w:pPr>
              <w:spacing w:after="120"/>
            </w:pPr>
            <w:r w:rsidRPr="000363B6">
              <w:t>Added new pharmacokinetic properties of granules.</w:t>
            </w:r>
          </w:p>
          <w:p w14:paraId="289125EC" w14:textId="09091337" w:rsidR="000363B6" w:rsidRPr="000363B6" w:rsidRDefault="000363B6" w:rsidP="000363B6">
            <w:pPr>
              <w:spacing w:after="120"/>
              <w:rPr>
                <w:color w:val="008000"/>
              </w:rPr>
            </w:pPr>
            <w:r w:rsidRPr="000363B6">
              <w:t xml:space="preserve">Added new dosing information relating to paediatric patients aged 3 to less than 12 years of age. </w:t>
            </w:r>
          </w:p>
        </w:tc>
      </w:tr>
      <w:tr w:rsidR="000363B6" w:rsidRPr="00072DCA" w14:paraId="28DE50A0" w14:textId="77777777" w:rsidTr="00AE18F9">
        <w:trPr>
          <w:cantSplit/>
        </w:trPr>
        <w:tc>
          <w:tcPr>
            <w:tcW w:w="2178" w:type="dxa"/>
          </w:tcPr>
          <w:p w14:paraId="530E5653" w14:textId="3CE20D39" w:rsidR="000363B6" w:rsidRPr="000363B6" w:rsidRDefault="000363B6" w:rsidP="000363B6">
            <w:pPr>
              <w:spacing w:after="120"/>
              <w:rPr>
                <w:color w:val="008000"/>
              </w:rPr>
            </w:pPr>
            <w:r w:rsidRPr="000363B6">
              <w:t>6.5 Nature and contents of container</w:t>
            </w:r>
          </w:p>
        </w:tc>
        <w:tc>
          <w:tcPr>
            <w:tcW w:w="7064" w:type="dxa"/>
          </w:tcPr>
          <w:p w14:paraId="681280A6" w14:textId="47222557" w:rsidR="000363B6" w:rsidRPr="000363B6" w:rsidRDefault="000363B6" w:rsidP="000363B6">
            <w:pPr>
              <w:spacing w:after="120"/>
              <w:rPr>
                <w:color w:val="008000"/>
              </w:rPr>
            </w:pPr>
            <w:r w:rsidRPr="000363B6">
              <w:t xml:space="preserve"> Added information on granules</w:t>
            </w:r>
          </w:p>
        </w:tc>
      </w:tr>
    </w:tbl>
    <w:p w14:paraId="0651336D" w14:textId="77777777" w:rsidR="00DE0924" w:rsidRPr="00F26CCE" w:rsidRDefault="00DE0924" w:rsidP="00563443">
      <w:pPr>
        <w:rPr>
          <w:rFonts w:cs="Arial"/>
        </w:rPr>
      </w:pPr>
    </w:p>
    <w:sectPr w:rsidR="00DE0924" w:rsidRPr="00F26CCE">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EE4B8B" w14:textId="77777777" w:rsidR="00BA777C" w:rsidRDefault="00BA777C" w:rsidP="001A3992">
      <w:pPr>
        <w:spacing w:after="0" w:line="240" w:lineRule="auto"/>
      </w:pPr>
      <w:r>
        <w:separator/>
      </w:r>
    </w:p>
  </w:endnote>
  <w:endnote w:type="continuationSeparator" w:id="0">
    <w:p w14:paraId="3AE953D0" w14:textId="77777777" w:rsidR="00BA777C" w:rsidRDefault="00BA777C" w:rsidP="001A3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NewRoman">
    <w:altName w:val="MS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B37B38" w14:textId="262362FD" w:rsidR="00BA777C" w:rsidRDefault="00BA777C"/>
  <w:tbl>
    <w:tblPr>
      <w:tblW w:w="0" w:type="auto"/>
      <w:tblBorders>
        <w:top w:val="single" w:sz="4" w:space="0" w:color="auto"/>
      </w:tblBorders>
      <w:tblLook w:val="0000" w:firstRow="0" w:lastRow="0" w:firstColumn="0" w:lastColumn="0" w:noHBand="0" w:noVBand="0"/>
    </w:tblPr>
    <w:tblGrid>
      <w:gridCol w:w="3100"/>
      <w:gridCol w:w="3101"/>
      <w:gridCol w:w="3041"/>
    </w:tblGrid>
    <w:tr w:rsidR="00BA777C" w:rsidRPr="001C506C" w14:paraId="74C0724E" w14:textId="77777777" w:rsidTr="00FD2FB7">
      <w:tc>
        <w:tcPr>
          <w:tcW w:w="3100" w:type="dxa"/>
        </w:tcPr>
        <w:p w14:paraId="308B1439" w14:textId="77777777" w:rsidR="00BA777C" w:rsidRPr="001C506C" w:rsidRDefault="00BA777C" w:rsidP="00EC496D">
          <w:pPr>
            <w:pStyle w:val="Footer"/>
            <w:tabs>
              <w:tab w:val="right" w:pos="-1843"/>
              <w:tab w:val="center" w:pos="4962"/>
              <w:tab w:val="right" w:pos="9923"/>
              <w:tab w:val="right" w:pos="10632"/>
            </w:tabs>
            <w:rPr>
              <w:rFonts w:ascii="Arial" w:hAnsi="Arial" w:cs="Arial"/>
              <w:bCs/>
              <w:iCs/>
            </w:rPr>
          </w:pPr>
          <w:r>
            <w:rPr>
              <w:rFonts w:ascii="Arial" w:hAnsi="Arial" w:cs="Arial"/>
              <w:bCs/>
              <w:iCs/>
              <w:caps/>
            </w:rPr>
            <w:t>MAVIRET</w:t>
          </w:r>
          <w:r w:rsidRPr="001C506C">
            <w:rPr>
              <w:rFonts w:ascii="Arial" w:hAnsi="Arial" w:cs="Arial"/>
              <w:bCs/>
              <w:iCs/>
            </w:rPr>
            <w:t xml:space="preserve"> PI</w:t>
          </w:r>
        </w:p>
        <w:p w14:paraId="0885D210" w14:textId="5751009F" w:rsidR="00BA777C" w:rsidRDefault="00BA777C" w:rsidP="00A344C5">
          <w:pPr>
            <w:pStyle w:val="Footer"/>
            <w:tabs>
              <w:tab w:val="right" w:pos="-1843"/>
              <w:tab w:val="center" w:pos="4962"/>
              <w:tab w:val="right" w:pos="9923"/>
              <w:tab w:val="right" w:pos="10632"/>
            </w:tabs>
            <w:rPr>
              <w:rFonts w:ascii="Arial" w:hAnsi="Arial" w:cs="Arial"/>
              <w:bCs/>
              <w:iCs/>
            </w:rPr>
          </w:pPr>
          <w:r w:rsidRPr="001C506C">
            <w:rPr>
              <w:rFonts w:ascii="Arial" w:hAnsi="Arial" w:cs="Arial"/>
              <w:bCs/>
              <w:iCs/>
            </w:rPr>
            <w:t>Versio</w:t>
          </w:r>
          <w:r w:rsidRPr="005E193F">
            <w:rPr>
              <w:rFonts w:ascii="Arial" w:hAnsi="Arial" w:cs="Arial"/>
              <w:bCs/>
              <w:iCs/>
            </w:rPr>
            <w:t xml:space="preserve">n </w:t>
          </w:r>
          <w:r>
            <w:rPr>
              <w:rFonts w:ascii="Arial" w:hAnsi="Arial" w:cs="Arial"/>
              <w:bCs/>
              <w:iCs/>
            </w:rPr>
            <w:t>8</w:t>
          </w:r>
        </w:p>
        <w:p w14:paraId="348116B6" w14:textId="77777777" w:rsidR="00BA777C" w:rsidRDefault="00BA777C" w:rsidP="00B64E1C">
          <w:pPr>
            <w:pStyle w:val="Footer"/>
            <w:tabs>
              <w:tab w:val="right" w:pos="-1843"/>
              <w:tab w:val="center" w:pos="4962"/>
              <w:tab w:val="right" w:pos="9923"/>
              <w:tab w:val="right" w:pos="10632"/>
            </w:tabs>
            <w:rPr>
              <w:rStyle w:val="PageNumber"/>
              <w:rFonts w:ascii="Arial" w:hAnsi="Arial" w:cs="Arial"/>
              <w:bCs/>
              <w:iCs/>
            </w:rPr>
          </w:pPr>
        </w:p>
        <w:p w14:paraId="5262FAD0" w14:textId="1E5B6D69" w:rsidR="00B64E1C" w:rsidRPr="00301A17" w:rsidRDefault="00B64E1C" w:rsidP="00B64E1C">
          <w:pPr>
            <w:pStyle w:val="Footer"/>
            <w:tabs>
              <w:tab w:val="right" w:pos="-1843"/>
              <w:tab w:val="center" w:pos="4962"/>
              <w:tab w:val="right" w:pos="9923"/>
              <w:tab w:val="right" w:pos="10632"/>
            </w:tabs>
            <w:rPr>
              <w:rStyle w:val="PageNumber"/>
              <w:rFonts w:ascii="Arial" w:hAnsi="Arial" w:cs="Arial"/>
              <w:bCs/>
              <w:iCs/>
            </w:rPr>
          </w:pPr>
        </w:p>
      </w:tc>
      <w:tc>
        <w:tcPr>
          <w:tcW w:w="3101" w:type="dxa"/>
        </w:tcPr>
        <w:p w14:paraId="3A3CCF29" w14:textId="10FE314B" w:rsidR="00BA777C" w:rsidRPr="00301A17" w:rsidRDefault="00B64E1C" w:rsidP="00EC496D">
          <w:pPr>
            <w:pStyle w:val="Footer"/>
            <w:tabs>
              <w:tab w:val="right" w:pos="-1843"/>
              <w:tab w:val="center" w:pos="4962"/>
              <w:tab w:val="right" w:pos="9923"/>
              <w:tab w:val="right" w:pos="10632"/>
            </w:tabs>
            <w:jc w:val="center"/>
            <w:rPr>
              <w:rStyle w:val="PageNumber"/>
              <w:rFonts w:ascii="Arial" w:hAnsi="Arial" w:cs="Arial"/>
              <w:bCs/>
              <w:iCs/>
            </w:rPr>
          </w:pPr>
          <w:r>
            <w:rPr>
              <w:rStyle w:val="PageNumber"/>
              <w:rFonts w:ascii="Arial" w:hAnsi="Arial" w:cs="Arial"/>
            </w:rPr>
            <w:t xml:space="preserve">7 </w:t>
          </w:r>
          <w:r>
            <w:rPr>
              <w:rStyle w:val="PageNumber"/>
              <w:rFonts w:ascii="Arial" w:hAnsi="Arial"/>
            </w:rPr>
            <w:t>February</w:t>
          </w:r>
          <w:r w:rsidR="00430900">
            <w:rPr>
              <w:rStyle w:val="PageNumber"/>
              <w:rFonts w:ascii="Arial" w:hAnsi="Arial" w:cs="Arial"/>
            </w:rPr>
            <w:t xml:space="preserve"> 2022</w:t>
          </w:r>
        </w:p>
        <w:p w14:paraId="49E42A51" w14:textId="77777777" w:rsidR="00BA777C" w:rsidRPr="001C506C" w:rsidRDefault="00BA777C" w:rsidP="00EC496D">
          <w:pPr>
            <w:pStyle w:val="Footer"/>
            <w:tabs>
              <w:tab w:val="right" w:pos="-1843"/>
              <w:tab w:val="center" w:pos="4962"/>
              <w:tab w:val="right" w:pos="9923"/>
              <w:tab w:val="right" w:pos="10632"/>
            </w:tabs>
            <w:jc w:val="center"/>
            <w:rPr>
              <w:rStyle w:val="PageNumber"/>
              <w:rFonts w:ascii="Arial" w:hAnsi="Arial" w:cs="Arial"/>
              <w:bCs/>
              <w:iCs/>
            </w:rPr>
          </w:pPr>
        </w:p>
      </w:tc>
      <w:tc>
        <w:tcPr>
          <w:tcW w:w="3041" w:type="dxa"/>
        </w:tcPr>
        <w:p w14:paraId="513837C5" w14:textId="77777777" w:rsidR="00BA777C" w:rsidRPr="001C506C" w:rsidRDefault="00BA777C" w:rsidP="00EC496D">
          <w:pPr>
            <w:pStyle w:val="Footer"/>
            <w:tabs>
              <w:tab w:val="right" w:pos="-1843"/>
              <w:tab w:val="center" w:pos="4962"/>
              <w:tab w:val="right" w:pos="9923"/>
              <w:tab w:val="right" w:pos="10632"/>
            </w:tabs>
            <w:jc w:val="right"/>
            <w:rPr>
              <w:rStyle w:val="PageNumber"/>
              <w:rFonts w:ascii="Arial" w:hAnsi="Arial" w:cs="Arial"/>
              <w:bCs/>
              <w:iCs/>
              <w:highlight w:val="yellow"/>
            </w:rPr>
          </w:pPr>
          <w:r w:rsidRPr="001C506C">
            <w:rPr>
              <w:rFonts w:ascii="Arial" w:hAnsi="Arial" w:cs="Arial"/>
              <w:bCs/>
              <w:iCs/>
            </w:rPr>
            <w:t xml:space="preserve">Page </w:t>
          </w:r>
          <w:r w:rsidRPr="001C506C">
            <w:rPr>
              <w:rFonts w:ascii="Arial" w:hAnsi="Arial" w:cs="Arial"/>
              <w:bCs/>
              <w:iCs/>
            </w:rPr>
            <w:fldChar w:fldCharType="begin"/>
          </w:r>
          <w:r w:rsidRPr="001C506C">
            <w:rPr>
              <w:rFonts w:ascii="Arial" w:hAnsi="Arial" w:cs="Arial"/>
              <w:bCs/>
              <w:iCs/>
            </w:rPr>
            <w:instrText xml:space="preserve"> PAGE  \* Arabic  \* MERGEFORMAT </w:instrText>
          </w:r>
          <w:r w:rsidRPr="001C506C">
            <w:rPr>
              <w:rFonts w:ascii="Arial" w:hAnsi="Arial" w:cs="Arial"/>
              <w:bCs/>
              <w:iCs/>
            </w:rPr>
            <w:fldChar w:fldCharType="separate"/>
          </w:r>
          <w:r>
            <w:rPr>
              <w:rFonts w:ascii="Arial" w:hAnsi="Arial" w:cs="Arial"/>
              <w:bCs/>
              <w:iCs/>
              <w:noProof/>
            </w:rPr>
            <w:t>29</w:t>
          </w:r>
          <w:r w:rsidRPr="001C506C">
            <w:rPr>
              <w:rFonts w:ascii="Arial" w:hAnsi="Arial" w:cs="Arial"/>
              <w:bCs/>
              <w:iCs/>
            </w:rPr>
            <w:fldChar w:fldCharType="end"/>
          </w:r>
          <w:r w:rsidRPr="001C506C">
            <w:rPr>
              <w:rFonts w:ascii="Arial" w:hAnsi="Arial" w:cs="Arial"/>
              <w:bCs/>
              <w:iCs/>
            </w:rPr>
            <w:t xml:space="preserve"> of </w:t>
          </w:r>
          <w:r w:rsidRPr="001C506C">
            <w:rPr>
              <w:rFonts w:ascii="Arial" w:hAnsi="Arial" w:cs="Arial"/>
              <w:bCs/>
              <w:iCs/>
            </w:rPr>
            <w:fldChar w:fldCharType="begin"/>
          </w:r>
          <w:r w:rsidRPr="001C506C">
            <w:rPr>
              <w:rFonts w:ascii="Arial" w:hAnsi="Arial" w:cs="Arial"/>
              <w:bCs/>
              <w:iCs/>
            </w:rPr>
            <w:instrText xml:space="preserve"> NUMPAGES  \* Arabic  \* MERGEFORMAT </w:instrText>
          </w:r>
          <w:r w:rsidRPr="001C506C">
            <w:rPr>
              <w:rFonts w:ascii="Arial" w:hAnsi="Arial" w:cs="Arial"/>
              <w:bCs/>
              <w:iCs/>
            </w:rPr>
            <w:fldChar w:fldCharType="separate"/>
          </w:r>
          <w:r>
            <w:rPr>
              <w:rFonts w:ascii="Arial" w:hAnsi="Arial" w:cs="Arial"/>
              <w:bCs/>
              <w:iCs/>
              <w:noProof/>
            </w:rPr>
            <w:t>30</w:t>
          </w:r>
          <w:r w:rsidRPr="001C506C">
            <w:rPr>
              <w:rFonts w:ascii="Arial" w:hAnsi="Arial" w:cs="Arial"/>
              <w:bCs/>
              <w:iCs/>
            </w:rPr>
            <w:fldChar w:fldCharType="end"/>
          </w:r>
          <w:r w:rsidRPr="001C506C">
            <w:rPr>
              <w:rFonts w:ascii="Arial" w:hAnsi="Arial" w:cs="Arial"/>
              <w:bCs/>
              <w:iCs/>
            </w:rPr>
            <w:t xml:space="preserve"> </w:t>
          </w:r>
        </w:p>
      </w:tc>
    </w:tr>
  </w:tbl>
  <w:p w14:paraId="15EE1033" w14:textId="77777777" w:rsidR="00BA777C" w:rsidRPr="00FD2FB7" w:rsidRDefault="00BA777C" w:rsidP="00FD2F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640DE" w14:textId="77777777" w:rsidR="00BA777C" w:rsidRDefault="00BA777C" w:rsidP="001A3992">
      <w:pPr>
        <w:spacing w:after="0" w:line="240" w:lineRule="auto"/>
      </w:pPr>
      <w:r>
        <w:separator/>
      </w:r>
    </w:p>
  </w:footnote>
  <w:footnote w:type="continuationSeparator" w:id="0">
    <w:p w14:paraId="1586962C" w14:textId="77777777" w:rsidR="00BA777C" w:rsidRDefault="00BA777C" w:rsidP="001A3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2"/>
      <w:tblW w:w="0" w:type="auto"/>
      <w:shd w:val="clear" w:color="auto" w:fill="E4F2E0"/>
      <w:tblLook w:val="04A0" w:firstRow="1" w:lastRow="0" w:firstColumn="1" w:lastColumn="0" w:noHBand="0" w:noVBand="1"/>
    </w:tblPr>
    <w:tblGrid>
      <w:gridCol w:w="8720"/>
    </w:tblGrid>
    <w:tr w:rsidR="003B0ECB" w:rsidRPr="005A701B" w14:paraId="57D80DBC" w14:textId="77777777" w:rsidTr="00381BB7">
      <w:tc>
        <w:tcPr>
          <w:tcW w:w="8720" w:type="dxa"/>
          <w:shd w:val="clear" w:color="auto" w:fill="E4F2E0"/>
        </w:tcPr>
        <w:p w14:paraId="7B250FB2" w14:textId="77777777" w:rsidR="003B0ECB" w:rsidRPr="003B0ECB" w:rsidRDefault="003B0ECB" w:rsidP="003B0ECB">
          <w:pPr>
            <w:spacing w:before="180" w:after="180" w:line="240" w:lineRule="atLeast"/>
            <w:rPr>
              <w:rFonts w:ascii="Cambria" w:hAnsi="Cambria"/>
              <w:b/>
              <w:sz w:val="18"/>
              <w:szCs w:val="18"/>
            </w:rPr>
          </w:pPr>
          <w:bookmarkStart w:id="31" w:name="_Hlk126587363"/>
          <w:r w:rsidRPr="003B0ECB">
            <w:rPr>
              <w:rFonts w:ascii="Cambria" w:hAnsi="Cambria"/>
              <w:b/>
              <w:sz w:val="18"/>
              <w:szCs w:val="18"/>
            </w:rPr>
            <w:t xml:space="preserve">Attachment 1: Product information for </w:t>
          </w:r>
          <w:proofErr w:type="spellStart"/>
          <w:r w:rsidRPr="003B0ECB">
            <w:rPr>
              <w:rFonts w:ascii="Cambria" w:hAnsi="Cambria"/>
              <w:b/>
              <w:sz w:val="18"/>
              <w:szCs w:val="18"/>
            </w:rPr>
            <w:t>AusPAR</w:t>
          </w:r>
          <w:proofErr w:type="spellEnd"/>
          <w:r w:rsidRPr="003B0ECB">
            <w:rPr>
              <w:rFonts w:ascii="Cambria" w:hAnsi="Cambria"/>
              <w:b/>
              <w:sz w:val="18"/>
              <w:szCs w:val="18"/>
            </w:rPr>
            <w:t xml:space="preserve"> - </w:t>
          </w:r>
          <w:proofErr w:type="spellStart"/>
          <w:r w:rsidRPr="003B0ECB">
            <w:rPr>
              <w:rFonts w:ascii="Cambria" w:hAnsi="Cambria"/>
              <w:b/>
              <w:sz w:val="18"/>
              <w:szCs w:val="18"/>
            </w:rPr>
            <w:t>Maviret</w:t>
          </w:r>
          <w:proofErr w:type="spellEnd"/>
          <w:r w:rsidRPr="003B0ECB">
            <w:rPr>
              <w:rFonts w:ascii="Cambria" w:hAnsi="Cambria"/>
              <w:b/>
              <w:sz w:val="18"/>
              <w:szCs w:val="18"/>
            </w:rPr>
            <w:t xml:space="preserve"> – </w:t>
          </w:r>
          <w:proofErr w:type="spellStart"/>
          <w:r w:rsidRPr="003B0ECB">
            <w:rPr>
              <w:rFonts w:ascii="Cambria" w:hAnsi="Cambria"/>
              <w:b/>
              <w:sz w:val="18"/>
              <w:szCs w:val="18"/>
            </w:rPr>
            <w:t>glecaprevir</w:t>
          </w:r>
          <w:proofErr w:type="spellEnd"/>
          <w:r w:rsidRPr="003B0ECB">
            <w:rPr>
              <w:rFonts w:ascii="Cambria" w:hAnsi="Cambria"/>
              <w:b/>
              <w:sz w:val="18"/>
              <w:szCs w:val="18"/>
            </w:rPr>
            <w:t>/</w:t>
          </w:r>
          <w:proofErr w:type="spellStart"/>
          <w:r w:rsidRPr="003B0ECB">
            <w:rPr>
              <w:rFonts w:ascii="Cambria" w:hAnsi="Cambria"/>
              <w:b/>
              <w:sz w:val="18"/>
              <w:szCs w:val="18"/>
            </w:rPr>
            <w:t>pibrentasvir</w:t>
          </w:r>
          <w:proofErr w:type="spellEnd"/>
          <w:r w:rsidRPr="003B0ECB">
            <w:rPr>
              <w:rFonts w:ascii="Cambria" w:hAnsi="Cambria"/>
              <w:b/>
              <w:sz w:val="18"/>
              <w:szCs w:val="18"/>
            </w:rPr>
            <w:t xml:space="preserve"> - AbbVie Pty Ltd - PM-2020-06602-1-2 Final 20 February 2023. This is the Product Information that was approved with the submission described in this </w:t>
          </w:r>
          <w:proofErr w:type="spellStart"/>
          <w:r w:rsidRPr="003B0ECB">
            <w:rPr>
              <w:rFonts w:ascii="Cambria" w:hAnsi="Cambria"/>
              <w:b/>
              <w:sz w:val="18"/>
              <w:szCs w:val="18"/>
            </w:rPr>
            <w:t>AusPAR</w:t>
          </w:r>
          <w:proofErr w:type="spellEnd"/>
          <w:r w:rsidRPr="003B0ECB">
            <w:rPr>
              <w:rFonts w:ascii="Cambria" w:hAnsi="Cambria"/>
              <w:b/>
              <w:sz w:val="18"/>
              <w:szCs w:val="18"/>
            </w:rPr>
            <w:t>. It may have been superseded. For the most recent PI, please refer to the TGA website at &lt;</w:t>
          </w:r>
          <w:hyperlink r:id="rId1" w:history="1">
            <w:r w:rsidRPr="003B0ECB">
              <w:rPr>
                <w:rFonts w:ascii="Cambria" w:hAnsi="Cambria"/>
                <w:b/>
                <w:color w:val="0000FF"/>
                <w:sz w:val="18"/>
                <w:szCs w:val="18"/>
                <w:u w:val="single"/>
              </w:rPr>
              <w:t>https://www.tga.gov.au/products/australian-register-therapeutic-goods-artg/product-information-one</w:t>
            </w:r>
          </w:hyperlink>
          <w:r w:rsidRPr="003B0ECB">
            <w:rPr>
              <w:rFonts w:ascii="Cambria" w:hAnsi="Cambria"/>
              <w:b/>
              <w:sz w:val="18"/>
              <w:szCs w:val="18"/>
            </w:rPr>
            <w:t>&gt;</w:t>
          </w:r>
        </w:p>
      </w:tc>
    </w:tr>
    <w:bookmarkEnd w:id="31"/>
  </w:tbl>
  <w:p w14:paraId="5F81489E" w14:textId="77777777" w:rsidR="003B0ECB" w:rsidRDefault="003B0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C466B7A"/>
    <w:lvl w:ilvl="0">
      <w:start w:val="1"/>
      <w:numFmt w:val="bullet"/>
      <w:lvlText w:val=""/>
      <w:lvlJc w:val="left"/>
      <w:pPr>
        <w:tabs>
          <w:tab w:val="num" w:pos="360"/>
        </w:tabs>
        <w:ind w:left="340" w:hanging="340"/>
      </w:pPr>
      <w:rPr>
        <w:rFonts w:ascii="Symbol" w:hAnsi="Symbol" w:hint="default"/>
      </w:rPr>
    </w:lvl>
  </w:abstractNum>
  <w:abstractNum w:abstractNumId="1"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BCC350F"/>
    <w:multiLevelType w:val="hybridMultilevel"/>
    <w:tmpl w:val="68F61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012B6F"/>
    <w:multiLevelType w:val="hybridMultilevel"/>
    <w:tmpl w:val="E4B474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9AF0F70"/>
    <w:multiLevelType w:val="hybridMultilevel"/>
    <w:tmpl w:val="C5FA81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59E5E95"/>
    <w:multiLevelType w:val="hybridMultilevel"/>
    <w:tmpl w:val="783AC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2C2063B"/>
    <w:multiLevelType w:val="hybridMultilevel"/>
    <w:tmpl w:val="5D24B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9C4871"/>
    <w:multiLevelType w:val="hybridMultilevel"/>
    <w:tmpl w:val="C2945F44"/>
    <w:lvl w:ilvl="0" w:tplc="2EA016AA">
      <w:numFmt w:val="bullet"/>
      <w:lvlText w:val="•"/>
      <w:lvlJc w:val="left"/>
      <w:pPr>
        <w:ind w:left="360" w:hanging="360"/>
      </w:pPr>
      <w:rPr>
        <w:rFonts w:ascii="Cambria" w:eastAsia="Cambria" w:hAnsi="Cambria"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3"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
  </w:num>
  <w:num w:numId="4">
    <w:abstractNumId w:val="8"/>
  </w:num>
  <w:num w:numId="5">
    <w:abstractNumId w:val="16"/>
  </w:num>
  <w:num w:numId="6">
    <w:abstractNumId w:val="14"/>
  </w:num>
  <w:num w:numId="7">
    <w:abstractNumId w:val="11"/>
  </w:num>
  <w:num w:numId="8">
    <w:abstractNumId w:val="15"/>
  </w:num>
  <w:num w:numId="9">
    <w:abstractNumId w:val="3"/>
  </w:num>
  <w:num w:numId="10">
    <w:abstractNumId w:val="10"/>
  </w:num>
  <w:num w:numId="11">
    <w:abstractNumId w:val="0"/>
  </w:num>
  <w:num w:numId="12">
    <w:abstractNumId w:val="5"/>
  </w:num>
  <w:num w:numId="13">
    <w:abstractNumId w:val="6"/>
  </w:num>
  <w:num w:numId="14">
    <w:abstractNumId w:val="4"/>
  </w:num>
  <w:num w:numId="15">
    <w:abstractNumId w:val="9"/>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93B75"/>
    <w:rsid w:val="000046E9"/>
    <w:rsid w:val="000054D2"/>
    <w:rsid w:val="000074FA"/>
    <w:rsid w:val="00017FC9"/>
    <w:rsid w:val="000200A3"/>
    <w:rsid w:val="000227AC"/>
    <w:rsid w:val="00027891"/>
    <w:rsid w:val="00035540"/>
    <w:rsid w:val="000363B6"/>
    <w:rsid w:val="00042302"/>
    <w:rsid w:val="000424EF"/>
    <w:rsid w:val="000548DA"/>
    <w:rsid w:val="000548F4"/>
    <w:rsid w:val="00056B51"/>
    <w:rsid w:val="00060256"/>
    <w:rsid w:val="0006374C"/>
    <w:rsid w:val="00064546"/>
    <w:rsid w:val="00066B71"/>
    <w:rsid w:val="00072DCA"/>
    <w:rsid w:val="00080A68"/>
    <w:rsid w:val="00082133"/>
    <w:rsid w:val="00083FE1"/>
    <w:rsid w:val="000868DF"/>
    <w:rsid w:val="00096612"/>
    <w:rsid w:val="000978B7"/>
    <w:rsid w:val="000A07C2"/>
    <w:rsid w:val="000A183F"/>
    <w:rsid w:val="000A5925"/>
    <w:rsid w:val="000B18D7"/>
    <w:rsid w:val="000C1130"/>
    <w:rsid w:val="000C7097"/>
    <w:rsid w:val="000D2812"/>
    <w:rsid w:val="00101A8A"/>
    <w:rsid w:val="0010629D"/>
    <w:rsid w:val="0010684E"/>
    <w:rsid w:val="00106CFE"/>
    <w:rsid w:val="00125C58"/>
    <w:rsid w:val="00130601"/>
    <w:rsid w:val="00136C98"/>
    <w:rsid w:val="00142E73"/>
    <w:rsid w:val="00150F86"/>
    <w:rsid w:val="001548A1"/>
    <w:rsid w:val="00154B40"/>
    <w:rsid w:val="001569FC"/>
    <w:rsid w:val="00164172"/>
    <w:rsid w:val="0016603F"/>
    <w:rsid w:val="00170721"/>
    <w:rsid w:val="001730D6"/>
    <w:rsid w:val="00180EFB"/>
    <w:rsid w:val="00184066"/>
    <w:rsid w:val="001865F5"/>
    <w:rsid w:val="00187F39"/>
    <w:rsid w:val="00195300"/>
    <w:rsid w:val="001A0DCF"/>
    <w:rsid w:val="001A3992"/>
    <w:rsid w:val="001A4DD0"/>
    <w:rsid w:val="001A7E2D"/>
    <w:rsid w:val="001B7187"/>
    <w:rsid w:val="001B7F01"/>
    <w:rsid w:val="001D0BF7"/>
    <w:rsid w:val="001E0C17"/>
    <w:rsid w:val="001E3727"/>
    <w:rsid w:val="001E617E"/>
    <w:rsid w:val="001F3ABA"/>
    <w:rsid w:val="001F43AB"/>
    <w:rsid w:val="00203722"/>
    <w:rsid w:val="00215633"/>
    <w:rsid w:val="00215861"/>
    <w:rsid w:val="00224644"/>
    <w:rsid w:val="00234030"/>
    <w:rsid w:val="0023418D"/>
    <w:rsid w:val="00243B26"/>
    <w:rsid w:val="00247805"/>
    <w:rsid w:val="00252A83"/>
    <w:rsid w:val="0027614D"/>
    <w:rsid w:val="00282BF0"/>
    <w:rsid w:val="00285173"/>
    <w:rsid w:val="00287988"/>
    <w:rsid w:val="00291324"/>
    <w:rsid w:val="00292E2A"/>
    <w:rsid w:val="002945EB"/>
    <w:rsid w:val="002A6AA5"/>
    <w:rsid w:val="002A6E83"/>
    <w:rsid w:val="002A6FD5"/>
    <w:rsid w:val="002C2D9E"/>
    <w:rsid w:val="002D10BA"/>
    <w:rsid w:val="002D1AFA"/>
    <w:rsid w:val="002D2794"/>
    <w:rsid w:val="002D6483"/>
    <w:rsid w:val="002D7246"/>
    <w:rsid w:val="002D7948"/>
    <w:rsid w:val="002E277D"/>
    <w:rsid w:val="002E38A6"/>
    <w:rsid w:val="003011BE"/>
    <w:rsid w:val="00301A17"/>
    <w:rsid w:val="00312E1B"/>
    <w:rsid w:val="0032150A"/>
    <w:rsid w:val="00322119"/>
    <w:rsid w:val="003243A3"/>
    <w:rsid w:val="00325049"/>
    <w:rsid w:val="00327337"/>
    <w:rsid w:val="00333AE9"/>
    <w:rsid w:val="00337EE8"/>
    <w:rsid w:val="003457AB"/>
    <w:rsid w:val="00346997"/>
    <w:rsid w:val="00363B06"/>
    <w:rsid w:val="00370AA8"/>
    <w:rsid w:val="00375DF3"/>
    <w:rsid w:val="00375E6E"/>
    <w:rsid w:val="00382FFC"/>
    <w:rsid w:val="00394AA4"/>
    <w:rsid w:val="003A01CF"/>
    <w:rsid w:val="003A2844"/>
    <w:rsid w:val="003A45C7"/>
    <w:rsid w:val="003B0ECB"/>
    <w:rsid w:val="003D4273"/>
    <w:rsid w:val="003D52E8"/>
    <w:rsid w:val="003E325E"/>
    <w:rsid w:val="003E527E"/>
    <w:rsid w:val="003E7111"/>
    <w:rsid w:val="00411C9B"/>
    <w:rsid w:val="004226C2"/>
    <w:rsid w:val="00425AE5"/>
    <w:rsid w:val="00430900"/>
    <w:rsid w:val="00431ACD"/>
    <w:rsid w:val="004339D8"/>
    <w:rsid w:val="0047006D"/>
    <w:rsid w:val="00475D5E"/>
    <w:rsid w:val="00481AE5"/>
    <w:rsid w:val="00491DAB"/>
    <w:rsid w:val="0049353A"/>
    <w:rsid w:val="00493B75"/>
    <w:rsid w:val="00494C42"/>
    <w:rsid w:val="004A311E"/>
    <w:rsid w:val="004A544A"/>
    <w:rsid w:val="004A7B19"/>
    <w:rsid w:val="004B6B19"/>
    <w:rsid w:val="004C09E1"/>
    <w:rsid w:val="004C445E"/>
    <w:rsid w:val="004D4A9F"/>
    <w:rsid w:val="004D5B8B"/>
    <w:rsid w:val="004D63E6"/>
    <w:rsid w:val="004E4B98"/>
    <w:rsid w:val="004F09FB"/>
    <w:rsid w:val="00534EA4"/>
    <w:rsid w:val="00535123"/>
    <w:rsid w:val="00535B96"/>
    <w:rsid w:val="005478BA"/>
    <w:rsid w:val="00553D55"/>
    <w:rsid w:val="0055471C"/>
    <w:rsid w:val="005573D9"/>
    <w:rsid w:val="00560950"/>
    <w:rsid w:val="00563443"/>
    <w:rsid w:val="005721F5"/>
    <w:rsid w:val="00572E51"/>
    <w:rsid w:val="005835EB"/>
    <w:rsid w:val="00590774"/>
    <w:rsid w:val="00594D15"/>
    <w:rsid w:val="005A41CD"/>
    <w:rsid w:val="005A6303"/>
    <w:rsid w:val="005B4E83"/>
    <w:rsid w:val="005B5C58"/>
    <w:rsid w:val="005C46C7"/>
    <w:rsid w:val="005C5043"/>
    <w:rsid w:val="005E1202"/>
    <w:rsid w:val="005E193F"/>
    <w:rsid w:val="005F5DF1"/>
    <w:rsid w:val="00600A34"/>
    <w:rsid w:val="006018AE"/>
    <w:rsid w:val="006045EA"/>
    <w:rsid w:val="00605666"/>
    <w:rsid w:val="00606D2A"/>
    <w:rsid w:val="00614099"/>
    <w:rsid w:val="00616C47"/>
    <w:rsid w:val="006213E5"/>
    <w:rsid w:val="00634F77"/>
    <w:rsid w:val="00645EA8"/>
    <w:rsid w:val="00650A30"/>
    <w:rsid w:val="00654ABE"/>
    <w:rsid w:val="006641E4"/>
    <w:rsid w:val="00664F6C"/>
    <w:rsid w:val="0066710A"/>
    <w:rsid w:val="00672F5C"/>
    <w:rsid w:val="00680DC6"/>
    <w:rsid w:val="0068143D"/>
    <w:rsid w:val="00682D91"/>
    <w:rsid w:val="006B3A73"/>
    <w:rsid w:val="006C4AB2"/>
    <w:rsid w:val="006C4E84"/>
    <w:rsid w:val="006D6B13"/>
    <w:rsid w:val="006F1426"/>
    <w:rsid w:val="006F2276"/>
    <w:rsid w:val="006F28F9"/>
    <w:rsid w:val="006F6131"/>
    <w:rsid w:val="0070393F"/>
    <w:rsid w:val="00705BAD"/>
    <w:rsid w:val="007323E2"/>
    <w:rsid w:val="00736F04"/>
    <w:rsid w:val="007410E3"/>
    <w:rsid w:val="00750A42"/>
    <w:rsid w:val="007523CC"/>
    <w:rsid w:val="00753165"/>
    <w:rsid w:val="007558D5"/>
    <w:rsid w:val="007576BA"/>
    <w:rsid w:val="00757911"/>
    <w:rsid w:val="007C0C7A"/>
    <w:rsid w:val="007C24AC"/>
    <w:rsid w:val="007C3152"/>
    <w:rsid w:val="007C66C8"/>
    <w:rsid w:val="007D230F"/>
    <w:rsid w:val="007D52B7"/>
    <w:rsid w:val="007D5600"/>
    <w:rsid w:val="007D5F5E"/>
    <w:rsid w:val="007E6197"/>
    <w:rsid w:val="007E7F8B"/>
    <w:rsid w:val="007F1424"/>
    <w:rsid w:val="008001BA"/>
    <w:rsid w:val="00801A0F"/>
    <w:rsid w:val="00807E52"/>
    <w:rsid w:val="00822912"/>
    <w:rsid w:val="00824411"/>
    <w:rsid w:val="00832A55"/>
    <w:rsid w:val="00834110"/>
    <w:rsid w:val="00837838"/>
    <w:rsid w:val="00841BD5"/>
    <w:rsid w:val="00844AEF"/>
    <w:rsid w:val="00846678"/>
    <w:rsid w:val="00847BCE"/>
    <w:rsid w:val="00855893"/>
    <w:rsid w:val="0088541D"/>
    <w:rsid w:val="0089630B"/>
    <w:rsid w:val="008A5E89"/>
    <w:rsid w:val="008D071D"/>
    <w:rsid w:val="008D55BB"/>
    <w:rsid w:val="008D6EFD"/>
    <w:rsid w:val="00902756"/>
    <w:rsid w:val="00904452"/>
    <w:rsid w:val="00905FE6"/>
    <w:rsid w:val="00912080"/>
    <w:rsid w:val="00914A71"/>
    <w:rsid w:val="00914FC1"/>
    <w:rsid w:val="009152C9"/>
    <w:rsid w:val="009206A1"/>
    <w:rsid w:val="00921F43"/>
    <w:rsid w:val="00934371"/>
    <w:rsid w:val="009345D3"/>
    <w:rsid w:val="00942C76"/>
    <w:rsid w:val="00944116"/>
    <w:rsid w:val="009444C9"/>
    <w:rsid w:val="009472AE"/>
    <w:rsid w:val="0094735E"/>
    <w:rsid w:val="00955637"/>
    <w:rsid w:val="00960CD5"/>
    <w:rsid w:val="00961FBF"/>
    <w:rsid w:val="0096745D"/>
    <w:rsid w:val="009761D3"/>
    <w:rsid w:val="0097718A"/>
    <w:rsid w:val="0098386C"/>
    <w:rsid w:val="00986B0B"/>
    <w:rsid w:val="00997256"/>
    <w:rsid w:val="009A5E7A"/>
    <w:rsid w:val="009B3105"/>
    <w:rsid w:val="009B4CFF"/>
    <w:rsid w:val="009B75BD"/>
    <w:rsid w:val="009C7847"/>
    <w:rsid w:val="009D29D7"/>
    <w:rsid w:val="009E383F"/>
    <w:rsid w:val="009E3F41"/>
    <w:rsid w:val="009E3FB8"/>
    <w:rsid w:val="009F68F1"/>
    <w:rsid w:val="009F759D"/>
    <w:rsid w:val="009F7773"/>
    <w:rsid w:val="00A02930"/>
    <w:rsid w:val="00A1701F"/>
    <w:rsid w:val="00A17F66"/>
    <w:rsid w:val="00A20EE5"/>
    <w:rsid w:val="00A21000"/>
    <w:rsid w:val="00A31EE5"/>
    <w:rsid w:val="00A33A1F"/>
    <w:rsid w:val="00A344C5"/>
    <w:rsid w:val="00A4182C"/>
    <w:rsid w:val="00A445BC"/>
    <w:rsid w:val="00A44ED5"/>
    <w:rsid w:val="00A467AD"/>
    <w:rsid w:val="00A53B34"/>
    <w:rsid w:val="00A67D29"/>
    <w:rsid w:val="00A91C9B"/>
    <w:rsid w:val="00A9236E"/>
    <w:rsid w:val="00AA05CF"/>
    <w:rsid w:val="00AA07F5"/>
    <w:rsid w:val="00AA1D98"/>
    <w:rsid w:val="00AA79B7"/>
    <w:rsid w:val="00AB3066"/>
    <w:rsid w:val="00AB396F"/>
    <w:rsid w:val="00AB7491"/>
    <w:rsid w:val="00AB79BA"/>
    <w:rsid w:val="00AC2709"/>
    <w:rsid w:val="00AD1CE5"/>
    <w:rsid w:val="00AD51AA"/>
    <w:rsid w:val="00AE0C07"/>
    <w:rsid w:val="00AE18F9"/>
    <w:rsid w:val="00AE1BA3"/>
    <w:rsid w:val="00B00E39"/>
    <w:rsid w:val="00B07386"/>
    <w:rsid w:val="00B12FE0"/>
    <w:rsid w:val="00B15CAE"/>
    <w:rsid w:val="00B26185"/>
    <w:rsid w:val="00B3759B"/>
    <w:rsid w:val="00B4428A"/>
    <w:rsid w:val="00B60504"/>
    <w:rsid w:val="00B61343"/>
    <w:rsid w:val="00B6201D"/>
    <w:rsid w:val="00B64E1C"/>
    <w:rsid w:val="00B65D03"/>
    <w:rsid w:val="00B76B5B"/>
    <w:rsid w:val="00B80379"/>
    <w:rsid w:val="00B85AF8"/>
    <w:rsid w:val="00B91BAE"/>
    <w:rsid w:val="00B93F52"/>
    <w:rsid w:val="00B97790"/>
    <w:rsid w:val="00BA777C"/>
    <w:rsid w:val="00BB4A85"/>
    <w:rsid w:val="00BC17D1"/>
    <w:rsid w:val="00BC501D"/>
    <w:rsid w:val="00BD73A7"/>
    <w:rsid w:val="00C04433"/>
    <w:rsid w:val="00C07741"/>
    <w:rsid w:val="00C22180"/>
    <w:rsid w:val="00C36FF3"/>
    <w:rsid w:val="00C45065"/>
    <w:rsid w:val="00C46236"/>
    <w:rsid w:val="00C46F2B"/>
    <w:rsid w:val="00C62CB2"/>
    <w:rsid w:val="00C67E2A"/>
    <w:rsid w:val="00C82A3A"/>
    <w:rsid w:val="00C9114E"/>
    <w:rsid w:val="00C937E3"/>
    <w:rsid w:val="00CA0D85"/>
    <w:rsid w:val="00CA5D45"/>
    <w:rsid w:val="00CA6797"/>
    <w:rsid w:val="00CB2CCA"/>
    <w:rsid w:val="00CB7E98"/>
    <w:rsid w:val="00CB7F97"/>
    <w:rsid w:val="00CD5358"/>
    <w:rsid w:val="00CE7A6F"/>
    <w:rsid w:val="00CF6FC0"/>
    <w:rsid w:val="00D00956"/>
    <w:rsid w:val="00D05684"/>
    <w:rsid w:val="00D11D72"/>
    <w:rsid w:val="00D1470C"/>
    <w:rsid w:val="00D207C3"/>
    <w:rsid w:val="00D259BD"/>
    <w:rsid w:val="00D26C24"/>
    <w:rsid w:val="00D3175F"/>
    <w:rsid w:val="00D4390F"/>
    <w:rsid w:val="00D473D4"/>
    <w:rsid w:val="00D513EB"/>
    <w:rsid w:val="00D53B27"/>
    <w:rsid w:val="00D55146"/>
    <w:rsid w:val="00D5733F"/>
    <w:rsid w:val="00D607D5"/>
    <w:rsid w:val="00D658E5"/>
    <w:rsid w:val="00D8033F"/>
    <w:rsid w:val="00D836B7"/>
    <w:rsid w:val="00DA287E"/>
    <w:rsid w:val="00DA6FE8"/>
    <w:rsid w:val="00DB151A"/>
    <w:rsid w:val="00DB1A3B"/>
    <w:rsid w:val="00DB74BE"/>
    <w:rsid w:val="00DC24A9"/>
    <w:rsid w:val="00DC4306"/>
    <w:rsid w:val="00DE0924"/>
    <w:rsid w:val="00DE5B89"/>
    <w:rsid w:val="00DF1A6D"/>
    <w:rsid w:val="00DF2580"/>
    <w:rsid w:val="00E05CE3"/>
    <w:rsid w:val="00E20EA6"/>
    <w:rsid w:val="00E2207E"/>
    <w:rsid w:val="00E22B63"/>
    <w:rsid w:val="00E2492D"/>
    <w:rsid w:val="00E34D83"/>
    <w:rsid w:val="00E362E7"/>
    <w:rsid w:val="00E436D6"/>
    <w:rsid w:val="00E44824"/>
    <w:rsid w:val="00E458BB"/>
    <w:rsid w:val="00E556DC"/>
    <w:rsid w:val="00E57679"/>
    <w:rsid w:val="00E63014"/>
    <w:rsid w:val="00E67BCC"/>
    <w:rsid w:val="00E70DAA"/>
    <w:rsid w:val="00E7250D"/>
    <w:rsid w:val="00E74A56"/>
    <w:rsid w:val="00E80E48"/>
    <w:rsid w:val="00E8713E"/>
    <w:rsid w:val="00E905B8"/>
    <w:rsid w:val="00EB2191"/>
    <w:rsid w:val="00EC0E29"/>
    <w:rsid w:val="00EC496D"/>
    <w:rsid w:val="00EC4EE4"/>
    <w:rsid w:val="00EC7625"/>
    <w:rsid w:val="00ED03B1"/>
    <w:rsid w:val="00ED3E34"/>
    <w:rsid w:val="00EF251A"/>
    <w:rsid w:val="00EF2F92"/>
    <w:rsid w:val="00EF41A1"/>
    <w:rsid w:val="00F15671"/>
    <w:rsid w:val="00F16E4A"/>
    <w:rsid w:val="00F2097A"/>
    <w:rsid w:val="00F22E11"/>
    <w:rsid w:val="00F26CCE"/>
    <w:rsid w:val="00F45CB0"/>
    <w:rsid w:val="00F50432"/>
    <w:rsid w:val="00F5309A"/>
    <w:rsid w:val="00F82EC5"/>
    <w:rsid w:val="00F86946"/>
    <w:rsid w:val="00F87D27"/>
    <w:rsid w:val="00FA1AB2"/>
    <w:rsid w:val="00FB5BB4"/>
    <w:rsid w:val="00FB695B"/>
    <w:rsid w:val="00FC6D9B"/>
    <w:rsid w:val="00FC7116"/>
    <w:rsid w:val="00FD1E1E"/>
    <w:rsid w:val="00FD2FB7"/>
    <w:rsid w:val="00FE4F03"/>
    <w:rsid w:val="00FF0963"/>
    <w:rsid w:val="00FF7ED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61"/>
    <o:shapelayout v:ext="edit">
      <o:idmap v:ext="edit" data="1"/>
    </o:shapelayout>
  </w:shapeDefaults>
  <w:decimalSymbol w:val="."/>
  <w:listSeparator w:val=","/>
  <w14:docId w14:val="044A797F"/>
  <w15:docId w15:val="{B5958484-2C5D-4590-A5AD-B077A7AB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33F"/>
    <w:rPr>
      <w:rFonts w:ascii="Arial" w:hAnsi="Arial"/>
    </w:rPr>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3A45C7"/>
    <w:pPr>
      <w:numPr>
        <w:ilvl w:val="1"/>
        <w:numId w:val="1"/>
      </w:numPr>
      <w:spacing w:before="360"/>
      <w:ind w:left="578" w:hanging="578"/>
      <w:outlineLvl w:val="1"/>
    </w:pPr>
    <w:rPr>
      <w:b/>
      <w:sz w:val="24"/>
    </w:rPr>
  </w:style>
  <w:style w:type="paragraph" w:styleId="Heading3">
    <w:name w:val="heading 3"/>
    <w:basedOn w:val="Normal"/>
    <w:next w:val="Normal"/>
    <w:link w:val="Heading3Char"/>
    <w:uiPriority w:val="9"/>
    <w:unhideWhenUsed/>
    <w:qFormat/>
    <w:rsid w:val="003457AB"/>
    <w:pPr>
      <w:keepNext/>
      <w:keepLines/>
      <w:spacing w:after="120"/>
      <w:outlineLvl w:val="2"/>
    </w:pPr>
    <w:rPr>
      <w:rFonts w:eastAsiaTheme="majorEastAsia" w:cstheme="majorBidi"/>
      <w:bCs/>
      <w:sz w:val="24"/>
      <w:u w:val="single"/>
    </w:rPr>
  </w:style>
  <w:style w:type="paragraph" w:styleId="Heading4">
    <w:name w:val="heading 4"/>
    <w:basedOn w:val="Normal"/>
    <w:next w:val="Normal"/>
    <w:link w:val="Heading4Char"/>
    <w:uiPriority w:val="9"/>
    <w:unhideWhenUsed/>
    <w:qFormat/>
    <w:rsid w:val="005E1202"/>
    <w:pPr>
      <w:keepNext/>
      <w:keepLines/>
      <w:spacing w:before="200" w:after="120"/>
      <w:outlineLvl w:val="3"/>
    </w:pPr>
    <w:rPr>
      <w:rFonts w:eastAsiaTheme="majorEastAsia" w:cstheme="majorBidi"/>
      <w:bCs/>
      <w:i/>
      <w:iCs/>
      <w:sz w:val="24"/>
    </w:rPr>
  </w:style>
  <w:style w:type="paragraph" w:styleId="Heading5">
    <w:name w:val="heading 5"/>
    <w:basedOn w:val="Normal"/>
    <w:next w:val="Normal"/>
    <w:link w:val="Heading5Char"/>
    <w:uiPriority w:val="9"/>
    <w:unhideWhenUsed/>
    <w:qFormat/>
    <w:rsid w:val="003A45C7"/>
    <w:pPr>
      <w:keepNext/>
      <w:keepLines/>
      <w:spacing w:before="200" w:after="0"/>
      <w:outlineLvl w:val="4"/>
    </w:pPr>
    <w:rPr>
      <w:rFonts w:eastAsiaTheme="majorEastAsia" w:cstheme="majorBidi"/>
      <w:i/>
      <w:u w:val="single"/>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3A45C7"/>
    <w:rPr>
      <w:rFonts w:ascii="Arial" w:hAnsi="Arial"/>
      <w:b/>
      <w:sz w:val="24"/>
    </w:rPr>
  </w:style>
  <w:style w:type="character" w:customStyle="1" w:styleId="Heading3Char">
    <w:name w:val="Heading 3 Char"/>
    <w:basedOn w:val="DefaultParagraphFont"/>
    <w:link w:val="Heading3"/>
    <w:uiPriority w:val="9"/>
    <w:rsid w:val="003457AB"/>
    <w:rPr>
      <w:rFonts w:ascii="Arial" w:eastAsiaTheme="majorEastAsia" w:hAnsi="Arial" w:cstheme="majorBidi"/>
      <w:bCs/>
      <w:sz w:val="24"/>
      <w:u w:val="single"/>
    </w:rPr>
  </w:style>
  <w:style w:type="character" w:customStyle="1" w:styleId="Heading4Char">
    <w:name w:val="Heading 4 Char"/>
    <w:basedOn w:val="DefaultParagraphFont"/>
    <w:link w:val="Heading4"/>
    <w:uiPriority w:val="9"/>
    <w:rsid w:val="005E1202"/>
    <w:rPr>
      <w:rFonts w:ascii="Arial" w:eastAsiaTheme="majorEastAsia" w:hAnsi="Arial" w:cstheme="majorBidi"/>
      <w:bCs/>
      <w:i/>
      <w:iCs/>
      <w:sz w:val="24"/>
    </w:rPr>
  </w:style>
  <w:style w:type="character" w:customStyle="1" w:styleId="Heading5Char">
    <w:name w:val="Heading 5 Char"/>
    <w:basedOn w:val="DefaultParagraphFont"/>
    <w:link w:val="Heading5"/>
    <w:uiPriority w:val="9"/>
    <w:rsid w:val="003A45C7"/>
    <w:rPr>
      <w:rFonts w:ascii="Arial" w:eastAsiaTheme="majorEastAsia" w:hAnsi="Arial" w:cstheme="majorBidi"/>
      <w:i/>
      <w:u w:val="single"/>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D513EB"/>
    <w:pPr>
      <w:ind w:left="720"/>
      <w:contextualSpacing/>
    </w:pPr>
  </w:style>
  <w:style w:type="character" w:styleId="CommentReference">
    <w:name w:val="annotation reference"/>
    <w:basedOn w:val="DefaultParagraphFont"/>
    <w:uiPriority w:val="99"/>
    <w:unhideWhenUsed/>
    <w:rsid w:val="001A3992"/>
    <w:rPr>
      <w:sz w:val="16"/>
      <w:szCs w:val="16"/>
    </w:rPr>
  </w:style>
  <w:style w:type="paragraph" w:styleId="CommentText">
    <w:name w:val="annotation text"/>
    <w:aliases w:val="Annotationtext"/>
    <w:basedOn w:val="Normal"/>
    <w:link w:val="CommentTextChar"/>
    <w:uiPriority w:val="99"/>
    <w:unhideWhenUsed/>
    <w:qFormat/>
    <w:rsid w:val="001A3992"/>
    <w:pPr>
      <w:spacing w:line="240" w:lineRule="auto"/>
    </w:pPr>
    <w:rPr>
      <w:rFonts w:ascii="Cambria" w:hAnsi="Cambria"/>
      <w:sz w:val="20"/>
      <w:szCs w:val="20"/>
    </w:rPr>
  </w:style>
  <w:style w:type="character" w:customStyle="1" w:styleId="CommentTextChar">
    <w:name w:val="Comment Text Char"/>
    <w:aliases w:val="Annotation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uiPriority w:val="99"/>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Subtitle">
    <w:name w:val="Subtitle"/>
    <w:basedOn w:val="Normal"/>
    <w:link w:val="SubtitleChar"/>
    <w:qFormat/>
    <w:rsid w:val="00493B75"/>
    <w:pPr>
      <w:spacing w:after="120" w:line="240" w:lineRule="auto"/>
      <w:jc w:val="center"/>
      <w:outlineLvl w:val="1"/>
    </w:pPr>
    <w:rPr>
      <w:rFonts w:eastAsia="Times New Roman" w:cs="Arial"/>
      <w:b/>
      <w:caps/>
      <w:sz w:val="24"/>
      <w:szCs w:val="24"/>
    </w:rPr>
  </w:style>
  <w:style w:type="character" w:customStyle="1" w:styleId="SubtitleChar">
    <w:name w:val="Subtitle Char"/>
    <w:basedOn w:val="DefaultParagraphFont"/>
    <w:link w:val="Subtitle"/>
    <w:rsid w:val="00493B75"/>
    <w:rPr>
      <w:rFonts w:ascii="Arial" w:eastAsia="Times New Roman" w:hAnsi="Arial" w:cs="Arial"/>
      <w:b/>
      <w:caps/>
      <w:sz w:val="24"/>
      <w:szCs w:val="24"/>
    </w:rPr>
  </w:style>
  <w:style w:type="paragraph" w:styleId="CommentSubject">
    <w:name w:val="annotation subject"/>
    <w:basedOn w:val="CommentText"/>
    <w:next w:val="CommentText"/>
    <w:link w:val="CommentSubjectChar"/>
    <w:uiPriority w:val="99"/>
    <w:semiHidden/>
    <w:unhideWhenUsed/>
    <w:rsid w:val="00493B75"/>
    <w:rPr>
      <w:rFonts w:asciiTheme="minorHAnsi" w:hAnsiTheme="minorHAnsi"/>
      <w:b/>
      <w:bCs/>
    </w:rPr>
  </w:style>
  <w:style w:type="character" w:customStyle="1" w:styleId="CommentSubjectChar">
    <w:name w:val="Comment Subject Char"/>
    <w:basedOn w:val="CommentTextChar"/>
    <w:link w:val="CommentSubject"/>
    <w:uiPriority w:val="99"/>
    <w:semiHidden/>
    <w:rsid w:val="00493B75"/>
    <w:rPr>
      <w:rFonts w:ascii="Cambria" w:hAnsi="Cambria"/>
      <w:b/>
      <w:bCs/>
      <w:sz w:val="20"/>
      <w:szCs w:val="20"/>
    </w:rPr>
  </w:style>
  <w:style w:type="character" w:customStyle="1" w:styleId="gtclinktext8">
    <w:name w:val="gtclinktext8"/>
    <w:rsid w:val="00493B75"/>
    <w:rPr>
      <w:strike w:val="0"/>
      <w:dstrike w:val="0"/>
      <w:u w:val="none"/>
      <w:effect w:val="none"/>
    </w:rPr>
  </w:style>
  <w:style w:type="table" w:styleId="TableGrid">
    <w:name w:val="Table Grid"/>
    <w:basedOn w:val="TableNormal"/>
    <w:uiPriority w:val="59"/>
    <w:rsid w:val="00493B75"/>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gtclinktext12">
    <w:name w:val="gtclinktext12"/>
    <w:rsid w:val="00493B75"/>
    <w:rPr>
      <w:strike w:val="0"/>
      <w:dstrike w:val="0"/>
      <w:u w:val="none"/>
      <w:effect w:val="none"/>
    </w:rPr>
  </w:style>
  <w:style w:type="character" w:customStyle="1" w:styleId="gtclinktext5">
    <w:name w:val="gtclinktext5"/>
    <w:rsid w:val="00493B75"/>
    <w:rPr>
      <w:strike w:val="0"/>
      <w:dstrike w:val="0"/>
      <w:u w:val="none"/>
      <w:effect w:val="none"/>
    </w:rPr>
  </w:style>
  <w:style w:type="character" w:customStyle="1" w:styleId="gtclinktext7">
    <w:name w:val="gtclinktext7"/>
    <w:rsid w:val="009C7847"/>
    <w:rPr>
      <w:strike w:val="0"/>
      <w:dstrike w:val="0"/>
      <w:u w:val="none"/>
      <w:effect w:val="none"/>
    </w:rPr>
  </w:style>
  <w:style w:type="character" w:customStyle="1" w:styleId="gtclinktext1">
    <w:name w:val="gtclinktext1"/>
    <w:rsid w:val="009C7847"/>
    <w:rPr>
      <w:strike w:val="0"/>
      <w:dstrike w:val="0"/>
      <w:u w:val="none"/>
      <w:effect w:val="none"/>
    </w:rPr>
  </w:style>
  <w:style w:type="character" w:customStyle="1" w:styleId="gtclinktext2">
    <w:name w:val="gtclinktext2"/>
    <w:rsid w:val="009C7847"/>
    <w:rPr>
      <w:strike w:val="0"/>
      <w:dstrike w:val="0"/>
      <w:u w:val="none"/>
      <w:effect w:val="none"/>
    </w:rPr>
  </w:style>
  <w:style w:type="paragraph" w:styleId="BodyText">
    <w:name w:val="Body Text"/>
    <w:basedOn w:val="Normal"/>
    <w:link w:val="BodyTextChar"/>
    <w:rsid w:val="009C7847"/>
    <w:pPr>
      <w:spacing w:after="120" w:line="240" w:lineRule="auto"/>
    </w:pPr>
    <w:rPr>
      <w:rFonts w:eastAsia="Times New Roman" w:cs="Times New Roman"/>
      <w:szCs w:val="20"/>
    </w:rPr>
  </w:style>
  <w:style w:type="character" w:customStyle="1" w:styleId="BodyTextChar">
    <w:name w:val="Body Text Char"/>
    <w:basedOn w:val="DefaultParagraphFont"/>
    <w:link w:val="BodyText"/>
    <w:rsid w:val="009C7847"/>
    <w:rPr>
      <w:rFonts w:ascii="Arial" w:eastAsia="Times New Roman" w:hAnsi="Arial" w:cs="Times New Roman"/>
      <w:szCs w:val="20"/>
    </w:rPr>
  </w:style>
  <w:style w:type="paragraph" w:styleId="Revision">
    <w:name w:val="Revision"/>
    <w:hidden/>
    <w:uiPriority w:val="99"/>
    <w:semiHidden/>
    <w:rsid w:val="009C7847"/>
    <w:pPr>
      <w:spacing w:after="0" w:line="240" w:lineRule="auto"/>
    </w:pPr>
  </w:style>
  <w:style w:type="paragraph" w:styleId="Header">
    <w:name w:val="header"/>
    <w:basedOn w:val="Normal"/>
    <w:link w:val="HeaderChar"/>
    <w:uiPriority w:val="99"/>
    <w:unhideWhenUsed/>
    <w:rsid w:val="00FD2F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2FB7"/>
  </w:style>
  <w:style w:type="character" w:styleId="PageNumber">
    <w:name w:val="page number"/>
    <w:basedOn w:val="DefaultParagraphFont"/>
    <w:rsid w:val="00FD2FB7"/>
  </w:style>
  <w:style w:type="paragraph" w:styleId="NoSpacing">
    <w:name w:val="No Spacing"/>
    <w:uiPriority w:val="1"/>
    <w:qFormat/>
    <w:rsid w:val="00DC4306"/>
    <w:pPr>
      <w:spacing w:after="0" w:line="240" w:lineRule="auto"/>
    </w:pPr>
    <w:rPr>
      <w:rFonts w:ascii="Times New Roman" w:eastAsia="Times New Roman" w:hAnsi="Times New Roman" w:cs="Times New Roman"/>
      <w:sz w:val="24"/>
      <w:szCs w:val="24"/>
      <w:lang w:val="en-US"/>
    </w:rPr>
  </w:style>
  <w:style w:type="paragraph" w:customStyle="1" w:styleId="gtcbodytext">
    <w:name w:val="gtcbodytext"/>
    <w:basedOn w:val="Normal"/>
    <w:rsid w:val="00DC4306"/>
    <w:pPr>
      <w:spacing w:before="144" w:after="0" w:line="240" w:lineRule="auto"/>
    </w:pPr>
    <w:rPr>
      <w:rFonts w:ascii="Times New Roman" w:eastAsia="Times New Roman" w:hAnsi="Times New Roman" w:cs="Times New Roman"/>
      <w:sz w:val="24"/>
      <w:szCs w:val="24"/>
      <w:lang w:val="en-US"/>
    </w:rPr>
  </w:style>
  <w:style w:type="paragraph" w:customStyle="1" w:styleId="Default">
    <w:name w:val="Default"/>
    <w:rsid w:val="00E67BCC"/>
    <w:pPr>
      <w:autoSpaceDE w:val="0"/>
      <w:autoSpaceDN w:val="0"/>
      <w:adjustRightInd w:val="0"/>
      <w:spacing w:after="0" w:line="240" w:lineRule="auto"/>
    </w:pPr>
    <w:rPr>
      <w:rFonts w:ascii="Cambria" w:hAnsi="Cambria" w:cs="Cambria"/>
      <w:color w:val="000000"/>
      <w:sz w:val="24"/>
      <w:szCs w:val="24"/>
      <w:lang w:val="en-US"/>
    </w:rPr>
  </w:style>
  <w:style w:type="table" w:customStyle="1" w:styleId="TableGrid1">
    <w:name w:val="Table Grid1"/>
    <w:basedOn w:val="TableNormal"/>
    <w:next w:val="TableGrid"/>
    <w:uiPriority w:val="59"/>
    <w:rsid w:val="00FA1AB2"/>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B0ECB"/>
    <w:pPr>
      <w:spacing w:after="0" w:line="240" w:lineRule="auto"/>
    </w:pPr>
    <w:rPr>
      <w:rFonts w:eastAsia="Cambria"/>
    </w:rPr>
    <w:tblPr>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692687">
      <w:bodyDiv w:val="1"/>
      <w:marLeft w:val="0"/>
      <w:marRight w:val="0"/>
      <w:marTop w:val="0"/>
      <w:marBottom w:val="0"/>
      <w:divBdr>
        <w:top w:val="none" w:sz="0" w:space="0" w:color="auto"/>
        <w:left w:val="none" w:sz="0" w:space="0" w:color="auto"/>
        <w:bottom w:val="none" w:sz="0" w:space="0" w:color="auto"/>
        <w:right w:val="none" w:sz="0" w:space="0" w:color="auto"/>
      </w:divBdr>
    </w:div>
    <w:div w:id="374161503">
      <w:bodyDiv w:val="1"/>
      <w:marLeft w:val="0"/>
      <w:marRight w:val="0"/>
      <w:marTop w:val="0"/>
      <w:marBottom w:val="0"/>
      <w:divBdr>
        <w:top w:val="none" w:sz="0" w:space="0" w:color="auto"/>
        <w:left w:val="none" w:sz="0" w:space="0" w:color="auto"/>
        <w:bottom w:val="none" w:sz="0" w:space="0" w:color="auto"/>
        <w:right w:val="none" w:sz="0" w:space="0" w:color="auto"/>
      </w:divBdr>
    </w:div>
    <w:div w:id="642394256">
      <w:bodyDiv w:val="1"/>
      <w:marLeft w:val="0"/>
      <w:marRight w:val="0"/>
      <w:marTop w:val="0"/>
      <w:marBottom w:val="0"/>
      <w:divBdr>
        <w:top w:val="none" w:sz="0" w:space="0" w:color="auto"/>
        <w:left w:val="none" w:sz="0" w:space="0" w:color="auto"/>
        <w:bottom w:val="none" w:sz="0" w:space="0" w:color="auto"/>
        <w:right w:val="none" w:sz="0" w:space="0" w:color="auto"/>
      </w:divBdr>
    </w:div>
    <w:div w:id="1370377728">
      <w:bodyDiv w:val="1"/>
      <w:marLeft w:val="0"/>
      <w:marRight w:val="0"/>
      <w:marTop w:val="0"/>
      <w:marBottom w:val="0"/>
      <w:divBdr>
        <w:top w:val="none" w:sz="0" w:space="0" w:color="auto"/>
        <w:left w:val="none" w:sz="0" w:space="0" w:color="auto"/>
        <w:bottom w:val="none" w:sz="0" w:space="0" w:color="auto"/>
        <w:right w:val="none" w:sz="0" w:space="0" w:color="auto"/>
      </w:divBdr>
    </w:div>
    <w:div w:id="1535578737">
      <w:bodyDiv w:val="1"/>
      <w:marLeft w:val="0"/>
      <w:marRight w:val="0"/>
      <w:marTop w:val="0"/>
      <w:marBottom w:val="0"/>
      <w:divBdr>
        <w:top w:val="none" w:sz="0" w:space="0" w:color="auto"/>
        <w:left w:val="none" w:sz="0" w:space="0" w:color="auto"/>
        <w:bottom w:val="none" w:sz="0" w:space="0" w:color="auto"/>
        <w:right w:val="none" w:sz="0" w:space="0" w:color="auto"/>
      </w:divBdr>
    </w:div>
    <w:div w:id="1620843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ga.gov.au/reporting-problem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J:/RegAffairs/products/hcv-ng/general/08-pi-cmi/ccds/01-hcv-ng-draft-ccds-28nov16.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emf"/></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s/australian-register-therapeutic-goods-artg/product-information-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GenericName xmlns="05dc35ab-f44d-4281-8d39-be71e585678f">Glecaprevir and Pibrentasvir</GenericName>
    <PurgePolicyDate xmlns="05dc35ab-f44d-4281-8d39-be71e585678f" xsi:nil="true"/>
    <DocumentType xmlns="05dc35ab-f44d-4281-8d39-be71e585678f">Prescribing Information (Combined/Individual)</DocumentType>
    <RequestType xmlns="05dc35ab-f44d-4281-8d39-be71e585678f">Label Update Request</RequestType>
    <RequestID xmlns="05dc35ab-f44d-4281-8d39-be71e585678f">LUR-30092</RequestID>
    <Languages xmlns="05dc35ab-f44d-4281-8d39-be71e585678f">English</Languages>
  </documentManagement>
</p:properties>
</file>

<file path=customXml/item4.xml><?xml version="1.0" encoding="utf-8"?>
<ct:contentTypeSchema xmlns:ct="http://schemas.microsoft.com/office/2006/metadata/contentType" xmlns:ma="http://schemas.microsoft.com/office/2006/metadata/properties/metaAttributes" ct:_="" ma:_="" ma:contentTypeName="LabelRequestDocument" ma:contentTypeID="0x0101008E29687AFEA8E949B91049EDC21A5F2C0300D08532AC246A0947AC10E7BD402A47F6" ma:contentTypeVersion="2" ma:contentTypeDescription="" ma:contentTypeScope="" ma:versionID="3472803dc383ac6182144ab7cfd67c50">
  <xsd:schema xmlns:xsd="http://www.w3.org/2001/XMLSchema" xmlns:xs="http://www.w3.org/2001/XMLSchema" xmlns:p="http://schemas.microsoft.com/office/2006/metadata/properties" xmlns:ns2="05dc35ab-f44d-4281-8d39-be71e585678f" targetNamespace="http://schemas.microsoft.com/office/2006/metadata/properties" ma:root="true" ma:fieldsID="3cb068028a9f3df8e539608fe8a9f4d2" ns2:_="">
    <xsd:import namespace="05dc35ab-f44d-4281-8d39-be71e585678f"/>
    <xsd:element name="properties">
      <xsd:complexType>
        <xsd:sequence>
          <xsd:element name="documentManagement">
            <xsd:complexType>
              <xsd:all>
                <xsd:element ref="ns2:GenericName" minOccurs="0"/>
                <xsd:element ref="ns2:PurgePolicyDate" minOccurs="0"/>
                <xsd:element ref="ns2:DocumentType" minOccurs="0"/>
                <xsd:element ref="ns2:RequestID" minOccurs="0"/>
                <xsd:element ref="ns2:RequestType" minOccurs="0"/>
                <xsd:element ref="ns2:Langua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c35ab-f44d-4281-8d39-be71e585678f" elementFormDefault="qualified">
    <xsd:import namespace="http://schemas.microsoft.com/office/2006/documentManagement/types"/>
    <xsd:import namespace="http://schemas.microsoft.com/office/infopath/2007/PartnerControls"/>
    <xsd:element name="GenericName" ma:index="8" nillable="true" ma:displayName="GenericName" ma:internalName="GenericName">
      <xsd:simpleType>
        <xsd:restriction base="dms:Text">
          <xsd:maxLength value="255"/>
        </xsd:restriction>
      </xsd:simpleType>
    </xsd:element>
    <xsd:element name="PurgePolicyDate" ma:index="9" nillable="true" ma:displayName="PurgePolicyDate" ma:format="DateOnly" ma:internalName="PurgePolicyDate">
      <xsd:simpleType>
        <xsd:restriction base="dms:DateTime"/>
      </xsd:simpleType>
    </xsd:element>
    <xsd:element name="DocumentType" ma:index="10" nillable="true" ma:displayName="DocumentType" ma:indexed="true" ma:internalName="DocumentType">
      <xsd:simpleType>
        <xsd:restriction base="dms:Text">
          <xsd:maxLength value="255"/>
        </xsd:restriction>
      </xsd:simpleType>
    </xsd:element>
    <xsd:element name="RequestID" ma:index="11" nillable="true" ma:displayName="RequestID" ma:indexed="true" ma:internalName="RequestID">
      <xsd:simpleType>
        <xsd:restriction base="dms:Text">
          <xsd:maxLength value="255"/>
        </xsd:restriction>
      </xsd:simpleType>
    </xsd:element>
    <xsd:element name="RequestType" ma:index="12" nillable="true" ma:displayName="RequestType" ma:internalName="RequestType">
      <xsd:simpleType>
        <xsd:restriction base="dms:Text">
          <xsd:maxLength value="255"/>
        </xsd:restriction>
      </xsd:simpleType>
    </xsd:element>
    <xsd:element name="Languages" ma:index="13" nillable="true" ma:displayName="Languages" ma:internalName="Language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44C12B-B29E-4F07-AFDA-90E001CED4D6}">
  <ds:schemaRefs>
    <ds:schemaRef ds:uri="http://schemas.openxmlformats.org/officeDocument/2006/bibliography"/>
  </ds:schemaRefs>
</ds:datastoreItem>
</file>

<file path=customXml/itemProps2.xml><?xml version="1.0" encoding="utf-8"?>
<ds:datastoreItem xmlns:ds="http://schemas.openxmlformats.org/officeDocument/2006/customXml" ds:itemID="{D7B1DCD2-EF0C-4AD9-B65D-322462F7920D}">
  <ds:schemaRefs>
    <ds:schemaRef ds:uri="http://schemas.microsoft.com/sharepoint/v3/contenttype/forms"/>
  </ds:schemaRefs>
</ds:datastoreItem>
</file>

<file path=customXml/itemProps3.xml><?xml version="1.0" encoding="utf-8"?>
<ds:datastoreItem xmlns:ds="http://schemas.openxmlformats.org/officeDocument/2006/customXml" ds:itemID="{34F90947-FB67-4BB6-A869-A299DC78FA96}">
  <ds:schemaRefs>
    <ds:schemaRef ds:uri="http://purl.org/dc/dcmitype/"/>
    <ds:schemaRef ds:uri="http://schemas.microsoft.com/office/infopath/2007/PartnerControls"/>
    <ds:schemaRef ds:uri="http://purl.org/dc/elements/1.1/"/>
    <ds:schemaRef ds:uri="http://schemas.microsoft.com/office/2006/metadata/properties"/>
    <ds:schemaRef ds:uri="05dc35ab-f44d-4281-8d39-be71e585678f"/>
    <ds:schemaRef ds:uri="http://schemas.microsoft.com/office/2006/documentManagement/types"/>
    <ds:schemaRef ds:uri="http://schemas.openxmlformats.org/package/2006/metadata/core-properties"/>
    <ds:schemaRef ds:uri="http://www.w3.org/XML/1998/namespace"/>
    <ds:schemaRef ds:uri="http://purl.org/dc/terms/"/>
  </ds:schemaRefs>
</ds:datastoreItem>
</file>

<file path=customXml/itemProps4.xml><?xml version="1.0" encoding="utf-8"?>
<ds:datastoreItem xmlns:ds="http://schemas.openxmlformats.org/officeDocument/2006/customXml" ds:itemID="{1218D363-4501-44DF-AD3D-A21F20B9E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c35ab-f44d-4281-8d39-be71e58567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43</Pages>
  <Words>11199</Words>
  <Characters>62045</Characters>
  <Application>Microsoft Office Word</Application>
  <DocSecurity>0</DocSecurity>
  <Lines>1320</Lines>
  <Paragraphs>631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AusPAR Attachment 1: Product Information for Maviret</dc:title>
  <dc:creator>AbbVie Pty Ltd</dc:creator>
  <cp:lastModifiedBy>PITKIN, Brendan</cp:lastModifiedBy>
  <cp:revision>4</cp:revision>
  <cp:lastPrinted>2022-01-10T03:10:00Z</cp:lastPrinted>
  <dcterms:created xsi:type="dcterms:W3CDTF">2023-01-31T04:09:00Z</dcterms:created>
  <dcterms:modified xsi:type="dcterms:W3CDTF">2023-03-06T03:45:00Z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0x0101008E29687AFEA8E949B91049EDC21A5F2C0300D08532AC246A0947AC10E7BD402A47F6</vt:lpwstr>
  </property>
</Properties>
</file>