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D871A40" w14:textId="77777777" w:rsidTr="00BF1190">
        <w:trPr>
          <w:trHeight w:val="1863"/>
        </w:trPr>
        <w:tc>
          <w:tcPr>
            <w:tcW w:w="3652" w:type="dxa"/>
            <w:tcBorders>
              <w:top w:val="nil"/>
              <w:left w:val="nil"/>
              <w:bottom w:val="nil"/>
              <w:right w:val="nil"/>
            </w:tcBorders>
          </w:tcPr>
          <w:p w14:paraId="7C45D19B" w14:textId="24115A18" w:rsidR="008E7846" w:rsidRPr="00096AA7" w:rsidRDefault="00544CEF" w:rsidP="00F931CE">
            <w:pPr>
              <w:pStyle w:val="Date"/>
              <w:framePr w:hSpace="0" w:wrap="auto" w:vAnchor="margin" w:hAnchor="text" w:yAlign="inline"/>
              <w:suppressOverlap w:val="0"/>
            </w:pPr>
            <w:r>
              <w:t xml:space="preserve">March </w:t>
            </w:r>
            <w:r w:rsidR="00565635">
              <w:t>2023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831D2D3" w14:textId="77777777" w:rsidTr="0032583B">
        <w:trPr>
          <w:trHeight w:val="868"/>
        </w:trPr>
        <w:tc>
          <w:tcPr>
            <w:tcW w:w="9079" w:type="dxa"/>
          </w:tcPr>
          <w:p w14:paraId="6306D54D" w14:textId="0410A1A7" w:rsidR="0032583B" w:rsidRPr="00A964D1" w:rsidRDefault="0032583B" w:rsidP="00F931CE">
            <w:pPr>
              <w:pStyle w:val="Title"/>
              <w:framePr w:hSpace="0" w:wrap="auto" w:vAnchor="margin" w:yAlign="inline"/>
            </w:pPr>
            <w:r w:rsidRPr="00A964D1">
              <w:t>Australian Public Assessment Report for</w:t>
            </w:r>
            <w:r w:rsidR="007E29BD">
              <w:t xml:space="preserve"> </w:t>
            </w:r>
            <w:proofErr w:type="spellStart"/>
            <w:r w:rsidR="007E29BD">
              <w:t>Eligard</w:t>
            </w:r>
            <w:proofErr w:type="spellEnd"/>
          </w:p>
        </w:tc>
      </w:tr>
      <w:tr w:rsidR="0032583B" w:rsidRPr="00B64760" w14:paraId="07D4FDBE" w14:textId="77777777" w:rsidTr="0032583B">
        <w:tc>
          <w:tcPr>
            <w:tcW w:w="9079" w:type="dxa"/>
          </w:tcPr>
          <w:p w14:paraId="4A71B90D" w14:textId="7BB5F655" w:rsidR="0032583B" w:rsidRPr="008E7846" w:rsidRDefault="00BB75D6" w:rsidP="00F931CE">
            <w:pPr>
              <w:pStyle w:val="Subtitle"/>
              <w:framePr w:hSpace="0" w:wrap="auto" w:vAnchor="margin" w:yAlign="inline"/>
            </w:pPr>
            <w:r>
              <w:t>Active ingredient</w:t>
            </w:r>
            <w:r w:rsidR="0032583B" w:rsidRPr="008E7846">
              <w:t xml:space="preserve">: </w:t>
            </w:r>
            <w:r w:rsidR="00565635">
              <w:t>Leuprorelin acetate</w:t>
            </w:r>
          </w:p>
        </w:tc>
      </w:tr>
      <w:tr w:rsidR="0032583B" w:rsidRPr="00B64760" w14:paraId="40A2FE83" w14:textId="77777777" w:rsidTr="0032583B">
        <w:trPr>
          <w:trHeight w:val="486"/>
        </w:trPr>
        <w:tc>
          <w:tcPr>
            <w:tcW w:w="9079" w:type="dxa"/>
          </w:tcPr>
          <w:p w14:paraId="11172995" w14:textId="6D9F9554" w:rsidR="0032583B" w:rsidRPr="008E7846" w:rsidRDefault="00460036" w:rsidP="009556D7">
            <w:pPr>
              <w:pStyle w:val="Subtitle"/>
              <w:framePr w:hSpace="0" w:wrap="auto" w:vAnchor="margin" w:yAlign="inline"/>
            </w:pPr>
            <w:r>
              <w:t>Sponsor:</w:t>
            </w:r>
            <w:r w:rsidR="00565635">
              <w:t xml:space="preserve"> </w:t>
            </w:r>
            <w:proofErr w:type="spellStart"/>
            <w:r w:rsidR="00565635" w:rsidRPr="00565635">
              <w:t>Mundipharma</w:t>
            </w:r>
            <w:proofErr w:type="spellEnd"/>
            <w:r w:rsidR="00565635" w:rsidRPr="00565635">
              <w:t xml:space="preserve"> Pty L</w:t>
            </w:r>
            <w:r w:rsidR="00565635">
              <w:t>td</w:t>
            </w:r>
          </w:p>
        </w:tc>
      </w:tr>
    </w:tbl>
    <w:p w14:paraId="480AC912" w14:textId="77777777" w:rsidR="008E7846" w:rsidRPr="0085156D" w:rsidRDefault="008E7846" w:rsidP="0085156D">
      <w:r w:rsidRPr="0085156D">
        <w:br w:type="page"/>
      </w:r>
    </w:p>
    <w:p w14:paraId="60D09D71" w14:textId="77777777" w:rsidR="008E7846" w:rsidRPr="001F6CBA" w:rsidRDefault="008E7846" w:rsidP="008E7846">
      <w:pPr>
        <w:pStyle w:val="NonTOCHeading2"/>
      </w:pPr>
      <w:r w:rsidRPr="001F6CBA">
        <w:lastRenderedPageBreak/>
        <w:t>About the Therapeutic Goods Administration (TGA)</w:t>
      </w:r>
    </w:p>
    <w:p w14:paraId="3E34D317"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0B92E76F"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1DC54B24"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34E0784C"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2273DBBF" w14:textId="231EDC29"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51C1E396" w14:textId="77777777" w:rsidR="008E7846" w:rsidRDefault="008E7846" w:rsidP="00875A6B">
      <w:pPr>
        <w:pStyle w:val="NonTOCHeading2"/>
      </w:pPr>
      <w:r>
        <w:t xml:space="preserve">About </w:t>
      </w:r>
      <w:proofErr w:type="spellStart"/>
      <w:r>
        <w:t>AusPARs</w:t>
      </w:r>
      <w:proofErr w:type="spellEnd"/>
    </w:p>
    <w:p w14:paraId="1644C9FC" w14:textId="71F0C9D6" w:rsidR="00AF2313" w:rsidRPr="003C6D1F" w:rsidRDefault="00AF2313" w:rsidP="00AF2313">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68058FE0"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386D8195" w14:textId="7777777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w:t>
      </w:r>
      <w:proofErr w:type="spellStart"/>
      <w:r w:rsidR="008110BC">
        <w:t>AusPAR</w:t>
      </w:r>
      <w:proofErr w:type="spellEnd"/>
      <w:r w:rsidR="008110BC">
        <w:t xml:space="preserve"> is an important part of the transparency of the TGA’s decision-making process.</w:t>
      </w:r>
    </w:p>
    <w:p w14:paraId="5C10F89C" w14:textId="77777777" w:rsidR="00AF2313" w:rsidRPr="003C6D1F" w:rsidRDefault="00AF2313" w:rsidP="00AF2313">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121E5D74" w14:textId="77777777" w:rsidR="00924482" w:rsidRPr="00DF1D7F" w:rsidRDefault="00924482" w:rsidP="00F54B65">
      <w:pPr>
        <w:pStyle w:val="LegalSubheading"/>
        <w:spacing w:before="3120"/>
      </w:pPr>
      <w:r w:rsidRPr="00DF1D7F">
        <w:t>Copyright</w:t>
      </w:r>
    </w:p>
    <w:p w14:paraId="31F3EA62" w14:textId="3D7C18BE"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E01EE1">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757370C3"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68B9EDC3" w14:textId="77777777" w:rsidR="0089635C" w:rsidRPr="0089635C" w:rsidRDefault="0089635C" w:rsidP="0010788A">
          <w:pPr>
            <w:pStyle w:val="Contents"/>
          </w:pPr>
          <w:r w:rsidRPr="0010788A">
            <w:t>Contents</w:t>
          </w:r>
        </w:p>
        <w:p w14:paraId="1FA17F6E" w14:textId="6396B478" w:rsidR="00CA69CF"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28748355" w:history="1">
            <w:r w:rsidR="00CA69CF" w:rsidRPr="003E5912">
              <w:rPr>
                <w:rStyle w:val="Hyperlink"/>
                <w:noProof/>
              </w:rPr>
              <w:t>List of abbreviations</w:t>
            </w:r>
            <w:r w:rsidR="00CA69CF">
              <w:rPr>
                <w:noProof/>
                <w:webHidden/>
              </w:rPr>
              <w:tab/>
            </w:r>
            <w:r w:rsidR="00CA69CF">
              <w:rPr>
                <w:noProof/>
                <w:webHidden/>
              </w:rPr>
              <w:fldChar w:fldCharType="begin"/>
            </w:r>
            <w:r w:rsidR="00CA69CF">
              <w:rPr>
                <w:noProof/>
                <w:webHidden/>
              </w:rPr>
              <w:instrText xml:space="preserve"> PAGEREF _Toc128748355 \h </w:instrText>
            </w:r>
            <w:r w:rsidR="00CA69CF">
              <w:rPr>
                <w:noProof/>
                <w:webHidden/>
              </w:rPr>
            </w:r>
            <w:r w:rsidR="00CA69CF">
              <w:rPr>
                <w:noProof/>
                <w:webHidden/>
              </w:rPr>
              <w:fldChar w:fldCharType="separate"/>
            </w:r>
            <w:r w:rsidR="009665D2">
              <w:rPr>
                <w:noProof/>
                <w:webHidden/>
              </w:rPr>
              <w:t>4</w:t>
            </w:r>
            <w:r w:rsidR="00CA69CF">
              <w:rPr>
                <w:noProof/>
                <w:webHidden/>
              </w:rPr>
              <w:fldChar w:fldCharType="end"/>
            </w:r>
          </w:hyperlink>
        </w:p>
        <w:p w14:paraId="11A25A3B" w14:textId="18F30A10" w:rsidR="00CA69CF" w:rsidRDefault="009665D2">
          <w:pPr>
            <w:pStyle w:val="TOC1"/>
            <w:rPr>
              <w:rFonts w:asciiTheme="minorHAnsi" w:eastAsiaTheme="minorEastAsia" w:hAnsiTheme="minorHAnsi" w:cstheme="minorBidi"/>
              <w:b w:val="0"/>
              <w:noProof/>
              <w:sz w:val="22"/>
              <w:lang w:eastAsia="en-AU"/>
            </w:rPr>
          </w:pPr>
          <w:hyperlink w:anchor="_Toc128748356" w:history="1">
            <w:r w:rsidR="00CA69CF" w:rsidRPr="003E5912">
              <w:rPr>
                <w:rStyle w:val="Hyperlink"/>
                <w:noProof/>
              </w:rPr>
              <w:t>Product submission</w:t>
            </w:r>
            <w:r w:rsidR="00CA69CF">
              <w:rPr>
                <w:noProof/>
                <w:webHidden/>
              </w:rPr>
              <w:tab/>
            </w:r>
            <w:r w:rsidR="00CA69CF">
              <w:rPr>
                <w:noProof/>
                <w:webHidden/>
              </w:rPr>
              <w:fldChar w:fldCharType="begin"/>
            </w:r>
            <w:r w:rsidR="00CA69CF">
              <w:rPr>
                <w:noProof/>
                <w:webHidden/>
              </w:rPr>
              <w:instrText xml:space="preserve"> PAGEREF _Toc128748356 \h </w:instrText>
            </w:r>
            <w:r w:rsidR="00CA69CF">
              <w:rPr>
                <w:noProof/>
                <w:webHidden/>
              </w:rPr>
            </w:r>
            <w:r w:rsidR="00CA69CF">
              <w:rPr>
                <w:noProof/>
                <w:webHidden/>
              </w:rPr>
              <w:fldChar w:fldCharType="separate"/>
            </w:r>
            <w:r>
              <w:rPr>
                <w:noProof/>
                <w:webHidden/>
              </w:rPr>
              <w:t>5</w:t>
            </w:r>
            <w:r w:rsidR="00CA69CF">
              <w:rPr>
                <w:noProof/>
                <w:webHidden/>
              </w:rPr>
              <w:fldChar w:fldCharType="end"/>
            </w:r>
          </w:hyperlink>
        </w:p>
        <w:p w14:paraId="1C6C56E9" w14:textId="253F5916" w:rsidR="00CA69CF" w:rsidRDefault="009665D2">
          <w:pPr>
            <w:pStyle w:val="TOC2"/>
            <w:rPr>
              <w:rFonts w:asciiTheme="minorHAnsi" w:eastAsiaTheme="minorEastAsia" w:hAnsiTheme="minorHAnsi" w:cstheme="minorBidi"/>
              <w:b w:val="0"/>
              <w:noProof/>
              <w:sz w:val="22"/>
              <w:lang w:eastAsia="en-AU"/>
            </w:rPr>
          </w:pPr>
          <w:hyperlink w:anchor="_Toc128748357" w:history="1">
            <w:r w:rsidR="00CA69CF" w:rsidRPr="003E5912">
              <w:rPr>
                <w:rStyle w:val="Hyperlink"/>
                <w:noProof/>
                <w:lang w:eastAsia="en-AU"/>
              </w:rPr>
              <w:t>Submission details</w:t>
            </w:r>
            <w:r w:rsidR="00CA69CF">
              <w:rPr>
                <w:noProof/>
                <w:webHidden/>
              </w:rPr>
              <w:tab/>
            </w:r>
            <w:r w:rsidR="00CA69CF">
              <w:rPr>
                <w:noProof/>
                <w:webHidden/>
              </w:rPr>
              <w:fldChar w:fldCharType="begin"/>
            </w:r>
            <w:r w:rsidR="00CA69CF">
              <w:rPr>
                <w:noProof/>
                <w:webHidden/>
              </w:rPr>
              <w:instrText xml:space="preserve"> PAGEREF _Toc128748357 \h </w:instrText>
            </w:r>
            <w:r w:rsidR="00CA69CF">
              <w:rPr>
                <w:noProof/>
                <w:webHidden/>
              </w:rPr>
            </w:r>
            <w:r w:rsidR="00CA69CF">
              <w:rPr>
                <w:noProof/>
                <w:webHidden/>
              </w:rPr>
              <w:fldChar w:fldCharType="separate"/>
            </w:r>
            <w:r>
              <w:rPr>
                <w:noProof/>
                <w:webHidden/>
              </w:rPr>
              <w:t>5</w:t>
            </w:r>
            <w:r w:rsidR="00CA69CF">
              <w:rPr>
                <w:noProof/>
                <w:webHidden/>
              </w:rPr>
              <w:fldChar w:fldCharType="end"/>
            </w:r>
          </w:hyperlink>
        </w:p>
        <w:p w14:paraId="034EFB72" w14:textId="3319B398" w:rsidR="00CA69CF" w:rsidRDefault="009665D2">
          <w:pPr>
            <w:pStyle w:val="TOC2"/>
            <w:rPr>
              <w:rFonts w:asciiTheme="minorHAnsi" w:eastAsiaTheme="minorEastAsia" w:hAnsiTheme="minorHAnsi" w:cstheme="minorBidi"/>
              <w:b w:val="0"/>
              <w:noProof/>
              <w:sz w:val="22"/>
              <w:lang w:eastAsia="en-AU"/>
            </w:rPr>
          </w:pPr>
          <w:hyperlink w:anchor="_Toc128748358" w:history="1">
            <w:r w:rsidR="00CA69CF" w:rsidRPr="003E5912">
              <w:rPr>
                <w:rStyle w:val="Hyperlink"/>
                <w:noProof/>
              </w:rPr>
              <w:t>Product background</w:t>
            </w:r>
            <w:r w:rsidR="00CA69CF">
              <w:rPr>
                <w:noProof/>
                <w:webHidden/>
              </w:rPr>
              <w:tab/>
            </w:r>
            <w:r w:rsidR="00CA69CF">
              <w:rPr>
                <w:noProof/>
                <w:webHidden/>
              </w:rPr>
              <w:fldChar w:fldCharType="begin"/>
            </w:r>
            <w:r w:rsidR="00CA69CF">
              <w:rPr>
                <w:noProof/>
                <w:webHidden/>
              </w:rPr>
              <w:instrText xml:space="preserve"> PAGEREF _Toc128748358 \h </w:instrText>
            </w:r>
            <w:r w:rsidR="00CA69CF">
              <w:rPr>
                <w:noProof/>
                <w:webHidden/>
              </w:rPr>
            </w:r>
            <w:r w:rsidR="00CA69CF">
              <w:rPr>
                <w:noProof/>
                <w:webHidden/>
              </w:rPr>
              <w:fldChar w:fldCharType="separate"/>
            </w:r>
            <w:r>
              <w:rPr>
                <w:noProof/>
                <w:webHidden/>
              </w:rPr>
              <w:t>6</w:t>
            </w:r>
            <w:r w:rsidR="00CA69CF">
              <w:rPr>
                <w:noProof/>
                <w:webHidden/>
              </w:rPr>
              <w:fldChar w:fldCharType="end"/>
            </w:r>
          </w:hyperlink>
        </w:p>
        <w:p w14:paraId="0810ECE1" w14:textId="2B9FA52E" w:rsidR="00CA69CF" w:rsidRDefault="009665D2">
          <w:pPr>
            <w:pStyle w:val="TOC2"/>
            <w:rPr>
              <w:rFonts w:asciiTheme="minorHAnsi" w:eastAsiaTheme="minorEastAsia" w:hAnsiTheme="minorHAnsi" w:cstheme="minorBidi"/>
              <w:b w:val="0"/>
              <w:noProof/>
              <w:sz w:val="22"/>
              <w:lang w:eastAsia="en-AU"/>
            </w:rPr>
          </w:pPr>
          <w:hyperlink w:anchor="_Toc128748359" w:history="1">
            <w:r w:rsidR="00CA69CF" w:rsidRPr="003E5912">
              <w:rPr>
                <w:rStyle w:val="Hyperlink"/>
                <w:noProof/>
              </w:rPr>
              <w:t>Regulatory status</w:t>
            </w:r>
            <w:r w:rsidR="00CA69CF">
              <w:rPr>
                <w:noProof/>
                <w:webHidden/>
              </w:rPr>
              <w:tab/>
            </w:r>
            <w:r w:rsidR="00CA69CF">
              <w:rPr>
                <w:noProof/>
                <w:webHidden/>
              </w:rPr>
              <w:fldChar w:fldCharType="begin"/>
            </w:r>
            <w:r w:rsidR="00CA69CF">
              <w:rPr>
                <w:noProof/>
                <w:webHidden/>
              </w:rPr>
              <w:instrText xml:space="preserve"> PAGEREF _Toc128748359 \h </w:instrText>
            </w:r>
            <w:r w:rsidR="00CA69CF">
              <w:rPr>
                <w:noProof/>
                <w:webHidden/>
              </w:rPr>
            </w:r>
            <w:r w:rsidR="00CA69CF">
              <w:rPr>
                <w:noProof/>
                <w:webHidden/>
              </w:rPr>
              <w:fldChar w:fldCharType="separate"/>
            </w:r>
            <w:r>
              <w:rPr>
                <w:noProof/>
                <w:webHidden/>
              </w:rPr>
              <w:t>7</w:t>
            </w:r>
            <w:r w:rsidR="00CA69CF">
              <w:rPr>
                <w:noProof/>
                <w:webHidden/>
              </w:rPr>
              <w:fldChar w:fldCharType="end"/>
            </w:r>
          </w:hyperlink>
        </w:p>
        <w:p w14:paraId="0C5C2A84" w14:textId="3A0F2DA1" w:rsidR="00CA69CF" w:rsidRDefault="009665D2">
          <w:pPr>
            <w:pStyle w:val="TOC2"/>
            <w:rPr>
              <w:rFonts w:asciiTheme="minorHAnsi" w:eastAsiaTheme="minorEastAsia" w:hAnsiTheme="minorHAnsi" w:cstheme="minorBidi"/>
              <w:b w:val="0"/>
              <w:noProof/>
              <w:sz w:val="22"/>
              <w:lang w:eastAsia="en-AU"/>
            </w:rPr>
          </w:pPr>
          <w:hyperlink w:anchor="_Toc128748360" w:history="1">
            <w:r w:rsidR="00CA69CF" w:rsidRPr="003E5912">
              <w:rPr>
                <w:rStyle w:val="Hyperlink"/>
                <w:noProof/>
              </w:rPr>
              <w:t>Product Information</w:t>
            </w:r>
            <w:r w:rsidR="00CA69CF">
              <w:rPr>
                <w:noProof/>
                <w:webHidden/>
              </w:rPr>
              <w:tab/>
            </w:r>
            <w:r w:rsidR="00CA69CF">
              <w:rPr>
                <w:noProof/>
                <w:webHidden/>
              </w:rPr>
              <w:fldChar w:fldCharType="begin"/>
            </w:r>
            <w:r w:rsidR="00CA69CF">
              <w:rPr>
                <w:noProof/>
                <w:webHidden/>
              </w:rPr>
              <w:instrText xml:space="preserve"> PAGEREF _Toc128748360 \h </w:instrText>
            </w:r>
            <w:r w:rsidR="00CA69CF">
              <w:rPr>
                <w:noProof/>
                <w:webHidden/>
              </w:rPr>
            </w:r>
            <w:r w:rsidR="00CA69CF">
              <w:rPr>
                <w:noProof/>
                <w:webHidden/>
              </w:rPr>
              <w:fldChar w:fldCharType="separate"/>
            </w:r>
            <w:r>
              <w:rPr>
                <w:noProof/>
                <w:webHidden/>
              </w:rPr>
              <w:t>8</w:t>
            </w:r>
            <w:r w:rsidR="00CA69CF">
              <w:rPr>
                <w:noProof/>
                <w:webHidden/>
              </w:rPr>
              <w:fldChar w:fldCharType="end"/>
            </w:r>
          </w:hyperlink>
        </w:p>
        <w:p w14:paraId="46D7CBF5" w14:textId="7A485B26" w:rsidR="00CA69CF" w:rsidRDefault="009665D2">
          <w:pPr>
            <w:pStyle w:val="TOC1"/>
            <w:rPr>
              <w:rFonts w:asciiTheme="minorHAnsi" w:eastAsiaTheme="minorEastAsia" w:hAnsiTheme="minorHAnsi" w:cstheme="minorBidi"/>
              <w:b w:val="0"/>
              <w:noProof/>
              <w:sz w:val="22"/>
              <w:lang w:eastAsia="en-AU"/>
            </w:rPr>
          </w:pPr>
          <w:hyperlink w:anchor="_Toc128748361" w:history="1">
            <w:r w:rsidR="00CA69CF" w:rsidRPr="003E5912">
              <w:rPr>
                <w:rStyle w:val="Hyperlink"/>
                <w:noProof/>
              </w:rPr>
              <w:t>Registration timeline</w:t>
            </w:r>
            <w:r w:rsidR="00CA69CF">
              <w:rPr>
                <w:noProof/>
                <w:webHidden/>
              </w:rPr>
              <w:tab/>
            </w:r>
            <w:r w:rsidR="00CA69CF">
              <w:rPr>
                <w:noProof/>
                <w:webHidden/>
              </w:rPr>
              <w:fldChar w:fldCharType="begin"/>
            </w:r>
            <w:r w:rsidR="00CA69CF">
              <w:rPr>
                <w:noProof/>
                <w:webHidden/>
              </w:rPr>
              <w:instrText xml:space="preserve"> PAGEREF _Toc128748361 \h </w:instrText>
            </w:r>
            <w:r w:rsidR="00CA69CF">
              <w:rPr>
                <w:noProof/>
                <w:webHidden/>
              </w:rPr>
            </w:r>
            <w:r w:rsidR="00CA69CF">
              <w:rPr>
                <w:noProof/>
                <w:webHidden/>
              </w:rPr>
              <w:fldChar w:fldCharType="separate"/>
            </w:r>
            <w:r>
              <w:rPr>
                <w:noProof/>
                <w:webHidden/>
              </w:rPr>
              <w:t>8</w:t>
            </w:r>
            <w:r w:rsidR="00CA69CF">
              <w:rPr>
                <w:noProof/>
                <w:webHidden/>
              </w:rPr>
              <w:fldChar w:fldCharType="end"/>
            </w:r>
          </w:hyperlink>
        </w:p>
        <w:p w14:paraId="5FB8418F" w14:textId="5F5E4DBA" w:rsidR="00CA69CF" w:rsidRDefault="009665D2">
          <w:pPr>
            <w:pStyle w:val="TOC1"/>
            <w:rPr>
              <w:rFonts w:asciiTheme="minorHAnsi" w:eastAsiaTheme="minorEastAsia" w:hAnsiTheme="minorHAnsi" w:cstheme="minorBidi"/>
              <w:b w:val="0"/>
              <w:noProof/>
              <w:sz w:val="22"/>
              <w:lang w:eastAsia="en-AU"/>
            </w:rPr>
          </w:pPr>
          <w:hyperlink w:anchor="_Toc128748362" w:history="1">
            <w:r w:rsidR="00CA69CF" w:rsidRPr="003E5912">
              <w:rPr>
                <w:rStyle w:val="Hyperlink"/>
                <w:noProof/>
              </w:rPr>
              <w:t>Submission overview and risk/benefit assessment</w:t>
            </w:r>
            <w:r w:rsidR="00CA69CF">
              <w:rPr>
                <w:noProof/>
                <w:webHidden/>
              </w:rPr>
              <w:tab/>
            </w:r>
            <w:r w:rsidR="00CA69CF">
              <w:rPr>
                <w:noProof/>
                <w:webHidden/>
              </w:rPr>
              <w:fldChar w:fldCharType="begin"/>
            </w:r>
            <w:r w:rsidR="00CA69CF">
              <w:rPr>
                <w:noProof/>
                <w:webHidden/>
              </w:rPr>
              <w:instrText xml:space="preserve"> PAGEREF _Toc128748362 \h </w:instrText>
            </w:r>
            <w:r w:rsidR="00CA69CF">
              <w:rPr>
                <w:noProof/>
                <w:webHidden/>
              </w:rPr>
            </w:r>
            <w:r w:rsidR="00CA69CF">
              <w:rPr>
                <w:noProof/>
                <w:webHidden/>
              </w:rPr>
              <w:fldChar w:fldCharType="separate"/>
            </w:r>
            <w:r>
              <w:rPr>
                <w:noProof/>
                <w:webHidden/>
              </w:rPr>
              <w:t>9</w:t>
            </w:r>
            <w:r w:rsidR="00CA69CF">
              <w:rPr>
                <w:noProof/>
                <w:webHidden/>
              </w:rPr>
              <w:fldChar w:fldCharType="end"/>
            </w:r>
          </w:hyperlink>
        </w:p>
        <w:p w14:paraId="3AB7EFCE" w14:textId="19E2080A" w:rsidR="00CA69CF" w:rsidRDefault="009665D2">
          <w:pPr>
            <w:pStyle w:val="TOC2"/>
            <w:rPr>
              <w:rFonts w:asciiTheme="minorHAnsi" w:eastAsiaTheme="minorEastAsia" w:hAnsiTheme="minorHAnsi" w:cstheme="minorBidi"/>
              <w:b w:val="0"/>
              <w:noProof/>
              <w:sz w:val="22"/>
              <w:lang w:eastAsia="en-AU"/>
            </w:rPr>
          </w:pPr>
          <w:hyperlink w:anchor="_Toc128748363" w:history="1">
            <w:r w:rsidR="00CA69CF" w:rsidRPr="003E5912">
              <w:rPr>
                <w:rStyle w:val="Hyperlink"/>
                <w:noProof/>
              </w:rPr>
              <w:t>Quality</w:t>
            </w:r>
            <w:r w:rsidR="00CA69CF">
              <w:rPr>
                <w:noProof/>
                <w:webHidden/>
              </w:rPr>
              <w:tab/>
            </w:r>
            <w:r w:rsidR="00CA69CF">
              <w:rPr>
                <w:noProof/>
                <w:webHidden/>
              </w:rPr>
              <w:fldChar w:fldCharType="begin"/>
            </w:r>
            <w:r w:rsidR="00CA69CF">
              <w:rPr>
                <w:noProof/>
                <w:webHidden/>
              </w:rPr>
              <w:instrText xml:space="preserve"> PAGEREF _Toc128748363 \h </w:instrText>
            </w:r>
            <w:r w:rsidR="00CA69CF">
              <w:rPr>
                <w:noProof/>
                <w:webHidden/>
              </w:rPr>
            </w:r>
            <w:r w:rsidR="00CA69CF">
              <w:rPr>
                <w:noProof/>
                <w:webHidden/>
              </w:rPr>
              <w:fldChar w:fldCharType="separate"/>
            </w:r>
            <w:r>
              <w:rPr>
                <w:noProof/>
                <w:webHidden/>
              </w:rPr>
              <w:t>9</w:t>
            </w:r>
            <w:r w:rsidR="00CA69CF">
              <w:rPr>
                <w:noProof/>
                <w:webHidden/>
              </w:rPr>
              <w:fldChar w:fldCharType="end"/>
            </w:r>
          </w:hyperlink>
        </w:p>
        <w:p w14:paraId="3D77780B" w14:textId="0C2F3750" w:rsidR="00CA69CF" w:rsidRDefault="009665D2">
          <w:pPr>
            <w:pStyle w:val="TOC2"/>
            <w:rPr>
              <w:rFonts w:asciiTheme="minorHAnsi" w:eastAsiaTheme="minorEastAsia" w:hAnsiTheme="minorHAnsi" w:cstheme="minorBidi"/>
              <w:b w:val="0"/>
              <w:noProof/>
              <w:sz w:val="22"/>
              <w:lang w:eastAsia="en-AU"/>
            </w:rPr>
          </w:pPr>
          <w:hyperlink w:anchor="_Toc128748364" w:history="1">
            <w:r w:rsidR="00CA69CF" w:rsidRPr="003E5912">
              <w:rPr>
                <w:rStyle w:val="Hyperlink"/>
                <w:noProof/>
              </w:rPr>
              <w:t>Nonclinical</w:t>
            </w:r>
            <w:r w:rsidR="00CA69CF">
              <w:rPr>
                <w:noProof/>
                <w:webHidden/>
              </w:rPr>
              <w:tab/>
            </w:r>
            <w:r w:rsidR="00CA69CF">
              <w:rPr>
                <w:noProof/>
                <w:webHidden/>
              </w:rPr>
              <w:fldChar w:fldCharType="begin"/>
            </w:r>
            <w:r w:rsidR="00CA69CF">
              <w:rPr>
                <w:noProof/>
                <w:webHidden/>
              </w:rPr>
              <w:instrText xml:space="preserve"> PAGEREF _Toc128748364 \h </w:instrText>
            </w:r>
            <w:r w:rsidR="00CA69CF">
              <w:rPr>
                <w:noProof/>
                <w:webHidden/>
              </w:rPr>
            </w:r>
            <w:r w:rsidR="00CA69CF">
              <w:rPr>
                <w:noProof/>
                <w:webHidden/>
              </w:rPr>
              <w:fldChar w:fldCharType="separate"/>
            </w:r>
            <w:r>
              <w:rPr>
                <w:noProof/>
                <w:webHidden/>
              </w:rPr>
              <w:t>10</w:t>
            </w:r>
            <w:r w:rsidR="00CA69CF">
              <w:rPr>
                <w:noProof/>
                <w:webHidden/>
              </w:rPr>
              <w:fldChar w:fldCharType="end"/>
            </w:r>
          </w:hyperlink>
        </w:p>
        <w:p w14:paraId="2B451F68" w14:textId="63DF345C" w:rsidR="00CA69CF" w:rsidRDefault="009665D2">
          <w:pPr>
            <w:pStyle w:val="TOC2"/>
            <w:rPr>
              <w:rFonts w:asciiTheme="minorHAnsi" w:eastAsiaTheme="minorEastAsia" w:hAnsiTheme="minorHAnsi" w:cstheme="minorBidi"/>
              <w:b w:val="0"/>
              <w:noProof/>
              <w:sz w:val="22"/>
              <w:lang w:eastAsia="en-AU"/>
            </w:rPr>
          </w:pPr>
          <w:hyperlink w:anchor="_Toc128748365" w:history="1">
            <w:r w:rsidR="00CA69CF" w:rsidRPr="003E5912">
              <w:rPr>
                <w:rStyle w:val="Hyperlink"/>
                <w:noProof/>
              </w:rPr>
              <w:t>Clinical</w:t>
            </w:r>
            <w:r w:rsidR="00CA69CF">
              <w:rPr>
                <w:noProof/>
                <w:webHidden/>
              </w:rPr>
              <w:tab/>
            </w:r>
            <w:r w:rsidR="00CA69CF">
              <w:rPr>
                <w:noProof/>
                <w:webHidden/>
              </w:rPr>
              <w:fldChar w:fldCharType="begin"/>
            </w:r>
            <w:r w:rsidR="00CA69CF">
              <w:rPr>
                <w:noProof/>
                <w:webHidden/>
              </w:rPr>
              <w:instrText xml:space="preserve"> PAGEREF _Toc128748365 \h </w:instrText>
            </w:r>
            <w:r w:rsidR="00CA69CF">
              <w:rPr>
                <w:noProof/>
                <w:webHidden/>
              </w:rPr>
            </w:r>
            <w:r w:rsidR="00CA69CF">
              <w:rPr>
                <w:noProof/>
                <w:webHidden/>
              </w:rPr>
              <w:fldChar w:fldCharType="separate"/>
            </w:r>
            <w:r>
              <w:rPr>
                <w:noProof/>
                <w:webHidden/>
              </w:rPr>
              <w:t>10</w:t>
            </w:r>
            <w:r w:rsidR="00CA69CF">
              <w:rPr>
                <w:noProof/>
                <w:webHidden/>
              </w:rPr>
              <w:fldChar w:fldCharType="end"/>
            </w:r>
          </w:hyperlink>
        </w:p>
        <w:p w14:paraId="15D2915B" w14:textId="589E1925" w:rsidR="00CA69CF" w:rsidRDefault="009665D2">
          <w:pPr>
            <w:pStyle w:val="TOC2"/>
            <w:rPr>
              <w:rFonts w:asciiTheme="minorHAnsi" w:eastAsiaTheme="minorEastAsia" w:hAnsiTheme="minorHAnsi" w:cstheme="minorBidi"/>
              <w:b w:val="0"/>
              <w:noProof/>
              <w:sz w:val="22"/>
              <w:lang w:eastAsia="en-AU"/>
            </w:rPr>
          </w:pPr>
          <w:hyperlink w:anchor="_Toc128748366" w:history="1">
            <w:r w:rsidR="00CA69CF" w:rsidRPr="003E5912">
              <w:rPr>
                <w:rStyle w:val="Hyperlink"/>
                <w:noProof/>
                <w:lang w:eastAsia="en-AU"/>
              </w:rPr>
              <w:t>Risk management plan</w:t>
            </w:r>
            <w:r w:rsidR="00CA69CF">
              <w:rPr>
                <w:noProof/>
                <w:webHidden/>
              </w:rPr>
              <w:tab/>
            </w:r>
            <w:r w:rsidR="00CA69CF">
              <w:rPr>
                <w:noProof/>
                <w:webHidden/>
              </w:rPr>
              <w:fldChar w:fldCharType="begin"/>
            </w:r>
            <w:r w:rsidR="00CA69CF">
              <w:rPr>
                <w:noProof/>
                <w:webHidden/>
              </w:rPr>
              <w:instrText xml:space="preserve"> PAGEREF _Toc128748366 \h </w:instrText>
            </w:r>
            <w:r w:rsidR="00CA69CF">
              <w:rPr>
                <w:noProof/>
                <w:webHidden/>
              </w:rPr>
            </w:r>
            <w:r w:rsidR="00CA69CF">
              <w:rPr>
                <w:noProof/>
                <w:webHidden/>
              </w:rPr>
              <w:fldChar w:fldCharType="separate"/>
            </w:r>
            <w:r>
              <w:rPr>
                <w:noProof/>
                <w:webHidden/>
              </w:rPr>
              <w:t>21</w:t>
            </w:r>
            <w:r w:rsidR="00CA69CF">
              <w:rPr>
                <w:noProof/>
                <w:webHidden/>
              </w:rPr>
              <w:fldChar w:fldCharType="end"/>
            </w:r>
          </w:hyperlink>
        </w:p>
        <w:p w14:paraId="4A1F08DB" w14:textId="5A34DC8B" w:rsidR="00CA69CF" w:rsidRDefault="009665D2">
          <w:pPr>
            <w:pStyle w:val="TOC2"/>
            <w:rPr>
              <w:rFonts w:asciiTheme="minorHAnsi" w:eastAsiaTheme="minorEastAsia" w:hAnsiTheme="minorHAnsi" w:cstheme="minorBidi"/>
              <w:b w:val="0"/>
              <w:noProof/>
              <w:sz w:val="22"/>
              <w:lang w:eastAsia="en-AU"/>
            </w:rPr>
          </w:pPr>
          <w:hyperlink w:anchor="_Toc128748367" w:history="1">
            <w:r w:rsidR="00CA69CF" w:rsidRPr="003E5912">
              <w:rPr>
                <w:rStyle w:val="Hyperlink"/>
                <w:noProof/>
              </w:rPr>
              <w:t>Risk-benefit analysis</w:t>
            </w:r>
            <w:r w:rsidR="00CA69CF">
              <w:rPr>
                <w:noProof/>
                <w:webHidden/>
              </w:rPr>
              <w:tab/>
            </w:r>
            <w:r w:rsidR="00CA69CF">
              <w:rPr>
                <w:noProof/>
                <w:webHidden/>
              </w:rPr>
              <w:fldChar w:fldCharType="begin"/>
            </w:r>
            <w:r w:rsidR="00CA69CF">
              <w:rPr>
                <w:noProof/>
                <w:webHidden/>
              </w:rPr>
              <w:instrText xml:space="preserve"> PAGEREF _Toc128748367 \h </w:instrText>
            </w:r>
            <w:r w:rsidR="00CA69CF">
              <w:rPr>
                <w:noProof/>
                <w:webHidden/>
              </w:rPr>
            </w:r>
            <w:r w:rsidR="00CA69CF">
              <w:rPr>
                <w:noProof/>
                <w:webHidden/>
              </w:rPr>
              <w:fldChar w:fldCharType="separate"/>
            </w:r>
            <w:r>
              <w:rPr>
                <w:noProof/>
                <w:webHidden/>
              </w:rPr>
              <w:t>22</w:t>
            </w:r>
            <w:r w:rsidR="00CA69CF">
              <w:rPr>
                <w:noProof/>
                <w:webHidden/>
              </w:rPr>
              <w:fldChar w:fldCharType="end"/>
            </w:r>
          </w:hyperlink>
        </w:p>
        <w:p w14:paraId="23A38743" w14:textId="040B7CFD" w:rsidR="00CA69CF" w:rsidRDefault="009665D2">
          <w:pPr>
            <w:pStyle w:val="TOC1"/>
            <w:rPr>
              <w:rFonts w:asciiTheme="minorHAnsi" w:eastAsiaTheme="minorEastAsia" w:hAnsiTheme="minorHAnsi" w:cstheme="minorBidi"/>
              <w:b w:val="0"/>
              <w:noProof/>
              <w:sz w:val="22"/>
              <w:lang w:eastAsia="en-AU"/>
            </w:rPr>
          </w:pPr>
          <w:hyperlink w:anchor="_Toc128748368" w:history="1">
            <w:r w:rsidR="00CA69CF" w:rsidRPr="003E5912">
              <w:rPr>
                <w:rStyle w:val="Hyperlink"/>
                <w:noProof/>
              </w:rPr>
              <w:t>Outcome</w:t>
            </w:r>
            <w:r w:rsidR="00CA69CF">
              <w:rPr>
                <w:noProof/>
                <w:webHidden/>
              </w:rPr>
              <w:tab/>
            </w:r>
            <w:r w:rsidR="00CA69CF">
              <w:rPr>
                <w:noProof/>
                <w:webHidden/>
              </w:rPr>
              <w:fldChar w:fldCharType="begin"/>
            </w:r>
            <w:r w:rsidR="00CA69CF">
              <w:rPr>
                <w:noProof/>
                <w:webHidden/>
              </w:rPr>
              <w:instrText xml:space="preserve"> PAGEREF _Toc128748368 \h </w:instrText>
            </w:r>
            <w:r w:rsidR="00CA69CF">
              <w:rPr>
                <w:noProof/>
                <w:webHidden/>
              </w:rPr>
            </w:r>
            <w:r w:rsidR="00CA69CF">
              <w:rPr>
                <w:noProof/>
                <w:webHidden/>
              </w:rPr>
              <w:fldChar w:fldCharType="separate"/>
            </w:r>
            <w:r>
              <w:rPr>
                <w:noProof/>
                <w:webHidden/>
              </w:rPr>
              <w:t>25</w:t>
            </w:r>
            <w:r w:rsidR="00CA69CF">
              <w:rPr>
                <w:noProof/>
                <w:webHidden/>
              </w:rPr>
              <w:fldChar w:fldCharType="end"/>
            </w:r>
          </w:hyperlink>
        </w:p>
        <w:p w14:paraId="5388D6AD" w14:textId="09F0203D" w:rsidR="00CA69CF" w:rsidRDefault="009665D2">
          <w:pPr>
            <w:pStyle w:val="TOC2"/>
            <w:rPr>
              <w:rFonts w:asciiTheme="minorHAnsi" w:eastAsiaTheme="minorEastAsia" w:hAnsiTheme="minorHAnsi" w:cstheme="minorBidi"/>
              <w:b w:val="0"/>
              <w:noProof/>
              <w:sz w:val="22"/>
              <w:lang w:eastAsia="en-AU"/>
            </w:rPr>
          </w:pPr>
          <w:hyperlink w:anchor="_Toc128748369" w:history="1">
            <w:r w:rsidR="00CA69CF" w:rsidRPr="003E5912">
              <w:rPr>
                <w:rStyle w:val="Hyperlink"/>
                <w:noProof/>
              </w:rPr>
              <w:t>Specific conditions of registration applying to these goods</w:t>
            </w:r>
            <w:r w:rsidR="00CA69CF">
              <w:rPr>
                <w:noProof/>
                <w:webHidden/>
              </w:rPr>
              <w:tab/>
            </w:r>
            <w:r w:rsidR="00CA69CF">
              <w:rPr>
                <w:noProof/>
                <w:webHidden/>
              </w:rPr>
              <w:fldChar w:fldCharType="begin"/>
            </w:r>
            <w:r w:rsidR="00CA69CF">
              <w:rPr>
                <w:noProof/>
                <w:webHidden/>
              </w:rPr>
              <w:instrText xml:space="preserve"> PAGEREF _Toc128748369 \h </w:instrText>
            </w:r>
            <w:r w:rsidR="00CA69CF">
              <w:rPr>
                <w:noProof/>
                <w:webHidden/>
              </w:rPr>
            </w:r>
            <w:r w:rsidR="00CA69CF">
              <w:rPr>
                <w:noProof/>
                <w:webHidden/>
              </w:rPr>
              <w:fldChar w:fldCharType="separate"/>
            </w:r>
            <w:r>
              <w:rPr>
                <w:noProof/>
                <w:webHidden/>
              </w:rPr>
              <w:t>25</w:t>
            </w:r>
            <w:r w:rsidR="00CA69CF">
              <w:rPr>
                <w:noProof/>
                <w:webHidden/>
              </w:rPr>
              <w:fldChar w:fldCharType="end"/>
            </w:r>
          </w:hyperlink>
        </w:p>
        <w:p w14:paraId="43A093AC" w14:textId="7C1161F0" w:rsidR="00CA69CF" w:rsidRDefault="009665D2">
          <w:pPr>
            <w:pStyle w:val="TOC1"/>
            <w:rPr>
              <w:rFonts w:asciiTheme="minorHAnsi" w:eastAsiaTheme="minorEastAsia" w:hAnsiTheme="minorHAnsi" w:cstheme="minorBidi"/>
              <w:b w:val="0"/>
              <w:noProof/>
              <w:sz w:val="22"/>
              <w:lang w:eastAsia="en-AU"/>
            </w:rPr>
          </w:pPr>
          <w:hyperlink w:anchor="_Toc128748370" w:history="1">
            <w:r w:rsidR="00CA69CF" w:rsidRPr="003E5912">
              <w:rPr>
                <w:rStyle w:val="Hyperlink"/>
                <w:noProof/>
              </w:rPr>
              <w:t>Attachment 1. Product Information</w:t>
            </w:r>
            <w:r w:rsidR="00CA69CF">
              <w:rPr>
                <w:noProof/>
                <w:webHidden/>
              </w:rPr>
              <w:tab/>
            </w:r>
            <w:r w:rsidR="00CA69CF">
              <w:rPr>
                <w:noProof/>
                <w:webHidden/>
              </w:rPr>
              <w:fldChar w:fldCharType="begin"/>
            </w:r>
            <w:r w:rsidR="00CA69CF">
              <w:rPr>
                <w:noProof/>
                <w:webHidden/>
              </w:rPr>
              <w:instrText xml:space="preserve"> PAGEREF _Toc128748370 \h </w:instrText>
            </w:r>
            <w:r w:rsidR="00CA69CF">
              <w:rPr>
                <w:noProof/>
                <w:webHidden/>
              </w:rPr>
            </w:r>
            <w:r w:rsidR="00CA69CF">
              <w:rPr>
                <w:noProof/>
                <w:webHidden/>
              </w:rPr>
              <w:fldChar w:fldCharType="separate"/>
            </w:r>
            <w:r>
              <w:rPr>
                <w:noProof/>
                <w:webHidden/>
              </w:rPr>
              <w:t>26</w:t>
            </w:r>
            <w:r w:rsidR="00CA69CF">
              <w:rPr>
                <w:noProof/>
                <w:webHidden/>
              </w:rPr>
              <w:fldChar w:fldCharType="end"/>
            </w:r>
          </w:hyperlink>
        </w:p>
        <w:p w14:paraId="2A1DBEBB" w14:textId="024E0BC0" w:rsidR="003A7F6C" w:rsidRPr="00B811C6" w:rsidRDefault="00C525A2" w:rsidP="00EB36D6">
          <w:r>
            <w:fldChar w:fldCharType="end"/>
          </w:r>
        </w:p>
      </w:sdtContent>
    </w:sdt>
    <w:bookmarkStart w:id="2" w:name="_Toc314842482" w:displacedByCustomXml="prev"/>
    <w:p w14:paraId="522AD9EF" w14:textId="77777777" w:rsidR="00FD119B" w:rsidRDefault="00FD119B">
      <w:pPr>
        <w:spacing w:before="0" w:after="200" w:line="0" w:lineRule="auto"/>
      </w:pPr>
      <w:r>
        <w:br w:type="page"/>
      </w:r>
    </w:p>
    <w:p w14:paraId="50F78309" w14:textId="77777777" w:rsidR="00AF2313" w:rsidRDefault="00AF2313" w:rsidP="00AF2313">
      <w:pPr>
        <w:pStyle w:val="Heading2"/>
      </w:pPr>
      <w:bookmarkStart w:id="3" w:name="_Toc98931917"/>
      <w:bookmarkStart w:id="4" w:name="_Toc128748355"/>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AF2313" w14:paraId="0E358C15" w14:textId="77777777" w:rsidTr="00AF2313">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1F6481E5" w14:textId="77777777" w:rsidR="00AF2313" w:rsidRDefault="00AF2313">
            <w:pPr>
              <w:rPr>
                <w:color w:val="FFFFFF"/>
              </w:rPr>
            </w:pPr>
            <w:r>
              <w:t>Abbreviation</w:t>
            </w:r>
          </w:p>
        </w:tc>
        <w:tc>
          <w:tcPr>
            <w:tcW w:w="3282" w:type="pct"/>
            <w:hideMark/>
          </w:tcPr>
          <w:p w14:paraId="6DD7E33D" w14:textId="77777777" w:rsidR="00AF2313" w:rsidRDefault="00AF2313">
            <w:r>
              <w:t>Meaning</w:t>
            </w:r>
          </w:p>
        </w:tc>
      </w:tr>
      <w:tr w:rsidR="00AF2313" w14:paraId="35B76CF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74BAAEA" w14:textId="77777777" w:rsidR="00AF2313" w:rsidRDefault="00AF2313">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CE8B011" w14:textId="77777777" w:rsidR="00AF2313" w:rsidRDefault="00AF2313">
            <w:r>
              <w:t>Advisory Committee on Medicines</w:t>
            </w:r>
          </w:p>
        </w:tc>
      </w:tr>
      <w:tr w:rsidR="00AF2313" w14:paraId="162C0AB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50AAE327" w14:textId="77777777" w:rsidR="00AF2313" w:rsidRDefault="00AF2313">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6D93751" w14:textId="77777777" w:rsidR="00AF2313" w:rsidRDefault="00AF2313">
            <w:r>
              <w:t>Australian Register of Therapeutic Goods</w:t>
            </w:r>
          </w:p>
        </w:tc>
      </w:tr>
      <w:tr w:rsidR="00C7209D" w14:paraId="04A609F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5C1CC48" w14:textId="654FB43B" w:rsidR="00C7209D" w:rsidRDefault="00C7209D">
            <w: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36C6D354" w14:textId="48BA2382" w:rsidR="00C7209D" w:rsidRDefault="00C7209D">
            <w:r>
              <w:t>Area under the</w:t>
            </w:r>
            <w:r w:rsidR="00003C76">
              <w:t xml:space="preserve"> concentration-time </w:t>
            </w:r>
            <w:r>
              <w:t>curve</w:t>
            </w:r>
          </w:p>
        </w:tc>
      </w:tr>
      <w:tr w:rsidR="006D6B0F" w14:paraId="48FD21A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53D08BB" w14:textId="4B93A90C" w:rsidR="006D6B0F" w:rsidRDefault="006D6B0F">
            <w: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3184A6BB" w14:textId="59B0B065" w:rsidR="006D6B0F" w:rsidRDefault="006D6B0F">
            <w:r>
              <w:t>Confidence interval</w:t>
            </w:r>
          </w:p>
        </w:tc>
      </w:tr>
      <w:tr w:rsidR="00C7209D" w14:paraId="6967B0F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DF26DF8" w14:textId="2FE48B27" w:rsidR="00C7209D" w:rsidRDefault="00C7209D">
            <w:r>
              <w:t>CPP</w:t>
            </w:r>
          </w:p>
        </w:tc>
        <w:tc>
          <w:tcPr>
            <w:tcW w:w="3987" w:type="pct"/>
            <w:gridSpan w:val="2"/>
            <w:tcBorders>
              <w:top w:val="single" w:sz="8" w:space="0" w:color="002C47"/>
              <w:left w:val="single" w:sz="8" w:space="0" w:color="002C47"/>
              <w:bottom w:val="single" w:sz="8" w:space="0" w:color="002C47"/>
              <w:right w:val="single" w:sz="8" w:space="0" w:color="002C47"/>
            </w:tcBorders>
          </w:tcPr>
          <w:p w14:paraId="68719B82" w14:textId="0DE81603" w:rsidR="00C7209D" w:rsidRDefault="004A433E">
            <w:r>
              <w:t>C</w:t>
            </w:r>
            <w:r w:rsidRPr="004A433E">
              <w:t>entral precocious puberty</w:t>
            </w:r>
          </w:p>
        </w:tc>
      </w:tr>
      <w:tr w:rsidR="00C7209D" w14:paraId="56960AE9"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F70E5A5" w14:textId="3C2CE02C" w:rsidR="00C7209D" w:rsidRDefault="00C7209D">
            <w:proofErr w:type="spellStart"/>
            <w:r>
              <w:t>C</w:t>
            </w:r>
            <w:r w:rsidRPr="00C7209D">
              <w:rPr>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2926F51C" w14:textId="69A53A4B" w:rsidR="00C7209D" w:rsidRDefault="00C7209D">
            <w:r>
              <w:t>Maximum concentration</w:t>
            </w:r>
          </w:p>
        </w:tc>
      </w:tr>
      <w:tr w:rsidR="00E80866" w14:paraId="27CFEE5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13BCC88" w14:textId="16349F86" w:rsidR="00E80866" w:rsidRDefault="00E80866">
            <w:r>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1E22602A" w14:textId="4F986EBF" w:rsidR="00E80866" w:rsidRDefault="00E80866">
            <w:r>
              <w:t>Consumer Medicine Information</w:t>
            </w:r>
          </w:p>
        </w:tc>
      </w:tr>
      <w:tr w:rsidR="00C7403E" w14:paraId="5176BB2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074E6E7C" w14:textId="576349A0" w:rsidR="00C7403E" w:rsidRDefault="00C7403E">
            <w:r>
              <w:t>FSH</w:t>
            </w:r>
          </w:p>
        </w:tc>
        <w:tc>
          <w:tcPr>
            <w:tcW w:w="3987" w:type="pct"/>
            <w:gridSpan w:val="2"/>
            <w:tcBorders>
              <w:top w:val="single" w:sz="8" w:space="0" w:color="002C47"/>
              <w:left w:val="single" w:sz="8" w:space="0" w:color="002C47"/>
              <w:bottom w:val="single" w:sz="8" w:space="0" w:color="002C47"/>
              <w:right w:val="single" w:sz="8" w:space="0" w:color="002C47"/>
            </w:tcBorders>
          </w:tcPr>
          <w:p w14:paraId="66F1487C" w14:textId="5F7D82C4" w:rsidR="00C7403E" w:rsidRDefault="00C7403E">
            <w:r>
              <w:t>Follicle stimulating hormone</w:t>
            </w:r>
          </w:p>
        </w:tc>
      </w:tr>
      <w:tr w:rsidR="00C7403E" w14:paraId="69C4E1E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06B2AD3" w14:textId="411B0002" w:rsidR="00C7403E" w:rsidRDefault="00C7403E">
            <w:r>
              <w:t>GnRH</w:t>
            </w:r>
          </w:p>
        </w:tc>
        <w:tc>
          <w:tcPr>
            <w:tcW w:w="3987" w:type="pct"/>
            <w:gridSpan w:val="2"/>
            <w:tcBorders>
              <w:top w:val="single" w:sz="8" w:space="0" w:color="002C47"/>
              <w:left w:val="single" w:sz="8" w:space="0" w:color="002C47"/>
              <w:bottom w:val="single" w:sz="8" w:space="0" w:color="002C47"/>
              <w:right w:val="single" w:sz="8" w:space="0" w:color="002C47"/>
            </w:tcBorders>
          </w:tcPr>
          <w:p w14:paraId="7A56AA01" w14:textId="4B9DBE9B" w:rsidR="00C7403E" w:rsidRDefault="00C7403E">
            <w:r>
              <w:t>Gon</w:t>
            </w:r>
            <w:r w:rsidR="00824C3D">
              <w:t>a</w:t>
            </w:r>
            <w:r>
              <w:t>dotropin hormone releasing hormone</w:t>
            </w:r>
          </w:p>
        </w:tc>
      </w:tr>
      <w:tr w:rsidR="00824C3D" w14:paraId="0D2D3D0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5D392B5" w14:textId="1B8B24E4" w:rsidR="00824C3D" w:rsidRDefault="00824C3D">
            <w:proofErr w:type="spellStart"/>
            <w:r w:rsidRPr="00B417FA">
              <w:t>GnRHa</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50B00E9B" w14:textId="03F22319" w:rsidR="00824C3D" w:rsidRDefault="00824C3D">
            <w:r>
              <w:t>Gonadotropin hormone releasing hormone agonist</w:t>
            </w:r>
          </w:p>
        </w:tc>
      </w:tr>
      <w:tr w:rsidR="00322D16" w14:paraId="55E7EF8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1367E26" w14:textId="30C75885" w:rsidR="00322D16" w:rsidRDefault="00322D16">
            <w:r>
              <w:t>ITT</w:t>
            </w:r>
          </w:p>
        </w:tc>
        <w:tc>
          <w:tcPr>
            <w:tcW w:w="3987" w:type="pct"/>
            <w:gridSpan w:val="2"/>
            <w:tcBorders>
              <w:top w:val="single" w:sz="8" w:space="0" w:color="002C47"/>
              <w:left w:val="single" w:sz="8" w:space="0" w:color="002C47"/>
              <w:bottom w:val="single" w:sz="8" w:space="0" w:color="002C47"/>
              <w:right w:val="single" w:sz="8" w:space="0" w:color="002C47"/>
            </w:tcBorders>
          </w:tcPr>
          <w:p w14:paraId="5292698C" w14:textId="2A4C8C95" w:rsidR="00322D16" w:rsidRDefault="00824C3D">
            <w:r>
              <w:t>Intention to treat</w:t>
            </w:r>
          </w:p>
        </w:tc>
      </w:tr>
      <w:tr w:rsidR="00C7403E" w14:paraId="6DA0C02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893C3D7" w14:textId="58DEB099" w:rsidR="00C7403E" w:rsidRDefault="00C7403E">
            <w:r>
              <w:t>LH</w:t>
            </w:r>
          </w:p>
        </w:tc>
        <w:tc>
          <w:tcPr>
            <w:tcW w:w="3987" w:type="pct"/>
            <w:gridSpan w:val="2"/>
            <w:tcBorders>
              <w:top w:val="single" w:sz="8" w:space="0" w:color="002C47"/>
              <w:left w:val="single" w:sz="8" w:space="0" w:color="002C47"/>
              <w:bottom w:val="single" w:sz="8" w:space="0" w:color="002C47"/>
              <w:right w:val="single" w:sz="8" w:space="0" w:color="002C47"/>
            </w:tcBorders>
          </w:tcPr>
          <w:p w14:paraId="57CCFA07" w14:textId="604498D6" w:rsidR="00C7403E" w:rsidRDefault="00C7403E">
            <w:r>
              <w:t>Luteinising hormone</w:t>
            </w:r>
          </w:p>
        </w:tc>
      </w:tr>
      <w:tr w:rsidR="00A72959" w14:paraId="0E7461D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9D875DF" w14:textId="4F108BB7" w:rsidR="00A72959" w:rsidRDefault="00A72959">
            <w: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302ECCD2" w14:textId="30A565A4" w:rsidR="00A72959" w:rsidRDefault="00A72959">
            <w:r>
              <w:t>Product Information</w:t>
            </w:r>
          </w:p>
        </w:tc>
      </w:tr>
      <w:tr w:rsidR="00C7209D" w14:paraId="091AC3CD"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2E5916F" w14:textId="37C7DEC2" w:rsidR="00C7209D" w:rsidRDefault="00C7209D">
            <w: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7C093A9E" w14:textId="51C9F7CC" w:rsidR="00C7209D" w:rsidRDefault="00C7209D">
            <w:r>
              <w:t>Pharmacokinetic</w:t>
            </w:r>
            <w:r w:rsidR="00003C76">
              <w:t>(s)</w:t>
            </w:r>
          </w:p>
        </w:tc>
      </w:tr>
      <w:tr w:rsidR="00C7209D" w14:paraId="217FE8B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4493EDB" w14:textId="2ECD437F" w:rsidR="00C7209D" w:rsidRDefault="00C7209D">
            <w:r>
              <w:t>PD</w:t>
            </w:r>
          </w:p>
        </w:tc>
        <w:tc>
          <w:tcPr>
            <w:tcW w:w="3987" w:type="pct"/>
            <w:gridSpan w:val="2"/>
            <w:tcBorders>
              <w:top w:val="single" w:sz="8" w:space="0" w:color="002C47"/>
              <w:left w:val="single" w:sz="8" w:space="0" w:color="002C47"/>
              <w:bottom w:val="single" w:sz="8" w:space="0" w:color="002C47"/>
              <w:right w:val="single" w:sz="8" w:space="0" w:color="002C47"/>
            </w:tcBorders>
          </w:tcPr>
          <w:p w14:paraId="78FD1E4A" w14:textId="31C65CC7" w:rsidR="00C7209D" w:rsidRDefault="00C7209D">
            <w:r>
              <w:t>Pharmacodynamic</w:t>
            </w:r>
            <w:r w:rsidR="00003C76">
              <w:t>(s)</w:t>
            </w:r>
          </w:p>
        </w:tc>
      </w:tr>
      <w:tr w:rsidR="006D6B0F" w14:paraId="28E7324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DAA37B2" w14:textId="09E928CA" w:rsidR="006D6B0F" w:rsidRDefault="006D6B0F">
            <w:r>
              <w:t>PSUR</w:t>
            </w:r>
          </w:p>
        </w:tc>
        <w:tc>
          <w:tcPr>
            <w:tcW w:w="3987" w:type="pct"/>
            <w:gridSpan w:val="2"/>
            <w:tcBorders>
              <w:top w:val="single" w:sz="8" w:space="0" w:color="002C47"/>
              <w:left w:val="single" w:sz="8" w:space="0" w:color="002C47"/>
              <w:bottom w:val="single" w:sz="8" w:space="0" w:color="002C47"/>
              <w:right w:val="single" w:sz="8" w:space="0" w:color="002C47"/>
            </w:tcBorders>
          </w:tcPr>
          <w:p w14:paraId="36279E0D" w14:textId="1509B64D" w:rsidR="006D6B0F" w:rsidRDefault="006D6B0F">
            <w:r>
              <w:t>Periodic safety update report</w:t>
            </w:r>
          </w:p>
        </w:tc>
      </w:tr>
      <w:tr w:rsidR="00AF2313" w14:paraId="1421764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438B211" w14:textId="77777777" w:rsidR="00AF2313" w:rsidRDefault="00AF2313">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E141974" w14:textId="77777777" w:rsidR="00AF2313" w:rsidRDefault="00AF2313">
            <w:r>
              <w:t>Risk management plan</w:t>
            </w:r>
          </w:p>
        </w:tc>
      </w:tr>
      <w:tr w:rsidR="00E80866" w14:paraId="7D384E2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5CD3245" w14:textId="5868F837" w:rsidR="00E80866" w:rsidRDefault="00E80866">
            <w:r>
              <w:t>SD</w:t>
            </w:r>
          </w:p>
        </w:tc>
        <w:tc>
          <w:tcPr>
            <w:tcW w:w="3987" w:type="pct"/>
            <w:gridSpan w:val="2"/>
            <w:tcBorders>
              <w:top w:val="single" w:sz="8" w:space="0" w:color="002C47"/>
              <w:left w:val="single" w:sz="8" w:space="0" w:color="002C47"/>
              <w:bottom w:val="single" w:sz="8" w:space="0" w:color="002C47"/>
              <w:right w:val="single" w:sz="8" w:space="0" w:color="002C47"/>
            </w:tcBorders>
          </w:tcPr>
          <w:p w14:paraId="6C0E574E" w14:textId="35555E7C" w:rsidR="00E80866" w:rsidRDefault="00E80866">
            <w:r>
              <w:t>Standard deviation</w:t>
            </w:r>
          </w:p>
        </w:tc>
      </w:tr>
      <w:tr w:rsidR="0062448D" w14:paraId="3DEB42C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0F10F81" w14:textId="056D9CD8" w:rsidR="0062448D" w:rsidRDefault="0062448D">
            <w:r>
              <w:t>TEAE</w:t>
            </w:r>
          </w:p>
        </w:tc>
        <w:tc>
          <w:tcPr>
            <w:tcW w:w="3987" w:type="pct"/>
            <w:gridSpan w:val="2"/>
            <w:tcBorders>
              <w:top w:val="single" w:sz="8" w:space="0" w:color="002C47"/>
              <w:left w:val="single" w:sz="8" w:space="0" w:color="002C47"/>
              <w:bottom w:val="single" w:sz="8" w:space="0" w:color="002C47"/>
              <w:right w:val="single" w:sz="8" w:space="0" w:color="002C47"/>
            </w:tcBorders>
          </w:tcPr>
          <w:p w14:paraId="5AEC7FAF" w14:textId="663F63AC" w:rsidR="0062448D" w:rsidRDefault="00A72959">
            <w:r>
              <w:t>Treatment</w:t>
            </w:r>
            <w:r w:rsidR="00003C76">
              <w:noBreakHyphen/>
            </w:r>
            <w:r>
              <w:t>emergent adverse event</w:t>
            </w:r>
          </w:p>
        </w:tc>
      </w:tr>
      <w:tr w:rsidR="00AF2313" w14:paraId="1DB3576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2C3FE86" w14:textId="77777777" w:rsidR="00AF2313" w:rsidRDefault="00AF2313">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4084E5F" w14:textId="77777777" w:rsidR="00AF2313" w:rsidRDefault="00AF2313">
            <w:r>
              <w:t>Therapeutic Goods Administration</w:t>
            </w:r>
          </w:p>
        </w:tc>
      </w:tr>
      <w:tr w:rsidR="00AF2313" w14:paraId="020AF09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042BAE95" w14:textId="78557BCA" w:rsidR="00AF2313" w:rsidRDefault="00C7209D">
            <w:pPr>
              <w:rPr>
                <w:color w:val="000000"/>
              </w:rPr>
            </w:pPr>
            <w:proofErr w:type="spellStart"/>
            <w:r>
              <w:rPr>
                <w:color w:val="000000"/>
              </w:rPr>
              <w:t>T</w:t>
            </w:r>
            <w:r w:rsidRPr="00C7209D">
              <w:rPr>
                <w:color w:val="000000"/>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1AD54028" w14:textId="41C85DC4" w:rsidR="00AF2313" w:rsidRDefault="00C7209D">
            <w:pPr>
              <w:rPr>
                <w:color w:val="000000"/>
              </w:rPr>
            </w:pPr>
            <w:r>
              <w:rPr>
                <w:color w:val="000000"/>
              </w:rPr>
              <w:t>Time to maximum concentration</w:t>
            </w:r>
          </w:p>
        </w:tc>
      </w:tr>
    </w:tbl>
    <w:p w14:paraId="232A3DE3"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729A503" w14:textId="77777777" w:rsidR="008E7846" w:rsidRDefault="009F2673" w:rsidP="008E7846">
      <w:pPr>
        <w:pStyle w:val="Heading2"/>
      </w:pPr>
      <w:bookmarkStart w:id="5" w:name="_Toc128748356"/>
      <w:r>
        <w:lastRenderedPageBreak/>
        <w:t>Pr</w:t>
      </w:r>
      <w:r w:rsidR="008E7846">
        <w:t>oduct submission</w:t>
      </w:r>
      <w:bookmarkEnd w:id="5"/>
      <w:bookmarkEnd w:id="2"/>
      <w:bookmarkEnd w:id="0"/>
    </w:p>
    <w:p w14:paraId="6FEADAFC" w14:textId="77777777" w:rsidR="008E7846" w:rsidRDefault="008E7846" w:rsidP="009E5A87">
      <w:pPr>
        <w:pStyle w:val="Heading3"/>
        <w:rPr>
          <w:lang w:eastAsia="en-AU"/>
        </w:rPr>
      </w:pPr>
      <w:bookmarkStart w:id="6" w:name="_Toc247691502"/>
      <w:bookmarkStart w:id="7" w:name="_Toc314842483"/>
      <w:bookmarkStart w:id="8" w:name="_Toc128748357"/>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416F72A4" w14:textId="77777777" w:rsidTr="00520D38">
        <w:tc>
          <w:tcPr>
            <w:tcW w:w="1577" w:type="pct"/>
          </w:tcPr>
          <w:p w14:paraId="1FDFFB39" w14:textId="77777777" w:rsidR="009F2673" w:rsidRPr="003D1E62" w:rsidRDefault="009F2673" w:rsidP="009E5A87">
            <w:pPr>
              <w:rPr>
                <w:i/>
              </w:rPr>
            </w:pPr>
            <w:r>
              <w:rPr>
                <w:i/>
              </w:rPr>
              <w:t>Type of s</w:t>
            </w:r>
            <w:r w:rsidRPr="003D1E62">
              <w:rPr>
                <w:i/>
              </w:rPr>
              <w:t>ubmission</w:t>
            </w:r>
            <w:r>
              <w:rPr>
                <w:i/>
              </w:rPr>
              <w:t>:</w:t>
            </w:r>
          </w:p>
        </w:tc>
        <w:tc>
          <w:tcPr>
            <w:tcW w:w="3423" w:type="pct"/>
          </w:tcPr>
          <w:p w14:paraId="6EB56EFB" w14:textId="3CE1938B" w:rsidR="009F2673" w:rsidRPr="003D1E62" w:rsidRDefault="00565635" w:rsidP="009E5A87">
            <w:r>
              <w:t>Extension of indications</w:t>
            </w:r>
          </w:p>
        </w:tc>
      </w:tr>
      <w:tr w:rsidR="009F2673" w:rsidRPr="003D1E62" w14:paraId="22615FDC" w14:textId="77777777" w:rsidTr="00520D38">
        <w:tc>
          <w:tcPr>
            <w:tcW w:w="1577" w:type="pct"/>
          </w:tcPr>
          <w:p w14:paraId="6B8DE74D" w14:textId="30C46857" w:rsidR="009F2673" w:rsidRPr="003D1E62" w:rsidRDefault="009F2673" w:rsidP="009E5A87">
            <w:pPr>
              <w:rPr>
                <w:i/>
              </w:rPr>
            </w:pPr>
            <w:r w:rsidRPr="00460036">
              <w:rPr>
                <w:i/>
              </w:rPr>
              <w:t>Product name:</w:t>
            </w:r>
          </w:p>
        </w:tc>
        <w:tc>
          <w:tcPr>
            <w:tcW w:w="3423" w:type="pct"/>
          </w:tcPr>
          <w:p w14:paraId="3DEF5A20" w14:textId="4B17D9AD" w:rsidR="009F2673" w:rsidRPr="003D1E62" w:rsidRDefault="00565635" w:rsidP="009E5A87">
            <w:proofErr w:type="spellStart"/>
            <w:r>
              <w:t>Eligard</w:t>
            </w:r>
            <w:proofErr w:type="spellEnd"/>
            <w:r w:rsidR="00E80B2A">
              <w:t xml:space="preserve"> (</w:t>
            </w:r>
            <w:proofErr w:type="spellStart"/>
            <w:r w:rsidR="00E80B2A">
              <w:t>Eligard</w:t>
            </w:r>
            <w:proofErr w:type="spellEnd"/>
            <w:r w:rsidR="00E80B2A">
              <w:t xml:space="preserve"> 6 month)</w:t>
            </w:r>
          </w:p>
        </w:tc>
      </w:tr>
      <w:tr w:rsidR="009F2673" w:rsidRPr="003D1E62" w14:paraId="2AE0FFA3" w14:textId="77777777" w:rsidTr="00520D38">
        <w:tc>
          <w:tcPr>
            <w:tcW w:w="1577" w:type="pct"/>
          </w:tcPr>
          <w:p w14:paraId="0CA7336C" w14:textId="75ED5515" w:rsidR="009F2673" w:rsidRPr="003D1E62" w:rsidRDefault="009F2673" w:rsidP="009E5A87">
            <w:pPr>
              <w:rPr>
                <w:i/>
              </w:rPr>
            </w:pPr>
            <w:r w:rsidRPr="00460036">
              <w:rPr>
                <w:i/>
              </w:rPr>
              <w:t>Active ingredien</w:t>
            </w:r>
            <w:r w:rsidR="00565635">
              <w:rPr>
                <w:i/>
              </w:rPr>
              <w:t>t</w:t>
            </w:r>
            <w:r w:rsidRPr="00460036">
              <w:rPr>
                <w:i/>
              </w:rPr>
              <w:t>:</w:t>
            </w:r>
          </w:p>
        </w:tc>
        <w:tc>
          <w:tcPr>
            <w:tcW w:w="3423" w:type="pct"/>
          </w:tcPr>
          <w:p w14:paraId="056C6811" w14:textId="1FC84B93" w:rsidR="009F2673" w:rsidRPr="003D1E62" w:rsidRDefault="00565635" w:rsidP="009E5A87">
            <w:r>
              <w:t>Leuprorelin acetate</w:t>
            </w:r>
          </w:p>
        </w:tc>
      </w:tr>
      <w:tr w:rsidR="009F2673" w:rsidRPr="003D1E62" w14:paraId="3C4C542B" w14:textId="77777777" w:rsidTr="00520D38">
        <w:tc>
          <w:tcPr>
            <w:tcW w:w="1577" w:type="pct"/>
          </w:tcPr>
          <w:p w14:paraId="14BBD12E" w14:textId="77777777" w:rsidR="009F2673" w:rsidRPr="009F2673" w:rsidRDefault="009F2673" w:rsidP="009E5A87">
            <w:pPr>
              <w:rPr>
                <w:i/>
              </w:rPr>
            </w:pPr>
            <w:r w:rsidRPr="003D1E62">
              <w:rPr>
                <w:i/>
              </w:rPr>
              <w:t>Decision</w:t>
            </w:r>
            <w:r w:rsidRPr="009F2673">
              <w:rPr>
                <w:i/>
              </w:rPr>
              <w:t>:</w:t>
            </w:r>
          </w:p>
        </w:tc>
        <w:tc>
          <w:tcPr>
            <w:tcW w:w="3423" w:type="pct"/>
          </w:tcPr>
          <w:p w14:paraId="045497B3" w14:textId="2CE60B8E" w:rsidR="009F2673" w:rsidRPr="003D1E62" w:rsidRDefault="009F2673" w:rsidP="009E5A87">
            <w:r w:rsidRPr="00460036">
              <w:t xml:space="preserve">Approved </w:t>
            </w:r>
          </w:p>
        </w:tc>
      </w:tr>
      <w:tr w:rsidR="009F2673" w:rsidRPr="003D1E62" w14:paraId="4E1B2707" w14:textId="77777777" w:rsidTr="00520D38">
        <w:tc>
          <w:tcPr>
            <w:tcW w:w="1577" w:type="pct"/>
          </w:tcPr>
          <w:p w14:paraId="5745BA8E"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2912B79F" w14:textId="496FFDC2" w:rsidR="009F2673" w:rsidRPr="003D1E62" w:rsidRDefault="00565635" w:rsidP="009E5A87">
            <w:r>
              <w:t>6 July 2022</w:t>
            </w:r>
          </w:p>
        </w:tc>
      </w:tr>
      <w:tr w:rsidR="009F2673" w:rsidRPr="003D1E62" w14:paraId="7E18C259" w14:textId="77777777" w:rsidTr="00520D38">
        <w:tc>
          <w:tcPr>
            <w:tcW w:w="1577" w:type="pct"/>
          </w:tcPr>
          <w:p w14:paraId="02B51056" w14:textId="77777777" w:rsidR="009F2673" w:rsidRPr="00441C3F" w:rsidRDefault="009F2673" w:rsidP="009E5A87">
            <w:pPr>
              <w:rPr>
                <w:i/>
              </w:rPr>
            </w:pPr>
            <w:r w:rsidRPr="00441C3F">
              <w:rPr>
                <w:i/>
              </w:rPr>
              <w:t>Date of entry onto ARTG</w:t>
            </w:r>
            <w:r>
              <w:rPr>
                <w:i/>
              </w:rPr>
              <w:t>:</w:t>
            </w:r>
          </w:p>
        </w:tc>
        <w:tc>
          <w:tcPr>
            <w:tcW w:w="3423" w:type="pct"/>
          </w:tcPr>
          <w:p w14:paraId="77407015" w14:textId="6D6B906E" w:rsidR="009F2673" w:rsidRPr="009F2673" w:rsidRDefault="00565635" w:rsidP="009E5A87">
            <w:r>
              <w:t>11 July 2022</w:t>
            </w:r>
            <w:r w:rsidR="009F2673" w:rsidRPr="009F2673">
              <w:t xml:space="preserve"> </w:t>
            </w:r>
          </w:p>
        </w:tc>
      </w:tr>
      <w:tr w:rsidR="009F2673" w:rsidRPr="003D1E62" w14:paraId="53393858" w14:textId="77777777" w:rsidTr="00520D38">
        <w:tc>
          <w:tcPr>
            <w:tcW w:w="1577" w:type="pct"/>
          </w:tcPr>
          <w:p w14:paraId="16E4D6AE" w14:textId="69AC023A" w:rsidR="009F2673" w:rsidRPr="00441C3F" w:rsidRDefault="009F2673" w:rsidP="009E5A87">
            <w:pPr>
              <w:rPr>
                <w:i/>
              </w:rPr>
            </w:pPr>
            <w:r>
              <w:rPr>
                <w:i/>
              </w:rPr>
              <w:t>ARTG number:</w:t>
            </w:r>
          </w:p>
        </w:tc>
        <w:tc>
          <w:tcPr>
            <w:tcW w:w="3423" w:type="pct"/>
          </w:tcPr>
          <w:p w14:paraId="640C9EE9" w14:textId="4832506F" w:rsidR="009F2673" w:rsidRPr="00441C3F" w:rsidRDefault="00565635" w:rsidP="009E5A87">
            <w:r>
              <w:t>101581</w:t>
            </w:r>
          </w:p>
        </w:tc>
      </w:tr>
      <w:tr w:rsidR="009F2673" w:rsidRPr="003D1E62" w14:paraId="1357CAEF" w14:textId="77777777" w:rsidTr="00520D38">
        <w:tc>
          <w:tcPr>
            <w:tcW w:w="1577" w:type="pct"/>
          </w:tcPr>
          <w:p w14:paraId="553370CB" w14:textId="64DA9BD8"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r w:rsidR="00565635">
              <w:rPr>
                <w:rStyle w:val="FootnoteReference"/>
                <w:i/>
              </w:rPr>
              <w:footnoteReference w:id="1"/>
            </w:r>
          </w:p>
        </w:tc>
        <w:tc>
          <w:tcPr>
            <w:tcW w:w="3423" w:type="pct"/>
          </w:tcPr>
          <w:p w14:paraId="622F92B5" w14:textId="77777777" w:rsidR="00565635" w:rsidRDefault="00565635" w:rsidP="009E5A87">
            <w:r>
              <w:t>Yes</w:t>
            </w:r>
          </w:p>
          <w:p w14:paraId="12A9B37F" w14:textId="0F380810" w:rsidR="009F2673" w:rsidRPr="00487162" w:rsidRDefault="009F2673" w:rsidP="009E5A87">
            <w:r>
              <w:t>This product will remain in the scheme for 5 years, starting on the date the new indication was approved</w:t>
            </w:r>
            <w:r w:rsidR="00565635">
              <w:t>.</w:t>
            </w:r>
          </w:p>
        </w:tc>
      </w:tr>
      <w:tr w:rsidR="009F2673" w:rsidRPr="003D1E62" w14:paraId="786C772C" w14:textId="77777777" w:rsidTr="00520D38">
        <w:tc>
          <w:tcPr>
            <w:tcW w:w="1577" w:type="pct"/>
          </w:tcPr>
          <w:p w14:paraId="2A10E45A"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269AFD30" w14:textId="77777777" w:rsidR="00820B67" w:rsidRDefault="00565635" w:rsidP="00565635">
            <w:proofErr w:type="spellStart"/>
            <w:r w:rsidRPr="00565635">
              <w:t>Mundipharma</w:t>
            </w:r>
            <w:proofErr w:type="spellEnd"/>
            <w:r w:rsidRPr="00565635">
              <w:t xml:space="preserve"> Pty Ltd</w:t>
            </w:r>
          </w:p>
          <w:p w14:paraId="489AF578" w14:textId="3ADD480C" w:rsidR="00003C76" w:rsidRDefault="00AD16A6" w:rsidP="003458D3">
            <w:r w:rsidRPr="00EB45B6">
              <w:rPr>
                <w:rStyle w:val="cf01"/>
                <w:rFonts w:asciiTheme="minorHAnsi" w:hAnsiTheme="minorHAnsi"/>
                <w:sz w:val="22"/>
                <w:szCs w:val="22"/>
              </w:rPr>
              <w:t>11/10 Carrington</w:t>
            </w:r>
            <w:r w:rsidDel="00AD16A6">
              <w:t xml:space="preserve"> </w:t>
            </w:r>
            <w:r w:rsidR="00565635">
              <w:t>Street</w:t>
            </w:r>
            <w:r w:rsidR="003458D3">
              <w:t xml:space="preserve"> </w:t>
            </w:r>
          </w:p>
          <w:p w14:paraId="65152D01" w14:textId="292341AB" w:rsidR="009F2673" w:rsidRDefault="00565635" w:rsidP="003458D3">
            <w:r>
              <w:t>Sydney NSW 2000</w:t>
            </w:r>
          </w:p>
        </w:tc>
      </w:tr>
      <w:tr w:rsidR="009F2673" w:rsidRPr="003D1E62" w14:paraId="731AAA89" w14:textId="77777777" w:rsidTr="00520D38">
        <w:tc>
          <w:tcPr>
            <w:tcW w:w="1577" w:type="pct"/>
          </w:tcPr>
          <w:p w14:paraId="7424BDD4" w14:textId="0DAA2B43" w:rsidR="009F2673" w:rsidRPr="00487162" w:rsidRDefault="009F2673" w:rsidP="009E5A87">
            <w:pPr>
              <w:rPr>
                <w:i/>
              </w:rPr>
            </w:pPr>
            <w:r>
              <w:rPr>
                <w:i/>
              </w:rPr>
              <w:t>Dose form:</w:t>
            </w:r>
          </w:p>
        </w:tc>
        <w:tc>
          <w:tcPr>
            <w:tcW w:w="3423" w:type="pct"/>
          </w:tcPr>
          <w:p w14:paraId="40936F1E" w14:textId="15875D14" w:rsidR="009F2673" w:rsidRDefault="00565635" w:rsidP="009E5A87">
            <w:r>
              <w:t>Modified release injection</w:t>
            </w:r>
          </w:p>
        </w:tc>
      </w:tr>
      <w:tr w:rsidR="009F2673" w:rsidRPr="003D1E62" w14:paraId="1FE5FACA" w14:textId="77777777" w:rsidTr="00520D38">
        <w:tc>
          <w:tcPr>
            <w:tcW w:w="1577" w:type="pct"/>
          </w:tcPr>
          <w:p w14:paraId="610D4566" w14:textId="301263A3" w:rsidR="009F2673" w:rsidRPr="00487162" w:rsidRDefault="009F2673" w:rsidP="009E5A87">
            <w:pPr>
              <w:rPr>
                <w:i/>
              </w:rPr>
            </w:pPr>
            <w:r w:rsidRPr="00487162">
              <w:rPr>
                <w:i/>
              </w:rPr>
              <w:t>Strength:</w:t>
            </w:r>
          </w:p>
        </w:tc>
        <w:tc>
          <w:tcPr>
            <w:tcW w:w="3423" w:type="pct"/>
          </w:tcPr>
          <w:p w14:paraId="552C4F2B" w14:textId="1546EEA0" w:rsidR="009F2673" w:rsidRDefault="00565635" w:rsidP="009E5A87">
            <w:r>
              <w:t>45 mg</w:t>
            </w:r>
          </w:p>
        </w:tc>
      </w:tr>
      <w:tr w:rsidR="009F2673" w:rsidRPr="003D1E62" w14:paraId="461E09F8" w14:textId="77777777" w:rsidTr="00520D38">
        <w:tc>
          <w:tcPr>
            <w:tcW w:w="1577" w:type="pct"/>
          </w:tcPr>
          <w:p w14:paraId="54D2ECE0" w14:textId="12E29106" w:rsidR="009F2673" w:rsidRPr="00487162" w:rsidRDefault="009F2673" w:rsidP="009E5A87">
            <w:pPr>
              <w:rPr>
                <w:i/>
              </w:rPr>
            </w:pPr>
            <w:r w:rsidRPr="00487162">
              <w:rPr>
                <w:i/>
              </w:rPr>
              <w:t>Container:</w:t>
            </w:r>
          </w:p>
        </w:tc>
        <w:tc>
          <w:tcPr>
            <w:tcW w:w="3423" w:type="pct"/>
          </w:tcPr>
          <w:p w14:paraId="3AD630E1" w14:textId="7D538B05" w:rsidR="009F2673" w:rsidRDefault="00565635" w:rsidP="009E5A87">
            <w:r>
              <w:t>Syringe</w:t>
            </w:r>
          </w:p>
        </w:tc>
      </w:tr>
      <w:tr w:rsidR="009F2673" w:rsidRPr="003D1E62" w14:paraId="545DFA33" w14:textId="77777777" w:rsidTr="00520D38">
        <w:tc>
          <w:tcPr>
            <w:tcW w:w="1577" w:type="pct"/>
          </w:tcPr>
          <w:p w14:paraId="09714DF5" w14:textId="7EF50B03" w:rsidR="009F2673" w:rsidRPr="00487162" w:rsidRDefault="009F2673" w:rsidP="009E5A87">
            <w:pPr>
              <w:rPr>
                <w:i/>
              </w:rPr>
            </w:pPr>
            <w:r w:rsidRPr="00487162">
              <w:rPr>
                <w:i/>
              </w:rPr>
              <w:t>Pack size:</w:t>
            </w:r>
          </w:p>
        </w:tc>
        <w:tc>
          <w:tcPr>
            <w:tcW w:w="3423" w:type="pct"/>
          </w:tcPr>
          <w:p w14:paraId="5AC861D4" w14:textId="5621D936" w:rsidR="00112A31" w:rsidRDefault="00565635" w:rsidP="00AC08F5">
            <w:r>
              <w:t xml:space="preserve">Single injection </w:t>
            </w:r>
            <w:r w:rsidR="00D90355">
              <w:t xml:space="preserve">composite </w:t>
            </w:r>
            <w:r>
              <w:t xml:space="preserve">pack </w:t>
            </w:r>
            <w:proofErr w:type="gramStart"/>
            <w:r>
              <w:t>containing</w:t>
            </w:r>
            <w:r w:rsidR="00A5553B">
              <w:t>:</w:t>
            </w:r>
            <w:proofErr w:type="gramEnd"/>
            <w:r w:rsidR="00A5553B">
              <w:t xml:space="preserve"> </w:t>
            </w:r>
            <w:r>
              <w:t xml:space="preserve">syringe </w:t>
            </w:r>
            <w:r w:rsidR="00A5553B">
              <w:t>A</w:t>
            </w:r>
            <w:r>
              <w:t xml:space="preserve"> </w:t>
            </w:r>
            <w:r w:rsidR="00E80B2A">
              <w:t>(</w:t>
            </w:r>
            <w:r>
              <w:t>delivery system</w:t>
            </w:r>
            <w:r w:rsidR="00E80B2A">
              <w:t xml:space="preserve">) </w:t>
            </w:r>
            <w:r>
              <w:t xml:space="preserve">and syringe B </w:t>
            </w:r>
            <w:r w:rsidR="00E80B2A">
              <w:t xml:space="preserve">(containing </w:t>
            </w:r>
            <w:r>
              <w:t>leuprorelin acetate</w:t>
            </w:r>
            <w:r w:rsidR="00E80B2A">
              <w:t>).</w:t>
            </w:r>
          </w:p>
        </w:tc>
      </w:tr>
      <w:tr w:rsidR="009F2673" w:rsidRPr="003D1E62" w14:paraId="01018101" w14:textId="77777777" w:rsidTr="00520D38">
        <w:tc>
          <w:tcPr>
            <w:tcW w:w="1577" w:type="pct"/>
          </w:tcPr>
          <w:p w14:paraId="34545DDB"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4062570C" w14:textId="77777777" w:rsidR="00565635" w:rsidRPr="00565635" w:rsidRDefault="00565635" w:rsidP="00565635">
            <w:pPr>
              <w:rPr>
                <w:b/>
                <w:bCs/>
                <w:i/>
                <w:iCs/>
              </w:rPr>
            </w:pPr>
            <w:r w:rsidRPr="00565635">
              <w:rPr>
                <w:b/>
                <w:bCs/>
                <w:i/>
                <w:iCs/>
              </w:rPr>
              <w:t>Central precocious puberty (CPP)</w:t>
            </w:r>
          </w:p>
          <w:p w14:paraId="23A1608B" w14:textId="003B5F4F" w:rsidR="009F2673" w:rsidRPr="00487162" w:rsidRDefault="003458D3" w:rsidP="00565635">
            <w:proofErr w:type="spellStart"/>
            <w:r w:rsidRPr="00565635">
              <w:rPr>
                <w:i/>
                <w:iCs/>
              </w:rPr>
              <w:t>Eligard</w:t>
            </w:r>
            <w:proofErr w:type="spellEnd"/>
            <w:r w:rsidRPr="00565635">
              <w:rPr>
                <w:i/>
                <w:iCs/>
              </w:rPr>
              <w:t xml:space="preserve"> </w:t>
            </w:r>
            <w:r w:rsidR="00565635" w:rsidRPr="00565635">
              <w:rPr>
                <w:i/>
                <w:iCs/>
              </w:rPr>
              <w:t>45</w:t>
            </w:r>
            <w:r w:rsidR="00E01EE1">
              <w:rPr>
                <w:i/>
                <w:iCs/>
              </w:rPr>
              <w:t xml:space="preserve"> </w:t>
            </w:r>
            <w:r w:rsidR="00565635" w:rsidRPr="00565635">
              <w:rPr>
                <w:i/>
                <w:iCs/>
              </w:rPr>
              <w:t>mg 6 month is indicated for the treatment of children 2 years of age and older with central precocious puberty (CPP).</w:t>
            </w:r>
          </w:p>
        </w:tc>
      </w:tr>
      <w:tr w:rsidR="009F2673" w:rsidRPr="003D1E62" w14:paraId="203A7AB1" w14:textId="77777777" w:rsidTr="00520D38">
        <w:tc>
          <w:tcPr>
            <w:tcW w:w="1577" w:type="pct"/>
          </w:tcPr>
          <w:p w14:paraId="31BEA1EF" w14:textId="4413DF19" w:rsidR="009F2673" w:rsidRPr="00487162" w:rsidRDefault="009F2673" w:rsidP="009E5A87">
            <w:pPr>
              <w:rPr>
                <w:i/>
              </w:rPr>
            </w:pPr>
            <w:r w:rsidRPr="00487162">
              <w:rPr>
                <w:i/>
              </w:rPr>
              <w:t>Route of administration:</w:t>
            </w:r>
          </w:p>
        </w:tc>
        <w:tc>
          <w:tcPr>
            <w:tcW w:w="3423" w:type="pct"/>
          </w:tcPr>
          <w:p w14:paraId="79572BDB" w14:textId="628C4760" w:rsidR="009F2673" w:rsidRPr="00487162" w:rsidRDefault="00565635" w:rsidP="009E5A87">
            <w:r>
              <w:t>Subcutaneous</w:t>
            </w:r>
          </w:p>
        </w:tc>
      </w:tr>
      <w:tr w:rsidR="009F2673" w:rsidRPr="003D1E62" w14:paraId="652E7363" w14:textId="77777777" w:rsidTr="00520D38">
        <w:tc>
          <w:tcPr>
            <w:tcW w:w="1577" w:type="pct"/>
          </w:tcPr>
          <w:p w14:paraId="7E819969" w14:textId="77777777" w:rsidR="009F2673" w:rsidRPr="00487162" w:rsidRDefault="009F2673" w:rsidP="009E5A87">
            <w:pPr>
              <w:rPr>
                <w:i/>
              </w:rPr>
            </w:pPr>
            <w:r w:rsidRPr="00487162">
              <w:rPr>
                <w:i/>
              </w:rPr>
              <w:t>Dosage:</w:t>
            </w:r>
          </w:p>
        </w:tc>
        <w:tc>
          <w:tcPr>
            <w:tcW w:w="3423" w:type="pct"/>
          </w:tcPr>
          <w:p w14:paraId="57EFA261" w14:textId="2776099D" w:rsidR="00BC5CD6" w:rsidRPr="00520D38" w:rsidRDefault="00BC5CD6" w:rsidP="00BC5CD6">
            <w:pPr>
              <w:rPr>
                <w:i/>
              </w:rPr>
            </w:pPr>
            <w:r w:rsidRPr="00520D38">
              <w:rPr>
                <w:i/>
              </w:rPr>
              <w:t>For use in central precocious puberty (CPP)</w:t>
            </w:r>
          </w:p>
          <w:p w14:paraId="61F82482" w14:textId="5FA645A1" w:rsidR="00BC5CD6" w:rsidRDefault="00BC5CD6" w:rsidP="00BC5CD6">
            <w:r>
              <w:t xml:space="preserve">Central precocious puberty is defined as: clinical evidence of onset of breast </w:t>
            </w:r>
            <w:r w:rsidR="00835723">
              <w:t>development in girls less than</w:t>
            </w:r>
            <w:r>
              <w:t xml:space="preserve"> 8 years</w:t>
            </w:r>
            <w:r w:rsidR="00835723">
              <w:t xml:space="preserve"> of </w:t>
            </w:r>
            <w:r w:rsidR="00835723">
              <w:lastRenderedPageBreak/>
              <w:t>age</w:t>
            </w:r>
            <w:r>
              <w:t>, or bi</w:t>
            </w:r>
            <w:r w:rsidR="00835723">
              <w:t>lateral testicular enlargement over</w:t>
            </w:r>
            <w:r>
              <w:t xml:space="preserve"> 4 </w:t>
            </w:r>
            <w:r w:rsidR="00835723">
              <w:t>mL in boys less than</w:t>
            </w:r>
            <w:r>
              <w:t xml:space="preserve"> 9 years </w:t>
            </w:r>
            <w:r w:rsidR="00835723">
              <w:t xml:space="preserve">of age, </w:t>
            </w:r>
            <w:r>
              <w:t xml:space="preserve">plus raised luteinising hormone/follicle stimulating hormone, </w:t>
            </w:r>
            <w:proofErr w:type="gramStart"/>
            <w:r>
              <w:t>oestradiol</w:t>
            </w:r>
            <w:proofErr w:type="gramEnd"/>
            <w:r>
              <w:t xml:space="preserve"> or testosterone; see the Product Information for further information.</w:t>
            </w:r>
          </w:p>
          <w:p w14:paraId="572455D6" w14:textId="1A77B978" w:rsidR="00BC5CD6" w:rsidRDefault="00BC5CD6" w:rsidP="009E5A87">
            <w:proofErr w:type="spellStart"/>
            <w:r>
              <w:t>Eligard</w:t>
            </w:r>
            <w:proofErr w:type="spellEnd"/>
            <w:r>
              <w:t xml:space="preserve"> (</w:t>
            </w:r>
            <w:proofErr w:type="spellStart"/>
            <w:r>
              <w:t>Eligard</w:t>
            </w:r>
            <w:proofErr w:type="spellEnd"/>
            <w:r>
              <w:t xml:space="preserve"> 6 month) is</w:t>
            </w:r>
            <w:r w:rsidR="00835723">
              <w:t xml:space="preserve"> designed to deliver 45 </w:t>
            </w:r>
            <w:r>
              <w:t xml:space="preserve">mg of leuprorelin acetate at a controlled rate over a </w:t>
            </w:r>
            <w:proofErr w:type="gramStart"/>
            <w:r>
              <w:t>6 month</w:t>
            </w:r>
            <w:proofErr w:type="gramEnd"/>
            <w:r>
              <w:t xml:space="preserve"> therapeutic period.</w:t>
            </w:r>
          </w:p>
          <w:p w14:paraId="60457F38" w14:textId="77777777" w:rsidR="009F2673" w:rsidRPr="00487162" w:rsidRDefault="009F2673" w:rsidP="009E5A87">
            <w:r w:rsidRPr="00460036">
              <w:t>For further information regarding dosage, refer to the Product Information.</w:t>
            </w:r>
          </w:p>
        </w:tc>
      </w:tr>
      <w:tr w:rsidR="009F2673" w:rsidRPr="003D1E62" w14:paraId="31A99F5C" w14:textId="77777777" w:rsidTr="00520D38">
        <w:tc>
          <w:tcPr>
            <w:tcW w:w="1577" w:type="pct"/>
          </w:tcPr>
          <w:p w14:paraId="420D9A52" w14:textId="77777777" w:rsidR="009F2673" w:rsidRPr="00487162" w:rsidRDefault="009F2673" w:rsidP="009E5A87">
            <w:pPr>
              <w:rPr>
                <w:i/>
              </w:rPr>
            </w:pPr>
            <w:r w:rsidRPr="00460036">
              <w:rPr>
                <w:i/>
              </w:rPr>
              <w:lastRenderedPageBreak/>
              <w:t>Pregnancy category</w:t>
            </w:r>
            <w:r>
              <w:rPr>
                <w:i/>
              </w:rPr>
              <w:t>:</w:t>
            </w:r>
          </w:p>
        </w:tc>
        <w:tc>
          <w:tcPr>
            <w:tcW w:w="3423" w:type="pct"/>
          </w:tcPr>
          <w:p w14:paraId="52FEC09A" w14:textId="77777777" w:rsidR="003C399E" w:rsidRDefault="003C399E" w:rsidP="009F2673">
            <w:r>
              <w:t>D</w:t>
            </w:r>
          </w:p>
          <w:p w14:paraId="689B0F0F" w14:textId="77777777" w:rsidR="00820B67" w:rsidRDefault="003C399E" w:rsidP="009E5A87">
            <w:r w:rsidRPr="003C399E">
              <w:t xml:space="preserve">Drugs which have caused, are suspected to have caused or may be expected to cause, an increased incidence of human </w:t>
            </w:r>
            <w:proofErr w:type="spellStart"/>
            <w:r w:rsidRPr="003C399E">
              <w:t>fetal</w:t>
            </w:r>
            <w:proofErr w:type="spellEnd"/>
            <w:r w:rsidRPr="003C399E">
              <w:t xml:space="preserve"> malformations or irreversible damage. These drugs may also have adverse pharmacological effects. Accompanying texts should be consulted for further details.</w:t>
            </w:r>
          </w:p>
          <w:p w14:paraId="0273DB1D" w14:textId="22EFE7C4" w:rsidR="009F2673" w:rsidRPr="00487162" w:rsidRDefault="009F2673" w:rsidP="003C399E">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3534C43" w14:textId="77777777" w:rsidR="008E7846" w:rsidRDefault="008E7846" w:rsidP="008E7846">
      <w:pPr>
        <w:pStyle w:val="Heading3"/>
      </w:pPr>
      <w:bookmarkStart w:id="9" w:name="_Toc247691503"/>
      <w:bookmarkStart w:id="10" w:name="_Toc314842484"/>
      <w:bookmarkStart w:id="11" w:name="_Toc128748358"/>
      <w:r>
        <w:t>Product background</w:t>
      </w:r>
      <w:bookmarkEnd w:id="9"/>
      <w:bookmarkEnd w:id="10"/>
      <w:bookmarkEnd w:id="11"/>
    </w:p>
    <w:p w14:paraId="3DA18DE4" w14:textId="0410C0CB" w:rsidR="009F2673" w:rsidRDefault="009F2673" w:rsidP="009F2673">
      <w:r w:rsidRPr="000A4A42">
        <w:t xml:space="preserve">This </w:t>
      </w:r>
      <w:proofErr w:type="spellStart"/>
      <w:r w:rsidRPr="000A4A42">
        <w:t>AusPAR</w:t>
      </w:r>
      <w:proofErr w:type="spellEnd"/>
      <w:r w:rsidRPr="000A4A42">
        <w:t xml:space="preserve"> describes the </w:t>
      </w:r>
      <w:r w:rsidR="001E359E">
        <w:t>submission</w:t>
      </w:r>
      <w:r w:rsidRPr="000A4A42">
        <w:t xml:space="preserve"> by</w:t>
      </w:r>
      <w:r w:rsidR="003C399E">
        <w:t xml:space="preserve"> </w:t>
      </w:r>
      <w:proofErr w:type="spellStart"/>
      <w:r w:rsidR="003C399E">
        <w:t>Mundipharma</w:t>
      </w:r>
      <w:proofErr w:type="spellEnd"/>
      <w:r w:rsidR="003C399E">
        <w:t xml:space="preserve"> Pty Ltd</w:t>
      </w:r>
      <w:r w:rsidRPr="000A4A42">
        <w:t xml:space="preserve"> (the sponsor) to register </w:t>
      </w:r>
      <w:proofErr w:type="spellStart"/>
      <w:r w:rsidR="003C399E">
        <w:t>Eligard</w:t>
      </w:r>
      <w:proofErr w:type="spellEnd"/>
      <w:r w:rsidR="003C399E">
        <w:t xml:space="preserve"> </w:t>
      </w:r>
      <w:r w:rsidRPr="000A4A42">
        <w:t>(</w:t>
      </w:r>
      <w:r w:rsidR="003C399E">
        <w:t>leuprorelin acetate</w:t>
      </w:r>
      <w:r w:rsidRPr="000A4A42">
        <w:t xml:space="preserve">) </w:t>
      </w:r>
      <w:r w:rsidR="003C399E">
        <w:t>45 mg modified release injection</w:t>
      </w:r>
      <w:r w:rsidRPr="000A4A42">
        <w:t xml:space="preserve"> for the following proposed extension of indications:</w:t>
      </w:r>
    </w:p>
    <w:p w14:paraId="11C0E61E" w14:textId="1139FE51" w:rsidR="003C399E" w:rsidRPr="003C399E" w:rsidRDefault="002C6E17" w:rsidP="003C399E">
      <w:pPr>
        <w:ind w:left="720"/>
        <w:rPr>
          <w:i/>
          <w:iCs/>
        </w:rPr>
      </w:pPr>
      <w:proofErr w:type="spellStart"/>
      <w:r w:rsidRPr="003C399E">
        <w:rPr>
          <w:i/>
          <w:iCs/>
        </w:rPr>
        <w:t>Eligard</w:t>
      </w:r>
      <w:proofErr w:type="spellEnd"/>
      <w:r w:rsidRPr="003C399E">
        <w:rPr>
          <w:i/>
          <w:iCs/>
        </w:rPr>
        <w:t xml:space="preserve"> </w:t>
      </w:r>
      <w:r w:rsidR="003C399E" w:rsidRPr="003C399E">
        <w:rPr>
          <w:i/>
          <w:iCs/>
        </w:rPr>
        <w:t>6 month is indicated for the treatment of children with central precocious puberty (CPP).</w:t>
      </w:r>
    </w:p>
    <w:p w14:paraId="21DDB095" w14:textId="55F951CA" w:rsidR="0021252C" w:rsidRDefault="003C399E" w:rsidP="003C399E">
      <w:bookmarkStart w:id="12" w:name="_Toc314842485"/>
      <w:bookmarkStart w:id="13" w:name="_Toc247691504"/>
      <w:r>
        <w:t xml:space="preserve">Precocious puberty is when puberty occurs earlier than normal, </w:t>
      </w:r>
      <w:r w:rsidR="00A5553B">
        <w:t>that is,</w:t>
      </w:r>
      <w:r>
        <w:t xml:space="preserve"> before 97.5% of the population of children.</w:t>
      </w:r>
      <w:r w:rsidR="00A5553B">
        <w:rPr>
          <w:rStyle w:val="FootnoteReference"/>
        </w:rPr>
        <w:footnoteReference w:id="2"/>
      </w:r>
      <w:r w:rsidR="00D81E95">
        <w:t xml:space="preserve"> </w:t>
      </w:r>
      <w:r w:rsidR="00F457EE">
        <w:t xml:space="preserve">Precocious puberty is defined </w:t>
      </w:r>
      <w:r w:rsidR="00D81E95">
        <w:t>as an onset of puberty before 8 </w:t>
      </w:r>
      <w:r w:rsidR="00F457EE">
        <w:t>year</w:t>
      </w:r>
      <w:r w:rsidR="0073649D">
        <w:t xml:space="preserve">s of age in females and 9 years </w:t>
      </w:r>
      <w:r w:rsidR="00F457EE">
        <w:t>in males</w:t>
      </w:r>
      <w:r w:rsidR="0073649D">
        <w:t>;</w:t>
      </w:r>
      <w:r w:rsidR="0073649D">
        <w:rPr>
          <w:rStyle w:val="FootnoteReference"/>
        </w:rPr>
        <w:footnoteReference w:id="3"/>
      </w:r>
      <w:r w:rsidR="0073649D">
        <w:rPr>
          <w:vertAlign w:val="superscript"/>
        </w:rPr>
        <w:t>,</w:t>
      </w:r>
      <w:bookmarkStart w:id="14" w:name="_Ref128564751"/>
      <w:r w:rsidR="0073649D">
        <w:rPr>
          <w:rStyle w:val="FootnoteReference"/>
        </w:rPr>
        <w:footnoteReference w:id="4"/>
      </w:r>
      <w:bookmarkEnd w:id="14"/>
      <w:r w:rsidR="00CC786A">
        <w:t xml:space="preserve"> b</w:t>
      </w:r>
      <w:r w:rsidR="0073649D">
        <w:t>ut p</w:t>
      </w:r>
      <w:r>
        <w:t xml:space="preserve">ubertal development </w:t>
      </w:r>
      <w:r w:rsidR="0073649D">
        <w:t>has</w:t>
      </w:r>
      <w:r w:rsidR="0021252C">
        <w:t xml:space="preserve"> </w:t>
      </w:r>
      <w:r w:rsidR="00D81E95">
        <w:t xml:space="preserve">also </w:t>
      </w:r>
      <w:r w:rsidR="0021252C">
        <w:t>be</w:t>
      </w:r>
      <w:r w:rsidR="0073649D">
        <w:t>en</w:t>
      </w:r>
      <w:r w:rsidR="0021252C">
        <w:t xml:space="preserve"> </w:t>
      </w:r>
      <w:r>
        <w:t>classified as</w:t>
      </w:r>
      <w:r w:rsidR="00D81E95">
        <w:t xml:space="preserve"> being</w:t>
      </w:r>
      <w:r>
        <w:t xml:space="preserve"> precocious when it occurs before age </w:t>
      </w:r>
      <w:r w:rsidR="00A5553B">
        <w:t>six</w:t>
      </w:r>
      <w:r>
        <w:t xml:space="preserve"> in Black girls and before age </w:t>
      </w:r>
      <w:r w:rsidR="00A5553B">
        <w:t>seven</w:t>
      </w:r>
      <w:r>
        <w:t xml:space="preserve"> years in all other girls</w:t>
      </w:r>
      <w:r w:rsidR="0021252C">
        <w:t>;</w:t>
      </w:r>
      <w:r w:rsidR="0021252C">
        <w:rPr>
          <w:rStyle w:val="FootnoteReference"/>
        </w:rPr>
        <w:footnoteReference w:id="5"/>
      </w:r>
      <w:r w:rsidR="00D62021">
        <w:t xml:space="preserve"> </w:t>
      </w:r>
      <w:r w:rsidR="0021252C">
        <w:t>h</w:t>
      </w:r>
      <w:r>
        <w:t>ence, incidence and definitions of precocious puberty may differ between different populations.</w:t>
      </w:r>
    </w:p>
    <w:p w14:paraId="5D9C59CE" w14:textId="6FAE691B" w:rsidR="003C399E" w:rsidRDefault="003C399E" w:rsidP="003C399E">
      <w:r>
        <w:t>The most common mechanism of precocious puberty is central precocious puberty, also known as gonadotropin</w:t>
      </w:r>
      <w:r w:rsidR="00A5553B">
        <w:t xml:space="preserve"> </w:t>
      </w:r>
      <w:r>
        <w:t>dependent precocious puberty.</w:t>
      </w:r>
      <w:r w:rsidR="00D62021">
        <w:t xml:space="preserve"> </w:t>
      </w:r>
      <w:r>
        <w:t xml:space="preserve">This is due to the early activation </w:t>
      </w:r>
      <w:r>
        <w:lastRenderedPageBreak/>
        <w:t>of pulsatile</w:t>
      </w:r>
      <w:r w:rsidR="00A5553B">
        <w:t xml:space="preserve"> gon</w:t>
      </w:r>
      <w:r w:rsidR="00C7403E">
        <w:t>adotropin hormone releasing hormone (</w:t>
      </w:r>
      <w:r>
        <w:t>GnRH</w:t>
      </w:r>
      <w:r w:rsidR="00C7403E">
        <w:t>)</w:t>
      </w:r>
      <w:r>
        <w:t xml:space="preserve"> secretion from the hypothalamus.</w:t>
      </w:r>
      <w:r w:rsidR="00D62021">
        <w:t xml:space="preserve"> </w:t>
      </w:r>
      <w:r>
        <w:t>This initiates the hormonal changes of puberty through secretion from the pituitary of</w:t>
      </w:r>
      <w:r w:rsidR="00C7403E">
        <w:t xml:space="preserve"> luteinising hormone</w:t>
      </w:r>
      <w:r>
        <w:t xml:space="preserve"> </w:t>
      </w:r>
      <w:r w:rsidR="00C7403E">
        <w:t>(</w:t>
      </w:r>
      <w:r>
        <w:t>LH</w:t>
      </w:r>
      <w:r w:rsidR="00C7403E">
        <w:t>)</w:t>
      </w:r>
      <w:r>
        <w:t xml:space="preserve"> and</w:t>
      </w:r>
      <w:r w:rsidR="00C7403E">
        <w:t xml:space="preserve"> follicle stimulating hormone (</w:t>
      </w:r>
      <w:r>
        <w:t>FSH</w:t>
      </w:r>
      <w:r w:rsidR="00C7403E">
        <w:t>)</w:t>
      </w:r>
      <w:r>
        <w:t>, which act on the ovaries or testes.</w:t>
      </w:r>
      <w:r w:rsidR="00D62021">
        <w:t xml:space="preserve"> </w:t>
      </w:r>
      <w:r>
        <w:t xml:space="preserve">The secretion of estrogens from the ovaries or testosterone from the testes result in the development of the secondary sexual characteristics. Central precocious puberty may be due to underlying medical conditions such as hypothalamic hamartomas, McCune Albright </w:t>
      </w:r>
      <w:r w:rsidR="00D04CBE">
        <w:t>s</w:t>
      </w:r>
      <w:r>
        <w:t>yndrome, underlying genetic conditions, brain injury or brain tumour.</w:t>
      </w:r>
    </w:p>
    <w:p w14:paraId="522E268D" w14:textId="79E3AF7D" w:rsidR="003C399E" w:rsidRDefault="003C399E" w:rsidP="003C399E">
      <w:r>
        <w:t xml:space="preserve">Early age at puberty can result in other physical and psychological conditions including short stature, adverse psychosocial outcomes and increases the risks of cardiovascular disease, obesity, </w:t>
      </w:r>
      <w:r w:rsidR="006F6B25">
        <w:t>diabetes,</w:t>
      </w:r>
      <w:r>
        <w:t xml:space="preserve"> and some cancers</w:t>
      </w:r>
      <w:r w:rsidR="00C7403E">
        <w:t xml:space="preserve">, for example, </w:t>
      </w:r>
      <w:r>
        <w:t>breast cancer.</w:t>
      </w:r>
    </w:p>
    <w:p w14:paraId="4F89CC95" w14:textId="6C7A2BDC" w:rsidR="003C399E" w:rsidRDefault="003C399E" w:rsidP="003C399E">
      <w:r>
        <w:t>Diagnosis and management of the condition are complicated and require paediatric endocrinology referral.</w:t>
      </w:r>
      <w:r w:rsidR="00D62021">
        <w:t xml:space="preserve"> </w:t>
      </w:r>
      <w:r>
        <w:t>This is because of the differential diagnosis and potentially underlying conditions.</w:t>
      </w:r>
      <w:r w:rsidR="00D62021">
        <w:t xml:space="preserve"> </w:t>
      </w:r>
      <w:r>
        <w:t xml:space="preserve">Diagnosis is </w:t>
      </w:r>
      <w:proofErr w:type="gramStart"/>
      <w:r>
        <w:t>on the basis of</w:t>
      </w:r>
      <w:proofErr w:type="gramEnd"/>
      <w:r>
        <w:t xml:space="preserve"> clinical findings and investigations.</w:t>
      </w:r>
      <w:r w:rsidR="00D62021">
        <w:t xml:space="preserve"> </w:t>
      </w:r>
      <w:r>
        <w:t>Biochemical diagnostic criteria for</w:t>
      </w:r>
      <w:r w:rsidR="00C7403E" w:rsidRPr="00C7403E">
        <w:t xml:space="preserve"> </w:t>
      </w:r>
      <w:r w:rsidR="00C7403E">
        <w:t>c</w:t>
      </w:r>
      <w:r w:rsidR="00C7403E" w:rsidRPr="00C7403E">
        <w:t>entral precocious puberty</w:t>
      </w:r>
      <w:r>
        <w:t xml:space="preserve"> include a serum LH concentration </w:t>
      </w:r>
      <w:r w:rsidR="00057EE8">
        <w:t>great then</w:t>
      </w:r>
      <w:r w:rsidR="00C7403E">
        <w:t xml:space="preserve"> </w:t>
      </w:r>
      <w:r>
        <w:t xml:space="preserve">5 </w:t>
      </w:r>
      <w:r w:rsidR="00C7403E">
        <w:t>units</w:t>
      </w:r>
      <w:r w:rsidR="00E01EE1">
        <w:t xml:space="preserve"> (U)</w:t>
      </w:r>
      <w:r>
        <w:t xml:space="preserve">/L after GnRH or </w:t>
      </w:r>
      <w:r w:rsidR="00B40A4F">
        <w:t>leuprorelin</w:t>
      </w:r>
      <w:r>
        <w:t xml:space="preserve"> administration or a basal LH </w:t>
      </w:r>
      <w:r w:rsidR="00514E8A">
        <w:t>greater than</w:t>
      </w:r>
      <w:r w:rsidR="00C7403E">
        <w:t xml:space="preserve"> </w:t>
      </w:r>
      <w:r>
        <w:t>0.3</w:t>
      </w:r>
      <w:r w:rsidR="00C7403E">
        <w:t> </w:t>
      </w:r>
      <w:r w:rsidR="00E01EE1">
        <w:t>U</w:t>
      </w:r>
      <w:r>
        <w:t>/L using ultrasensitive assays.</w:t>
      </w:r>
      <w:r w:rsidR="00520D38" w:rsidRPr="00520D38">
        <w:rPr>
          <w:vertAlign w:val="superscript"/>
        </w:rPr>
        <w:t>4</w:t>
      </w:r>
      <w:r w:rsidR="00D62021">
        <w:t xml:space="preserve"> </w:t>
      </w:r>
      <w:r>
        <w:t>In girls, a less commonly used criterion is a ratio of peak LH/peak FSH over 0.66 after GnRH stimulation.</w:t>
      </w:r>
    </w:p>
    <w:p w14:paraId="747A5667" w14:textId="77777777" w:rsidR="003C399E" w:rsidRDefault="003C399E" w:rsidP="000A2FF9">
      <w:pPr>
        <w:pStyle w:val="Heading4"/>
      </w:pPr>
      <w:r>
        <w:t>Current treatment options</w:t>
      </w:r>
    </w:p>
    <w:p w14:paraId="1451AB4D" w14:textId="6E35489B" w:rsidR="003C399E" w:rsidRDefault="003C399E" w:rsidP="003C399E">
      <w:r>
        <w:t>Treatment of central precocious puberty involves suppression of LH and FSH secretion by the hypothalamus.</w:t>
      </w:r>
      <w:r w:rsidR="00D62021">
        <w:t xml:space="preserve"> </w:t>
      </w:r>
      <w:r>
        <w:t>Endogenous GnRH is secreted in a pulsatile manner.</w:t>
      </w:r>
      <w:r w:rsidR="00D62021">
        <w:t xml:space="preserve"> </w:t>
      </w:r>
      <w:r>
        <w:t>GnRH analogues provide a continuous effect and suppress the normal pulsatile pattern of secretion.</w:t>
      </w:r>
      <w:r w:rsidR="00D62021">
        <w:t xml:space="preserve"> </w:t>
      </w:r>
      <w:r>
        <w:t>This in turn suppresses LH and FSH secretion.</w:t>
      </w:r>
    </w:p>
    <w:p w14:paraId="1C256272" w14:textId="1270FC12" w:rsidR="003C399E" w:rsidRDefault="003C399E" w:rsidP="003C399E">
      <w:r>
        <w:t xml:space="preserve">In Australia, only one formulation of leuprorelin acetate is currently approved for treatment of </w:t>
      </w:r>
      <w:r w:rsidR="00C7403E">
        <w:t>c</w:t>
      </w:r>
      <w:r w:rsidR="00C7403E" w:rsidRPr="00C7403E">
        <w:t>entral precocious puberty</w:t>
      </w:r>
      <w:r w:rsidR="000A2FF9">
        <w:t>, that is,</w:t>
      </w:r>
      <w:r>
        <w:t xml:space="preserve"> </w:t>
      </w:r>
      <w:proofErr w:type="spellStart"/>
      <w:r w:rsidR="000A2FF9">
        <w:t>Lucrin</w:t>
      </w:r>
      <w:proofErr w:type="spellEnd"/>
      <w:r>
        <w:t xml:space="preserve"> D</w:t>
      </w:r>
      <w:r w:rsidR="000A2FF9">
        <w:t xml:space="preserve">epot </w:t>
      </w:r>
      <w:r>
        <w:t>P</w:t>
      </w:r>
      <w:r w:rsidR="000A2FF9">
        <w:t>aediatric</w:t>
      </w:r>
      <w:r>
        <w:t xml:space="preserve"> leuprorelin acetate 30</w:t>
      </w:r>
      <w:r w:rsidR="000A2FF9">
        <w:t> </w:t>
      </w:r>
      <w:r>
        <w:t>mg powder for injection</w:t>
      </w:r>
      <w:r w:rsidR="005E577C">
        <w:t xml:space="preserve">, </w:t>
      </w:r>
      <w:proofErr w:type="gramStart"/>
      <w:r w:rsidR="005E577C">
        <w:t>3 month</w:t>
      </w:r>
      <w:proofErr w:type="gramEnd"/>
      <w:r w:rsidR="005E577C">
        <w:t xml:space="preserve"> administration</w:t>
      </w:r>
      <w:r>
        <w:t xml:space="preserve"> (AUST R 218936).</w:t>
      </w:r>
      <w:bookmarkStart w:id="15" w:name="_Ref128634044"/>
      <w:r w:rsidR="00D04CBE">
        <w:rPr>
          <w:rStyle w:val="FootnoteReference"/>
        </w:rPr>
        <w:footnoteReference w:id="6"/>
      </w:r>
      <w:bookmarkEnd w:id="15"/>
    </w:p>
    <w:p w14:paraId="31C3F212" w14:textId="48FCF241" w:rsidR="003C399E" w:rsidRDefault="003C399E" w:rsidP="003C399E">
      <w:proofErr w:type="spellStart"/>
      <w:r>
        <w:t>Diphereline</w:t>
      </w:r>
      <w:proofErr w:type="spellEnd"/>
      <w:r w:rsidR="000A2FF9">
        <w:t xml:space="preserve"> </w:t>
      </w:r>
      <w:r w:rsidR="005E577C">
        <w:t>(</w:t>
      </w:r>
      <w:r w:rsidR="005E577C" w:rsidRPr="005E577C">
        <w:t xml:space="preserve">triptorelin (as </w:t>
      </w:r>
      <w:proofErr w:type="spellStart"/>
      <w:r w:rsidR="005E577C" w:rsidRPr="005E577C">
        <w:t>embonate</w:t>
      </w:r>
      <w:proofErr w:type="spellEnd"/>
      <w:r w:rsidR="005E577C" w:rsidRPr="005E577C">
        <w:t>)</w:t>
      </w:r>
      <w:r w:rsidR="005E577C">
        <w:t xml:space="preserve">) </w:t>
      </w:r>
      <w:r>
        <w:t>22.5</w:t>
      </w:r>
      <w:r w:rsidR="000A2FF9">
        <w:t xml:space="preserve"> </w:t>
      </w:r>
      <w:r>
        <w:t xml:space="preserve">mg, </w:t>
      </w:r>
      <w:proofErr w:type="gramStart"/>
      <w:r>
        <w:t>6</w:t>
      </w:r>
      <w:r w:rsidR="000A2FF9">
        <w:t xml:space="preserve"> </w:t>
      </w:r>
      <w:r>
        <w:t>month</w:t>
      </w:r>
      <w:proofErr w:type="gramEnd"/>
      <w:r>
        <w:t xml:space="preserve"> formulation only, is also indicated in Australia for the treatment of children </w:t>
      </w:r>
      <w:r w:rsidR="000A2FF9">
        <w:t>two</w:t>
      </w:r>
      <w:r>
        <w:t xml:space="preserve"> years and older with central precocious puberty</w:t>
      </w:r>
      <w:r w:rsidR="000A2FF9">
        <w:t xml:space="preserve"> (AUST R 159173).</w:t>
      </w:r>
      <w:r w:rsidR="005E577C">
        <w:rPr>
          <w:rStyle w:val="FootnoteReference"/>
        </w:rPr>
        <w:footnoteReference w:id="7"/>
      </w:r>
    </w:p>
    <w:p w14:paraId="42BEFB52" w14:textId="77777777" w:rsidR="008E7846" w:rsidRPr="003F31A2" w:rsidRDefault="00386150" w:rsidP="008E7846">
      <w:pPr>
        <w:pStyle w:val="Heading3"/>
      </w:pPr>
      <w:bookmarkStart w:id="16" w:name="_Toc128748359"/>
      <w:r>
        <w:t>Regulatory s</w:t>
      </w:r>
      <w:r w:rsidR="008E7846">
        <w:t>tatus</w:t>
      </w:r>
      <w:bookmarkEnd w:id="12"/>
      <w:bookmarkEnd w:id="13"/>
      <w:bookmarkEnd w:id="16"/>
    </w:p>
    <w:p w14:paraId="35CF6D7F" w14:textId="23AB25D6" w:rsidR="002B4BF2" w:rsidRDefault="00332715" w:rsidP="00332715">
      <w:bookmarkStart w:id="17" w:name="_Toc247691505"/>
      <w:bookmarkStart w:id="18" w:name="_Toc314842486"/>
      <w:r>
        <w:t>The produc</w:t>
      </w:r>
      <w:r w:rsidR="002B4BF2">
        <w:t xml:space="preserve">t, </w:t>
      </w:r>
      <w:proofErr w:type="spellStart"/>
      <w:r w:rsidR="002B4BF2">
        <w:t>Eligard</w:t>
      </w:r>
      <w:proofErr w:type="spellEnd"/>
      <w:r w:rsidR="005E577C">
        <w:t xml:space="preserve"> (leuprorelin acetate)</w:t>
      </w:r>
      <w:r w:rsidR="002B4BF2">
        <w:t>,</w:t>
      </w:r>
      <w:r>
        <w:t xml:space="preserve"> received initial registration on the Australian Register of Therapeutic Goods (ARTG) o</w:t>
      </w:r>
      <w:r w:rsidR="003C399E">
        <w:t>n</w:t>
      </w:r>
      <w:r w:rsidR="000A2FF9">
        <w:t xml:space="preserve"> </w:t>
      </w:r>
      <w:r w:rsidR="002B4BF2">
        <w:t>26 November 2003.</w:t>
      </w:r>
      <w:r w:rsidR="00D62021">
        <w:t xml:space="preserve"> </w:t>
      </w:r>
      <w:r w:rsidR="002B4BF2">
        <w:t xml:space="preserve">The </w:t>
      </w:r>
      <w:proofErr w:type="spellStart"/>
      <w:r w:rsidR="002B4BF2">
        <w:t>Eligard</w:t>
      </w:r>
      <w:proofErr w:type="spellEnd"/>
      <w:r w:rsidR="002B4BF2">
        <w:t xml:space="preserve"> </w:t>
      </w:r>
      <w:r w:rsidR="00CC786A">
        <w:t>(</w:t>
      </w:r>
      <w:proofErr w:type="spellStart"/>
      <w:r w:rsidR="00CC786A">
        <w:t>Eligard</w:t>
      </w:r>
      <w:proofErr w:type="spellEnd"/>
      <w:r w:rsidR="00CC786A">
        <w:t xml:space="preserve"> 6 month) </w:t>
      </w:r>
      <w:r w:rsidR="002B4BF2">
        <w:t xml:space="preserve">45 mg modified release injection was </w:t>
      </w:r>
      <w:r w:rsidR="005E577C">
        <w:t xml:space="preserve">first </w:t>
      </w:r>
      <w:r w:rsidR="002B4BF2">
        <w:t>registered on</w:t>
      </w:r>
      <w:r w:rsidR="002B4BF2" w:rsidRPr="000A4A42">
        <w:t xml:space="preserve"> </w:t>
      </w:r>
      <w:r w:rsidR="000A2FF9">
        <w:t>16 September 2005.</w:t>
      </w:r>
      <w:r w:rsidR="00D62021">
        <w:t xml:space="preserve"> </w:t>
      </w:r>
      <w:r w:rsidR="00213E18">
        <w:t>Extension to indications were approved 12 October 2017.</w:t>
      </w:r>
      <w:r w:rsidR="00213E18">
        <w:rPr>
          <w:rStyle w:val="FootnoteReference"/>
        </w:rPr>
        <w:footnoteReference w:id="8"/>
      </w:r>
      <w:r w:rsidR="00213E18">
        <w:t xml:space="preserve"> </w:t>
      </w:r>
      <w:r w:rsidR="002B4BF2">
        <w:t>The approved indications at the time of this submission were:</w:t>
      </w:r>
    </w:p>
    <w:p w14:paraId="116D19DB" w14:textId="1056DA8C" w:rsidR="002B4BF2" w:rsidRPr="002B4BF2" w:rsidRDefault="003458D3" w:rsidP="00B40A4F">
      <w:pPr>
        <w:ind w:left="720"/>
        <w:rPr>
          <w:i/>
          <w:iCs/>
        </w:rPr>
      </w:pPr>
      <w:proofErr w:type="spellStart"/>
      <w:r w:rsidRPr="002B4BF2">
        <w:rPr>
          <w:i/>
          <w:iCs/>
        </w:rPr>
        <w:t>Eligard</w:t>
      </w:r>
      <w:proofErr w:type="spellEnd"/>
      <w:r w:rsidRPr="002B4BF2">
        <w:rPr>
          <w:i/>
          <w:iCs/>
        </w:rPr>
        <w:t xml:space="preserve"> </w:t>
      </w:r>
      <w:r w:rsidR="002B4BF2" w:rsidRPr="002B4BF2">
        <w:rPr>
          <w:i/>
          <w:iCs/>
        </w:rPr>
        <w:t>is indicated for the:</w:t>
      </w:r>
    </w:p>
    <w:p w14:paraId="7F71271F" w14:textId="77777777" w:rsidR="00820B67" w:rsidRPr="00BD4FFB" w:rsidRDefault="002B4BF2" w:rsidP="00B40A4F">
      <w:pPr>
        <w:pStyle w:val="ListBullet"/>
        <w:ind w:left="1080"/>
        <w:rPr>
          <w:i/>
          <w:iCs/>
        </w:rPr>
      </w:pPr>
      <w:r w:rsidRPr="00BD4FFB">
        <w:rPr>
          <w:i/>
          <w:iCs/>
        </w:rPr>
        <w:t>Palliative treatment of advanced prostate cancer</w:t>
      </w:r>
    </w:p>
    <w:p w14:paraId="19055694" w14:textId="1F9DAFE2" w:rsidR="002B4BF2" w:rsidRPr="00BD4FFB" w:rsidRDefault="002B4BF2" w:rsidP="00B40A4F">
      <w:pPr>
        <w:pStyle w:val="ListBullet"/>
        <w:ind w:left="1080"/>
        <w:rPr>
          <w:i/>
          <w:iCs/>
        </w:rPr>
      </w:pPr>
      <w:r w:rsidRPr="00BD4FFB">
        <w:rPr>
          <w:i/>
          <w:iCs/>
        </w:rPr>
        <w:t>Treatment of high-risk localised and locally advanced hormone dependent prostate cancer in combination with radiotherapy.</w:t>
      </w:r>
    </w:p>
    <w:p w14:paraId="2713E48F" w14:textId="24E00D4F" w:rsidR="00332715" w:rsidRDefault="00332715" w:rsidP="00332715">
      <w:r>
        <w:lastRenderedPageBreak/>
        <w:t xml:space="preserve">At the time the TGA considered this </w:t>
      </w:r>
      <w:r w:rsidR="00BB0B78">
        <w:t>submission</w:t>
      </w:r>
      <w:r>
        <w:t xml:space="preserve">, a similar </w:t>
      </w:r>
      <w:r w:rsidR="00BB0B78">
        <w:t>submission</w:t>
      </w:r>
      <w:r w:rsidR="002B4BF2">
        <w:t xml:space="preserve"> </w:t>
      </w:r>
      <w:r w:rsidR="003458D3">
        <w:t xml:space="preserve">for </w:t>
      </w:r>
      <w:r w:rsidR="002B4BF2">
        <w:t>extension of indications</w:t>
      </w:r>
      <w:r w:rsidR="00EA139A">
        <w:t xml:space="preserve"> for leuprolide acetate;</w:t>
      </w:r>
      <w:bookmarkStart w:id="19" w:name="_Ref128569423"/>
      <w:r w:rsidR="00EA139A">
        <w:rPr>
          <w:rStyle w:val="FootnoteReference"/>
        </w:rPr>
        <w:footnoteReference w:id="9"/>
      </w:r>
      <w:bookmarkEnd w:id="19"/>
      <w:r>
        <w:t xml:space="preserve"> had been approved </w:t>
      </w:r>
      <w:r w:rsidR="003C399E">
        <w:t>in the United States</w:t>
      </w:r>
      <w:r w:rsidR="005E577C">
        <w:t xml:space="preserve"> of America (USA)</w:t>
      </w:r>
      <w:r w:rsidR="003C399E">
        <w:t xml:space="preserve"> on 1 May 2020.</w:t>
      </w:r>
      <w:r w:rsidR="00D62021">
        <w:t xml:space="preserve"> </w:t>
      </w:r>
      <w:r w:rsidR="003C399E">
        <w:t xml:space="preserve">The approved indication in the </w:t>
      </w:r>
      <w:r w:rsidR="005E577C">
        <w:t>USA</w:t>
      </w:r>
      <w:r w:rsidR="003C399E">
        <w:t xml:space="preserve"> is</w:t>
      </w:r>
      <w:r w:rsidR="00BC0A8B">
        <w:t>:</w:t>
      </w:r>
    </w:p>
    <w:p w14:paraId="74F0EE49" w14:textId="2C22AB6B" w:rsidR="00BC0A8B" w:rsidRPr="00BC0A8B" w:rsidRDefault="003458D3" w:rsidP="00B40A4F">
      <w:pPr>
        <w:ind w:left="720"/>
        <w:rPr>
          <w:i/>
          <w:iCs/>
        </w:rPr>
      </w:pPr>
      <w:proofErr w:type="spellStart"/>
      <w:r w:rsidRPr="00BC0A8B">
        <w:rPr>
          <w:i/>
          <w:iCs/>
        </w:rPr>
        <w:t>Fensolvi</w:t>
      </w:r>
      <w:proofErr w:type="spellEnd"/>
      <w:r w:rsidRPr="00BC0A8B">
        <w:rPr>
          <w:i/>
          <w:iCs/>
        </w:rPr>
        <w:t xml:space="preserve"> </w:t>
      </w:r>
      <w:r w:rsidR="00BC0A8B" w:rsidRPr="00BC0A8B">
        <w:rPr>
          <w:i/>
          <w:iCs/>
        </w:rPr>
        <w:t xml:space="preserve">is a gonadotropin releasing hormone (GnRH) agonist indicated for the treatment of </w:t>
      </w:r>
      <w:proofErr w:type="spellStart"/>
      <w:r w:rsidR="00BC0A8B" w:rsidRPr="00BC0A8B">
        <w:rPr>
          <w:i/>
          <w:iCs/>
        </w:rPr>
        <w:t>pediatric</w:t>
      </w:r>
      <w:proofErr w:type="spellEnd"/>
      <w:r w:rsidR="00BC0A8B" w:rsidRPr="00BC0A8B">
        <w:rPr>
          <w:i/>
          <w:iCs/>
        </w:rPr>
        <w:t xml:space="preserve"> patients 2 years of age and older with central precocious puberty.</w:t>
      </w:r>
    </w:p>
    <w:p w14:paraId="6066E937" w14:textId="77777777" w:rsidR="008E7846" w:rsidRDefault="008E7846" w:rsidP="00940A89">
      <w:pPr>
        <w:pStyle w:val="Heading3"/>
      </w:pPr>
      <w:bookmarkStart w:id="20" w:name="_Toc128748360"/>
      <w:r>
        <w:t>Product Information</w:t>
      </w:r>
      <w:bookmarkEnd w:id="17"/>
      <w:bookmarkEnd w:id="18"/>
      <w:bookmarkEnd w:id="20"/>
    </w:p>
    <w:p w14:paraId="670DDB8A" w14:textId="319989EE" w:rsidR="00332715" w:rsidRDefault="00332715" w:rsidP="00332715">
      <w:bookmarkStart w:id="21" w:name="_Toc504480011"/>
      <w:bookmarkStart w:id="22" w:name="_Toc247691506"/>
      <w:bookmarkStart w:id="23" w:name="_Toc314842487"/>
      <w:r>
        <w:t xml:space="preserve">The Product Information (PI) approved with the submission which is described in this </w:t>
      </w:r>
      <w:proofErr w:type="spellStart"/>
      <w:r>
        <w:t>AusPAR</w:t>
      </w:r>
      <w:proofErr w:type="spellEnd"/>
      <w:r>
        <w:t xml:space="preserve"> can be found as Attachment 1. For the most recent PI, please refer to the TGA </w:t>
      </w:r>
      <w:hyperlink r:id="rId15" w:history="1">
        <w:r>
          <w:rPr>
            <w:rStyle w:val="Hyperlink"/>
          </w:rPr>
          <w:t>PI/C</w:t>
        </w:r>
        <w:r w:rsidR="00E80866">
          <w:rPr>
            <w:rStyle w:val="Hyperlink"/>
          </w:rPr>
          <w:t xml:space="preserve">onsumer </w:t>
        </w:r>
        <w:r>
          <w:rPr>
            <w:rStyle w:val="Hyperlink"/>
          </w:rPr>
          <w:t>M</w:t>
        </w:r>
        <w:r w:rsidR="00E80866">
          <w:rPr>
            <w:rStyle w:val="Hyperlink"/>
          </w:rPr>
          <w:t>edicine Information (CM</w:t>
        </w:r>
        <w:r>
          <w:rPr>
            <w:rStyle w:val="Hyperlink"/>
          </w:rPr>
          <w:t>I</w:t>
        </w:r>
        <w:r w:rsidR="00E80866">
          <w:rPr>
            <w:rStyle w:val="Hyperlink"/>
          </w:rPr>
          <w:t>)</w:t>
        </w:r>
        <w:r>
          <w:rPr>
            <w:rStyle w:val="Hyperlink"/>
          </w:rPr>
          <w:t xml:space="preserve"> search facility</w:t>
        </w:r>
        <w:r w:rsidRPr="009556D7">
          <w:rPr>
            <w:rStyle w:val="Hyperlink"/>
            <w:color w:val="auto"/>
            <w:u w:val="none"/>
          </w:rPr>
          <w:t>.</w:t>
        </w:r>
      </w:hyperlink>
    </w:p>
    <w:p w14:paraId="7B786EED" w14:textId="77777777" w:rsidR="00500337" w:rsidRDefault="00500337" w:rsidP="00500337">
      <w:pPr>
        <w:pStyle w:val="Heading2"/>
      </w:pPr>
      <w:bookmarkStart w:id="24" w:name="_Toc128748361"/>
      <w:r>
        <w:t>Registration timeline</w:t>
      </w:r>
      <w:bookmarkEnd w:id="21"/>
      <w:bookmarkEnd w:id="24"/>
    </w:p>
    <w:p w14:paraId="56446ED6" w14:textId="77777777" w:rsidR="0074163C" w:rsidRPr="00C93EC1" w:rsidRDefault="0074163C" w:rsidP="0074163C">
      <w:r w:rsidRPr="00C93EC1">
        <w:t xml:space="preserve">The following table captures the key steps and dates for this </w:t>
      </w:r>
      <w:r w:rsidR="00804D99">
        <w:t>submission</w:t>
      </w:r>
      <w:r w:rsidRPr="00C93EC1">
        <w:t>.</w:t>
      </w:r>
    </w:p>
    <w:p w14:paraId="54090B96" w14:textId="457A011C" w:rsidR="0074163C" w:rsidRPr="006A58A8" w:rsidRDefault="0074163C" w:rsidP="0074163C">
      <w:pPr>
        <w:pStyle w:val="TableTitle"/>
      </w:pPr>
      <w:r>
        <w:t xml:space="preserve">Table </w:t>
      </w:r>
      <w:fldSimple w:instr=" SEQ Table \* ARABIC ">
        <w:r w:rsidR="00CA69CF">
          <w:rPr>
            <w:noProof/>
          </w:rPr>
          <w:t>1</w:t>
        </w:r>
      </w:fldSimple>
      <w:r>
        <w:t>:</w:t>
      </w:r>
      <w:r w:rsidRPr="006A58A8">
        <w:t xml:space="preserve"> Timeline for Submission </w:t>
      </w:r>
      <w:r w:rsidR="00BC0A8B" w:rsidRPr="00BC0A8B">
        <w:t>PM-2021-01406-1-5</w:t>
      </w:r>
    </w:p>
    <w:tbl>
      <w:tblPr>
        <w:tblStyle w:val="TableTGAblue"/>
        <w:tblW w:w="0" w:type="auto"/>
        <w:tblLook w:val="04A0" w:firstRow="1" w:lastRow="0" w:firstColumn="1" w:lastColumn="0" w:noHBand="0" w:noVBand="1"/>
      </w:tblPr>
      <w:tblGrid>
        <w:gridCol w:w="4265"/>
        <w:gridCol w:w="4229"/>
      </w:tblGrid>
      <w:tr w:rsidR="0074163C" w14:paraId="5B4F60DE" w14:textId="77777777" w:rsidTr="00BC0A8B">
        <w:trPr>
          <w:cnfStyle w:val="100000000000" w:firstRow="1" w:lastRow="0" w:firstColumn="0" w:lastColumn="0" w:oddVBand="0" w:evenVBand="0" w:oddHBand="0" w:evenHBand="0" w:firstRowFirstColumn="0" w:firstRowLastColumn="0" w:lastRowFirstColumn="0" w:lastRowLastColumn="0"/>
        </w:trPr>
        <w:tc>
          <w:tcPr>
            <w:tcW w:w="4265" w:type="dxa"/>
            <w:tcBorders>
              <w:top w:val="single" w:sz="4" w:space="0" w:color="auto"/>
              <w:left w:val="single" w:sz="4" w:space="0" w:color="auto"/>
              <w:bottom w:val="single" w:sz="4" w:space="0" w:color="auto"/>
              <w:right w:val="single" w:sz="4" w:space="0" w:color="auto"/>
            </w:tcBorders>
          </w:tcPr>
          <w:p w14:paraId="118EA1D7" w14:textId="77777777" w:rsidR="0074163C" w:rsidRDefault="0074163C" w:rsidP="009E5A87">
            <w:r>
              <w:t>Description</w:t>
            </w:r>
          </w:p>
        </w:tc>
        <w:tc>
          <w:tcPr>
            <w:tcW w:w="4229" w:type="dxa"/>
            <w:tcBorders>
              <w:top w:val="single" w:sz="4" w:space="0" w:color="auto"/>
              <w:left w:val="single" w:sz="4" w:space="0" w:color="auto"/>
              <w:bottom w:val="single" w:sz="4" w:space="0" w:color="auto"/>
              <w:right w:val="single" w:sz="4" w:space="0" w:color="auto"/>
            </w:tcBorders>
          </w:tcPr>
          <w:p w14:paraId="27E37013" w14:textId="77777777" w:rsidR="0074163C" w:rsidRDefault="0074163C" w:rsidP="009E5A87">
            <w:r>
              <w:t>Date</w:t>
            </w:r>
          </w:p>
        </w:tc>
      </w:tr>
      <w:tr w:rsidR="0074163C" w14:paraId="1C04C43F" w14:textId="77777777" w:rsidTr="00BC0A8B">
        <w:tc>
          <w:tcPr>
            <w:tcW w:w="4265" w:type="dxa"/>
            <w:tcBorders>
              <w:top w:val="single" w:sz="4" w:space="0" w:color="auto"/>
            </w:tcBorders>
          </w:tcPr>
          <w:p w14:paraId="0F4407EF" w14:textId="77777777" w:rsidR="0074163C" w:rsidRDefault="0074163C" w:rsidP="009E5A87">
            <w:r>
              <w:t>Submission dossier accepted and first round evaluation commenced</w:t>
            </w:r>
          </w:p>
        </w:tc>
        <w:tc>
          <w:tcPr>
            <w:tcW w:w="4229" w:type="dxa"/>
            <w:tcBorders>
              <w:top w:val="single" w:sz="4" w:space="0" w:color="auto"/>
            </w:tcBorders>
          </w:tcPr>
          <w:p w14:paraId="3FF102CA" w14:textId="43AC2648" w:rsidR="0074163C" w:rsidRDefault="00BC0A8B" w:rsidP="009E5A87">
            <w:r>
              <w:t>30 June 2021</w:t>
            </w:r>
          </w:p>
        </w:tc>
      </w:tr>
      <w:tr w:rsidR="0074163C" w14:paraId="467D4904" w14:textId="77777777" w:rsidTr="00BC0A8B">
        <w:tc>
          <w:tcPr>
            <w:tcW w:w="4265" w:type="dxa"/>
          </w:tcPr>
          <w:p w14:paraId="7DE95596" w14:textId="77777777" w:rsidR="0074163C" w:rsidRDefault="0074163C" w:rsidP="009E5A87">
            <w:r>
              <w:t>First round evaluation completed</w:t>
            </w:r>
          </w:p>
        </w:tc>
        <w:tc>
          <w:tcPr>
            <w:tcW w:w="4229" w:type="dxa"/>
          </w:tcPr>
          <w:p w14:paraId="7B855E3D" w14:textId="472F938B" w:rsidR="0074163C" w:rsidRDefault="00BC0A8B" w:rsidP="009E5A87">
            <w:r>
              <w:t>22 December 2022</w:t>
            </w:r>
          </w:p>
        </w:tc>
      </w:tr>
      <w:tr w:rsidR="0074163C" w14:paraId="72481DA8" w14:textId="77777777" w:rsidTr="00BC0A8B">
        <w:tc>
          <w:tcPr>
            <w:tcW w:w="4265" w:type="dxa"/>
          </w:tcPr>
          <w:p w14:paraId="4F66E5DC" w14:textId="77777777" w:rsidR="0074163C" w:rsidRDefault="0074163C" w:rsidP="009E5A87">
            <w:r>
              <w:t>Sponsor provides responses on questions raised in first round evaluation</w:t>
            </w:r>
          </w:p>
        </w:tc>
        <w:tc>
          <w:tcPr>
            <w:tcW w:w="4229" w:type="dxa"/>
          </w:tcPr>
          <w:p w14:paraId="398D06BC" w14:textId="474DB35C" w:rsidR="0074163C" w:rsidRDefault="00BC0A8B" w:rsidP="009E5A87">
            <w:r>
              <w:t>8 March 2022</w:t>
            </w:r>
          </w:p>
        </w:tc>
      </w:tr>
      <w:tr w:rsidR="0074163C" w14:paraId="39C25B32" w14:textId="77777777" w:rsidTr="00BC0A8B">
        <w:tc>
          <w:tcPr>
            <w:tcW w:w="4265" w:type="dxa"/>
          </w:tcPr>
          <w:p w14:paraId="53A69B2F" w14:textId="77777777" w:rsidR="0074163C" w:rsidRDefault="0074163C" w:rsidP="009E5A87">
            <w:r>
              <w:t>Second round evaluation completed</w:t>
            </w:r>
          </w:p>
        </w:tc>
        <w:tc>
          <w:tcPr>
            <w:tcW w:w="4229" w:type="dxa"/>
          </w:tcPr>
          <w:p w14:paraId="399C3C4E" w14:textId="78632F48" w:rsidR="0074163C" w:rsidRDefault="00BC0A8B" w:rsidP="009E5A87">
            <w:r>
              <w:t>22 April 2022</w:t>
            </w:r>
          </w:p>
        </w:tc>
      </w:tr>
      <w:tr w:rsidR="0074163C" w14:paraId="4A5C1010" w14:textId="77777777" w:rsidTr="00BC0A8B">
        <w:tc>
          <w:tcPr>
            <w:tcW w:w="4265" w:type="dxa"/>
          </w:tcPr>
          <w:p w14:paraId="7031655A" w14:textId="2F4DDEEC" w:rsidR="0074163C" w:rsidRDefault="0074163C" w:rsidP="009E5A87">
            <w:r>
              <w:t xml:space="preserve">Delegate’s Overall benefit-risk assessment </w:t>
            </w:r>
            <w:r w:rsidRPr="00BC0A8B">
              <w:rPr>
                <w:color w:val="auto"/>
              </w:rPr>
              <w:t xml:space="preserve">and request for Advisory Committee advice </w:t>
            </w:r>
          </w:p>
        </w:tc>
        <w:tc>
          <w:tcPr>
            <w:tcW w:w="4229" w:type="dxa"/>
          </w:tcPr>
          <w:p w14:paraId="320A25E2" w14:textId="6AA44204" w:rsidR="0074163C" w:rsidRDefault="00BC0A8B" w:rsidP="009E5A87">
            <w:r>
              <w:t>11 May 2022</w:t>
            </w:r>
          </w:p>
        </w:tc>
      </w:tr>
      <w:tr w:rsidR="0074163C" w14:paraId="0DA14CFE" w14:textId="77777777" w:rsidTr="00BC0A8B">
        <w:tc>
          <w:tcPr>
            <w:tcW w:w="4265" w:type="dxa"/>
          </w:tcPr>
          <w:p w14:paraId="48E12229" w14:textId="77777777" w:rsidR="0074163C" w:rsidRDefault="0074163C" w:rsidP="009E5A87">
            <w:r>
              <w:t>Sponsor’s pre-Advisory Committee response</w:t>
            </w:r>
          </w:p>
        </w:tc>
        <w:tc>
          <w:tcPr>
            <w:tcW w:w="4229" w:type="dxa"/>
          </w:tcPr>
          <w:p w14:paraId="7FE84B65" w14:textId="06725B10" w:rsidR="0074163C" w:rsidRDefault="00BC0A8B" w:rsidP="009E5A87">
            <w:r>
              <w:t>12 May 2022</w:t>
            </w:r>
          </w:p>
        </w:tc>
      </w:tr>
      <w:tr w:rsidR="0074163C" w14:paraId="0262A482" w14:textId="77777777" w:rsidTr="00BC0A8B">
        <w:tc>
          <w:tcPr>
            <w:tcW w:w="4265" w:type="dxa"/>
          </w:tcPr>
          <w:p w14:paraId="001363F3" w14:textId="77777777" w:rsidR="0074163C" w:rsidRDefault="0074163C" w:rsidP="009E5A87">
            <w:r>
              <w:t>Advisory Committee meeting</w:t>
            </w:r>
          </w:p>
        </w:tc>
        <w:tc>
          <w:tcPr>
            <w:tcW w:w="4229" w:type="dxa"/>
          </w:tcPr>
          <w:p w14:paraId="02EE132F" w14:textId="50D03D7C" w:rsidR="0074163C" w:rsidRDefault="00BC0A8B" w:rsidP="009E5A87">
            <w:r>
              <w:t>3 June 2022</w:t>
            </w:r>
          </w:p>
        </w:tc>
      </w:tr>
      <w:tr w:rsidR="0074163C" w14:paraId="561C3612" w14:textId="77777777" w:rsidTr="00BC0A8B">
        <w:tc>
          <w:tcPr>
            <w:tcW w:w="4265" w:type="dxa"/>
          </w:tcPr>
          <w:p w14:paraId="1D4DB35D" w14:textId="77777777" w:rsidR="0074163C" w:rsidRDefault="0074163C" w:rsidP="009E5A87">
            <w:r>
              <w:t>Registration decision (Outcome)</w:t>
            </w:r>
          </w:p>
        </w:tc>
        <w:tc>
          <w:tcPr>
            <w:tcW w:w="4229" w:type="dxa"/>
          </w:tcPr>
          <w:p w14:paraId="48E6B78B" w14:textId="3C3F6C97" w:rsidR="0074163C" w:rsidRDefault="00BC0A8B" w:rsidP="009E5A87">
            <w:r>
              <w:t>6 July 2022</w:t>
            </w:r>
          </w:p>
        </w:tc>
      </w:tr>
      <w:tr w:rsidR="0074163C" w14:paraId="4F947CC0" w14:textId="77777777" w:rsidTr="00BC0A8B">
        <w:tc>
          <w:tcPr>
            <w:tcW w:w="4265" w:type="dxa"/>
          </w:tcPr>
          <w:p w14:paraId="135343EF" w14:textId="77777777" w:rsidR="0074163C" w:rsidRDefault="0074163C" w:rsidP="009E5A87">
            <w:r w:rsidRPr="005A79F5">
              <w:t>Completion of administrative activities and registration on the ARTG</w:t>
            </w:r>
          </w:p>
        </w:tc>
        <w:tc>
          <w:tcPr>
            <w:tcW w:w="4229" w:type="dxa"/>
          </w:tcPr>
          <w:p w14:paraId="7C61D0CE" w14:textId="7C9076C0" w:rsidR="0074163C" w:rsidRDefault="00BC0A8B" w:rsidP="009E5A87">
            <w:r>
              <w:t>11 July 2022</w:t>
            </w:r>
          </w:p>
        </w:tc>
      </w:tr>
      <w:tr w:rsidR="0074163C" w14:paraId="102B5FB0" w14:textId="77777777" w:rsidTr="00BC0A8B">
        <w:tc>
          <w:tcPr>
            <w:tcW w:w="4265" w:type="dxa"/>
          </w:tcPr>
          <w:p w14:paraId="0E82ACCB" w14:textId="77777777" w:rsidR="0074163C" w:rsidRDefault="0074163C" w:rsidP="009E5A87">
            <w:r>
              <w:t>Number of working days from submission dossier acceptance to registration decision*</w:t>
            </w:r>
          </w:p>
        </w:tc>
        <w:tc>
          <w:tcPr>
            <w:tcW w:w="4229" w:type="dxa"/>
          </w:tcPr>
          <w:p w14:paraId="462B8F75" w14:textId="5D79C142" w:rsidR="0074163C" w:rsidRDefault="002B4BF2" w:rsidP="009E5A87">
            <w:r>
              <w:t>204</w:t>
            </w:r>
          </w:p>
        </w:tc>
      </w:tr>
    </w:tbl>
    <w:p w14:paraId="6B0290CB" w14:textId="77777777" w:rsidR="0074163C" w:rsidRDefault="0074163C" w:rsidP="0074163C">
      <w:pPr>
        <w:pStyle w:val="TableDescription"/>
      </w:pPr>
      <w:r>
        <w:lastRenderedPageBreak/>
        <w:t>*</w:t>
      </w:r>
      <w:r w:rsidRPr="00BF3774">
        <w:t xml:space="preserve">Statutory </w:t>
      </w:r>
      <w:r>
        <w:t xml:space="preserve">timeframe for standard </w:t>
      </w:r>
      <w:r w:rsidR="00BB0B78">
        <w:t>submission</w:t>
      </w:r>
      <w:r>
        <w:t>s is 255 working days</w:t>
      </w:r>
    </w:p>
    <w:p w14:paraId="102C34D7" w14:textId="77777777" w:rsidR="008E7846" w:rsidRPr="00792A32" w:rsidRDefault="00006FAB" w:rsidP="008E7846">
      <w:pPr>
        <w:pStyle w:val="Heading2"/>
      </w:pPr>
      <w:bookmarkStart w:id="25" w:name="_Toc196046504"/>
      <w:bookmarkStart w:id="26" w:name="_Toc247691527"/>
      <w:bookmarkStart w:id="27" w:name="_Toc314842510"/>
      <w:bookmarkStart w:id="28" w:name="_Toc128748362"/>
      <w:bookmarkStart w:id="29" w:name="_Toc163441390"/>
      <w:bookmarkEnd w:id="22"/>
      <w:bookmarkEnd w:id="23"/>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5"/>
      <w:bookmarkEnd w:id="26"/>
      <w:bookmarkEnd w:id="27"/>
      <w:bookmarkEnd w:id="28"/>
    </w:p>
    <w:p w14:paraId="0AF3E816" w14:textId="0708E5F6" w:rsidR="005A79F5" w:rsidRDefault="005A79F5" w:rsidP="0074163C">
      <w:pPr>
        <w:pStyle w:val="Instructions"/>
        <w:rPr>
          <w:i w:val="0"/>
          <w:color w:val="auto"/>
        </w:rPr>
      </w:pPr>
      <w:bookmarkStart w:id="30" w:name="_Toc247691528"/>
      <w:bookmarkStart w:id="31" w:name="_Toc314842511"/>
      <w:r w:rsidRPr="005A79F5">
        <w:rPr>
          <w:i w:val="0"/>
          <w:color w:val="auto"/>
        </w:rPr>
        <w:t>A summary of the TGA’s assessment for this submission is provided below</w:t>
      </w:r>
      <w:r>
        <w:rPr>
          <w:i w:val="0"/>
          <w:color w:val="auto"/>
        </w:rPr>
        <w:t>.</w:t>
      </w:r>
    </w:p>
    <w:p w14:paraId="7B6AC67C" w14:textId="53DEDBD2" w:rsidR="00646FD5" w:rsidRDefault="00646FD5" w:rsidP="00646FD5">
      <w:r>
        <w:t>The following guidelines apply to this submission:</w:t>
      </w:r>
    </w:p>
    <w:p w14:paraId="10937954" w14:textId="74896304" w:rsidR="00646FD5" w:rsidRDefault="005E577C" w:rsidP="00646FD5">
      <w:pPr>
        <w:pStyle w:val="ListBullet"/>
      </w:pPr>
      <w:r>
        <w:t>EMEA</w:t>
      </w:r>
      <w:r w:rsidR="0014421A">
        <w:t>:</w:t>
      </w:r>
      <w:r>
        <w:t xml:space="preserve"> </w:t>
      </w:r>
      <w:r w:rsidR="0014421A">
        <w:t xml:space="preserve">Committee for Medicinal Products for Human Use (CHMP), </w:t>
      </w:r>
      <w:hyperlink r:id="rId16" w:history="1">
        <w:r w:rsidR="00646FD5" w:rsidRPr="005E577C">
          <w:rPr>
            <w:rStyle w:val="Hyperlink"/>
          </w:rPr>
          <w:t>Guideline on Clinical Trials in Small Populations (</w:t>
        </w:r>
        <w:bookmarkStart w:id="32" w:name="_Hlk124515049"/>
        <w:r w:rsidR="00646FD5" w:rsidRPr="005E577C">
          <w:rPr>
            <w:rStyle w:val="Hyperlink"/>
          </w:rPr>
          <w:t>CHMP/EWP/83561/2005</w:t>
        </w:r>
        <w:bookmarkEnd w:id="32"/>
        <w:r w:rsidR="00646FD5" w:rsidRPr="005E577C">
          <w:rPr>
            <w:rStyle w:val="Hyperlink"/>
          </w:rPr>
          <w:t>)</w:t>
        </w:r>
      </w:hyperlink>
      <w:r w:rsidR="0014421A">
        <w:t>; 27 July 2006</w:t>
      </w:r>
    </w:p>
    <w:p w14:paraId="52DE44F6" w14:textId="55A8741B" w:rsidR="00646FD5" w:rsidRPr="00646FD5" w:rsidRDefault="0014421A" w:rsidP="0014421A">
      <w:pPr>
        <w:pStyle w:val="ListBullet"/>
      </w:pPr>
      <w:r>
        <w:t>International Council for Harmonisation (ICH) E11,</w:t>
      </w:r>
      <w:r w:rsidRPr="0014421A">
        <w:t xml:space="preserve"> </w:t>
      </w:r>
      <w:hyperlink r:id="rId17" w:history="1">
        <w:r w:rsidR="00646FD5" w:rsidRPr="0014421A">
          <w:rPr>
            <w:rStyle w:val="Hyperlink"/>
          </w:rPr>
          <w:t>Note for Guidance on Clinical Investigation of Medicinal Products in the Paediatric Population (CPMP/ICH/2711/99)</w:t>
        </w:r>
      </w:hyperlink>
      <w:r>
        <w:t>; January 2001</w:t>
      </w:r>
      <w:r w:rsidR="00646FD5">
        <w:t>.</w:t>
      </w:r>
    </w:p>
    <w:p w14:paraId="0585117D" w14:textId="77777777" w:rsidR="008E7846" w:rsidRDefault="008E7846" w:rsidP="008E7846">
      <w:pPr>
        <w:pStyle w:val="Heading3"/>
      </w:pPr>
      <w:bookmarkStart w:id="33" w:name="_Toc128748363"/>
      <w:r>
        <w:t>Quality</w:t>
      </w:r>
      <w:bookmarkEnd w:id="30"/>
      <w:bookmarkEnd w:id="31"/>
      <w:bookmarkEnd w:id="33"/>
    </w:p>
    <w:p w14:paraId="6EF6BCC7" w14:textId="5AFC2CBC" w:rsidR="00E12256" w:rsidRDefault="006E23EA" w:rsidP="00E12256">
      <w:r>
        <w:t>Q</w:t>
      </w:r>
      <w:r w:rsidR="00646FD5">
        <w:t>uality</w:t>
      </w:r>
      <w:r>
        <w:t xml:space="preserve"> data</w:t>
      </w:r>
      <w:r w:rsidR="00646FD5">
        <w:t xml:space="preserve"> is </w:t>
      </w:r>
      <w:r w:rsidR="002C6E17">
        <w:t xml:space="preserve">generally </w:t>
      </w:r>
      <w:r w:rsidR="00646FD5">
        <w:t xml:space="preserve">not required for this </w:t>
      </w:r>
      <w:r w:rsidR="002C6E17">
        <w:t xml:space="preserve">type of </w:t>
      </w:r>
      <w:r w:rsidR="00646FD5">
        <w:t>submission</w:t>
      </w:r>
      <w:r>
        <w:t>.</w:t>
      </w:r>
      <w:r w:rsidR="00E12256">
        <w:t xml:space="preserve"> A full quality evaluation was conducted at the time th</w:t>
      </w:r>
      <w:r w:rsidR="00213E18">
        <w:t>e</w:t>
      </w:r>
      <w:r w:rsidR="00E12256">
        <w:t xml:space="preserve"> product received initial registration.</w:t>
      </w:r>
    </w:p>
    <w:p w14:paraId="174D06DC" w14:textId="0723312D" w:rsidR="00BA13FE" w:rsidRDefault="00BA13FE" w:rsidP="00E12256">
      <w:proofErr w:type="spellStart"/>
      <w:r>
        <w:t>Eligard</w:t>
      </w:r>
      <w:proofErr w:type="spellEnd"/>
      <w:r>
        <w:t xml:space="preserve"> </w:t>
      </w:r>
      <w:r w:rsidR="00CC786A">
        <w:t>(</w:t>
      </w:r>
      <w:proofErr w:type="spellStart"/>
      <w:r w:rsidR="00CC786A">
        <w:t>Eligard</w:t>
      </w:r>
      <w:proofErr w:type="spellEnd"/>
      <w:r w:rsidR="00CC786A">
        <w:t xml:space="preserve"> 6 month) </w:t>
      </w:r>
      <w:r>
        <w:t xml:space="preserve">contains </w:t>
      </w:r>
      <w:r w:rsidR="00FF569B">
        <w:t xml:space="preserve">45 mg of </w:t>
      </w:r>
      <w:r>
        <w:t>leuprorelin acetate</w:t>
      </w:r>
      <w:r w:rsidR="00FF569B">
        <w:t>.</w:t>
      </w:r>
      <w:r w:rsidR="00BF2293">
        <w:t xml:space="preserve"> </w:t>
      </w:r>
      <w:r w:rsidR="00FF569B">
        <w:t>The structure of leuprorelin is</w:t>
      </w:r>
      <w:r w:rsidR="00873FAF">
        <w:t xml:space="preserve"> shown in </w:t>
      </w:r>
      <w:r w:rsidR="00873FAF">
        <w:fldChar w:fldCharType="begin"/>
      </w:r>
      <w:r w:rsidR="00873FAF">
        <w:instrText xml:space="preserve"> REF _Ref128634422 \h </w:instrText>
      </w:r>
      <w:r w:rsidR="00873FAF">
        <w:fldChar w:fldCharType="separate"/>
      </w:r>
      <w:r w:rsidR="00CA69CF">
        <w:t xml:space="preserve">Figure </w:t>
      </w:r>
      <w:r w:rsidR="00CA69CF">
        <w:rPr>
          <w:noProof/>
        </w:rPr>
        <w:t>1</w:t>
      </w:r>
      <w:r w:rsidR="00873FAF">
        <w:fldChar w:fldCharType="end"/>
      </w:r>
      <w:r w:rsidR="00873FAF">
        <w:t>, as follows.</w:t>
      </w:r>
      <w:r>
        <w:t xml:space="preserve"> </w:t>
      </w:r>
    </w:p>
    <w:p w14:paraId="43CC7AB4" w14:textId="62930338" w:rsidR="0014421A" w:rsidRDefault="0014421A" w:rsidP="00420928">
      <w:pPr>
        <w:pStyle w:val="FigureTitle"/>
      </w:pPr>
      <w:bookmarkStart w:id="34" w:name="_Ref128634422"/>
      <w:r>
        <w:t xml:space="preserve">Figure </w:t>
      </w:r>
      <w:fldSimple w:instr=" SEQ Figure \* ARABIC ">
        <w:r w:rsidR="00CA69CF">
          <w:rPr>
            <w:noProof/>
          </w:rPr>
          <w:t>1</w:t>
        </w:r>
      </w:fldSimple>
      <w:bookmarkEnd w:id="34"/>
      <w:r>
        <w:t xml:space="preserve">: </w:t>
      </w:r>
      <w:r w:rsidR="00420928">
        <w:t>Structure</w:t>
      </w:r>
      <w:r>
        <w:t xml:space="preserve"> of leuprorelin</w:t>
      </w:r>
      <w:r w:rsidR="00393378">
        <w:t xml:space="preserve"> acetate</w:t>
      </w:r>
    </w:p>
    <w:p w14:paraId="337C8D2C" w14:textId="3817F3D2" w:rsidR="00BA13FE" w:rsidRDefault="00BA13FE" w:rsidP="00E12256">
      <w:r>
        <w:rPr>
          <w:noProof/>
          <w:lang w:val="en-GB" w:eastAsia="en-GB"/>
        </w:rPr>
        <w:drawing>
          <wp:inline distT="0" distB="0" distL="0" distR="0" wp14:anchorId="495A8DB5" wp14:editId="52FD5E95">
            <wp:extent cx="5400040" cy="2409190"/>
            <wp:effectExtent l="0" t="0" r="0" b="0"/>
            <wp:docPr id="3" name="Picture 3" title="Skeletal formula of leuprore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409190"/>
                    </a:xfrm>
                    <a:prstGeom prst="rect">
                      <a:avLst/>
                    </a:prstGeom>
                  </pic:spPr>
                </pic:pic>
              </a:graphicData>
            </a:graphic>
          </wp:inline>
        </w:drawing>
      </w:r>
    </w:p>
    <w:p w14:paraId="09F1916A" w14:textId="50F1147D" w:rsidR="00BA13FE" w:rsidRDefault="00C4007B" w:rsidP="00E12256">
      <w:proofErr w:type="spellStart"/>
      <w:r>
        <w:t>Eligard</w:t>
      </w:r>
      <w:proofErr w:type="spellEnd"/>
      <w:r>
        <w:t xml:space="preserve"> is a modified release suspension syringe, available in a single use kit.</w:t>
      </w:r>
      <w:r w:rsidR="00BC093B">
        <w:t xml:space="preserve"> </w:t>
      </w:r>
      <w:r>
        <w:t>It is supplied as two separate, pre-filled sterile syringes</w:t>
      </w:r>
      <w:r w:rsidR="00FF569B">
        <w:t>. Syringe A contains a delivery system and Syringe B contains leuprorelin acetate</w:t>
      </w:r>
      <w:r>
        <w:t xml:space="preserve">. The two </w:t>
      </w:r>
      <w:r w:rsidR="00FF569B">
        <w:t>syringes must</w:t>
      </w:r>
      <w:r>
        <w:t xml:space="preserve"> be </w:t>
      </w:r>
      <w:proofErr w:type="gramStart"/>
      <w:r>
        <w:t>joined</w:t>
      </w:r>
      <w:proofErr w:type="gramEnd"/>
      <w:r>
        <w:t xml:space="preserve"> and the contents mixed until homogenous immediately prior to administration. It is administered subcutaneously where it forms a solid drug delivery depot.</w:t>
      </w:r>
    </w:p>
    <w:p w14:paraId="5179CB53" w14:textId="62461EB6" w:rsidR="00BC093B" w:rsidRDefault="00BC093B" w:rsidP="00E12256">
      <w:r>
        <w:t xml:space="preserve">The product pack contents consist of </w:t>
      </w:r>
      <w:r w:rsidRPr="00BC093B">
        <w:t>a two-syringe mixing system</w:t>
      </w:r>
      <w:r>
        <w:t xml:space="preserve"> (Syringes A and B); </w:t>
      </w:r>
      <w:proofErr w:type="gramStart"/>
      <w:r>
        <w:t>a</w:t>
      </w:r>
      <w:proofErr w:type="gramEnd"/>
      <w:r>
        <w:t xml:space="preserve"> 18-gauge 5/8-inch needle, a silica desiccant pouch to control moisture uptake, and package insert for constitution and administration procedures. Each syringe is individually packaged. Syringe B, made of cyclic olefin copolymer and sealed with a </w:t>
      </w:r>
      <w:proofErr w:type="spellStart"/>
      <w:r>
        <w:t>chlorobutyl</w:t>
      </w:r>
      <w:proofErr w:type="spellEnd"/>
      <w:r>
        <w:t xml:space="preserve"> closure, contains aseptically filled, lyophilized leuprorelin acetate. Syringe A, constructed of polypropylene and sealed with a polypropylene or polyethylene cap, contains the </w:t>
      </w:r>
      <w:proofErr w:type="spellStart"/>
      <w:r>
        <w:t>Atrigel</w:t>
      </w:r>
      <w:proofErr w:type="spellEnd"/>
      <w:r>
        <w:t xml:space="preserve"> Delivery System.</w:t>
      </w:r>
    </w:p>
    <w:p w14:paraId="123B5B55" w14:textId="1B1D5FCE" w:rsidR="00CC786A" w:rsidRPr="00CC786A" w:rsidRDefault="00BC093B">
      <w:proofErr w:type="spellStart"/>
      <w:r w:rsidRPr="00AC08F5">
        <w:t>Eligard</w:t>
      </w:r>
      <w:proofErr w:type="spellEnd"/>
      <w:r w:rsidRPr="00AC08F5">
        <w:t xml:space="preserve"> should be stored below 8°C (refrigerate). The patient may store </w:t>
      </w:r>
      <w:proofErr w:type="spellStart"/>
      <w:r w:rsidRPr="00AC08F5">
        <w:t>Eligar</w:t>
      </w:r>
      <w:r w:rsidRPr="001D5372">
        <w:t>d</w:t>
      </w:r>
      <w:proofErr w:type="spellEnd"/>
      <w:r w:rsidRPr="001D5372">
        <w:t xml:space="preserve"> below 25°C in intact packaging for a period of 8 weeks prior to administration. </w:t>
      </w:r>
      <w:r w:rsidR="00C4007B" w:rsidRPr="00835723">
        <w:t>The shelf-life is 2</w:t>
      </w:r>
      <w:r w:rsidRPr="00520D38">
        <w:t> </w:t>
      </w:r>
      <w:r w:rsidR="00C4007B" w:rsidRPr="00420928">
        <w:t>years when stored below 8 °C.</w:t>
      </w:r>
      <w:bookmarkStart w:id="35" w:name="_Toc314842512"/>
    </w:p>
    <w:p w14:paraId="42C531A2" w14:textId="73FBFA7D" w:rsidR="008E7846" w:rsidRDefault="008E7846" w:rsidP="008E7846">
      <w:pPr>
        <w:pStyle w:val="Heading3"/>
      </w:pPr>
      <w:bookmarkStart w:id="36" w:name="_Toc128748364"/>
      <w:r>
        <w:lastRenderedPageBreak/>
        <w:t>Nonclinical</w:t>
      </w:r>
      <w:bookmarkEnd w:id="35"/>
      <w:bookmarkEnd w:id="36"/>
    </w:p>
    <w:p w14:paraId="363E2AAE" w14:textId="0F14D29A" w:rsidR="006E23EA" w:rsidRDefault="006E23EA" w:rsidP="006E23EA">
      <w:bookmarkStart w:id="37" w:name="_Toc247691530"/>
      <w:bookmarkStart w:id="38" w:name="_Toc314842513"/>
      <w:r>
        <w:t xml:space="preserve">Non-clinical data is </w:t>
      </w:r>
      <w:r w:rsidR="002C6E17">
        <w:t xml:space="preserve">generally </w:t>
      </w:r>
      <w:r>
        <w:t xml:space="preserve">not required for this </w:t>
      </w:r>
      <w:r w:rsidR="002C6E17">
        <w:t xml:space="preserve">type of </w:t>
      </w:r>
      <w:r>
        <w:t>submission.</w:t>
      </w:r>
      <w:r w:rsidR="00E12256" w:rsidRPr="00E12256">
        <w:t xml:space="preserve"> </w:t>
      </w:r>
      <w:r w:rsidR="00E12256">
        <w:t>A full non-clinical evaluation was conducted at the time this product received initial registration.</w:t>
      </w:r>
    </w:p>
    <w:p w14:paraId="3763122E" w14:textId="77777777" w:rsidR="008E7846" w:rsidRDefault="008E7846" w:rsidP="008E7846">
      <w:pPr>
        <w:pStyle w:val="Heading3"/>
      </w:pPr>
      <w:bookmarkStart w:id="39" w:name="_Toc128748365"/>
      <w:r>
        <w:t>Clinical</w:t>
      </w:r>
      <w:bookmarkEnd w:id="37"/>
      <w:bookmarkEnd w:id="38"/>
      <w:bookmarkEnd w:id="39"/>
    </w:p>
    <w:p w14:paraId="6A876994" w14:textId="77777777" w:rsidR="0074163C" w:rsidRDefault="0074163C" w:rsidP="0074163C">
      <w:pPr>
        <w:pStyle w:val="Heading4"/>
      </w:pPr>
      <w:bookmarkStart w:id="40" w:name="_Toc98931928"/>
      <w:r>
        <w:t>Summary of clinical studies</w:t>
      </w:r>
      <w:bookmarkEnd w:id="40"/>
    </w:p>
    <w:p w14:paraId="67EA4A20" w14:textId="705C28F9" w:rsidR="0074163C" w:rsidRDefault="0074163C" w:rsidP="0074163C">
      <w:r>
        <w:t>The clinical dossier</w:t>
      </w:r>
      <w:r w:rsidR="006E23EA">
        <w:t xml:space="preserve"> mainly</w:t>
      </w:r>
      <w:r>
        <w:t xml:space="preserve"> consisted of</w:t>
      </w:r>
      <w:r w:rsidR="00EB36D6">
        <w:t>:</w:t>
      </w:r>
    </w:p>
    <w:p w14:paraId="1BCDFCFC" w14:textId="160D45A2" w:rsidR="008003A7" w:rsidRDefault="006E23EA" w:rsidP="008003A7">
      <w:pPr>
        <w:pStyle w:val="ListBullet"/>
      </w:pPr>
      <w:r>
        <w:t>Study TOL2581A:</w:t>
      </w:r>
      <w:r w:rsidR="008003A7">
        <w:t xml:space="preserve"> </w:t>
      </w:r>
      <w:r w:rsidR="008003A7" w:rsidRPr="008003A7">
        <w:t xml:space="preserve">an open-label, single arm, multicentre study of the efficacy, </w:t>
      </w:r>
      <w:proofErr w:type="gramStart"/>
      <w:r w:rsidR="008003A7" w:rsidRPr="008003A7">
        <w:t>safety</w:t>
      </w:r>
      <w:proofErr w:type="gramEnd"/>
      <w:r w:rsidR="008003A7" w:rsidRPr="008003A7">
        <w:t xml:space="preserve"> and </w:t>
      </w:r>
      <w:r w:rsidR="008003A7">
        <w:t>pharmacokinetics</w:t>
      </w:r>
      <w:r w:rsidR="008003A7" w:rsidRPr="008003A7">
        <w:t xml:space="preserve"> of leuprolide acetate 45 mg for injectable suspension,</w:t>
      </w:r>
      <w:r w:rsidR="008003A7">
        <w:t xml:space="preserve"> controlled release, in paediatric patients</w:t>
      </w:r>
      <w:r w:rsidR="008003A7" w:rsidRPr="008003A7">
        <w:t xml:space="preserve"> with central precocious puberty.</w:t>
      </w:r>
      <w:r w:rsidR="00BF2293">
        <w:t xml:space="preserve"> </w:t>
      </w:r>
    </w:p>
    <w:p w14:paraId="0324C8AC" w14:textId="7801FFA2" w:rsidR="006E23EA" w:rsidRDefault="008003A7" w:rsidP="006E23EA">
      <w:pPr>
        <w:pStyle w:val="ListBullet"/>
      </w:pPr>
      <w:r>
        <w:t xml:space="preserve">Post-market data from a US Food and Drug Administration (FDA) </w:t>
      </w:r>
      <w:r w:rsidR="006E23EA">
        <w:t xml:space="preserve">Periodic Adverse Drug Experience Report </w:t>
      </w:r>
      <w:r>
        <w:t xml:space="preserve">(PADER) </w:t>
      </w:r>
      <w:r w:rsidR="006E23EA">
        <w:t xml:space="preserve">for </w:t>
      </w:r>
      <w:proofErr w:type="spellStart"/>
      <w:r w:rsidR="006E23EA">
        <w:t>Fensolvi</w:t>
      </w:r>
      <w:proofErr w:type="spellEnd"/>
      <w:r w:rsidR="006E23EA">
        <w:t xml:space="preserve"> (</w:t>
      </w:r>
      <w:r w:rsidR="007C7CC4">
        <w:t xml:space="preserve">leuprolide </w:t>
      </w:r>
      <w:r w:rsidR="006E23EA">
        <w:t>acetate)</w:t>
      </w:r>
      <w:r>
        <w:t>;</w:t>
      </w:r>
      <w:r w:rsidR="007C7CC4" w:rsidRPr="00420928">
        <w:rPr>
          <w:vertAlign w:val="superscript"/>
        </w:rPr>
        <w:fldChar w:fldCharType="begin"/>
      </w:r>
      <w:r w:rsidR="007C7CC4" w:rsidRPr="00420928">
        <w:rPr>
          <w:vertAlign w:val="superscript"/>
        </w:rPr>
        <w:instrText xml:space="preserve"> NOTEREF _Ref128569423 \h </w:instrText>
      </w:r>
      <w:r w:rsidR="007C7CC4">
        <w:rPr>
          <w:vertAlign w:val="superscript"/>
        </w:rPr>
        <w:instrText xml:space="preserve"> \* MERGEFORMAT </w:instrText>
      </w:r>
      <w:r w:rsidR="007C7CC4" w:rsidRPr="00420928">
        <w:rPr>
          <w:vertAlign w:val="superscript"/>
        </w:rPr>
      </w:r>
      <w:r w:rsidR="007C7CC4" w:rsidRPr="00420928">
        <w:rPr>
          <w:vertAlign w:val="superscript"/>
        </w:rPr>
        <w:fldChar w:fldCharType="separate"/>
      </w:r>
      <w:r w:rsidR="00CA69CF">
        <w:rPr>
          <w:vertAlign w:val="superscript"/>
        </w:rPr>
        <w:t>9</w:t>
      </w:r>
      <w:r w:rsidR="007C7CC4" w:rsidRPr="00420928">
        <w:rPr>
          <w:vertAlign w:val="superscript"/>
        </w:rPr>
        <w:fldChar w:fldCharType="end"/>
      </w:r>
      <w:r w:rsidR="00420928">
        <w:t xml:space="preserve"> </w:t>
      </w:r>
      <w:r w:rsidR="006E23EA">
        <w:t>New Drug Application number</w:t>
      </w:r>
      <w:r w:rsidR="007C7CC4">
        <w:t>:</w:t>
      </w:r>
      <w:r w:rsidR="006E23EA">
        <w:t xml:space="preserve"> 213150</w:t>
      </w:r>
      <w:r>
        <w:t>,</w:t>
      </w:r>
      <w:r w:rsidR="006E23EA">
        <w:t xml:space="preserve"> </w:t>
      </w:r>
      <w:r w:rsidR="007C7CC4">
        <w:t xml:space="preserve">covering the </w:t>
      </w:r>
      <w:proofErr w:type="gramStart"/>
      <w:r w:rsidR="007C7CC4">
        <w:t>time period</w:t>
      </w:r>
      <w:proofErr w:type="gramEnd"/>
      <w:r w:rsidR="007C7CC4">
        <w:t xml:space="preserve"> of</w:t>
      </w:r>
      <w:r>
        <w:t xml:space="preserve"> </w:t>
      </w:r>
      <w:r w:rsidR="006E23EA">
        <w:t>1 November 2020 to 31</w:t>
      </w:r>
      <w:r w:rsidR="007C7CC4">
        <w:t> </w:t>
      </w:r>
      <w:r w:rsidR="006E23EA">
        <w:t>January 2021.</w:t>
      </w:r>
    </w:p>
    <w:p w14:paraId="1A9CDC42" w14:textId="57422D33" w:rsidR="006E23EA" w:rsidRDefault="006E23EA" w:rsidP="006E23EA">
      <w:pPr>
        <w:pStyle w:val="ListBullet"/>
      </w:pPr>
      <w:r>
        <w:t xml:space="preserve">Australia </w:t>
      </w:r>
      <w:r w:rsidR="00BD4FFB">
        <w:t>s</w:t>
      </w:r>
      <w:r>
        <w:t xml:space="preserve">pecific </w:t>
      </w:r>
      <w:r w:rsidR="00BD4FFB">
        <w:t>r</w:t>
      </w:r>
      <w:r>
        <w:t xml:space="preserve">isk </w:t>
      </w:r>
      <w:r w:rsidR="00BD4FFB">
        <w:t>m</w:t>
      </w:r>
      <w:r>
        <w:t xml:space="preserve">anagement </w:t>
      </w:r>
      <w:r w:rsidR="00BD4FFB">
        <w:t>p</w:t>
      </w:r>
      <w:r>
        <w:t>lan</w:t>
      </w:r>
      <w:r w:rsidR="007C7CC4">
        <w:t>.</w:t>
      </w:r>
    </w:p>
    <w:p w14:paraId="11ECCBCE" w14:textId="487C7CC3" w:rsidR="006E23EA" w:rsidRDefault="006E23EA" w:rsidP="006E23EA">
      <w:pPr>
        <w:pStyle w:val="Heading4"/>
      </w:pPr>
      <w:r>
        <w:t>Pharmacology</w:t>
      </w:r>
    </w:p>
    <w:p w14:paraId="62B3864C" w14:textId="1C340D3E" w:rsidR="006E23EA" w:rsidRDefault="006E23EA" w:rsidP="006E23EA">
      <w:pPr>
        <w:pStyle w:val="Heading5"/>
      </w:pPr>
      <w:r>
        <w:t>Pharmacokinetics</w:t>
      </w:r>
    </w:p>
    <w:p w14:paraId="13ECD220" w14:textId="52972566" w:rsidR="006E23EA" w:rsidRDefault="006E23EA" w:rsidP="006E23EA">
      <w:r>
        <w:t>The pharmacokinetic</w:t>
      </w:r>
      <w:r w:rsidR="00824C3D">
        <w:t>s (PK)</w:t>
      </w:r>
      <w:r>
        <w:t xml:space="preserve"> </w:t>
      </w:r>
      <w:r w:rsidR="007C7CC4">
        <w:t xml:space="preserve">of leuprorelin acetate (modified release injection) </w:t>
      </w:r>
      <w:r>
        <w:t>was investigated in Study TOL2581A.</w:t>
      </w:r>
    </w:p>
    <w:p w14:paraId="4D25F9AD" w14:textId="4B93A39F" w:rsidR="006E23EA" w:rsidRDefault="006E23EA" w:rsidP="006E23EA">
      <w:pPr>
        <w:pStyle w:val="Heading6"/>
      </w:pPr>
      <w:r>
        <w:t>Absorption</w:t>
      </w:r>
    </w:p>
    <w:p w14:paraId="2A28B5A1" w14:textId="7D2397A3" w:rsidR="006E23EA" w:rsidRDefault="006E23EA" w:rsidP="006E23EA">
      <w:proofErr w:type="spellStart"/>
      <w:proofErr w:type="gramStart"/>
      <w:r>
        <w:t>Eligard</w:t>
      </w:r>
      <w:proofErr w:type="spellEnd"/>
      <w:r>
        <w:t xml:space="preserve"> </w:t>
      </w:r>
      <w:r w:rsidR="007C7CC4">
        <w:t>(</w:t>
      </w:r>
      <w:r>
        <w:t>leuprorelin acetate</w:t>
      </w:r>
      <w:r w:rsidR="007C7CC4">
        <w:t>)</w:t>
      </w:r>
      <w:r>
        <w:t xml:space="preserve"> 45 mg modified release injection,</w:t>
      </w:r>
      <w:proofErr w:type="gramEnd"/>
      <w:r>
        <w:t xml:space="preserve"> is administered by subcutaneous injection.</w:t>
      </w:r>
      <w:r w:rsidR="00D62021">
        <w:t xml:space="preserve"> </w:t>
      </w:r>
      <w:r>
        <w:t xml:space="preserve">It is in a delayed release formulation, with absorption over a </w:t>
      </w:r>
      <w:proofErr w:type="gramStart"/>
      <w:r>
        <w:t>six month</w:t>
      </w:r>
      <w:proofErr w:type="gramEnd"/>
      <w:r>
        <w:t xml:space="preserve"> period.</w:t>
      </w:r>
    </w:p>
    <w:p w14:paraId="76CCB8B4" w14:textId="29E8894B" w:rsidR="006E23EA" w:rsidRDefault="006E23EA" w:rsidP="006E23EA">
      <w:r>
        <w:t xml:space="preserve">In an adult population, the mean </w:t>
      </w:r>
      <w:r w:rsidR="007C7CC4">
        <w:t>maximum concentration (</w:t>
      </w:r>
      <w:proofErr w:type="spellStart"/>
      <w:r w:rsidR="007C7CC4">
        <w:t>C</w:t>
      </w:r>
      <w:r w:rsidR="007C7CC4">
        <w:rPr>
          <w:vertAlign w:val="subscript"/>
        </w:rPr>
        <w:t>max</w:t>
      </w:r>
      <w:proofErr w:type="spellEnd"/>
      <w:r w:rsidR="007C7CC4">
        <w:t xml:space="preserve">) </w:t>
      </w:r>
      <w:r>
        <w:t xml:space="preserve">is 102.4 </w:t>
      </w:r>
      <w:r w:rsidR="00414446">
        <w:t xml:space="preserve">ng/mL </w:t>
      </w:r>
      <w:r>
        <w:t>(</w:t>
      </w:r>
      <w:r w:rsidR="00414446">
        <w:t xml:space="preserve">standard deviation (SD), </w:t>
      </w:r>
      <w:r>
        <w:t>72.1 ng/mL</w:t>
      </w:r>
      <w:r w:rsidR="00414446">
        <w:t>)</w:t>
      </w:r>
      <w:r>
        <w:t xml:space="preserve"> and </w:t>
      </w:r>
      <w:r w:rsidR="00D62021">
        <w:t>time to peak concentration</w:t>
      </w:r>
      <w:r w:rsidR="00A740E0">
        <w:t xml:space="preserve"> (</w:t>
      </w:r>
      <w:proofErr w:type="spellStart"/>
      <w:r w:rsidR="00A740E0">
        <w:t>T</w:t>
      </w:r>
      <w:r w:rsidR="00A740E0" w:rsidRPr="00A740E0">
        <w:rPr>
          <w:vertAlign w:val="subscript"/>
        </w:rPr>
        <w:t>max</w:t>
      </w:r>
      <w:proofErr w:type="spellEnd"/>
      <w:r w:rsidR="00A740E0">
        <w:t>)</w:t>
      </w:r>
      <w:r w:rsidR="00D62021">
        <w:t xml:space="preserve"> </w:t>
      </w:r>
      <w:r>
        <w:t>is 4.75 (</w:t>
      </w:r>
      <w:r w:rsidR="00054CA8">
        <w:t xml:space="preserve">SD </w:t>
      </w:r>
      <w:r>
        <w:t>2.0) hours.</w:t>
      </w:r>
      <w:r w:rsidR="00D62021">
        <w:t xml:space="preserve"> </w:t>
      </w:r>
      <w:r>
        <w:t>This reflects an initial burst phase following the injection, which is followed by a plateau phase with relatively constant plasma concentration in the range of 0.2 to 2.0 ng/</w:t>
      </w:r>
      <w:proofErr w:type="spellStart"/>
      <w:r>
        <w:t>mL</w:t>
      </w:r>
      <w:r w:rsidR="00D62021">
        <w:t>.</w:t>
      </w:r>
      <w:proofErr w:type="spellEnd"/>
    </w:p>
    <w:p w14:paraId="79F8ED84" w14:textId="3996F05A" w:rsidR="006E23EA" w:rsidRDefault="006E23EA" w:rsidP="006E23EA">
      <w:r>
        <w:t xml:space="preserve">In a paediatric population from Study TOL2581A, plasma concentrations of </w:t>
      </w:r>
      <w:r w:rsidR="00B40A4F">
        <w:t>leuprorelin</w:t>
      </w:r>
      <w:r>
        <w:t xml:space="preserve"> were maintained from Week 4 through to Week 44, with some decrease to Week 48</w:t>
      </w:r>
      <w:r w:rsidR="00414446">
        <w:t xml:space="preserve"> (see </w:t>
      </w:r>
      <w:r w:rsidR="00414446">
        <w:fldChar w:fldCharType="begin"/>
      </w:r>
      <w:r w:rsidR="00414446">
        <w:instrText xml:space="preserve"> REF _Ref128570300 \h </w:instrText>
      </w:r>
      <w:r w:rsidR="00414446">
        <w:fldChar w:fldCharType="separate"/>
      </w:r>
      <w:r w:rsidR="00CA69CF">
        <w:t xml:space="preserve">Figure </w:t>
      </w:r>
      <w:r w:rsidR="00CA69CF">
        <w:rPr>
          <w:noProof/>
        </w:rPr>
        <w:t>2</w:t>
      </w:r>
      <w:r w:rsidR="00414446">
        <w:fldChar w:fldCharType="end"/>
      </w:r>
      <w:r w:rsidR="00414446">
        <w:t xml:space="preserve"> below)</w:t>
      </w:r>
      <w:r w:rsidR="00E12256">
        <w:t xml:space="preserve">. </w:t>
      </w:r>
      <w:r>
        <w:t xml:space="preserve">Following administration of a single </w:t>
      </w:r>
      <w:r w:rsidR="00F876AA">
        <w:t>subcutaneous</w:t>
      </w:r>
      <w:r>
        <w:t xml:space="preserve"> injection of </w:t>
      </w:r>
      <w:r w:rsidR="00B40A4F">
        <w:t>leuprorelin</w:t>
      </w:r>
      <w:r>
        <w:t xml:space="preserve"> acetate </w:t>
      </w:r>
      <w:r w:rsidR="00414446">
        <w:t xml:space="preserve">45 mg </w:t>
      </w:r>
      <w:r>
        <w:t xml:space="preserve">injectable suspension, the mean serum </w:t>
      </w:r>
      <w:r w:rsidR="00B40A4F">
        <w:t>leuprorelin</w:t>
      </w:r>
      <w:r>
        <w:t xml:space="preserve"> concentration peaked at mean (SD) 21231</w:t>
      </w:r>
      <w:r w:rsidR="009E5DC3">
        <w:t>5</w:t>
      </w:r>
      <w:r>
        <w:t xml:space="preserve"> (16180</w:t>
      </w:r>
      <w:r w:rsidR="009E5DC3">
        <w:t>6</w:t>
      </w:r>
      <w:r>
        <w:t xml:space="preserve">) </w:t>
      </w:r>
      <w:proofErr w:type="spellStart"/>
      <w:r>
        <w:t>pg</w:t>
      </w:r>
      <w:proofErr w:type="spellEnd"/>
      <w:r>
        <w:t xml:space="preserve">/mL </w:t>
      </w:r>
      <w:r w:rsidR="00414446">
        <w:t xml:space="preserve">at 4 </w:t>
      </w:r>
      <w:r>
        <w:t>hours after the injection.</w:t>
      </w:r>
      <w:r w:rsidR="00D62021">
        <w:t xml:space="preserve"> </w:t>
      </w:r>
      <w:r>
        <w:t>After the initial rise occurring immediately after the injection, the mean (SD) serum concentration declined to 633.1</w:t>
      </w:r>
      <w:r w:rsidR="00414446">
        <w:t> </w:t>
      </w:r>
      <w:r>
        <w:t xml:space="preserve">(551.9) </w:t>
      </w:r>
      <w:proofErr w:type="spellStart"/>
      <w:r>
        <w:t>pg</w:t>
      </w:r>
      <w:proofErr w:type="spellEnd"/>
      <w:r>
        <w:t>/mL at 4 weeks post</w:t>
      </w:r>
      <w:r w:rsidR="00BD4FFB">
        <w:t xml:space="preserve"> </w:t>
      </w:r>
      <w:r>
        <w:t>injection.</w:t>
      </w:r>
      <w:r w:rsidR="00D62021">
        <w:t xml:space="preserve"> </w:t>
      </w:r>
      <w:r>
        <w:t xml:space="preserve">By 12 weeks after the initial dose, mean (SD) serum </w:t>
      </w:r>
      <w:r w:rsidR="00B40A4F">
        <w:t>leuprorelin</w:t>
      </w:r>
      <w:r>
        <w:t xml:space="preserve"> concentrations declined to 348.</w:t>
      </w:r>
      <w:r w:rsidR="00D62021">
        <w:t>8</w:t>
      </w:r>
      <w:r>
        <w:t xml:space="preserve"> (1460.</w:t>
      </w:r>
      <w:r w:rsidR="00D62021">
        <w:t>6</w:t>
      </w:r>
      <w:r>
        <w:t xml:space="preserve">) </w:t>
      </w:r>
      <w:proofErr w:type="spellStart"/>
      <w:r>
        <w:t>pg</w:t>
      </w:r>
      <w:proofErr w:type="spellEnd"/>
      <w:r>
        <w:t xml:space="preserve">/mL, and remained relatively constant until Week 24 indicating a sustained and constant release of </w:t>
      </w:r>
      <w:r w:rsidR="00B40A4F">
        <w:t>leuprorelin</w:t>
      </w:r>
      <w:r>
        <w:t>.</w:t>
      </w:r>
    </w:p>
    <w:p w14:paraId="0991E430" w14:textId="7DBC2B52" w:rsidR="00D62021" w:rsidRDefault="00D62021" w:rsidP="00D62021">
      <w:pPr>
        <w:pStyle w:val="FigureTitle"/>
      </w:pPr>
      <w:bookmarkStart w:id="41" w:name="_Ref128570300"/>
      <w:r>
        <w:lastRenderedPageBreak/>
        <w:t xml:space="preserve">Figure </w:t>
      </w:r>
      <w:fldSimple w:instr=" SEQ Figure \* ARABIC ">
        <w:r w:rsidR="00CA69CF">
          <w:rPr>
            <w:noProof/>
          </w:rPr>
          <w:t>2</w:t>
        </w:r>
      </w:fldSimple>
      <w:bookmarkEnd w:id="41"/>
      <w:r>
        <w:t xml:space="preserve">: </w:t>
      </w:r>
      <w:r w:rsidR="00414446">
        <w:t xml:space="preserve">Study TOL2581A </w:t>
      </w:r>
      <w:r w:rsidRPr="00D62021">
        <w:t xml:space="preserve">Plot of </w:t>
      </w:r>
      <w:r w:rsidR="00E12256">
        <w:t>m</w:t>
      </w:r>
      <w:r w:rsidRPr="00D62021">
        <w:t xml:space="preserve">ean </w:t>
      </w:r>
      <w:r w:rsidR="00E12256">
        <w:t>b</w:t>
      </w:r>
      <w:r w:rsidRPr="00D62021">
        <w:t xml:space="preserve">asal </w:t>
      </w:r>
      <w:r w:rsidR="00B40A4F">
        <w:t>leuprorelin</w:t>
      </w:r>
      <w:r w:rsidRPr="00D62021">
        <w:t xml:space="preserve"> </w:t>
      </w:r>
      <w:r w:rsidR="00E12256">
        <w:t>c</w:t>
      </w:r>
      <w:r w:rsidRPr="00D62021">
        <w:t xml:space="preserve">oncentration </w:t>
      </w:r>
      <w:r w:rsidR="00E12256">
        <w:t>o</w:t>
      </w:r>
      <w:r w:rsidRPr="00D62021">
        <w:t xml:space="preserve">ver </w:t>
      </w:r>
      <w:r w:rsidR="00E12256">
        <w:t>t</w:t>
      </w:r>
      <w:r w:rsidRPr="00D62021">
        <w:t xml:space="preserve">ime </w:t>
      </w:r>
      <w:r w:rsidR="00E12256">
        <w:t>p</w:t>
      </w:r>
      <w:r w:rsidRPr="00D62021">
        <w:t>opulation</w:t>
      </w:r>
      <w:r w:rsidR="009E5DC3">
        <w:t xml:space="preserve"> for the</w:t>
      </w:r>
      <w:r w:rsidRPr="00D62021">
        <w:t xml:space="preserve"> </w:t>
      </w:r>
      <w:r w:rsidR="00E12256">
        <w:t>r</w:t>
      </w:r>
      <w:r w:rsidRPr="00D62021">
        <w:t xml:space="preserve">evised </w:t>
      </w:r>
      <w:r w:rsidR="00E12256">
        <w:t>inte</w:t>
      </w:r>
      <w:r w:rsidR="00BA00CB">
        <w:t>ntion</w:t>
      </w:r>
      <w:r w:rsidR="00E12256">
        <w:t xml:space="preserve"> to treat p</w:t>
      </w:r>
      <w:r w:rsidRPr="00D62021">
        <w:t>opulation</w:t>
      </w:r>
    </w:p>
    <w:p w14:paraId="01906920" w14:textId="080EE8C6" w:rsidR="00E12256" w:rsidRDefault="00D62021" w:rsidP="00E12256">
      <w:r>
        <w:rPr>
          <w:noProof/>
          <w:lang w:val="en-GB" w:eastAsia="en-GB"/>
        </w:rPr>
        <w:drawing>
          <wp:inline distT="0" distB="0" distL="0" distR="0" wp14:anchorId="7A4A89EB" wp14:editId="63249268">
            <wp:extent cx="5529284" cy="2846567"/>
            <wp:effectExtent l="0" t="0" r="0" b="0"/>
            <wp:docPr id="1" name="Picture 1" descr="This figure is a plot of mean basal leuprorelin concentration over time population for the revised intention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is a plot of mean basal leuprorelin concentration over time population for the revised intention to treat population."/>
                    <pic:cNvPicPr/>
                  </pic:nvPicPr>
                  <pic:blipFill>
                    <a:blip r:embed="rId19"/>
                    <a:stretch>
                      <a:fillRect/>
                    </a:stretch>
                  </pic:blipFill>
                  <pic:spPr>
                    <a:xfrm>
                      <a:off x="0" y="0"/>
                      <a:ext cx="5562358" cy="2863594"/>
                    </a:xfrm>
                    <a:prstGeom prst="rect">
                      <a:avLst/>
                    </a:prstGeom>
                  </pic:spPr>
                </pic:pic>
              </a:graphicData>
            </a:graphic>
          </wp:inline>
        </w:drawing>
      </w:r>
    </w:p>
    <w:p w14:paraId="28F6A11E" w14:textId="77777777" w:rsidR="00414446" w:rsidRDefault="00414446" w:rsidP="00D62021">
      <w:pPr>
        <w:pStyle w:val="FigureDescription"/>
      </w:pPr>
      <w:r>
        <w:t>Abbreviations: SD = standard deviation.</w:t>
      </w:r>
    </w:p>
    <w:p w14:paraId="77C711C1" w14:textId="19726B55" w:rsidR="00D62021" w:rsidRDefault="00D62021" w:rsidP="00D62021">
      <w:pPr>
        <w:pStyle w:val="FigureDescription"/>
      </w:pPr>
      <w:r>
        <w:t xml:space="preserve">Note: The screening time point was excluded for </w:t>
      </w:r>
      <w:r w:rsidR="002C6E17">
        <w:t xml:space="preserve">8 </w:t>
      </w:r>
      <w:r>
        <w:t xml:space="preserve">subjects due to improbable concentration values. The Week 12 time point for </w:t>
      </w:r>
      <w:r w:rsidR="002C6E17">
        <w:t xml:space="preserve">one </w:t>
      </w:r>
      <w:r>
        <w:t xml:space="preserve">subject, and the Week 36 time point for </w:t>
      </w:r>
      <w:r w:rsidR="002C6E17">
        <w:t xml:space="preserve">another </w:t>
      </w:r>
      <w:r>
        <w:t>subject were also excluded due to improbable concentration values.</w:t>
      </w:r>
    </w:p>
    <w:p w14:paraId="262D19D9" w14:textId="038F1604" w:rsidR="00D85773" w:rsidRPr="00D85773" w:rsidRDefault="00D85773" w:rsidP="00420928">
      <w:pPr>
        <w:spacing w:before="0" w:after="200" w:line="0" w:lineRule="auto"/>
      </w:pPr>
      <w:r>
        <w:br w:type="page"/>
      </w:r>
    </w:p>
    <w:p w14:paraId="7FE7D834" w14:textId="4EFDAF38" w:rsidR="00A740E0" w:rsidRDefault="00E12256" w:rsidP="00E12256">
      <w:r>
        <w:lastRenderedPageBreak/>
        <w:t xml:space="preserve">The </w:t>
      </w:r>
      <w:r w:rsidR="00A740E0">
        <w:t xml:space="preserve">mean (SD) </w:t>
      </w:r>
      <w:r w:rsidR="00824C3D">
        <w:t>PK</w:t>
      </w:r>
      <w:r>
        <w:t xml:space="preserve"> parameters </w:t>
      </w:r>
      <w:r w:rsidR="00A740E0">
        <w:t xml:space="preserve">for </w:t>
      </w:r>
      <w:r w:rsidR="00414446">
        <w:t xml:space="preserve">exposure (as </w:t>
      </w:r>
      <w:r w:rsidR="00A740E0">
        <w:t>area under th</w:t>
      </w:r>
      <w:r w:rsidR="00414446">
        <w:t xml:space="preserve">e </w:t>
      </w:r>
      <w:r w:rsidR="00A740E0">
        <w:t>curve (AUC)</w:t>
      </w:r>
      <w:r w:rsidR="00414446">
        <w:t>)</w:t>
      </w:r>
      <w:r w:rsidR="00A740E0">
        <w:t xml:space="preserve">, </w:t>
      </w:r>
      <w:proofErr w:type="spellStart"/>
      <w:r w:rsidR="00A740E0">
        <w:t>C</w:t>
      </w:r>
      <w:r w:rsidR="00A740E0" w:rsidRPr="00A740E0">
        <w:rPr>
          <w:vertAlign w:val="subscript"/>
        </w:rPr>
        <w:t>max</w:t>
      </w:r>
      <w:proofErr w:type="spellEnd"/>
      <w:r w:rsidR="00A740E0">
        <w:t xml:space="preserve"> and </w:t>
      </w:r>
      <w:proofErr w:type="spellStart"/>
      <w:r w:rsidR="00A740E0">
        <w:t>T</w:t>
      </w:r>
      <w:r w:rsidR="00A740E0" w:rsidRPr="00A740E0">
        <w:rPr>
          <w:vertAlign w:val="subscript"/>
        </w:rPr>
        <w:t>max</w:t>
      </w:r>
      <w:proofErr w:type="spellEnd"/>
      <w:r w:rsidR="00A740E0">
        <w:t xml:space="preserve"> </w:t>
      </w:r>
      <w:r w:rsidR="00C86B61">
        <w:t>are</w:t>
      </w:r>
      <w:r w:rsidR="00A740E0">
        <w:t xml:space="preserve"> summarised</w:t>
      </w:r>
      <w:r w:rsidR="00414446">
        <w:t xml:space="preserve"> below</w:t>
      </w:r>
      <w:r w:rsidR="00A740E0">
        <w:t xml:space="preserve"> in </w:t>
      </w:r>
      <w:r w:rsidR="00A740E0">
        <w:fldChar w:fldCharType="begin"/>
      </w:r>
      <w:r w:rsidR="00A740E0">
        <w:instrText xml:space="preserve"> REF _Ref124517418 \h </w:instrText>
      </w:r>
      <w:r w:rsidR="00A740E0">
        <w:fldChar w:fldCharType="separate"/>
      </w:r>
      <w:r w:rsidR="00CA69CF">
        <w:t xml:space="preserve">Table </w:t>
      </w:r>
      <w:r w:rsidR="00CA69CF">
        <w:rPr>
          <w:noProof/>
        </w:rPr>
        <w:t>2</w:t>
      </w:r>
      <w:r w:rsidR="00A740E0">
        <w:fldChar w:fldCharType="end"/>
      </w:r>
      <w:r w:rsidR="00C86B61">
        <w:t>.</w:t>
      </w:r>
    </w:p>
    <w:p w14:paraId="465E47E2" w14:textId="10F58F69" w:rsidR="00A740E0" w:rsidRDefault="00A740E0" w:rsidP="009E5DC3">
      <w:pPr>
        <w:pStyle w:val="TableTitle"/>
      </w:pPr>
      <w:bookmarkStart w:id="42" w:name="_Ref124517418"/>
      <w:r>
        <w:t xml:space="preserve">Table </w:t>
      </w:r>
      <w:fldSimple w:instr=" SEQ Table \* ARABIC ">
        <w:r w:rsidR="00CA69CF">
          <w:rPr>
            <w:noProof/>
          </w:rPr>
          <w:t>2</w:t>
        </w:r>
      </w:fldSimple>
      <w:bookmarkEnd w:id="42"/>
      <w:r>
        <w:t xml:space="preserve">: </w:t>
      </w:r>
      <w:r w:rsidRPr="00C310C8">
        <w:t xml:space="preserve">Study TOL2581A </w:t>
      </w:r>
      <w:r w:rsidR="00414446">
        <w:t>S</w:t>
      </w:r>
      <w:r w:rsidRPr="00C310C8">
        <w:t xml:space="preserve">ummary of </w:t>
      </w:r>
      <w:r w:rsidR="00B40A4F">
        <w:t>leuprorelin</w:t>
      </w:r>
      <w:r>
        <w:t xml:space="preserve"> pharmacokinetic p</w:t>
      </w:r>
      <w:r w:rsidRPr="00C310C8">
        <w:t xml:space="preserve">arameters </w:t>
      </w:r>
      <w:r>
        <w:t>for inte</w:t>
      </w:r>
      <w:r w:rsidR="00BA00CB">
        <w:t>ntion</w:t>
      </w:r>
      <w:r>
        <w:t xml:space="preserve"> to treat population</w:t>
      </w:r>
    </w:p>
    <w:tbl>
      <w:tblPr>
        <w:tblStyle w:val="TableTGAblue"/>
        <w:tblW w:w="0" w:type="auto"/>
        <w:tblLook w:val="04A0" w:firstRow="1" w:lastRow="0" w:firstColumn="1" w:lastColumn="0" w:noHBand="0" w:noVBand="1"/>
      </w:tblPr>
      <w:tblGrid>
        <w:gridCol w:w="4243"/>
        <w:gridCol w:w="4241"/>
      </w:tblGrid>
      <w:tr w:rsidR="00A740E0" w14:paraId="394D67C0" w14:textId="77777777" w:rsidTr="00A740E0">
        <w:trPr>
          <w:cnfStyle w:val="100000000000" w:firstRow="1" w:lastRow="0" w:firstColumn="0" w:lastColumn="0" w:oddVBand="0" w:evenVBand="0" w:oddHBand="0" w:evenHBand="0" w:firstRowFirstColumn="0" w:firstRowLastColumn="0" w:lastRowFirstColumn="0" w:lastRowLastColumn="0"/>
        </w:trPr>
        <w:tc>
          <w:tcPr>
            <w:tcW w:w="4247" w:type="dxa"/>
          </w:tcPr>
          <w:p w14:paraId="10A6615F" w14:textId="124E938C" w:rsidR="00A740E0" w:rsidRDefault="00A740E0" w:rsidP="00E12256">
            <w:r>
              <w:t>Pharmacokinetic parameter</w:t>
            </w:r>
          </w:p>
        </w:tc>
        <w:tc>
          <w:tcPr>
            <w:tcW w:w="4247" w:type="dxa"/>
          </w:tcPr>
          <w:p w14:paraId="59F2239F" w14:textId="0E9AB422" w:rsidR="00A740E0" w:rsidRDefault="00A740E0" w:rsidP="00E12256">
            <w:r>
              <w:t>Mean (SD)</w:t>
            </w:r>
          </w:p>
        </w:tc>
      </w:tr>
      <w:tr w:rsidR="00A740E0" w14:paraId="18BBAB20" w14:textId="77777777" w:rsidTr="00A740E0">
        <w:tc>
          <w:tcPr>
            <w:tcW w:w="4247" w:type="dxa"/>
          </w:tcPr>
          <w:p w14:paraId="6991F42F" w14:textId="1EA346EC" w:rsidR="00A740E0" w:rsidRPr="00414446" w:rsidRDefault="00A740E0" w:rsidP="00E12256">
            <w:r w:rsidRPr="00414446">
              <w:t>AUC</w:t>
            </w:r>
            <w:r w:rsidRPr="00414446">
              <w:rPr>
                <w:vertAlign w:val="subscript"/>
              </w:rPr>
              <w:t>0-169 days</w:t>
            </w:r>
          </w:p>
        </w:tc>
        <w:tc>
          <w:tcPr>
            <w:tcW w:w="4247" w:type="dxa"/>
          </w:tcPr>
          <w:p w14:paraId="1F519B33" w14:textId="03E58FBF" w:rsidR="00A740E0" w:rsidRPr="00414446" w:rsidRDefault="00A740E0" w:rsidP="00E12256">
            <w:r w:rsidRPr="00414446">
              <w:t>2749931 (2590395) day.pg/mL</w:t>
            </w:r>
          </w:p>
        </w:tc>
      </w:tr>
      <w:tr w:rsidR="00A740E0" w14:paraId="538881C5" w14:textId="77777777" w:rsidTr="00A740E0">
        <w:tc>
          <w:tcPr>
            <w:tcW w:w="4247" w:type="dxa"/>
          </w:tcPr>
          <w:p w14:paraId="72A0BBEB" w14:textId="111291BE" w:rsidR="00A740E0" w:rsidRPr="00414446" w:rsidRDefault="00A740E0" w:rsidP="00E12256">
            <w:r w:rsidRPr="00414446">
              <w:t>AUC</w:t>
            </w:r>
            <w:r w:rsidRPr="00414446">
              <w:rPr>
                <w:vertAlign w:val="subscript"/>
              </w:rPr>
              <w:t>0-6 h</w:t>
            </w:r>
            <w:r w:rsidR="00D85773">
              <w:rPr>
                <w:vertAlign w:val="subscript"/>
              </w:rPr>
              <w:t>ours</w:t>
            </w:r>
          </w:p>
        </w:tc>
        <w:tc>
          <w:tcPr>
            <w:tcW w:w="4247" w:type="dxa"/>
          </w:tcPr>
          <w:p w14:paraId="1B5629A6" w14:textId="398E9C86" w:rsidR="00A740E0" w:rsidRPr="00414446" w:rsidRDefault="00A740E0" w:rsidP="00E12256">
            <w:r w:rsidRPr="00414446">
              <w:t>40894 (30672) day.pg/mL</w:t>
            </w:r>
          </w:p>
        </w:tc>
      </w:tr>
      <w:tr w:rsidR="00A740E0" w14:paraId="0ED16FD7" w14:textId="77777777" w:rsidTr="00A740E0">
        <w:tc>
          <w:tcPr>
            <w:tcW w:w="4247" w:type="dxa"/>
          </w:tcPr>
          <w:p w14:paraId="36E752CF" w14:textId="49D8FF10" w:rsidR="00A740E0" w:rsidRPr="00414446" w:rsidRDefault="00A740E0" w:rsidP="00E12256">
            <w:proofErr w:type="spellStart"/>
            <w:r w:rsidRPr="00414446">
              <w:t>AUC</w:t>
            </w:r>
            <w:r w:rsidRPr="00414446">
              <w:rPr>
                <w:vertAlign w:val="subscript"/>
              </w:rPr>
              <w:t>Day</w:t>
            </w:r>
            <w:proofErr w:type="spellEnd"/>
            <w:r w:rsidRPr="00414446">
              <w:rPr>
                <w:vertAlign w:val="subscript"/>
              </w:rPr>
              <w:t xml:space="preserve"> 7</w:t>
            </w:r>
            <w:r w:rsidR="00BD4FFB" w:rsidRPr="00414446">
              <w:rPr>
                <w:vertAlign w:val="subscript"/>
              </w:rPr>
              <w:t>-</w:t>
            </w:r>
            <w:r w:rsidRPr="00414446">
              <w:rPr>
                <w:vertAlign w:val="subscript"/>
              </w:rPr>
              <w:t>Month 6</w:t>
            </w:r>
          </w:p>
        </w:tc>
        <w:tc>
          <w:tcPr>
            <w:tcW w:w="4247" w:type="dxa"/>
          </w:tcPr>
          <w:p w14:paraId="6360ACC8" w14:textId="3BF6FFFB" w:rsidR="00A740E0" w:rsidRPr="00414446" w:rsidRDefault="00A740E0" w:rsidP="00E12256">
            <w:r w:rsidRPr="00414446">
              <w:t>1789780 (2042869) day.pg/mL</w:t>
            </w:r>
          </w:p>
        </w:tc>
      </w:tr>
      <w:tr w:rsidR="00A740E0" w14:paraId="07EB6651" w14:textId="77777777" w:rsidTr="00A740E0">
        <w:tc>
          <w:tcPr>
            <w:tcW w:w="4247" w:type="dxa"/>
          </w:tcPr>
          <w:p w14:paraId="13BC5643" w14:textId="645171BC" w:rsidR="00A740E0" w:rsidRPr="00414446" w:rsidRDefault="00A740E0" w:rsidP="00E12256">
            <w:r w:rsidRPr="00414446">
              <w:t>AUC</w:t>
            </w:r>
            <w:r w:rsidR="00414446" w:rsidRPr="00414446">
              <w:rPr>
                <w:vertAlign w:val="subscript"/>
              </w:rPr>
              <w:t>0-</w:t>
            </w:r>
            <w:proofErr w:type="gramStart"/>
            <w:r w:rsidR="00414446" w:rsidRPr="00414446">
              <w:rPr>
                <w:vertAlign w:val="subscript"/>
              </w:rPr>
              <w:t>inf,observed</w:t>
            </w:r>
            <w:proofErr w:type="gramEnd"/>
          </w:p>
        </w:tc>
        <w:tc>
          <w:tcPr>
            <w:tcW w:w="4247" w:type="dxa"/>
          </w:tcPr>
          <w:p w14:paraId="3B4602EF" w14:textId="5315B49E" w:rsidR="00A740E0" w:rsidRPr="00414446" w:rsidRDefault="00A740E0" w:rsidP="00E12256">
            <w:r w:rsidRPr="00414446">
              <w:t>2945264 (942347) day.pg/mL</w:t>
            </w:r>
          </w:p>
        </w:tc>
      </w:tr>
      <w:tr w:rsidR="00A740E0" w14:paraId="1D17E775" w14:textId="77777777" w:rsidTr="00A740E0">
        <w:tc>
          <w:tcPr>
            <w:tcW w:w="4247" w:type="dxa"/>
          </w:tcPr>
          <w:p w14:paraId="6CC0DC95" w14:textId="466C52A8" w:rsidR="00A740E0" w:rsidRPr="00414446" w:rsidRDefault="00A740E0">
            <w:r w:rsidRPr="00414446">
              <w:t>C</w:t>
            </w:r>
            <w:r w:rsidR="00414446" w:rsidRPr="00414446">
              <w:rPr>
                <w:vertAlign w:val="subscript"/>
              </w:rPr>
              <w:t>max</w:t>
            </w:r>
            <w:r w:rsidR="00D85773">
              <w:rPr>
                <w:vertAlign w:val="subscript"/>
              </w:rPr>
              <w:t>0-6 hours</w:t>
            </w:r>
          </w:p>
        </w:tc>
        <w:tc>
          <w:tcPr>
            <w:tcW w:w="4247" w:type="dxa"/>
          </w:tcPr>
          <w:p w14:paraId="3DDB31F2" w14:textId="122227AD" w:rsidR="00A740E0" w:rsidRPr="00414446" w:rsidRDefault="00A740E0" w:rsidP="00E12256">
            <w:r w:rsidRPr="00414446">
              <w:t xml:space="preserve">223155 (171564) </w:t>
            </w:r>
            <w:proofErr w:type="spellStart"/>
            <w:r w:rsidRPr="00414446">
              <w:t>pg</w:t>
            </w:r>
            <w:proofErr w:type="spellEnd"/>
            <w:r w:rsidRPr="00414446">
              <w:t>/mL</w:t>
            </w:r>
          </w:p>
        </w:tc>
      </w:tr>
      <w:tr w:rsidR="00A740E0" w14:paraId="0F00D074" w14:textId="77777777" w:rsidTr="00A740E0">
        <w:tc>
          <w:tcPr>
            <w:tcW w:w="4247" w:type="dxa"/>
          </w:tcPr>
          <w:p w14:paraId="3917457A" w14:textId="113BECDF" w:rsidR="00A740E0" w:rsidRPr="00414446" w:rsidRDefault="00A740E0" w:rsidP="00E12256">
            <w:proofErr w:type="spellStart"/>
            <w:proofErr w:type="gramStart"/>
            <w:r w:rsidRPr="00414446">
              <w:t>C</w:t>
            </w:r>
            <w:r w:rsidR="00414446" w:rsidRPr="00414446">
              <w:rPr>
                <w:vertAlign w:val="subscript"/>
              </w:rPr>
              <w:t>max</w:t>
            </w:r>
            <w:proofErr w:type="spellEnd"/>
            <w:r w:rsidR="00414446" w:rsidRPr="00414446">
              <w:rPr>
                <w:vertAlign w:val="subscript"/>
              </w:rPr>
              <w:t>(</w:t>
            </w:r>
            <w:proofErr w:type="gramEnd"/>
            <w:r w:rsidR="00414446" w:rsidRPr="00414446">
              <w:rPr>
                <w:vertAlign w:val="subscript"/>
              </w:rPr>
              <w:t>Injection 1)</w:t>
            </w:r>
          </w:p>
        </w:tc>
        <w:tc>
          <w:tcPr>
            <w:tcW w:w="4247" w:type="dxa"/>
          </w:tcPr>
          <w:p w14:paraId="4CD12838" w14:textId="081DE7DF" w:rsidR="00A740E0" w:rsidRPr="00414446" w:rsidRDefault="00A740E0" w:rsidP="00E12256">
            <w:r w:rsidRPr="00414446">
              <w:t xml:space="preserve">223155 (171564) </w:t>
            </w:r>
            <w:proofErr w:type="spellStart"/>
            <w:r w:rsidRPr="00414446">
              <w:t>pg</w:t>
            </w:r>
            <w:proofErr w:type="spellEnd"/>
            <w:r w:rsidRPr="00414446">
              <w:t>/mL</w:t>
            </w:r>
          </w:p>
        </w:tc>
      </w:tr>
      <w:tr w:rsidR="00A740E0" w14:paraId="0C99BE4D" w14:textId="77777777" w:rsidTr="00A740E0">
        <w:tc>
          <w:tcPr>
            <w:tcW w:w="4247" w:type="dxa"/>
          </w:tcPr>
          <w:p w14:paraId="2D499908" w14:textId="2FD899D6" w:rsidR="00A740E0" w:rsidRPr="00414446" w:rsidRDefault="00A740E0" w:rsidP="00E12256">
            <w:proofErr w:type="spellStart"/>
            <w:proofErr w:type="gramStart"/>
            <w:r w:rsidRPr="00414446">
              <w:t>C</w:t>
            </w:r>
            <w:r w:rsidR="00414446" w:rsidRPr="00414446">
              <w:rPr>
                <w:vertAlign w:val="subscript"/>
              </w:rPr>
              <w:t>max</w:t>
            </w:r>
            <w:proofErr w:type="spellEnd"/>
            <w:r w:rsidR="00414446" w:rsidRPr="00414446">
              <w:rPr>
                <w:vertAlign w:val="subscript"/>
              </w:rPr>
              <w:t>(</w:t>
            </w:r>
            <w:proofErr w:type="gramEnd"/>
            <w:r w:rsidR="00414446" w:rsidRPr="00414446">
              <w:rPr>
                <w:vertAlign w:val="subscript"/>
              </w:rPr>
              <w:t>Injection 2)</w:t>
            </w:r>
          </w:p>
        </w:tc>
        <w:tc>
          <w:tcPr>
            <w:tcW w:w="4247" w:type="dxa"/>
          </w:tcPr>
          <w:p w14:paraId="7B8085CB" w14:textId="217D16FC" w:rsidR="00A740E0" w:rsidRPr="00414446" w:rsidRDefault="00A740E0" w:rsidP="00E12256">
            <w:r w:rsidRPr="00414446">
              <w:t xml:space="preserve">699 (968) </w:t>
            </w:r>
            <w:proofErr w:type="spellStart"/>
            <w:r w:rsidRPr="00414446">
              <w:t>pg</w:t>
            </w:r>
            <w:proofErr w:type="spellEnd"/>
            <w:r w:rsidRPr="00414446">
              <w:t>/mL</w:t>
            </w:r>
          </w:p>
        </w:tc>
      </w:tr>
      <w:tr w:rsidR="00A740E0" w14:paraId="201BB356" w14:textId="77777777" w:rsidTr="00A740E0">
        <w:tc>
          <w:tcPr>
            <w:tcW w:w="4247" w:type="dxa"/>
          </w:tcPr>
          <w:p w14:paraId="5920F213" w14:textId="46A66270" w:rsidR="00A740E0" w:rsidRPr="00414446" w:rsidRDefault="00A740E0" w:rsidP="00E12256">
            <w:r w:rsidRPr="00414446">
              <w:t>T</w:t>
            </w:r>
            <w:r w:rsidR="00414446" w:rsidRPr="00414446">
              <w:rPr>
                <w:vertAlign w:val="subscript"/>
              </w:rPr>
              <w:t>max</w:t>
            </w:r>
            <w:r w:rsidR="00D85773">
              <w:rPr>
                <w:vertAlign w:val="subscript"/>
              </w:rPr>
              <w:t>0-6 hours</w:t>
            </w:r>
          </w:p>
        </w:tc>
        <w:tc>
          <w:tcPr>
            <w:tcW w:w="4247" w:type="dxa"/>
          </w:tcPr>
          <w:p w14:paraId="5FF39EB0" w14:textId="412B84C1" w:rsidR="00A740E0" w:rsidRPr="00414446" w:rsidRDefault="00A740E0" w:rsidP="00E12256">
            <w:r w:rsidRPr="00414446">
              <w:t>3.6 (1.41) h</w:t>
            </w:r>
          </w:p>
        </w:tc>
      </w:tr>
      <w:tr w:rsidR="00A740E0" w14:paraId="4CC2B4DE" w14:textId="77777777" w:rsidTr="00A740E0">
        <w:tc>
          <w:tcPr>
            <w:tcW w:w="4247" w:type="dxa"/>
          </w:tcPr>
          <w:p w14:paraId="22651334" w14:textId="490D4BC8" w:rsidR="00A740E0" w:rsidRPr="00414446" w:rsidRDefault="00A740E0" w:rsidP="00E12256">
            <w:proofErr w:type="spellStart"/>
            <w:r w:rsidRPr="00414446">
              <w:t>T</w:t>
            </w:r>
            <w:r w:rsidR="00414446" w:rsidRPr="00414446">
              <w:rPr>
                <w:vertAlign w:val="subscript"/>
              </w:rPr>
              <w:t>max</w:t>
            </w:r>
            <w:proofErr w:type="spellEnd"/>
            <w:r w:rsidR="00414446" w:rsidRPr="00414446">
              <w:rPr>
                <w:vertAlign w:val="subscript"/>
              </w:rPr>
              <w:t xml:space="preserve"> (Injection 1)</w:t>
            </w:r>
          </w:p>
        </w:tc>
        <w:tc>
          <w:tcPr>
            <w:tcW w:w="4247" w:type="dxa"/>
          </w:tcPr>
          <w:p w14:paraId="1A9E7A33" w14:textId="13CF975F" w:rsidR="00A740E0" w:rsidRPr="00414446" w:rsidRDefault="00A740E0" w:rsidP="00E12256">
            <w:r w:rsidRPr="00414446">
              <w:t>3.6 (1.41) h</w:t>
            </w:r>
          </w:p>
        </w:tc>
      </w:tr>
      <w:tr w:rsidR="00A740E0" w14:paraId="2238190E" w14:textId="77777777" w:rsidTr="00A740E0">
        <w:tc>
          <w:tcPr>
            <w:tcW w:w="4247" w:type="dxa"/>
          </w:tcPr>
          <w:p w14:paraId="349000E8" w14:textId="13ABFE99" w:rsidR="00A740E0" w:rsidRPr="00414446" w:rsidRDefault="00A740E0" w:rsidP="00E12256">
            <w:proofErr w:type="spellStart"/>
            <w:proofErr w:type="gramStart"/>
            <w:r w:rsidRPr="00414446">
              <w:t>T</w:t>
            </w:r>
            <w:r w:rsidR="00414446" w:rsidRPr="00414446">
              <w:rPr>
                <w:vertAlign w:val="subscript"/>
              </w:rPr>
              <w:t>max</w:t>
            </w:r>
            <w:proofErr w:type="spellEnd"/>
            <w:r w:rsidR="00414446" w:rsidRPr="00414446">
              <w:rPr>
                <w:vertAlign w:val="subscript"/>
              </w:rPr>
              <w:t>(</w:t>
            </w:r>
            <w:proofErr w:type="gramEnd"/>
            <w:r w:rsidR="00414446" w:rsidRPr="00414446">
              <w:rPr>
                <w:vertAlign w:val="subscript"/>
              </w:rPr>
              <w:t>Injection 2)</w:t>
            </w:r>
          </w:p>
        </w:tc>
        <w:tc>
          <w:tcPr>
            <w:tcW w:w="4247" w:type="dxa"/>
          </w:tcPr>
          <w:p w14:paraId="137FA05F" w14:textId="64EE51F7" w:rsidR="00A740E0" w:rsidRPr="00414446" w:rsidRDefault="00A740E0" w:rsidP="00E12256">
            <w:r w:rsidRPr="00414446">
              <w:t>248 (68) day</w:t>
            </w:r>
          </w:p>
        </w:tc>
      </w:tr>
    </w:tbl>
    <w:p w14:paraId="0B8F64F2" w14:textId="69B65C2F" w:rsidR="00D85773" w:rsidRDefault="00D85773" w:rsidP="007E29BD">
      <w:pPr>
        <w:pStyle w:val="TableDescription"/>
      </w:pPr>
      <w:r>
        <w:t>Abbreviations: AUC = area under the concentration-time curve); AUC0-</w:t>
      </w:r>
      <w:proofErr w:type="gramStart"/>
      <w:r>
        <w:t>inf,observed</w:t>
      </w:r>
      <w:proofErr w:type="gramEnd"/>
      <w:r>
        <w:t xml:space="preserve"> = </w:t>
      </w:r>
      <w:r w:rsidRPr="00D85773">
        <w:t>observed area under the concentration-time curve extrapolated from time zero to infinity</w:t>
      </w:r>
      <w:r>
        <w:t xml:space="preserve">; </w:t>
      </w:r>
      <w:proofErr w:type="spellStart"/>
      <w:r>
        <w:t>Cmax</w:t>
      </w:r>
      <w:proofErr w:type="spellEnd"/>
      <w:r>
        <w:t xml:space="preserve"> = maximum concentration; </w:t>
      </w:r>
      <w:proofErr w:type="spellStart"/>
      <w:r>
        <w:t>Tmax</w:t>
      </w:r>
      <w:proofErr w:type="spellEnd"/>
      <w:r>
        <w:t xml:space="preserve"> = time of maximum concentration.</w:t>
      </w:r>
    </w:p>
    <w:p w14:paraId="627DD760" w14:textId="77777777" w:rsidR="007E29BD" w:rsidRDefault="007E29BD" w:rsidP="007E29BD">
      <w:pPr>
        <w:pStyle w:val="Heading6"/>
      </w:pPr>
      <w:r>
        <w:t>Distribution</w:t>
      </w:r>
    </w:p>
    <w:p w14:paraId="10BC5937" w14:textId="5DED8489" w:rsidR="007E29BD" w:rsidRDefault="007E29BD" w:rsidP="007E29BD">
      <w:r>
        <w:t>The mean steady state volume of distribution of leuprorelin following intravenous bolus administration to healthy male volunteers was 27 L.</w:t>
      </w:r>
    </w:p>
    <w:p w14:paraId="24B75691" w14:textId="3109766A" w:rsidR="007E29BD" w:rsidRDefault="007E29BD" w:rsidP="007E29BD">
      <w:r>
        <w:t xml:space="preserve">The distribution of leuprorelin following </w:t>
      </w:r>
      <w:proofErr w:type="spellStart"/>
      <w:r>
        <w:t>Eligard</w:t>
      </w:r>
      <w:proofErr w:type="spellEnd"/>
      <w:r>
        <w:t xml:space="preserve"> administration was not evaluated in paediatric patients.</w:t>
      </w:r>
    </w:p>
    <w:p w14:paraId="080574F6" w14:textId="37FA0A03" w:rsidR="007E29BD" w:rsidRDefault="007E29BD" w:rsidP="007E29BD">
      <w:r w:rsidRPr="00420928">
        <w:rPr>
          <w:i/>
        </w:rPr>
        <w:t>In vitro</w:t>
      </w:r>
      <w:r>
        <w:t xml:space="preserve"> binding to human plasma proteins ranged from 43% to 49%.</w:t>
      </w:r>
    </w:p>
    <w:p w14:paraId="0143E3E9" w14:textId="77777777" w:rsidR="007E29BD" w:rsidRDefault="007E29BD" w:rsidP="007E29BD">
      <w:pPr>
        <w:pStyle w:val="Heading6"/>
      </w:pPr>
      <w:r>
        <w:t>Metabolism</w:t>
      </w:r>
    </w:p>
    <w:p w14:paraId="248B0191" w14:textId="2C041B5A" w:rsidR="007E29BD" w:rsidRDefault="007E29BD" w:rsidP="007E29BD">
      <w:r>
        <w:t>In healthy male volunteers, a 1 mg bolus of leuprorelin administered intravenously revealed that the mean systemic clearance was 7.6 L/h, with a terminal elimination half</w:t>
      </w:r>
      <w:r w:rsidR="00D85773">
        <w:noBreakHyphen/>
      </w:r>
      <w:r>
        <w:t xml:space="preserve">life of approximately three hours based on a </w:t>
      </w:r>
      <w:proofErr w:type="gramStart"/>
      <w:r>
        <w:t>two compartment</w:t>
      </w:r>
      <w:proofErr w:type="gramEnd"/>
      <w:r>
        <w:t xml:space="preserve"> model.</w:t>
      </w:r>
    </w:p>
    <w:p w14:paraId="03C7D9B1" w14:textId="165744B3" w:rsidR="007E29BD" w:rsidRDefault="007E29BD" w:rsidP="007E29BD">
      <w:r>
        <w:t xml:space="preserve">Drug metabolism studies were not conducted with </w:t>
      </w:r>
      <w:proofErr w:type="spellStart"/>
      <w:r>
        <w:t>Eligard</w:t>
      </w:r>
      <w:proofErr w:type="spellEnd"/>
      <w:r>
        <w:t xml:space="preserve">. Upon administration with </w:t>
      </w:r>
      <w:r w:rsidR="00D85773">
        <w:t xml:space="preserve">a </w:t>
      </w:r>
      <w:proofErr w:type="gramStart"/>
      <w:r>
        <w:t>different leuprorelin acetate formulations</w:t>
      </w:r>
      <w:proofErr w:type="gramEnd"/>
      <w:r>
        <w:t xml:space="preserve">, the major metabolite </w:t>
      </w:r>
      <w:r w:rsidR="00D85773">
        <w:t xml:space="preserve">(metabolite M1) </w:t>
      </w:r>
      <w:r>
        <w:t>of leuprorelin acetate is a pentapeptide</w:t>
      </w:r>
      <w:r w:rsidR="00D85773">
        <w:t>.</w:t>
      </w:r>
    </w:p>
    <w:p w14:paraId="0E5EF467" w14:textId="444E5ED2" w:rsidR="007E29BD" w:rsidRDefault="007E29BD" w:rsidP="007E29BD">
      <w:r>
        <w:t>Clearance was not determined in paediatric patients</w:t>
      </w:r>
    </w:p>
    <w:p w14:paraId="0D987822" w14:textId="4CD4FF9A" w:rsidR="007E29BD" w:rsidRDefault="007E29BD" w:rsidP="007E29BD">
      <w:pPr>
        <w:pStyle w:val="Heading6"/>
      </w:pPr>
      <w:r w:rsidRPr="007E29BD">
        <w:t>Excretion</w:t>
      </w:r>
    </w:p>
    <w:p w14:paraId="225E8FE3" w14:textId="0A98E2F5" w:rsidR="007E29BD" w:rsidRDefault="007E29BD" w:rsidP="007E29BD">
      <w:r w:rsidRPr="007E29BD">
        <w:t xml:space="preserve">Drug excretion studies were not conducted with </w:t>
      </w:r>
      <w:proofErr w:type="spellStart"/>
      <w:r w:rsidRPr="007E29BD">
        <w:t>E</w:t>
      </w:r>
      <w:r>
        <w:t>ligard</w:t>
      </w:r>
      <w:proofErr w:type="spellEnd"/>
      <w:r w:rsidRPr="007E29BD">
        <w:t>.</w:t>
      </w:r>
    </w:p>
    <w:p w14:paraId="788B8354" w14:textId="18D6CD50" w:rsidR="007E29BD" w:rsidRDefault="007E29BD" w:rsidP="007E29BD">
      <w:pPr>
        <w:pStyle w:val="Heading5"/>
      </w:pPr>
      <w:r w:rsidRPr="007E29BD">
        <w:lastRenderedPageBreak/>
        <w:t>Pharmacodynamics</w:t>
      </w:r>
    </w:p>
    <w:p w14:paraId="0EF8C3AA" w14:textId="2D15848C" w:rsidR="007E29BD" w:rsidRDefault="007E29BD" w:rsidP="007E29BD">
      <w:r>
        <w:t xml:space="preserve">In Study TOL2581A following administration of </w:t>
      </w:r>
      <w:r w:rsidR="00B40A4F">
        <w:t>leuprorelin</w:t>
      </w:r>
      <w:r>
        <w:t xml:space="preserve"> acetate 45 mg modified release formulation</w:t>
      </w:r>
      <w:r w:rsidR="00C86B61">
        <w:t>,</w:t>
      </w:r>
      <w:r>
        <w:t xml:space="preserve"> serum LH concentrations were suppressed from Week 4 to Week 48 (</w:t>
      </w:r>
      <w:r>
        <w:fldChar w:fldCharType="begin"/>
      </w:r>
      <w:r>
        <w:instrText xml:space="preserve"> REF _Ref124518190 \h </w:instrText>
      </w:r>
      <w:r>
        <w:fldChar w:fldCharType="separate"/>
      </w:r>
      <w:r w:rsidR="00CA69CF">
        <w:t xml:space="preserve">Figure </w:t>
      </w:r>
      <w:r w:rsidR="00CA69CF">
        <w:rPr>
          <w:noProof/>
        </w:rPr>
        <w:t>3</w:t>
      </w:r>
      <w:r>
        <w:fldChar w:fldCharType="end"/>
      </w:r>
      <w:r>
        <w:t xml:space="preserve">). Mean (SD) basal LH concentrations were 3.48 (9.59) IU/L </w:t>
      </w:r>
      <w:r w:rsidR="00B40A4F">
        <w:t>at Baseline</w:t>
      </w:r>
      <w:r>
        <w:t xml:space="preserve">, 0.57 </w:t>
      </w:r>
      <w:r w:rsidR="00C86B61">
        <w:t xml:space="preserve">IU/L </w:t>
      </w:r>
      <w:r>
        <w:t xml:space="preserve">(0.52) at Week 24 and 0.60 </w:t>
      </w:r>
      <w:r w:rsidR="00C86B61">
        <w:t xml:space="preserve">IU/L </w:t>
      </w:r>
      <w:r>
        <w:t>(0.69) at Week 48.</w:t>
      </w:r>
    </w:p>
    <w:p w14:paraId="038F31EF" w14:textId="2CF332A3" w:rsidR="007E29BD" w:rsidRPr="007E29BD" w:rsidRDefault="007E29BD" w:rsidP="007E29BD">
      <w:r>
        <w:t xml:space="preserve">There were reductions in </w:t>
      </w:r>
      <w:proofErr w:type="spellStart"/>
      <w:r>
        <w:t>estradiol</w:t>
      </w:r>
      <w:proofErr w:type="spellEnd"/>
      <w:r>
        <w:t xml:space="preserve">, testosterone and FSH that were maintained from Week 4 through to Week 48. Basal FSH concentrations were approximately halved </w:t>
      </w:r>
      <w:r w:rsidR="00B40A4F">
        <w:t>from Baseline</w:t>
      </w:r>
      <w:r>
        <w:t xml:space="preserve"> levels from Week 4 through to Week 48.</w:t>
      </w:r>
      <w:r w:rsidR="00820B67">
        <w:t xml:space="preserve"> </w:t>
      </w:r>
      <w:r>
        <w:t xml:space="preserve">Basal </w:t>
      </w:r>
      <w:proofErr w:type="spellStart"/>
      <w:r>
        <w:t>estradiol</w:t>
      </w:r>
      <w:proofErr w:type="spellEnd"/>
      <w:r>
        <w:t xml:space="preserve"> concentrations were also halved, and basal testosterone decreased by 90%.</w:t>
      </w:r>
    </w:p>
    <w:p w14:paraId="1ADF6D75" w14:textId="5F3E194C" w:rsidR="007E29BD" w:rsidRDefault="007E29BD" w:rsidP="007E29BD">
      <w:pPr>
        <w:pStyle w:val="FigureTitle"/>
      </w:pPr>
      <w:bookmarkStart w:id="43" w:name="_Ref124518190"/>
      <w:bookmarkStart w:id="44" w:name="_Ref124518185"/>
      <w:r>
        <w:t xml:space="preserve">Figure </w:t>
      </w:r>
      <w:fldSimple w:instr=" SEQ Figure \* ARABIC ">
        <w:r w:rsidR="00CA69CF">
          <w:rPr>
            <w:noProof/>
          </w:rPr>
          <w:t>3</w:t>
        </w:r>
      </w:fldSimple>
      <w:bookmarkEnd w:id="43"/>
      <w:r>
        <w:t xml:space="preserve">: </w:t>
      </w:r>
      <w:r w:rsidRPr="00BC7902">
        <w:t xml:space="preserve">Plot of </w:t>
      </w:r>
      <w:r>
        <w:t>m</w:t>
      </w:r>
      <w:r w:rsidRPr="00BC7902">
        <w:t xml:space="preserve">ean </w:t>
      </w:r>
      <w:r>
        <w:t>b</w:t>
      </w:r>
      <w:r w:rsidRPr="00BC7902">
        <w:t xml:space="preserve">asal </w:t>
      </w:r>
      <w:r>
        <w:t>l</w:t>
      </w:r>
      <w:r w:rsidRPr="00BC7902">
        <w:t>uteini</w:t>
      </w:r>
      <w:r w:rsidR="00BA00CB">
        <w:t>s</w:t>
      </w:r>
      <w:r w:rsidRPr="00BC7902">
        <w:t xml:space="preserve">ing </w:t>
      </w:r>
      <w:r>
        <w:t>h</w:t>
      </w:r>
      <w:r w:rsidRPr="00BC7902">
        <w:t xml:space="preserve">ormone </w:t>
      </w:r>
      <w:r>
        <w:t>o</w:t>
      </w:r>
      <w:r w:rsidRPr="00BC7902">
        <w:t xml:space="preserve">ver </w:t>
      </w:r>
      <w:r>
        <w:t>t</w:t>
      </w:r>
      <w:r w:rsidRPr="00BC7902">
        <w:t>ime</w:t>
      </w:r>
      <w:r>
        <w:t xml:space="preserve"> for the revised inten</w:t>
      </w:r>
      <w:r w:rsidR="00BA00CB">
        <w:t xml:space="preserve">tion </w:t>
      </w:r>
      <w:r>
        <w:t>to treat p</w:t>
      </w:r>
      <w:r w:rsidRPr="00BC7902">
        <w:t>opulation</w:t>
      </w:r>
      <w:bookmarkEnd w:id="44"/>
    </w:p>
    <w:p w14:paraId="59F4F6BF" w14:textId="275936A5" w:rsidR="007E29BD" w:rsidRDefault="007E29BD" w:rsidP="007E29BD">
      <w:pPr>
        <w:pStyle w:val="FigureTitle"/>
        <w:rPr>
          <w:noProof/>
        </w:rPr>
      </w:pPr>
      <w:r>
        <w:rPr>
          <w:noProof/>
          <w:lang w:val="en-GB" w:eastAsia="en-GB"/>
        </w:rPr>
        <w:drawing>
          <wp:inline distT="0" distB="0" distL="0" distR="0" wp14:anchorId="089D140B" wp14:editId="20FB8FF7">
            <wp:extent cx="5400040" cy="2966720"/>
            <wp:effectExtent l="0" t="0" r="0" b="5080"/>
            <wp:docPr id="4" name="Picture 4" descr="This figure is a plot of mean basal luteinising hormone over time for the revised intention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figure is a plot of mean basal luteinising hormone over time for the revised intention to treat population."/>
                    <pic:cNvPicPr/>
                  </pic:nvPicPr>
                  <pic:blipFill>
                    <a:blip r:embed="rId20"/>
                    <a:stretch>
                      <a:fillRect/>
                    </a:stretch>
                  </pic:blipFill>
                  <pic:spPr>
                    <a:xfrm>
                      <a:off x="0" y="0"/>
                      <a:ext cx="5400040" cy="2966720"/>
                    </a:xfrm>
                    <a:prstGeom prst="rect">
                      <a:avLst/>
                    </a:prstGeom>
                  </pic:spPr>
                </pic:pic>
              </a:graphicData>
            </a:graphic>
          </wp:inline>
        </w:drawing>
      </w:r>
    </w:p>
    <w:p w14:paraId="499B814A" w14:textId="254D734B" w:rsidR="00332704" w:rsidRDefault="00332704" w:rsidP="007E29BD">
      <w:pPr>
        <w:pStyle w:val="FigureDescription"/>
        <w:rPr>
          <w:noProof/>
        </w:rPr>
      </w:pPr>
      <w:r>
        <w:rPr>
          <w:noProof/>
        </w:rPr>
        <w:t>Abbreviations: SD = standard deviation.</w:t>
      </w:r>
    </w:p>
    <w:p w14:paraId="2492221F" w14:textId="2E212BD6" w:rsidR="007E29BD" w:rsidRDefault="007E29BD" w:rsidP="007E29BD">
      <w:pPr>
        <w:pStyle w:val="FigureDescription"/>
        <w:rPr>
          <w:noProof/>
        </w:rPr>
      </w:pPr>
      <w:r>
        <w:rPr>
          <w:noProof/>
        </w:rPr>
        <w:t xml:space="preserve">Note: </w:t>
      </w:r>
      <w:r w:rsidRPr="007E29BD">
        <w:rPr>
          <w:noProof/>
        </w:rPr>
        <w:t>Subjects may have had more than one sample done per scheduled visit.</w:t>
      </w:r>
    </w:p>
    <w:p w14:paraId="42E32291" w14:textId="2F521AEB" w:rsidR="007E29BD" w:rsidRDefault="00C7209D" w:rsidP="00C7209D">
      <w:pPr>
        <w:pStyle w:val="Heading4"/>
      </w:pPr>
      <w:r>
        <w:t>Efficacy</w:t>
      </w:r>
    </w:p>
    <w:p w14:paraId="7C4C4A75" w14:textId="3D2EB023" w:rsidR="007E29BD" w:rsidRDefault="00C7209D" w:rsidP="00C7209D">
      <w:r w:rsidRPr="00C7209D">
        <w:t>There were no dose</w:t>
      </w:r>
      <w:r>
        <w:t xml:space="preserve"> </w:t>
      </w:r>
      <w:r w:rsidRPr="00C7209D">
        <w:t>ranging studies.</w:t>
      </w:r>
      <w:r w:rsidR="00820B67">
        <w:t xml:space="preserve"> </w:t>
      </w:r>
      <w:r w:rsidRPr="00C7209D">
        <w:t xml:space="preserve">However, the </w:t>
      </w:r>
      <w:r>
        <w:t xml:space="preserve">PK </w:t>
      </w:r>
      <w:r w:rsidRPr="00C7209D">
        <w:t xml:space="preserve">and </w:t>
      </w:r>
      <w:r>
        <w:t>pharmacodynamic (PD)</w:t>
      </w:r>
      <w:r w:rsidRPr="00C7209D">
        <w:t xml:space="preserve"> data indicate sufficient suppression of pituitary gonadotropin secretion and suppression of </w:t>
      </w:r>
      <w:proofErr w:type="spellStart"/>
      <w:r w:rsidR="00057EE8" w:rsidRPr="00057EE8">
        <w:t>estradiol</w:t>
      </w:r>
      <w:proofErr w:type="spellEnd"/>
      <w:r w:rsidRPr="00C7209D">
        <w:t xml:space="preserve"> and testosterone secretion at the proposed dosage.</w:t>
      </w:r>
      <w:r w:rsidR="00820B67">
        <w:t xml:space="preserve"> </w:t>
      </w:r>
      <w:r w:rsidRPr="00C7209D">
        <w:t xml:space="preserve">The data also indicate </w:t>
      </w:r>
      <w:r w:rsidR="00873FAF">
        <w:t xml:space="preserve">an </w:t>
      </w:r>
      <w:r w:rsidRPr="00C7209D">
        <w:t>acceptable onset and time</w:t>
      </w:r>
      <w:r>
        <w:t xml:space="preserve"> </w:t>
      </w:r>
      <w:r w:rsidRPr="00C7209D">
        <w:t xml:space="preserve">course of effect with the proposed dosage. The dose was selected to provide a similar exposure to leuprorelin as </w:t>
      </w:r>
      <w:r w:rsidR="00873FAF">
        <w:t xml:space="preserve">is provided with the </w:t>
      </w:r>
      <w:r w:rsidRPr="00C7209D">
        <w:t>currently available treatment for</w:t>
      </w:r>
      <w:r w:rsidR="004A433E">
        <w:t xml:space="preserve"> </w:t>
      </w:r>
      <w:r w:rsidR="00873FAF">
        <w:t>central precocious puberty</w:t>
      </w:r>
      <w:r w:rsidR="00873FAF" w:rsidRPr="00C7209D" w:rsidDel="00873FAF">
        <w:t xml:space="preserve"> </w:t>
      </w:r>
      <w:r w:rsidR="00873FAF">
        <w:t xml:space="preserve">(that is, </w:t>
      </w:r>
      <w:proofErr w:type="spellStart"/>
      <w:r w:rsidR="00873FAF">
        <w:t>Lucrin</w:t>
      </w:r>
      <w:proofErr w:type="spellEnd"/>
      <w:r w:rsidR="00873FAF">
        <w:t xml:space="preserve"> Depot Paediatric leuprorelin acetate 30 mg powder for injection, 3 month administration);</w:t>
      </w:r>
      <w:r w:rsidR="00873FAF" w:rsidRPr="00420928">
        <w:rPr>
          <w:vertAlign w:val="superscript"/>
        </w:rPr>
        <w:fldChar w:fldCharType="begin"/>
      </w:r>
      <w:r w:rsidR="00873FAF" w:rsidRPr="00420928">
        <w:rPr>
          <w:vertAlign w:val="superscript"/>
        </w:rPr>
        <w:instrText xml:space="preserve"> NOTEREF _Ref128634044 \h </w:instrText>
      </w:r>
      <w:r w:rsidR="00873FAF">
        <w:rPr>
          <w:vertAlign w:val="superscript"/>
        </w:rPr>
        <w:instrText xml:space="preserve"> \* MERGEFORMAT </w:instrText>
      </w:r>
      <w:r w:rsidR="00873FAF" w:rsidRPr="00420928">
        <w:rPr>
          <w:vertAlign w:val="superscript"/>
        </w:rPr>
      </w:r>
      <w:r w:rsidR="00873FAF" w:rsidRPr="00420928">
        <w:rPr>
          <w:vertAlign w:val="superscript"/>
        </w:rPr>
        <w:fldChar w:fldCharType="separate"/>
      </w:r>
      <w:r w:rsidR="00CA69CF">
        <w:rPr>
          <w:vertAlign w:val="superscript"/>
        </w:rPr>
        <w:t>6</w:t>
      </w:r>
      <w:r w:rsidR="00873FAF" w:rsidRPr="00420928">
        <w:rPr>
          <w:vertAlign w:val="superscript"/>
        </w:rPr>
        <w:fldChar w:fldCharType="end"/>
      </w:r>
      <w:r w:rsidRPr="00C7209D">
        <w:t xml:space="preserve"> with the additional benefit of a prolonged dosing interval of </w:t>
      </w:r>
      <w:r>
        <w:t>six</w:t>
      </w:r>
      <w:r w:rsidRPr="00C7209D">
        <w:t xml:space="preserve"> months.</w:t>
      </w:r>
      <w:r w:rsidR="00820B67">
        <w:t xml:space="preserve"> </w:t>
      </w:r>
      <w:r w:rsidRPr="00C7209D">
        <w:t xml:space="preserve">The prolonged dosing interval was chosen because of the increased acceptability of less frequent dosing (by injections) </w:t>
      </w:r>
      <w:r w:rsidR="00873FAF">
        <w:t>in the</w:t>
      </w:r>
      <w:r w:rsidRPr="00C7209D">
        <w:t xml:space="preserve"> paediatric population. This is considered acceptable</w:t>
      </w:r>
      <w:r w:rsidR="00A90A07">
        <w:t>.</w:t>
      </w:r>
    </w:p>
    <w:p w14:paraId="6D905F39" w14:textId="77777777" w:rsidR="00C7209D" w:rsidRDefault="00C7209D" w:rsidP="00C7209D">
      <w:pPr>
        <w:pStyle w:val="Heading5"/>
      </w:pPr>
      <w:r>
        <w:t>Study TOL2581A</w:t>
      </w:r>
    </w:p>
    <w:p w14:paraId="09ECF5FC" w14:textId="3903DC10" w:rsidR="00C7209D" w:rsidRDefault="00C7209D" w:rsidP="00C7209D">
      <w:r>
        <w:t xml:space="preserve">Study TOL2581A was an open label, single arm, multicentre study of the efficacy, </w:t>
      </w:r>
      <w:r w:rsidR="006F6B25">
        <w:t>safety,</w:t>
      </w:r>
      <w:r>
        <w:t xml:space="preserve"> and PK of </w:t>
      </w:r>
      <w:r w:rsidR="00B40A4F">
        <w:t>leuprorelin</w:t>
      </w:r>
      <w:r>
        <w:t xml:space="preserve"> acetate 45 mg for injectable suspension, controlled release, in patients with central precocious puberty</w:t>
      </w:r>
      <w:r w:rsidR="00873FAF">
        <w:t xml:space="preserve"> (CCP)</w:t>
      </w:r>
      <w:r>
        <w:t>.</w:t>
      </w:r>
      <w:r w:rsidR="00820B67">
        <w:t xml:space="preserve"> </w:t>
      </w:r>
      <w:r>
        <w:t xml:space="preserve">The primary objective of the study was to determine the effectiveness of </w:t>
      </w:r>
      <w:r w:rsidR="00B40A4F">
        <w:t>leuprorelin</w:t>
      </w:r>
      <w:r>
        <w:t xml:space="preserve"> acetate for injectable suspension, 45 mg for treatment of children with CPP.</w:t>
      </w:r>
      <w:r w:rsidR="00820B67">
        <w:t xml:space="preserve"> </w:t>
      </w:r>
      <w:r>
        <w:t>The study duration was 12 months.</w:t>
      </w:r>
      <w:r w:rsidR="00820B67">
        <w:t xml:space="preserve"> </w:t>
      </w:r>
      <w:r>
        <w:t>The study was conducted at 25 sites in six countries, but not all sites successfully recruited patients</w:t>
      </w:r>
      <w:r w:rsidR="00873FAF">
        <w:t xml:space="preserve">. The </w:t>
      </w:r>
      <w:r w:rsidR="00873FAF">
        <w:lastRenderedPageBreak/>
        <w:t>countries and site were as follows:</w:t>
      </w:r>
      <w:r>
        <w:t xml:space="preserve"> Argentina (one site, 13 patients), Chile (three sites, nine patients), Canada (four sites, two patients), Mexico (two sites, seven patients), </w:t>
      </w:r>
      <w:r w:rsidR="00873FAF">
        <w:t>USA</w:t>
      </w:r>
      <w:r w:rsidR="00CC786A">
        <w:t> </w:t>
      </w:r>
      <w:r>
        <w:t>(12 sites, 31 patients) and New Zealand (three sites, two patients).</w:t>
      </w:r>
      <w:r w:rsidR="00820B67">
        <w:t xml:space="preserve"> </w:t>
      </w:r>
      <w:r>
        <w:t>The study was conducted from August 2015 to September 2018.</w:t>
      </w:r>
    </w:p>
    <w:p w14:paraId="6A2E2289" w14:textId="49F1E27C" w:rsidR="00C7209D" w:rsidRDefault="00C7209D" w:rsidP="00C7209D">
      <w:pPr>
        <w:pStyle w:val="Heading6"/>
      </w:pPr>
      <w:r>
        <w:t>Study design</w:t>
      </w:r>
    </w:p>
    <w:p w14:paraId="5F8A92C6" w14:textId="03CE9A90" w:rsidR="00CC786A" w:rsidRPr="00AC08F5" w:rsidRDefault="00CC786A" w:rsidP="00420928">
      <w:r>
        <w:t>Figure 4, shown below, summarises the design of Study TOL2581A.</w:t>
      </w:r>
    </w:p>
    <w:p w14:paraId="5D6D7971" w14:textId="51719A6E" w:rsidR="00C7209D" w:rsidRPr="00C7209D" w:rsidRDefault="00C7209D" w:rsidP="00C7209D">
      <w:pPr>
        <w:pStyle w:val="FigureTitle"/>
      </w:pPr>
      <w:r>
        <w:t xml:space="preserve">Figure </w:t>
      </w:r>
      <w:fldSimple w:instr=" SEQ Figure \* ARABIC ">
        <w:r w:rsidR="00CA69CF">
          <w:rPr>
            <w:noProof/>
          </w:rPr>
          <w:t>4</w:t>
        </w:r>
      </w:fldSimple>
      <w:r>
        <w:t xml:space="preserve">: </w:t>
      </w:r>
      <w:r w:rsidR="00873FAF">
        <w:t xml:space="preserve">Study TOL2581A </w:t>
      </w:r>
      <w:r>
        <w:t>Study design</w:t>
      </w:r>
    </w:p>
    <w:p w14:paraId="095E8526" w14:textId="03F45105" w:rsidR="00C7209D" w:rsidRDefault="00C7209D" w:rsidP="00C7209D">
      <w:r>
        <w:rPr>
          <w:noProof/>
          <w:lang w:val="en-GB" w:eastAsia="en-GB"/>
        </w:rPr>
        <w:drawing>
          <wp:inline distT="0" distB="0" distL="0" distR="0" wp14:anchorId="0D1BB11F" wp14:editId="2CC23872">
            <wp:extent cx="5400040" cy="1442085"/>
            <wp:effectExtent l="0" t="0" r="0" b="5715"/>
            <wp:docPr id="5" name="Picture 5" descr="Figure 3 shows the study design.  The screening period was conducted within 28 days before Day 1. Injections were scheduled at Initial, 6, 11 and 16 Months.  Part A of the study was from initial to 12 months.  Part B was from the third injection to Mont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shows the study design.  The screening period was conducted within 28 days before Day 1. Injections were scheduled at Initial, 6, 11 and 16 Months.  Part A of the study was from initial to 12 months.  Part B was from the third injection to Month 21."/>
                    <pic:cNvPicPr/>
                  </pic:nvPicPr>
                  <pic:blipFill>
                    <a:blip r:embed="rId21"/>
                    <a:stretch>
                      <a:fillRect/>
                    </a:stretch>
                  </pic:blipFill>
                  <pic:spPr>
                    <a:xfrm>
                      <a:off x="0" y="0"/>
                      <a:ext cx="5400040" cy="1442085"/>
                    </a:xfrm>
                    <a:prstGeom prst="rect">
                      <a:avLst/>
                    </a:prstGeom>
                  </pic:spPr>
                </pic:pic>
              </a:graphicData>
            </a:graphic>
          </wp:inline>
        </w:drawing>
      </w:r>
    </w:p>
    <w:p w14:paraId="4ED4E3E3" w14:textId="5D5DD101" w:rsidR="00C7209D" w:rsidRPr="00C7209D" w:rsidRDefault="00C7209D" w:rsidP="00C7209D">
      <w:pPr>
        <w:pStyle w:val="FigureDescription"/>
      </w:pPr>
      <w:r>
        <w:t>Note: subjects would only receive Injection #3 and #4 if Part B was conducted, based on Part A interim data.</w:t>
      </w:r>
    </w:p>
    <w:p w14:paraId="27C15060" w14:textId="60252DB2" w:rsidR="00C7209D" w:rsidRDefault="00322D16" w:rsidP="00322D16">
      <w:pPr>
        <w:pStyle w:val="Heading6"/>
      </w:pPr>
      <w:r>
        <w:t>K</w:t>
      </w:r>
      <w:r w:rsidR="00C7209D">
        <w:t>ey inclusion criteria</w:t>
      </w:r>
    </w:p>
    <w:p w14:paraId="0D56E8A6" w14:textId="0FAD6C4A" w:rsidR="008C6F1F" w:rsidRPr="008C6F1F" w:rsidRDefault="008C6F1F" w:rsidP="00420928">
      <w:r>
        <w:t>Key inclusion criteria were:</w:t>
      </w:r>
    </w:p>
    <w:p w14:paraId="11E25FE1" w14:textId="57D85799" w:rsidR="00322D16" w:rsidRPr="00B417FA" w:rsidRDefault="00322D16" w:rsidP="00322D16">
      <w:pPr>
        <w:pStyle w:val="ListBullet"/>
      </w:pPr>
      <w:r w:rsidRPr="00B417FA">
        <w:t>Females aged 2 to 8 years (inclusive</w:t>
      </w:r>
      <w:proofErr w:type="gramStart"/>
      <w:r w:rsidRPr="00B417FA">
        <w:t>)</w:t>
      </w:r>
      <w:proofErr w:type="gramEnd"/>
      <w:r w:rsidRPr="00B417FA">
        <w:t xml:space="preserve"> or males age</w:t>
      </w:r>
      <w:r w:rsidR="00A90A07">
        <w:t>d</w:t>
      </w:r>
      <w:r w:rsidRPr="00B417FA">
        <w:t xml:space="preserve"> 2 to 9 years (inclusive)</w:t>
      </w:r>
    </w:p>
    <w:p w14:paraId="3485066B" w14:textId="37C39175" w:rsidR="00322D16" w:rsidRPr="00B417FA" w:rsidRDefault="00322D16" w:rsidP="00322D16">
      <w:pPr>
        <w:pStyle w:val="ListBullet"/>
      </w:pPr>
      <w:r w:rsidRPr="00B417FA">
        <w:t>Confirmed diagnosis of CPP within 12 months of Baseline Visit (Day 0) but had not received prior GnRH agonist treatment for CPP</w:t>
      </w:r>
    </w:p>
    <w:p w14:paraId="6E53FBE1" w14:textId="645EDE9B" w:rsidR="00322D16" w:rsidRPr="00B417FA" w:rsidRDefault="00322D16" w:rsidP="00322D16">
      <w:pPr>
        <w:pStyle w:val="ListBullet"/>
      </w:pPr>
      <w:r w:rsidRPr="00B417FA">
        <w:t>Pubertal type LH response following an abbreviated</w:t>
      </w:r>
      <w:r w:rsidR="00824C3D">
        <w:t xml:space="preserve"> gonadotropin releasing hormone agonist (</w:t>
      </w:r>
      <w:proofErr w:type="spellStart"/>
      <w:r w:rsidRPr="00B417FA">
        <w:t>GnRHa</w:t>
      </w:r>
      <w:proofErr w:type="spellEnd"/>
      <w:r w:rsidR="00824C3D">
        <w:t>)</w:t>
      </w:r>
      <w:r w:rsidRPr="00B417FA">
        <w:t xml:space="preserve"> stimulation test before treatment initiation </w:t>
      </w:r>
      <w:r w:rsidR="00057EE8" w:rsidRPr="00B417FA">
        <w:t>greater than</w:t>
      </w:r>
      <w:r w:rsidRPr="00B417FA">
        <w:t xml:space="preserve"> 5 IU/L</w:t>
      </w:r>
    </w:p>
    <w:p w14:paraId="26F2CBBE" w14:textId="1B7AD57B" w:rsidR="00322D16" w:rsidRPr="00B417FA" w:rsidRDefault="00322D16" w:rsidP="00322D16">
      <w:pPr>
        <w:pStyle w:val="ListBullet"/>
      </w:pPr>
      <w:r w:rsidRPr="00B417FA">
        <w:t>Clinical evidence of puberty, defined as Tanner stage</w:t>
      </w:r>
      <w:r w:rsidR="00E01EE1">
        <w:t>,</w:t>
      </w:r>
      <w:bookmarkStart w:id="45" w:name="_Ref128636329"/>
      <w:r w:rsidR="00E01EE1">
        <w:rPr>
          <w:rStyle w:val="FootnoteReference"/>
        </w:rPr>
        <w:footnoteReference w:id="10"/>
      </w:r>
      <w:bookmarkEnd w:id="45"/>
      <w:r w:rsidRPr="00B417FA">
        <w:t xml:space="preserve"> ≥ 2 for breast development in females or testicular volume ≥ 4 mL in males</w:t>
      </w:r>
    </w:p>
    <w:p w14:paraId="4B7F0C2B" w14:textId="6F2B2B03" w:rsidR="00322D16" w:rsidRPr="00B417FA" w:rsidRDefault="00322D16" w:rsidP="00322D16">
      <w:pPr>
        <w:pStyle w:val="ListBullet"/>
      </w:pPr>
      <w:r w:rsidRPr="00B417FA">
        <w:t>Willing and able to participate in the study</w:t>
      </w:r>
    </w:p>
    <w:p w14:paraId="6402A6C9" w14:textId="0D3EDFB8" w:rsidR="00322D16" w:rsidRPr="00B417FA" w:rsidRDefault="00322D16" w:rsidP="00322D16">
      <w:pPr>
        <w:pStyle w:val="ListBullet"/>
      </w:pPr>
      <w:r w:rsidRPr="00B417FA">
        <w:t>Difference between bone age (</w:t>
      </w:r>
      <w:proofErr w:type="spellStart"/>
      <w:r w:rsidRPr="00B417FA">
        <w:t>Greulich</w:t>
      </w:r>
      <w:proofErr w:type="spellEnd"/>
      <w:r w:rsidRPr="00B417FA">
        <w:t xml:space="preserve"> and Pyle method)</w:t>
      </w:r>
      <w:r w:rsidR="008C6F1F">
        <w:t>;</w:t>
      </w:r>
      <w:bookmarkStart w:id="46" w:name="_Ref128636325"/>
      <w:r w:rsidR="008C6F1F">
        <w:rPr>
          <w:rStyle w:val="FootnoteReference"/>
        </w:rPr>
        <w:footnoteReference w:id="11"/>
      </w:r>
      <w:bookmarkEnd w:id="46"/>
      <w:r w:rsidRPr="00B417FA">
        <w:t xml:space="preserve"> and chronological age ≥ 1 year</w:t>
      </w:r>
    </w:p>
    <w:p w14:paraId="54C54CB4" w14:textId="16E31C38" w:rsidR="00322D16" w:rsidRPr="00B417FA" w:rsidRDefault="00322D16" w:rsidP="00322D16">
      <w:pPr>
        <w:pStyle w:val="ListBullet"/>
      </w:pPr>
      <w:r w:rsidRPr="00B417FA">
        <w:t xml:space="preserve">Signed </w:t>
      </w:r>
      <w:r w:rsidR="00B417FA" w:rsidRPr="00B417FA">
        <w:t xml:space="preserve">Institutional Review Board/Independent Ethics Committee </w:t>
      </w:r>
      <w:r w:rsidRPr="00B417FA">
        <w:t>approved I</w:t>
      </w:r>
      <w:r w:rsidR="00B417FA" w:rsidRPr="00B417FA">
        <w:t xml:space="preserve">nformed </w:t>
      </w:r>
      <w:r w:rsidRPr="00B417FA">
        <w:t>C</w:t>
      </w:r>
      <w:r w:rsidR="00B417FA" w:rsidRPr="00B417FA">
        <w:t xml:space="preserve">onsent </w:t>
      </w:r>
      <w:r w:rsidRPr="00B417FA">
        <w:t>F</w:t>
      </w:r>
      <w:r w:rsidR="00B417FA" w:rsidRPr="00B417FA">
        <w:t xml:space="preserve">orm </w:t>
      </w:r>
      <w:r w:rsidRPr="00B417FA">
        <w:t xml:space="preserve">by one or both parents (per </w:t>
      </w:r>
      <w:r w:rsidR="00B417FA" w:rsidRPr="00B417FA">
        <w:t xml:space="preserve">Institutional Review Board/Independent Ethics Committee </w:t>
      </w:r>
      <w:r w:rsidRPr="00B417FA">
        <w:t>requirements), by the custodial parent or by the legal guardians (if required)</w:t>
      </w:r>
    </w:p>
    <w:p w14:paraId="66A1ACE8" w14:textId="778D517C" w:rsidR="00C7209D" w:rsidRPr="00B417FA" w:rsidRDefault="00322D16" w:rsidP="00322D16">
      <w:pPr>
        <w:pStyle w:val="ListBullet"/>
      </w:pPr>
      <w:r w:rsidRPr="00B417FA">
        <w:t xml:space="preserve">Signed Assent by subjects as per </w:t>
      </w:r>
      <w:r w:rsidR="00B417FA" w:rsidRPr="00B417FA">
        <w:t xml:space="preserve">Institutional Review Board/Independent Ethics Committee </w:t>
      </w:r>
      <w:r w:rsidRPr="00B417FA">
        <w:t>requirements</w:t>
      </w:r>
    </w:p>
    <w:p w14:paraId="12A6AA78" w14:textId="77777777" w:rsidR="0010375B" w:rsidRDefault="0010375B">
      <w:pPr>
        <w:spacing w:before="0" w:after="200" w:line="0" w:lineRule="auto"/>
        <w:rPr>
          <w:rFonts w:eastAsia="Times New Roman"/>
          <w:bCs/>
          <w:i/>
          <w:szCs w:val="21"/>
        </w:rPr>
      </w:pPr>
      <w:r>
        <w:br w:type="page"/>
      </w:r>
    </w:p>
    <w:p w14:paraId="42AF0043" w14:textId="21E61454" w:rsidR="00322D16" w:rsidRDefault="00322D16" w:rsidP="00322D16">
      <w:pPr>
        <w:pStyle w:val="Heading6"/>
      </w:pPr>
      <w:r w:rsidRPr="00B417FA">
        <w:lastRenderedPageBreak/>
        <w:t>Key exclusion criteria</w:t>
      </w:r>
    </w:p>
    <w:p w14:paraId="235DCCB5" w14:textId="1D3887A5" w:rsidR="0010375B" w:rsidRPr="0010375B" w:rsidRDefault="0010375B" w:rsidP="00420928">
      <w:r>
        <w:t>Key exclusion criteria consisted of:</w:t>
      </w:r>
    </w:p>
    <w:p w14:paraId="514A6ACC" w14:textId="6E2E6BA4" w:rsidR="00322D16" w:rsidRPr="00B417FA" w:rsidRDefault="00322D16" w:rsidP="00322D16">
      <w:pPr>
        <w:pStyle w:val="ListBullet"/>
      </w:pPr>
      <w:r w:rsidRPr="00B417FA">
        <w:t>Gonadotropin</w:t>
      </w:r>
      <w:r w:rsidR="00BD4FFB">
        <w:t xml:space="preserve"> </w:t>
      </w:r>
      <w:r w:rsidRPr="00B417FA">
        <w:t>independent (peripheral) precocious puberty: extra</w:t>
      </w:r>
      <w:r w:rsidR="00BD4FFB">
        <w:t xml:space="preserve"> </w:t>
      </w:r>
      <w:r w:rsidRPr="00B417FA">
        <w:t xml:space="preserve">pituitary secretion of gonadotropins or </w:t>
      </w:r>
      <w:proofErr w:type="gramStart"/>
      <w:r w:rsidRPr="00B417FA">
        <w:t>gonadotropin</w:t>
      </w:r>
      <w:proofErr w:type="gramEnd"/>
      <w:r w:rsidR="00B417FA" w:rsidRPr="00B417FA">
        <w:t xml:space="preserve"> </w:t>
      </w:r>
      <w:r w:rsidRPr="00B417FA">
        <w:t>independent gonadal or adrenal sex steroid secretion</w:t>
      </w:r>
    </w:p>
    <w:p w14:paraId="47D5D2CC" w14:textId="58BE3EDF" w:rsidR="00322D16" w:rsidRPr="00B417FA" w:rsidRDefault="00322D16" w:rsidP="00322D16">
      <w:pPr>
        <w:pStyle w:val="ListBullet"/>
      </w:pPr>
      <w:r w:rsidRPr="00B417FA">
        <w:t>Prior or current GnRH treatment for CPP</w:t>
      </w:r>
    </w:p>
    <w:p w14:paraId="7104C6E1" w14:textId="3AA5725D" w:rsidR="00322D16" w:rsidRPr="00B417FA" w:rsidRDefault="00322D16" w:rsidP="00322D16">
      <w:pPr>
        <w:pStyle w:val="ListBullet"/>
      </w:pPr>
      <w:r w:rsidRPr="00B417FA">
        <w:t>Non-progressing isolated premature thelarche</w:t>
      </w:r>
      <w:r w:rsidR="0010375B">
        <w:t xml:space="preserve"> (that is, the appearance of breast development in girls)</w:t>
      </w:r>
    </w:p>
    <w:p w14:paraId="5F4E9FB8" w14:textId="27DDAEDD" w:rsidR="00322D16" w:rsidRPr="00B417FA" w:rsidRDefault="00322D16" w:rsidP="00322D16">
      <w:pPr>
        <w:pStyle w:val="ListBullet"/>
      </w:pPr>
      <w:r w:rsidRPr="00B417FA">
        <w:t>Presence of an unstable intracranial tumour or an intracranial tumour requiring neurosurgery or cerebral irradiation.</w:t>
      </w:r>
      <w:r w:rsidR="00820B67">
        <w:t xml:space="preserve"> </w:t>
      </w:r>
      <w:r w:rsidRPr="00B417FA">
        <w:t>Subjects with hamartomas not requiring surgery were eligible</w:t>
      </w:r>
    </w:p>
    <w:p w14:paraId="66524AF4" w14:textId="7ED6C322" w:rsidR="00322D16" w:rsidRPr="00B417FA" w:rsidRDefault="00322D16" w:rsidP="00322D16">
      <w:pPr>
        <w:pStyle w:val="ListBullet"/>
      </w:pPr>
      <w:r w:rsidRPr="00B417FA">
        <w:t xml:space="preserve">Any other condition, chronic </w:t>
      </w:r>
      <w:r w:rsidR="006F6B25" w:rsidRPr="00B417FA">
        <w:t>illness,</w:t>
      </w:r>
      <w:r w:rsidRPr="00B417FA">
        <w:t xml:space="preserve"> or treatment that, in the opinion of the </w:t>
      </w:r>
      <w:r w:rsidR="00A90A07">
        <w:t>i</w:t>
      </w:r>
      <w:r w:rsidRPr="00B417FA">
        <w:t xml:space="preserve">nvestigator, might have interfered with growth or other study endpoints </w:t>
      </w:r>
      <w:r w:rsidR="00B417FA">
        <w:t>for example</w:t>
      </w:r>
      <w:r w:rsidRPr="00B417FA">
        <w:t>, chronic steroid use (except mild topical steroids), renal failure, diabetes, moderate to severe scoliosis, previously treated intracranial tumour</w:t>
      </w:r>
    </w:p>
    <w:p w14:paraId="7E126F2B" w14:textId="3D30BFCB" w:rsidR="00322D16" w:rsidRPr="00B417FA" w:rsidRDefault="00322D16" w:rsidP="00322D16">
      <w:pPr>
        <w:pStyle w:val="ListBullet"/>
      </w:pPr>
      <w:r w:rsidRPr="00B417FA">
        <w:t>Prior or current therapy with medroxyprogesterone acetate, growth hormone or insulin-like growth factor</w:t>
      </w:r>
      <w:r w:rsidR="00B417FA" w:rsidRPr="00B417FA">
        <w:t xml:space="preserve"> </w:t>
      </w:r>
      <w:r w:rsidRPr="00B417FA">
        <w:t>1</w:t>
      </w:r>
    </w:p>
    <w:p w14:paraId="6E57D21E" w14:textId="77777777" w:rsidR="00322D16" w:rsidRPr="00B417FA" w:rsidRDefault="00322D16" w:rsidP="00322D16">
      <w:pPr>
        <w:pStyle w:val="ListBullet"/>
      </w:pPr>
      <w:r w:rsidRPr="00B417FA">
        <w:t>Major medical or psychiatric illness that could have interfered with study visits</w:t>
      </w:r>
    </w:p>
    <w:p w14:paraId="7FC43BE9" w14:textId="2BACEBF0" w:rsidR="00322D16" w:rsidRPr="00B417FA" w:rsidRDefault="00322D16" w:rsidP="00322D16">
      <w:pPr>
        <w:pStyle w:val="ListBullet"/>
      </w:pPr>
      <w:r w:rsidRPr="00B417FA">
        <w:t xml:space="preserve">Diagnosis of short stature </w:t>
      </w:r>
      <w:r w:rsidR="00B417FA" w:rsidRPr="00B417FA">
        <w:t>that is</w:t>
      </w:r>
      <w:r w:rsidRPr="00B417FA">
        <w:t>, 2.25 SD below the mean height for age</w:t>
      </w:r>
    </w:p>
    <w:p w14:paraId="263B5F2B" w14:textId="7F553A50" w:rsidR="00322D16" w:rsidRPr="00B417FA" w:rsidRDefault="00322D16" w:rsidP="00322D16">
      <w:pPr>
        <w:pStyle w:val="ListBullet"/>
      </w:pPr>
      <w:r w:rsidRPr="00B417FA">
        <w:t>Positive urine pregnancy test</w:t>
      </w:r>
      <w:r w:rsidR="0010375B">
        <w:t>.</w:t>
      </w:r>
    </w:p>
    <w:p w14:paraId="64EF0229" w14:textId="77777777" w:rsidR="00322D16" w:rsidRDefault="00322D16" w:rsidP="00322D16">
      <w:pPr>
        <w:pStyle w:val="Heading6"/>
      </w:pPr>
      <w:r>
        <w:t xml:space="preserve">Study </w:t>
      </w:r>
      <w:r w:rsidRPr="00322D16">
        <w:t>treatments</w:t>
      </w:r>
    </w:p>
    <w:p w14:paraId="765B8527" w14:textId="26007E3D" w:rsidR="00322D16" w:rsidRDefault="00322D16" w:rsidP="00420928">
      <w:r>
        <w:t>The study treatment was:</w:t>
      </w:r>
      <w:r w:rsidR="0010375B">
        <w:t xml:space="preserve"> </w:t>
      </w:r>
      <w:proofErr w:type="spellStart"/>
      <w:r w:rsidR="006D6B0F">
        <w:t>Eligard</w:t>
      </w:r>
      <w:proofErr w:type="spellEnd"/>
      <w:r w:rsidR="006D6B0F">
        <w:t xml:space="preserve"> l</w:t>
      </w:r>
      <w:r w:rsidR="00B40A4F">
        <w:t>euprorelin</w:t>
      </w:r>
      <w:r>
        <w:t xml:space="preserve"> acetate</w:t>
      </w:r>
      <w:r w:rsidR="006D6B0F">
        <w:t xml:space="preserve"> </w:t>
      </w:r>
      <w:r>
        <w:t>45 mg modified release formulation.</w:t>
      </w:r>
      <w:r w:rsidR="00820B67">
        <w:t xml:space="preserve"> </w:t>
      </w:r>
      <w:r>
        <w:t>Two doses</w:t>
      </w:r>
      <w:r w:rsidR="006D6B0F">
        <w:t xml:space="preserve"> were given,</w:t>
      </w:r>
      <w:r>
        <w:t xml:space="preserve"> the first on Day 0, and the second on Week 24.</w:t>
      </w:r>
      <w:r w:rsidR="00820B67">
        <w:t xml:space="preserve"> </w:t>
      </w:r>
      <w:r>
        <w:t>Administered as a subcutaneous injection into the abdominal area.</w:t>
      </w:r>
    </w:p>
    <w:p w14:paraId="5AEB1AA2" w14:textId="30102A45" w:rsidR="00322D16" w:rsidRDefault="00322D16" w:rsidP="00322D16">
      <w:pPr>
        <w:rPr>
          <w:highlight w:val="yellow"/>
        </w:rPr>
      </w:pPr>
      <w:r>
        <w:t>There was no comparator or placebo treatment.</w:t>
      </w:r>
    </w:p>
    <w:p w14:paraId="063D1457" w14:textId="77777777" w:rsidR="00322D16" w:rsidRDefault="00322D16" w:rsidP="00322D16">
      <w:pPr>
        <w:pStyle w:val="Heading6"/>
      </w:pPr>
      <w:r>
        <w:t>Efficacy variables and outcomes</w:t>
      </w:r>
    </w:p>
    <w:p w14:paraId="6C40974B" w14:textId="28468662" w:rsidR="00322D16" w:rsidRDefault="00322D16" w:rsidP="00322D16">
      <w:r>
        <w:t xml:space="preserve">The primary efficacy outcome variable was the percentage of subjects with serum LH concentrations </w:t>
      </w:r>
      <w:r w:rsidR="006D6B0F">
        <w:t>less than</w:t>
      </w:r>
      <w:r>
        <w:t xml:space="preserve"> 4 IU/L at 30 minutes following an abbreviated </w:t>
      </w:r>
      <w:proofErr w:type="spellStart"/>
      <w:r>
        <w:t>GnRHa</w:t>
      </w:r>
      <w:proofErr w:type="spellEnd"/>
      <w:r>
        <w:t xml:space="preserve"> stimulation test at Month 6.</w:t>
      </w:r>
    </w:p>
    <w:p w14:paraId="74DD598F" w14:textId="7225D866" w:rsidR="00322D16" w:rsidRDefault="00322D16" w:rsidP="00322D16">
      <w:r w:rsidRPr="00322D16">
        <w:t>The secondary efficacy outcome measures</w:t>
      </w:r>
      <w:r>
        <w:t xml:space="preserve"> were:</w:t>
      </w:r>
    </w:p>
    <w:p w14:paraId="48EA2BB9" w14:textId="78A9BB84" w:rsidR="00322D16" w:rsidRDefault="00322D16" w:rsidP="00322D16">
      <w:pPr>
        <w:pStyle w:val="ListBullet"/>
      </w:pPr>
      <w:r>
        <w:t xml:space="preserve">The percentage of subjects with serum LH concentrations </w:t>
      </w:r>
      <w:r w:rsidR="006D6B0F">
        <w:t>less than</w:t>
      </w:r>
      <w:r>
        <w:t xml:space="preserve"> 4 IU/L at 30</w:t>
      </w:r>
      <w:r w:rsidR="0010375B">
        <w:t> </w:t>
      </w:r>
      <w:r>
        <w:t xml:space="preserve">minutes following an abbreviated </w:t>
      </w:r>
      <w:proofErr w:type="spellStart"/>
      <w:r>
        <w:t>GnRHa</w:t>
      </w:r>
      <w:proofErr w:type="spellEnd"/>
      <w:r>
        <w:t xml:space="preserve"> </w:t>
      </w:r>
      <w:r w:rsidR="0010375B">
        <w:t>s</w:t>
      </w:r>
      <w:r>
        <w:t xml:space="preserve">timulation </w:t>
      </w:r>
      <w:r w:rsidR="0010375B">
        <w:t>t</w:t>
      </w:r>
      <w:r>
        <w:t>est for any available measurement other than the measurement constituting the primary outcome variable</w:t>
      </w:r>
    </w:p>
    <w:p w14:paraId="75CBB351" w14:textId="77777777" w:rsidR="0010375B" w:rsidRDefault="00322D16" w:rsidP="00322D16">
      <w:pPr>
        <w:pStyle w:val="ListBullet"/>
      </w:pPr>
      <w:r>
        <w:t xml:space="preserve">The percent change </w:t>
      </w:r>
      <w:r w:rsidR="00B40A4F">
        <w:t>from Baseline</w:t>
      </w:r>
      <w:r>
        <w:t xml:space="preserve"> in height at each available post-baseline measurement.</w:t>
      </w:r>
      <w:r w:rsidR="00820B67">
        <w:t xml:space="preserve"> </w:t>
      </w:r>
      <w:r>
        <w:t xml:space="preserve">Percent change was defined as </w:t>
      </w:r>
      <w:r w:rsidR="0010375B">
        <w:t>follows:</w:t>
      </w:r>
    </w:p>
    <w:p w14:paraId="5A9C3AF6" w14:textId="76D20AE0" w:rsidR="00322D16" w:rsidRDefault="00322D16" w:rsidP="00420928">
      <w:pPr>
        <w:pStyle w:val="ListBullet2"/>
      </w:pPr>
      <w:r>
        <w:t>(</w:t>
      </w:r>
      <w:proofErr w:type="gramStart"/>
      <w:r>
        <w:t>change</w:t>
      </w:r>
      <w:proofErr w:type="gramEnd"/>
      <w:r>
        <w:t xml:space="preserve"> </w:t>
      </w:r>
      <w:r w:rsidR="00B40A4F">
        <w:t>from Baseline</w:t>
      </w:r>
      <w:r w:rsidR="0010375B">
        <w:t xml:space="preserve"> </w:t>
      </w:r>
      <w:r>
        <w:t>/</w:t>
      </w:r>
      <w:r w:rsidR="0010375B">
        <w:t xml:space="preserve"> </w:t>
      </w:r>
      <w:r>
        <w:t>Baseline) x 100</w:t>
      </w:r>
    </w:p>
    <w:p w14:paraId="1592AC58" w14:textId="72F83AC5" w:rsidR="0010375B" w:rsidRDefault="00322D16" w:rsidP="00322D16">
      <w:pPr>
        <w:pStyle w:val="ListBullet"/>
      </w:pPr>
      <w:r>
        <w:t>The growth velocity of height in cm/year at each available post</w:t>
      </w:r>
      <w:r w:rsidR="0010375B">
        <w:t>-</w:t>
      </w:r>
      <w:r>
        <w:t>Baseline measurement. Growth velocity was defined for each visit as</w:t>
      </w:r>
      <w:r w:rsidR="0010375B">
        <w:t>:</w:t>
      </w:r>
    </w:p>
    <w:p w14:paraId="368ED8A4" w14:textId="6B16AE2B" w:rsidR="00322D16" w:rsidRDefault="00322D16" w:rsidP="00420928">
      <w:pPr>
        <w:pStyle w:val="ListBullet2"/>
      </w:pPr>
      <w:r>
        <w:t xml:space="preserve">change </w:t>
      </w:r>
      <w:r w:rsidR="00B40A4F">
        <w:t>from Baseline</w:t>
      </w:r>
      <w:r w:rsidR="006F6B25">
        <w:t xml:space="preserve"> </w:t>
      </w:r>
      <w:r>
        <w:t>/</w:t>
      </w:r>
      <w:r w:rsidR="006F6B25">
        <w:t xml:space="preserve"> </w:t>
      </w:r>
      <w:r w:rsidR="00AC08F5">
        <w:t>(</w:t>
      </w:r>
      <w:r>
        <w:t>number of weeks since Baseline</w:t>
      </w:r>
      <w:r w:rsidR="0010375B">
        <w:t xml:space="preserve"> </w:t>
      </w:r>
      <w:r>
        <w:t>/</w:t>
      </w:r>
      <w:r w:rsidR="0010375B">
        <w:t xml:space="preserve"> </w:t>
      </w:r>
      <w:r>
        <w:t>52</w:t>
      </w:r>
      <w:r w:rsidR="00AC08F5">
        <w:t>)</w:t>
      </w:r>
    </w:p>
    <w:p w14:paraId="2119ED49" w14:textId="4EF94FA6" w:rsidR="00322D16" w:rsidRDefault="00322D16" w:rsidP="00322D16">
      <w:pPr>
        <w:pStyle w:val="ListBullet"/>
      </w:pPr>
      <w:r>
        <w:t>The ratio of bone age at each given measurement point to chronological age at the same measurement points</w:t>
      </w:r>
    </w:p>
    <w:p w14:paraId="7AB0DDF6" w14:textId="0641360E" w:rsidR="00322D16" w:rsidRPr="00B417FA" w:rsidRDefault="00322D16" w:rsidP="00322D16">
      <w:pPr>
        <w:pStyle w:val="ListBullet"/>
      </w:pPr>
      <w:r w:rsidRPr="00B417FA">
        <w:t>Baseline to end of study stage shifts for each Tanner category</w:t>
      </w:r>
      <w:r w:rsidR="00B67046">
        <w:t>;</w:t>
      </w:r>
      <w:r w:rsidR="00B67046" w:rsidRPr="00C16CF8">
        <w:rPr>
          <w:vertAlign w:val="superscript"/>
        </w:rPr>
        <w:fldChar w:fldCharType="begin"/>
      </w:r>
      <w:r w:rsidR="00B67046" w:rsidRPr="00C16CF8">
        <w:rPr>
          <w:vertAlign w:val="superscript"/>
        </w:rPr>
        <w:instrText xml:space="preserve"> NOTEREF _Ref128636329 \h </w:instrText>
      </w:r>
      <w:r w:rsidR="00B67046">
        <w:rPr>
          <w:vertAlign w:val="superscript"/>
        </w:rPr>
        <w:instrText xml:space="preserve"> \* MERGEFORMAT </w:instrText>
      </w:r>
      <w:r w:rsidR="00B67046" w:rsidRPr="00C16CF8">
        <w:rPr>
          <w:vertAlign w:val="superscript"/>
        </w:rPr>
      </w:r>
      <w:r w:rsidR="00B67046" w:rsidRPr="00C16CF8">
        <w:rPr>
          <w:vertAlign w:val="superscript"/>
        </w:rPr>
        <w:fldChar w:fldCharType="separate"/>
      </w:r>
      <w:r w:rsidR="00CA69CF">
        <w:rPr>
          <w:vertAlign w:val="superscript"/>
        </w:rPr>
        <w:t>10</w:t>
      </w:r>
      <w:r w:rsidR="00B67046" w:rsidRPr="00C16CF8">
        <w:rPr>
          <w:vertAlign w:val="superscript"/>
        </w:rPr>
        <w:fldChar w:fldCharType="end"/>
      </w:r>
    </w:p>
    <w:p w14:paraId="2EB1C311" w14:textId="77777777" w:rsidR="0010375B" w:rsidRDefault="00322D16" w:rsidP="00322D16">
      <w:pPr>
        <w:pStyle w:val="ListBullet"/>
      </w:pPr>
      <w:r w:rsidRPr="00B417FA">
        <w:lastRenderedPageBreak/>
        <w:t xml:space="preserve">The percent change </w:t>
      </w:r>
      <w:r w:rsidR="00B40A4F">
        <w:t>from Baseline</w:t>
      </w:r>
      <w:r w:rsidRPr="00B417FA">
        <w:t xml:space="preserve"> in hormonal concentration (LH, FSH, testosterone, and </w:t>
      </w:r>
      <w:proofErr w:type="spellStart"/>
      <w:r w:rsidRPr="00B417FA">
        <w:t>estradiol</w:t>
      </w:r>
      <w:proofErr w:type="spellEnd"/>
      <w:r w:rsidRPr="00B417FA">
        <w:t>) at each available post Baseline measurement.</w:t>
      </w:r>
      <w:r w:rsidR="00820B67">
        <w:t xml:space="preserve"> </w:t>
      </w:r>
      <w:r w:rsidRPr="00B417FA">
        <w:t>Percent change was defined as</w:t>
      </w:r>
      <w:r w:rsidR="0010375B">
        <w:t>:</w:t>
      </w:r>
    </w:p>
    <w:p w14:paraId="6E401B67" w14:textId="2C65C230" w:rsidR="00322D16" w:rsidRPr="00B417FA" w:rsidRDefault="00322D16" w:rsidP="00420928">
      <w:pPr>
        <w:pStyle w:val="ListBullet2"/>
      </w:pPr>
      <w:r w:rsidRPr="00B417FA">
        <w:t>(</w:t>
      </w:r>
      <w:proofErr w:type="gramStart"/>
      <w:r w:rsidRPr="00B417FA">
        <w:t>change</w:t>
      </w:r>
      <w:proofErr w:type="gramEnd"/>
      <w:r w:rsidRPr="00B417FA">
        <w:t xml:space="preserve"> </w:t>
      </w:r>
      <w:r w:rsidR="00B40A4F">
        <w:t>from Baseline</w:t>
      </w:r>
      <w:r w:rsidR="00B67046">
        <w:t xml:space="preserve"> </w:t>
      </w:r>
      <w:r w:rsidRPr="00B417FA">
        <w:t>/</w:t>
      </w:r>
      <w:r w:rsidR="00B67046">
        <w:t xml:space="preserve"> B</w:t>
      </w:r>
      <w:r w:rsidRPr="00B417FA">
        <w:t>aseline) x 100</w:t>
      </w:r>
    </w:p>
    <w:p w14:paraId="6796685A" w14:textId="77777777" w:rsidR="00B67046" w:rsidRDefault="00322D16" w:rsidP="00322D16">
      <w:pPr>
        <w:pStyle w:val="ListBullet"/>
      </w:pPr>
      <w:r w:rsidRPr="00B417FA">
        <w:t xml:space="preserve">The percent change </w:t>
      </w:r>
      <w:r w:rsidR="00B40A4F">
        <w:t>from Baseline</w:t>
      </w:r>
      <w:r w:rsidRPr="00B417FA">
        <w:t xml:space="preserve"> in systemic </w:t>
      </w:r>
      <w:r w:rsidR="00B40A4F">
        <w:t>leuprorelin</w:t>
      </w:r>
      <w:r w:rsidRPr="00B417FA">
        <w:t xml:space="preserve"> concentration at each available post-baseline measurement.</w:t>
      </w:r>
      <w:r w:rsidR="00820B67">
        <w:t xml:space="preserve"> </w:t>
      </w:r>
      <w:r w:rsidRPr="00B417FA">
        <w:t>Percent change was defined as</w:t>
      </w:r>
      <w:r w:rsidR="00B67046">
        <w:t>:</w:t>
      </w:r>
    </w:p>
    <w:p w14:paraId="30EBBE43" w14:textId="43995E8E" w:rsidR="00322D16" w:rsidRPr="00B417FA" w:rsidRDefault="00B67046" w:rsidP="00420928">
      <w:pPr>
        <w:pStyle w:val="ListBullet2"/>
      </w:pPr>
      <w:r>
        <w:t>(</w:t>
      </w:r>
      <w:proofErr w:type="gramStart"/>
      <w:r w:rsidR="00322D16" w:rsidRPr="00B417FA">
        <w:t>change</w:t>
      </w:r>
      <w:proofErr w:type="gramEnd"/>
      <w:r w:rsidR="00322D16" w:rsidRPr="00B417FA">
        <w:t xml:space="preserve"> </w:t>
      </w:r>
      <w:r w:rsidR="00B40A4F">
        <w:t>from Baseline</w:t>
      </w:r>
      <w:r>
        <w:t xml:space="preserve"> </w:t>
      </w:r>
      <w:r w:rsidR="00322D16" w:rsidRPr="00B417FA">
        <w:t>/</w:t>
      </w:r>
      <w:r>
        <w:t xml:space="preserve"> </w:t>
      </w:r>
      <w:r w:rsidR="00B40A4F">
        <w:t>B</w:t>
      </w:r>
      <w:r w:rsidR="00322D16" w:rsidRPr="00B417FA">
        <w:t>aseline) x 100</w:t>
      </w:r>
      <w:r>
        <w:t>.</w:t>
      </w:r>
    </w:p>
    <w:p w14:paraId="5555E1B1" w14:textId="77777777" w:rsidR="00322D16" w:rsidRDefault="00322D16" w:rsidP="00322D16">
      <w:pPr>
        <w:pStyle w:val="Heading6"/>
      </w:pPr>
      <w:r>
        <w:t>Statistical methods</w:t>
      </w:r>
    </w:p>
    <w:p w14:paraId="5AC026F4" w14:textId="5547025E" w:rsidR="00322D16" w:rsidRDefault="00322D16" w:rsidP="00322D16">
      <w:r>
        <w:t xml:space="preserve">The study was open label and there was no randomisation or blinding. The sponsor states that the expected final sample size was to be between 25 and 50 subjects. Suppression to </w:t>
      </w:r>
      <w:r w:rsidR="00B417FA">
        <w:t>less than</w:t>
      </w:r>
      <w:r>
        <w:t xml:space="preserve"> 4 IU/L in 70% of the subjects </w:t>
      </w:r>
      <w:proofErr w:type="gramStart"/>
      <w:r>
        <w:t>was considered to be</w:t>
      </w:r>
      <w:proofErr w:type="gramEnd"/>
      <w:r>
        <w:t xml:space="preserve"> clinically important</w:t>
      </w:r>
      <w:r w:rsidR="00916973">
        <w:t>.</w:t>
      </w:r>
      <w:r w:rsidR="00820B67">
        <w:t xml:space="preserve"> </w:t>
      </w:r>
      <w:proofErr w:type="gramStart"/>
      <w:r>
        <w:t>Thus</w:t>
      </w:r>
      <w:proofErr w:type="gramEnd"/>
      <w:r>
        <w:t xml:space="preserve"> the sample size was thought to be adequate.</w:t>
      </w:r>
    </w:p>
    <w:p w14:paraId="18A34ED0" w14:textId="07D1D5CD" w:rsidR="00322D16" w:rsidRDefault="00322D16" w:rsidP="00322D16">
      <w:r>
        <w:t xml:space="preserve">The statistical methods were summary statistics and changes </w:t>
      </w:r>
      <w:r w:rsidR="00B40A4F">
        <w:t>from Baseline</w:t>
      </w:r>
      <w:r>
        <w:t>.</w:t>
      </w:r>
      <w:r w:rsidR="00820B67">
        <w:t xml:space="preserve"> </w:t>
      </w:r>
      <w:r w:rsidR="00B40A4F">
        <w:t>Leuprorelin</w:t>
      </w:r>
      <w:r>
        <w:t xml:space="preserve"> acetate for injectable suspension, 45 mg, was considered effective for the treatment of children with CPP if</w:t>
      </w:r>
      <w:r w:rsidR="00B417FA">
        <w:t xml:space="preserve"> greater than or equal to</w:t>
      </w:r>
      <w:r>
        <w:t xml:space="preserve"> 80% of subjects exhibited LH suppression </w:t>
      </w:r>
      <w:r w:rsidR="00B417FA">
        <w:t>less than</w:t>
      </w:r>
      <w:r>
        <w:t xml:space="preserve"> 4 IU/L at Visit 5, Week 24 (Month 6) visit.</w:t>
      </w:r>
    </w:p>
    <w:p w14:paraId="4C1331D1" w14:textId="34D9A2FA" w:rsidR="00322D16" w:rsidRDefault="00322D16" w:rsidP="00322D16">
      <w:r>
        <w:t xml:space="preserve">For calculation of mean serum concentrations and generation concentration time profiles for LH, FSH, </w:t>
      </w:r>
      <w:proofErr w:type="spellStart"/>
      <w:r>
        <w:t>estradiol</w:t>
      </w:r>
      <w:proofErr w:type="spellEnd"/>
      <w:r>
        <w:t xml:space="preserve"> and testosterone, all values below the limit of quantitation or detection were set to the lower limit for that assay.</w:t>
      </w:r>
    </w:p>
    <w:p w14:paraId="51D0D2E1" w14:textId="0274E686" w:rsidR="00322D16" w:rsidRDefault="00322D16" w:rsidP="00322D16">
      <w:r>
        <w:t xml:space="preserve">If a missing concentration datum was surrounded by non-missing values, interpolation was used in the calculation of </w:t>
      </w:r>
      <w:r w:rsidR="00B67046">
        <w:t>exposure (</w:t>
      </w:r>
      <w:r>
        <w:t>AUC</w:t>
      </w:r>
      <w:r w:rsidR="00B67046">
        <w:t>)</w:t>
      </w:r>
      <w:r>
        <w:t xml:space="preserve">, </w:t>
      </w:r>
      <w:proofErr w:type="spellStart"/>
      <w:r>
        <w:t>C</w:t>
      </w:r>
      <w:r w:rsidRPr="00322D16">
        <w:rPr>
          <w:vertAlign w:val="subscript"/>
        </w:rPr>
        <w:t>max</w:t>
      </w:r>
      <w:proofErr w:type="spellEnd"/>
      <w:r>
        <w:t xml:space="preserve"> and </w:t>
      </w:r>
      <w:proofErr w:type="spellStart"/>
      <w:r>
        <w:t>T</w:t>
      </w:r>
      <w:r w:rsidRPr="00322D16">
        <w:rPr>
          <w:vertAlign w:val="subscript"/>
        </w:rPr>
        <w:t>max</w:t>
      </w:r>
      <w:proofErr w:type="spellEnd"/>
      <w:r>
        <w:t>.</w:t>
      </w:r>
      <w:r w:rsidR="00820B67">
        <w:t xml:space="preserve"> </w:t>
      </w:r>
      <w:r>
        <w:t>Otherwise, the nearest non-missing point in time was used.</w:t>
      </w:r>
      <w:r w:rsidR="00820B67">
        <w:t xml:space="preserve"> </w:t>
      </w:r>
      <w:r>
        <w:t>If missing date and time values were evident in data not used to develop PK parameters, a missing date and time algorithm could be applied.</w:t>
      </w:r>
    </w:p>
    <w:p w14:paraId="18381A67" w14:textId="6DCD416E" w:rsidR="00322D16" w:rsidRDefault="00322D16" w:rsidP="00322D16">
      <w:pPr>
        <w:pStyle w:val="Heading6"/>
      </w:pPr>
      <w:r>
        <w:t xml:space="preserve">Study </w:t>
      </w:r>
      <w:r w:rsidR="00B67046">
        <w:t>r</w:t>
      </w:r>
      <w:r>
        <w:t>esults</w:t>
      </w:r>
    </w:p>
    <w:p w14:paraId="19110B35" w14:textId="4E007853" w:rsidR="00B67046" w:rsidRDefault="00322D16" w:rsidP="00322D16">
      <w:r>
        <w:t>There were 114 patients screened and 64 received study drug</w:t>
      </w:r>
      <w:r w:rsidR="00B67046">
        <w:t xml:space="preserve"> and</w:t>
      </w:r>
      <w:r>
        <w:t xml:space="preserve"> 50 patients who failed screening.</w:t>
      </w:r>
    </w:p>
    <w:p w14:paraId="7F388401" w14:textId="52DB42B2" w:rsidR="00B67046" w:rsidRDefault="00322D16" w:rsidP="00322D16">
      <w:r>
        <w:t xml:space="preserve">There were 62 (96.9%) treated patients who were included in the </w:t>
      </w:r>
      <w:r w:rsidR="00824C3D">
        <w:t>intention to treat (</w:t>
      </w:r>
      <w:r>
        <w:t>ITT</w:t>
      </w:r>
      <w:r w:rsidR="00824C3D">
        <w:t>)</w:t>
      </w:r>
      <w:r>
        <w:t xml:space="preserve"> population and 60 (93.8%)</w:t>
      </w:r>
      <w:r w:rsidR="00B67046">
        <w:t xml:space="preserve"> treated patients</w:t>
      </w:r>
      <w:r>
        <w:t xml:space="preserve"> completed the study.</w:t>
      </w:r>
      <w:r w:rsidR="00820B67">
        <w:t xml:space="preserve"> </w:t>
      </w:r>
      <w:r>
        <w:t xml:space="preserve">Four (6.2%) </w:t>
      </w:r>
      <w:r w:rsidR="00B67046">
        <w:t xml:space="preserve">patients </w:t>
      </w:r>
      <w:r>
        <w:t>terminated early: one for lack of efficacy, one for a change in the patient’s condition, one for a protocol deviation and one due to excessive blood collections.</w:t>
      </w:r>
    </w:p>
    <w:p w14:paraId="2A376712" w14:textId="409A847A" w:rsidR="00322D16" w:rsidRDefault="00322D16" w:rsidP="00322D16">
      <w:r>
        <w:t xml:space="preserve">No patients withdrew because of </w:t>
      </w:r>
      <w:r w:rsidR="004A433E">
        <w:t>adverse events</w:t>
      </w:r>
      <w:r>
        <w:t>.</w:t>
      </w:r>
      <w:r w:rsidR="00820B67">
        <w:t xml:space="preserve"> </w:t>
      </w:r>
      <w:r>
        <w:t xml:space="preserve">There were 43 (67.2%) patients included in the </w:t>
      </w:r>
      <w:r w:rsidR="00824C3D">
        <w:t>per protocol</w:t>
      </w:r>
      <w:r>
        <w:t xml:space="preserve"> population.</w:t>
      </w:r>
    </w:p>
    <w:p w14:paraId="7ACBE03C" w14:textId="77777777" w:rsidR="00B70E67" w:rsidRPr="00B70E67" w:rsidRDefault="00B70E67" w:rsidP="00420928">
      <w:pPr>
        <w:pStyle w:val="Heading6"/>
      </w:pPr>
      <w:r w:rsidRPr="00B70E67">
        <w:t>Baseline data</w:t>
      </w:r>
    </w:p>
    <w:p w14:paraId="7A666544" w14:textId="29492572" w:rsidR="00B70E67" w:rsidRDefault="00B70E67" w:rsidP="00B70E67">
      <w:r>
        <w:t xml:space="preserve">In the ITT population, there were 62 (96.9%) females, two (3.1%) males and the age range </w:t>
      </w:r>
      <w:proofErr w:type="gramStart"/>
      <w:r>
        <w:t>was</w:t>
      </w:r>
      <w:proofErr w:type="gramEnd"/>
      <w:r>
        <w:t xml:space="preserve"> 4 to 9 years. All patients had a pubertal </w:t>
      </w:r>
      <w:proofErr w:type="gramStart"/>
      <w:r>
        <w:t>type</w:t>
      </w:r>
      <w:proofErr w:type="gramEnd"/>
      <w:r>
        <w:t xml:space="preserve"> LH response (</w:t>
      </w:r>
      <w:r w:rsidR="00E80866">
        <w:t>greater than</w:t>
      </w:r>
      <w:r>
        <w:t xml:space="preserve"> 5 IU/L) before treatment initiation, in the abbreviated </w:t>
      </w:r>
      <w:proofErr w:type="spellStart"/>
      <w:r>
        <w:t>GnRHa</w:t>
      </w:r>
      <w:proofErr w:type="spellEnd"/>
      <w:r>
        <w:t xml:space="preserve"> stimulation test.</w:t>
      </w:r>
      <w:r w:rsidR="00820B67">
        <w:t xml:space="preserve"> </w:t>
      </w:r>
      <w:r>
        <w:t xml:space="preserve">All 62 enrolled girls had a </w:t>
      </w:r>
      <w:r w:rsidRPr="00BD4FFB">
        <w:t>Tanner stage</w:t>
      </w:r>
      <w:r w:rsidR="00B67046" w:rsidRPr="00C16CF8">
        <w:rPr>
          <w:vertAlign w:val="superscript"/>
        </w:rPr>
        <w:fldChar w:fldCharType="begin"/>
      </w:r>
      <w:r w:rsidR="00B67046" w:rsidRPr="00C16CF8">
        <w:rPr>
          <w:vertAlign w:val="superscript"/>
        </w:rPr>
        <w:instrText xml:space="preserve"> NOTEREF _Ref128636329 \h </w:instrText>
      </w:r>
      <w:r w:rsidR="00B67046">
        <w:rPr>
          <w:vertAlign w:val="superscript"/>
        </w:rPr>
        <w:instrText xml:space="preserve"> \* MERGEFORMAT </w:instrText>
      </w:r>
      <w:r w:rsidR="00B67046" w:rsidRPr="00C16CF8">
        <w:rPr>
          <w:vertAlign w:val="superscript"/>
        </w:rPr>
      </w:r>
      <w:r w:rsidR="00B67046" w:rsidRPr="00C16CF8">
        <w:rPr>
          <w:vertAlign w:val="superscript"/>
        </w:rPr>
        <w:fldChar w:fldCharType="separate"/>
      </w:r>
      <w:r w:rsidR="00CA69CF">
        <w:rPr>
          <w:vertAlign w:val="superscript"/>
        </w:rPr>
        <w:t>10</w:t>
      </w:r>
      <w:r w:rsidR="00B67046" w:rsidRPr="00C16CF8">
        <w:rPr>
          <w:vertAlign w:val="superscript"/>
        </w:rPr>
        <w:fldChar w:fldCharType="end"/>
      </w:r>
      <w:r>
        <w:t xml:space="preserve"> of </w:t>
      </w:r>
      <w:r w:rsidR="00B67046">
        <w:t>2 or higher for</w:t>
      </w:r>
      <w:r>
        <w:t xml:space="preserve"> breast development and both boys in the study had a Tanner stage of 3 for development of external genitalia </w:t>
      </w:r>
      <w:r w:rsidR="00B40A4F">
        <w:t>at Baseline</w:t>
      </w:r>
      <w:r>
        <w:t>.</w:t>
      </w:r>
      <w:r w:rsidR="00820B67">
        <w:t xml:space="preserve"> </w:t>
      </w:r>
      <w:r>
        <w:t xml:space="preserve">For one patient, the difference between bone age (using the </w:t>
      </w:r>
      <w:proofErr w:type="spellStart"/>
      <w:r>
        <w:t>Greulich</w:t>
      </w:r>
      <w:proofErr w:type="spellEnd"/>
      <w:r>
        <w:t xml:space="preserve"> and Pyle method)</w:t>
      </w:r>
      <w:r w:rsidR="00B67046">
        <w:t>;</w:t>
      </w:r>
      <w:r w:rsidR="00B67046" w:rsidRPr="00420928">
        <w:rPr>
          <w:vertAlign w:val="superscript"/>
        </w:rPr>
        <w:fldChar w:fldCharType="begin"/>
      </w:r>
      <w:r w:rsidR="00B67046" w:rsidRPr="00420928">
        <w:rPr>
          <w:vertAlign w:val="superscript"/>
        </w:rPr>
        <w:instrText xml:space="preserve"> NOTEREF _Ref128636325 \h </w:instrText>
      </w:r>
      <w:r w:rsidR="00B67046">
        <w:rPr>
          <w:vertAlign w:val="superscript"/>
        </w:rPr>
        <w:instrText xml:space="preserve"> \* MERGEFORMAT </w:instrText>
      </w:r>
      <w:r w:rsidR="00B67046" w:rsidRPr="00420928">
        <w:rPr>
          <w:vertAlign w:val="superscript"/>
        </w:rPr>
      </w:r>
      <w:r w:rsidR="00B67046" w:rsidRPr="00420928">
        <w:rPr>
          <w:vertAlign w:val="superscript"/>
        </w:rPr>
        <w:fldChar w:fldCharType="separate"/>
      </w:r>
      <w:r w:rsidR="00CA69CF">
        <w:rPr>
          <w:vertAlign w:val="superscript"/>
        </w:rPr>
        <w:t>11</w:t>
      </w:r>
      <w:r w:rsidR="00B67046" w:rsidRPr="00420928">
        <w:rPr>
          <w:vertAlign w:val="superscript"/>
        </w:rPr>
        <w:fldChar w:fldCharType="end"/>
      </w:r>
      <w:r>
        <w:t xml:space="preserve"> and chronological age was </w:t>
      </w:r>
      <w:r w:rsidR="00B417FA">
        <w:t>less than</w:t>
      </w:r>
      <w:r w:rsidR="00F876AA">
        <w:t xml:space="preserve"> one</w:t>
      </w:r>
      <w:r>
        <w:t xml:space="preserve"> year.</w:t>
      </w:r>
    </w:p>
    <w:p w14:paraId="4547CB21" w14:textId="08016EFB" w:rsidR="00B70E67" w:rsidRDefault="00B70E67" w:rsidP="00B70E67">
      <w:r>
        <w:t>There were 173 medical conditions other than CPP reported in 40 (62.5%) patients.</w:t>
      </w:r>
      <w:r w:rsidR="00820B67">
        <w:t xml:space="preserve"> </w:t>
      </w:r>
      <w:r>
        <w:t>Some of these were underlying conditions that may lead to CPP, such as characteristics of McCune Albright syndrome and central nervous system disorders.</w:t>
      </w:r>
      <w:r w:rsidR="00820B67">
        <w:t xml:space="preserve"> </w:t>
      </w:r>
      <w:r>
        <w:t>The most frequently reported ongoing medical conditions were asthma (eight patients), constipation (five</w:t>
      </w:r>
      <w:r w:rsidRPr="00B70E67">
        <w:t xml:space="preserve"> </w:t>
      </w:r>
      <w:r>
        <w:t>patients), headache (five</w:t>
      </w:r>
      <w:r w:rsidRPr="00B70E67">
        <w:t xml:space="preserve"> </w:t>
      </w:r>
      <w:r>
        <w:t>patients), seasonal allergy (five</w:t>
      </w:r>
      <w:r w:rsidRPr="00B70E67">
        <w:t xml:space="preserve"> </w:t>
      </w:r>
      <w:r>
        <w:t>patients), acne (four</w:t>
      </w:r>
      <w:r w:rsidRPr="00B70E67">
        <w:t xml:space="preserve"> </w:t>
      </w:r>
      <w:r>
        <w:t>patients) and eczema (four</w:t>
      </w:r>
      <w:r w:rsidRPr="00B70E67">
        <w:t xml:space="preserve"> </w:t>
      </w:r>
      <w:r>
        <w:t>patients).</w:t>
      </w:r>
    </w:p>
    <w:p w14:paraId="08E26011" w14:textId="503CEFC2" w:rsidR="00B70E67" w:rsidRDefault="00B70E67" w:rsidP="00B70E67">
      <w:r>
        <w:t>Study treatment was administered by study staff, and therefore supervised.</w:t>
      </w:r>
    </w:p>
    <w:p w14:paraId="5ABA6685" w14:textId="77777777" w:rsidR="00B70E67" w:rsidRPr="00B70E67" w:rsidRDefault="00B70E67" w:rsidP="00420928">
      <w:pPr>
        <w:pStyle w:val="Heading6"/>
      </w:pPr>
      <w:r w:rsidRPr="00B70E67">
        <w:lastRenderedPageBreak/>
        <w:t>Primary efficacy outcome</w:t>
      </w:r>
    </w:p>
    <w:p w14:paraId="3BFBD34F" w14:textId="260DA6FC" w:rsidR="00B70E67" w:rsidRDefault="00B70E67" w:rsidP="00B70E67">
      <w:r>
        <w:t xml:space="preserve">There were 62 patients in the ITT population at the </w:t>
      </w:r>
      <w:proofErr w:type="gramStart"/>
      <w:r w:rsidR="00F876AA">
        <w:t>six</w:t>
      </w:r>
      <w:r>
        <w:t xml:space="preserve"> month</w:t>
      </w:r>
      <w:proofErr w:type="gramEnd"/>
      <w:r>
        <w:t xml:space="preserve"> visit, of whom 54 responded (</w:t>
      </w:r>
      <w:r w:rsidR="00083745">
        <w:t xml:space="preserve">see </w:t>
      </w:r>
      <w:r w:rsidR="004D43E0">
        <w:fldChar w:fldCharType="begin"/>
      </w:r>
      <w:r w:rsidR="004D43E0">
        <w:instrText xml:space="preserve"> REF _Ref124520264 \h </w:instrText>
      </w:r>
      <w:r w:rsidR="004D43E0">
        <w:fldChar w:fldCharType="separate"/>
      </w:r>
      <w:r w:rsidR="00CA69CF">
        <w:t xml:space="preserve">Table </w:t>
      </w:r>
      <w:r w:rsidR="00CA69CF">
        <w:rPr>
          <w:noProof/>
        </w:rPr>
        <w:t>3</w:t>
      </w:r>
      <w:r w:rsidR="004D43E0">
        <w:fldChar w:fldCharType="end"/>
      </w:r>
      <w:r w:rsidR="00083745">
        <w:t>,</w:t>
      </w:r>
      <w:r w:rsidR="004D43E0">
        <w:t xml:space="preserve"> </w:t>
      </w:r>
      <w:r>
        <w:t>below).</w:t>
      </w:r>
      <w:r w:rsidR="00820B67">
        <w:t xml:space="preserve"> </w:t>
      </w:r>
      <w:r>
        <w:t>The success rate was 87.1%.</w:t>
      </w:r>
      <w:r w:rsidR="00820B67">
        <w:t xml:space="preserve"> </w:t>
      </w:r>
      <w:r>
        <w:t xml:space="preserve">In the </w:t>
      </w:r>
      <w:r w:rsidR="00824C3D">
        <w:t>per protocol</w:t>
      </w:r>
      <w:r>
        <w:t xml:space="preserve"> population, 37 of 43</w:t>
      </w:r>
      <w:r w:rsidR="00083745">
        <w:t xml:space="preserve"> patients </w:t>
      </w:r>
      <w:r>
        <w:t>responded</w:t>
      </w:r>
      <w:r w:rsidR="00083745">
        <w:t xml:space="preserve"> to treatment</w:t>
      </w:r>
      <w:r>
        <w:t>; the success rate was 86.0%.</w:t>
      </w:r>
    </w:p>
    <w:p w14:paraId="4CC6BF51" w14:textId="5E0A2EB9" w:rsidR="00B70E67" w:rsidRDefault="00B70E67" w:rsidP="00B70E67">
      <w:r>
        <w:t>At Week 48, 50 (86.2%) of 58 patients in the ITT population had responded to treatment.</w:t>
      </w:r>
    </w:p>
    <w:p w14:paraId="2A171434" w14:textId="36B86464" w:rsidR="00B70E67" w:rsidRDefault="00B70E67" w:rsidP="00B70E67">
      <w:pPr>
        <w:pStyle w:val="TableTitle"/>
      </w:pPr>
      <w:bookmarkStart w:id="47" w:name="_Ref124520264"/>
      <w:r>
        <w:t xml:space="preserve">Table </w:t>
      </w:r>
      <w:fldSimple w:instr=" SEQ Table \* ARABIC ">
        <w:r w:rsidR="00CA69CF">
          <w:rPr>
            <w:noProof/>
          </w:rPr>
          <w:t>3</w:t>
        </w:r>
      </w:fldSimple>
      <w:bookmarkEnd w:id="47"/>
      <w:r>
        <w:t xml:space="preserve">: </w:t>
      </w:r>
      <w:r w:rsidR="00083745">
        <w:t xml:space="preserve">Study TOL2581A </w:t>
      </w:r>
      <w:r w:rsidRPr="00A20F7D">
        <w:t xml:space="preserve">Summary of </w:t>
      </w:r>
      <w:r w:rsidR="00BA00CB">
        <w:t>s</w:t>
      </w:r>
      <w:r w:rsidRPr="00A20F7D">
        <w:t xml:space="preserve">erum </w:t>
      </w:r>
      <w:r w:rsidR="00BA00CB">
        <w:t>l</w:t>
      </w:r>
      <w:r w:rsidRPr="00A20F7D">
        <w:t>uteini</w:t>
      </w:r>
      <w:r w:rsidR="00BA00CB">
        <w:t>s</w:t>
      </w:r>
      <w:r w:rsidRPr="00A20F7D">
        <w:t xml:space="preserve">ing </w:t>
      </w:r>
      <w:r w:rsidR="00BA00CB">
        <w:t>h</w:t>
      </w:r>
      <w:r w:rsidRPr="00A20F7D">
        <w:t xml:space="preserve">ormone </w:t>
      </w:r>
      <w:r w:rsidR="00BA00CB">
        <w:t>s</w:t>
      </w:r>
      <w:r w:rsidRPr="00A20F7D">
        <w:t xml:space="preserve">uppression </w:t>
      </w:r>
      <w:r w:rsidR="00BA00CB">
        <w:t>r</w:t>
      </w:r>
      <w:r w:rsidRPr="00A20F7D">
        <w:t>esponse</w:t>
      </w:r>
      <w:r w:rsidR="00BA00CB">
        <w:t xml:space="preserve"> for the intention to treat population</w:t>
      </w:r>
      <w:r>
        <w:rPr>
          <w:noProof/>
          <w:lang w:val="en-GB" w:eastAsia="en-GB"/>
        </w:rPr>
        <w:drawing>
          <wp:inline distT="0" distB="0" distL="0" distR="0" wp14:anchorId="40A94121" wp14:editId="2E76ED2E">
            <wp:extent cx="5653808" cy="962025"/>
            <wp:effectExtent l="0" t="0" r="4445" b="0"/>
            <wp:docPr id="8" name="Picture 8" descr="This table is a summary of serum luteinising hormone suppression response for the intention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table is a summary of serum luteinising hormone suppression response for the intention to treat population."/>
                    <pic:cNvPicPr/>
                  </pic:nvPicPr>
                  <pic:blipFill>
                    <a:blip r:embed="rId22"/>
                    <a:stretch>
                      <a:fillRect/>
                    </a:stretch>
                  </pic:blipFill>
                  <pic:spPr>
                    <a:xfrm>
                      <a:off x="0" y="0"/>
                      <a:ext cx="5661972" cy="963414"/>
                    </a:xfrm>
                    <a:prstGeom prst="rect">
                      <a:avLst/>
                    </a:prstGeom>
                  </pic:spPr>
                </pic:pic>
              </a:graphicData>
            </a:graphic>
          </wp:inline>
        </w:drawing>
      </w:r>
    </w:p>
    <w:p w14:paraId="701E1163" w14:textId="32D417E2" w:rsidR="00083745" w:rsidRDefault="00083745" w:rsidP="00B70E67">
      <w:pPr>
        <w:pStyle w:val="TableDescription"/>
      </w:pPr>
      <w:r>
        <w:t xml:space="preserve">Abbreviations: </w:t>
      </w:r>
      <w:proofErr w:type="spellStart"/>
      <w:r>
        <w:t>EoT</w:t>
      </w:r>
      <w:proofErr w:type="spellEnd"/>
      <w:r>
        <w:t xml:space="preserve"> = end of treatment; ITT = intention to treat; LH = luteinising hormone; PP = per protocol; W = </w:t>
      </w:r>
      <w:proofErr w:type="gramStart"/>
      <w:r>
        <w:t>week,.</w:t>
      </w:r>
      <w:proofErr w:type="gramEnd"/>
    </w:p>
    <w:p w14:paraId="527B8DBC" w14:textId="3965A683" w:rsidR="00B70E67" w:rsidRDefault="00083745" w:rsidP="00B70E67">
      <w:pPr>
        <w:pStyle w:val="TableDescription"/>
      </w:pPr>
      <w:r>
        <w:t>Asterisk (</w:t>
      </w:r>
      <w:r w:rsidR="00B70E67">
        <w:t>*</w:t>
      </w:r>
      <w:r>
        <w:t>) denotes the p</w:t>
      </w:r>
      <w:r w:rsidR="00B70E67">
        <w:t xml:space="preserve">rimary </w:t>
      </w:r>
      <w:r>
        <w:t>e</w:t>
      </w:r>
      <w:r w:rsidR="00B70E67">
        <w:t>ndpoint.</w:t>
      </w:r>
    </w:p>
    <w:p w14:paraId="364D1CA5" w14:textId="0944E1EB" w:rsidR="00B70E67" w:rsidRDefault="00B70E67" w:rsidP="00B70E67">
      <w:pPr>
        <w:pStyle w:val="TableDescription"/>
      </w:pPr>
      <w:r>
        <w:t xml:space="preserve">Note: Response is defined as serum LH concentrations &lt; 4 IU/L at 30 minutes following an abbreviated </w:t>
      </w:r>
      <w:proofErr w:type="spellStart"/>
      <w:r>
        <w:t>GnRHa</w:t>
      </w:r>
      <w:proofErr w:type="spellEnd"/>
      <w:r>
        <w:t xml:space="preserve"> stimulation test. Subjects may have had more than one sample assessed per scheduled visit.</w:t>
      </w:r>
    </w:p>
    <w:p w14:paraId="25556AAE" w14:textId="38420FAB" w:rsidR="00B70E67" w:rsidRDefault="00083745" w:rsidP="00B70E67">
      <w:r>
        <w:t xml:space="preserve">For the primary efficacy </w:t>
      </w:r>
      <w:proofErr w:type="gramStart"/>
      <w:r>
        <w:t>outcome</w:t>
      </w:r>
      <w:proofErr w:type="gramEnd"/>
      <w:r>
        <w:t xml:space="preserve"> t</w:t>
      </w:r>
      <w:r w:rsidR="00B70E67" w:rsidRPr="00B70E67">
        <w:t xml:space="preserve">he sponsor has provided the </w:t>
      </w:r>
      <w:r>
        <w:t xml:space="preserve">(exact) </w:t>
      </w:r>
      <w:r w:rsidR="00B70E67" w:rsidRPr="00B70E67">
        <w:t xml:space="preserve">95% confidence intervals </w:t>
      </w:r>
      <w:r w:rsidR="006D6B0F">
        <w:t xml:space="preserve">(CI) </w:t>
      </w:r>
      <w:r>
        <w:t>as follows</w:t>
      </w:r>
      <w:r w:rsidR="00B70E67" w:rsidRPr="00B70E67">
        <w:t>:</w:t>
      </w:r>
    </w:p>
    <w:p w14:paraId="7B458E53" w14:textId="42A45C56" w:rsidR="00B70E67" w:rsidRDefault="00B70E67" w:rsidP="00B70E67">
      <w:pPr>
        <w:pStyle w:val="ListBullet"/>
      </w:pPr>
      <w:r>
        <w:t>ITT population:</w:t>
      </w:r>
    </w:p>
    <w:p w14:paraId="36720468" w14:textId="4FB0AF6F" w:rsidR="00B70E67" w:rsidRDefault="00B70E67" w:rsidP="00B70E67">
      <w:pPr>
        <w:pStyle w:val="ListBullet2"/>
      </w:pPr>
      <w:r>
        <w:t xml:space="preserve">95% CI </w:t>
      </w:r>
      <w:r w:rsidR="00083745">
        <w:t>l</w:t>
      </w:r>
      <w:r>
        <w:t xml:space="preserve">ower </w:t>
      </w:r>
      <w:r w:rsidR="00083745">
        <w:t>l</w:t>
      </w:r>
      <w:r>
        <w:t>imit: 0.7615 (76.1%)</w:t>
      </w:r>
    </w:p>
    <w:p w14:paraId="4F1FE62B" w14:textId="6CCC6582" w:rsidR="00B70E67" w:rsidRDefault="00B70E67" w:rsidP="00B70E67">
      <w:pPr>
        <w:pStyle w:val="ListBullet2"/>
      </w:pPr>
      <w:r>
        <w:t xml:space="preserve">95% CI </w:t>
      </w:r>
      <w:r w:rsidR="00083745">
        <w:t>u</w:t>
      </w:r>
      <w:r>
        <w:t xml:space="preserve">pper </w:t>
      </w:r>
      <w:r w:rsidR="00083745">
        <w:t>l</w:t>
      </w:r>
      <w:r>
        <w:t>imit: 0.9426 (94.3%)</w:t>
      </w:r>
    </w:p>
    <w:p w14:paraId="15CDD80A" w14:textId="21C866F7" w:rsidR="00B70E67" w:rsidRDefault="00083745" w:rsidP="00B70E67">
      <w:pPr>
        <w:pStyle w:val="ListBullet"/>
      </w:pPr>
      <w:r>
        <w:t>P</w:t>
      </w:r>
      <w:r w:rsidR="00824C3D">
        <w:t xml:space="preserve">er </w:t>
      </w:r>
      <w:r>
        <w:t>p</w:t>
      </w:r>
      <w:r w:rsidR="00824C3D">
        <w:t>rotocol</w:t>
      </w:r>
      <w:r w:rsidR="00B70E67">
        <w:t xml:space="preserve"> </w:t>
      </w:r>
      <w:r>
        <w:t>p</w:t>
      </w:r>
      <w:r w:rsidR="00B70E67">
        <w:t>opulation:</w:t>
      </w:r>
    </w:p>
    <w:p w14:paraId="14E5B800" w14:textId="6843F711" w:rsidR="00B70E67" w:rsidRPr="00BA00CB" w:rsidRDefault="00B70E67" w:rsidP="00B70E67">
      <w:pPr>
        <w:pStyle w:val="ListBullet2"/>
      </w:pPr>
      <w:r>
        <w:t xml:space="preserve">95% CI </w:t>
      </w:r>
      <w:r w:rsidR="00083745">
        <w:t>lower limit: 0.7207 (72.1</w:t>
      </w:r>
      <w:r w:rsidR="00083745" w:rsidRPr="00BA00CB">
        <w:t>%)</w:t>
      </w:r>
    </w:p>
    <w:p w14:paraId="25C65AB8" w14:textId="2022DA0A" w:rsidR="00B70E67" w:rsidRPr="00BA00CB" w:rsidRDefault="00083745" w:rsidP="00B70E67">
      <w:pPr>
        <w:pStyle w:val="ListBullet2"/>
      </w:pPr>
      <w:r w:rsidRPr="00BA00CB">
        <w:t xml:space="preserve">95% </w:t>
      </w:r>
      <w:r>
        <w:t>CI</w:t>
      </w:r>
      <w:r w:rsidRPr="00BA00CB">
        <w:t xml:space="preserve"> upper limit: 0.</w:t>
      </w:r>
      <w:r w:rsidR="00B70E67" w:rsidRPr="00BA00CB">
        <w:t>9470 (94.7%)</w:t>
      </w:r>
    </w:p>
    <w:p w14:paraId="34BCF924" w14:textId="6E1EA439" w:rsidR="00B70E67" w:rsidRPr="00BA00CB" w:rsidRDefault="00B70E67" w:rsidP="00420928">
      <w:pPr>
        <w:pStyle w:val="Heading6"/>
      </w:pPr>
      <w:r w:rsidRPr="00BA00CB">
        <w:t>Results for secondary efficacy outcomes</w:t>
      </w:r>
    </w:p>
    <w:p w14:paraId="288F19AB" w14:textId="67102D00" w:rsidR="00B70E67" w:rsidRDefault="00B70E67" w:rsidP="00B70E67">
      <w:r w:rsidRPr="00FF569B">
        <w:t xml:space="preserve">The percentage of subjects with serum LH concentrations </w:t>
      </w:r>
      <w:r w:rsidR="006D6B0F" w:rsidRPr="00FF569B">
        <w:t>less than</w:t>
      </w:r>
      <w:r w:rsidR="00E80866" w:rsidRPr="00FF569B">
        <w:t xml:space="preserve"> </w:t>
      </w:r>
      <w:r w:rsidRPr="00FF569B">
        <w:t xml:space="preserve">4 IU/L at 30 minutes following an abbreviated </w:t>
      </w:r>
      <w:proofErr w:type="spellStart"/>
      <w:r w:rsidRPr="00FF569B">
        <w:t>GnRHa</w:t>
      </w:r>
      <w:proofErr w:type="spellEnd"/>
      <w:r w:rsidRPr="00FF569B">
        <w:t xml:space="preserve"> Stimulation Test for any available measurement other than the measurement constituting the primary outcome variable is summarised in</w:t>
      </w:r>
      <w:r w:rsidR="00FF569B">
        <w:t xml:space="preserve"> </w:t>
      </w:r>
      <w:r w:rsidR="00FF569B">
        <w:fldChar w:fldCharType="begin"/>
      </w:r>
      <w:r w:rsidR="00FF569B">
        <w:instrText xml:space="preserve"> REF _Ref124520264 \h </w:instrText>
      </w:r>
      <w:r w:rsidR="00FF569B">
        <w:fldChar w:fldCharType="separate"/>
      </w:r>
      <w:r w:rsidR="00CA69CF">
        <w:t xml:space="preserve">Table </w:t>
      </w:r>
      <w:r w:rsidR="00CA69CF">
        <w:rPr>
          <w:noProof/>
        </w:rPr>
        <w:t>3</w:t>
      </w:r>
      <w:r w:rsidR="00FF569B">
        <w:fldChar w:fldCharType="end"/>
      </w:r>
      <w:r w:rsidR="00FF569B">
        <w:t>,</w:t>
      </w:r>
      <w:r w:rsidRPr="00FF569B">
        <w:t xml:space="preserve"> </w:t>
      </w:r>
      <w:r w:rsidR="00083745">
        <w:t xml:space="preserve">shown </w:t>
      </w:r>
      <w:r w:rsidR="00FF569B">
        <w:t>above</w:t>
      </w:r>
      <w:r w:rsidRPr="00FF569B">
        <w:t>.</w:t>
      </w:r>
    </w:p>
    <w:p w14:paraId="29DEABE4" w14:textId="2A120DD0" w:rsidR="002D7B09" w:rsidRDefault="002D7B09" w:rsidP="00B70E67">
      <w:r>
        <w:t>There was an increase in mean height at each time point</w:t>
      </w:r>
      <w:r w:rsidR="00083745">
        <w:t xml:space="preserve"> as shown</w:t>
      </w:r>
      <w:r>
        <w:t xml:space="preserve"> </w:t>
      </w:r>
      <w:r w:rsidR="00083745">
        <w:t xml:space="preserve">in </w:t>
      </w:r>
      <w:r>
        <w:fldChar w:fldCharType="begin"/>
      </w:r>
      <w:r>
        <w:instrText xml:space="preserve"> REF _Ref124520324 \h </w:instrText>
      </w:r>
      <w:r>
        <w:fldChar w:fldCharType="separate"/>
      </w:r>
      <w:r w:rsidR="00CA69CF">
        <w:t xml:space="preserve">Table </w:t>
      </w:r>
      <w:r w:rsidR="00CA69CF">
        <w:rPr>
          <w:noProof/>
        </w:rPr>
        <w:t>4</w:t>
      </w:r>
      <w:r>
        <w:fldChar w:fldCharType="end"/>
      </w:r>
      <w:r>
        <w:t>.</w:t>
      </w:r>
    </w:p>
    <w:p w14:paraId="2541A6F6" w14:textId="3BE566DA" w:rsidR="00B70E67" w:rsidRDefault="00B70E67" w:rsidP="00B70E67">
      <w:pPr>
        <w:pStyle w:val="TableTitle"/>
      </w:pPr>
      <w:bookmarkStart w:id="48" w:name="_Ref124520324"/>
      <w:r>
        <w:lastRenderedPageBreak/>
        <w:t xml:space="preserve">Table </w:t>
      </w:r>
      <w:fldSimple w:instr=" SEQ Table \* ARABIC ">
        <w:r w:rsidR="00CA69CF">
          <w:rPr>
            <w:noProof/>
          </w:rPr>
          <w:t>4</w:t>
        </w:r>
      </w:fldSimple>
      <w:bookmarkEnd w:id="48"/>
      <w:r>
        <w:t xml:space="preserve">: </w:t>
      </w:r>
      <w:r w:rsidR="00083745">
        <w:t xml:space="preserve">Study TOL2581A </w:t>
      </w:r>
      <w:r w:rsidR="002D7B09" w:rsidRPr="00B9083D">
        <w:t xml:space="preserve">Summary of </w:t>
      </w:r>
      <w:r w:rsidR="00BA00CB">
        <w:t>s</w:t>
      </w:r>
      <w:r w:rsidR="002D7B09" w:rsidRPr="00B9083D">
        <w:t xml:space="preserve">tanding </w:t>
      </w:r>
      <w:r w:rsidR="00BA00CB">
        <w:t>h</w:t>
      </w:r>
      <w:r w:rsidR="002D7B09" w:rsidRPr="00B9083D">
        <w:t xml:space="preserve">eight </w:t>
      </w:r>
      <w:r w:rsidR="00BA00CB">
        <w:t>for the intention to treat population</w:t>
      </w:r>
    </w:p>
    <w:p w14:paraId="7A5F7F8B" w14:textId="23190A25" w:rsidR="002D7B09" w:rsidRDefault="002D7B09" w:rsidP="00B70E67">
      <w:pPr>
        <w:pStyle w:val="TableTitle"/>
      </w:pPr>
      <w:r>
        <w:rPr>
          <w:noProof/>
          <w:lang w:val="en-GB" w:eastAsia="en-GB"/>
        </w:rPr>
        <w:drawing>
          <wp:inline distT="0" distB="0" distL="0" distR="0" wp14:anchorId="230C1977" wp14:editId="4B674F62">
            <wp:extent cx="5400040" cy="1818005"/>
            <wp:effectExtent l="0" t="0" r="0" b="0"/>
            <wp:docPr id="9" name="Picture 9" descr="Table 4 is a summary of standing heights (mean and standard deviation) for the intention to trea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 4 is a summary of standing heights (mean and standard deviation) for the intention to treat population.  "/>
                    <pic:cNvPicPr/>
                  </pic:nvPicPr>
                  <pic:blipFill>
                    <a:blip r:embed="rId23"/>
                    <a:stretch>
                      <a:fillRect/>
                    </a:stretch>
                  </pic:blipFill>
                  <pic:spPr>
                    <a:xfrm>
                      <a:off x="0" y="0"/>
                      <a:ext cx="5400040" cy="1818005"/>
                    </a:xfrm>
                    <a:prstGeom prst="rect">
                      <a:avLst/>
                    </a:prstGeom>
                  </pic:spPr>
                </pic:pic>
              </a:graphicData>
            </a:graphic>
          </wp:inline>
        </w:drawing>
      </w:r>
    </w:p>
    <w:p w14:paraId="2C8A2A0F" w14:textId="69451647" w:rsidR="00083745" w:rsidRDefault="00083745" w:rsidP="002D7B09">
      <w:pPr>
        <w:pStyle w:val="TableDescription"/>
      </w:pPr>
      <w:r>
        <w:t xml:space="preserve">Abbreviations: B/L = baseline; B/L %Δ = percentage change from Baseline; cm = centimetres; </w:t>
      </w:r>
      <w:proofErr w:type="spellStart"/>
      <w:r>
        <w:t>EoT</w:t>
      </w:r>
      <w:proofErr w:type="spellEnd"/>
      <w:r>
        <w:t xml:space="preserve"> = end of treatment; SD = standard deviation; W = week.</w:t>
      </w:r>
    </w:p>
    <w:p w14:paraId="39FCA674" w14:textId="18771C6C" w:rsidR="002D7B09" w:rsidRDefault="002D7B09" w:rsidP="002D7B09">
      <w:pPr>
        <w:pStyle w:val="TableDescription"/>
      </w:pPr>
      <w:r>
        <w:t xml:space="preserve">Note: Baseline is defined as the last non-missing height measurement collected prior to or on the date of first injection. Percent change </w:t>
      </w:r>
      <w:r w:rsidR="00B40A4F">
        <w:t>from Baseline</w:t>
      </w:r>
      <w:r>
        <w:t xml:space="preserve"> is: 100 x (the change </w:t>
      </w:r>
      <w:r w:rsidR="00B40A4F">
        <w:t>from Baseline</w:t>
      </w:r>
      <w:r>
        <w:t xml:space="preserve"> value at the post-baseline visit / baseline value).</w:t>
      </w:r>
    </w:p>
    <w:p w14:paraId="6409D88D" w14:textId="0CE33889" w:rsidR="00B70E67" w:rsidRDefault="002D7B09" w:rsidP="002D7B09">
      <w:r w:rsidRPr="002D7B09">
        <w:t xml:space="preserve">The growth velocity was maintained during the study period at </w:t>
      </w:r>
      <w:r w:rsidR="00E80866">
        <w:t>greater than</w:t>
      </w:r>
      <w:r w:rsidR="00463D1D">
        <w:t xml:space="preserve"> </w:t>
      </w:r>
      <w:r w:rsidRPr="002D7B09">
        <w:t xml:space="preserve">6 cm/year </w:t>
      </w:r>
      <w:r w:rsidR="00B40A4F">
        <w:t>from Baseline</w:t>
      </w:r>
      <w:r w:rsidR="00083745">
        <w:t>, as summarised in</w:t>
      </w:r>
      <w:r>
        <w:t xml:space="preserve"> </w:t>
      </w:r>
      <w:r>
        <w:fldChar w:fldCharType="begin"/>
      </w:r>
      <w:r>
        <w:instrText xml:space="preserve"> REF _Ref124520477 \h </w:instrText>
      </w:r>
      <w:r>
        <w:fldChar w:fldCharType="separate"/>
      </w:r>
      <w:r w:rsidR="00CA69CF">
        <w:t xml:space="preserve">Table </w:t>
      </w:r>
      <w:r w:rsidR="00CA69CF">
        <w:rPr>
          <w:noProof/>
        </w:rPr>
        <w:t>5</w:t>
      </w:r>
      <w:r>
        <w:fldChar w:fldCharType="end"/>
      </w:r>
      <w:r>
        <w:t>.</w:t>
      </w:r>
    </w:p>
    <w:p w14:paraId="6DC2C9D0" w14:textId="2EBE739D" w:rsidR="002D7B09" w:rsidRDefault="002D7B09" w:rsidP="002D7B09">
      <w:pPr>
        <w:pStyle w:val="TableTitle"/>
      </w:pPr>
      <w:bookmarkStart w:id="49" w:name="_Ref124520477"/>
      <w:r>
        <w:t xml:space="preserve">Table </w:t>
      </w:r>
      <w:fldSimple w:instr=" SEQ Table \* ARABIC ">
        <w:r w:rsidR="00CA69CF">
          <w:rPr>
            <w:noProof/>
          </w:rPr>
          <w:t>5</w:t>
        </w:r>
      </w:fldSimple>
      <w:bookmarkEnd w:id="49"/>
      <w:r>
        <w:t xml:space="preserve">: </w:t>
      </w:r>
      <w:r w:rsidR="00083745">
        <w:t xml:space="preserve">Study TOL2581A </w:t>
      </w:r>
      <w:r w:rsidRPr="002D7B09">
        <w:t xml:space="preserve">Summary of </w:t>
      </w:r>
      <w:r w:rsidR="00463D1D">
        <w:t>g</w:t>
      </w:r>
      <w:r w:rsidRPr="002D7B09">
        <w:t xml:space="preserve">rowth </w:t>
      </w:r>
      <w:r w:rsidR="00463D1D">
        <w:t>v</w:t>
      </w:r>
      <w:r w:rsidRPr="002D7B09">
        <w:t>elocity</w:t>
      </w:r>
      <w:r w:rsidR="00463D1D">
        <w:t xml:space="preserve"> for the intention to treat population</w:t>
      </w:r>
    </w:p>
    <w:p w14:paraId="16482F4C" w14:textId="154667C5" w:rsidR="002D7B09" w:rsidRDefault="002D7B09" w:rsidP="002D7B09">
      <w:pPr>
        <w:pStyle w:val="TableTitle"/>
        <w:rPr>
          <w:highlight w:val="yellow"/>
        </w:rPr>
      </w:pPr>
      <w:r>
        <w:rPr>
          <w:noProof/>
          <w:lang w:val="en-GB" w:eastAsia="en-GB"/>
        </w:rPr>
        <w:drawing>
          <wp:inline distT="0" distB="0" distL="0" distR="0" wp14:anchorId="45A9BE6D" wp14:editId="75ADC3AB">
            <wp:extent cx="5400040" cy="1513205"/>
            <wp:effectExtent l="0" t="0" r="0" b="0"/>
            <wp:docPr id="10" name="Picture 10" descr="Table 5 is a summary of the growth velocity for the intention to trea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 5 is a summary of the growth velocity for the intention to treat population.  "/>
                    <pic:cNvPicPr/>
                  </pic:nvPicPr>
                  <pic:blipFill>
                    <a:blip r:embed="rId24"/>
                    <a:stretch>
                      <a:fillRect/>
                    </a:stretch>
                  </pic:blipFill>
                  <pic:spPr>
                    <a:xfrm>
                      <a:off x="0" y="0"/>
                      <a:ext cx="5400040" cy="1513205"/>
                    </a:xfrm>
                    <a:prstGeom prst="rect">
                      <a:avLst/>
                    </a:prstGeom>
                  </pic:spPr>
                </pic:pic>
              </a:graphicData>
            </a:graphic>
          </wp:inline>
        </w:drawing>
      </w:r>
    </w:p>
    <w:p w14:paraId="1AE23DF0" w14:textId="3BF6C1DD" w:rsidR="00083745" w:rsidRDefault="00083745" w:rsidP="002D7B09">
      <w:pPr>
        <w:pStyle w:val="TableDescription"/>
      </w:pPr>
      <w:r>
        <w:t xml:space="preserve">Abbreviations: B/L = baseline; cm = centimetres; </w:t>
      </w:r>
      <w:proofErr w:type="spellStart"/>
      <w:r>
        <w:t>EoT</w:t>
      </w:r>
      <w:proofErr w:type="spellEnd"/>
      <w:r>
        <w:t xml:space="preserve"> = end of treatment; SD = standard deviation; W = week.</w:t>
      </w:r>
    </w:p>
    <w:p w14:paraId="171561BE" w14:textId="234B4D53" w:rsidR="002D7B09" w:rsidRDefault="002D7B09" w:rsidP="002D7B09">
      <w:pPr>
        <w:pStyle w:val="TableDescription"/>
      </w:pPr>
      <w:r>
        <w:t xml:space="preserve">Note: Growth velocity is defined for each visit as change </w:t>
      </w:r>
      <w:r w:rsidR="00B40A4F">
        <w:t>from Baseline</w:t>
      </w:r>
      <w:r>
        <w:t xml:space="preserve"> / ([number of weeks since baseline]/52). For the interval between Week 24 and Week 48, growth velocity is defined as change from Week 24 to Week 48 / ([number of weeks since week 24]/52).</w:t>
      </w:r>
    </w:p>
    <w:p w14:paraId="03B5561D" w14:textId="151FA0D1" w:rsidR="002D7B09" w:rsidRDefault="002D7B09" w:rsidP="002D7B09">
      <w:r w:rsidRPr="002D7B09">
        <w:t>Bone age was constant in relation to chronological age during the treatment period</w:t>
      </w:r>
      <w:r w:rsidR="00472ABE">
        <w:t>,</w:t>
      </w:r>
      <w:r w:rsidR="00083745">
        <w:t xml:space="preserve"> as shown </w:t>
      </w:r>
      <w:r w:rsidR="00472ABE">
        <w:t xml:space="preserve">below </w:t>
      </w:r>
      <w:r w:rsidR="00083745">
        <w:t xml:space="preserve">in </w:t>
      </w:r>
      <w:r w:rsidR="00083745">
        <w:fldChar w:fldCharType="begin"/>
      </w:r>
      <w:r w:rsidR="00083745">
        <w:instrText xml:space="preserve"> REF _Ref124520665 \h </w:instrText>
      </w:r>
      <w:r w:rsidR="00083745">
        <w:fldChar w:fldCharType="separate"/>
      </w:r>
      <w:r w:rsidR="00CA69CF">
        <w:t xml:space="preserve">Table </w:t>
      </w:r>
      <w:r w:rsidR="00CA69CF">
        <w:rPr>
          <w:noProof/>
        </w:rPr>
        <w:t>6</w:t>
      </w:r>
      <w:r w:rsidR="00083745">
        <w:fldChar w:fldCharType="end"/>
      </w:r>
      <w:r w:rsidRPr="002D7B09">
        <w:t>.</w:t>
      </w:r>
      <w:r w:rsidR="00820B67">
        <w:t xml:space="preserve"> </w:t>
      </w:r>
      <w:r w:rsidRPr="002D7B09">
        <w:t xml:space="preserve">The mean (SD) ratio of bone age to chronological age was 1.39 (0.160) </w:t>
      </w:r>
      <w:r w:rsidR="00B40A4F">
        <w:t>at Baseline</w:t>
      </w:r>
      <w:r w:rsidRPr="002D7B09">
        <w:t>, 1.34 (0.138) at Week 24 and 1.32 (0.143) at Week 48</w:t>
      </w:r>
      <w:r w:rsidR="00472ABE">
        <w:t>.</w:t>
      </w:r>
    </w:p>
    <w:p w14:paraId="66C19CEF" w14:textId="1E8FE4D9" w:rsidR="002D7B09" w:rsidRDefault="002D7B09" w:rsidP="002D7B09">
      <w:pPr>
        <w:pStyle w:val="TableTitle"/>
      </w:pPr>
      <w:bookmarkStart w:id="50" w:name="_Ref124520665"/>
      <w:r>
        <w:lastRenderedPageBreak/>
        <w:t xml:space="preserve">Table </w:t>
      </w:r>
      <w:fldSimple w:instr=" SEQ Table \* ARABIC ">
        <w:r w:rsidR="00CA69CF">
          <w:rPr>
            <w:noProof/>
          </w:rPr>
          <w:t>6</w:t>
        </w:r>
      </w:fldSimple>
      <w:bookmarkEnd w:id="50"/>
      <w:r>
        <w:t xml:space="preserve">: </w:t>
      </w:r>
      <w:r w:rsidR="00472ABE">
        <w:t xml:space="preserve">Study TOL2581A </w:t>
      </w:r>
      <w:r w:rsidRPr="00F84626">
        <w:t xml:space="preserve">Summary of </w:t>
      </w:r>
      <w:r w:rsidR="00463D1D">
        <w:t>b</w:t>
      </w:r>
      <w:r w:rsidRPr="00F84626">
        <w:t xml:space="preserve">one </w:t>
      </w:r>
      <w:r w:rsidR="00463D1D">
        <w:t>a</w:t>
      </w:r>
      <w:r w:rsidRPr="00F84626">
        <w:t xml:space="preserve">ge </w:t>
      </w:r>
      <w:r w:rsidR="00463D1D">
        <w:t>r</w:t>
      </w:r>
      <w:r w:rsidRPr="00F84626">
        <w:t xml:space="preserve">atio and </w:t>
      </w:r>
      <w:r w:rsidR="00463D1D">
        <w:t>b</w:t>
      </w:r>
      <w:r w:rsidRPr="00F84626">
        <w:t xml:space="preserve">one </w:t>
      </w:r>
      <w:r w:rsidR="00463D1D">
        <w:t>a</w:t>
      </w:r>
      <w:r w:rsidRPr="00F84626">
        <w:t>ge</w:t>
      </w:r>
      <w:r w:rsidR="00463D1D">
        <w:t xml:space="preserve"> for the intention to treat population</w:t>
      </w:r>
    </w:p>
    <w:p w14:paraId="72A5354E" w14:textId="77777777" w:rsidR="002D7B09" w:rsidRDefault="002D7B09" w:rsidP="002D7B09">
      <w:pPr>
        <w:pStyle w:val="TableTitle"/>
      </w:pPr>
      <w:r>
        <w:rPr>
          <w:noProof/>
          <w:lang w:val="en-GB" w:eastAsia="en-GB"/>
        </w:rPr>
        <w:drawing>
          <wp:inline distT="0" distB="0" distL="0" distR="0" wp14:anchorId="63540E23" wp14:editId="05EFB9EE">
            <wp:extent cx="5400040" cy="3004820"/>
            <wp:effectExtent l="0" t="0" r="0" b="5080"/>
            <wp:docPr id="11" name="Picture 11" descr="This table shows the bone age ratio and bone age for the intention to trea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table shows the bone age ratio and bone age for the intention to treat population. "/>
                    <pic:cNvPicPr/>
                  </pic:nvPicPr>
                  <pic:blipFill>
                    <a:blip r:embed="rId25"/>
                    <a:stretch>
                      <a:fillRect/>
                    </a:stretch>
                  </pic:blipFill>
                  <pic:spPr>
                    <a:xfrm>
                      <a:off x="0" y="0"/>
                      <a:ext cx="5400040" cy="3004820"/>
                    </a:xfrm>
                    <a:prstGeom prst="rect">
                      <a:avLst/>
                    </a:prstGeom>
                  </pic:spPr>
                </pic:pic>
              </a:graphicData>
            </a:graphic>
          </wp:inline>
        </w:drawing>
      </w:r>
    </w:p>
    <w:p w14:paraId="6D7E766D" w14:textId="251EA38B" w:rsidR="00472ABE" w:rsidRDefault="00472ABE" w:rsidP="002D7B09">
      <w:pPr>
        <w:pStyle w:val="TableDescription"/>
      </w:pPr>
      <w:r>
        <w:t xml:space="preserve">Abbreviations: B/L = baseline; B/L %Δ = percentage change from Baseline; cm = centimetres; </w:t>
      </w:r>
      <w:proofErr w:type="spellStart"/>
      <w:r>
        <w:t>EoT</w:t>
      </w:r>
      <w:proofErr w:type="spellEnd"/>
      <w:r>
        <w:t xml:space="preserve"> = end of treatment; SD = standard deviation; W = week.</w:t>
      </w:r>
    </w:p>
    <w:p w14:paraId="6BEB9E29" w14:textId="18F0EB45" w:rsidR="002D7B09" w:rsidRDefault="002D7B09" w:rsidP="002D7B09">
      <w:pPr>
        <w:pStyle w:val="TableDescription"/>
      </w:pPr>
      <w:r>
        <w:t xml:space="preserve">Note: Percent change </w:t>
      </w:r>
      <w:r w:rsidR="00B40A4F">
        <w:t>from Baseline</w:t>
      </w:r>
      <w:r>
        <w:t xml:space="preserve"> is: 100 x (the change </w:t>
      </w:r>
      <w:r w:rsidR="00B40A4F">
        <w:t>from Baseline</w:t>
      </w:r>
      <w:r>
        <w:t xml:space="preserve"> value at the post-baseline visit / baseline value). Bone Age Ratio to Chronological Age at Start of Study is bone age/age at first injection. Bone Age Ratio to Chronological Age at Time of Measurement is bone age/age at bone age assessment.</w:t>
      </w:r>
    </w:p>
    <w:p w14:paraId="22466C6F" w14:textId="464D269A" w:rsidR="002D7B09" w:rsidRDefault="002D7B09" w:rsidP="002D7B09">
      <w:r w:rsidRPr="002D7B09">
        <w:t>Mean Tanner stage</w:t>
      </w:r>
      <w:r w:rsidR="00472ABE">
        <w:rPr>
          <w:vertAlign w:val="superscript"/>
        </w:rPr>
        <w:fldChar w:fldCharType="begin"/>
      </w:r>
      <w:r w:rsidR="00472ABE">
        <w:rPr>
          <w:vertAlign w:val="superscript"/>
        </w:rPr>
        <w:instrText xml:space="preserve"> NOTEREF _Ref128636329 \h  \* MERGEFORMAT </w:instrText>
      </w:r>
      <w:r w:rsidR="00472ABE">
        <w:rPr>
          <w:vertAlign w:val="superscript"/>
        </w:rPr>
      </w:r>
      <w:r w:rsidR="00472ABE">
        <w:rPr>
          <w:vertAlign w:val="superscript"/>
        </w:rPr>
        <w:fldChar w:fldCharType="separate"/>
      </w:r>
      <w:r w:rsidR="00CA69CF">
        <w:rPr>
          <w:vertAlign w:val="superscript"/>
        </w:rPr>
        <w:t>10</w:t>
      </w:r>
      <w:r w:rsidR="00472ABE">
        <w:rPr>
          <w:vertAlign w:val="superscript"/>
        </w:rPr>
        <w:fldChar w:fldCharType="end"/>
      </w:r>
      <w:r w:rsidRPr="002D7B09">
        <w:t xml:space="preserve"> decreased during the study</w:t>
      </w:r>
      <w:r w:rsidR="00472ABE">
        <w:t>, as shown below in</w:t>
      </w:r>
      <w:r>
        <w:t xml:space="preserve"> </w:t>
      </w:r>
      <w:r>
        <w:fldChar w:fldCharType="begin"/>
      </w:r>
      <w:r>
        <w:instrText xml:space="preserve"> REF _Ref124520842 \h </w:instrText>
      </w:r>
      <w:r>
        <w:fldChar w:fldCharType="separate"/>
      </w:r>
      <w:r w:rsidR="00CA69CF">
        <w:t xml:space="preserve">Table </w:t>
      </w:r>
      <w:r w:rsidR="00CA69CF">
        <w:rPr>
          <w:noProof/>
        </w:rPr>
        <w:t>7</w:t>
      </w:r>
      <w:r>
        <w:fldChar w:fldCharType="end"/>
      </w:r>
      <w:r w:rsidRPr="002D7B09">
        <w:t>.</w:t>
      </w:r>
      <w:r w:rsidR="00472ABE">
        <w:t xml:space="preserve"> </w:t>
      </w:r>
    </w:p>
    <w:p w14:paraId="7C73DA3F" w14:textId="35BA5D36" w:rsidR="002D7B09" w:rsidRDefault="002D7B09" w:rsidP="002D7B09">
      <w:pPr>
        <w:pStyle w:val="TableTitle"/>
      </w:pPr>
      <w:bookmarkStart w:id="51" w:name="_Ref124520842"/>
      <w:r>
        <w:t xml:space="preserve">Table </w:t>
      </w:r>
      <w:fldSimple w:instr=" SEQ Table \* ARABIC ">
        <w:r w:rsidR="00CA69CF">
          <w:rPr>
            <w:noProof/>
          </w:rPr>
          <w:t>7</w:t>
        </w:r>
      </w:fldSimple>
      <w:bookmarkEnd w:id="51"/>
      <w:r>
        <w:t xml:space="preserve">: </w:t>
      </w:r>
      <w:r w:rsidR="00472ABE">
        <w:t xml:space="preserve">Study TOL2581A </w:t>
      </w:r>
      <w:r w:rsidRPr="002D7B09">
        <w:t>Summary of Tanner Stages</w:t>
      </w:r>
      <w:r w:rsidR="00463D1D">
        <w:t xml:space="preserve"> for the intention to treat p</w:t>
      </w:r>
      <w:r w:rsidRPr="002D7B09">
        <w:t>opulation</w:t>
      </w:r>
    </w:p>
    <w:p w14:paraId="4979DFEB" w14:textId="56576ECD" w:rsidR="002D7B09" w:rsidRDefault="002D7B09" w:rsidP="002D7B09">
      <w:pPr>
        <w:pStyle w:val="TableTitle"/>
      </w:pPr>
      <w:r>
        <w:rPr>
          <w:noProof/>
          <w:lang w:val="en-GB" w:eastAsia="en-GB"/>
        </w:rPr>
        <w:drawing>
          <wp:inline distT="0" distB="0" distL="0" distR="0" wp14:anchorId="73429738" wp14:editId="1845634F">
            <wp:extent cx="5400040" cy="2232660"/>
            <wp:effectExtent l="0" t="0" r="0" b="0"/>
            <wp:docPr id="12" name="Picture 12" descr="This table is a summary of the Tanner Stages for the intention to trea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table is a summary of the Tanner Stages for the intention to treat population. "/>
                    <pic:cNvPicPr/>
                  </pic:nvPicPr>
                  <pic:blipFill>
                    <a:blip r:embed="rId26"/>
                    <a:stretch>
                      <a:fillRect/>
                    </a:stretch>
                  </pic:blipFill>
                  <pic:spPr>
                    <a:xfrm>
                      <a:off x="0" y="0"/>
                      <a:ext cx="5400040" cy="2232660"/>
                    </a:xfrm>
                    <a:prstGeom prst="rect">
                      <a:avLst/>
                    </a:prstGeom>
                  </pic:spPr>
                </pic:pic>
              </a:graphicData>
            </a:graphic>
          </wp:inline>
        </w:drawing>
      </w:r>
    </w:p>
    <w:p w14:paraId="65FDF93E" w14:textId="54142B5B" w:rsidR="002D7B09" w:rsidRDefault="002D7B09" w:rsidP="002D7B09">
      <w:pPr>
        <w:pStyle w:val="TableDescription"/>
      </w:pPr>
      <w:r>
        <w:t xml:space="preserve">Abbreviations: </w:t>
      </w:r>
      <w:r w:rsidR="00472ABE" w:rsidRPr="002D7B09">
        <w:t>B/L Δ</w:t>
      </w:r>
      <w:r w:rsidR="00472ABE">
        <w:t xml:space="preserve"> </w:t>
      </w:r>
      <w:r w:rsidR="00472ABE" w:rsidRPr="002D7B09">
        <w:t>=</w:t>
      </w:r>
      <w:r w:rsidR="00472ABE">
        <w:t xml:space="preserve"> </w:t>
      </w:r>
      <w:r w:rsidR="00472ABE" w:rsidRPr="002D7B09">
        <w:t xml:space="preserve">change </w:t>
      </w:r>
      <w:r w:rsidR="00472ABE">
        <w:t xml:space="preserve">from Baseline; </w:t>
      </w:r>
      <w:r w:rsidRPr="002D7B09">
        <w:t>SD</w:t>
      </w:r>
      <w:r>
        <w:t xml:space="preserve"> </w:t>
      </w:r>
      <w:r w:rsidRPr="002D7B09">
        <w:t>=</w:t>
      </w:r>
      <w:r>
        <w:t xml:space="preserve"> </w:t>
      </w:r>
      <w:r w:rsidRPr="002D7B09">
        <w:t>standard deviation</w:t>
      </w:r>
      <w:r w:rsidR="00472ABE">
        <w:t xml:space="preserve">; </w:t>
      </w:r>
      <w:r w:rsidRPr="002D7B09">
        <w:t>W</w:t>
      </w:r>
      <w:r>
        <w:t xml:space="preserve"> </w:t>
      </w:r>
      <w:r w:rsidRPr="002D7B09">
        <w:t>=</w:t>
      </w:r>
      <w:r>
        <w:t xml:space="preserve"> </w:t>
      </w:r>
      <w:r w:rsidR="00F876AA">
        <w:t>W</w:t>
      </w:r>
      <w:r w:rsidRPr="002D7B09">
        <w:t>eek.</w:t>
      </w:r>
    </w:p>
    <w:p w14:paraId="02347D5F" w14:textId="742C5063" w:rsidR="002D7B09" w:rsidRDefault="002D7B09" w:rsidP="002D7B09">
      <w:r>
        <w:t xml:space="preserve">The percent change </w:t>
      </w:r>
      <w:r w:rsidR="00B40A4F">
        <w:t>from Baseline</w:t>
      </w:r>
      <w:r>
        <w:t xml:space="preserve"> in hormonal concentration (LH, FSH, testosterone, and </w:t>
      </w:r>
      <w:proofErr w:type="spellStart"/>
      <w:r>
        <w:t>estradiol</w:t>
      </w:r>
      <w:proofErr w:type="spellEnd"/>
      <w:r>
        <w:t>) at each available post-baseline measurement was reported as a PD outcome</w:t>
      </w:r>
      <w:r w:rsidR="0062448D">
        <w:t>.</w:t>
      </w:r>
    </w:p>
    <w:p w14:paraId="32BA5731" w14:textId="63256B9B" w:rsidR="002D7B09" w:rsidRDefault="002D7B09" w:rsidP="002D7B09">
      <w:r>
        <w:t xml:space="preserve">The percent change </w:t>
      </w:r>
      <w:r w:rsidR="00B40A4F">
        <w:t>from Baseline</w:t>
      </w:r>
      <w:r>
        <w:t xml:space="preserve"> in systemic </w:t>
      </w:r>
      <w:r w:rsidR="00B40A4F">
        <w:t>leuprorelin</w:t>
      </w:r>
      <w:r>
        <w:t xml:space="preserve"> concentration at each available post-baseline measurement was reported as a PK outcome</w:t>
      </w:r>
      <w:r w:rsidR="0062448D">
        <w:t>.</w:t>
      </w:r>
    </w:p>
    <w:p w14:paraId="23E3DF71" w14:textId="24D02DF5" w:rsidR="0062448D" w:rsidRDefault="002D7B09" w:rsidP="002D7B09">
      <w:r>
        <w:t xml:space="preserve">Suppression of FSH at Week 24 was achieved by 41 (66.1%) patients, </w:t>
      </w:r>
      <w:proofErr w:type="spellStart"/>
      <w:r>
        <w:t>estradiol</w:t>
      </w:r>
      <w:proofErr w:type="spellEnd"/>
      <w:r>
        <w:t xml:space="preserve"> by 59</w:t>
      </w:r>
      <w:r w:rsidR="00472ABE">
        <w:t> </w:t>
      </w:r>
      <w:r>
        <w:t xml:space="preserve">(98.3%) </w:t>
      </w:r>
      <w:r w:rsidR="00472ABE">
        <w:t xml:space="preserve">patients </w:t>
      </w:r>
      <w:r>
        <w:t xml:space="preserve">and testosterone by </w:t>
      </w:r>
      <w:r w:rsidR="0062448D">
        <w:t>two</w:t>
      </w:r>
      <w:r>
        <w:t xml:space="preserve"> (100%)</w:t>
      </w:r>
      <w:r w:rsidR="00472ABE">
        <w:t xml:space="preserve"> patients</w:t>
      </w:r>
      <w:r>
        <w:t>.</w:t>
      </w:r>
      <w:r w:rsidR="00820B67">
        <w:t xml:space="preserve"> </w:t>
      </w:r>
      <w:r>
        <w:t xml:space="preserve">Suppression of FSH at </w:t>
      </w:r>
      <w:r>
        <w:lastRenderedPageBreak/>
        <w:t xml:space="preserve">Week 48 was achieved by 32 (55.2%) patients, </w:t>
      </w:r>
      <w:proofErr w:type="spellStart"/>
      <w:r>
        <w:t>estradiol</w:t>
      </w:r>
      <w:proofErr w:type="spellEnd"/>
      <w:r>
        <w:t xml:space="preserve"> by 56 (100%) </w:t>
      </w:r>
      <w:r w:rsidR="00472ABE">
        <w:t xml:space="preserve">patients </w:t>
      </w:r>
      <w:r>
        <w:t xml:space="preserve">and testosterone by </w:t>
      </w:r>
      <w:r w:rsidR="0062448D">
        <w:t>one</w:t>
      </w:r>
      <w:r>
        <w:t xml:space="preserve"> (50%)</w:t>
      </w:r>
      <w:r w:rsidR="00472ABE">
        <w:t xml:space="preserve"> patient</w:t>
      </w:r>
      <w:r w:rsidR="0062448D">
        <w:t>.</w:t>
      </w:r>
    </w:p>
    <w:p w14:paraId="38E816F3" w14:textId="45A81BDB" w:rsidR="006E23EA" w:rsidRDefault="006E23EA" w:rsidP="006E23EA">
      <w:pPr>
        <w:pStyle w:val="Heading4"/>
      </w:pPr>
      <w:r>
        <w:t>Safety</w:t>
      </w:r>
    </w:p>
    <w:p w14:paraId="5D417FDE" w14:textId="1ED70C9A" w:rsidR="00472ABE" w:rsidRPr="00AC08F5" w:rsidRDefault="00472ABE" w:rsidP="00420928">
      <w:pPr>
        <w:pStyle w:val="Heading5"/>
      </w:pPr>
      <w:r>
        <w:t>Study TOL2581A</w:t>
      </w:r>
    </w:p>
    <w:p w14:paraId="6B2EE59C" w14:textId="1367536F" w:rsidR="0062448D" w:rsidRPr="00B417FA" w:rsidRDefault="0062448D" w:rsidP="0062448D">
      <w:r w:rsidRPr="00B417FA">
        <w:t>There was one pivotal efficacy study</w:t>
      </w:r>
      <w:r w:rsidR="00E01EE1">
        <w:t xml:space="preserve">, </w:t>
      </w:r>
      <w:r w:rsidRPr="00B417FA">
        <w:t>Study TOL2581A</w:t>
      </w:r>
      <w:r w:rsidR="00472ABE">
        <w:t>,</w:t>
      </w:r>
      <w:r w:rsidR="004D43E0">
        <w:t xml:space="preserve"> where safety data were also reported</w:t>
      </w:r>
      <w:r w:rsidRPr="00B417FA">
        <w:t xml:space="preserve">. In Study TOL2581A there were 64 patients who received at least one dose of </w:t>
      </w:r>
      <w:r w:rsidR="00B40A4F">
        <w:t>leuprorelin</w:t>
      </w:r>
      <w:r w:rsidRPr="00B417FA">
        <w:t xml:space="preserve"> acetate 45 mg, and 60 patients who received a second dose.</w:t>
      </w:r>
    </w:p>
    <w:p w14:paraId="012B76D5" w14:textId="617FD90F" w:rsidR="0062448D" w:rsidRPr="00B417FA" w:rsidRDefault="004D43E0" w:rsidP="0062448D">
      <w:r>
        <w:t>T</w:t>
      </w:r>
      <w:r w:rsidR="0062448D" w:rsidRPr="00B417FA">
        <w:t>reatment</w:t>
      </w:r>
      <w:r w:rsidR="00472ABE">
        <w:noBreakHyphen/>
      </w:r>
      <w:r w:rsidR="0062448D" w:rsidRPr="00B417FA">
        <w:t>emergent adverse events (TEAE</w:t>
      </w:r>
      <w:r w:rsidR="00472ABE">
        <w:t>s</w:t>
      </w:r>
      <w:r w:rsidR="0062448D" w:rsidRPr="00B417FA">
        <w:t>) were reported in 53 (82.8%) patients.</w:t>
      </w:r>
      <w:r w:rsidR="00820B67">
        <w:t xml:space="preserve"> </w:t>
      </w:r>
      <w:r w:rsidR="0062448D" w:rsidRPr="00B417FA">
        <w:t xml:space="preserve">The most commonly reported TEAEs </w:t>
      </w:r>
      <w:proofErr w:type="gramStart"/>
      <w:r w:rsidR="0062448D" w:rsidRPr="00B417FA">
        <w:t>were:</w:t>
      </w:r>
      <w:proofErr w:type="gramEnd"/>
      <w:r w:rsidR="0062448D" w:rsidRPr="00B417FA">
        <w:t xml:space="preserve"> injection site pain in 20 (31.3%) patients, nasopharyngitis in 14 (21.9%), pyrexia in 11 (17.2%) and headache in 10 (15.6%)</w:t>
      </w:r>
      <w:r w:rsidR="00472ABE">
        <w:t xml:space="preserve"> patients</w:t>
      </w:r>
      <w:r w:rsidR="0062448D" w:rsidRPr="00B417FA">
        <w:t>.</w:t>
      </w:r>
    </w:p>
    <w:p w14:paraId="7B7A75CF" w14:textId="00B6F21D" w:rsidR="0062448D" w:rsidRPr="00B417FA" w:rsidRDefault="0062448D" w:rsidP="0062448D">
      <w:r w:rsidRPr="00B417FA">
        <w:t>There were no deaths.</w:t>
      </w:r>
      <w:r w:rsidR="00820B67">
        <w:t xml:space="preserve"> </w:t>
      </w:r>
      <w:r w:rsidRPr="00B417FA">
        <w:t xml:space="preserve">There were two </w:t>
      </w:r>
      <w:r w:rsidR="00A72959">
        <w:t>serious adverse event</w:t>
      </w:r>
      <w:r w:rsidRPr="00B417FA">
        <w:t xml:space="preserve">s </w:t>
      </w:r>
      <w:r w:rsidR="00472ABE">
        <w:t xml:space="preserve">both </w:t>
      </w:r>
      <w:r w:rsidRPr="00B417FA">
        <w:t>reported in one patient</w:t>
      </w:r>
      <w:r w:rsidR="00472ABE">
        <w:t>;</w:t>
      </w:r>
      <w:r w:rsidRPr="00B417FA">
        <w:t xml:space="preserve"> </w:t>
      </w:r>
      <w:r w:rsidR="00472ABE">
        <w:t xml:space="preserve">these were </w:t>
      </w:r>
      <w:r w:rsidRPr="00B417FA">
        <w:t>wheezing</w:t>
      </w:r>
      <w:r w:rsidR="00472ABE">
        <w:t>,</w:t>
      </w:r>
      <w:r w:rsidRPr="00B417FA">
        <w:t xml:space="preserve"> and rash.</w:t>
      </w:r>
    </w:p>
    <w:p w14:paraId="77CC7EB2" w14:textId="0572F7F7" w:rsidR="004D43E0" w:rsidRDefault="004D43E0" w:rsidP="0062448D">
      <w:r>
        <w:t>T</w:t>
      </w:r>
      <w:r w:rsidR="0062448D" w:rsidRPr="00B417FA">
        <w:t>here were no TEAEs resulting in study discontinuation.</w:t>
      </w:r>
      <w:r w:rsidR="00820B67">
        <w:t xml:space="preserve"> </w:t>
      </w:r>
      <w:r w:rsidR="0062448D" w:rsidRPr="00B417FA">
        <w:t>One (1.6%) patient discontinued/interrupted treatment due to a TEAE</w:t>
      </w:r>
      <w:r w:rsidR="00472ABE">
        <w:t xml:space="preserve"> listed as</w:t>
      </w:r>
      <w:r w:rsidR="0062448D" w:rsidRPr="00B417FA">
        <w:t xml:space="preserve"> drug administration error.</w:t>
      </w:r>
    </w:p>
    <w:p w14:paraId="27B86DA4" w14:textId="51F9867A" w:rsidR="0062448D" w:rsidRPr="00B417FA" w:rsidRDefault="004D43E0" w:rsidP="0062448D">
      <w:r>
        <w:t>O</w:t>
      </w:r>
      <w:r w:rsidR="0062448D" w:rsidRPr="00B417FA">
        <w:t xml:space="preserve">ne patient had elevated </w:t>
      </w:r>
      <w:r w:rsidR="00B417FA" w:rsidRPr="00B417FA">
        <w:t xml:space="preserve">alanine transaminase </w:t>
      </w:r>
      <w:r w:rsidR="0062448D" w:rsidRPr="00B417FA">
        <w:t xml:space="preserve">and </w:t>
      </w:r>
      <w:r w:rsidR="00472ABE">
        <w:t xml:space="preserve">elevated </w:t>
      </w:r>
      <w:r w:rsidR="00B417FA" w:rsidRPr="00B417FA">
        <w:t>gamma</w:t>
      </w:r>
      <w:r w:rsidR="00BD4FFB">
        <w:t xml:space="preserve"> </w:t>
      </w:r>
      <w:r w:rsidR="00B417FA" w:rsidRPr="00B417FA">
        <w:t>glutamyl transferase</w:t>
      </w:r>
      <w:r w:rsidR="0062448D" w:rsidRPr="00B417FA">
        <w:t xml:space="preserve"> </w:t>
      </w:r>
      <w:r w:rsidR="004D392B">
        <w:t xml:space="preserve">levels </w:t>
      </w:r>
      <w:r w:rsidR="0062448D" w:rsidRPr="00B417FA">
        <w:t>which resolved and w</w:t>
      </w:r>
      <w:r w:rsidR="004D392B">
        <w:t>ere</w:t>
      </w:r>
      <w:r w:rsidR="0062448D" w:rsidRPr="00B417FA">
        <w:t xml:space="preserve"> not attributed to treatment.</w:t>
      </w:r>
    </w:p>
    <w:p w14:paraId="6952FCE6" w14:textId="1FEA7DD5" w:rsidR="0062448D" w:rsidRPr="00B417FA" w:rsidRDefault="0062448D" w:rsidP="0062448D">
      <w:r w:rsidRPr="00B417FA">
        <w:t xml:space="preserve">The safety data were limited by the small number of patients who have been exposed to </w:t>
      </w:r>
      <w:r w:rsidR="00B417FA" w:rsidRPr="00B417FA">
        <w:t>leuprorelin acetate 45 mg</w:t>
      </w:r>
      <w:r w:rsidRPr="00B417FA">
        <w:t>.</w:t>
      </w:r>
      <w:r w:rsidR="00820B67">
        <w:t xml:space="preserve"> </w:t>
      </w:r>
      <w:r w:rsidRPr="00B417FA">
        <w:t xml:space="preserve">There were </w:t>
      </w:r>
      <w:r w:rsidR="00B417FA" w:rsidRPr="00B417FA">
        <w:t xml:space="preserve">less than </w:t>
      </w:r>
      <w:r w:rsidRPr="00B417FA">
        <w:t xml:space="preserve">500 patients exposed to </w:t>
      </w:r>
      <w:r w:rsidR="00B417FA" w:rsidRPr="00B417FA">
        <w:t xml:space="preserve">leuprorelin acetate 45 mg </w:t>
      </w:r>
      <w:r w:rsidRPr="00B417FA">
        <w:t xml:space="preserve">for CPP in the data presented in the </w:t>
      </w:r>
      <w:r w:rsidR="004D392B">
        <w:t xml:space="preserve">sponsor’s </w:t>
      </w:r>
      <w:r w:rsidRPr="00B417FA">
        <w:t>dossier.</w:t>
      </w:r>
      <w:r w:rsidR="00820B67">
        <w:t xml:space="preserve"> </w:t>
      </w:r>
      <w:r w:rsidR="004D392B">
        <w:t>The f</w:t>
      </w:r>
      <w:r w:rsidRPr="00B417FA">
        <w:t>ollow</w:t>
      </w:r>
      <w:r w:rsidR="00BD4FFB">
        <w:t xml:space="preserve"> </w:t>
      </w:r>
      <w:r w:rsidRPr="00B417FA">
        <w:t xml:space="preserve">up </w:t>
      </w:r>
      <w:r w:rsidR="004D392B">
        <w:t xml:space="preserve">period </w:t>
      </w:r>
      <w:r w:rsidRPr="00B417FA">
        <w:t xml:space="preserve">for these patients was </w:t>
      </w:r>
      <w:r w:rsidR="00B417FA" w:rsidRPr="00B417FA">
        <w:t xml:space="preserve">less than or equal to </w:t>
      </w:r>
      <w:r w:rsidRPr="00B417FA">
        <w:t>12 months.</w:t>
      </w:r>
      <w:r w:rsidR="00820B67">
        <w:t xml:space="preserve"> </w:t>
      </w:r>
      <w:r w:rsidRPr="00B417FA">
        <w:t xml:space="preserve">Hence, </w:t>
      </w:r>
      <w:proofErr w:type="gramStart"/>
      <w:r w:rsidRPr="00B417FA">
        <w:t>uncommon</w:t>
      </w:r>
      <w:proofErr w:type="gramEnd"/>
      <w:r w:rsidRPr="00B417FA">
        <w:t xml:space="preserve"> and rare adverse reactions will not have been identified in the data.</w:t>
      </w:r>
    </w:p>
    <w:p w14:paraId="2FBCF8F8" w14:textId="39146CB0" w:rsidR="0062448D" w:rsidRPr="00B417FA" w:rsidRDefault="0062448D" w:rsidP="0062448D">
      <w:r w:rsidRPr="00B417FA">
        <w:t>No abnormalities in renal function were reported.</w:t>
      </w:r>
    </w:p>
    <w:p w14:paraId="7FA80DC5" w14:textId="77777777" w:rsidR="0062448D" w:rsidRPr="00006845" w:rsidRDefault="0062448D" w:rsidP="0062448D">
      <w:r w:rsidRPr="00006845">
        <w:t>There were no abnormalities in endocrine assays that were reported as adverse events.</w:t>
      </w:r>
    </w:p>
    <w:p w14:paraId="62476AF6" w14:textId="02FA36F3" w:rsidR="0062448D" w:rsidRDefault="0062448D" w:rsidP="0062448D">
      <w:r w:rsidRPr="00006845">
        <w:t xml:space="preserve">There were decreases in mean </w:t>
      </w:r>
      <w:r w:rsidR="00B417FA" w:rsidRPr="00006845">
        <w:t xml:space="preserve">heart rate, respiratory rate, systolic blood pressure and diastolic blood pressure </w:t>
      </w:r>
      <w:r w:rsidR="00B40A4F">
        <w:t>from Baseline</w:t>
      </w:r>
      <w:r w:rsidRPr="00006845">
        <w:t xml:space="preserve"> that might reflect children becoming more comfortable with the clinic visits.</w:t>
      </w:r>
      <w:r w:rsidR="00820B67">
        <w:t xml:space="preserve"> </w:t>
      </w:r>
      <w:r w:rsidRPr="00006845">
        <w:t>There was an increase in mean weight over the course of the study: 8.26% to Week 24 and 15.44% to Week 48</w:t>
      </w:r>
      <w:r w:rsidR="00472ABE">
        <w:t xml:space="preserve">. A summary of vital sign measurements is shown in </w:t>
      </w:r>
      <w:r>
        <w:fldChar w:fldCharType="begin"/>
      </w:r>
      <w:r>
        <w:instrText xml:space="preserve"> REF _Ref124521199 \h </w:instrText>
      </w:r>
      <w:r>
        <w:fldChar w:fldCharType="separate"/>
      </w:r>
      <w:r w:rsidR="00CA69CF">
        <w:t xml:space="preserve">Table </w:t>
      </w:r>
      <w:r w:rsidR="00CA69CF">
        <w:rPr>
          <w:noProof/>
        </w:rPr>
        <w:t>8</w:t>
      </w:r>
      <w:r>
        <w:fldChar w:fldCharType="end"/>
      </w:r>
      <w:r w:rsidR="00472ABE">
        <w:t>, below</w:t>
      </w:r>
      <w:r w:rsidR="00006845">
        <w:t>.</w:t>
      </w:r>
    </w:p>
    <w:p w14:paraId="7F800BAB" w14:textId="135C86DC" w:rsidR="0062448D" w:rsidRDefault="0062448D" w:rsidP="0062448D">
      <w:pPr>
        <w:pStyle w:val="TableTitle"/>
      </w:pPr>
      <w:bookmarkStart w:id="52" w:name="_Ref124521199"/>
      <w:r>
        <w:t xml:space="preserve">Table </w:t>
      </w:r>
      <w:fldSimple w:instr=" SEQ Table \* ARABIC ">
        <w:r w:rsidR="00CA69CF">
          <w:rPr>
            <w:noProof/>
          </w:rPr>
          <w:t>8</w:t>
        </w:r>
      </w:fldSimple>
      <w:bookmarkEnd w:id="52"/>
      <w:r>
        <w:t xml:space="preserve">: </w:t>
      </w:r>
      <w:r w:rsidR="00472ABE">
        <w:t xml:space="preserve">Study TOL2581A </w:t>
      </w:r>
      <w:r w:rsidRPr="0062448D">
        <w:t xml:space="preserve">Summary of </w:t>
      </w:r>
      <w:r w:rsidR="00601D52">
        <w:t>v</w:t>
      </w:r>
      <w:r w:rsidRPr="0062448D">
        <w:t xml:space="preserve">ital </w:t>
      </w:r>
      <w:r w:rsidR="00601D52">
        <w:t>s</w:t>
      </w:r>
      <w:r w:rsidRPr="0062448D">
        <w:t xml:space="preserve">ign </w:t>
      </w:r>
      <w:r w:rsidR="00601D52">
        <w:t>m</w:t>
      </w:r>
      <w:r w:rsidRPr="0062448D">
        <w:t xml:space="preserve">easurements </w:t>
      </w:r>
      <w:r w:rsidR="00601D52">
        <w:t>for the s</w:t>
      </w:r>
      <w:r w:rsidRPr="0062448D">
        <w:t xml:space="preserve">afety </w:t>
      </w:r>
      <w:r w:rsidR="00601D52">
        <w:t>p</w:t>
      </w:r>
      <w:r w:rsidRPr="0062448D">
        <w:t>opulation</w:t>
      </w:r>
    </w:p>
    <w:p w14:paraId="6D299691" w14:textId="095FE4C6" w:rsidR="0062448D" w:rsidRDefault="0062448D" w:rsidP="0062448D">
      <w:pPr>
        <w:pStyle w:val="TableTitle"/>
      </w:pPr>
      <w:r>
        <w:rPr>
          <w:noProof/>
          <w:lang w:val="en-GB" w:eastAsia="en-GB"/>
        </w:rPr>
        <w:drawing>
          <wp:inline distT="0" distB="0" distL="0" distR="0" wp14:anchorId="39F2A3FC" wp14:editId="38A132D8">
            <wp:extent cx="5400040" cy="922638"/>
            <wp:effectExtent l="0" t="0" r="0" b="0"/>
            <wp:docPr id="13" name="Picture 13" descr="This table is a summary of the vital sign measurements for the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table is a summary of the vital sign measurements for the safety population."/>
                    <pic:cNvPicPr/>
                  </pic:nvPicPr>
                  <pic:blipFill>
                    <a:blip r:embed="rId27"/>
                    <a:stretch>
                      <a:fillRect/>
                    </a:stretch>
                  </pic:blipFill>
                  <pic:spPr>
                    <a:xfrm>
                      <a:off x="0" y="0"/>
                      <a:ext cx="5464880" cy="933716"/>
                    </a:xfrm>
                    <a:prstGeom prst="rect">
                      <a:avLst/>
                    </a:prstGeom>
                  </pic:spPr>
                </pic:pic>
              </a:graphicData>
            </a:graphic>
          </wp:inline>
        </w:drawing>
      </w:r>
    </w:p>
    <w:p w14:paraId="72B06261" w14:textId="7DE02A71" w:rsidR="00472ABE" w:rsidRDefault="00472ABE" w:rsidP="00472ABE">
      <w:pPr>
        <w:pStyle w:val="TableDescription"/>
      </w:pPr>
      <w:r>
        <w:t>Abbreviation: SD = standard deviation.</w:t>
      </w:r>
    </w:p>
    <w:p w14:paraId="00499254" w14:textId="1B99D001" w:rsidR="0062448D" w:rsidRDefault="0062448D" w:rsidP="0062448D">
      <w:pPr>
        <w:pStyle w:val="TableDescription"/>
      </w:pPr>
      <w:r>
        <w:t>Note: Baseline is defined as the last non-missing assessment done prior to or on the date of first injection. The mean minimum and maximum values are taken from measurements across all visits. All other changes in assessment values were within approximately 10% of baseline.</w:t>
      </w:r>
    </w:p>
    <w:p w14:paraId="3FF64F62" w14:textId="22B3C954" w:rsidR="00820B67" w:rsidRDefault="0062448D" w:rsidP="0062448D">
      <w:pPr>
        <w:pStyle w:val="Heading5"/>
      </w:pPr>
      <w:r>
        <w:lastRenderedPageBreak/>
        <w:t>Post marketing experience</w:t>
      </w:r>
    </w:p>
    <w:p w14:paraId="0546D703" w14:textId="1F73F15D" w:rsidR="00472ABE" w:rsidRDefault="00472ABE" w:rsidP="00420928">
      <w:r>
        <w:t xml:space="preserve">Post-market data was supplied from a US Food and Drug Administration (FDA) Periodic Adverse Drug Experience Report (PADER) for </w:t>
      </w:r>
      <w:proofErr w:type="spellStart"/>
      <w:r>
        <w:t>Fensolvi</w:t>
      </w:r>
      <w:proofErr w:type="spellEnd"/>
      <w:r>
        <w:t xml:space="preserve"> (leuprolide acetate);</w:t>
      </w:r>
      <w:r w:rsidRPr="00C16CF8">
        <w:rPr>
          <w:vertAlign w:val="superscript"/>
        </w:rPr>
        <w:fldChar w:fldCharType="begin"/>
      </w:r>
      <w:r w:rsidRPr="00C16CF8">
        <w:rPr>
          <w:vertAlign w:val="superscript"/>
        </w:rPr>
        <w:instrText xml:space="preserve"> NOTEREF _Ref128569423 \h </w:instrText>
      </w:r>
      <w:r>
        <w:rPr>
          <w:vertAlign w:val="superscript"/>
        </w:rPr>
        <w:instrText xml:space="preserve"> \* MERGEFORMAT </w:instrText>
      </w:r>
      <w:r w:rsidRPr="00C16CF8">
        <w:rPr>
          <w:vertAlign w:val="superscript"/>
        </w:rPr>
      </w:r>
      <w:r w:rsidRPr="00C16CF8">
        <w:rPr>
          <w:vertAlign w:val="superscript"/>
        </w:rPr>
        <w:fldChar w:fldCharType="separate"/>
      </w:r>
      <w:r w:rsidR="00CA69CF">
        <w:rPr>
          <w:vertAlign w:val="superscript"/>
        </w:rPr>
        <w:t>9</w:t>
      </w:r>
      <w:r w:rsidRPr="00C16CF8">
        <w:rPr>
          <w:vertAlign w:val="superscript"/>
        </w:rPr>
        <w:fldChar w:fldCharType="end"/>
      </w:r>
      <w:r w:rsidRPr="00C16CF8">
        <w:rPr>
          <w:vertAlign w:val="superscript"/>
        </w:rPr>
        <w:t>,</w:t>
      </w:r>
      <w:r>
        <w:rPr>
          <w:rStyle w:val="FootnoteReference"/>
        </w:rPr>
        <w:footnoteReference w:id="12"/>
      </w:r>
      <w:r>
        <w:t xml:space="preserve"> New Drug Application number: 213150, covering the </w:t>
      </w:r>
      <w:proofErr w:type="gramStart"/>
      <w:r>
        <w:t>time period</w:t>
      </w:r>
      <w:proofErr w:type="gramEnd"/>
      <w:r>
        <w:t xml:space="preserve"> of 1 November 2020 to 31 January 2021.</w:t>
      </w:r>
    </w:p>
    <w:p w14:paraId="1B55272B" w14:textId="1F754E4C" w:rsidR="0062448D" w:rsidRPr="0062448D" w:rsidRDefault="0062448D" w:rsidP="0062448D">
      <w:r>
        <w:t>Post-marketing data do not indicate any emerging safety concerns.</w:t>
      </w:r>
    </w:p>
    <w:p w14:paraId="3468F01C" w14:textId="77777777" w:rsidR="008E7846" w:rsidRDefault="00386150" w:rsidP="007B6132">
      <w:pPr>
        <w:pStyle w:val="Heading3"/>
        <w:rPr>
          <w:lang w:eastAsia="en-AU"/>
        </w:rPr>
      </w:pPr>
      <w:bookmarkStart w:id="53" w:name="_Toc314842514"/>
      <w:bookmarkStart w:id="54" w:name="_Toc128748366"/>
      <w:r>
        <w:rPr>
          <w:lang w:eastAsia="en-AU"/>
        </w:rPr>
        <w:t>Risk m</w:t>
      </w:r>
      <w:r w:rsidR="008E7846">
        <w:rPr>
          <w:lang w:eastAsia="en-AU"/>
        </w:rPr>
        <w:t xml:space="preserve">anagement </w:t>
      </w:r>
      <w:r>
        <w:rPr>
          <w:lang w:eastAsia="en-AU"/>
        </w:rPr>
        <w:t>p</w:t>
      </w:r>
      <w:r w:rsidR="008E7846">
        <w:rPr>
          <w:lang w:eastAsia="en-AU"/>
        </w:rPr>
        <w:t>lan</w:t>
      </w:r>
      <w:bookmarkEnd w:id="53"/>
      <w:bookmarkEnd w:id="54"/>
    </w:p>
    <w:p w14:paraId="572673C0" w14:textId="321B145D" w:rsidR="00DE68BE" w:rsidRDefault="00DE68BE" w:rsidP="0074163C">
      <w:bookmarkStart w:id="55" w:name="_Toc247691531"/>
      <w:bookmarkStart w:id="56" w:name="_Toc314842515"/>
      <w:bookmarkStart w:id="57" w:name="_Toc196046505"/>
      <w:bookmarkStart w:id="58" w:name="_Toc196046949"/>
      <w:r>
        <w:t xml:space="preserve">The </w:t>
      </w:r>
      <w:r w:rsidR="00006845">
        <w:t>Australian risk management plan</w:t>
      </w:r>
      <w:r w:rsidRPr="00DE68BE">
        <w:t xml:space="preserve"> </w:t>
      </w:r>
      <w:r w:rsidR="00A72959">
        <w:t xml:space="preserve">(RMP) </w:t>
      </w:r>
      <w:r w:rsidRPr="00DE68BE">
        <w:t xml:space="preserve">version 0.2 (dated 7 April 2022; </w:t>
      </w:r>
      <w:r w:rsidR="00006845">
        <w:t>data-lock point</w:t>
      </w:r>
      <w:r w:rsidRPr="00DE68BE">
        <w:t xml:space="preserve"> 20</w:t>
      </w:r>
      <w:r w:rsidR="00006845">
        <w:t> </w:t>
      </w:r>
      <w:r w:rsidRPr="00DE68BE">
        <w:t>April 2021)</w:t>
      </w:r>
      <w:r>
        <w:t xml:space="preserve"> was evaluated.</w:t>
      </w:r>
    </w:p>
    <w:p w14:paraId="271C9674" w14:textId="1F651258" w:rsidR="0074163C" w:rsidRDefault="0074163C" w:rsidP="0074163C">
      <w:r>
        <w:t xml:space="preserve">The summary of safety concerns and their associated risk monitoring and mitigation strategies are summarised in </w:t>
      </w:r>
      <w:r w:rsidR="00DE68BE">
        <w:fldChar w:fldCharType="begin"/>
      </w:r>
      <w:r w:rsidR="00DE68BE">
        <w:instrText xml:space="preserve"> REF _Ref97629131 \h </w:instrText>
      </w:r>
      <w:r w:rsidR="00DE68BE">
        <w:fldChar w:fldCharType="separate"/>
      </w:r>
      <w:r w:rsidR="00CA69CF">
        <w:t xml:space="preserve">Table </w:t>
      </w:r>
      <w:r w:rsidR="00CA69CF">
        <w:rPr>
          <w:noProof/>
        </w:rPr>
        <w:t>9</w:t>
      </w:r>
      <w:r w:rsidR="00DE68BE">
        <w:fldChar w:fldCharType="end"/>
      </w:r>
      <w:r w:rsidR="00DE68BE">
        <w:t xml:space="preserve">. </w:t>
      </w:r>
      <w:r>
        <w:t xml:space="preserve">Further information regarding </w:t>
      </w:r>
      <w:r w:rsidR="00CC5044">
        <w:t>the TGA</w:t>
      </w:r>
      <w:r w:rsidR="00BF7063">
        <w:t>’</w:t>
      </w:r>
      <w:r w:rsidR="00CC5044">
        <w:t>s r</w:t>
      </w:r>
      <w:r>
        <w:t xml:space="preserve">isk management approach can be found in </w:t>
      </w:r>
      <w:hyperlink r:id="rId28" w:history="1">
        <w:r w:rsidRPr="0023444E">
          <w:rPr>
            <w:rStyle w:val="Hyperlink"/>
          </w:rPr>
          <w:t>risk management plans for medicines and biologicals</w:t>
        </w:r>
      </w:hyperlink>
      <w:r>
        <w:t xml:space="preserve"> and </w:t>
      </w:r>
      <w:hyperlink r:id="rId29" w:history="1">
        <w:r w:rsidRPr="0023444E">
          <w:rPr>
            <w:rStyle w:val="Hyperlink"/>
          </w:rPr>
          <w:t>the TGA's risk management approach</w:t>
        </w:r>
      </w:hyperlink>
      <w:r>
        <w:t>.</w:t>
      </w:r>
    </w:p>
    <w:p w14:paraId="0EC4AF0B" w14:textId="5213FB49" w:rsidR="0074163C" w:rsidRDefault="0074163C" w:rsidP="0074163C">
      <w:pPr>
        <w:pStyle w:val="TableTitle"/>
      </w:pPr>
      <w:bookmarkStart w:id="59" w:name="_Ref97629131"/>
      <w:r>
        <w:t xml:space="preserve">Table </w:t>
      </w:r>
      <w:fldSimple w:instr=" SEQ Table \* ARABIC ">
        <w:r w:rsidR="00CA69CF">
          <w:rPr>
            <w:noProof/>
          </w:rPr>
          <w:t>9</w:t>
        </w:r>
      </w:fldSimple>
      <w:bookmarkEnd w:id="59"/>
      <w:r>
        <w:t>: Summary of safety concerns</w:t>
      </w:r>
    </w:p>
    <w:tbl>
      <w:tblPr>
        <w:tblStyle w:val="TableTGAblue"/>
        <w:tblW w:w="8185" w:type="dxa"/>
        <w:tblLayout w:type="fixed"/>
        <w:tblLook w:val="04A0" w:firstRow="1" w:lastRow="0" w:firstColumn="1" w:lastColumn="0" w:noHBand="0" w:noVBand="1"/>
      </w:tblPr>
      <w:tblGrid>
        <w:gridCol w:w="1345"/>
        <w:gridCol w:w="2610"/>
        <w:gridCol w:w="990"/>
        <w:gridCol w:w="1170"/>
        <w:gridCol w:w="900"/>
        <w:gridCol w:w="1170"/>
      </w:tblGrid>
      <w:tr w:rsidR="00DE68BE" w:rsidRPr="00822968" w14:paraId="6CF00CFF" w14:textId="77777777" w:rsidTr="00003C76">
        <w:trPr>
          <w:cnfStyle w:val="100000000000" w:firstRow="1" w:lastRow="0" w:firstColumn="0" w:lastColumn="0" w:oddVBand="0" w:evenVBand="0" w:oddHBand="0" w:evenHBand="0" w:firstRowFirstColumn="0" w:firstRowLastColumn="0" w:lastRowFirstColumn="0" w:lastRowLastColumn="0"/>
          <w:trHeight w:val="131"/>
        </w:trPr>
        <w:tc>
          <w:tcPr>
            <w:tcW w:w="3955" w:type="dxa"/>
            <w:gridSpan w:val="2"/>
            <w:vMerge w:val="restart"/>
            <w:tcBorders>
              <w:top w:val="single" w:sz="4" w:space="0" w:color="auto"/>
              <w:left w:val="single" w:sz="4" w:space="0" w:color="auto"/>
              <w:bottom w:val="single" w:sz="4" w:space="0" w:color="auto"/>
              <w:right w:val="single" w:sz="4" w:space="0" w:color="auto"/>
            </w:tcBorders>
          </w:tcPr>
          <w:p w14:paraId="3F932242" w14:textId="77777777" w:rsidR="00DE68BE" w:rsidRPr="00822968" w:rsidRDefault="00DE68BE" w:rsidP="00003C76">
            <w:pPr>
              <w:pStyle w:val="Tabletext"/>
              <w:spacing w:line="276" w:lineRule="auto"/>
              <w:ind w:left="0" w:right="0"/>
              <w:rPr>
                <w:b w:val="0"/>
              </w:rPr>
            </w:pPr>
            <w:r w:rsidRPr="00822968">
              <w:t>Summary of safety concerns</w:t>
            </w:r>
          </w:p>
        </w:tc>
        <w:tc>
          <w:tcPr>
            <w:tcW w:w="2160" w:type="dxa"/>
            <w:gridSpan w:val="2"/>
            <w:tcBorders>
              <w:top w:val="single" w:sz="4" w:space="0" w:color="auto"/>
              <w:left w:val="single" w:sz="4" w:space="0" w:color="auto"/>
              <w:bottom w:val="single" w:sz="4" w:space="0" w:color="auto"/>
              <w:right w:val="single" w:sz="4" w:space="0" w:color="auto"/>
            </w:tcBorders>
          </w:tcPr>
          <w:p w14:paraId="0A960F94" w14:textId="77777777" w:rsidR="00DE68BE" w:rsidRPr="00822968" w:rsidRDefault="00DE68BE" w:rsidP="00003C76">
            <w:pPr>
              <w:pStyle w:val="Tabletext"/>
              <w:spacing w:line="276" w:lineRule="auto"/>
              <w:ind w:left="0" w:right="0"/>
              <w:rPr>
                <w:b w:val="0"/>
                <w:sz w:val="18"/>
              </w:rPr>
            </w:pPr>
            <w:r w:rsidRPr="00822968">
              <w:rPr>
                <w:sz w:val="18"/>
              </w:rPr>
              <w:t>Pharmacovigilance</w:t>
            </w:r>
          </w:p>
        </w:tc>
        <w:tc>
          <w:tcPr>
            <w:tcW w:w="2070" w:type="dxa"/>
            <w:gridSpan w:val="2"/>
            <w:tcBorders>
              <w:top w:val="single" w:sz="4" w:space="0" w:color="auto"/>
              <w:left w:val="single" w:sz="4" w:space="0" w:color="auto"/>
              <w:bottom w:val="single" w:sz="4" w:space="0" w:color="auto"/>
              <w:right w:val="single" w:sz="4" w:space="0" w:color="auto"/>
            </w:tcBorders>
          </w:tcPr>
          <w:p w14:paraId="39E04CD3" w14:textId="77777777" w:rsidR="00DE68BE" w:rsidRPr="00822968" w:rsidRDefault="00DE68BE" w:rsidP="00003C76">
            <w:pPr>
              <w:pStyle w:val="Tabletext"/>
              <w:spacing w:line="276" w:lineRule="auto"/>
              <w:ind w:left="0" w:right="0"/>
              <w:rPr>
                <w:b w:val="0"/>
                <w:sz w:val="18"/>
              </w:rPr>
            </w:pPr>
            <w:r w:rsidRPr="00822968">
              <w:rPr>
                <w:sz w:val="18"/>
              </w:rPr>
              <w:t>Risk minimisation</w:t>
            </w:r>
          </w:p>
        </w:tc>
      </w:tr>
      <w:tr w:rsidR="00DE68BE" w:rsidRPr="00822968" w14:paraId="668807D7" w14:textId="77777777" w:rsidTr="00003C76">
        <w:trPr>
          <w:trHeight w:val="150"/>
        </w:trPr>
        <w:tc>
          <w:tcPr>
            <w:tcW w:w="3955" w:type="dxa"/>
            <w:gridSpan w:val="2"/>
            <w:vMerge/>
            <w:tcBorders>
              <w:top w:val="single" w:sz="4" w:space="0" w:color="auto"/>
              <w:left w:val="single" w:sz="4" w:space="0" w:color="auto"/>
              <w:bottom w:val="single" w:sz="4" w:space="0" w:color="auto"/>
              <w:right w:val="single" w:sz="4" w:space="0" w:color="auto"/>
            </w:tcBorders>
            <w:shd w:val="clear" w:color="auto" w:fill="006DA7"/>
          </w:tcPr>
          <w:p w14:paraId="502F8461" w14:textId="77777777" w:rsidR="00DE68BE" w:rsidRPr="00822968" w:rsidRDefault="00DE68BE" w:rsidP="00003C76">
            <w:pPr>
              <w:pStyle w:val="Tabletext"/>
              <w:spacing w:line="276" w:lineRule="auto"/>
              <w:ind w:left="0" w:right="0"/>
              <w:rPr>
                <w:b/>
              </w:rPr>
            </w:pPr>
          </w:p>
        </w:tc>
        <w:tc>
          <w:tcPr>
            <w:tcW w:w="990" w:type="dxa"/>
            <w:tcBorders>
              <w:top w:val="single" w:sz="4" w:space="0" w:color="auto"/>
              <w:left w:val="single" w:sz="4" w:space="0" w:color="auto"/>
              <w:bottom w:val="single" w:sz="4" w:space="0" w:color="auto"/>
              <w:right w:val="single" w:sz="4" w:space="0" w:color="auto"/>
            </w:tcBorders>
            <w:shd w:val="clear" w:color="auto" w:fill="006DA7"/>
          </w:tcPr>
          <w:p w14:paraId="49F64CE3" w14:textId="77777777" w:rsidR="00DE68BE" w:rsidRPr="00822968" w:rsidRDefault="00DE68BE" w:rsidP="00003C76">
            <w:pPr>
              <w:pStyle w:val="Tabletext"/>
              <w:spacing w:line="276" w:lineRule="auto"/>
              <w:ind w:left="0" w:right="0"/>
              <w:rPr>
                <w:b/>
                <w:bCs/>
                <w:color w:val="FFFFFF" w:themeColor="background1"/>
                <w:sz w:val="18"/>
              </w:rPr>
            </w:pPr>
            <w:r w:rsidRPr="00822968">
              <w:rPr>
                <w:b/>
                <w:bCs/>
                <w:color w:val="FFFFFF" w:themeColor="background1"/>
                <w:sz w:val="18"/>
              </w:rPr>
              <w:t>Routine</w:t>
            </w:r>
          </w:p>
        </w:tc>
        <w:tc>
          <w:tcPr>
            <w:tcW w:w="1170" w:type="dxa"/>
            <w:tcBorders>
              <w:top w:val="single" w:sz="4" w:space="0" w:color="auto"/>
              <w:left w:val="single" w:sz="4" w:space="0" w:color="auto"/>
              <w:bottom w:val="single" w:sz="4" w:space="0" w:color="auto"/>
              <w:right w:val="single" w:sz="4" w:space="0" w:color="auto"/>
            </w:tcBorders>
            <w:shd w:val="clear" w:color="auto" w:fill="006DA7"/>
          </w:tcPr>
          <w:p w14:paraId="08F07D88" w14:textId="77777777" w:rsidR="00DE68BE" w:rsidRPr="00822968" w:rsidRDefault="00DE68BE" w:rsidP="00003C76">
            <w:pPr>
              <w:pStyle w:val="Tabletext"/>
              <w:spacing w:line="276" w:lineRule="auto"/>
              <w:ind w:left="0" w:right="0"/>
              <w:rPr>
                <w:b/>
                <w:bCs/>
                <w:color w:val="FFFFFF" w:themeColor="background1"/>
                <w:sz w:val="18"/>
              </w:rPr>
            </w:pPr>
            <w:r w:rsidRPr="00822968">
              <w:rPr>
                <w:b/>
                <w:bCs/>
                <w:color w:val="FFFFFF" w:themeColor="background1"/>
                <w:sz w:val="18"/>
              </w:rPr>
              <w:t>Additional</w:t>
            </w:r>
          </w:p>
        </w:tc>
        <w:tc>
          <w:tcPr>
            <w:tcW w:w="900" w:type="dxa"/>
            <w:tcBorders>
              <w:top w:val="single" w:sz="4" w:space="0" w:color="auto"/>
              <w:left w:val="single" w:sz="4" w:space="0" w:color="auto"/>
              <w:bottom w:val="single" w:sz="4" w:space="0" w:color="auto"/>
              <w:right w:val="single" w:sz="4" w:space="0" w:color="auto"/>
            </w:tcBorders>
            <w:shd w:val="clear" w:color="auto" w:fill="006DA7"/>
          </w:tcPr>
          <w:p w14:paraId="0D0C6E73" w14:textId="77777777" w:rsidR="00DE68BE" w:rsidRPr="00822968" w:rsidRDefault="00DE68BE" w:rsidP="00003C76">
            <w:pPr>
              <w:pStyle w:val="Tabletext"/>
              <w:spacing w:line="276" w:lineRule="auto"/>
              <w:ind w:left="0" w:right="0"/>
              <w:rPr>
                <w:b/>
                <w:bCs/>
                <w:color w:val="FFFFFF" w:themeColor="background1"/>
                <w:sz w:val="18"/>
              </w:rPr>
            </w:pPr>
            <w:r w:rsidRPr="00822968">
              <w:rPr>
                <w:b/>
                <w:bCs/>
                <w:color w:val="FFFFFF" w:themeColor="background1"/>
                <w:sz w:val="18"/>
              </w:rPr>
              <w:t>Routine</w:t>
            </w:r>
          </w:p>
        </w:tc>
        <w:tc>
          <w:tcPr>
            <w:tcW w:w="1170" w:type="dxa"/>
            <w:tcBorders>
              <w:top w:val="single" w:sz="4" w:space="0" w:color="auto"/>
              <w:left w:val="single" w:sz="4" w:space="0" w:color="auto"/>
              <w:bottom w:val="single" w:sz="4" w:space="0" w:color="auto"/>
              <w:right w:val="single" w:sz="4" w:space="0" w:color="auto"/>
            </w:tcBorders>
            <w:shd w:val="clear" w:color="auto" w:fill="006DA7"/>
          </w:tcPr>
          <w:p w14:paraId="30F5F36A" w14:textId="77777777" w:rsidR="00DE68BE" w:rsidRPr="00822968" w:rsidRDefault="00DE68BE" w:rsidP="00003C76">
            <w:pPr>
              <w:pStyle w:val="Tabletext"/>
              <w:spacing w:line="276" w:lineRule="auto"/>
              <w:ind w:left="0" w:right="0"/>
              <w:rPr>
                <w:b/>
                <w:bCs/>
                <w:color w:val="FFFFFF" w:themeColor="background1"/>
                <w:sz w:val="18"/>
              </w:rPr>
            </w:pPr>
            <w:r w:rsidRPr="00822968">
              <w:rPr>
                <w:b/>
                <w:bCs/>
                <w:color w:val="FFFFFF" w:themeColor="background1"/>
                <w:sz w:val="18"/>
              </w:rPr>
              <w:t>Additional</w:t>
            </w:r>
          </w:p>
        </w:tc>
      </w:tr>
      <w:tr w:rsidR="00E7132C" w:rsidRPr="00822968" w14:paraId="414D7218" w14:textId="77777777" w:rsidTr="00003C76">
        <w:trPr>
          <w:trHeight w:val="137"/>
        </w:trPr>
        <w:tc>
          <w:tcPr>
            <w:tcW w:w="1345" w:type="dxa"/>
            <w:vMerge w:val="restart"/>
            <w:tcBorders>
              <w:top w:val="single" w:sz="4" w:space="0" w:color="auto"/>
            </w:tcBorders>
          </w:tcPr>
          <w:p w14:paraId="0BA1B73F" w14:textId="77777777" w:rsidR="00E7132C" w:rsidRPr="00822968" w:rsidRDefault="00E7132C" w:rsidP="00003C76">
            <w:pPr>
              <w:pStyle w:val="Tabletext"/>
              <w:spacing w:line="276" w:lineRule="auto"/>
              <w:ind w:left="0" w:right="0"/>
              <w:rPr>
                <w:b/>
              </w:rPr>
            </w:pPr>
            <w:r w:rsidRPr="00822968">
              <w:rPr>
                <w:b/>
              </w:rPr>
              <w:t>Important identified risks</w:t>
            </w:r>
          </w:p>
        </w:tc>
        <w:tc>
          <w:tcPr>
            <w:tcW w:w="2610" w:type="dxa"/>
            <w:tcBorders>
              <w:top w:val="single" w:sz="4" w:space="0" w:color="auto"/>
            </w:tcBorders>
          </w:tcPr>
          <w:p w14:paraId="55FFB431" w14:textId="66886B3F" w:rsidR="00E7132C" w:rsidRPr="00822968" w:rsidRDefault="00E7132C" w:rsidP="00003C76">
            <w:pPr>
              <w:pStyle w:val="Tabletext"/>
              <w:spacing w:line="276" w:lineRule="auto"/>
              <w:ind w:left="0" w:right="0"/>
            </w:pPr>
            <w:r>
              <w:t>Initial rise in gonadotropin and sex steroid levels</w:t>
            </w:r>
          </w:p>
        </w:tc>
        <w:tc>
          <w:tcPr>
            <w:tcW w:w="990" w:type="dxa"/>
            <w:tcBorders>
              <w:top w:val="single" w:sz="4" w:space="0" w:color="auto"/>
            </w:tcBorders>
          </w:tcPr>
          <w:p w14:paraId="4DB0A081" w14:textId="77777777" w:rsidR="00E7132C" w:rsidRPr="00822968" w:rsidRDefault="00E7132C" w:rsidP="00003C76">
            <w:pPr>
              <w:spacing w:line="276" w:lineRule="auto"/>
              <w:ind w:left="0" w:right="0"/>
              <w:jc w:val="center"/>
            </w:pPr>
            <w:r w:rsidRPr="00822968">
              <w:sym w:font="Wingdings" w:char="F0FC"/>
            </w:r>
          </w:p>
        </w:tc>
        <w:tc>
          <w:tcPr>
            <w:tcW w:w="1170" w:type="dxa"/>
            <w:tcBorders>
              <w:top w:val="single" w:sz="4" w:space="0" w:color="auto"/>
            </w:tcBorders>
          </w:tcPr>
          <w:p w14:paraId="0C0A5380" w14:textId="77777777" w:rsidR="00E7132C" w:rsidRPr="00822968" w:rsidRDefault="00E7132C" w:rsidP="00003C76">
            <w:pPr>
              <w:pStyle w:val="Tabletext"/>
              <w:spacing w:line="276" w:lineRule="auto"/>
              <w:ind w:left="0" w:right="0"/>
              <w:jc w:val="center"/>
            </w:pPr>
            <w:r w:rsidRPr="00822968">
              <w:t>–</w:t>
            </w:r>
          </w:p>
        </w:tc>
        <w:tc>
          <w:tcPr>
            <w:tcW w:w="900" w:type="dxa"/>
            <w:tcBorders>
              <w:top w:val="single" w:sz="4" w:space="0" w:color="auto"/>
            </w:tcBorders>
          </w:tcPr>
          <w:p w14:paraId="033218CA" w14:textId="77777777" w:rsidR="00E7132C" w:rsidRPr="00822968" w:rsidRDefault="00E7132C" w:rsidP="00003C76">
            <w:pPr>
              <w:pStyle w:val="Tabletext"/>
              <w:spacing w:line="276" w:lineRule="auto"/>
              <w:ind w:left="0" w:right="0"/>
              <w:jc w:val="center"/>
            </w:pPr>
            <w:r w:rsidRPr="00822968">
              <w:sym w:font="Wingdings" w:char="F0FC"/>
            </w:r>
          </w:p>
        </w:tc>
        <w:tc>
          <w:tcPr>
            <w:tcW w:w="1170" w:type="dxa"/>
            <w:tcBorders>
              <w:top w:val="single" w:sz="4" w:space="0" w:color="auto"/>
            </w:tcBorders>
          </w:tcPr>
          <w:p w14:paraId="33EDB535" w14:textId="77777777" w:rsidR="00E7132C" w:rsidRPr="00822968" w:rsidRDefault="00E7132C" w:rsidP="00003C76">
            <w:pPr>
              <w:pStyle w:val="Tabletext"/>
              <w:spacing w:line="276" w:lineRule="auto"/>
              <w:ind w:left="0" w:right="0"/>
              <w:jc w:val="center"/>
            </w:pPr>
            <w:r w:rsidRPr="00822968">
              <w:t>–</w:t>
            </w:r>
          </w:p>
        </w:tc>
      </w:tr>
      <w:tr w:rsidR="00E7132C" w:rsidRPr="00822968" w14:paraId="6330DE37" w14:textId="77777777" w:rsidTr="00003C76">
        <w:trPr>
          <w:trHeight w:val="137"/>
        </w:trPr>
        <w:tc>
          <w:tcPr>
            <w:tcW w:w="1345" w:type="dxa"/>
            <w:vMerge/>
          </w:tcPr>
          <w:p w14:paraId="531EEA45" w14:textId="77777777" w:rsidR="00E7132C" w:rsidRPr="00822968" w:rsidRDefault="00E7132C" w:rsidP="00003C76">
            <w:pPr>
              <w:pStyle w:val="Tabletext"/>
              <w:spacing w:line="276" w:lineRule="auto"/>
              <w:ind w:left="0" w:right="0"/>
              <w:rPr>
                <w:b/>
              </w:rPr>
            </w:pPr>
          </w:p>
        </w:tc>
        <w:tc>
          <w:tcPr>
            <w:tcW w:w="2610" w:type="dxa"/>
          </w:tcPr>
          <w:p w14:paraId="640E33F4" w14:textId="7A2D318B" w:rsidR="00E7132C" w:rsidRPr="00822968" w:rsidRDefault="00E7132C" w:rsidP="00003C76">
            <w:pPr>
              <w:pStyle w:val="Tabletext"/>
              <w:spacing w:line="276" w:lineRule="auto"/>
              <w:ind w:left="0" w:right="0"/>
            </w:pPr>
            <w:r>
              <w:t>Psychiatric events</w:t>
            </w:r>
          </w:p>
        </w:tc>
        <w:tc>
          <w:tcPr>
            <w:tcW w:w="990" w:type="dxa"/>
          </w:tcPr>
          <w:p w14:paraId="0FEBFE25" w14:textId="6194A31E" w:rsidR="00E7132C" w:rsidRPr="00822968" w:rsidRDefault="00E7132C" w:rsidP="00003C76">
            <w:pPr>
              <w:ind w:left="0" w:right="0"/>
              <w:jc w:val="center"/>
            </w:pPr>
            <w:r w:rsidRPr="00822968">
              <w:sym w:font="Wingdings" w:char="F0FC"/>
            </w:r>
          </w:p>
        </w:tc>
        <w:tc>
          <w:tcPr>
            <w:tcW w:w="1170" w:type="dxa"/>
          </w:tcPr>
          <w:p w14:paraId="6B81977F" w14:textId="7B5A4E47" w:rsidR="00E7132C" w:rsidRPr="00822968" w:rsidRDefault="00E7132C" w:rsidP="00003C76">
            <w:pPr>
              <w:pStyle w:val="Tabletext"/>
              <w:spacing w:line="276" w:lineRule="auto"/>
              <w:ind w:left="0" w:right="0"/>
              <w:jc w:val="center"/>
            </w:pPr>
          </w:p>
        </w:tc>
        <w:tc>
          <w:tcPr>
            <w:tcW w:w="900" w:type="dxa"/>
          </w:tcPr>
          <w:p w14:paraId="659DDCF8" w14:textId="77777777" w:rsidR="00E7132C" w:rsidRPr="00822968" w:rsidRDefault="00E7132C" w:rsidP="00003C76">
            <w:pPr>
              <w:pStyle w:val="Tabletext"/>
              <w:spacing w:line="276" w:lineRule="auto"/>
              <w:ind w:left="0" w:right="0"/>
              <w:jc w:val="center"/>
            </w:pPr>
            <w:r w:rsidRPr="00822968">
              <w:sym w:font="Wingdings" w:char="F0FC"/>
            </w:r>
          </w:p>
        </w:tc>
        <w:tc>
          <w:tcPr>
            <w:tcW w:w="1170" w:type="dxa"/>
          </w:tcPr>
          <w:p w14:paraId="7432FD6B" w14:textId="77777777" w:rsidR="00E7132C" w:rsidRPr="00822968" w:rsidRDefault="00E7132C" w:rsidP="00003C76">
            <w:pPr>
              <w:pStyle w:val="Tabletext"/>
              <w:spacing w:line="276" w:lineRule="auto"/>
              <w:ind w:left="0" w:right="0"/>
              <w:jc w:val="center"/>
            </w:pPr>
            <w:r w:rsidRPr="00822968">
              <w:t>–</w:t>
            </w:r>
          </w:p>
        </w:tc>
      </w:tr>
      <w:tr w:rsidR="00E7132C" w:rsidRPr="00822968" w14:paraId="314F00E4" w14:textId="77777777" w:rsidTr="00003C76">
        <w:trPr>
          <w:trHeight w:val="137"/>
        </w:trPr>
        <w:tc>
          <w:tcPr>
            <w:tcW w:w="1345" w:type="dxa"/>
            <w:vMerge/>
          </w:tcPr>
          <w:p w14:paraId="463F0235" w14:textId="77777777" w:rsidR="00E7132C" w:rsidRPr="00822968" w:rsidRDefault="00E7132C" w:rsidP="00003C76">
            <w:pPr>
              <w:pStyle w:val="Tabletext"/>
              <w:spacing w:line="276" w:lineRule="auto"/>
              <w:rPr>
                <w:b/>
              </w:rPr>
            </w:pPr>
          </w:p>
        </w:tc>
        <w:tc>
          <w:tcPr>
            <w:tcW w:w="2610" w:type="dxa"/>
          </w:tcPr>
          <w:p w14:paraId="7A447C8C" w14:textId="6F9018DE" w:rsidR="00E7132C" w:rsidRDefault="00E7132C" w:rsidP="00420928">
            <w:pPr>
              <w:pStyle w:val="Tabletext"/>
              <w:spacing w:line="276" w:lineRule="auto"/>
              <w:ind w:left="0"/>
            </w:pPr>
            <w:r>
              <w:t>Convulsions</w:t>
            </w:r>
          </w:p>
        </w:tc>
        <w:tc>
          <w:tcPr>
            <w:tcW w:w="990" w:type="dxa"/>
          </w:tcPr>
          <w:p w14:paraId="306B0A23" w14:textId="1E4294FC" w:rsidR="00E7132C" w:rsidRPr="00822968" w:rsidRDefault="00E7132C" w:rsidP="00003C76">
            <w:pPr>
              <w:jc w:val="center"/>
            </w:pPr>
            <w:r w:rsidRPr="00822968">
              <w:sym w:font="Wingdings" w:char="F0FC"/>
            </w:r>
          </w:p>
        </w:tc>
        <w:tc>
          <w:tcPr>
            <w:tcW w:w="1170" w:type="dxa"/>
          </w:tcPr>
          <w:p w14:paraId="15709D2F" w14:textId="29467CCB" w:rsidR="00E7132C" w:rsidRPr="00822968" w:rsidRDefault="00E7132C" w:rsidP="00003C76">
            <w:pPr>
              <w:pStyle w:val="Tabletext"/>
              <w:spacing w:line="276" w:lineRule="auto"/>
              <w:jc w:val="center"/>
            </w:pPr>
            <w:r w:rsidRPr="00822968">
              <w:t>–</w:t>
            </w:r>
          </w:p>
        </w:tc>
        <w:tc>
          <w:tcPr>
            <w:tcW w:w="900" w:type="dxa"/>
          </w:tcPr>
          <w:p w14:paraId="1C4ADDF5" w14:textId="5650B599" w:rsidR="00E7132C" w:rsidRPr="00822968" w:rsidRDefault="00E7132C" w:rsidP="00003C76">
            <w:pPr>
              <w:pStyle w:val="Tabletext"/>
              <w:spacing w:line="276" w:lineRule="auto"/>
              <w:jc w:val="center"/>
            </w:pPr>
            <w:r w:rsidRPr="00822968">
              <w:sym w:font="Wingdings" w:char="F0FC"/>
            </w:r>
          </w:p>
        </w:tc>
        <w:tc>
          <w:tcPr>
            <w:tcW w:w="1170" w:type="dxa"/>
          </w:tcPr>
          <w:p w14:paraId="7F31B739" w14:textId="29C1DC63" w:rsidR="00E7132C" w:rsidRPr="00822968" w:rsidRDefault="00E7132C" w:rsidP="00003C76">
            <w:pPr>
              <w:pStyle w:val="Tabletext"/>
              <w:spacing w:line="276" w:lineRule="auto"/>
              <w:jc w:val="center"/>
            </w:pPr>
            <w:r w:rsidRPr="00822968">
              <w:t>–</w:t>
            </w:r>
          </w:p>
        </w:tc>
      </w:tr>
      <w:tr w:rsidR="00DE68BE" w:rsidRPr="00822968" w14:paraId="6F1765A6" w14:textId="77777777" w:rsidTr="00003C76">
        <w:trPr>
          <w:trHeight w:val="159"/>
        </w:trPr>
        <w:tc>
          <w:tcPr>
            <w:tcW w:w="1345" w:type="dxa"/>
          </w:tcPr>
          <w:p w14:paraId="64C9D6FE" w14:textId="77777777" w:rsidR="00DE68BE" w:rsidRPr="00822968" w:rsidRDefault="00DE68BE" w:rsidP="00003C76">
            <w:pPr>
              <w:pStyle w:val="Tabletext"/>
              <w:spacing w:line="276" w:lineRule="auto"/>
              <w:ind w:left="0" w:right="0"/>
              <w:rPr>
                <w:b/>
              </w:rPr>
            </w:pPr>
            <w:r w:rsidRPr="00822968">
              <w:rPr>
                <w:b/>
              </w:rPr>
              <w:t>Important potential risks</w:t>
            </w:r>
          </w:p>
        </w:tc>
        <w:tc>
          <w:tcPr>
            <w:tcW w:w="2610" w:type="dxa"/>
          </w:tcPr>
          <w:p w14:paraId="2E49C782" w14:textId="29985ABB" w:rsidR="00DE68BE" w:rsidRPr="00822968" w:rsidRDefault="00E7132C" w:rsidP="00003C76">
            <w:pPr>
              <w:pStyle w:val="Tabletext"/>
              <w:spacing w:line="276" w:lineRule="auto"/>
              <w:ind w:left="0" w:right="0"/>
            </w:pPr>
            <w:r>
              <w:t>Medication error leading to lack of efficacy</w:t>
            </w:r>
          </w:p>
        </w:tc>
        <w:tc>
          <w:tcPr>
            <w:tcW w:w="990" w:type="dxa"/>
          </w:tcPr>
          <w:p w14:paraId="5F779C05" w14:textId="5C55E9BD" w:rsidR="00DE68BE" w:rsidRPr="00822968" w:rsidRDefault="00E7132C" w:rsidP="00003C76">
            <w:pPr>
              <w:spacing w:line="276" w:lineRule="auto"/>
              <w:ind w:left="0" w:right="0"/>
              <w:jc w:val="center"/>
            </w:pPr>
            <w:r w:rsidRPr="00822968">
              <w:sym w:font="Wingdings" w:char="F0FC"/>
            </w:r>
          </w:p>
        </w:tc>
        <w:tc>
          <w:tcPr>
            <w:tcW w:w="1170" w:type="dxa"/>
          </w:tcPr>
          <w:p w14:paraId="0AA944D6" w14:textId="77777777" w:rsidR="00DE68BE" w:rsidRPr="00822968" w:rsidRDefault="00DE68BE" w:rsidP="00003C76">
            <w:pPr>
              <w:pStyle w:val="Tabletext"/>
              <w:spacing w:line="276" w:lineRule="auto"/>
              <w:ind w:left="0" w:right="0"/>
              <w:jc w:val="center"/>
            </w:pPr>
            <w:r w:rsidRPr="00822968">
              <w:t>–</w:t>
            </w:r>
          </w:p>
        </w:tc>
        <w:tc>
          <w:tcPr>
            <w:tcW w:w="900" w:type="dxa"/>
          </w:tcPr>
          <w:p w14:paraId="1AC27121" w14:textId="1F442F23" w:rsidR="00DE68BE" w:rsidRPr="00822968" w:rsidRDefault="00E7132C" w:rsidP="00003C76">
            <w:pPr>
              <w:pStyle w:val="Tabletext"/>
              <w:spacing w:line="276" w:lineRule="auto"/>
              <w:ind w:left="0" w:right="0"/>
              <w:jc w:val="center"/>
            </w:pPr>
            <w:r w:rsidRPr="00822968">
              <w:sym w:font="Wingdings" w:char="F0FC"/>
            </w:r>
            <w:r>
              <w:t>*</w:t>
            </w:r>
          </w:p>
        </w:tc>
        <w:tc>
          <w:tcPr>
            <w:tcW w:w="1170" w:type="dxa"/>
          </w:tcPr>
          <w:p w14:paraId="307AB8FC" w14:textId="77777777" w:rsidR="00DE68BE" w:rsidRPr="00822968" w:rsidRDefault="00DE68BE" w:rsidP="00003C76">
            <w:pPr>
              <w:pStyle w:val="Tabletext"/>
              <w:spacing w:line="276" w:lineRule="auto"/>
              <w:ind w:left="0" w:right="0"/>
              <w:jc w:val="center"/>
            </w:pPr>
            <w:r w:rsidRPr="00822968">
              <w:t>–</w:t>
            </w:r>
          </w:p>
        </w:tc>
      </w:tr>
      <w:tr w:rsidR="00E7132C" w:rsidRPr="00822968" w14:paraId="37AD68FD" w14:textId="77777777" w:rsidTr="00E7132C">
        <w:trPr>
          <w:trHeight w:val="655"/>
        </w:trPr>
        <w:tc>
          <w:tcPr>
            <w:tcW w:w="1345" w:type="dxa"/>
          </w:tcPr>
          <w:p w14:paraId="6FA383CB" w14:textId="77777777" w:rsidR="00E7132C" w:rsidRPr="00822968" w:rsidRDefault="00E7132C" w:rsidP="00003C76">
            <w:pPr>
              <w:pStyle w:val="Tabletext"/>
              <w:spacing w:line="276" w:lineRule="auto"/>
              <w:ind w:left="0" w:right="0"/>
            </w:pPr>
            <w:r w:rsidRPr="00822968">
              <w:rPr>
                <w:b/>
              </w:rPr>
              <w:t>Missing Information</w:t>
            </w:r>
          </w:p>
        </w:tc>
        <w:tc>
          <w:tcPr>
            <w:tcW w:w="2610" w:type="dxa"/>
          </w:tcPr>
          <w:p w14:paraId="6F03F190" w14:textId="1D143050" w:rsidR="00E7132C" w:rsidRPr="00822968" w:rsidRDefault="00E7132C" w:rsidP="00003C76">
            <w:pPr>
              <w:pStyle w:val="Tabletext"/>
              <w:spacing w:line="276" w:lineRule="auto"/>
              <w:ind w:left="0" w:right="0"/>
            </w:pPr>
            <w:r>
              <w:t>None</w:t>
            </w:r>
          </w:p>
        </w:tc>
        <w:tc>
          <w:tcPr>
            <w:tcW w:w="990" w:type="dxa"/>
          </w:tcPr>
          <w:p w14:paraId="05571408" w14:textId="4FFFAD24" w:rsidR="00E7132C" w:rsidRPr="00822968" w:rsidRDefault="00E7132C" w:rsidP="00E7132C">
            <w:pPr>
              <w:spacing w:line="276" w:lineRule="auto"/>
              <w:ind w:left="0" w:right="0"/>
              <w:jc w:val="center"/>
            </w:pPr>
            <w:r w:rsidRPr="00822968">
              <w:t>–</w:t>
            </w:r>
          </w:p>
        </w:tc>
        <w:tc>
          <w:tcPr>
            <w:tcW w:w="1170" w:type="dxa"/>
          </w:tcPr>
          <w:p w14:paraId="78A82DFA" w14:textId="674F96BA" w:rsidR="00E7132C" w:rsidRPr="00822968" w:rsidRDefault="00E7132C" w:rsidP="00E7132C">
            <w:pPr>
              <w:pStyle w:val="Tabletext"/>
              <w:spacing w:line="276" w:lineRule="auto"/>
              <w:ind w:left="0" w:right="0"/>
              <w:jc w:val="center"/>
            </w:pPr>
            <w:r w:rsidRPr="00822968">
              <w:t>–</w:t>
            </w:r>
          </w:p>
        </w:tc>
        <w:tc>
          <w:tcPr>
            <w:tcW w:w="900" w:type="dxa"/>
          </w:tcPr>
          <w:p w14:paraId="66F8BD10" w14:textId="4DDF8777" w:rsidR="00E7132C" w:rsidRPr="00822968" w:rsidRDefault="00E7132C" w:rsidP="00E7132C">
            <w:pPr>
              <w:pStyle w:val="Tabletext"/>
              <w:spacing w:line="276" w:lineRule="auto"/>
              <w:ind w:left="0" w:right="0"/>
              <w:jc w:val="center"/>
            </w:pPr>
            <w:r w:rsidRPr="00822968">
              <w:t>–</w:t>
            </w:r>
          </w:p>
        </w:tc>
        <w:tc>
          <w:tcPr>
            <w:tcW w:w="1170" w:type="dxa"/>
          </w:tcPr>
          <w:p w14:paraId="6F7A08B8" w14:textId="1342161D" w:rsidR="00E7132C" w:rsidRPr="00822968" w:rsidRDefault="00E7132C" w:rsidP="00E7132C">
            <w:pPr>
              <w:pStyle w:val="Tabletext"/>
              <w:spacing w:line="276" w:lineRule="auto"/>
              <w:ind w:left="0" w:right="0"/>
              <w:jc w:val="center"/>
            </w:pPr>
            <w:r w:rsidRPr="00822968">
              <w:t>–</w:t>
            </w:r>
          </w:p>
        </w:tc>
      </w:tr>
    </w:tbl>
    <w:p w14:paraId="0C34D68F" w14:textId="65D015EA" w:rsidR="00DE68BE" w:rsidRDefault="00E7132C" w:rsidP="00E7132C">
      <w:pPr>
        <w:pStyle w:val="TableDescription"/>
      </w:pPr>
      <w:r>
        <w:t xml:space="preserve">*Pack </w:t>
      </w:r>
      <w:proofErr w:type="gramStart"/>
      <w:r>
        <w:t>insert</w:t>
      </w:r>
      <w:proofErr w:type="gramEnd"/>
      <w:r>
        <w:t xml:space="preserve"> mixing procedure</w:t>
      </w:r>
    </w:p>
    <w:p w14:paraId="3605BBA9" w14:textId="77777777" w:rsidR="00D128BF" w:rsidRDefault="00DE68BE" w:rsidP="00DE68BE">
      <w:r w:rsidRPr="00DE68BE">
        <w:t xml:space="preserve">The sponsor has confirmed that </w:t>
      </w:r>
      <w:r>
        <w:t>‘</w:t>
      </w:r>
      <w:r w:rsidRPr="00DE68BE">
        <w:t>Medication error</w:t>
      </w:r>
      <w:r>
        <w:t>’</w:t>
      </w:r>
      <w:r w:rsidRPr="00DE68BE">
        <w:t xml:space="preserve"> (</w:t>
      </w:r>
      <w:r>
        <w:t>that is,</w:t>
      </w:r>
      <w:r w:rsidRPr="00DE68BE">
        <w:t xml:space="preserve"> handling errors) will be identified as an issue of special concern in the </w:t>
      </w:r>
      <w:r w:rsidR="006D6B0F">
        <w:t>periodic safety update report (</w:t>
      </w:r>
      <w:r w:rsidRPr="00DE68BE">
        <w:t>PSUR</w:t>
      </w:r>
      <w:r w:rsidR="006D6B0F">
        <w:t>)</w:t>
      </w:r>
      <w:r w:rsidRPr="00DE68BE">
        <w:t>.</w:t>
      </w:r>
    </w:p>
    <w:p w14:paraId="67B2723B" w14:textId="6024A44D" w:rsidR="00DE68BE" w:rsidRDefault="00DE68BE" w:rsidP="00DE68BE">
      <w:r w:rsidRPr="00DE68BE">
        <w:t>There are no new or outstanding</w:t>
      </w:r>
      <w:r w:rsidR="00AC08F5">
        <w:t xml:space="preserve"> RMP</w:t>
      </w:r>
      <w:r w:rsidRPr="00DE68BE">
        <w:t xml:space="preserve"> recommendations.</w:t>
      </w:r>
    </w:p>
    <w:p w14:paraId="2152C8B0" w14:textId="3C092004" w:rsidR="00E7132C" w:rsidRDefault="00E7132C" w:rsidP="00E7132C">
      <w:pPr>
        <w:pStyle w:val="Heading4"/>
      </w:pPr>
      <w:r>
        <w:t>R</w:t>
      </w:r>
      <w:r w:rsidR="00824C3D">
        <w:t>isk management plan</w:t>
      </w:r>
      <w:r>
        <w:t xml:space="preserve"> evaluator recommendations regarding conditions of registration</w:t>
      </w:r>
    </w:p>
    <w:p w14:paraId="7FE9D1E4" w14:textId="238E8A4B" w:rsidR="00E7132C" w:rsidRDefault="00E7132C" w:rsidP="00E7132C">
      <w:pPr>
        <w:pStyle w:val="Heading5"/>
      </w:pPr>
      <w:r>
        <w:t>Wording for conditions of registration</w:t>
      </w:r>
    </w:p>
    <w:p w14:paraId="0D733DFC" w14:textId="39E918F1" w:rsidR="00820B67" w:rsidRDefault="00E7132C" w:rsidP="00E7132C">
      <w:r>
        <w:t xml:space="preserve">Any changes to which the sponsor has agreed should be included in a revised </w:t>
      </w:r>
      <w:r w:rsidR="00A72959">
        <w:t>RMP</w:t>
      </w:r>
      <w:r w:rsidR="00006845">
        <w:t xml:space="preserve"> </w:t>
      </w:r>
      <w:r>
        <w:t>and A</w:t>
      </w:r>
      <w:r w:rsidR="00006845">
        <w:t>ustralia specific annex</w:t>
      </w:r>
      <w:r>
        <w:t xml:space="preserve">. However, irrespective of </w:t>
      </w:r>
      <w:proofErr w:type="gramStart"/>
      <w:r>
        <w:t>whether or not</w:t>
      </w:r>
      <w:proofErr w:type="gramEnd"/>
      <w:r>
        <w:t xml:space="preserve"> they are included in the </w:t>
      </w:r>
      <w:r>
        <w:lastRenderedPageBreak/>
        <w:t xml:space="preserve">currently available version of the </w:t>
      </w:r>
      <w:r w:rsidR="00A72959">
        <w:t>RMP</w:t>
      </w:r>
      <w:r>
        <w:t xml:space="preserve"> document, the agreed changes become part of the risk management system.</w:t>
      </w:r>
    </w:p>
    <w:p w14:paraId="1F1568ED" w14:textId="77777777" w:rsidR="00820B67" w:rsidRDefault="00E7132C" w:rsidP="00E7132C">
      <w:r>
        <w:t>The suggested wording is:</w:t>
      </w:r>
    </w:p>
    <w:p w14:paraId="7C688DCD" w14:textId="191D9623" w:rsidR="00E7132C" w:rsidRDefault="00E7132C" w:rsidP="00E7132C">
      <w:pPr>
        <w:ind w:left="720"/>
      </w:pPr>
      <w:r>
        <w:t xml:space="preserve">The </w:t>
      </w:r>
      <w:proofErr w:type="spellStart"/>
      <w:r>
        <w:t>Eligard</w:t>
      </w:r>
      <w:proofErr w:type="spellEnd"/>
      <w:r>
        <w:t xml:space="preserve"> AU-Risk Management Plan (RMP) (version 0.2, dated 7 April 2022, data lock point 20 April 2021), included with submission PM-2021-01406-1-5, and any subsequent revisions, as agreed with the TGA will be implemented in Australia.</w:t>
      </w:r>
    </w:p>
    <w:p w14:paraId="5214F113" w14:textId="77777777" w:rsidR="00E7132C" w:rsidRDefault="00E7132C" w:rsidP="00E7132C">
      <w:r>
        <w:t>The following wording is recommended for the PSUR:</w:t>
      </w:r>
    </w:p>
    <w:p w14:paraId="08714CA2" w14:textId="77777777" w:rsidR="00E7132C" w:rsidRDefault="00E7132C" w:rsidP="00E7132C">
      <w:pPr>
        <w:ind w:left="720"/>
      </w:pPr>
      <w:r>
        <w:t>An obligatory component of risk management plans is routine pharmacovigilance. Routine pharmacovigilance includes the submission of periodic safety update reports (PSURs).</w:t>
      </w:r>
    </w:p>
    <w:p w14:paraId="725EB0F3" w14:textId="77777777" w:rsidR="00820B67" w:rsidRDefault="00E7132C" w:rsidP="00E7132C">
      <w:pPr>
        <w:ind w:left="720"/>
      </w:pPr>
      <w:r>
        <w:t>Reports are to be provided in line with the current published list of EU reference dates and frequency of submission of PSURs until the period covered by such reports is not less than three years from the date of this approval letter.</w:t>
      </w:r>
    </w:p>
    <w:p w14:paraId="54A702FC" w14:textId="77777777" w:rsidR="00820B67" w:rsidRDefault="00E7132C" w:rsidP="00E7132C">
      <w:pPr>
        <w:ind w:left="72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230FCD44" w14:textId="35B750E4" w:rsidR="00E7132C" w:rsidRDefault="00E7132C" w:rsidP="00E7132C">
      <w:r>
        <w:t xml:space="preserve">As the indications for </w:t>
      </w:r>
      <w:proofErr w:type="spellStart"/>
      <w:r>
        <w:t>Eligard</w:t>
      </w:r>
      <w:proofErr w:type="spellEnd"/>
      <w:r>
        <w:t xml:space="preserve"> are being extended into a significantly different population and condition it should be included in the Black Triangle Scheme as a condition of registration. The following wording is recommended for the condition of registration:</w:t>
      </w:r>
    </w:p>
    <w:p w14:paraId="7C491D05" w14:textId="32328C64" w:rsidR="00E7132C" w:rsidRPr="00DE68BE" w:rsidRDefault="00E7132C" w:rsidP="00E7132C">
      <w:pPr>
        <w:ind w:left="720"/>
      </w:pPr>
      <w:proofErr w:type="spellStart"/>
      <w:r>
        <w:t>Eligard</w:t>
      </w:r>
      <w:proofErr w:type="spellEnd"/>
      <w:r>
        <w:t xml:space="preserve"> (leuprorelin acetate) is to be included in the Black Triangle Scheme. The PI and CMI for </w:t>
      </w:r>
      <w:proofErr w:type="spellStart"/>
      <w:r>
        <w:t>Eligard</w:t>
      </w:r>
      <w:proofErr w:type="spellEnd"/>
      <w:r>
        <w:t xml:space="preserve"> must include the black triangle symbol and mandatory accompanying text for five years, which starts from the date the new indication is registered.</w:t>
      </w:r>
    </w:p>
    <w:p w14:paraId="52E94DE4" w14:textId="77777777" w:rsidR="008E7846" w:rsidRDefault="00AA0ED0" w:rsidP="008E7846">
      <w:pPr>
        <w:pStyle w:val="Heading3"/>
      </w:pPr>
      <w:bookmarkStart w:id="60" w:name="_Toc128748367"/>
      <w:r w:rsidRPr="00006845">
        <w:t>Risk-benefit a</w:t>
      </w:r>
      <w:r w:rsidR="008E7846" w:rsidRPr="00006845">
        <w:t>nalysis</w:t>
      </w:r>
      <w:bookmarkEnd w:id="55"/>
      <w:bookmarkEnd w:id="56"/>
      <w:bookmarkEnd w:id="60"/>
    </w:p>
    <w:p w14:paraId="5B5E0DDA" w14:textId="77777777" w:rsidR="0074163C" w:rsidRDefault="0074163C" w:rsidP="0074163C">
      <w:pPr>
        <w:pStyle w:val="Heading4"/>
      </w:pPr>
      <w:bookmarkStart w:id="61" w:name="_Toc98931932"/>
      <w:r>
        <w:t>Delegate’s considerations</w:t>
      </w:r>
      <w:bookmarkEnd w:id="61"/>
    </w:p>
    <w:p w14:paraId="1EE147E2" w14:textId="77777777" w:rsidR="00E7132C" w:rsidRDefault="00E7132C" w:rsidP="00E7132C">
      <w:pPr>
        <w:pStyle w:val="Heading5"/>
      </w:pPr>
      <w:r>
        <w:t>Efficacy</w:t>
      </w:r>
    </w:p>
    <w:p w14:paraId="438F6857" w14:textId="08747EC3" w:rsidR="00E7132C" w:rsidRDefault="00E7132C" w:rsidP="00E7132C">
      <w:r>
        <w:t xml:space="preserve">The </w:t>
      </w:r>
      <w:r w:rsidR="00D128BF">
        <w:t>pharmacokinetics (</w:t>
      </w:r>
      <w:r>
        <w:t>PK</w:t>
      </w:r>
      <w:r w:rsidR="00D128BF">
        <w:t>)</w:t>
      </w:r>
      <w:r>
        <w:t xml:space="preserve"> of </w:t>
      </w:r>
      <w:proofErr w:type="spellStart"/>
      <w:r>
        <w:t>E</w:t>
      </w:r>
      <w:r w:rsidR="00006845">
        <w:t>ligard</w:t>
      </w:r>
      <w:proofErr w:type="spellEnd"/>
      <w:r>
        <w:t xml:space="preserve"> (leuprorelin acetate) 45 m</w:t>
      </w:r>
      <w:r w:rsidR="00006845">
        <w:t>g</w:t>
      </w:r>
      <w:r>
        <w:t xml:space="preserve"> modified release</w:t>
      </w:r>
      <w:r w:rsidR="00006845">
        <w:t xml:space="preserve"> injection</w:t>
      </w:r>
      <w:r w:rsidR="00AC08F5">
        <w:t>, to be given</w:t>
      </w:r>
      <w:r w:rsidR="00E571A5">
        <w:t xml:space="preserve"> a once every </w:t>
      </w:r>
      <w:r>
        <w:t>6 month</w:t>
      </w:r>
      <w:r w:rsidR="00E571A5">
        <w:t>s</w:t>
      </w:r>
      <w:r w:rsidR="00D128BF">
        <w:t xml:space="preserve"> injection</w:t>
      </w:r>
      <w:r w:rsidR="00AC08F5">
        <w:t xml:space="preserve"> (</w:t>
      </w:r>
      <w:proofErr w:type="spellStart"/>
      <w:r w:rsidR="00AC08F5">
        <w:t>Eligard</w:t>
      </w:r>
      <w:proofErr w:type="spellEnd"/>
      <w:r w:rsidR="00AC08F5">
        <w:t xml:space="preserve"> 6 month)</w:t>
      </w:r>
      <w:r>
        <w:t xml:space="preserve"> in the paediatric population and in the proposed usage have been adequately characterised.</w:t>
      </w:r>
      <w:r w:rsidR="00820B67">
        <w:t xml:space="preserve"> </w:t>
      </w:r>
      <w:r>
        <w:t xml:space="preserve">The submitted data demonstrate adequate, and sustained exposure to leuprorelin over a </w:t>
      </w:r>
      <w:proofErr w:type="gramStart"/>
      <w:r w:rsidR="00F876AA">
        <w:t>six</w:t>
      </w:r>
      <w:r w:rsidR="00006845">
        <w:t xml:space="preserve"> </w:t>
      </w:r>
      <w:r>
        <w:t>month</w:t>
      </w:r>
      <w:proofErr w:type="gramEnd"/>
      <w:r>
        <w:t xml:space="preserve"> period.</w:t>
      </w:r>
      <w:r w:rsidR="00820B67">
        <w:t xml:space="preserve"> </w:t>
      </w:r>
      <w:r>
        <w:t>The data indicate no significant accumulation with a second dose.</w:t>
      </w:r>
    </w:p>
    <w:p w14:paraId="6FA2B721" w14:textId="710A64AD" w:rsidR="00E7132C" w:rsidRDefault="00E7132C" w:rsidP="00E7132C">
      <w:r>
        <w:t xml:space="preserve">The data were not suitable for determining clearance or </w:t>
      </w:r>
      <w:r w:rsidR="00D128BF">
        <w:t>half-life</w:t>
      </w:r>
      <w:r>
        <w:t>.</w:t>
      </w:r>
      <w:r w:rsidR="00820B67">
        <w:t xml:space="preserve"> </w:t>
      </w:r>
      <w:r>
        <w:t xml:space="preserve">The formulation and release characteristics of </w:t>
      </w:r>
      <w:proofErr w:type="spellStart"/>
      <w:r w:rsidR="00006845">
        <w:t>Eligard</w:t>
      </w:r>
      <w:proofErr w:type="spellEnd"/>
      <w:r w:rsidR="00006845">
        <w:t xml:space="preserve"> </w:t>
      </w:r>
      <w:r w:rsidR="00E571A5">
        <w:t>(</w:t>
      </w:r>
      <w:proofErr w:type="spellStart"/>
      <w:r w:rsidR="00AC08F5">
        <w:t>Eligard</w:t>
      </w:r>
      <w:proofErr w:type="spellEnd"/>
      <w:r w:rsidR="00AC08F5">
        <w:t xml:space="preserve"> 6 month</w:t>
      </w:r>
      <w:r w:rsidR="00E571A5">
        <w:t>)</w:t>
      </w:r>
      <w:r w:rsidR="00006845">
        <w:t xml:space="preserve"> </w:t>
      </w:r>
      <w:r>
        <w:t>result in a constant infusion of leuprorelin, but as the rate of infusion is not identifiable with the data presented in Study</w:t>
      </w:r>
      <w:r w:rsidR="00AC08F5">
        <w:t> </w:t>
      </w:r>
      <w:r>
        <w:t>TOL2581A, neither is the rate of elimination. This is considered acceptable as exposure to leuprorelin is the main consideration for this application.</w:t>
      </w:r>
    </w:p>
    <w:p w14:paraId="505871E9" w14:textId="36C533F0" w:rsidR="00E7132C" w:rsidRDefault="00E7132C" w:rsidP="00E7132C">
      <w:r>
        <w:t xml:space="preserve">The </w:t>
      </w:r>
      <w:r w:rsidR="00D128BF">
        <w:t>pharmacodynamics (</w:t>
      </w:r>
      <w:r w:rsidR="00006845">
        <w:t>PD</w:t>
      </w:r>
      <w:r w:rsidR="00D128BF">
        <w:t>)</w:t>
      </w:r>
      <w:r>
        <w:t xml:space="preserve"> of </w:t>
      </w:r>
      <w:proofErr w:type="spellStart"/>
      <w:r>
        <w:t>E</w:t>
      </w:r>
      <w:r w:rsidR="00006845">
        <w:t>ligard</w:t>
      </w:r>
      <w:proofErr w:type="spellEnd"/>
      <w:r w:rsidR="00006845">
        <w:t xml:space="preserve"> </w:t>
      </w:r>
      <w:r w:rsidR="00AC08F5">
        <w:t>(</w:t>
      </w:r>
      <w:proofErr w:type="spellStart"/>
      <w:r w:rsidR="00AC08F5">
        <w:t>Eligard</w:t>
      </w:r>
      <w:proofErr w:type="spellEnd"/>
      <w:r w:rsidR="00AC08F5">
        <w:t xml:space="preserve"> 6 month) </w:t>
      </w:r>
      <w:r>
        <w:t>in the paediatric population and in the proposed usage have been adequately characterised.</w:t>
      </w:r>
      <w:r w:rsidR="00820B67">
        <w:t xml:space="preserve"> </w:t>
      </w:r>
      <w:r>
        <w:t>The submitted data demonstrate onset and time</w:t>
      </w:r>
      <w:r w:rsidR="00006845">
        <w:t xml:space="preserve"> </w:t>
      </w:r>
      <w:r>
        <w:t>course of effect.</w:t>
      </w:r>
      <w:r w:rsidR="00820B67">
        <w:t xml:space="preserve"> </w:t>
      </w:r>
      <w:r>
        <w:t xml:space="preserve">The data indicate suppression of pituitary gonadotropin secretion and suppression of </w:t>
      </w:r>
      <w:proofErr w:type="spellStart"/>
      <w:r w:rsidR="00006845">
        <w:t>estradiol</w:t>
      </w:r>
      <w:proofErr w:type="spellEnd"/>
      <w:r>
        <w:t xml:space="preserve"> and testosterone secretion.</w:t>
      </w:r>
    </w:p>
    <w:p w14:paraId="6C16DA79" w14:textId="18CCF0EE" w:rsidR="00E7132C" w:rsidRDefault="00E7132C" w:rsidP="00E7132C">
      <w:r>
        <w:t>There were no dose</w:t>
      </w:r>
      <w:r w:rsidR="00006845">
        <w:t xml:space="preserve"> </w:t>
      </w:r>
      <w:r>
        <w:t>ranging studies.</w:t>
      </w:r>
      <w:r w:rsidR="00820B67">
        <w:t xml:space="preserve"> </w:t>
      </w:r>
      <w:r>
        <w:t xml:space="preserve">However, the PK and </w:t>
      </w:r>
      <w:r w:rsidR="00006845">
        <w:t>PD</w:t>
      </w:r>
      <w:r>
        <w:t xml:space="preserve"> data indicate sufficient suppression of pituitary gonadotropin secretion and suppression of </w:t>
      </w:r>
      <w:proofErr w:type="spellStart"/>
      <w:r w:rsidR="00006845">
        <w:t>estradiol</w:t>
      </w:r>
      <w:proofErr w:type="spellEnd"/>
      <w:r>
        <w:t xml:space="preserve"> and </w:t>
      </w:r>
      <w:r>
        <w:lastRenderedPageBreak/>
        <w:t>testosterone secretion at the proposed dosage.</w:t>
      </w:r>
      <w:r w:rsidR="00820B67">
        <w:t xml:space="preserve"> </w:t>
      </w:r>
      <w:r>
        <w:t>The data also indicate acceptable onset and time</w:t>
      </w:r>
      <w:r w:rsidR="00BD4FFB">
        <w:t xml:space="preserve"> </w:t>
      </w:r>
      <w:r>
        <w:t>course of effect with the proposed dosage.</w:t>
      </w:r>
    </w:p>
    <w:p w14:paraId="40F167F0" w14:textId="46665807" w:rsidR="00820B67" w:rsidRDefault="00E7132C" w:rsidP="00E7132C">
      <w:r>
        <w:t>It appears that it would have been difficult to design a blinded study.</w:t>
      </w:r>
      <w:r w:rsidR="00820B67">
        <w:t xml:space="preserve"> </w:t>
      </w:r>
      <w:r>
        <w:t xml:space="preserve">The delivery system for </w:t>
      </w:r>
      <w:proofErr w:type="spellStart"/>
      <w:r>
        <w:t>E</w:t>
      </w:r>
      <w:r w:rsidR="00006845">
        <w:t>ligard</w:t>
      </w:r>
      <w:proofErr w:type="spellEnd"/>
      <w:r w:rsidR="00006845">
        <w:t xml:space="preserve"> </w:t>
      </w:r>
      <w:r>
        <w:t>does not enable a placebo to be developed.</w:t>
      </w:r>
      <w:r w:rsidR="00820B67">
        <w:t xml:space="preserve"> </w:t>
      </w:r>
      <w:r>
        <w:t xml:space="preserve">There is a </w:t>
      </w:r>
      <w:proofErr w:type="gramStart"/>
      <w:r>
        <w:t>two</w:t>
      </w:r>
      <w:r w:rsidR="00006845">
        <w:t xml:space="preserve"> </w:t>
      </w:r>
      <w:r>
        <w:t>syringe</w:t>
      </w:r>
      <w:proofErr w:type="gramEnd"/>
      <w:r>
        <w:t xml:space="preserve"> system that requires mixing immediately prior to administration.</w:t>
      </w:r>
      <w:r w:rsidR="00820B67">
        <w:t xml:space="preserve"> </w:t>
      </w:r>
      <w:r>
        <w:t>This means that blinding of investigators and participants to treatment would not be possible. This is considered acceptable.</w:t>
      </w:r>
    </w:p>
    <w:p w14:paraId="4CA67038" w14:textId="7B65D55E" w:rsidR="00820B67" w:rsidRDefault="00E7132C" w:rsidP="00E7132C">
      <w:r>
        <w:t xml:space="preserve">The study inclusion criteria are in alignment with diagnostic criteria for </w:t>
      </w:r>
      <w:r w:rsidR="00D128BF">
        <w:t>central precocious puberty (</w:t>
      </w:r>
      <w:r>
        <w:t>CPP</w:t>
      </w:r>
      <w:r w:rsidR="00D128BF">
        <w:t>),</w:t>
      </w:r>
      <w:r w:rsidR="00820B67">
        <w:t xml:space="preserve"> </w:t>
      </w:r>
      <w:r w:rsidR="00D128BF">
        <w:t>h</w:t>
      </w:r>
      <w:r>
        <w:t>ence</w:t>
      </w:r>
      <w:r w:rsidR="00D128BF">
        <w:t>,</w:t>
      </w:r>
      <w:r>
        <w:t xml:space="preserve"> the study population were representative of the target population in Australia. The study treatment was administered at the same dose and in the same manner as that proposed in Australia. This is considered acceptable.</w:t>
      </w:r>
    </w:p>
    <w:p w14:paraId="4B478B18" w14:textId="082D4B17" w:rsidR="00E7132C" w:rsidRDefault="00E7132C" w:rsidP="00E7132C">
      <w:r>
        <w:t xml:space="preserve">While the study only included </w:t>
      </w:r>
      <w:r w:rsidR="00006845">
        <w:t>two</w:t>
      </w:r>
      <w:r>
        <w:t xml:space="preserve"> males, the ratio of boys to girls in the study population is comparable to the general population of children with CPP.</w:t>
      </w:r>
      <w:r w:rsidR="00820B67">
        <w:t xml:space="preserve"> </w:t>
      </w:r>
      <w:r>
        <w:t>Organic forms of CPP are common in males, but study eligibility excluded intracranial tumours making the final enrolled population highly likely to have idiopathic CPP and more weighted toward females.</w:t>
      </w:r>
    </w:p>
    <w:p w14:paraId="3AA4D87E" w14:textId="4E82977C" w:rsidR="00820B67" w:rsidRDefault="00E7132C" w:rsidP="00E7132C">
      <w:r>
        <w:t>Efficacy can be extrapolated from females to males because the underlying mechanism of CPP (dysfunction of the hypothalamic</w:t>
      </w:r>
      <w:r w:rsidR="00006845">
        <w:t xml:space="preserve"> </w:t>
      </w:r>
      <w:r>
        <w:t>pituitary</w:t>
      </w:r>
      <w:r w:rsidR="00006845">
        <w:t xml:space="preserve"> </w:t>
      </w:r>
      <w:r>
        <w:t xml:space="preserve">gonadal axis) is the same for both sexes and suppression of </w:t>
      </w:r>
      <w:r w:rsidR="00D128BF">
        <w:t>luteinising hormone (</w:t>
      </w:r>
      <w:r>
        <w:t>LH</w:t>
      </w:r>
      <w:r w:rsidR="00D128BF">
        <w:t>)</w:t>
      </w:r>
      <w:r>
        <w:t xml:space="preserve"> is a direct measure of the pharmacological effect of </w:t>
      </w:r>
      <w:r w:rsidR="00B40A4F">
        <w:t>leuprorelin</w:t>
      </w:r>
      <w:r>
        <w:t xml:space="preserve"> acetate on the</w:t>
      </w:r>
      <w:r w:rsidR="002D5B62">
        <w:t xml:space="preserve"> hypothalamic pituitary gonadal </w:t>
      </w:r>
      <w:r>
        <w:t>axis, regardless of sex.</w:t>
      </w:r>
      <w:r w:rsidR="00820B67">
        <w:t xml:space="preserve"> </w:t>
      </w:r>
      <w:r>
        <w:t xml:space="preserve">Treatment of CPP is the same for both males and females; in other studies, evaluating </w:t>
      </w:r>
      <w:r w:rsidR="00D128BF">
        <w:t xml:space="preserve">gonadotrophin release hormone (GnRH) agonists </w:t>
      </w:r>
      <w:r>
        <w:t>in patients with CPP, no major differences in efficacy have been observed related to patient sex. This is considered acceptable.</w:t>
      </w:r>
    </w:p>
    <w:p w14:paraId="135E33AF" w14:textId="58054EB8" w:rsidR="00820B67" w:rsidRDefault="00E7132C" w:rsidP="00E7132C">
      <w:r>
        <w:t>The outcome measures reflected diagnostic and monitoring criteria for CPP.</w:t>
      </w:r>
      <w:r w:rsidR="00820B67">
        <w:t xml:space="preserve"> </w:t>
      </w:r>
      <w:r>
        <w:t>The primary outcome measure was the outcome that is used to determine the presence of CPP.</w:t>
      </w:r>
      <w:r w:rsidR="00820B67">
        <w:t xml:space="preserve"> </w:t>
      </w:r>
      <w:r>
        <w:t xml:space="preserve">Hence, the principal outcome measure reflects clinical practice. </w:t>
      </w:r>
      <w:r w:rsidR="009E69DA">
        <w:t>T</w:t>
      </w:r>
      <w:r>
        <w:t xml:space="preserve">he sample size calculation was based on demonstrating success </w:t>
      </w:r>
      <w:r w:rsidR="002D5B62">
        <w:t xml:space="preserve">greater than </w:t>
      </w:r>
      <w:r>
        <w:t>70%.</w:t>
      </w:r>
      <w:r w:rsidR="00820B67">
        <w:t xml:space="preserve"> </w:t>
      </w:r>
      <w:r>
        <w:t xml:space="preserve">The proportion (95% </w:t>
      </w:r>
      <w:r w:rsidR="00E571A5">
        <w:t>confidence intervals (</w:t>
      </w:r>
      <w:r>
        <w:t>CI</w:t>
      </w:r>
      <w:r w:rsidR="00E571A5">
        <w:t>)</w:t>
      </w:r>
      <w:r>
        <w:t>) for success was 87.1 (76.1 to 94.3)</w:t>
      </w:r>
      <w:r w:rsidR="006F6B25">
        <w:t xml:space="preserve"> </w:t>
      </w:r>
      <w:r>
        <w:t>% (using Stata Version 16</w:t>
      </w:r>
      <w:r w:rsidR="00E571A5">
        <w:t xml:space="preserve"> software</w:t>
      </w:r>
      <w:r>
        <w:t xml:space="preserve"> to calculate the 95% CIs for proportions)</w:t>
      </w:r>
      <w:r w:rsidR="00E571A5">
        <w:t>,</w:t>
      </w:r>
      <w:r w:rsidR="00820B67">
        <w:t xml:space="preserve"> </w:t>
      </w:r>
      <w:r w:rsidR="00E571A5">
        <w:t>h</w:t>
      </w:r>
      <w:r>
        <w:t>ence, using this approach, the study demonstrated an acceptable response rate. This is considered acceptable.</w:t>
      </w:r>
    </w:p>
    <w:p w14:paraId="0CFB0887" w14:textId="7F71CDD9" w:rsidR="00820B67" w:rsidRDefault="00E7132C" w:rsidP="00E7132C">
      <w:r>
        <w:t>In summary, in the primary analysis, 87% of patients achieved pre-pubertal levels of GnRH</w:t>
      </w:r>
      <w:r w:rsidR="002D5B62">
        <w:t xml:space="preserve"> </w:t>
      </w:r>
      <w:r>
        <w:t>stimulated LH (</w:t>
      </w:r>
      <w:r w:rsidR="00006845">
        <w:t>less than</w:t>
      </w:r>
      <w:r>
        <w:t xml:space="preserve"> 4 IU/L) at 24 weeks, and a similar level of LH suppression (86%) was also seen at 48 weeks. Secondary efficacy endpoints supported the primary endpoint findings. Consistent with suppression of LH, </w:t>
      </w:r>
      <w:proofErr w:type="spellStart"/>
      <w:r>
        <w:t>estradiol</w:t>
      </w:r>
      <w:proofErr w:type="spellEnd"/>
      <w:r>
        <w:t xml:space="preserve"> levels were decreased to pre</w:t>
      </w:r>
      <w:r w:rsidR="002D5B62">
        <w:t>-</w:t>
      </w:r>
      <w:r>
        <w:t>pubertal levels in 98% and 100% of girls at 24 and 48 weeks, respectively, and testosterone was decreased to pre</w:t>
      </w:r>
      <w:r w:rsidR="00E571A5">
        <w:t>-</w:t>
      </w:r>
      <w:r>
        <w:t>pubertal levels in the two boys in the study at 24 weeks, although one boy had an increase in testosterone to just above the pre</w:t>
      </w:r>
      <w:r w:rsidR="00E571A5">
        <w:t>-</w:t>
      </w:r>
      <w:r>
        <w:t xml:space="preserve">pubertal level at </w:t>
      </w:r>
      <w:r w:rsidR="00F876AA">
        <w:t>W</w:t>
      </w:r>
      <w:r>
        <w:t xml:space="preserve">eek 48. In addition, growth velocity, which is accelerated in CPP, was consistently decreased </w:t>
      </w:r>
      <w:r w:rsidR="00B40A4F">
        <w:t>from Baseline</w:t>
      </w:r>
      <w:r>
        <w:t xml:space="preserve"> at both 24 and 48 weeks and there was limited further pubertal maturation as measured by Tanner staging</w:t>
      </w:r>
      <w:r w:rsidR="00E571A5">
        <w:t>;</w:t>
      </w:r>
      <w:r w:rsidR="00E571A5">
        <w:rPr>
          <w:vertAlign w:val="superscript"/>
        </w:rPr>
        <w:fldChar w:fldCharType="begin"/>
      </w:r>
      <w:r w:rsidR="00E571A5">
        <w:rPr>
          <w:vertAlign w:val="superscript"/>
        </w:rPr>
        <w:instrText xml:space="preserve"> NOTEREF _Ref128636329 \h  \* MERGEFORMAT </w:instrText>
      </w:r>
      <w:r w:rsidR="00E571A5">
        <w:rPr>
          <w:vertAlign w:val="superscript"/>
        </w:rPr>
      </w:r>
      <w:r w:rsidR="00E571A5">
        <w:rPr>
          <w:vertAlign w:val="superscript"/>
        </w:rPr>
        <w:fldChar w:fldCharType="separate"/>
      </w:r>
      <w:r w:rsidR="00CA69CF">
        <w:rPr>
          <w:vertAlign w:val="superscript"/>
        </w:rPr>
        <w:t>10</w:t>
      </w:r>
      <w:r w:rsidR="00E571A5">
        <w:rPr>
          <w:vertAlign w:val="superscript"/>
        </w:rPr>
        <w:fldChar w:fldCharType="end"/>
      </w:r>
      <w:r>
        <w:t xml:space="preserve"> in both girls and boys.</w:t>
      </w:r>
    </w:p>
    <w:p w14:paraId="2332D592" w14:textId="1FF173FA" w:rsidR="00E7132C" w:rsidRDefault="00E7132C" w:rsidP="00E7132C">
      <w:r>
        <w:t>Overall, the study provides evidence of efficacy in the proposed usage in Australia.</w:t>
      </w:r>
      <w:r w:rsidR="00820B67">
        <w:t xml:space="preserve"> </w:t>
      </w:r>
      <w:r>
        <w:t xml:space="preserve">The study has demonstrated a success rate of 87.1% in arresting puberty for a </w:t>
      </w:r>
      <w:proofErr w:type="gramStart"/>
      <w:r>
        <w:t>12</w:t>
      </w:r>
      <w:r w:rsidR="002D5B62">
        <w:t xml:space="preserve"> </w:t>
      </w:r>
      <w:r>
        <w:t>month</w:t>
      </w:r>
      <w:proofErr w:type="gramEnd"/>
      <w:r>
        <w:t xml:space="preserve"> period in the target population.</w:t>
      </w:r>
    </w:p>
    <w:p w14:paraId="70380A31" w14:textId="77777777" w:rsidR="00E7132C" w:rsidRDefault="00E7132C" w:rsidP="00E7132C">
      <w:pPr>
        <w:pStyle w:val="Heading5"/>
      </w:pPr>
      <w:r>
        <w:t>Safety</w:t>
      </w:r>
    </w:p>
    <w:p w14:paraId="7DDAF475" w14:textId="3587EC7E" w:rsidR="00E7132C" w:rsidRPr="00E7132C" w:rsidRDefault="00E571A5" w:rsidP="00E7132C">
      <w:proofErr w:type="spellStart"/>
      <w:r>
        <w:t>Eligard</w:t>
      </w:r>
      <w:proofErr w:type="spellEnd"/>
      <w:r>
        <w:t xml:space="preserve"> (leuprorelin acetate) 45 mg modified release injection (as a once every </w:t>
      </w:r>
      <w:proofErr w:type="gramStart"/>
      <w:r>
        <w:t>6 month</w:t>
      </w:r>
      <w:proofErr w:type="gramEnd"/>
      <w:r>
        <w:t xml:space="preserve"> injection) </w:t>
      </w:r>
      <w:r w:rsidR="00E7132C">
        <w:t>has a favourable safety profile.</w:t>
      </w:r>
      <w:r w:rsidR="002D5B62">
        <w:t xml:space="preserve"> </w:t>
      </w:r>
      <w:r>
        <w:t>Treatment-emergent adverse events (</w:t>
      </w:r>
      <w:r w:rsidR="00E7132C">
        <w:t>TEAEs</w:t>
      </w:r>
      <w:r>
        <w:t>)</w:t>
      </w:r>
      <w:r w:rsidR="00E7132C">
        <w:t xml:space="preserve"> were related to administration site pain or common paediatric conditions.</w:t>
      </w:r>
      <w:r w:rsidR="00820B67">
        <w:t xml:space="preserve"> </w:t>
      </w:r>
      <w:r w:rsidR="00E7132C">
        <w:t>Treatment related TEAEs were predominantly related to administration site pain.</w:t>
      </w:r>
      <w:r w:rsidR="00820B67">
        <w:t xml:space="preserve"> </w:t>
      </w:r>
      <w:r w:rsidR="00E7132C">
        <w:t>There were no deaths.</w:t>
      </w:r>
      <w:r w:rsidR="00820B67">
        <w:t xml:space="preserve"> </w:t>
      </w:r>
      <w:r w:rsidR="00E7132C">
        <w:t xml:space="preserve">There were no </w:t>
      </w:r>
      <w:r w:rsidR="00A72959">
        <w:t>serious adverse event</w:t>
      </w:r>
      <w:r w:rsidR="00E7132C">
        <w:t>s attributed to study treatment.</w:t>
      </w:r>
      <w:r w:rsidR="00820B67">
        <w:t xml:space="preserve"> </w:t>
      </w:r>
      <w:r w:rsidR="00E7132C">
        <w:t xml:space="preserve">The most </w:t>
      </w:r>
      <w:r w:rsidR="00E7132C">
        <w:lastRenderedPageBreak/>
        <w:t xml:space="preserve">frequently reported GnRH antagonist-like reaction was injection site pain, reported by nine (15.3%) patients after the first injection and 15 (26.3%) </w:t>
      </w:r>
      <w:r>
        <w:t xml:space="preserve">patients </w:t>
      </w:r>
      <w:r w:rsidR="00E7132C">
        <w:t>after the second injection.</w:t>
      </w:r>
      <w:r w:rsidR="00820B67">
        <w:t xml:space="preserve"> </w:t>
      </w:r>
      <w:r w:rsidR="00E7132C">
        <w:t>Flares</w:t>
      </w:r>
      <w:r w:rsidR="002D5B62">
        <w:t xml:space="preserve"> or </w:t>
      </w:r>
      <w:r w:rsidR="00E7132C">
        <w:t>hot flashes were reported by four (6.8%) patients following the first injection.</w:t>
      </w:r>
      <w:r w:rsidR="00820B67">
        <w:t xml:space="preserve"> </w:t>
      </w:r>
      <w:r w:rsidR="00E7132C">
        <w:t>Post-marketing data do not indicate any emerging safety concerns.</w:t>
      </w:r>
    </w:p>
    <w:p w14:paraId="1BE64F85" w14:textId="4E3D3FDA" w:rsidR="0074163C" w:rsidRDefault="0074163C" w:rsidP="0074163C">
      <w:pPr>
        <w:pStyle w:val="Heading4"/>
      </w:pPr>
      <w:bookmarkStart w:id="62" w:name="_Toc98931933"/>
      <w:r w:rsidRPr="00D23139">
        <w:t>Proposed action</w:t>
      </w:r>
      <w:bookmarkEnd w:id="62"/>
    </w:p>
    <w:p w14:paraId="46BEBF97" w14:textId="6C834D92" w:rsidR="00E7132C" w:rsidRDefault="00E7132C" w:rsidP="00E7132C">
      <w:r>
        <w:t>Overall, the study provides evidence of efficacy in the proposed usage in Australia.</w:t>
      </w:r>
      <w:r w:rsidR="00820B67">
        <w:t xml:space="preserve"> </w:t>
      </w:r>
      <w:r>
        <w:t xml:space="preserve">The study has demonstrated a success rate of 87.1% in arresting puberty for a </w:t>
      </w:r>
      <w:proofErr w:type="gramStart"/>
      <w:r>
        <w:t>12</w:t>
      </w:r>
      <w:r w:rsidR="002D5B62">
        <w:t xml:space="preserve"> </w:t>
      </w:r>
      <w:r>
        <w:t>month</w:t>
      </w:r>
      <w:proofErr w:type="gramEnd"/>
      <w:r>
        <w:t xml:space="preserve"> period in the target population. </w:t>
      </w:r>
      <w:proofErr w:type="spellStart"/>
      <w:r w:rsidR="00E571A5">
        <w:t>Eligard</w:t>
      </w:r>
      <w:proofErr w:type="spellEnd"/>
      <w:r w:rsidR="00E571A5">
        <w:t xml:space="preserve"> (leuprorelin acetate) 45 mg modified release injection (as a 6 monthly injection</w:t>
      </w:r>
      <w:r w:rsidR="00AC08F5">
        <w:t xml:space="preserve"> (</w:t>
      </w:r>
      <w:proofErr w:type="spellStart"/>
      <w:r w:rsidR="00AC08F5">
        <w:t>Eligard</w:t>
      </w:r>
      <w:proofErr w:type="spellEnd"/>
      <w:r w:rsidR="00AC08F5">
        <w:t xml:space="preserve"> 6 month)</w:t>
      </w:r>
      <w:r w:rsidR="00E571A5">
        <w:t>)</w:t>
      </w:r>
      <w:r w:rsidR="00E571A5" w:rsidDel="00E571A5">
        <w:t xml:space="preserve"> </w:t>
      </w:r>
      <w:r>
        <w:t>has a success rate of 87.1% after the first dose and 86.2% after the second.</w:t>
      </w:r>
      <w:r w:rsidR="00820B67">
        <w:t xml:space="preserve"> </w:t>
      </w:r>
      <w:r>
        <w:t xml:space="preserve">Hence </w:t>
      </w:r>
      <w:proofErr w:type="spellStart"/>
      <w:r>
        <w:t>E</w:t>
      </w:r>
      <w:r w:rsidR="002D5B62">
        <w:t>ligard</w:t>
      </w:r>
      <w:proofErr w:type="spellEnd"/>
      <w:r>
        <w:t xml:space="preserve"> 6 month appears to have acceptable efficacy for treating CPP.</w:t>
      </w:r>
    </w:p>
    <w:p w14:paraId="1EC8D215" w14:textId="4020D15C" w:rsidR="00E7132C" w:rsidRDefault="00E7132C" w:rsidP="00E7132C">
      <w:proofErr w:type="spellStart"/>
      <w:r>
        <w:t>E</w:t>
      </w:r>
      <w:r w:rsidR="002D5B62">
        <w:t>ligard</w:t>
      </w:r>
      <w:proofErr w:type="spellEnd"/>
      <w:r>
        <w:t xml:space="preserve"> 6 month has a favourable safety profile.</w:t>
      </w:r>
      <w:r w:rsidR="00820B67">
        <w:t xml:space="preserve"> </w:t>
      </w:r>
      <w:r>
        <w:t>Adverse events were predominantly related to injection site pain or common childhood conditions.</w:t>
      </w:r>
      <w:r w:rsidR="00820B67">
        <w:t xml:space="preserve"> </w:t>
      </w:r>
      <w:r>
        <w:t>There were no deaths or</w:t>
      </w:r>
      <w:r w:rsidR="002D5B62">
        <w:t xml:space="preserve"> </w:t>
      </w:r>
      <w:r w:rsidR="00A72959">
        <w:t>serious adverse events</w:t>
      </w:r>
      <w:r>
        <w:t xml:space="preserve"> attributable to study treatment.</w:t>
      </w:r>
    </w:p>
    <w:p w14:paraId="19303B62" w14:textId="0E80CE6B" w:rsidR="00E7132C" w:rsidRDefault="00E7132C" w:rsidP="00E7132C">
      <w:r>
        <w:t>Overall, the Delegate considers that the benefit</w:t>
      </w:r>
      <w:r w:rsidR="00C31C3D">
        <w:t xml:space="preserve"> </w:t>
      </w:r>
      <w:r>
        <w:t xml:space="preserve">risk balance of </w:t>
      </w:r>
      <w:proofErr w:type="spellStart"/>
      <w:r>
        <w:t>E</w:t>
      </w:r>
      <w:r w:rsidR="002D5B62">
        <w:t>ligard</w:t>
      </w:r>
      <w:proofErr w:type="spellEnd"/>
      <w:r w:rsidR="002D5B62">
        <w:t xml:space="preserve"> 6 month</w:t>
      </w:r>
      <w:r>
        <w:t xml:space="preserve"> is favourable in the following indication:</w:t>
      </w:r>
    </w:p>
    <w:p w14:paraId="76E0692B" w14:textId="7ECAF2F1" w:rsidR="00E7132C" w:rsidRPr="00E7132C" w:rsidRDefault="00796BC3" w:rsidP="00E7132C">
      <w:pPr>
        <w:ind w:left="720"/>
        <w:rPr>
          <w:i/>
          <w:iCs/>
        </w:rPr>
      </w:pPr>
      <w:proofErr w:type="spellStart"/>
      <w:r w:rsidRPr="00E7132C">
        <w:rPr>
          <w:i/>
          <w:iCs/>
        </w:rPr>
        <w:t>Eligard</w:t>
      </w:r>
      <w:proofErr w:type="spellEnd"/>
      <w:r w:rsidRPr="00E7132C">
        <w:rPr>
          <w:i/>
          <w:iCs/>
        </w:rPr>
        <w:t xml:space="preserve"> </w:t>
      </w:r>
      <w:r w:rsidR="00E7132C" w:rsidRPr="00E7132C">
        <w:rPr>
          <w:i/>
          <w:iCs/>
        </w:rPr>
        <w:t>45</w:t>
      </w:r>
      <w:r w:rsidR="00E7132C">
        <w:rPr>
          <w:i/>
          <w:iCs/>
        </w:rPr>
        <w:t xml:space="preserve"> </w:t>
      </w:r>
      <w:r w:rsidR="00E7132C" w:rsidRPr="00E7132C">
        <w:rPr>
          <w:i/>
          <w:iCs/>
        </w:rPr>
        <w:t>mg 6 month is indicated for the treatment of children 2 years of age and older with central precocious puberty (CPP).</w:t>
      </w:r>
    </w:p>
    <w:p w14:paraId="26F6DAC0" w14:textId="77777777" w:rsidR="0074163C" w:rsidRPr="00F73346" w:rsidRDefault="0074163C" w:rsidP="0074163C">
      <w:pPr>
        <w:pStyle w:val="Heading4"/>
      </w:pPr>
      <w:bookmarkStart w:id="63" w:name="_Toc98931936"/>
      <w:bookmarkStart w:id="64" w:name="_Toc247691532"/>
      <w:bookmarkStart w:id="65" w:name="_Toc314842516"/>
      <w:bookmarkEnd w:id="29"/>
      <w:bookmarkEnd w:id="57"/>
      <w:bookmarkEnd w:id="58"/>
      <w:r w:rsidRPr="00F73346">
        <w:t>Advisory Committee considerations</w:t>
      </w:r>
      <w:bookmarkEnd w:id="63"/>
    </w:p>
    <w:p w14:paraId="6732D110" w14:textId="4BF2F7F7" w:rsidR="0074163C" w:rsidRDefault="0074163C" w:rsidP="0074163C">
      <w:pPr>
        <w:rPr>
          <w:bCs/>
        </w:rPr>
      </w:pPr>
      <w:r w:rsidRPr="00456765">
        <w:rPr>
          <w:bCs/>
        </w:rPr>
        <w:t xml:space="preserve">The </w:t>
      </w:r>
      <w:hyperlink r:id="rId30" w:history="1">
        <w:r w:rsidRPr="00C65E63">
          <w:rPr>
            <w:rStyle w:val="Hyperlink"/>
            <w:szCs w:val="21"/>
          </w:rPr>
          <w:t>Advisory Committee on Medicines (ACM)</w:t>
        </w:r>
      </w:hyperlink>
      <w:r w:rsidRPr="00F73346">
        <w:rPr>
          <w:color w:val="007099"/>
          <w:szCs w:val="21"/>
        </w:rPr>
        <w:t xml:space="preserve"> </w:t>
      </w:r>
      <w:r w:rsidRPr="00456765">
        <w:rPr>
          <w:bCs/>
        </w:rPr>
        <w:t>having considered the evaluations and the Delegate’s overview, as well as the sponsor’s response to these documents, advised the following</w:t>
      </w:r>
      <w:r>
        <w:rPr>
          <w:bCs/>
        </w:rPr>
        <w:t>.</w:t>
      </w:r>
    </w:p>
    <w:p w14:paraId="238B406F" w14:textId="77777777" w:rsidR="0074163C" w:rsidRPr="00F73346" w:rsidRDefault="0074163C" w:rsidP="0074163C">
      <w:pPr>
        <w:pStyle w:val="Heading5"/>
      </w:pPr>
      <w:r w:rsidRPr="00F73346">
        <w:t>Specific advice to the Delegate</w:t>
      </w:r>
    </w:p>
    <w:p w14:paraId="57F957A6" w14:textId="38D93C8D" w:rsidR="00820B67" w:rsidRDefault="00C31C3D" w:rsidP="00C31C3D">
      <w:pPr>
        <w:pStyle w:val="Numberbullet0"/>
        <w:rPr>
          <w:b/>
          <w:bCs/>
          <w:i/>
          <w:iCs/>
        </w:rPr>
      </w:pPr>
      <w:r w:rsidRPr="00C31C3D">
        <w:rPr>
          <w:b/>
          <w:bCs/>
          <w:i/>
          <w:iCs/>
        </w:rPr>
        <w:t xml:space="preserve">Please comment on the revised </w:t>
      </w:r>
      <w:r w:rsidR="00E80B2A">
        <w:rPr>
          <w:b/>
          <w:bCs/>
          <w:i/>
          <w:iCs/>
        </w:rPr>
        <w:t>i</w:t>
      </w:r>
      <w:r w:rsidRPr="00C31C3D">
        <w:rPr>
          <w:b/>
          <w:bCs/>
          <w:i/>
          <w:iCs/>
        </w:rPr>
        <w:t>ndication</w:t>
      </w:r>
      <w:r w:rsidR="00E80B2A">
        <w:rPr>
          <w:b/>
          <w:bCs/>
          <w:i/>
          <w:iCs/>
        </w:rPr>
        <w:t>:</w:t>
      </w:r>
    </w:p>
    <w:p w14:paraId="268DAE23" w14:textId="33631614" w:rsidR="00820B67" w:rsidRDefault="00796BC3" w:rsidP="00C31C3D">
      <w:pPr>
        <w:ind w:left="720"/>
        <w:rPr>
          <w:b/>
          <w:bCs/>
          <w:i/>
          <w:iCs/>
        </w:rPr>
      </w:pPr>
      <w:proofErr w:type="spellStart"/>
      <w:r w:rsidRPr="00C31C3D">
        <w:rPr>
          <w:b/>
          <w:bCs/>
          <w:i/>
          <w:iCs/>
        </w:rPr>
        <w:t>Eligard</w:t>
      </w:r>
      <w:proofErr w:type="spellEnd"/>
      <w:r w:rsidRPr="00C31C3D">
        <w:rPr>
          <w:b/>
          <w:bCs/>
          <w:i/>
          <w:iCs/>
        </w:rPr>
        <w:t xml:space="preserve"> </w:t>
      </w:r>
      <w:r w:rsidR="00C31C3D" w:rsidRPr="00C31C3D">
        <w:rPr>
          <w:b/>
          <w:bCs/>
          <w:i/>
          <w:iCs/>
        </w:rPr>
        <w:t>45</w:t>
      </w:r>
      <w:r w:rsidR="00C31C3D">
        <w:rPr>
          <w:b/>
          <w:bCs/>
          <w:i/>
          <w:iCs/>
        </w:rPr>
        <w:t xml:space="preserve"> </w:t>
      </w:r>
      <w:r w:rsidR="00C31C3D" w:rsidRPr="00C31C3D">
        <w:rPr>
          <w:b/>
          <w:bCs/>
          <w:i/>
          <w:iCs/>
        </w:rPr>
        <w:t>mg 6 month is indicated for the treatment of children 2 years of age and older with central precocious puberty (CPP).</w:t>
      </w:r>
    </w:p>
    <w:p w14:paraId="5A994072" w14:textId="13A470F2" w:rsidR="00C31C3D" w:rsidRDefault="00C31C3D" w:rsidP="00C31C3D">
      <w:r>
        <w:t>The ACM was supportive of the revised indication as below:</w:t>
      </w:r>
    </w:p>
    <w:p w14:paraId="444A4163" w14:textId="3410189C" w:rsidR="00C31C3D" w:rsidRPr="00C31C3D" w:rsidRDefault="00796BC3" w:rsidP="00C31C3D">
      <w:pPr>
        <w:ind w:left="720"/>
        <w:rPr>
          <w:i/>
          <w:iCs/>
        </w:rPr>
      </w:pPr>
      <w:proofErr w:type="spellStart"/>
      <w:r w:rsidRPr="00C31C3D">
        <w:rPr>
          <w:i/>
          <w:iCs/>
        </w:rPr>
        <w:t>Eligard</w:t>
      </w:r>
      <w:proofErr w:type="spellEnd"/>
      <w:r w:rsidRPr="00C31C3D">
        <w:rPr>
          <w:i/>
          <w:iCs/>
        </w:rPr>
        <w:t xml:space="preserve"> </w:t>
      </w:r>
      <w:r w:rsidR="00C31C3D" w:rsidRPr="00C31C3D">
        <w:rPr>
          <w:i/>
          <w:iCs/>
        </w:rPr>
        <w:t>45</w:t>
      </w:r>
      <w:r w:rsidR="00C31C3D">
        <w:rPr>
          <w:i/>
          <w:iCs/>
        </w:rPr>
        <w:t xml:space="preserve"> </w:t>
      </w:r>
      <w:r w:rsidR="00C31C3D" w:rsidRPr="00C31C3D">
        <w:rPr>
          <w:i/>
          <w:iCs/>
        </w:rPr>
        <w:t>mg 6 month is indicated for the treatment of children 2 years of age and older with central precocious puberty (CPP).</w:t>
      </w:r>
    </w:p>
    <w:p w14:paraId="6FBB42FC" w14:textId="77777777" w:rsidR="00C31C3D" w:rsidRDefault="00C31C3D" w:rsidP="00C31C3D">
      <w:r>
        <w:t>It was noted that the wording of this indication is consistent with the results of the provided clinical trial. The ACM also agreed with the inclusion of ‘2 years of age and older’ noting that CPP is rare before the age of 2 years.</w:t>
      </w:r>
    </w:p>
    <w:p w14:paraId="7E05BD72" w14:textId="77777777" w:rsidR="00C31C3D" w:rsidRDefault="00C31C3D" w:rsidP="00C31C3D">
      <w:r>
        <w:t>The ACM acknowledged the importance of a clear CPP diagnosis prior to initiation of treatment. To aid in diagnosis and reduce misuse the ACM agreed that CPP must be clearly defined within the PI. The ACM suggested the following definition:</w:t>
      </w:r>
    </w:p>
    <w:p w14:paraId="3D41C104" w14:textId="20622A4A" w:rsidR="00C31C3D" w:rsidRDefault="00C31C3D" w:rsidP="00C31C3D">
      <w:pPr>
        <w:ind w:left="720"/>
      </w:pPr>
      <w:r>
        <w:t>Clinical and biochemical evidence of onset of breast development in girls &lt; 8 years or bilateral testicular enlargement &gt; 4 mL in boys &lt; 9 years plus raised LH/FSH, oestradiol or testosterone.</w:t>
      </w:r>
    </w:p>
    <w:p w14:paraId="1E968102" w14:textId="77777777" w:rsidR="00C31C3D" w:rsidRDefault="00C31C3D" w:rsidP="00C31C3D">
      <w:r>
        <w:t>While the ACM agreed that the CPP definition does not need to be included within the indication, it was strongly emphasised that it must be prominent within the PI.</w:t>
      </w:r>
    </w:p>
    <w:p w14:paraId="4BFF088C" w14:textId="77777777" w:rsidR="00820B67" w:rsidRDefault="00C31C3D" w:rsidP="00C31C3D">
      <w:pPr>
        <w:pStyle w:val="Numberbullet0"/>
        <w:rPr>
          <w:b/>
          <w:bCs/>
          <w:i/>
          <w:iCs/>
        </w:rPr>
      </w:pPr>
      <w:r w:rsidRPr="00C31C3D">
        <w:rPr>
          <w:b/>
          <w:bCs/>
          <w:i/>
          <w:iCs/>
        </w:rPr>
        <w:t xml:space="preserve">The committee is also requested to provide advice on any other issues that it thinks may be relevant to a decision on </w:t>
      </w:r>
      <w:proofErr w:type="gramStart"/>
      <w:r w:rsidRPr="00C31C3D">
        <w:rPr>
          <w:b/>
          <w:bCs/>
          <w:i/>
          <w:iCs/>
        </w:rPr>
        <w:t>whether or not</w:t>
      </w:r>
      <w:proofErr w:type="gramEnd"/>
      <w:r w:rsidRPr="00C31C3D">
        <w:rPr>
          <w:b/>
          <w:bCs/>
          <w:i/>
          <w:iCs/>
        </w:rPr>
        <w:t xml:space="preserve"> to approve this application</w:t>
      </w:r>
    </w:p>
    <w:p w14:paraId="416BD511" w14:textId="245E2D5D" w:rsidR="00C31C3D" w:rsidRDefault="00C31C3D" w:rsidP="00C31C3D">
      <w:r>
        <w:t xml:space="preserve">The ACM highlighted the importance of establishing a cause of CPP before administering treatment and agreed that endocrinologists would be aware of this requirement. The ACM </w:t>
      </w:r>
      <w:r>
        <w:lastRenderedPageBreak/>
        <w:t>noted that 70% of all CPP in males has an identified organic cause compared to 10% in females, the remainder of cases are functional (with emerging evidence of genetic associations) in origin. The ACM suggested a statement regarding this be included within the PI to assist with establishing causality.</w:t>
      </w:r>
    </w:p>
    <w:p w14:paraId="4293F9AF" w14:textId="262B249F" w:rsidR="00C31C3D" w:rsidRPr="00C31C3D" w:rsidRDefault="00C31C3D" w:rsidP="00C31C3D">
      <w:r>
        <w:t xml:space="preserve">The ACM also discussed administration challenges associated with the use of </w:t>
      </w:r>
      <w:proofErr w:type="spellStart"/>
      <w:r>
        <w:t>Eligard</w:t>
      </w:r>
      <w:proofErr w:type="spellEnd"/>
      <w:r>
        <w:t xml:space="preserve"> and noted that clinicians administrating this treatment must clearly understand the full mixing and administration process prior to preparation. The ACM highlighted that </w:t>
      </w:r>
      <w:proofErr w:type="spellStart"/>
      <w:r>
        <w:t>Eligard</w:t>
      </w:r>
      <w:proofErr w:type="spellEnd"/>
      <w:r>
        <w:t xml:space="preserve"> must be administered immediately following preparation. The ACM agreed that this process must be clearly outlined to clinicians to ensure accurate delivery of the dose.</w:t>
      </w:r>
    </w:p>
    <w:p w14:paraId="4A481A21" w14:textId="77777777" w:rsidR="0074163C" w:rsidRPr="00F73346" w:rsidRDefault="0074163C" w:rsidP="0074163C">
      <w:pPr>
        <w:pStyle w:val="Heading5"/>
      </w:pPr>
      <w:r w:rsidRPr="00F73346">
        <w:t>Conclusion</w:t>
      </w:r>
    </w:p>
    <w:p w14:paraId="617F1BA4" w14:textId="68EE165A" w:rsidR="00C31C3D" w:rsidRDefault="00C31C3D" w:rsidP="00C31C3D">
      <w:r>
        <w:t>The ACM considered this product to have an overall positive benefit</w:t>
      </w:r>
      <w:r w:rsidR="004A433E">
        <w:t xml:space="preserve"> </w:t>
      </w:r>
      <w:r>
        <w:t>risk profile for the indication:</w:t>
      </w:r>
    </w:p>
    <w:p w14:paraId="63F5EEE9" w14:textId="02D016CD" w:rsidR="0074163C" w:rsidRPr="00C31C3D" w:rsidRDefault="00796BC3" w:rsidP="00C31C3D">
      <w:pPr>
        <w:ind w:left="720"/>
        <w:rPr>
          <w:i/>
          <w:iCs/>
        </w:rPr>
      </w:pPr>
      <w:proofErr w:type="spellStart"/>
      <w:r w:rsidRPr="00C31C3D">
        <w:rPr>
          <w:i/>
          <w:iCs/>
        </w:rPr>
        <w:t>Eligard</w:t>
      </w:r>
      <w:proofErr w:type="spellEnd"/>
      <w:r w:rsidRPr="00C31C3D">
        <w:rPr>
          <w:i/>
          <w:iCs/>
        </w:rPr>
        <w:t xml:space="preserve"> </w:t>
      </w:r>
      <w:r w:rsidR="00C31C3D" w:rsidRPr="00C31C3D">
        <w:rPr>
          <w:i/>
          <w:iCs/>
        </w:rPr>
        <w:t>45</w:t>
      </w:r>
      <w:r w:rsidR="00C31C3D">
        <w:rPr>
          <w:i/>
          <w:iCs/>
        </w:rPr>
        <w:t xml:space="preserve"> </w:t>
      </w:r>
      <w:r w:rsidR="00C31C3D" w:rsidRPr="00C31C3D">
        <w:rPr>
          <w:i/>
          <w:iCs/>
        </w:rPr>
        <w:t>mg 6 month is indicated for the treatment of children 2 years of age and older with central precocious puberty (CPP).</w:t>
      </w:r>
    </w:p>
    <w:p w14:paraId="6CDB3D54" w14:textId="50A99936" w:rsidR="008E7846" w:rsidRPr="002E238E" w:rsidRDefault="008E7846" w:rsidP="00D212F3">
      <w:pPr>
        <w:pStyle w:val="Heading2"/>
      </w:pPr>
      <w:bookmarkStart w:id="66" w:name="_Toc128748368"/>
      <w:r>
        <w:t>Outcome</w:t>
      </w:r>
      <w:bookmarkEnd w:id="64"/>
      <w:bookmarkEnd w:id="65"/>
      <w:bookmarkEnd w:id="66"/>
    </w:p>
    <w:p w14:paraId="31CCB3CE" w14:textId="41BAA48D" w:rsidR="0074163C" w:rsidRDefault="0074163C" w:rsidP="0074163C">
      <w:bookmarkStart w:id="67" w:name="_Toc247691533"/>
      <w:bookmarkStart w:id="68" w:name="_Toc314842517"/>
      <w:r>
        <w:t xml:space="preserve">Based on a review of quality, </w:t>
      </w:r>
      <w:r w:rsidR="00CC5044">
        <w:t>safety,</w:t>
      </w:r>
      <w:r>
        <w:t xml:space="preserve"> and efficacy, the TGA approved the registration of </w:t>
      </w:r>
      <w:proofErr w:type="spellStart"/>
      <w:r w:rsidR="00820B67">
        <w:t>Eligard</w:t>
      </w:r>
      <w:proofErr w:type="spellEnd"/>
      <w:r w:rsidR="00820B67">
        <w:t xml:space="preserve"> leuprorelin acetate 45 mg modified release injection syringe </w:t>
      </w:r>
      <w:r w:rsidR="001D5372">
        <w:t>(</w:t>
      </w:r>
      <w:proofErr w:type="spellStart"/>
      <w:r w:rsidR="001D5372">
        <w:t>Eligard</w:t>
      </w:r>
      <w:proofErr w:type="spellEnd"/>
      <w:r w:rsidR="001D5372">
        <w:t xml:space="preserve"> 6 month) </w:t>
      </w:r>
      <w:r>
        <w:t>indicated for the following extension of indications</w:t>
      </w:r>
      <w:r w:rsidR="00820B67">
        <w:t>:</w:t>
      </w:r>
    </w:p>
    <w:p w14:paraId="6B5EEA8C" w14:textId="77777777" w:rsidR="00820B67" w:rsidRDefault="00820B67" w:rsidP="00820B67">
      <w:pPr>
        <w:pStyle w:val="Default"/>
        <w:ind w:left="720"/>
        <w:rPr>
          <w:b/>
          <w:bCs/>
          <w:i/>
          <w:iCs/>
          <w:sz w:val="22"/>
          <w:szCs w:val="22"/>
        </w:rPr>
      </w:pPr>
      <w:r>
        <w:rPr>
          <w:b/>
          <w:bCs/>
          <w:i/>
          <w:iCs/>
          <w:sz w:val="22"/>
          <w:szCs w:val="22"/>
        </w:rPr>
        <w:t>Central precocious puberty (CPP)</w:t>
      </w:r>
    </w:p>
    <w:p w14:paraId="6DAE7BAA" w14:textId="4D94981D" w:rsidR="00820B67" w:rsidRDefault="006F6B25" w:rsidP="00820B67">
      <w:pPr>
        <w:ind w:left="720"/>
      </w:pPr>
      <w:proofErr w:type="spellStart"/>
      <w:r>
        <w:rPr>
          <w:i/>
          <w:iCs/>
        </w:rPr>
        <w:t>Eligard</w:t>
      </w:r>
      <w:proofErr w:type="spellEnd"/>
      <w:r>
        <w:rPr>
          <w:i/>
          <w:iCs/>
        </w:rPr>
        <w:t xml:space="preserve"> </w:t>
      </w:r>
      <w:r w:rsidR="00820B67">
        <w:rPr>
          <w:i/>
          <w:iCs/>
        </w:rPr>
        <w:t>45mg 6 month is indicated for the treatment of children 2 years of age and older with central precocious puberty (CPP).</w:t>
      </w:r>
    </w:p>
    <w:p w14:paraId="1EBA1840" w14:textId="3C8790D8" w:rsidR="0074163C" w:rsidRDefault="0074163C" w:rsidP="0074163C">
      <w:r>
        <w:t xml:space="preserve">As such, the full indications </w:t>
      </w:r>
      <w:proofErr w:type="gramStart"/>
      <w:r>
        <w:t>at this time</w:t>
      </w:r>
      <w:proofErr w:type="gramEnd"/>
      <w:r>
        <w:t xml:space="preserve"> were:</w:t>
      </w:r>
    </w:p>
    <w:p w14:paraId="73E92EE9" w14:textId="77777777" w:rsidR="00820B67" w:rsidRDefault="00820B67" w:rsidP="00820B67">
      <w:pPr>
        <w:ind w:left="720"/>
        <w:rPr>
          <w:b/>
          <w:bCs/>
          <w:i/>
          <w:iCs/>
        </w:rPr>
      </w:pPr>
      <w:r w:rsidRPr="00820B67">
        <w:rPr>
          <w:b/>
          <w:bCs/>
          <w:i/>
          <w:iCs/>
        </w:rPr>
        <w:t>Prostate cancer</w:t>
      </w:r>
    </w:p>
    <w:p w14:paraId="0FE742FD" w14:textId="6D3AAC47" w:rsidR="00820B67" w:rsidRPr="00820B67" w:rsidRDefault="006F6B25" w:rsidP="00820B67">
      <w:pPr>
        <w:ind w:left="720"/>
        <w:rPr>
          <w:i/>
          <w:iCs/>
        </w:rPr>
      </w:pPr>
      <w:proofErr w:type="spellStart"/>
      <w:r w:rsidRPr="00820B67">
        <w:rPr>
          <w:i/>
          <w:iCs/>
        </w:rPr>
        <w:t>Eligard</w:t>
      </w:r>
      <w:proofErr w:type="spellEnd"/>
      <w:r w:rsidRPr="00820B67">
        <w:rPr>
          <w:i/>
          <w:iCs/>
        </w:rPr>
        <w:t xml:space="preserve"> </w:t>
      </w:r>
      <w:r w:rsidR="00820B67" w:rsidRPr="00820B67">
        <w:rPr>
          <w:i/>
          <w:iCs/>
        </w:rPr>
        <w:t xml:space="preserve">7.5 mg 1 month, </w:t>
      </w:r>
      <w:proofErr w:type="spellStart"/>
      <w:r w:rsidRPr="00820B67">
        <w:rPr>
          <w:i/>
          <w:iCs/>
        </w:rPr>
        <w:t>Eligard</w:t>
      </w:r>
      <w:proofErr w:type="spellEnd"/>
      <w:r w:rsidRPr="00820B67">
        <w:rPr>
          <w:i/>
          <w:iCs/>
        </w:rPr>
        <w:t xml:space="preserve"> </w:t>
      </w:r>
      <w:r w:rsidR="00820B67" w:rsidRPr="00820B67">
        <w:rPr>
          <w:i/>
          <w:iCs/>
        </w:rPr>
        <w:t xml:space="preserve">22.5 mg 3 month, </w:t>
      </w:r>
      <w:proofErr w:type="spellStart"/>
      <w:r w:rsidRPr="00820B67">
        <w:rPr>
          <w:i/>
          <w:iCs/>
        </w:rPr>
        <w:t>Eligard</w:t>
      </w:r>
      <w:proofErr w:type="spellEnd"/>
      <w:r w:rsidRPr="00820B67">
        <w:rPr>
          <w:i/>
          <w:iCs/>
        </w:rPr>
        <w:t xml:space="preserve"> </w:t>
      </w:r>
      <w:r w:rsidR="00820B67" w:rsidRPr="00820B67">
        <w:rPr>
          <w:i/>
          <w:iCs/>
        </w:rPr>
        <w:t xml:space="preserve">30 mg 4 month and </w:t>
      </w:r>
      <w:proofErr w:type="spellStart"/>
      <w:r w:rsidRPr="00820B67">
        <w:rPr>
          <w:i/>
          <w:iCs/>
        </w:rPr>
        <w:t>Eligard</w:t>
      </w:r>
      <w:proofErr w:type="spellEnd"/>
      <w:r w:rsidRPr="00820B67">
        <w:rPr>
          <w:i/>
          <w:iCs/>
        </w:rPr>
        <w:t xml:space="preserve"> </w:t>
      </w:r>
      <w:r w:rsidR="00820B67" w:rsidRPr="00820B67">
        <w:rPr>
          <w:i/>
          <w:iCs/>
        </w:rPr>
        <w:t xml:space="preserve">45 mg 6 </w:t>
      </w:r>
      <w:proofErr w:type="gramStart"/>
      <w:r w:rsidR="00820B67" w:rsidRPr="00820B67">
        <w:rPr>
          <w:i/>
          <w:iCs/>
        </w:rPr>
        <w:t>month</w:t>
      </w:r>
      <w:proofErr w:type="gramEnd"/>
      <w:r w:rsidR="00820B67" w:rsidRPr="00820B67">
        <w:rPr>
          <w:i/>
          <w:iCs/>
        </w:rPr>
        <w:t xml:space="preserve"> are indicated for the:</w:t>
      </w:r>
    </w:p>
    <w:p w14:paraId="3601A71F" w14:textId="2B7DA5E4" w:rsidR="00820B67" w:rsidRPr="00820B67" w:rsidRDefault="00820B67" w:rsidP="00820B67">
      <w:pPr>
        <w:ind w:left="720"/>
        <w:rPr>
          <w:i/>
          <w:iCs/>
        </w:rPr>
      </w:pPr>
      <w:r w:rsidRPr="00820B67">
        <w:rPr>
          <w:i/>
          <w:iCs/>
        </w:rPr>
        <w:t>Palliative treatment of advanced prostate cancer.</w:t>
      </w:r>
    </w:p>
    <w:p w14:paraId="37CC7906" w14:textId="76C0D004" w:rsidR="00820B67" w:rsidRPr="00820B67" w:rsidRDefault="00820B67" w:rsidP="00820B67">
      <w:pPr>
        <w:ind w:left="720"/>
        <w:rPr>
          <w:i/>
          <w:iCs/>
        </w:rPr>
      </w:pPr>
      <w:r w:rsidRPr="00820B67">
        <w:rPr>
          <w:i/>
          <w:iCs/>
        </w:rPr>
        <w:t>Treatment of high-risk localised and locally advanced hormone-dependent prostate cancer in combination with radiotherapy.</w:t>
      </w:r>
    </w:p>
    <w:p w14:paraId="10CA3446" w14:textId="77777777" w:rsidR="00820B67" w:rsidRDefault="00820B67" w:rsidP="00820B67">
      <w:pPr>
        <w:pStyle w:val="Default"/>
        <w:ind w:left="720"/>
        <w:rPr>
          <w:b/>
          <w:bCs/>
          <w:i/>
          <w:iCs/>
          <w:sz w:val="22"/>
          <w:szCs w:val="22"/>
        </w:rPr>
      </w:pPr>
      <w:r>
        <w:rPr>
          <w:b/>
          <w:bCs/>
          <w:i/>
          <w:iCs/>
          <w:sz w:val="22"/>
          <w:szCs w:val="22"/>
        </w:rPr>
        <w:t>Central precocious puberty (CPP)</w:t>
      </w:r>
    </w:p>
    <w:p w14:paraId="41AD5331" w14:textId="5D0B2B2E" w:rsidR="00820B67" w:rsidRDefault="006F6B25" w:rsidP="00820B67">
      <w:pPr>
        <w:ind w:left="720"/>
      </w:pPr>
      <w:proofErr w:type="spellStart"/>
      <w:r>
        <w:rPr>
          <w:i/>
          <w:iCs/>
        </w:rPr>
        <w:t>Eligard</w:t>
      </w:r>
      <w:proofErr w:type="spellEnd"/>
      <w:r>
        <w:rPr>
          <w:i/>
          <w:iCs/>
        </w:rPr>
        <w:t xml:space="preserve"> </w:t>
      </w:r>
      <w:r w:rsidR="00820B67">
        <w:rPr>
          <w:i/>
          <w:iCs/>
        </w:rPr>
        <w:t>45 mg 6 month is indicated for the treatment of children 2 years of age and older with central precocious puberty (CPP).</w:t>
      </w:r>
    </w:p>
    <w:p w14:paraId="542948BA" w14:textId="77777777" w:rsidR="00D23139" w:rsidRPr="00D23139" w:rsidRDefault="00D23139" w:rsidP="00D212F3">
      <w:pPr>
        <w:pStyle w:val="Heading3"/>
      </w:pPr>
      <w:bookmarkStart w:id="69" w:name="_Toc128748369"/>
      <w:r w:rsidRPr="00D23139">
        <w:t>Specific conditions of registration applying to these goods</w:t>
      </w:r>
      <w:bookmarkEnd w:id="69"/>
    </w:p>
    <w:p w14:paraId="03758532" w14:textId="682F973E" w:rsidR="00820B67" w:rsidRDefault="00820B67" w:rsidP="00820B67">
      <w:pPr>
        <w:pStyle w:val="ListBullet"/>
      </w:pPr>
      <w:proofErr w:type="spellStart"/>
      <w:r w:rsidRPr="00820B67">
        <w:t>E</w:t>
      </w:r>
      <w:r w:rsidR="0074141F">
        <w:t>ligard</w:t>
      </w:r>
      <w:proofErr w:type="spellEnd"/>
      <w:r w:rsidRPr="00820B67">
        <w:t xml:space="preserve"> (leuprorelin acetate) is to be included in the Black Triangle Scheme. The PI and CMI for </w:t>
      </w:r>
      <w:proofErr w:type="spellStart"/>
      <w:r w:rsidR="0074141F">
        <w:t>Eligard</w:t>
      </w:r>
      <w:proofErr w:type="spellEnd"/>
      <w:r w:rsidRPr="00820B67">
        <w:t xml:space="preserve"> must include the black triangle symbol and mandatory accompanying text for five years, which starts from the date the new indication is registered.</w:t>
      </w:r>
    </w:p>
    <w:p w14:paraId="039ED9BA" w14:textId="720456BA" w:rsidR="00820B67" w:rsidRDefault="00820B67" w:rsidP="00820B67">
      <w:pPr>
        <w:pStyle w:val="ListBullet"/>
      </w:pPr>
      <w:r>
        <w:t xml:space="preserve">The </w:t>
      </w:r>
      <w:proofErr w:type="spellStart"/>
      <w:r w:rsidR="0074141F">
        <w:t>Eligard</w:t>
      </w:r>
      <w:proofErr w:type="spellEnd"/>
      <w:r>
        <w:t xml:space="preserve"> AU-Risk Management Plan (RMP) (version 0.2, dated 7 April 2022, data lock point 20 April 2021), included with submission PM-2021-01406-1-5, and any subsequent revisions, as agreed with the TGA will be implemented in Australia.</w:t>
      </w:r>
    </w:p>
    <w:p w14:paraId="00135445" w14:textId="77777777" w:rsidR="00820B67" w:rsidRDefault="00820B67" w:rsidP="00820B67">
      <w:pPr>
        <w:ind w:left="360"/>
      </w:pPr>
      <w:r>
        <w:t>An obligatory component of risk management plans is routine pharmacovigilance. Routine pharmacovigilance includes the submission of periodic safety update reports (PSURs).</w:t>
      </w:r>
    </w:p>
    <w:p w14:paraId="4E8FDF01" w14:textId="6C95F22B" w:rsidR="00820B67" w:rsidRDefault="00820B67" w:rsidP="00820B67">
      <w:pPr>
        <w:ind w:left="360"/>
      </w:pPr>
      <w:r>
        <w:lastRenderedPageBreak/>
        <w:t xml:space="preserve">Reports are to be provided in line with the current published list of </w:t>
      </w:r>
      <w:proofErr w:type="gramStart"/>
      <w:r>
        <w:t>EU</w:t>
      </w:r>
      <w:proofErr w:type="gramEnd"/>
      <w:r>
        <w:t xml:space="preserve"> [European Union] reference dates and frequency of submission of PSURs until the period covered by such reports is not less than three years from the date of this approval letter.</w:t>
      </w:r>
    </w:p>
    <w:p w14:paraId="765A9877" w14:textId="4E0A218E" w:rsidR="00820B67" w:rsidRDefault="00820B67" w:rsidP="00820B67">
      <w:pPr>
        <w:ind w:left="360"/>
      </w:pPr>
      <w:r w:rsidRPr="00820B67">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4FB21024" w14:textId="4E3567A9" w:rsidR="00820B67" w:rsidRPr="00820B67" w:rsidRDefault="00820B67" w:rsidP="00820B67">
      <w:pPr>
        <w:pStyle w:val="ListBullet"/>
      </w:pPr>
      <w:r w:rsidRPr="00820B67">
        <w:t>For all injectable products the Product Information must be included with the product as a package insert.</w:t>
      </w:r>
    </w:p>
    <w:p w14:paraId="400F7704" w14:textId="77777777" w:rsidR="008E7846" w:rsidRDefault="00A80B5B" w:rsidP="00D23139">
      <w:pPr>
        <w:pStyle w:val="Heading2"/>
      </w:pPr>
      <w:bookmarkStart w:id="70" w:name="_Toc128748370"/>
      <w:r>
        <w:t xml:space="preserve">Attachment 1. </w:t>
      </w:r>
      <w:r w:rsidR="008E7846">
        <w:t xml:space="preserve">Product </w:t>
      </w:r>
      <w:r w:rsidR="00AA0ED0">
        <w:t>I</w:t>
      </w:r>
      <w:r w:rsidR="008E7846">
        <w:t>nformation</w:t>
      </w:r>
      <w:bookmarkEnd w:id="67"/>
      <w:bookmarkEnd w:id="68"/>
      <w:bookmarkEnd w:id="70"/>
    </w:p>
    <w:p w14:paraId="2C55B0EB" w14:textId="21BDC2FC" w:rsidR="00523A21" w:rsidRDefault="006136D7" w:rsidP="00C80137">
      <w:r w:rsidRPr="002B3624">
        <w:t xml:space="preserve">The </w:t>
      </w:r>
      <w:r>
        <w:t>PI</w:t>
      </w:r>
      <w:r w:rsidRPr="002B3624">
        <w:t xml:space="preserve"> for </w:t>
      </w:r>
      <w:proofErr w:type="spellStart"/>
      <w:r w:rsidR="00820B67">
        <w:t>Eligard</w:t>
      </w:r>
      <w:proofErr w:type="spellEnd"/>
      <w:r w:rsidR="0074163C">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31" w:history="1">
        <w:r w:rsidR="0074163C" w:rsidRPr="008A698E">
          <w:rPr>
            <w:rStyle w:val="Hyperlink"/>
          </w:rPr>
          <w:t>PI/CMI search facility</w:t>
        </w:r>
        <w:r w:rsidR="0074163C" w:rsidRPr="00EB36D6">
          <w:rPr>
            <w:rStyle w:val="Hyperlink"/>
            <w:color w:val="auto"/>
            <w:u w:val="none"/>
          </w:rPr>
          <w:t>.</w:t>
        </w:r>
      </w:hyperlink>
    </w:p>
    <w:p w14:paraId="2A4538EB" w14:textId="6AE41EA4" w:rsidR="008E7846" w:rsidRPr="00EB36D6" w:rsidRDefault="005A79F5" w:rsidP="00EB36D6">
      <w:r w:rsidRPr="005A79F5">
        <w:rPr>
          <w:i/>
          <w:color w:val="007099"/>
        </w:rPr>
        <w:t>.</w:t>
      </w:r>
      <w:r w:rsidR="008E7846" w:rsidRPr="00C80137">
        <w:br w:type="page"/>
      </w:r>
    </w:p>
    <w:p w14:paraId="7FDFF8AC" w14:textId="77777777" w:rsidR="00C80137" w:rsidRPr="001D043B" w:rsidRDefault="00C80137" w:rsidP="003A7F6C">
      <w:pPr>
        <w:pStyle w:val="TableTitle"/>
        <w:sectPr w:rsidR="00C80137" w:rsidRPr="001D043B" w:rsidSect="00B452CE">
          <w:headerReference w:type="even" r:id="rId32"/>
          <w:headerReference w:type="default" r:id="rId33"/>
          <w:headerReference w:type="first" r:id="rId34"/>
          <w:footerReference w:type="first" r:id="rId3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1DADFF7" w14:textId="77777777" w:rsidTr="00A05FA4">
        <w:trPr>
          <w:trHeight w:hRule="exact" w:val="704"/>
        </w:trPr>
        <w:tc>
          <w:tcPr>
            <w:tcW w:w="9175" w:type="dxa"/>
          </w:tcPr>
          <w:p w14:paraId="4E53D9E4" w14:textId="77777777" w:rsidR="001C32CD" w:rsidRPr="00487162" w:rsidRDefault="001C32CD" w:rsidP="00A05FA4">
            <w:pPr>
              <w:pStyle w:val="TGASignoff"/>
            </w:pPr>
            <w:r w:rsidRPr="00487162">
              <w:lastRenderedPageBreak/>
              <w:t>Therapeutic Goods Administration</w:t>
            </w:r>
          </w:p>
        </w:tc>
      </w:tr>
      <w:tr w:rsidR="001C32CD" w:rsidRPr="004C239D" w14:paraId="74ACF398" w14:textId="77777777" w:rsidTr="00A05FA4">
        <w:trPr>
          <w:trHeight w:val="1221"/>
        </w:trPr>
        <w:tc>
          <w:tcPr>
            <w:tcW w:w="9175" w:type="dxa"/>
            <w:tcMar>
              <w:top w:w="28" w:type="dxa"/>
            </w:tcMar>
          </w:tcPr>
          <w:p w14:paraId="44CEBBEE" w14:textId="77777777" w:rsidR="001C32CD" w:rsidRPr="00487162" w:rsidRDefault="001C32CD" w:rsidP="00A05FA4">
            <w:pPr>
              <w:pStyle w:val="Address"/>
            </w:pPr>
            <w:r w:rsidRPr="00487162">
              <w:t>PO Box 100 Woden ACT 2606 Australia</w:t>
            </w:r>
          </w:p>
          <w:p w14:paraId="4A0C71F4" w14:textId="07EE0CE6" w:rsidR="001C32CD" w:rsidRPr="00487162" w:rsidRDefault="001C32CD" w:rsidP="00A05FA4">
            <w:pPr>
              <w:pStyle w:val="Address"/>
            </w:pPr>
            <w:r w:rsidRPr="00487162">
              <w:t xml:space="preserve">Email: </w:t>
            </w:r>
            <w:hyperlink r:id="rId36" w:history="1">
              <w:r w:rsidRPr="004C239D">
                <w:rPr>
                  <w:rStyle w:val="Hyperlink"/>
                </w:rPr>
                <w:t>info@tga.gov.au</w:t>
              </w:r>
            </w:hyperlink>
            <w:r w:rsidR="00D62021">
              <w:t xml:space="preserve"> </w:t>
            </w:r>
            <w:r w:rsidRPr="00487162">
              <w:t>Phone: 1800 020 653</w:t>
            </w:r>
            <w:r w:rsidR="00D62021">
              <w:t xml:space="preserve"> </w:t>
            </w:r>
            <w:r w:rsidRPr="00487162">
              <w:t>Fax: 02 6232 8605</w:t>
            </w:r>
          </w:p>
          <w:p w14:paraId="5A7C7BF9" w14:textId="527194BE" w:rsidR="001C32CD" w:rsidRPr="004C239D" w:rsidRDefault="009665D2" w:rsidP="00A05FA4">
            <w:pPr>
              <w:pStyle w:val="Address"/>
              <w:spacing w:line="260" w:lineRule="atLeast"/>
              <w:rPr>
                <w:b/>
                <w:color w:val="0000FF"/>
                <w:u w:val="single"/>
              </w:rPr>
            </w:pPr>
            <w:hyperlink r:id="rId37" w:history="1">
              <w:r w:rsidR="007C6B9B" w:rsidRPr="007C6B9B">
                <w:rPr>
                  <w:rStyle w:val="Hyperlink"/>
                  <w:b/>
                </w:rPr>
                <w:t>https://www.tga.gov.au</w:t>
              </w:r>
            </w:hyperlink>
          </w:p>
        </w:tc>
      </w:tr>
    </w:tbl>
    <w:p w14:paraId="2A09FCE4" w14:textId="77777777" w:rsidR="00774E1D" w:rsidRPr="008A5E0B" w:rsidRDefault="00774E1D" w:rsidP="004C239D"/>
    <w:sectPr w:rsidR="00774E1D" w:rsidRPr="008A5E0B" w:rsidSect="001C32CD">
      <w:headerReference w:type="even" r:id="rId38"/>
      <w:headerReference w:type="default" r:id="rId39"/>
      <w:footerReference w:type="default" r:id="rId40"/>
      <w:headerReference w:type="first" r:id="rId41"/>
      <w:footerReference w:type="first" r:id="rId4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ADF4" w14:textId="77777777" w:rsidR="009D46EE" w:rsidRDefault="009D46EE" w:rsidP="00C40A36">
      <w:pPr>
        <w:spacing w:after="0"/>
      </w:pPr>
      <w:r>
        <w:separator/>
      </w:r>
    </w:p>
  </w:endnote>
  <w:endnote w:type="continuationSeparator" w:id="0">
    <w:p w14:paraId="40277E7A" w14:textId="77777777" w:rsidR="009D46EE" w:rsidRDefault="009D46E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873FAF" w:rsidRPr="00487162" w14:paraId="782C709A" w14:textId="77777777" w:rsidTr="00DB750B">
      <w:trPr>
        <w:trHeight w:val="269"/>
      </w:trPr>
      <w:tc>
        <w:tcPr>
          <w:tcW w:w="7371" w:type="dxa"/>
          <w:tcMar>
            <w:top w:w="142" w:type="dxa"/>
            <w:bottom w:w="0" w:type="dxa"/>
          </w:tcMar>
        </w:tcPr>
        <w:p w14:paraId="75CE8EE6" w14:textId="612D77B7" w:rsidR="00873FAF" w:rsidRPr="00487162" w:rsidRDefault="00873FAF" w:rsidP="00460036">
          <w:pPr>
            <w:pStyle w:val="Footer"/>
          </w:pPr>
          <w:proofErr w:type="spellStart"/>
          <w:r w:rsidRPr="003C399E">
            <w:t>AusPAR</w:t>
          </w:r>
          <w:proofErr w:type="spellEnd"/>
          <w:r w:rsidRPr="003C399E">
            <w:t xml:space="preserve"> - </w:t>
          </w:r>
          <w:proofErr w:type="spellStart"/>
          <w:r w:rsidRPr="003C399E">
            <w:t>E</w:t>
          </w:r>
          <w:r>
            <w:t>ligard</w:t>
          </w:r>
          <w:proofErr w:type="spellEnd"/>
          <w:r w:rsidRPr="003C399E">
            <w:t xml:space="preserve"> - Leuprorelin acetate - </w:t>
          </w:r>
          <w:proofErr w:type="spellStart"/>
          <w:r w:rsidRPr="003C399E">
            <w:t>Mundipharma</w:t>
          </w:r>
          <w:proofErr w:type="spellEnd"/>
          <w:r w:rsidRPr="003C399E">
            <w:t xml:space="preserve"> Pty Limited - PM-2021-01406-1-5 </w:t>
          </w:r>
          <w:r>
            <w:br/>
          </w:r>
          <w:r w:rsidR="00520D38">
            <w:t>Final 3 March 2023</w:t>
          </w:r>
        </w:p>
      </w:tc>
      <w:tc>
        <w:tcPr>
          <w:tcW w:w="1490" w:type="dxa"/>
          <w:tcMar>
            <w:top w:w="142" w:type="dxa"/>
            <w:bottom w:w="0" w:type="dxa"/>
          </w:tcMar>
        </w:tcPr>
        <w:p w14:paraId="104D1507" w14:textId="4A10A6F4" w:rsidR="00873FAF" w:rsidRPr="00487162" w:rsidRDefault="00873FAF" w:rsidP="00DB750B">
          <w:pPr>
            <w:pStyle w:val="Footer"/>
            <w:jc w:val="right"/>
          </w:pPr>
          <w:r w:rsidRPr="00487162">
            <w:t xml:space="preserve">Page </w:t>
          </w:r>
          <w:r>
            <w:fldChar w:fldCharType="begin"/>
          </w:r>
          <w:r>
            <w:instrText xml:space="preserve"> PAGE  \* Arabic </w:instrText>
          </w:r>
          <w:r>
            <w:fldChar w:fldCharType="separate"/>
          </w:r>
          <w:r w:rsidR="00835723">
            <w:rPr>
              <w:noProof/>
            </w:rPr>
            <w:t>10</w:t>
          </w:r>
          <w:r>
            <w:fldChar w:fldCharType="end"/>
          </w:r>
          <w:r w:rsidRPr="00487162">
            <w:t xml:space="preserve"> of </w:t>
          </w:r>
          <w:fldSimple w:instr=" NUMPAGES  \* Arabic ">
            <w:r w:rsidR="00835723">
              <w:rPr>
                <w:noProof/>
              </w:rPr>
              <w:t>27</w:t>
            </w:r>
          </w:fldSimple>
        </w:p>
      </w:tc>
    </w:tr>
  </w:tbl>
  <w:p w14:paraId="5BE8B396" w14:textId="77777777" w:rsidR="00873FAF" w:rsidRDefault="00873FAF"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73FAF" w:rsidRPr="00487162" w14:paraId="354F802E" w14:textId="77777777" w:rsidTr="00E45619">
      <w:trPr>
        <w:trHeight w:val="269"/>
      </w:trPr>
      <w:tc>
        <w:tcPr>
          <w:tcW w:w="4519" w:type="dxa"/>
          <w:tcBorders>
            <w:top w:val="single" w:sz="4" w:space="0" w:color="auto"/>
          </w:tcBorders>
          <w:tcMar>
            <w:top w:w="142" w:type="dxa"/>
            <w:bottom w:w="0" w:type="dxa"/>
          </w:tcMar>
        </w:tcPr>
        <w:p w14:paraId="4D4BC4BB" w14:textId="77777777" w:rsidR="00873FAF" w:rsidRPr="00487162" w:rsidRDefault="00873FAF" w:rsidP="00FE1DEE">
          <w:pPr>
            <w:pStyle w:val="Footer"/>
          </w:pPr>
          <w:r w:rsidRPr="00487162">
            <w:t>Document title, Part #, Section # - Section title</w:t>
          </w:r>
        </w:p>
        <w:p w14:paraId="6EC711D2" w14:textId="77777777" w:rsidR="00873FAF" w:rsidRPr="00487162" w:rsidRDefault="00873FAF" w:rsidP="00FE1DEE">
          <w:pPr>
            <w:pStyle w:val="Footer"/>
          </w:pPr>
          <w:r w:rsidRPr="00487162">
            <w:t>V1.0 October 2010</w:t>
          </w:r>
        </w:p>
      </w:tc>
      <w:tc>
        <w:tcPr>
          <w:tcW w:w="4342" w:type="dxa"/>
          <w:tcBorders>
            <w:top w:val="single" w:sz="4" w:space="0" w:color="auto"/>
          </w:tcBorders>
          <w:tcMar>
            <w:top w:w="142" w:type="dxa"/>
            <w:bottom w:w="0" w:type="dxa"/>
          </w:tcMar>
        </w:tcPr>
        <w:p w14:paraId="6603A7F6" w14:textId="77777777" w:rsidR="00873FAF" w:rsidRPr="00487162" w:rsidRDefault="00873FA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45F52932" w14:textId="77777777" w:rsidR="00873FAF" w:rsidRDefault="00873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31E4" w14:textId="77777777" w:rsidR="00873FAF" w:rsidRPr="001C32CD" w:rsidRDefault="00873FAF"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73FAF" w14:paraId="31EAC62E" w14:textId="77777777" w:rsidTr="0010601F">
      <w:trPr>
        <w:trHeight w:val="108"/>
      </w:trPr>
      <w:tc>
        <w:tcPr>
          <w:tcW w:w="8875" w:type="dxa"/>
          <w:gridSpan w:val="2"/>
          <w:tcBorders>
            <w:bottom w:val="single" w:sz="4" w:space="0" w:color="auto"/>
          </w:tcBorders>
          <w:tcMar>
            <w:right w:w="284" w:type="dxa"/>
          </w:tcMar>
        </w:tcPr>
        <w:p w14:paraId="16B8419A" w14:textId="77777777" w:rsidR="00873FAF" w:rsidRDefault="00873FAF" w:rsidP="006E08B3">
          <w:pPr>
            <w:pStyle w:val="Heading3"/>
          </w:pPr>
          <w:r>
            <w:t>Copyright</w:t>
          </w:r>
        </w:p>
        <w:p w14:paraId="35B97D60" w14:textId="77777777" w:rsidR="00873FAF" w:rsidRDefault="00873FAF" w:rsidP="006E08B3">
          <w:r>
            <w:rPr>
              <w:rFonts w:cs="Arial"/>
            </w:rPr>
            <w:t>©</w:t>
          </w:r>
          <w:r>
            <w:t xml:space="preserve"> Commonwealth of Australia [add year]</w:t>
          </w:r>
        </w:p>
        <w:p w14:paraId="280B89D8" w14:textId="77777777" w:rsidR="00873FAF" w:rsidRDefault="00873FAF" w:rsidP="006E08B3"/>
        <w:p w14:paraId="5DB3DF43" w14:textId="1CF2CB44" w:rsidR="00873FAF" w:rsidRDefault="00873FA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888E53B" w14:textId="77777777" w:rsidR="00873FAF" w:rsidRDefault="00873FAF" w:rsidP="006E08B3"/>
        <w:p w14:paraId="16CEE4C0" w14:textId="77777777" w:rsidR="00873FAF" w:rsidRDefault="00873FAF" w:rsidP="006E08B3">
          <w:pPr>
            <w:pStyle w:val="Heading3"/>
          </w:pPr>
          <w:r>
            <w:t>Confidentiality</w:t>
          </w:r>
        </w:p>
        <w:p w14:paraId="1A2A44D6" w14:textId="77777777" w:rsidR="00873FAF" w:rsidRDefault="00873FA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29F8A3A" w14:textId="77777777" w:rsidR="00873FAF" w:rsidRDefault="00873FAF" w:rsidP="006E08B3"/>
        <w:p w14:paraId="1D86ADA9" w14:textId="77777777" w:rsidR="00873FAF" w:rsidRDefault="00873FAF" w:rsidP="006E08B3">
          <w:r>
            <w:t>For submission made by individuals, all personal details, other than your name, will be removed from your submission before it is published on the TGA’s Internet site.</w:t>
          </w:r>
        </w:p>
        <w:p w14:paraId="52C0F706" w14:textId="77777777" w:rsidR="00873FAF" w:rsidRDefault="00873FAF" w:rsidP="006E08B3"/>
        <w:p w14:paraId="4FD177B9" w14:textId="77777777" w:rsidR="00873FAF" w:rsidRDefault="00873FAF" w:rsidP="006E08B3">
          <w:r>
            <w:t>In addition, a list of parties making submissions will be published. If you do not wish to be identified with your submission you must specifically request this in the space provided in the submission coversheet.</w:t>
          </w:r>
        </w:p>
      </w:tc>
    </w:tr>
    <w:tr w:rsidR="00873FAF" w14:paraId="097504C1" w14:textId="77777777" w:rsidTr="0010601F">
      <w:trPr>
        <w:trHeight w:val="417"/>
      </w:trPr>
      <w:tc>
        <w:tcPr>
          <w:tcW w:w="4519" w:type="dxa"/>
          <w:tcBorders>
            <w:top w:val="single" w:sz="4" w:space="0" w:color="auto"/>
          </w:tcBorders>
          <w:tcMar>
            <w:top w:w="142" w:type="dxa"/>
            <w:bottom w:w="0" w:type="dxa"/>
          </w:tcMar>
        </w:tcPr>
        <w:p w14:paraId="16C1A19D" w14:textId="77777777" w:rsidR="00873FAF" w:rsidRDefault="00873FAF" w:rsidP="006E08B3">
          <w:r>
            <w:t>Document title, Part #, Section # - Section title</w:t>
          </w:r>
        </w:p>
        <w:p w14:paraId="1D61C1C7" w14:textId="77777777" w:rsidR="00873FAF" w:rsidRDefault="00873FAF" w:rsidP="006E08B3">
          <w:r>
            <w:t>V1.0 October 2010</w:t>
          </w:r>
        </w:p>
      </w:tc>
      <w:tc>
        <w:tcPr>
          <w:tcW w:w="4356" w:type="dxa"/>
          <w:tcBorders>
            <w:top w:val="single" w:sz="4" w:space="0" w:color="auto"/>
          </w:tcBorders>
          <w:tcMar>
            <w:top w:w="142" w:type="dxa"/>
            <w:bottom w:w="0" w:type="dxa"/>
          </w:tcMar>
        </w:tcPr>
        <w:p w14:paraId="4A53BC8B" w14:textId="4B51E421" w:rsidR="00873FAF" w:rsidRDefault="00873FA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694414EF" w14:textId="77777777" w:rsidR="00873FAF" w:rsidRDefault="00873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02AC" w14:textId="77777777" w:rsidR="009D46EE" w:rsidRDefault="009D46EE" w:rsidP="00C40A36">
      <w:pPr>
        <w:spacing w:after="0"/>
      </w:pPr>
      <w:r>
        <w:separator/>
      </w:r>
    </w:p>
  </w:footnote>
  <w:footnote w:type="continuationSeparator" w:id="0">
    <w:p w14:paraId="2097FB20" w14:textId="77777777" w:rsidR="009D46EE" w:rsidRDefault="009D46EE" w:rsidP="00C40A36">
      <w:pPr>
        <w:spacing w:after="0"/>
      </w:pPr>
      <w:r>
        <w:continuationSeparator/>
      </w:r>
    </w:p>
  </w:footnote>
  <w:footnote w:id="1">
    <w:p w14:paraId="2C191025" w14:textId="59AFCED0" w:rsidR="00873FAF" w:rsidRDefault="00873FAF">
      <w:pPr>
        <w:pStyle w:val="FootnoteText"/>
      </w:pPr>
      <w:r>
        <w:rPr>
          <w:rStyle w:val="FootnoteReference"/>
        </w:rPr>
        <w:footnoteRef/>
      </w:r>
      <w:r>
        <w:t xml:space="preserve"> </w:t>
      </w:r>
      <w:r w:rsidRPr="00565635">
        <w:t>The Black Triangle Scheme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4D30D4B9" w14:textId="7230ADB6" w:rsidR="00873FAF" w:rsidRDefault="00873FAF">
      <w:pPr>
        <w:pStyle w:val="FootnoteText"/>
      </w:pPr>
      <w:r>
        <w:rPr>
          <w:rStyle w:val="FootnoteReference"/>
        </w:rPr>
        <w:footnoteRef/>
      </w:r>
      <w:r>
        <w:t xml:space="preserve"> </w:t>
      </w:r>
      <w:proofErr w:type="spellStart"/>
      <w:r w:rsidRPr="00A5553B">
        <w:t>Latronico</w:t>
      </w:r>
      <w:proofErr w:type="spellEnd"/>
      <w:r w:rsidRPr="00A5553B">
        <w:t xml:space="preserve"> AC, Brito VN, </w:t>
      </w:r>
      <w:proofErr w:type="spellStart"/>
      <w:r w:rsidRPr="00A5553B">
        <w:t>Carel</w:t>
      </w:r>
      <w:proofErr w:type="spellEnd"/>
      <w:r w:rsidRPr="00A5553B">
        <w:t xml:space="preserve"> J-C.</w:t>
      </w:r>
      <w:r>
        <w:t xml:space="preserve"> </w:t>
      </w:r>
      <w:r w:rsidRPr="00A5553B">
        <w:t>Causes, diagnosis, and treatment of central precocious puberty</w:t>
      </w:r>
      <w:r w:rsidRPr="00A5553B">
        <w:rPr>
          <w:i/>
          <w:iCs/>
        </w:rPr>
        <w:t>.</w:t>
      </w:r>
      <w:r>
        <w:rPr>
          <w:i/>
          <w:iCs/>
        </w:rPr>
        <w:t xml:space="preserve"> </w:t>
      </w:r>
      <w:r w:rsidRPr="00A5553B">
        <w:rPr>
          <w:i/>
          <w:iCs/>
        </w:rPr>
        <w:t>Lancet Diabetes Endocrinol</w:t>
      </w:r>
      <w:r w:rsidRPr="00A5553B">
        <w:t xml:space="preserve"> 2016; 4: 265–74</w:t>
      </w:r>
    </w:p>
  </w:footnote>
  <w:footnote w:id="3">
    <w:p w14:paraId="43ABCD25" w14:textId="1D04D7FC" w:rsidR="00873FAF" w:rsidRPr="0073649D" w:rsidRDefault="00873FAF" w:rsidP="0073649D">
      <w:pPr>
        <w:pStyle w:val="FootnoteText"/>
      </w:pPr>
      <w:r>
        <w:rPr>
          <w:rStyle w:val="FootnoteReference"/>
        </w:rPr>
        <w:footnoteRef/>
      </w:r>
      <w:r>
        <w:t xml:space="preserve"> </w:t>
      </w:r>
      <w:proofErr w:type="spellStart"/>
      <w:r>
        <w:t>Antoniazzi</w:t>
      </w:r>
      <w:proofErr w:type="spellEnd"/>
      <w:r>
        <w:t xml:space="preserve"> F, Zamboni G. Central precocious puberty: current treatment options. </w:t>
      </w:r>
      <w:proofErr w:type="spellStart"/>
      <w:r w:rsidRPr="00520D38">
        <w:rPr>
          <w:i/>
        </w:rPr>
        <w:t>Paediatr</w:t>
      </w:r>
      <w:proofErr w:type="spellEnd"/>
      <w:r w:rsidRPr="00520D38">
        <w:rPr>
          <w:i/>
        </w:rPr>
        <w:t xml:space="preserve"> Drugs.</w:t>
      </w:r>
      <w:r>
        <w:t xml:space="preserve"> 2004;6(4):211-31.</w:t>
      </w:r>
    </w:p>
  </w:footnote>
  <w:footnote w:id="4">
    <w:p w14:paraId="470166D6" w14:textId="3F6D75BC" w:rsidR="00873FAF" w:rsidRPr="0073649D" w:rsidRDefault="00873FAF" w:rsidP="0073649D">
      <w:pPr>
        <w:pStyle w:val="FootnoteText"/>
      </w:pPr>
      <w:r>
        <w:rPr>
          <w:rStyle w:val="FootnoteReference"/>
        </w:rPr>
        <w:footnoteRef/>
      </w:r>
      <w:r>
        <w:t xml:space="preserve"> Fuqua JS. Treatment and outcomes of precocious puberty: an update. </w:t>
      </w:r>
      <w:r w:rsidRPr="00520D38">
        <w:rPr>
          <w:i/>
        </w:rPr>
        <w:t xml:space="preserve">J Clin Endocrinol </w:t>
      </w:r>
      <w:proofErr w:type="spellStart"/>
      <w:r w:rsidRPr="00520D38">
        <w:rPr>
          <w:i/>
        </w:rPr>
        <w:t>Metab</w:t>
      </w:r>
      <w:proofErr w:type="spellEnd"/>
      <w:r>
        <w:t>. 2013 Jun;98(6):2198-207.</w:t>
      </w:r>
    </w:p>
  </w:footnote>
  <w:footnote w:id="5">
    <w:p w14:paraId="542A7B48" w14:textId="5E8A9DE0" w:rsidR="00873FAF" w:rsidRPr="00520D38" w:rsidRDefault="00873FAF">
      <w:pPr>
        <w:pStyle w:val="FootnoteText"/>
        <w:rPr>
          <w:lang w:val="en-GB"/>
        </w:rPr>
      </w:pPr>
      <w:r>
        <w:rPr>
          <w:rStyle w:val="FootnoteReference"/>
        </w:rPr>
        <w:footnoteRef/>
      </w:r>
      <w:r>
        <w:t xml:space="preserve"> </w:t>
      </w:r>
      <w:r w:rsidRPr="0021252C">
        <w:t xml:space="preserve">Herman-Giddens ME, </w:t>
      </w:r>
      <w:proofErr w:type="spellStart"/>
      <w:r w:rsidRPr="0021252C">
        <w:t>Slora</w:t>
      </w:r>
      <w:proofErr w:type="spellEnd"/>
      <w:r w:rsidRPr="0021252C">
        <w:t xml:space="preserve"> EJ, Wasserman RC, et al. Secondary sexual characteristics and menses in young girls seen in office practice: a study from the </w:t>
      </w:r>
      <w:proofErr w:type="spellStart"/>
      <w:r w:rsidRPr="0021252C">
        <w:t>Pediatric</w:t>
      </w:r>
      <w:proofErr w:type="spellEnd"/>
      <w:r w:rsidRPr="0021252C">
        <w:t xml:space="preserve"> Research in Office Settings network. </w:t>
      </w:r>
      <w:proofErr w:type="spellStart"/>
      <w:r w:rsidRPr="00520D38">
        <w:rPr>
          <w:i/>
        </w:rPr>
        <w:t>Pediatrics</w:t>
      </w:r>
      <w:proofErr w:type="spellEnd"/>
      <w:r w:rsidRPr="0021252C">
        <w:t>. 1997;99(4):505-512.</w:t>
      </w:r>
    </w:p>
  </w:footnote>
  <w:footnote w:id="6">
    <w:p w14:paraId="4933E908" w14:textId="102B8CA3" w:rsidR="00873FAF" w:rsidRPr="00520D38" w:rsidRDefault="00873FAF">
      <w:pPr>
        <w:pStyle w:val="FootnoteText"/>
        <w:rPr>
          <w:lang w:val="en-GB"/>
        </w:rPr>
      </w:pPr>
      <w:r>
        <w:rPr>
          <w:rStyle w:val="FootnoteReference"/>
        </w:rPr>
        <w:footnoteRef/>
      </w:r>
      <w:r>
        <w:t xml:space="preserve"> </w:t>
      </w:r>
      <w:proofErr w:type="spellStart"/>
      <w:r>
        <w:rPr>
          <w:lang w:val="en-GB"/>
        </w:rPr>
        <w:t>Lucrin</w:t>
      </w:r>
      <w:proofErr w:type="spellEnd"/>
      <w:r>
        <w:rPr>
          <w:lang w:val="en-GB"/>
        </w:rPr>
        <w:t xml:space="preserve"> </w:t>
      </w:r>
      <w:r w:rsidRPr="00D04CBE">
        <w:rPr>
          <w:lang w:val="en-GB"/>
        </w:rPr>
        <w:t>Depot</w:t>
      </w:r>
      <w:r>
        <w:rPr>
          <w:lang w:val="en-GB"/>
        </w:rPr>
        <w:t xml:space="preserve"> (</w:t>
      </w:r>
      <w:r w:rsidRPr="00D04CBE">
        <w:rPr>
          <w:lang w:val="en-GB"/>
        </w:rPr>
        <w:t>leuprorelin acetate</w:t>
      </w:r>
      <w:r>
        <w:rPr>
          <w:lang w:val="en-GB"/>
        </w:rPr>
        <w:t>)</w:t>
      </w:r>
      <w:r w:rsidRPr="00D04CBE">
        <w:rPr>
          <w:lang w:val="en-GB"/>
        </w:rPr>
        <w:t xml:space="preserve"> 30 mg powder for injection prefilled dual chamber syringe</w:t>
      </w:r>
      <w:r>
        <w:rPr>
          <w:lang w:val="en-GB"/>
        </w:rPr>
        <w:t xml:space="preserve">, </w:t>
      </w:r>
      <w:proofErr w:type="spellStart"/>
      <w:r>
        <w:rPr>
          <w:lang w:val="en-GB"/>
        </w:rPr>
        <w:t>Abbvie</w:t>
      </w:r>
      <w:proofErr w:type="spellEnd"/>
      <w:r>
        <w:rPr>
          <w:lang w:val="en-GB"/>
        </w:rPr>
        <w:t xml:space="preserve"> Pty Ltd was first registered on the ARTG in Australia on 13 October 2014 (</w:t>
      </w:r>
      <w:r w:rsidRPr="005E577C">
        <w:rPr>
          <w:lang w:val="en-GB"/>
        </w:rPr>
        <w:t>AUST R 218936</w:t>
      </w:r>
      <w:r>
        <w:rPr>
          <w:lang w:val="en-GB"/>
        </w:rPr>
        <w:t>).</w:t>
      </w:r>
    </w:p>
  </w:footnote>
  <w:footnote w:id="7">
    <w:p w14:paraId="011DC71B" w14:textId="7B459553" w:rsidR="00873FAF" w:rsidRPr="00520D38" w:rsidRDefault="00873FAF">
      <w:pPr>
        <w:pStyle w:val="FootnoteText"/>
        <w:rPr>
          <w:lang w:val="en-GB"/>
        </w:rPr>
      </w:pPr>
      <w:r>
        <w:rPr>
          <w:rStyle w:val="FootnoteReference"/>
        </w:rPr>
        <w:footnoteRef/>
      </w:r>
      <w:r>
        <w:t xml:space="preserve"> </w:t>
      </w:r>
      <w:proofErr w:type="spellStart"/>
      <w:r>
        <w:rPr>
          <w:lang w:val="en-GB"/>
        </w:rPr>
        <w:t>Diphereline</w:t>
      </w:r>
      <w:proofErr w:type="spellEnd"/>
      <w:r>
        <w:rPr>
          <w:lang w:val="en-GB"/>
        </w:rPr>
        <w:t xml:space="preserve"> (triptorelin (as </w:t>
      </w:r>
      <w:proofErr w:type="spellStart"/>
      <w:r>
        <w:rPr>
          <w:lang w:val="en-GB"/>
        </w:rPr>
        <w:t>embonate</w:t>
      </w:r>
      <w:proofErr w:type="spellEnd"/>
      <w:r>
        <w:rPr>
          <w:lang w:val="en-GB"/>
        </w:rPr>
        <w:t xml:space="preserve">) </w:t>
      </w:r>
      <w:r w:rsidRPr="005E577C">
        <w:rPr>
          <w:lang w:val="en-GB"/>
        </w:rPr>
        <w:t>22.5 mg powder for suspension vial and water for injections ampoule</w:t>
      </w:r>
      <w:r>
        <w:rPr>
          <w:lang w:val="en-GB"/>
        </w:rPr>
        <w:t xml:space="preserve">, Ipsen Pty Ltd was first registered on the ARTG in Australia on </w:t>
      </w:r>
      <w:r w:rsidRPr="005E577C">
        <w:rPr>
          <w:lang w:val="en-GB"/>
        </w:rPr>
        <w:t>27 July 2010</w:t>
      </w:r>
      <w:r>
        <w:rPr>
          <w:lang w:val="en-GB"/>
        </w:rPr>
        <w:t xml:space="preserve"> (</w:t>
      </w:r>
      <w:r w:rsidRPr="005E577C">
        <w:rPr>
          <w:lang w:val="en-GB"/>
        </w:rPr>
        <w:t>AUST R 159173</w:t>
      </w:r>
      <w:r>
        <w:rPr>
          <w:lang w:val="en-GB"/>
        </w:rPr>
        <w:t>).</w:t>
      </w:r>
    </w:p>
  </w:footnote>
  <w:footnote w:id="8">
    <w:p w14:paraId="60F0DF54" w14:textId="2539D27A" w:rsidR="00873FAF" w:rsidRDefault="00873FAF">
      <w:pPr>
        <w:pStyle w:val="FootnoteText"/>
      </w:pPr>
      <w:r>
        <w:rPr>
          <w:rStyle w:val="FootnoteReference"/>
        </w:rPr>
        <w:footnoteRef/>
      </w:r>
      <w:r>
        <w:t xml:space="preserve"> An </w:t>
      </w:r>
      <w:proofErr w:type="spellStart"/>
      <w:r>
        <w:t>AusPAR</w:t>
      </w:r>
      <w:proofErr w:type="spellEnd"/>
      <w:r>
        <w:t xml:space="preserve"> for </w:t>
      </w:r>
      <w:proofErr w:type="spellStart"/>
      <w:r>
        <w:t>Eligard</w:t>
      </w:r>
      <w:proofErr w:type="spellEnd"/>
      <w:r>
        <w:t xml:space="preserve"> extension of indications for treatment of high-risk localised and locally advanced hormone-dependant </w:t>
      </w:r>
      <w:proofErr w:type="spellStart"/>
      <w:r>
        <w:t>prostrate</w:t>
      </w:r>
      <w:proofErr w:type="spellEnd"/>
      <w:r>
        <w:t xml:space="preserve"> cancer submission PM-2016-02330-1-4 is available at </w:t>
      </w:r>
      <w:hyperlink r:id="rId1" w:history="1">
        <w:r w:rsidRPr="006F476F">
          <w:rPr>
            <w:rStyle w:val="Hyperlink"/>
          </w:rPr>
          <w:t>https://www.tga.gov.au/resources/auspar/auspar-leuprorelin</w:t>
        </w:r>
      </w:hyperlink>
    </w:p>
  </w:footnote>
  <w:footnote w:id="9">
    <w:p w14:paraId="07D3C588" w14:textId="5D1A6D99" w:rsidR="00873FAF" w:rsidRPr="00520D38" w:rsidRDefault="00873FAF">
      <w:pPr>
        <w:pStyle w:val="FootnoteText"/>
        <w:rPr>
          <w:lang w:val="en-GB"/>
        </w:rPr>
      </w:pPr>
      <w:r>
        <w:rPr>
          <w:rStyle w:val="FootnoteReference"/>
        </w:rPr>
        <w:footnoteRef/>
      </w:r>
      <w:r>
        <w:t xml:space="preserve"> </w:t>
      </w:r>
      <w:r>
        <w:rPr>
          <w:lang w:val="en-GB"/>
        </w:rPr>
        <w:t>Note the International Non-proprietary Name (INN) for this drug, as used in Australia, is leuprorelin. Leuprolide is an alternative (United Stated Adopted Name (USAN)) name used in the USA and some other regions overseas. Except for name, leuprorelin and leuprolide are the same drug.</w:t>
      </w:r>
    </w:p>
  </w:footnote>
  <w:footnote w:id="10">
    <w:p w14:paraId="12B2C4A5" w14:textId="0DA13470" w:rsidR="008C6F1F" w:rsidRDefault="00873FAF">
      <w:pPr>
        <w:pStyle w:val="FootnoteText"/>
      </w:pPr>
      <w:r>
        <w:rPr>
          <w:rStyle w:val="FootnoteReference"/>
        </w:rPr>
        <w:footnoteRef/>
      </w:r>
      <w:r>
        <w:t xml:space="preserve"> </w:t>
      </w:r>
      <w:r w:rsidR="008C6F1F" w:rsidRPr="008C6F1F">
        <w:t>The Tanner scale (also known as the Tanner stages or sexual maturity rating (SMR)) is a</w:t>
      </w:r>
      <w:r w:rsidR="008C6F1F">
        <w:t>n objective classification system documenting the physical development of secondary sex characteristics of children during puberty (that is, from the onset of adolescence and into adulthood).</w:t>
      </w:r>
      <w:r w:rsidR="00BF2293">
        <w:t xml:space="preserve"> </w:t>
      </w:r>
      <w:r w:rsidR="0010375B">
        <w:rPr>
          <w:color w:val="000000"/>
          <w:shd w:val="clear" w:color="auto" w:fill="FFFFFF"/>
        </w:rPr>
        <w:t>Tanner Stage 1 corresponds to the pre-pubertal form for all three sites of development with progression to Tanner Stage 5, the final adult state.</w:t>
      </w:r>
    </w:p>
  </w:footnote>
  <w:footnote w:id="11">
    <w:p w14:paraId="4019456C" w14:textId="3B58256F" w:rsidR="008C6F1F" w:rsidRPr="008C6F1F" w:rsidRDefault="008C6F1F" w:rsidP="008C6F1F">
      <w:pPr>
        <w:pStyle w:val="FootnoteText"/>
      </w:pPr>
      <w:r>
        <w:rPr>
          <w:rStyle w:val="FootnoteReference"/>
        </w:rPr>
        <w:footnoteRef/>
      </w:r>
      <w:r>
        <w:t xml:space="preserve"> The </w:t>
      </w:r>
      <w:proofErr w:type="spellStart"/>
      <w:r>
        <w:t>Greulich</w:t>
      </w:r>
      <w:proofErr w:type="spellEnd"/>
      <w:r>
        <w:t xml:space="preserve"> and Pyle method is used to assess the bone age of children. A bone age assessment </w:t>
      </w:r>
      <w:proofErr w:type="gramStart"/>
      <w:r>
        <w:t>require</w:t>
      </w:r>
      <w:proofErr w:type="gramEnd"/>
      <w:r>
        <w:t xml:space="preserve"> a left hand and wrist radiograph. The </w:t>
      </w:r>
      <w:proofErr w:type="spellStart"/>
      <w:r>
        <w:t>Greulich</w:t>
      </w:r>
      <w:proofErr w:type="spellEnd"/>
      <w:r>
        <w:t xml:space="preserve"> and Pyle method makes use of a standard bone age atlas that the reporter can compare their image to and make an estimation of bone age.</w:t>
      </w:r>
    </w:p>
  </w:footnote>
  <w:footnote w:id="12">
    <w:p w14:paraId="09B34FCE" w14:textId="77777777" w:rsidR="00472ABE" w:rsidRPr="00C16CF8" w:rsidRDefault="00472ABE" w:rsidP="00472ABE">
      <w:pPr>
        <w:pStyle w:val="FootnoteText"/>
        <w:rPr>
          <w:lang w:val="en-GB"/>
        </w:rPr>
      </w:pPr>
      <w:r>
        <w:rPr>
          <w:rStyle w:val="FootnoteReference"/>
        </w:rPr>
        <w:footnoteRef/>
      </w:r>
      <w:r>
        <w:t xml:space="preserve"> </w:t>
      </w:r>
      <w:proofErr w:type="spellStart"/>
      <w:r>
        <w:t>Fensolvi</w:t>
      </w:r>
      <w:proofErr w:type="spellEnd"/>
      <w:r>
        <w:t xml:space="preserve"> is a tradename in the USA for leuprolide (leuprorelin) acetate for injectable suspension (extended release) made by </w:t>
      </w:r>
      <w:proofErr w:type="spellStart"/>
      <w:r>
        <w:t>Tolmar</w:t>
      </w:r>
      <w:proofErr w:type="spellEnd"/>
      <w:r>
        <w:t xml:space="preserve"> International Limited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91AD" w14:textId="77777777" w:rsidR="00873FAF" w:rsidRDefault="00873FAF"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F29D" w14:textId="77777777" w:rsidR="00873FAF" w:rsidRDefault="00873FAF">
    <w:pPr>
      <w:rPr>
        <w:noProof/>
        <w:lang w:eastAsia="en-AU"/>
      </w:rPr>
    </w:pPr>
    <w:r w:rsidRPr="00347824">
      <w:rPr>
        <w:noProof/>
        <w:lang w:val="en-GB" w:eastAsia="en-GB"/>
      </w:rPr>
      <w:drawing>
        <wp:anchor distT="0" distB="0" distL="114300" distR="114300" simplePos="0" relativeHeight="251659264" behindDoc="1" locked="0" layoutInCell="1" allowOverlap="1" wp14:anchorId="08A23947" wp14:editId="0E213517">
          <wp:simplePos x="0" y="0"/>
          <wp:positionH relativeFrom="page">
            <wp:align>right</wp:align>
          </wp:positionH>
          <wp:positionV relativeFrom="paragraph">
            <wp:posOffset>-585470</wp:posOffset>
          </wp:positionV>
          <wp:extent cx="7572375" cy="10706100"/>
          <wp:effectExtent l="0" t="0" r="9525"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B3A2" w14:textId="77777777" w:rsidR="00873FAF" w:rsidRDefault="00873F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28D8" w14:textId="77777777" w:rsidR="00873FAF" w:rsidRDefault="00873FAF">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9318" w14:textId="77777777" w:rsidR="00873FAF" w:rsidRDefault="00873FAF">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DFBD" w14:textId="77777777" w:rsidR="00873FAF" w:rsidRDefault="00873F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56B9" w14:textId="77777777" w:rsidR="00873FAF" w:rsidRDefault="00873FAF"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5F6" w14:textId="77777777" w:rsidR="00873FAF" w:rsidRDefault="00873FAF" w:rsidP="006E08B3">
    <w:r>
      <w:t>Therapeutic Goods Administration</w:t>
    </w:r>
  </w:p>
  <w:p w14:paraId="3DCAA0D4" w14:textId="77777777" w:rsidR="00873FAF" w:rsidRDefault="00873FAF"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D2CC5BC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B748DF"/>
    <w:multiLevelType w:val="hybridMultilevel"/>
    <w:tmpl w:val="949A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1"/>
  </w:num>
  <w:num w:numId="29">
    <w:abstractNumId w:val="6"/>
  </w:num>
  <w:num w:numId="30">
    <w:abstractNumId w:val="8"/>
  </w:num>
  <w:num w:numId="31">
    <w:abstractNumId w:val="4"/>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6B"/>
    <w:rsid w:val="00002031"/>
    <w:rsid w:val="00003C76"/>
    <w:rsid w:val="00004734"/>
    <w:rsid w:val="00006845"/>
    <w:rsid w:val="00006B22"/>
    <w:rsid w:val="00006FAB"/>
    <w:rsid w:val="0001276A"/>
    <w:rsid w:val="000246AE"/>
    <w:rsid w:val="00025C67"/>
    <w:rsid w:val="00044772"/>
    <w:rsid w:val="0004541C"/>
    <w:rsid w:val="00054CA8"/>
    <w:rsid w:val="0005559E"/>
    <w:rsid w:val="00055907"/>
    <w:rsid w:val="00057EE8"/>
    <w:rsid w:val="000604D6"/>
    <w:rsid w:val="000734D8"/>
    <w:rsid w:val="00077775"/>
    <w:rsid w:val="00083745"/>
    <w:rsid w:val="00090471"/>
    <w:rsid w:val="00096AA7"/>
    <w:rsid w:val="000A0F3A"/>
    <w:rsid w:val="000A2FF9"/>
    <w:rsid w:val="000A3AED"/>
    <w:rsid w:val="000B3532"/>
    <w:rsid w:val="000B3A75"/>
    <w:rsid w:val="000C00C2"/>
    <w:rsid w:val="000C690F"/>
    <w:rsid w:val="000D1295"/>
    <w:rsid w:val="000D391B"/>
    <w:rsid w:val="000D3D6D"/>
    <w:rsid w:val="000D4FC7"/>
    <w:rsid w:val="000E6196"/>
    <w:rsid w:val="000F4869"/>
    <w:rsid w:val="000F5B42"/>
    <w:rsid w:val="000F6E6F"/>
    <w:rsid w:val="0010375B"/>
    <w:rsid w:val="0010601F"/>
    <w:rsid w:val="0010788A"/>
    <w:rsid w:val="00107A31"/>
    <w:rsid w:val="00110EA5"/>
    <w:rsid w:val="00112A31"/>
    <w:rsid w:val="00112F56"/>
    <w:rsid w:val="00114908"/>
    <w:rsid w:val="00117C1F"/>
    <w:rsid w:val="00122C2E"/>
    <w:rsid w:val="00124ACD"/>
    <w:rsid w:val="00125318"/>
    <w:rsid w:val="001305A2"/>
    <w:rsid w:val="00133238"/>
    <w:rsid w:val="00133A1B"/>
    <w:rsid w:val="0014197B"/>
    <w:rsid w:val="0014421A"/>
    <w:rsid w:val="001447CD"/>
    <w:rsid w:val="001516B1"/>
    <w:rsid w:val="00154EBB"/>
    <w:rsid w:val="00156316"/>
    <w:rsid w:val="00161181"/>
    <w:rsid w:val="00161D56"/>
    <w:rsid w:val="00162D14"/>
    <w:rsid w:val="00163780"/>
    <w:rsid w:val="00165389"/>
    <w:rsid w:val="0017693F"/>
    <w:rsid w:val="0018110E"/>
    <w:rsid w:val="00181684"/>
    <w:rsid w:val="001843C6"/>
    <w:rsid w:val="001850E0"/>
    <w:rsid w:val="00185407"/>
    <w:rsid w:val="00193B4B"/>
    <w:rsid w:val="001A03AF"/>
    <w:rsid w:val="001A2158"/>
    <w:rsid w:val="001A525F"/>
    <w:rsid w:val="001A5A00"/>
    <w:rsid w:val="001A66B8"/>
    <w:rsid w:val="001B09F9"/>
    <w:rsid w:val="001B1DA4"/>
    <w:rsid w:val="001B5C90"/>
    <w:rsid w:val="001B6448"/>
    <w:rsid w:val="001C32CD"/>
    <w:rsid w:val="001C5974"/>
    <w:rsid w:val="001D2984"/>
    <w:rsid w:val="001D5372"/>
    <w:rsid w:val="001E07CF"/>
    <w:rsid w:val="001E359E"/>
    <w:rsid w:val="001E59F1"/>
    <w:rsid w:val="001F2CEE"/>
    <w:rsid w:val="001F49EB"/>
    <w:rsid w:val="001F6CBA"/>
    <w:rsid w:val="00201D4E"/>
    <w:rsid w:val="002076C9"/>
    <w:rsid w:val="0021252C"/>
    <w:rsid w:val="00213E18"/>
    <w:rsid w:val="00220B8A"/>
    <w:rsid w:val="002257F3"/>
    <w:rsid w:val="002314EA"/>
    <w:rsid w:val="00233456"/>
    <w:rsid w:val="002339A5"/>
    <w:rsid w:val="00250271"/>
    <w:rsid w:val="00250F35"/>
    <w:rsid w:val="00257848"/>
    <w:rsid w:val="002578E8"/>
    <w:rsid w:val="0027084A"/>
    <w:rsid w:val="00271E85"/>
    <w:rsid w:val="00280265"/>
    <w:rsid w:val="00286434"/>
    <w:rsid w:val="00286C59"/>
    <w:rsid w:val="00291957"/>
    <w:rsid w:val="002942D1"/>
    <w:rsid w:val="0029501A"/>
    <w:rsid w:val="00296B89"/>
    <w:rsid w:val="002A2295"/>
    <w:rsid w:val="002A3721"/>
    <w:rsid w:val="002B1638"/>
    <w:rsid w:val="002B3624"/>
    <w:rsid w:val="002B4BF2"/>
    <w:rsid w:val="002C6E17"/>
    <w:rsid w:val="002D0952"/>
    <w:rsid w:val="002D5B62"/>
    <w:rsid w:val="002D7B09"/>
    <w:rsid w:val="002E40B3"/>
    <w:rsid w:val="002E4C9A"/>
    <w:rsid w:val="002F11F8"/>
    <w:rsid w:val="002F3F56"/>
    <w:rsid w:val="002F44B5"/>
    <w:rsid w:val="002F5122"/>
    <w:rsid w:val="00311AC0"/>
    <w:rsid w:val="00313622"/>
    <w:rsid w:val="003176FC"/>
    <w:rsid w:val="00320A6F"/>
    <w:rsid w:val="00322D16"/>
    <w:rsid w:val="00324E45"/>
    <w:rsid w:val="0032583B"/>
    <w:rsid w:val="00327883"/>
    <w:rsid w:val="00332704"/>
    <w:rsid w:val="00332715"/>
    <w:rsid w:val="00335504"/>
    <w:rsid w:val="00340C18"/>
    <w:rsid w:val="003442FD"/>
    <w:rsid w:val="003458D3"/>
    <w:rsid w:val="00347824"/>
    <w:rsid w:val="00350567"/>
    <w:rsid w:val="003521E8"/>
    <w:rsid w:val="00370CE3"/>
    <w:rsid w:val="003728F3"/>
    <w:rsid w:val="003735BC"/>
    <w:rsid w:val="0037496E"/>
    <w:rsid w:val="00383221"/>
    <w:rsid w:val="00386150"/>
    <w:rsid w:val="003874CE"/>
    <w:rsid w:val="00390900"/>
    <w:rsid w:val="00393378"/>
    <w:rsid w:val="003A7F6C"/>
    <w:rsid w:val="003B4D60"/>
    <w:rsid w:val="003B7E39"/>
    <w:rsid w:val="003C399E"/>
    <w:rsid w:val="003C5025"/>
    <w:rsid w:val="003C58DC"/>
    <w:rsid w:val="003D1E62"/>
    <w:rsid w:val="003E0B99"/>
    <w:rsid w:val="003E2486"/>
    <w:rsid w:val="003E3208"/>
    <w:rsid w:val="003F0B04"/>
    <w:rsid w:val="0040134E"/>
    <w:rsid w:val="00414446"/>
    <w:rsid w:val="00420928"/>
    <w:rsid w:val="004334C7"/>
    <w:rsid w:val="00440A2D"/>
    <w:rsid w:val="00441C3F"/>
    <w:rsid w:val="00444D1A"/>
    <w:rsid w:val="0045186A"/>
    <w:rsid w:val="00454BDC"/>
    <w:rsid w:val="004564A7"/>
    <w:rsid w:val="00456765"/>
    <w:rsid w:val="00460036"/>
    <w:rsid w:val="004617BF"/>
    <w:rsid w:val="00463658"/>
    <w:rsid w:val="004637A0"/>
    <w:rsid w:val="00463D1D"/>
    <w:rsid w:val="004722CC"/>
    <w:rsid w:val="00472ABE"/>
    <w:rsid w:val="00490483"/>
    <w:rsid w:val="004936E4"/>
    <w:rsid w:val="00494E60"/>
    <w:rsid w:val="00497487"/>
    <w:rsid w:val="004A2771"/>
    <w:rsid w:val="004A433E"/>
    <w:rsid w:val="004A6189"/>
    <w:rsid w:val="004A7390"/>
    <w:rsid w:val="004B7B76"/>
    <w:rsid w:val="004C239D"/>
    <w:rsid w:val="004C2B1B"/>
    <w:rsid w:val="004C2DCA"/>
    <w:rsid w:val="004C4FBE"/>
    <w:rsid w:val="004C61D2"/>
    <w:rsid w:val="004D392B"/>
    <w:rsid w:val="004D43E0"/>
    <w:rsid w:val="004F0C4A"/>
    <w:rsid w:val="004F0F38"/>
    <w:rsid w:val="004F47D6"/>
    <w:rsid w:val="00500337"/>
    <w:rsid w:val="00501921"/>
    <w:rsid w:val="00505417"/>
    <w:rsid w:val="00514E8A"/>
    <w:rsid w:val="00520D38"/>
    <w:rsid w:val="0052149B"/>
    <w:rsid w:val="00523A21"/>
    <w:rsid w:val="00530354"/>
    <w:rsid w:val="0053625B"/>
    <w:rsid w:val="005434C6"/>
    <w:rsid w:val="00543B39"/>
    <w:rsid w:val="00544CEF"/>
    <w:rsid w:val="00545CDB"/>
    <w:rsid w:val="00546154"/>
    <w:rsid w:val="00550096"/>
    <w:rsid w:val="00555280"/>
    <w:rsid w:val="00557FF9"/>
    <w:rsid w:val="00562327"/>
    <w:rsid w:val="00565635"/>
    <w:rsid w:val="005711D5"/>
    <w:rsid w:val="00576378"/>
    <w:rsid w:val="00577130"/>
    <w:rsid w:val="00577945"/>
    <w:rsid w:val="00577E38"/>
    <w:rsid w:val="00585322"/>
    <w:rsid w:val="005857C6"/>
    <w:rsid w:val="00592F6E"/>
    <w:rsid w:val="00593AD1"/>
    <w:rsid w:val="005A68B6"/>
    <w:rsid w:val="005A79F5"/>
    <w:rsid w:val="005C494B"/>
    <w:rsid w:val="005C5570"/>
    <w:rsid w:val="005C5B66"/>
    <w:rsid w:val="005C79A4"/>
    <w:rsid w:val="005D5442"/>
    <w:rsid w:val="005E577C"/>
    <w:rsid w:val="00601D52"/>
    <w:rsid w:val="00603F32"/>
    <w:rsid w:val="00605AD4"/>
    <w:rsid w:val="006136D7"/>
    <w:rsid w:val="0062448D"/>
    <w:rsid w:val="00625A6E"/>
    <w:rsid w:val="00632398"/>
    <w:rsid w:val="00640FC3"/>
    <w:rsid w:val="00642020"/>
    <w:rsid w:val="006430EE"/>
    <w:rsid w:val="00643CE5"/>
    <w:rsid w:val="00646FD5"/>
    <w:rsid w:val="0065337B"/>
    <w:rsid w:val="0065419D"/>
    <w:rsid w:val="006566B7"/>
    <w:rsid w:val="006603BC"/>
    <w:rsid w:val="006604D8"/>
    <w:rsid w:val="00664A5B"/>
    <w:rsid w:val="0066735C"/>
    <w:rsid w:val="006763D2"/>
    <w:rsid w:val="00680C08"/>
    <w:rsid w:val="006901BA"/>
    <w:rsid w:val="006916A0"/>
    <w:rsid w:val="006931B1"/>
    <w:rsid w:val="006A15C0"/>
    <w:rsid w:val="006A58A8"/>
    <w:rsid w:val="006C3E2A"/>
    <w:rsid w:val="006C642F"/>
    <w:rsid w:val="006D03E5"/>
    <w:rsid w:val="006D5D3E"/>
    <w:rsid w:val="006D6B0F"/>
    <w:rsid w:val="006D76F5"/>
    <w:rsid w:val="006E08B3"/>
    <w:rsid w:val="006E23EA"/>
    <w:rsid w:val="006E7D4A"/>
    <w:rsid w:val="006F17AC"/>
    <w:rsid w:val="006F25B8"/>
    <w:rsid w:val="006F572E"/>
    <w:rsid w:val="006F6B25"/>
    <w:rsid w:val="0070056B"/>
    <w:rsid w:val="007046D6"/>
    <w:rsid w:val="00705DB0"/>
    <w:rsid w:val="0072292E"/>
    <w:rsid w:val="00722B57"/>
    <w:rsid w:val="007300BF"/>
    <w:rsid w:val="00730F8A"/>
    <w:rsid w:val="00735A8C"/>
    <w:rsid w:val="0073649D"/>
    <w:rsid w:val="0074141F"/>
    <w:rsid w:val="0074163C"/>
    <w:rsid w:val="0074253D"/>
    <w:rsid w:val="00744121"/>
    <w:rsid w:val="0074429B"/>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96BC3"/>
    <w:rsid w:val="007A46F5"/>
    <w:rsid w:val="007A6505"/>
    <w:rsid w:val="007B6132"/>
    <w:rsid w:val="007B6E9F"/>
    <w:rsid w:val="007C1216"/>
    <w:rsid w:val="007C1AF7"/>
    <w:rsid w:val="007C6B9B"/>
    <w:rsid w:val="007C7CC4"/>
    <w:rsid w:val="007D53B6"/>
    <w:rsid w:val="007E29BD"/>
    <w:rsid w:val="008003A7"/>
    <w:rsid w:val="00804D99"/>
    <w:rsid w:val="00805D27"/>
    <w:rsid w:val="00806DCB"/>
    <w:rsid w:val="008110BC"/>
    <w:rsid w:val="00820B67"/>
    <w:rsid w:val="00821776"/>
    <w:rsid w:val="00824C3D"/>
    <w:rsid w:val="008321F5"/>
    <w:rsid w:val="00832369"/>
    <w:rsid w:val="00833ED8"/>
    <w:rsid w:val="00834660"/>
    <w:rsid w:val="00835723"/>
    <w:rsid w:val="00836BC2"/>
    <w:rsid w:val="0085156D"/>
    <w:rsid w:val="00852B28"/>
    <w:rsid w:val="0085641B"/>
    <w:rsid w:val="00857136"/>
    <w:rsid w:val="00865B03"/>
    <w:rsid w:val="00873FAF"/>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B5DF2"/>
    <w:rsid w:val="008C159F"/>
    <w:rsid w:val="008C1623"/>
    <w:rsid w:val="008C1850"/>
    <w:rsid w:val="008C51A9"/>
    <w:rsid w:val="008C6F1F"/>
    <w:rsid w:val="008E7846"/>
    <w:rsid w:val="008F02E5"/>
    <w:rsid w:val="008F1CCC"/>
    <w:rsid w:val="008F2967"/>
    <w:rsid w:val="008F6943"/>
    <w:rsid w:val="00902A21"/>
    <w:rsid w:val="009066E4"/>
    <w:rsid w:val="0091523F"/>
    <w:rsid w:val="00916973"/>
    <w:rsid w:val="00920330"/>
    <w:rsid w:val="009219D7"/>
    <w:rsid w:val="00922D53"/>
    <w:rsid w:val="00923B70"/>
    <w:rsid w:val="00924482"/>
    <w:rsid w:val="00930237"/>
    <w:rsid w:val="00937C17"/>
    <w:rsid w:val="00940A89"/>
    <w:rsid w:val="00941F77"/>
    <w:rsid w:val="00946EA5"/>
    <w:rsid w:val="009556D7"/>
    <w:rsid w:val="00960520"/>
    <w:rsid w:val="00963C08"/>
    <w:rsid w:val="009665D2"/>
    <w:rsid w:val="009752A5"/>
    <w:rsid w:val="0098585A"/>
    <w:rsid w:val="009A03E8"/>
    <w:rsid w:val="009A14D0"/>
    <w:rsid w:val="009A4CED"/>
    <w:rsid w:val="009A690D"/>
    <w:rsid w:val="009B1D12"/>
    <w:rsid w:val="009B416B"/>
    <w:rsid w:val="009C4BD5"/>
    <w:rsid w:val="009D2149"/>
    <w:rsid w:val="009D46EE"/>
    <w:rsid w:val="009D64E5"/>
    <w:rsid w:val="009D7B77"/>
    <w:rsid w:val="009E0BB0"/>
    <w:rsid w:val="009E3FBB"/>
    <w:rsid w:val="009E5A87"/>
    <w:rsid w:val="009E5DC3"/>
    <w:rsid w:val="009E69DA"/>
    <w:rsid w:val="009F2673"/>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553B"/>
    <w:rsid w:val="00A60BAD"/>
    <w:rsid w:val="00A72959"/>
    <w:rsid w:val="00A740E0"/>
    <w:rsid w:val="00A77F87"/>
    <w:rsid w:val="00A80B5B"/>
    <w:rsid w:val="00A84E36"/>
    <w:rsid w:val="00A90A07"/>
    <w:rsid w:val="00A964D1"/>
    <w:rsid w:val="00AA0ED0"/>
    <w:rsid w:val="00AC08F5"/>
    <w:rsid w:val="00AC2B40"/>
    <w:rsid w:val="00AC2BB2"/>
    <w:rsid w:val="00AC2C3C"/>
    <w:rsid w:val="00AC512D"/>
    <w:rsid w:val="00AD0083"/>
    <w:rsid w:val="00AD16A6"/>
    <w:rsid w:val="00AD3935"/>
    <w:rsid w:val="00AE65EB"/>
    <w:rsid w:val="00AE67A7"/>
    <w:rsid w:val="00AF1D94"/>
    <w:rsid w:val="00AF2313"/>
    <w:rsid w:val="00AF60C5"/>
    <w:rsid w:val="00B009C6"/>
    <w:rsid w:val="00B01548"/>
    <w:rsid w:val="00B130C5"/>
    <w:rsid w:val="00B13EBD"/>
    <w:rsid w:val="00B1406F"/>
    <w:rsid w:val="00B15513"/>
    <w:rsid w:val="00B21D29"/>
    <w:rsid w:val="00B25034"/>
    <w:rsid w:val="00B33588"/>
    <w:rsid w:val="00B33863"/>
    <w:rsid w:val="00B35879"/>
    <w:rsid w:val="00B37D17"/>
    <w:rsid w:val="00B40A4F"/>
    <w:rsid w:val="00B4175E"/>
    <w:rsid w:val="00B417FA"/>
    <w:rsid w:val="00B41C85"/>
    <w:rsid w:val="00B452CE"/>
    <w:rsid w:val="00B54C25"/>
    <w:rsid w:val="00B67046"/>
    <w:rsid w:val="00B70E67"/>
    <w:rsid w:val="00B76B91"/>
    <w:rsid w:val="00B77EB1"/>
    <w:rsid w:val="00B811C6"/>
    <w:rsid w:val="00B855B0"/>
    <w:rsid w:val="00B864E6"/>
    <w:rsid w:val="00B92E08"/>
    <w:rsid w:val="00BA00CB"/>
    <w:rsid w:val="00BA13FE"/>
    <w:rsid w:val="00BB0B78"/>
    <w:rsid w:val="00BB75D6"/>
    <w:rsid w:val="00BC093B"/>
    <w:rsid w:val="00BC0A8B"/>
    <w:rsid w:val="00BC5CD6"/>
    <w:rsid w:val="00BC622A"/>
    <w:rsid w:val="00BD3804"/>
    <w:rsid w:val="00BD4FFB"/>
    <w:rsid w:val="00BE0A78"/>
    <w:rsid w:val="00BE6542"/>
    <w:rsid w:val="00BE79F0"/>
    <w:rsid w:val="00BF046D"/>
    <w:rsid w:val="00BF1190"/>
    <w:rsid w:val="00BF2293"/>
    <w:rsid w:val="00BF3774"/>
    <w:rsid w:val="00BF5D04"/>
    <w:rsid w:val="00BF7063"/>
    <w:rsid w:val="00C009AA"/>
    <w:rsid w:val="00C1164D"/>
    <w:rsid w:val="00C16861"/>
    <w:rsid w:val="00C31C3D"/>
    <w:rsid w:val="00C34133"/>
    <w:rsid w:val="00C346AB"/>
    <w:rsid w:val="00C4007B"/>
    <w:rsid w:val="00C404A6"/>
    <w:rsid w:val="00C40A36"/>
    <w:rsid w:val="00C44419"/>
    <w:rsid w:val="00C45E7B"/>
    <w:rsid w:val="00C471B1"/>
    <w:rsid w:val="00C525A2"/>
    <w:rsid w:val="00C52E24"/>
    <w:rsid w:val="00C6316B"/>
    <w:rsid w:val="00C634A9"/>
    <w:rsid w:val="00C64586"/>
    <w:rsid w:val="00C70A36"/>
    <w:rsid w:val="00C70D53"/>
    <w:rsid w:val="00C7209D"/>
    <w:rsid w:val="00C73D0B"/>
    <w:rsid w:val="00C7403E"/>
    <w:rsid w:val="00C74F5C"/>
    <w:rsid w:val="00C772FF"/>
    <w:rsid w:val="00C80137"/>
    <w:rsid w:val="00C801AF"/>
    <w:rsid w:val="00C80256"/>
    <w:rsid w:val="00C86B61"/>
    <w:rsid w:val="00C94CD4"/>
    <w:rsid w:val="00C9747E"/>
    <w:rsid w:val="00CA69CF"/>
    <w:rsid w:val="00CB6BC0"/>
    <w:rsid w:val="00CC1B7C"/>
    <w:rsid w:val="00CC5044"/>
    <w:rsid w:val="00CC7158"/>
    <w:rsid w:val="00CC727F"/>
    <w:rsid w:val="00CC786A"/>
    <w:rsid w:val="00CE1302"/>
    <w:rsid w:val="00CF15C3"/>
    <w:rsid w:val="00CF2B6F"/>
    <w:rsid w:val="00CF2F3E"/>
    <w:rsid w:val="00CF58B6"/>
    <w:rsid w:val="00CF5DAD"/>
    <w:rsid w:val="00D0062D"/>
    <w:rsid w:val="00D017ED"/>
    <w:rsid w:val="00D040D3"/>
    <w:rsid w:val="00D04C65"/>
    <w:rsid w:val="00D04CBE"/>
    <w:rsid w:val="00D128BF"/>
    <w:rsid w:val="00D153D8"/>
    <w:rsid w:val="00D201D2"/>
    <w:rsid w:val="00D212F3"/>
    <w:rsid w:val="00D224FE"/>
    <w:rsid w:val="00D23139"/>
    <w:rsid w:val="00D425BB"/>
    <w:rsid w:val="00D4379E"/>
    <w:rsid w:val="00D453FA"/>
    <w:rsid w:val="00D56348"/>
    <w:rsid w:val="00D57046"/>
    <w:rsid w:val="00D62021"/>
    <w:rsid w:val="00D6493E"/>
    <w:rsid w:val="00D7195D"/>
    <w:rsid w:val="00D72CBA"/>
    <w:rsid w:val="00D7301E"/>
    <w:rsid w:val="00D81E95"/>
    <w:rsid w:val="00D83AE1"/>
    <w:rsid w:val="00D854AC"/>
    <w:rsid w:val="00D855D4"/>
    <w:rsid w:val="00D85773"/>
    <w:rsid w:val="00D902C9"/>
    <w:rsid w:val="00D90355"/>
    <w:rsid w:val="00D93466"/>
    <w:rsid w:val="00DA1124"/>
    <w:rsid w:val="00DA64CB"/>
    <w:rsid w:val="00DB06B8"/>
    <w:rsid w:val="00DB4046"/>
    <w:rsid w:val="00DB6124"/>
    <w:rsid w:val="00DB750B"/>
    <w:rsid w:val="00DB75B7"/>
    <w:rsid w:val="00DC0A2F"/>
    <w:rsid w:val="00DC1948"/>
    <w:rsid w:val="00DC6E02"/>
    <w:rsid w:val="00DD28CD"/>
    <w:rsid w:val="00DD7A8B"/>
    <w:rsid w:val="00DE02AE"/>
    <w:rsid w:val="00DE39D1"/>
    <w:rsid w:val="00DE68BE"/>
    <w:rsid w:val="00DF1D7F"/>
    <w:rsid w:val="00DF4BE4"/>
    <w:rsid w:val="00DF7C6F"/>
    <w:rsid w:val="00E01EE1"/>
    <w:rsid w:val="00E02382"/>
    <w:rsid w:val="00E02FB4"/>
    <w:rsid w:val="00E12256"/>
    <w:rsid w:val="00E13FC7"/>
    <w:rsid w:val="00E20571"/>
    <w:rsid w:val="00E235F7"/>
    <w:rsid w:val="00E23659"/>
    <w:rsid w:val="00E239D4"/>
    <w:rsid w:val="00E26130"/>
    <w:rsid w:val="00E33D42"/>
    <w:rsid w:val="00E40B22"/>
    <w:rsid w:val="00E44ED1"/>
    <w:rsid w:val="00E45619"/>
    <w:rsid w:val="00E4588F"/>
    <w:rsid w:val="00E46DA3"/>
    <w:rsid w:val="00E51BB1"/>
    <w:rsid w:val="00E55CB0"/>
    <w:rsid w:val="00E571A5"/>
    <w:rsid w:val="00E624A5"/>
    <w:rsid w:val="00E64BA4"/>
    <w:rsid w:val="00E6762D"/>
    <w:rsid w:val="00E7132C"/>
    <w:rsid w:val="00E7344E"/>
    <w:rsid w:val="00E80866"/>
    <w:rsid w:val="00E80B2A"/>
    <w:rsid w:val="00E82665"/>
    <w:rsid w:val="00EA139A"/>
    <w:rsid w:val="00EB0798"/>
    <w:rsid w:val="00EB36D6"/>
    <w:rsid w:val="00EB40AD"/>
    <w:rsid w:val="00EB45B6"/>
    <w:rsid w:val="00EB586E"/>
    <w:rsid w:val="00EB5FC8"/>
    <w:rsid w:val="00EC463D"/>
    <w:rsid w:val="00EC58CE"/>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56C1"/>
    <w:rsid w:val="00F457EE"/>
    <w:rsid w:val="00F47333"/>
    <w:rsid w:val="00F47E37"/>
    <w:rsid w:val="00F53C07"/>
    <w:rsid w:val="00F54B65"/>
    <w:rsid w:val="00F559B6"/>
    <w:rsid w:val="00F63412"/>
    <w:rsid w:val="00F63DBF"/>
    <w:rsid w:val="00F640B6"/>
    <w:rsid w:val="00F66DF2"/>
    <w:rsid w:val="00F80E40"/>
    <w:rsid w:val="00F848D9"/>
    <w:rsid w:val="00F876AA"/>
    <w:rsid w:val="00F931CE"/>
    <w:rsid w:val="00FA4BBA"/>
    <w:rsid w:val="00FA5069"/>
    <w:rsid w:val="00FA5B82"/>
    <w:rsid w:val="00FA639E"/>
    <w:rsid w:val="00FC1FCA"/>
    <w:rsid w:val="00FC25E4"/>
    <w:rsid w:val="00FC4EF7"/>
    <w:rsid w:val="00FD0824"/>
    <w:rsid w:val="00FD119B"/>
    <w:rsid w:val="00FD1EDC"/>
    <w:rsid w:val="00FE1DEE"/>
    <w:rsid w:val="00FF2126"/>
    <w:rsid w:val="00FF569B"/>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874F9"/>
  <w15:docId w15:val="{6E713658-53C5-4029-A990-0AA55BC1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styleId="ListParagraph">
    <w:name w:val="List Paragraph"/>
    <w:basedOn w:val="Normal"/>
    <w:uiPriority w:val="34"/>
    <w:rsid w:val="00E12256"/>
    <w:pPr>
      <w:ind w:left="720"/>
      <w:contextualSpacing/>
    </w:pPr>
  </w:style>
  <w:style w:type="character" w:customStyle="1" w:styleId="TabletextChar">
    <w:name w:val="Table text Char"/>
    <w:basedOn w:val="DefaultParagraphFont"/>
    <w:link w:val="Tabletext"/>
    <w:rsid w:val="00DE68BE"/>
    <w:rPr>
      <w:rFonts w:ascii="Cambria" w:eastAsia="Cambria" w:hAnsi="Cambria" w:cs="Times New Roman"/>
      <w:sz w:val="19"/>
    </w:rPr>
  </w:style>
  <w:style w:type="character" w:styleId="Emphasis">
    <w:name w:val="Emphasis"/>
    <w:basedOn w:val="DefaultParagraphFont"/>
    <w:uiPriority w:val="20"/>
    <w:qFormat/>
    <w:rsid w:val="00B417FA"/>
    <w:rPr>
      <w:i/>
      <w:iCs/>
    </w:rPr>
  </w:style>
  <w:style w:type="paragraph" w:customStyle="1" w:styleId="Default">
    <w:name w:val="Default"/>
    <w:rsid w:val="00820B67"/>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AD16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626742871">
      <w:bodyDiv w:val="1"/>
      <w:marLeft w:val="0"/>
      <w:marRight w:val="0"/>
      <w:marTop w:val="0"/>
      <w:marBottom w:val="0"/>
      <w:divBdr>
        <w:top w:val="none" w:sz="0" w:space="0" w:color="auto"/>
        <w:left w:val="none" w:sz="0" w:space="0" w:color="auto"/>
        <w:bottom w:val="none" w:sz="0" w:space="0" w:color="auto"/>
        <w:right w:val="none" w:sz="0" w:space="0" w:color="auto"/>
      </w:divBdr>
    </w:div>
    <w:div w:id="1077751352">
      <w:bodyDiv w:val="1"/>
      <w:marLeft w:val="0"/>
      <w:marRight w:val="0"/>
      <w:marTop w:val="0"/>
      <w:marBottom w:val="0"/>
      <w:divBdr>
        <w:top w:val="none" w:sz="0" w:space="0" w:color="auto"/>
        <w:left w:val="none" w:sz="0" w:space="0" w:color="auto"/>
        <w:bottom w:val="none" w:sz="0" w:space="0" w:color="auto"/>
        <w:right w:val="none" w:sz="0" w:space="0" w:color="auto"/>
      </w:divBdr>
    </w:div>
    <w:div w:id="1293175099">
      <w:bodyDiv w:val="1"/>
      <w:marLeft w:val="0"/>
      <w:marRight w:val="0"/>
      <w:marTop w:val="0"/>
      <w:marBottom w:val="0"/>
      <w:divBdr>
        <w:top w:val="none" w:sz="0" w:space="0" w:color="auto"/>
        <w:left w:val="none" w:sz="0" w:space="0" w:color="auto"/>
        <w:bottom w:val="none" w:sz="0" w:space="0" w:color="auto"/>
        <w:right w:val="none" w:sz="0" w:space="0" w:color="auto"/>
      </w:divBdr>
    </w:div>
    <w:div w:id="1530946683">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eader" Target="header5.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resources/resource/international-scientific-guidelines/international-scientific-guideline-ich-topic-e-11-note-guidance-clinical-investigation-medicinal-products-paediatric-population" TargetMode="External"/><Relationship Id="rId25" Type="http://schemas.openxmlformats.org/officeDocument/2006/relationships/image" Target="media/image9.png"/><Relationship Id="rId33" Type="http://schemas.openxmlformats.org/officeDocument/2006/relationships/header" Target="header4.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tga.gov.au/resources/resource/international-scientific-guidelines/international-scientific-guideline-guideline-clinical-trials-small-populations" TargetMode="External"/><Relationship Id="rId20" Type="http://schemas.openxmlformats.org/officeDocument/2006/relationships/image" Target="media/image4.png"/><Relationship Id="rId29" Type="http://schemas.openxmlformats.org/officeDocument/2006/relationships/hyperlink" Target="https://www.tga.gov.au/tgas-risk-management-approach"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header" Target="header3.xml"/><Relationship Id="rId37" Type="http://schemas.openxmlformats.org/officeDocument/2006/relationships/hyperlink" Target="https://www.tga.gov.au"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picmi-search-facility" TargetMode="External"/><Relationship Id="rId23" Type="http://schemas.openxmlformats.org/officeDocument/2006/relationships/image" Target="media/image7.png"/><Relationship Id="rId28" Type="http://schemas.openxmlformats.org/officeDocument/2006/relationships/hyperlink" Target="https://www.tga.gov.au/publication/risk-management-plans-medicines-and-biologicals" TargetMode="External"/><Relationship Id="rId36" Type="http://schemas.openxmlformats.org/officeDocument/2006/relationships/hyperlink" Target="mailto:info@tga.gov.au" TargetMode="External"/><Relationship Id="rId10" Type="http://schemas.openxmlformats.org/officeDocument/2006/relationships/hyperlink" Target="mailto:tga.copyright@tga.gov.au" TargetMode="External"/><Relationship Id="rId19" Type="http://schemas.openxmlformats.org/officeDocument/2006/relationships/image" Target="media/image3.png"/><Relationship Id="rId31" Type="http://schemas.openxmlformats.org/officeDocument/2006/relationships/hyperlink" Target="https://www.tga.gov.au/picmi-search-facilit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www.tga.gov.au/committee/advisory-committee-medicines-acm" TargetMode="External"/><Relationship Id="rId35" Type="http://schemas.openxmlformats.org/officeDocument/2006/relationships/footer" Target="footer2.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resources/auspar/auspar-leuprorel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kit\AppData\Local\Hewlett-Packard\HP%20TRIM\TEMP\HPTRIM.2860\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D363-8776-4EE8-8BDE-2CAAB8E34DBD}">
  <ds:schemaRefs>
    <ds:schemaRef ds:uri="http://schemas.openxmlformats.org/officeDocument/2006/bibliography"/>
  </ds:schemaRefs>
</ds:datastoreItem>
</file>

<file path=docMetadata/LabelInfo.xml><?xml version="1.0" encoding="utf-8"?>
<clbl:labelList xmlns:clbl="http://schemas.microsoft.com/office/2020/mipLabelMetadata">
  <clbl:label id="{4674d5b9-bf03-4d67-af0b-4bcc9f6f6a0f}" enabled="0" method="" siteId="{4674d5b9-bf03-4d67-af0b-4bcc9f6f6a0f}" removed="1"/>
</clbl:labelList>
</file>

<file path=docProps/app.xml><?xml version="1.0" encoding="utf-8"?>
<Properties xmlns="http://schemas.openxmlformats.org/officeDocument/2006/extended-properties" xmlns:vt="http://schemas.openxmlformats.org/officeDocument/2006/docPropsVTypes">
  <Template>D22-5542303  AusPAR template.DOTX</Template>
  <TotalTime>453</TotalTime>
  <Pages>27</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52702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Eligard</dc:title>
  <dc:subject>prescription medicine regulation</dc:subject>
  <dc:creator>Therapeutic Goods Administration</dc:creator>
  <cp:keywords/>
  <cp:lastModifiedBy>PITKIN, Brendan</cp:lastModifiedBy>
  <cp:revision>11</cp:revision>
  <cp:lastPrinted>2019-08-14T04:30:00Z</cp:lastPrinted>
  <dcterms:created xsi:type="dcterms:W3CDTF">2023-02-28T23:35:00Z</dcterms:created>
  <dcterms:modified xsi:type="dcterms:W3CDTF">2023-03-14T00:45:00Z</dcterms:modified>
  <cp:category/>
</cp:coreProperties>
</file>